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F097D3">
      <w:pPr>
        <w:spacing w:line="240" w:lineRule="atLeast"/>
        <w:rPr>
          <w:rFonts w:hint="eastAsia" w:ascii="宋体" w:hAnsi="宋体" w:cs="宋体"/>
          <w:b/>
          <w:sz w:val="44"/>
          <w:szCs w:val="44"/>
        </w:rPr>
      </w:pPr>
    </w:p>
    <w:p w14:paraId="14D39967">
      <w:pPr>
        <w:pStyle w:val="7"/>
        <w:ind w:left="0" w:leftChars="0" w:firstLine="0" w:firstLineChars="0"/>
        <w:jc w:val="center"/>
        <w:rPr>
          <w:rFonts w:hint="eastAsia" w:eastAsia="宋体"/>
          <w:sz w:val="60"/>
          <w:szCs w:val="60"/>
          <w:lang w:eastAsia="zh-CN"/>
        </w:rPr>
      </w:pPr>
      <w:r>
        <w:rPr>
          <w:rFonts w:hint="eastAsia"/>
          <w:sz w:val="60"/>
          <w:szCs w:val="60"/>
          <w:lang w:eastAsia="zh-CN"/>
        </w:rPr>
        <w:t>2026年莎车县英吾斯塘乡壮大村集体经济项目</w:t>
      </w:r>
    </w:p>
    <w:p w14:paraId="1718F9A5">
      <w:pPr>
        <w:pStyle w:val="19"/>
        <w:jc w:val="center"/>
        <w:rPr>
          <w:rFonts w:hint="eastAsia" w:ascii="宋体" w:hAnsi="宋体" w:cs="宋体"/>
          <w:b/>
          <w:sz w:val="72"/>
          <w:szCs w:val="72"/>
        </w:rPr>
      </w:pPr>
    </w:p>
    <w:p w14:paraId="5D7C66EF">
      <w:pPr>
        <w:pStyle w:val="19"/>
        <w:rPr>
          <w:rFonts w:hint="eastAsia" w:ascii="宋体" w:hAnsi="宋体" w:cs="宋体"/>
          <w:color w:val="000000"/>
        </w:rPr>
      </w:pPr>
    </w:p>
    <w:p w14:paraId="417B2CE5">
      <w:pPr>
        <w:pStyle w:val="19"/>
        <w:jc w:val="center"/>
        <w:rPr>
          <w:rFonts w:hint="eastAsia" w:ascii="宋体" w:hAnsi="宋体" w:cs="宋体"/>
          <w:color w:val="000000"/>
        </w:rPr>
      </w:pPr>
    </w:p>
    <w:p w14:paraId="2F674B6A">
      <w:pPr>
        <w:spacing w:line="240" w:lineRule="atLeast"/>
        <w:jc w:val="center"/>
        <w:rPr>
          <w:rFonts w:hint="eastAsia" w:ascii="宋体" w:hAnsi="宋体" w:cs="宋体"/>
          <w:b/>
          <w:sz w:val="72"/>
          <w:szCs w:val="72"/>
        </w:rPr>
      </w:pPr>
      <w:r>
        <w:rPr>
          <w:rFonts w:hint="eastAsia" w:ascii="宋体" w:hAnsi="宋体" w:cs="宋体"/>
          <w:b/>
          <w:sz w:val="72"/>
          <w:szCs w:val="72"/>
        </w:rPr>
        <w:t>磋 商 文 件</w:t>
      </w:r>
    </w:p>
    <w:p w14:paraId="57448ACF">
      <w:pPr>
        <w:jc w:val="center"/>
        <w:rPr>
          <w:rFonts w:hint="eastAsia" w:ascii="宋体" w:hAnsi="宋体" w:cs="宋体"/>
        </w:rPr>
      </w:pPr>
    </w:p>
    <w:p w14:paraId="2328554D">
      <w:pPr>
        <w:pStyle w:val="7"/>
      </w:pPr>
    </w:p>
    <w:p w14:paraId="5DD8FBF1">
      <w:pPr>
        <w:jc w:val="center"/>
        <w:rPr>
          <w:rFonts w:hint="eastAsia" w:ascii="宋体" w:hAnsi="宋体" w:cs="宋体"/>
        </w:rPr>
      </w:pPr>
    </w:p>
    <w:p w14:paraId="13CFC83B">
      <w:pPr>
        <w:spacing w:line="240" w:lineRule="atLeast"/>
        <w:jc w:val="center"/>
        <w:rPr>
          <w:rFonts w:hint="default" w:ascii="宋体" w:hAnsi="宋体" w:eastAsia="宋体" w:cs="宋体"/>
          <w:b/>
          <w:color w:val="000000"/>
          <w:sz w:val="32"/>
          <w:highlight w:val="none"/>
          <w:lang w:val="en-US" w:eastAsia="zh-CN"/>
        </w:rPr>
      </w:pPr>
      <w:r>
        <w:rPr>
          <w:rFonts w:hint="eastAsia" w:ascii="宋体" w:hAnsi="宋体" w:cs="宋体"/>
          <w:b/>
          <w:color w:val="000000"/>
          <w:sz w:val="32"/>
          <w:highlight w:val="none"/>
        </w:rPr>
        <w:t>项目编号：</w:t>
      </w:r>
      <w:r>
        <w:rPr>
          <w:rFonts w:hint="eastAsia" w:ascii="宋体" w:hAnsi="宋体" w:cs="宋体"/>
          <w:b/>
          <w:color w:val="000000"/>
          <w:sz w:val="32"/>
          <w:highlight w:val="none"/>
          <w:lang w:val="en-US" w:eastAsia="zh-CN"/>
        </w:rPr>
        <w:t>XS2026（CS）-016</w:t>
      </w:r>
    </w:p>
    <w:p w14:paraId="057056B8">
      <w:pPr>
        <w:spacing w:line="240" w:lineRule="atLeast"/>
        <w:jc w:val="center"/>
        <w:rPr>
          <w:rFonts w:hint="eastAsia" w:ascii="宋体" w:hAnsi="宋体" w:cs="宋体"/>
          <w:b/>
          <w:sz w:val="32"/>
        </w:rPr>
      </w:pPr>
      <w:r>
        <w:rPr>
          <w:rFonts w:hint="eastAsia" w:ascii="宋体" w:hAnsi="宋体" w:cs="宋体"/>
          <w:b/>
          <w:sz w:val="32"/>
        </w:rPr>
        <w:t xml:space="preserve">  </w:t>
      </w:r>
    </w:p>
    <w:p w14:paraId="7DCCAFEF">
      <w:pPr>
        <w:pStyle w:val="27"/>
        <w:ind w:firstLine="480"/>
        <w:rPr>
          <w:rFonts w:hint="eastAsia" w:ascii="宋体" w:hAnsi="宋体" w:cs="宋体"/>
        </w:rPr>
      </w:pPr>
    </w:p>
    <w:p w14:paraId="65897E99">
      <w:pPr>
        <w:spacing w:line="360" w:lineRule="auto"/>
        <w:ind w:firstLine="1120" w:firstLineChars="400"/>
        <w:rPr>
          <w:rFonts w:hint="eastAsia" w:ascii="宋体" w:hAnsi="宋体" w:cs="宋体"/>
          <w:b/>
          <w:sz w:val="28"/>
          <w:szCs w:val="28"/>
          <w:u w:val="single"/>
        </w:rPr>
      </w:pPr>
      <w:r>
        <w:rPr>
          <w:rFonts w:hint="eastAsia" w:ascii="宋体" w:hAnsi="宋体" w:cs="宋体"/>
          <w:b/>
          <w:sz w:val="28"/>
          <w:szCs w:val="28"/>
        </w:rPr>
        <w:t>采 购 人：</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lang w:eastAsia="zh-CN"/>
        </w:rPr>
        <w:t>莎车县英吾斯塘乡人民政府</w:t>
      </w:r>
      <w:r>
        <w:rPr>
          <w:rFonts w:hint="eastAsia" w:ascii="宋体" w:hAnsi="宋体" w:cs="宋体"/>
          <w:b/>
          <w:color w:val="000000"/>
          <w:sz w:val="28"/>
          <w:szCs w:val="28"/>
          <w:u w:val="single"/>
        </w:rPr>
        <w:t xml:space="preserve">  </w:t>
      </w:r>
    </w:p>
    <w:p w14:paraId="0C8A7BC1">
      <w:pPr>
        <w:spacing w:line="360" w:lineRule="auto"/>
        <w:ind w:firstLine="1120" w:firstLineChars="400"/>
        <w:rPr>
          <w:rFonts w:hint="eastAsia" w:ascii="宋体" w:hAnsi="宋体" w:cs="宋体"/>
          <w:b/>
          <w:sz w:val="28"/>
          <w:szCs w:val="28"/>
          <w:u w:val="single"/>
        </w:rPr>
      </w:pPr>
      <w:r>
        <w:rPr>
          <w:rFonts w:hint="eastAsia" w:ascii="宋体" w:hAnsi="宋体" w:cs="宋体"/>
          <w:b/>
          <w:sz w:val="28"/>
          <w:szCs w:val="28"/>
        </w:rPr>
        <w:t>联 系 人：</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r>
        <w:rPr>
          <w:rFonts w:hint="eastAsia" w:ascii="宋体" w:hAnsi="宋体" w:cs="宋体"/>
          <w:b/>
          <w:sz w:val="28"/>
          <w:szCs w:val="28"/>
          <w:u w:val="single"/>
          <w:lang w:eastAsia="zh-CN"/>
        </w:rPr>
        <w:t>周炜</w:t>
      </w:r>
      <w:r>
        <w:rPr>
          <w:rFonts w:hint="eastAsia" w:ascii="宋体" w:hAnsi="宋体" w:cs="宋体"/>
          <w:b/>
          <w:sz w:val="28"/>
          <w:szCs w:val="28"/>
          <w:u w:val="single"/>
          <w:lang w:val="en-US" w:eastAsia="zh-CN"/>
        </w:rPr>
        <w:t xml:space="preserve">  </w:t>
      </w:r>
      <w:r>
        <w:rPr>
          <w:rFonts w:hint="eastAsia" w:ascii="宋体" w:hAnsi="宋体" w:cs="宋体"/>
          <w:b/>
          <w:sz w:val="28"/>
          <w:szCs w:val="28"/>
          <w:u w:val="single"/>
        </w:rPr>
        <w:t xml:space="preserve">           </w:t>
      </w:r>
      <w:r>
        <w:rPr>
          <w:rFonts w:hint="eastAsia" w:ascii="宋体" w:hAnsi="宋体" w:cs="宋体"/>
          <w:b/>
          <w:sz w:val="28"/>
          <w:szCs w:val="28"/>
        </w:rPr>
        <w:t xml:space="preserve">   </w:t>
      </w:r>
    </w:p>
    <w:p w14:paraId="71153A52">
      <w:pPr>
        <w:spacing w:line="360" w:lineRule="auto"/>
        <w:ind w:firstLine="1120" w:firstLineChars="400"/>
        <w:rPr>
          <w:rFonts w:hint="eastAsia" w:ascii="宋体" w:hAnsi="宋体" w:cs="宋体"/>
          <w:sz w:val="28"/>
          <w:szCs w:val="28"/>
        </w:rPr>
      </w:pPr>
      <w:r>
        <w:rPr>
          <w:rFonts w:hint="eastAsia" w:ascii="宋体" w:hAnsi="宋体" w:cs="宋体"/>
          <w:b/>
          <w:sz w:val="28"/>
          <w:szCs w:val="28"/>
        </w:rPr>
        <w:t>联系电话：</w:t>
      </w:r>
      <w:r>
        <w:rPr>
          <w:rFonts w:hint="eastAsia" w:ascii="宋体" w:hAnsi="宋体" w:cs="宋体"/>
          <w:b/>
          <w:sz w:val="28"/>
          <w:szCs w:val="28"/>
          <w:u w:val="single"/>
        </w:rPr>
        <w:t xml:space="preserve">     </w:t>
      </w:r>
      <w:r>
        <w:rPr>
          <w:rFonts w:hint="eastAsia" w:ascii="宋体" w:hAnsi="宋体" w:cs="宋体"/>
          <w:b/>
          <w:sz w:val="28"/>
          <w:szCs w:val="28"/>
          <w:u w:val="single"/>
          <w:lang w:val="en-US" w:eastAsia="zh-CN"/>
        </w:rPr>
        <w:t xml:space="preserve"> 18099843878</w:t>
      </w:r>
      <w:r>
        <w:rPr>
          <w:rFonts w:hint="eastAsia" w:ascii="宋体" w:hAnsi="宋体" w:cs="宋体"/>
          <w:b/>
          <w:sz w:val="28"/>
          <w:szCs w:val="28"/>
          <w:u w:val="single"/>
        </w:rPr>
        <w:t xml:space="preserve">           </w:t>
      </w:r>
      <w:r>
        <w:rPr>
          <w:rFonts w:hint="eastAsia" w:ascii="宋体" w:hAnsi="宋体" w:cs="宋体"/>
          <w:b/>
          <w:sz w:val="28"/>
          <w:szCs w:val="28"/>
        </w:rPr>
        <w:t xml:space="preserve">      </w:t>
      </w:r>
    </w:p>
    <w:p w14:paraId="0A71F3BC">
      <w:pPr>
        <w:spacing w:line="360" w:lineRule="auto"/>
        <w:rPr>
          <w:rFonts w:hint="eastAsia" w:ascii="宋体" w:hAnsi="宋体" w:cs="宋体"/>
        </w:rPr>
      </w:pPr>
    </w:p>
    <w:p w14:paraId="560503DB">
      <w:pPr>
        <w:spacing w:line="360" w:lineRule="auto"/>
        <w:ind w:firstLine="1120" w:firstLineChars="400"/>
        <w:rPr>
          <w:rFonts w:hint="eastAsia" w:ascii="宋体" w:hAnsi="宋体" w:cs="宋体"/>
          <w:b/>
          <w:sz w:val="28"/>
          <w:szCs w:val="28"/>
        </w:rPr>
      </w:pPr>
      <w:r>
        <w:rPr>
          <w:rFonts w:hint="eastAsia" w:ascii="宋体" w:hAnsi="宋体" w:cs="宋体"/>
          <w:b/>
          <w:sz w:val="28"/>
          <w:szCs w:val="28"/>
        </w:rPr>
        <w:t>代理机构：</w:t>
      </w:r>
      <w:r>
        <w:rPr>
          <w:rFonts w:hint="eastAsia" w:ascii="宋体" w:hAnsi="宋体" w:cs="宋体"/>
          <w:b/>
          <w:sz w:val="28"/>
          <w:szCs w:val="28"/>
          <w:u w:val="single"/>
        </w:rPr>
        <w:t>新疆信实工程招标咨询服务有限公司</w:t>
      </w:r>
      <w:r>
        <w:rPr>
          <w:rFonts w:hint="eastAsia" w:ascii="宋体" w:hAnsi="宋体" w:cs="宋体"/>
          <w:b/>
          <w:sz w:val="28"/>
          <w:szCs w:val="28"/>
        </w:rPr>
        <w:t xml:space="preserve">  </w:t>
      </w:r>
    </w:p>
    <w:p w14:paraId="56BB1CE6">
      <w:pPr>
        <w:spacing w:line="360" w:lineRule="auto"/>
        <w:ind w:firstLine="1120" w:firstLineChars="400"/>
        <w:rPr>
          <w:rFonts w:hint="eastAsia" w:ascii="宋体" w:hAnsi="宋体" w:cs="宋体"/>
          <w:b/>
          <w:sz w:val="28"/>
          <w:szCs w:val="28"/>
        </w:rPr>
      </w:pPr>
      <w:r>
        <w:rPr>
          <w:rFonts w:hint="eastAsia" w:ascii="宋体" w:hAnsi="宋体" w:cs="宋体"/>
          <w:b/>
          <w:sz w:val="28"/>
          <w:szCs w:val="28"/>
        </w:rPr>
        <w:t>联 系 人：</w:t>
      </w:r>
      <w:r>
        <w:rPr>
          <w:rFonts w:hint="eastAsia" w:ascii="宋体" w:hAnsi="宋体" w:cs="宋体"/>
          <w:b/>
          <w:sz w:val="28"/>
          <w:szCs w:val="28"/>
          <w:u w:val="single"/>
        </w:rPr>
        <w:t xml:space="preserve">            刘晓宁              </w:t>
      </w:r>
      <w:r>
        <w:rPr>
          <w:rFonts w:hint="eastAsia" w:ascii="宋体" w:hAnsi="宋体" w:cs="宋体"/>
          <w:b/>
          <w:sz w:val="28"/>
          <w:szCs w:val="28"/>
        </w:rPr>
        <w:t xml:space="preserve">       </w:t>
      </w:r>
    </w:p>
    <w:p w14:paraId="4023F49A">
      <w:pPr>
        <w:spacing w:line="360" w:lineRule="auto"/>
        <w:ind w:firstLine="1120" w:firstLineChars="400"/>
        <w:rPr>
          <w:rFonts w:hint="eastAsia" w:ascii="宋体" w:hAnsi="宋体" w:cs="宋体"/>
          <w:b/>
          <w:sz w:val="28"/>
          <w:szCs w:val="28"/>
        </w:rPr>
      </w:pPr>
      <w:r>
        <w:rPr>
          <w:rFonts w:hint="eastAsia" w:ascii="宋体" w:hAnsi="宋体" w:cs="宋体"/>
          <w:b/>
          <w:sz w:val="28"/>
          <w:szCs w:val="28"/>
        </w:rPr>
        <w:t>联系电话：</w:t>
      </w:r>
      <w:r>
        <w:rPr>
          <w:rFonts w:hint="eastAsia" w:ascii="宋体" w:hAnsi="宋体" w:cs="宋体"/>
          <w:b/>
          <w:sz w:val="28"/>
          <w:szCs w:val="28"/>
          <w:u w:val="single"/>
        </w:rPr>
        <w:t xml:space="preserve">          17881381986           </w:t>
      </w:r>
      <w:r>
        <w:rPr>
          <w:rFonts w:hint="eastAsia" w:ascii="宋体" w:hAnsi="宋体" w:cs="宋体"/>
          <w:b/>
          <w:sz w:val="28"/>
          <w:szCs w:val="28"/>
        </w:rPr>
        <w:t xml:space="preserve">   </w:t>
      </w:r>
    </w:p>
    <w:p w14:paraId="66F45541">
      <w:pPr>
        <w:pStyle w:val="27"/>
        <w:ind w:firstLine="562"/>
        <w:rPr>
          <w:rFonts w:hint="eastAsia" w:ascii="宋体" w:hAnsi="宋体" w:cs="宋体"/>
          <w:b/>
          <w:sz w:val="28"/>
          <w:szCs w:val="28"/>
        </w:rPr>
      </w:pPr>
    </w:p>
    <w:p w14:paraId="5F025210">
      <w:pPr>
        <w:spacing w:line="240" w:lineRule="atLeast"/>
        <w:jc w:val="center"/>
        <w:rPr>
          <w:rFonts w:hint="eastAsia" w:ascii="宋体" w:hAnsi="宋体" w:cs="宋体"/>
          <w:b/>
          <w:sz w:val="28"/>
          <w:szCs w:val="28"/>
        </w:rPr>
      </w:pPr>
      <w:r>
        <w:rPr>
          <w:rFonts w:hint="eastAsia" w:ascii="宋体" w:hAnsi="宋体" w:cs="宋体"/>
          <w:b/>
          <w:sz w:val="28"/>
          <w:szCs w:val="28"/>
        </w:rPr>
        <w:t>日期：202</w:t>
      </w:r>
      <w:r>
        <w:rPr>
          <w:rFonts w:hint="eastAsia" w:ascii="宋体" w:hAnsi="宋体" w:cs="宋体"/>
          <w:b/>
          <w:sz w:val="28"/>
          <w:szCs w:val="28"/>
          <w:lang w:val="en-US" w:eastAsia="zh-CN"/>
        </w:rPr>
        <w:t>6</w:t>
      </w:r>
      <w:r>
        <w:rPr>
          <w:rFonts w:hint="eastAsia" w:ascii="宋体" w:hAnsi="宋体" w:cs="宋体"/>
          <w:b/>
          <w:sz w:val="28"/>
          <w:szCs w:val="28"/>
        </w:rPr>
        <w:t>年</w:t>
      </w:r>
      <w:r>
        <w:rPr>
          <w:rFonts w:hint="eastAsia" w:ascii="宋体" w:hAnsi="宋体" w:cs="宋体"/>
          <w:b/>
          <w:sz w:val="28"/>
          <w:szCs w:val="28"/>
          <w:lang w:val="en-US" w:eastAsia="zh-CN"/>
        </w:rPr>
        <w:t>5</w:t>
      </w:r>
      <w:r>
        <w:rPr>
          <w:rFonts w:hint="eastAsia" w:ascii="宋体" w:hAnsi="宋体" w:cs="宋体"/>
          <w:b/>
          <w:sz w:val="28"/>
          <w:szCs w:val="28"/>
        </w:rPr>
        <w:t>月</w:t>
      </w:r>
    </w:p>
    <w:p w14:paraId="291525F4">
      <w:pPr>
        <w:rPr>
          <w:rFonts w:hint="eastAsia" w:ascii="宋体" w:hAnsi="宋体" w:cs="宋体"/>
        </w:rPr>
        <w:sectPr>
          <w:headerReference r:id="rId4" w:type="first"/>
          <w:head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start="1"/>
          <w:cols w:space="720" w:num="1"/>
          <w:docGrid w:type="linesAndChars" w:linePitch="312" w:charSpace="0"/>
        </w:sectPr>
      </w:pPr>
    </w:p>
    <w:p w14:paraId="73D8EDF4">
      <w:pPr>
        <w:spacing w:line="360" w:lineRule="auto"/>
        <w:jc w:val="center"/>
        <w:rPr>
          <w:rFonts w:hint="eastAsia" w:ascii="宋体" w:hAnsi="宋体" w:cs="宋体"/>
          <w:b/>
          <w:bCs/>
          <w:sz w:val="40"/>
          <w:szCs w:val="48"/>
        </w:rPr>
      </w:pPr>
      <w:r>
        <w:rPr>
          <w:rFonts w:hint="eastAsia" w:ascii="宋体" w:hAnsi="宋体" w:cs="宋体"/>
          <w:b/>
          <w:bCs/>
          <w:sz w:val="40"/>
          <w:szCs w:val="48"/>
        </w:rPr>
        <w:t>目录</w:t>
      </w:r>
    </w:p>
    <w:p w14:paraId="49267BF2">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TOC \o "1-2" \h \u </w:instrText>
      </w:r>
      <w:r>
        <w:rPr>
          <w:rFonts w:hint="eastAsia" w:ascii="宋体" w:hAnsi="宋体" w:cs="宋体"/>
          <w:kern w:val="0"/>
          <w:szCs w:val="21"/>
        </w:rPr>
        <w:fldChar w:fldCharType="separate"/>
      </w:r>
      <w:r>
        <w:rPr>
          <w:rFonts w:hint="eastAsia" w:ascii="宋体" w:hAnsi="宋体" w:cs="宋体"/>
          <w:kern w:val="0"/>
          <w:szCs w:val="21"/>
        </w:rPr>
        <w:fldChar w:fldCharType="begin"/>
      </w:r>
      <w:r>
        <w:rPr>
          <w:rFonts w:hint="eastAsia" w:ascii="宋体" w:hAnsi="宋体" w:cs="宋体"/>
          <w:kern w:val="0"/>
          <w:szCs w:val="21"/>
        </w:rPr>
        <w:instrText xml:space="preserve"> HYPERLINK \l _Toc9525 </w:instrText>
      </w:r>
      <w:r>
        <w:rPr>
          <w:rFonts w:hint="eastAsia" w:ascii="宋体" w:hAnsi="宋体" w:cs="宋体"/>
          <w:kern w:val="0"/>
          <w:szCs w:val="21"/>
        </w:rPr>
        <w:fldChar w:fldCharType="separate"/>
      </w:r>
      <w:r>
        <w:rPr>
          <w:rFonts w:hint="eastAsia"/>
          <w:szCs w:val="32"/>
        </w:rPr>
        <w:t>第</w:t>
      </w:r>
      <w:r>
        <w:rPr>
          <w:rFonts w:hint="eastAsia"/>
          <w:szCs w:val="32"/>
          <w:lang w:val="en-US" w:eastAsia="zh-CN"/>
        </w:rPr>
        <w:t>1</w:t>
      </w:r>
      <w:r>
        <w:rPr>
          <w:rFonts w:hint="eastAsia"/>
          <w:szCs w:val="32"/>
        </w:rPr>
        <w:t>章 磋商邀请</w:t>
      </w:r>
      <w:r>
        <w:tab/>
      </w:r>
      <w:r>
        <w:fldChar w:fldCharType="begin"/>
      </w:r>
      <w:r>
        <w:instrText xml:space="preserve"> PAGEREF _Toc9525 \h </w:instrText>
      </w:r>
      <w:r>
        <w:fldChar w:fldCharType="separate"/>
      </w:r>
      <w:r>
        <w:t>2</w:t>
      </w:r>
      <w:r>
        <w:fldChar w:fldCharType="end"/>
      </w:r>
      <w:r>
        <w:rPr>
          <w:rFonts w:hint="eastAsia" w:ascii="宋体" w:hAnsi="宋体" w:cs="宋体"/>
          <w:kern w:val="0"/>
          <w:szCs w:val="21"/>
        </w:rPr>
        <w:fldChar w:fldCharType="end"/>
      </w:r>
    </w:p>
    <w:p w14:paraId="7D46FB58">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_Toc28481 </w:instrText>
      </w:r>
      <w:r>
        <w:rPr>
          <w:rFonts w:hint="eastAsia" w:ascii="宋体" w:hAnsi="宋体" w:cs="宋体"/>
          <w:kern w:val="0"/>
          <w:szCs w:val="21"/>
        </w:rPr>
        <w:fldChar w:fldCharType="separate"/>
      </w:r>
      <w:r>
        <w:rPr>
          <w:rFonts w:hint="eastAsia"/>
          <w:szCs w:val="32"/>
        </w:rPr>
        <w:t>第</w:t>
      </w:r>
      <w:r>
        <w:rPr>
          <w:rFonts w:hint="eastAsia"/>
          <w:szCs w:val="32"/>
          <w:lang w:val="en-US" w:eastAsia="zh-CN"/>
        </w:rPr>
        <w:t>2</w:t>
      </w:r>
      <w:r>
        <w:rPr>
          <w:rFonts w:hint="eastAsia"/>
          <w:szCs w:val="32"/>
        </w:rPr>
        <w:t>章 供应商须知资料表</w:t>
      </w:r>
      <w:r>
        <w:tab/>
      </w:r>
      <w:r>
        <w:fldChar w:fldCharType="begin"/>
      </w:r>
      <w:r>
        <w:instrText xml:space="preserve"> PAGEREF _Toc28481 \h </w:instrText>
      </w:r>
      <w:r>
        <w:fldChar w:fldCharType="separate"/>
      </w:r>
      <w:r>
        <w:t>6</w:t>
      </w:r>
      <w:r>
        <w:fldChar w:fldCharType="end"/>
      </w:r>
      <w:r>
        <w:rPr>
          <w:rFonts w:hint="eastAsia" w:ascii="宋体" w:hAnsi="宋体" w:cs="宋体"/>
          <w:kern w:val="0"/>
          <w:szCs w:val="21"/>
        </w:rPr>
        <w:fldChar w:fldCharType="end"/>
      </w:r>
    </w:p>
    <w:p w14:paraId="0C997E23">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_Toc14025 </w:instrText>
      </w:r>
      <w:r>
        <w:rPr>
          <w:rFonts w:hint="eastAsia" w:ascii="宋体" w:hAnsi="宋体" w:cs="宋体"/>
          <w:kern w:val="0"/>
          <w:szCs w:val="21"/>
        </w:rPr>
        <w:fldChar w:fldCharType="separate"/>
      </w:r>
      <w:r>
        <w:rPr>
          <w:rFonts w:hint="eastAsia" w:ascii="宋体" w:hAnsi="宋体" w:eastAsia="宋体" w:cs="宋体"/>
          <w:bCs/>
          <w:szCs w:val="36"/>
          <w:highlight w:val="none"/>
          <w:lang w:val="en-US" w:eastAsia="zh-CN"/>
        </w:rPr>
        <w:t>第3章 供应商须知</w:t>
      </w:r>
      <w:r>
        <w:tab/>
      </w:r>
      <w:r>
        <w:fldChar w:fldCharType="begin"/>
      </w:r>
      <w:r>
        <w:instrText xml:space="preserve"> PAGEREF _Toc14025 \h </w:instrText>
      </w:r>
      <w:r>
        <w:fldChar w:fldCharType="separate"/>
      </w:r>
      <w:r>
        <w:t>11</w:t>
      </w:r>
      <w:r>
        <w:fldChar w:fldCharType="end"/>
      </w:r>
      <w:r>
        <w:rPr>
          <w:rFonts w:hint="eastAsia" w:ascii="宋体" w:hAnsi="宋体" w:cs="宋体"/>
          <w:kern w:val="0"/>
          <w:szCs w:val="21"/>
        </w:rPr>
        <w:fldChar w:fldCharType="end"/>
      </w:r>
    </w:p>
    <w:p w14:paraId="1EE5B873">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_Toc20699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一   总 则</w:t>
      </w:r>
      <w:r>
        <w:tab/>
      </w:r>
      <w:r>
        <w:fldChar w:fldCharType="begin"/>
      </w:r>
      <w:r>
        <w:instrText xml:space="preserve"> PAGEREF _Toc20699 \h </w:instrText>
      </w:r>
      <w:r>
        <w:fldChar w:fldCharType="separate"/>
      </w:r>
      <w:r>
        <w:t>11</w:t>
      </w:r>
      <w:r>
        <w:fldChar w:fldCharType="end"/>
      </w:r>
      <w:r>
        <w:rPr>
          <w:rFonts w:hint="eastAsia" w:ascii="宋体" w:hAnsi="宋体" w:cs="宋体"/>
          <w:kern w:val="0"/>
          <w:szCs w:val="21"/>
        </w:rPr>
        <w:fldChar w:fldCharType="end"/>
      </w:r>
    </w:p>
    <w:p w14:paraId="2573D888">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_Toc19349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 xml:space="preserve">二   </w:t>
      </w:r>
      <w:r>
        <w:rPr>
          <w:rFonts w:hint="eastAsia" w:ascii="宋体" w:hAnsi="宋体" w:eastAsia="宋体" w:cs="宋体"/>
          <w:i w:val="0"/>
          <w:spacing w:val="0"/>
          <w:w w:val="100"/>
          <w:szCs w:val="32"/>
          <w:highlight w:val="none"/>
          <w:lang w:eastAsia="zh-CN"/>
        </w:rPr>
        <w:t>磋商文件</w:t>
      </w:r>
      <w:r>
        <w:tab/>
      </w:r>
      <w:r>
        <w:fldChar w:fldCharType="begin"/>
      </w:r>
      <w:r>
        <w:instrText xml:space="preserve"> PAGEREF _Toc19349 \h </w:instrText>
      </w:r>
      <w:r>
        <w:fldChar w:fldCharType="separate"/>
      </w:r>
      <w:r>
        <w:t>12</w:t>
      </w:r>
      <w:r>
        <w:fldChar w:fldCharType="end"/>
      </w:r>
      <w:r>
        <w:rPr>
          <w:rFonts w:hint="eastAsia" w:ascii="宋体" w:hAnsi="宋体" w:cs="宋体"/>
          <w:kern w:val="0"/>
          <w:szCs w:val="21"/>
        </w:rPr>
        <w:fldChar w:fldCharType="end"/>
      </w:r>
    </w:p>
    <w:p w14:paraId="6DD53B42">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_Toc28609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 xml:space="preserve">三   </w:t>
      </w:r>
      <w:r>
        <w:rPr>
          <w:rFonts w:hint="eastAsia" w:ascii="宋体" w:hAnsi="宋体" w:eastAsia="宋体" w:cs="宋体"/>
          <w:i w:val="0"/>
          <w:spacing w:val="0"/>
          <w:w w:val="100"/>
          <w:szCs w:val="32"/>
          <w:highlight w:val="none"/>
          <w:lang w:eastAsia="zh-CN"/>
        </w:rPr>
        <w:t>响应文件</w:t>
      </w:r>
      <w:r>
        <w:rPr>
          <w:rFonts w:hint="eastAsia" w:ascii="宋体" w:hAnsi="宋体" w:eastAsia="宋体" w:cs="宋体"/>
          <w:i w:val="0"/>
          <w:spacing w:val="0"/>
          <w:w w:val="100"/>
          <w:szCs w:val="32"/>
          <w:highlight w:val="none"/>
        </w:rPr>
        <w:t>的编制</w:t>
      </w:r>
      <w:r>
        <w:tab/>
      </w:r>
      <w:r>
        <w:fldChar w:fldCharType="begin"/>
      </w:r>
      <w:r>
        <w:instrText xml:space="preserve"> PAGEREF _Toc28609 \h </w:instrText>
      </w:r>
      <w:r>
        <w:fldChar w:fldCharType="separate"/>
      </w:r>
      <w:r>
        <w:t>13</w:t>
      </w:r>
      <w:r>
        <w:fldChar w:fldCharType="end"/>
      </w:r>
      <w:r>
        <w:rPr>
          <w:rFonts w:hint="eastAsia" w:ascii="宋体" w:hAnsi="宋体" w:cs="宋体"/>
          <w:kern w:val="0"/>
          <w:szCs w:val="21"/>
        </w:rPr>
        <w:fldChar w:fldCharType="end"/>
      </w:r>
    </w:p>
    <w:p w14:paraId="1FA5FFC2">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_Toc14497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四   响应文件的递交</w:t>
      </w:r>
      <w:r>
        <w:tab/>
      </w:r>
      <w:r>
        <w:fldChar w:fldCharType="begin"/>
      </w:r>
      <w:r>
        <w:instrText xml:space="preserve"> PAGEREF _Toc14497 \h </w:instrText>
      </w:r>
      <w:r>
        <w:fldChar w:fldCharType="separate"/>
      </w:r>
      <w:r>
        <w:t>15</w:t>
      </w:r>
      <w:r>
        <w:fldChar w:fldCharType="end"/>
      </w:r>
      <w:r>
        <w:rPr>
          <w:rFonts w:hint="eastAsia" w:ascii="宋体" w:hAnsi="宋体" w:cs="宋体"/>
          <w:kern w:val="0"/>
          <w:szCs w:val="21"/>
        </w:rPr>
        <w:fldChar w:fldCharType="end"/>
      </w:r>
    </w:p>
    <w:p w14:paraId="6F894E2F">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_Toc2346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五   磋商开启及评审</w:t>
      </w:r>
      <w:r>
        <w:tab/>
      </w:r>
      <w:r>
        <w:fldChar w:fldCharType="begin"/>
      </w:r>
      <w:r>
        <w:instrText xml:space="preserve"> PAGEREF _Toc2346 \h </w:instrText>
      </w:r>
      <w:r>
        <w:fldChar w:fldCharType="separate"/>
      </w:r>
      <w:r>
        <w:t>16</w:t>
      </w:r>
      <w:r>
        <w:fldChar w:fldCharType="end"/>
      </w:r>
      <w:r>
        <w:rPr>
          <w:rFonts w:hint="eastAsia" w:ascii="宋体" w:hAnsi="宋体" w:cs="宋体"/>
          <w:kern w:val="0"/>
          <w:szCs w:val="21"/>
        </w:rPr>
        <w:fldChar w:fldCharType="end"/>
      </w:r>
    </w:p>
    <w:p w14:paraId="3C501CFE">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_Toc2675 </w:instrText>
      </w:r>
      <w:r>
        <w:rPr>
          <w:rFonts w:hint="eastAsia" w:ascii="宋体" w:hAnsi="宋体" w:cs="宋体"/>
          <w:kern w:val="0"/>
          <w:szCs w:val="21"/>
        </w:rPr>
        <w:fldChar w:fldCharType="separate"/>
      </w:r>
      <w:r>
        <w:rPr>
          <w:rFonts w:hint="eastAsia" w:ascii="宋体" w:hAnsi="宋体" w:eastAsia="宋体" w:cs="宋体"/>
          <w:i w:val="0"/>
          <w:spacing w:val="0"/>
          <w:w w:val="100"/>
          <w:szCs w:val="32"/>
          <w:highlight w:val="none"/>
        </w:rPr>
        <w:t>六   确定</w:t>
      </w:r>
      <w:r>
        <w:rPr>
          <w:rFonts w:hint="eastAsia" w:ascii="宋体" w:hAnsi="宋体" w:eastAsia="宋体" w:cs="宋体"/>
          <w:i w:val="0"/>
          <w:spacing w:val="0"/>
          <w:w w:val="100"/>
          <w:szCs w:val="32"/>
          <w:highlight w:val="none"/>
          <w:lang w:val="en-US" w:eastAsia="zh-CN"/>
        </w:rPr>
        <w:t>成交</w:t>
      </w:r>
      <w:r>
        <w:tab/>
      </w:r>
      <w:r>
        <w:fldChar w:fldCharType="begin"/>
      </w:r>
      <w:r>
        <w:instrText xml:space="preserve"> PAGEREF _Toc2675 \h </w:instrText>
      </w:r>
      <w:r>
        <w:fldChar w:fldCharType="separate"/>
      </w:r>
      <w:r>
        <w:t>20</w:t>
      </w:r>
      <w:r>
        <w:fldChar w:fldCharType="end"/>
      </w:r>
      <w:r>
        <w:rPr>
          <w:rFonts w:hint="eastAsia" w:ascii="宋体" w:hAnsi="宋体" w:cs="宋体"/>
          <w:kern w:val="0"/>
          <w:szCs w:val="21"/>
        </w:rPr>
        <w:fldChar w:fldCharType="end"/>
      </w:r>
    </w:p>
    <w:p w14:paraId="63C483FA">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_Toc16508 </w:instrText>
      </w:r>
      <w:r>
        <w:rPr>
          <w:rFonts w:hint="eastAsia" w:ascii="宋体" w:hAnsi="宋体" w:cs="宋体"/>
          <w:kern w:val="0"/>
          <w:szCs w:val="21"/>
        </w:rPr>
        <w:fldChar w:fldCharType="separate"/>
      </w:r>
      <w:r>
        <w:rPr>
          <w:rFonts w:hint="eastAsia"/>
          <w:szCs w:val="32"/>
        </w:rPr>
        <w:t>第</w:t>
      </w:r>
      <w:r>
        <w:rPr>
          <w:rFonts w:hint="eastAsia"/>
          <w:szCs w:val="32"/>
          <w:lang w:val="en-US" w:eastAsia="zh-CN"/>
        </w:rPr>
        <w:t>4</w:t>
      </w:r>
      <w:r>
        <w:rPr>
          <w:rFonts w:hint="eastAsia"/>
          <w:szCs w:val="32"/>
        </w:rPr>
        <w:t>章 采购需求及项目要求</w:t>
      </w:r>
      <w:r>
        <w:tab/>
      </w:r>
      <w:r>
        <w:fldChar w:fldCharType="begin"/>
      </w:r>
      <w:r>
        <w:instrText xml:space="preserve"> PAGEREF _Toc16508 \h </w:instrText>
      </w:r>
      <w:r>
        <w:fldChar w:fldCharType="separate"/>
      </w:r>
      <w:r>
        <w:t>26</w:t>
      </w:r>
      <w:r>
        <w:fldChar w:fldCharType="end"/>
      </w:r>
      <w:r>
        <w:rPr>
          <w:rFonts w:hint="eastAsia" w:ascii="宋体" w:hAnsi="宋体" w:cs="宋体"/>
          <w:kern w:val="0"/>
          <w:szCs w:val="21"/>
        </w:rPr>
        <w:fldChar w:fldCharType="end"/>
      </w:r>
    </w:p>
    <w:p w14:paraId="25BA4705">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_Toc4196 </w:instrText>
      </w:r>
      <w:r>
        <w:rPr>
          <w:rFonts w:hint="eastAsia" w:ascii="宋体" w:hAnsi="宋体" w:cs="宋体"/>
          <w:kern w:val="0"/>
          <w:szCs w:val="21"/>
        </w:rPr>
        <w:fldChar w:fldCharType="separate"/>
      </w:r>
      <w:r>
        <w:rPr>
          <w:rFonts w:hint="eastAsia" w:ascii="宋体" w:hAnsi="宋体" w:eastAsia="宋体" w:cs="宋体"/>
          <w:bCs/>
          <w:szCs w:val="24"/>
          <w:lang w:val="en-US" w:eastAsia="zh-CN"/>
        </w:rPr>
        <w:t>一、项目名称</w:t>
      </w:r>
      <w:r>
        <w:tab/>
      </w:r>
      <w:r>
        <w:fldChar w:fldCharType="begin"/>
      </w:r>
      <w:r>
        <w:instrText xml:space="preserve"> PAGEREF _Toc4196 \h </w:instrText>
      </w:r>
      <w:r>
        <w:fldChar w:fldCharType="separate"/>
      </w:r>
      <w:r>
        <w:t>26</w:t>
      </w:r>
      <w:r>
        <w:fldChar w:fldCharType="end"/>
      </w:r>
      <w:r>
        <w:rPr>
          <w:rFonts w:hint="eastAsia" w:ascii="宋体" w:hAnsi="宋体" w:cs="宋体"/>
          <w:kern w:val="0"/>
          <w:szCs w:val="21"/>
        </w:rPr>
        <w:fldChar w:fldCharType="end"/>
      </w:r>
    </w:p>
    <w:p w14:paraId="06160E20">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_Toc11155 </w:instrText>
      </w:r>
      <w:r>
        <w:rPr>
          <w:rFonts w:hint="eastAsia" w:ascii="宋体" w:hAnsi="宋体" w:cs="宋体"/>
          <w:kern w:val="0"/>
          <w:szCs w:val="21"/>
        </w:rPr>
        <w:fldChar w:fldCharType="separate"/>
      </w:r>
      <w:r>
        <w:rPr>
          <w:rFonts w:hint="eastAsia" w:ascii="宋体" w:hAnsi="宋体" w:eastAsia="宋体" w:cs="宋体"/>
          <w:bCs/>
          <w:szCs w:val="24"/>
          <w:lang w:val="en-US" w:eastAsia="zh-CN"/>
        </w:rPr>
        <w:t>二、项目建设规模及主要建设内容</w:t>
      </w:r>
      <w:r>
        <w:tab/>
      </w:r>
      <w:r>
        <w:fldChar w:fldCharType="begin"/>
      </w:r>
      <w:r>
        <w:instrText xml:space="preserve"> PAGEREF _Toc11155 \h </w:instrText>
      </w:r>
      <w:r>
        <w:fldChar w:fldCharType="separate"/>
      </w:r>
      <w:r>
        <w:t>26</w:t>
      </w:r>
      <w:r>
        <w:fldChar w:fldCharType="end"/>
      </w:r>
      <w:r>
        <w:rPr>
          <w:rFonts w:hint="eastAsia" w:ascii="宋体" w:hAnsi="宋体" w:cs="宋体"/>
          <w:kern w:val="0"/>
          <w:szCs w:val="21"/>
        </w:rPr>
        <w:fldChar w:fldCharType="end"/>
      </w:r>
    </w:p>
    <w:p w14:paraId="4C277C98">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_Toc22149 </w:instrText>
      </w:r>
      <w:r>
        <w:rPr>
          <w:rFonts w:hint="eastAsia" w:ascii="宋体" w:hAnsi="宋体" w:cs="宋体"/>
          <w:kern w:val="0"/>
          <w:szCs w:val="21"/>
        </w:rPr>
        <w:fldChar w:fldCharType="separate"/>
      </w:r>
      <w:r>
        <w:rPr>
          <w:rFonts w:hint="eastAsia" w:ascii="宋体" w:hAnsi="宋体" w:eastAsia="宋体" w:cs="宋体"/>
          <w:bCs/>
          <w:szCs w:val="24"/>
          <w:lang w:val="en-US" w:eastAsia="zh-CN"/>
        </w:rPr>
        <w:t>三、商务要求</w:t>
      </w:r>
      <w:r>
        <w:tab/>
      </w:r>
      <w:r>
        <w:fldChar w:fldCharType="begin"/>
      </w:r>
      <w:r>
        <w:instrText xml:space="preserve"> PAGEREF _Toc22149 \h </w:instrText>
      </w:r>
      <w:r>
        <w:fldChar w:fldCharType="separate"/>
      </w:r>
      <w:r>
        <w:t>29</w:t>
      </w:r>
      <w:r>
        <w:fldChar w:fldCharType="end"/>
      </w:r>
      <w:r>
        <w:rPr>
          <w:rFonts w:hint="eastAsia" w:ascii="宋体" w:hAnsi="宋体" w:cs="宋体"/>
          <w:kern w:val="0"/>
          <w:szCs w:val="21"/>
        </w:rPr>
        <w:fldChar w:fldCharType="end"/>
      </w:r>
    </w:p>
    <w:p w14:paraId="6510740C">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_Toc18592 </w:instrText>
      </w:r>
      <w:r>
        <w:rPr>
          <w:rFonts w:hint="eastAsia" w:ascii="宋体" w:hAnsi="宋体" w:cs="宋体"/>
          <w:kern w:val="0"/>
          <w:szCs w:val="21"/>
        </w:rPr>
        <w:fldChar w:fldCharType="separate"/>
      </w:r>
      <w:r>
        <w:rPr>
          <w:rFonts w:hint="eastAsia" w:ascii="宋体" w:hAnsi="宋体" w:eastAsia="宋体" w:cs="宋体"/>
          <w:bCs/>
          <w:kern w:val="0"/>
          <w:szCs w:val="24"/>
          <w:highlight w:val="none"/>
          <w:lang w:val="en-US" w:eastAsia="zh-CN" w:bidi="ar"/>
        </w:rPr>
        <w:t>四、工程量清单：详见附件</w:t>
      </w:r>
      <w:r>
        <w:tab/>
      </w:r>
      <w:r>
        <w:fldChar w:fldCharType="begin"/>
      </w:r>
      <w:r>
        <w:instrText xml:space="preserve"> PAGEREF _Toc18592 \h </w:instrText>
      </w:r>
      <w:r>
        <w:fldChar w:fldCharType="separate"/>
      </w:r>
      <w:r>
        <w:t>30</w:t>
      </w:r>
      <w:r>
        <w:fldChar w:fldCharType="end"/>
      </w:r>
      <w:r>
        <w:rPr>
          <w:rFonts w:hint="eastAsia" w:ascii="宋体" w:hAnsi="宋体" w:cs="宋体"/>
          <w:kern w:val="0"/>
          <w:szCs w:val="21"/>
        </w:rPr>
        <w:fldChar w:fldCharType="end"/>
      </w:r>
    </w:p>
    <w:p w14:paraId="66831740">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_Toc8234 </w:instrText>
      </w:r>
      <w:r>
        <w:rPr>
          <w:rFonts w:hint="eastAsia" w:ascii="宋体" w:hAnsi="宋体" w:cs="宋体"/>
          <w:kern w:val="0"/>
          <w:szCs w:val="21"/>
        </w:rPr>
        <w:fldChar w:fldCharType="separate"/>
      </w:r>
      <w:r>
        <w:rPr>
          <w:rFonts w:hint="eastAsia" w:ascii="宋体" w:hAnsi="宋体" w:eastAsia="宋体" w:cs="宋体"/>
          <w:bCs/>
          <w:szCs w:val="36"/>
          <w:highlight w:val="none"/>
          <w:lang w:val="en-US" w:eastAsia="zh-CN"/>
        </w:rPr>
        <w:t>第5章 评审方法和标准</w:t>
      </w:r>
      <w:r>
        <w:tab/>
      </w:r>
      <w:r>
        <w:fldChar w:fldCharType="begin"/>
      </w:r>
      <w:r>
        <w:instrText xml:space="preserve"> PAGEREF _Toc8234 \h </w:instrText>
      </w:r>
      <w:r>
        <w:fldChar w:fldCharType="separate"/>
      </w:r>
      <w:r>
        <w:t>31</w:t>
      </w:r>
      <w:r>
        <w:fldChar w:fldCharType="end"/>
      </w:r>
      <w:r>
        <w:rPr>
          <w:rFonts w:hint="eastAsia" w:ascii="宋体" w:hAnsi="宋体" w:cs="宋体"/>
          <w:kern w:val="0"/>
          <w:szCs w:val="21"/>
        </w:rPr>
        <w:fldChar w:fldCharType="end"/>
      </w:r>
    </w:p>
    <w:p w14:paraId="0901251E">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_Toc15342 </w:instrText>
      </w:r>
      <w:r>
        <w:rPr>
          <w:rFonts w:hint="eastAsia" w:ascii="宋体" w:hAnsi="宋体" w:cs="宋体"/>
          <w:kern w:val="0"/>
          <w:szCs w:val="21"/>
        </w:rPr>
        <w:fldChar w:fldCharType="separate"/>
      </w:r>
      <w:r>
        <w:rPr>
          <w:rFonts w:hint="eastAsia" w:ascii="宋体" w:hAnsi="宋体" w:eastAsia="宋体" w:cs="宋体"/>
          <w:szCs w:val="28"/>
        </w:rPr>
        <w:t>初步评审—资格性审查表</w:t>
      </w:r>
      <w:r>
        <w:tab/>
      </w:r>
      <w:r>
        <w:fldChar w:fldCharType="begin"/>
      </w:r>
      <w:r>
        <w:instrText xml:space="preserve"> PAGEREF _Toc15342 \h </w:instrText>
      </w:r>
      <w:r>
        <w:fldChar w:fldCharType="separate"/>
      </w:r>
      <w:r>
        <w:t>35</w:t>
      </w:r>
      <w:r>
        <w:fldChar w:fldCharType="end"/>
      </w:r>
      <w:r>
        <w:rPr>
          <w:rFonts w:hint="eastAsia" w:ascii="宋体" w:hAnsi="宋体" w:cs="宋体"/>
          <w:kern w:val="0"/>
          <w:szCs w:val="21"/>
        </w:rPr>
        <w:fldChar w:fldCharType="end"/>
      </w:r>
    </w:p>
    <w:p w14:paraId="3C964879">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_Toc15789 </w:instrText>
      </w:r>
      <w:r>
        <w:rPr>
          <w:rFonts w:hint="eastAsia" w:ascii="宋体" w:hAnsi="宋体" w:cs="宋体"/>
          <w:kern w:val="0"/>
          <w:szCs w:val="21"/>
        </w:rPr>
        <w:fldChar w:fldCharType="separate"/>
      </w:r>
      <w:r>
        <w:rPr>
          <w:rFonts w:hint="eastAsia" w:ascii="宋体" w:hAnsi="宋体" w:eastAsia="宋体" w:cs="宋体"/>
          <w:szCs w:val="28"/>
        </w:rPr>
        <w:t>初步评审—符合性审查表</w:t>
      </w:r>
      <w:r>
        <w:tab/>
      </w:r>
      <w:r>
        <w:fldChar w:fldCharType="begin"/>
      </w:r>
      <w:r>
        <w:instrText xml:space="preserve"> PAGEREF _Toc15789 \h </w:instrText>
      </w:r>
      <w:r>
        <w:fldChar w:fldCharType="separate"/>
      </w:r>
      <w:r>
        <w:t>37</w:t>
      </w:r>
      <w:r>
        <w:fldChar w:fldCharType="end"/>
      </w:r>
      <w:r>
        <w:rPr>
          <w:rFonts w:hint="eastAsia" w:ascii="宋体" w:hAnsi="宋体" w:cs="宋体"/>
          <w:kern w:val="0"/>
          <w:szCs w:val="21"/>
        </w:rPr>
        <w:fldChar w:fldCharType="end"/>
      </w:r>
    </w:p>
    <w:p w14:paraId="7E63A28B">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_Toc17595 </w:instrText>
      </w:r>
      <w:r>
        <w:rPr>
          <w:rFonts w:hint="eastAsia" w:ascii="宋体" w:hAnsi="宋体" w:cs="宋体"/>
          <w:kern w:val="0"/>
          <w:szCs w:val="21"/>
        </w:rPr>
        <w:fldChar w:fldCharType="separate"/>
      </w:r>
      <w:r>
        <w:rPr>
          <w:rFonts w:hint="eastAsia" w:ascii="宋体" w:hAnsi="宋体" w:eastAsia="宋体" w:cs="宋体"/>
          <w:bCs/>
          <w:szCs w:val="28"/>
        </w:rPr>
        <w:t>综合评分表</w:t>
      </w:r>
      <w:r>
        <w:tab/>
      </w:r>
      <w:r>
        <w:fldChar w:fldCharType="begin"/>
      </w:r>
      <w:r>
        <w:instrText xml:space="preserve"> PAGEREF _Toc17595 \h </w:instrText>
      </w:r>
      <w:r>
        <w:fldChar w:fldCharType="separate"/>
      </w:r>
      <w:r>
        <w:t>38</w:t>
      </w:r>
      <w:r>
        <w:fldChar w:fldCharType="end"/>
      </w:r>
      <w:r>
        <w:rPr>
          <w:rFonts w:hint="eastAsia" w:ascii="宋体" w:hAnsi="宋体" w:cs="宋体"/>
          <w:kern w:val="0"/>
          <w:szCs w:val="21"/>
        </w:rPr>
        <w:fldChar w:fldCharType="end"/>
      </w:r>
    </w:p>
    <w:p w14:paraId="711789B2">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_Toc10335 </w:instrText>
      </w:r>
      <w:r>
        <w:rPr>
          <w:rFonts w:hint="eastAsia" w:ascii="宋体" w:hAnsi="宋体" w:cs="宋体"/>
          <w:kern w:val="0"/>
          <w:szCs w:val="21"/>
        </w:rPr>
        <w:fldChar w:fldCharType="separate"/>
      </w:r>
      <w:r>
        <w:rPr>
          <w:rFonts w:hint="eastAsia" w:ascii="宋体" w:hAnsi="宋体" w:eastAsia="宋体" w:cs="宋体"/>
          <w:bCs/>
          <w:szCs w:val="36"/>
          <w:highlight w:val="none"/>
          <w:lang w:val="en-US" w:eastAsia="zh-CN"/>
        </w:rPr>
        <w:t>第6章 政府采购合同（参考范本）</w:t>
      </w:r>
      <w:r>
        <w:tab/>
      </w:r>
      <w:r>
        <w:fldChar w:fldCharType="begin"/>
      </w:r>
      <w:r>
        <w:instrText xml:space="preserve"> PAGEREF _Toc10335 \h </w:instrText>
      </w:r>
      <w:r>
        <w:fldChar w:fldCharType="separate"/>
      </w:r>
      <w:r>
        <w:t>41</w:t>
      </w:r>
      <w:r>
        <w:fldChar w:fldCharType="end"/>
      </w:r>
      <w:r>
        <w:rPr>
          <w:rFonts w:hint="eastAsia" w:ascii="宋体" w:hAnsi="宋体" w:cs="宋体"/>
          <w:kern w:val="0"/>
          <w:szCs w:val="21"/>
        </w:rPr>
        <w:fldChar w:fldCharType="end"/>
      </w:r>
    </w:p>
    <w:p w14:paraId="29C3BA37">
      <w:pPr>
        <w:pStyle w:val="18"/>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_Toc31227 </w:instrText>
      </w:r>
      <w:r>
        <w:rPr>
          <w:rFonts w:hint="eastAsia" w:ascii="宋体" w:hAnsi="宋体" w:cs="宋体"/>
          <w:kern w:val="0"/>
          <w:szCs w:val="21"/>
        </w:rPr>
        <w:fldChar w:fldCharType="separate"/>
      </w:r>
      <w:r>
        <w:rPr>
          <w:rFonts w:hint="eastAsia" w:ascii="宋体" w:hAnsi="宋体" w:eastAsia="宋体" w:cs="宋体"/>
          <w:bCs/>
          <w:szCs w:val="36"/>
          <w:highlight w:val="none"/>
          <w:lang w:val="en-US" w:eastAsia="zh-CN"/>
        </w:rPr>
        <w:t>第7章 响应文件格式</w:t>
      </w:r>
      <w:r>
        <w:tab/>
      </w:r>
      <w:r>
        <w:fldChar w:fldCharType="begin"/>
      </w:r>
      <w:r>
        <w:instrText xml:space="preserve"> PAGEREF _Toc31227 \h </w:instrText>
      </w:r>
      <w:r>
        <w:fldChar w:fldCharType="separate"/>
      </w:r>
      <w:r>
        <w:t>150</w:t>
      </w:r>
      <w:r>
        <w:fldChar w:fldCharType="end"/>
      </w:r>
      <w:r>
        <w:rPr>
          <w:rFonts w:hint="eastAsia" w:ascii="宋体" w:hAnsi="宋体" w:cs="宋体"/>
          <w:kern w:val="0"/>
          <w:szCs w:val="21"/>
        </w:rPr>
        <w:fldChar w:fldCharType="end"/>
      </w:r>
    </w:p>
    <w:p w14:paraId="5A61BB2C">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_Toc6846 </w:instrText>
      </w:r>
      <w:r>
        <w:rPr>
          <w:rFonts w:hint="eastAsia" w:ascii="宋体" w:hAnsi="宋体" w:cs="宋体"/>
          <w:kern w:val="0"/>
          <w:szCs w:val="21"/>
        </w:rPr>
        <w:fldChar w:fldCharType="separate"/>
      </w:r>
      <w:r>
        <w:rPr>
          <w:rFonts w:hint="eastAsia" w:ascii="宋体" w:hAnsi="宋体" w:eastAsia="宋体" w:cs="宋体"/>
          <w:szCs w:val="28"/>
        </w:rPr>
        <w:t>第一部分 磋商一览表及资格证明文件</w:t>
      </w:r>
      <w:r>
        <w:tab/>
      </w:r>
      <w:r>
        <w:fldChar w:fldCharType="begin"/>
      </w:r>
      <w:r>
        <w:instrText xml:space="preserve"> PAGEREF _Toc6846 \h </w:instrText>
      </w:r>
      <w:r>
        <w:fldChar w:fldCharType="separate"/>
      </w:r>
      <w:r>
        <w:t>151</w:t>
      </w:r>
      <w:r>
        <w:fldChar w:fldCharType="end"/>
      </w:r>
      <w:r>
        <w:rPr>
          <w:rFonts w:hint="eastAsia" w:ascii="宋体" w:hAnsi="宋体" w:cs="宋体"/>
          <w:kern w:val="0"/>
          <w:szCs w:val="21"/>
        </w:rPr>
        <w:fldChar w:fldCharType="end"/>
      </w:r>
    </w:p>
    <w:p w14:paraId="73532B7E">
      <w:pPr>
        <w:pStyle w:val="21"/>
        <w:tabs>
          <w:tab w:val="right" w:leader="dot" w:pos="8312"/>
        </w:tabs>
        <w:spacing w:line="360" w:lineRule="auto"/>
      </w:pPr>
      <w:r>
        <w:rPr>
          <w:rFonts w:hint="eastAsia" w:ascii="宋体" w:hAnsi="宋体" w:cs="宋体"/>
          <w:kern w:val="0"/>
          <w:szCs w:val="21"/>
        </w:rPr>
        <w:fldChar w:fldCharType="begin"/>
      </w:r>
      <w:r>
        <w:rPr>
          <w:rFonts w:hint="eastAsia" w:ascii="宋体" w:hAnsi="宋体" w:cs="宋体"/>
          <w:kern w:val="0"/>
          <w:szCs w:val="21"/>
        </w:rPr>
        <w:instrText xml:space="preserve"> HYPERLINK \l _Toc5670 </w:instrText>
      </w:r>
      <w:r>
        <w:rPr>
          <w:rFonts w:hint="eastAsia" w:ascii="宋体" w:hAnsi="宋体" w:cs="宋体"/>
          <w:kern w:val="0"/>
          <w:szCs w:val="21"/>
        </w:rPr>
        <w:fldChar w:fldCharType="separate"/>
      </w:r>
      <w:r>
        <w:rPr>
          <w:rFonts w:hint="eastAsia" w:ascii="宋体" w:hAnsi="宋体" w:eastAsia="宋体" w:cs="宋体"/>
          <w:szCs w:val="28"/>
        </w:rPr>
        <w:t>第二部分  商务及技术文件</w:t>
      </w:r>
      <w:r>
        <w:tab/>
      </w:r>
      <w:r>
        <w:fldChar w:fldCharType="begin"/>
      </w:r>
      <w:r>
        <w:instrText xml:space="preserve"> PAGEREF _Toc5670 \h </w:instrText>
      </w:r>
      <w:r>
        <w:fldChar w:fldCharType="separate"/>
      </w:r>
      <w:r>
        <w:t>157</w:t>
      </w:r>
      <w:r>
        <w:fldChar w:fldCharType="end"/>
      </w:r>
      <w:r>
        <w:rPr>
          <w:rFonts w:hint="eastAsia" w:ascii="宋体" w:hAnsi="宋体" w:cs="宋体"/>
          <w:kern w:val="0"/>
          <w:szCs w:val="21"/>
        </w:rPr>
        <w:fldChar w:fldCharType="end"/>
      </w:r>
    </w:p>
    <w:p w14:paraId="399F4FA5">
      <w:pPr>
        <w:pStyle w:val="18"/>
        <w:keepNext w:val="0"/>
        <w:keepLines w:val="0"/>
        <w:pageBreakBefore w:val="0"/>
        <w:widowControl w:val="0"/>
        <w:tabs>
          <w:tab w:val="right" w:leader="dot" w:pos="8312"/>
        </w:tabs>
        <w:kinsoku/>
        <w:wordWrap/>
        <w:overflowPunct/>
        <w:topLinePunct w:val="0"/>
        <w:autoSpaceDE/>
        <w:autoSpaceDN/>
        <w:bidi w:val="0"/>
        <w:adjustRightInd/>
        <w:snapToGrid/>
        <w:spacing w:line="360" w:lineRule="auto"/>
        <w:textAlignment w:val="auto"/>
        <w:rPr>
          <w:rFonts w:hint="eastAsia" w:ascii="宋体" w:hAnsi="宋体" w:cs="宋体"/>
        </w:rPr>
        <w:sectPr>
          <w:footerReference r:id="rId5" w:type="default"/>
          <w:pgSz w:w="11906" w:h="16838"/>
          <w:pgMar w:top="1440" w:right="1797" w:bottom="1440" w:left="1797" w:header="851" w:footer="992" w:gutter="0"/>
          <w:pgBorders>
            <w:top w:val="none" w:sz="0" w:space="0"/>
            <w:left w:val="none" w:sz="0" w:space="0"/>
            <w:bottom w:val="none" w:sz="0" w:space="0"/>
            <w:right w:val="none" w:sz="0" w:space="0"/>
          </w:pgBorders>
          <w:pgNumType w:fmt="decimal" w:start="1"/>
          <w:cols w:space="720" w:num="1"/>
          <w:docGrid w:linePitch="312" w:charSpace="0"/>
        </w:sectPr>
      </w:pPr>
      <w:r>
        <w:rPr>
          <w:rFonts w:hint="eastAsia" w:ascii="宋体" w:hAnsi="宋体" w:cs="宋体"/>
          <w:kern w:val="0"/>
          <w:szCs w:val="21"/>
        </w:rPr>
        <w:fldChar w:fldCharType="end"/>
      </w:r>
    </w:p>
    <w:p w14:paraId="56A5B62A">
      <w:pPr>
        <w:pStyle w:val="7"/>
        <w:outlineLvl w:val="0"/>
        <w:rPr>
          <w:rFonts w:hint="eastAsia"/>
          <w:sz w:val="32"/>
          <w:szCs w:val="32"/>
        </w:rPr>
      </w:pPr>
      <w:bookmarkStart w:id="0" w:name="_Toc9525"/>
      <w:r>
        <w:rPr>
          <w:rFonts w:hint="eastAsia"/>
          <w:sz w:val="32"/>
          <w:szCs w:val="32"/>
        </w:rPr>
        <w:t>第</w:t>
      </w:r>
      <w:r>
        <w:rPr>
          <w:rFonts w:hint="eastAsia"/>
          <w:sz w:val="32"/>
          <w:szCs w:val="32"/>
          <w:lang w:val="en-US" w:eastAsia="zh-CN"/>
        </w:rPr>
        <w:t>1</w:t>
      </w:r>
      <w:r>
        <w:rPr>
          <w:rFonts w:hint="eastAsia"/>
          <w:sz w:val="32"/>
          <w:szCs w:val="32"/>
        </w:rPr>
        <w:t>章 磋商邀请</w:t>
      </w:r>
      <w:bookmarkEnd w:id="0"/>
    </w:p>
    <w:p w14:paraId="56112228">
      <w:pPr>
        <w:keepNext/>
        <w:keepLines/>
        <w:tabs>
          <w:tab w:val="left" w:pos="0"/>
        </w:tabs>
        <w:autoSpaceDE w:val="0"/>
        <w:autoSpaceDN w:val="0"/>
        <w:adjustRightInd w:val="0"/>
        <w:spacing w:line="400" w:lineRule="exact"/>
        <w:jc w:val="center"/>
        <w:rPr>
          <w:rFonts w:hint="eastAsia" w:ascii="宋体" w:hAnsi="宋体" w:cs="宋体"/>
          <w:b/>
          <w:bCs/>
          <w:sz w:val="28"/>
          <w:szCs w:val="28"/>
        </w:rPr>
      </w:pPr>
      <w:bookmarkStart w:id="1" w:name="_Toc14011"/>
      <w:bookmarkEnd w:id="1"/>
      <w:bookmarkStart w:id="2" w:name="_Toc8815"/>
      <w:bookmarkEnd w:id="2"/>
      <w:bookmarkStart w:id="3" w:name="OLE_LINK1"/>
      <w:r>
        <w:rPr>
          <w:rFonts w:hint="eastAsia" w:ascii="宋体" w:hAnsi="宋体" w:eastAsia="宋体" w:cs="宋体"/>
          <w:b/>
          <w:bCs/>
          <w:color w:val="auto"/>
          <w:kern w:val="2"/>
          <w:sz w:val="28"/>
          <w:szCs w:val="28"/>
          <w:highlight w:val="none"/>
          <w:lang w:val="en-US" w:eastAsia="zh-CN" w:bidi="ar-SA"/>
        </w:rPr>
        <w:t>新疆信实工程招标咨询服务有限公司关于</w:t>
      </w:r>
      <w:r>
        <w:rPr>
          <w:rFonts w:hint="eastAsia" w:ascii="宋体" w:hAnsi="宋体" w:cs="宋体"/>
          <w:b/>
          <w:bCs/>
          <w:sz w:val="28"/>
          <w:szCs w:val="28"/>
          <w:lang w:eastAsia="zh-CN"/>
        </w:rPr>
        <w:t>2026年莎车县英吾斯塘乡壮大村集体经济项目</w:t>
      </w:r>
      <w:r>
        <w:rPr>
          <w:rFonts w:hint="eastAsia" w:ascii="宋体" w:hAnsi="宋体" w:cs="宋体"/>
          <w:b/>
          <w:bCs/>
          <w:sz w:val="28"/>
          <w:szCs w:val="28"/>
        </w:rPr>
        <w:t>竞争性磋商公告</w:t>
      </w:r>
    </w:p>
    <w:p w14:paraId="7C6AC6F2">
      <w:pPr>
        <w:pBdr>
          <w:top w:val="single" w:color="auto" w:sz="4" w:space="1"/>
          <w:left w:val="single" w:color="auto" w:sz="4" w:space="4"/>
          <w:bottom w:val="single" w:color="auto" w:sz="4" w:space="1"/>
          <w:right w:val="single" w:color="auto" w:sz="4" w:space="4"/>
        </w:pBdr>
        <w:spacing w:line="360" w:lineRule="auto"/>
        <w:rPr>
          <w:rFonts w:hint="eastAsia" w:ascii="宋体" w:hAnsi="宋体" w:cs="宋体"/>
          <w:sz w:val="24"/>
        </w:rPr>
      </w:pPr>
      <w:r>
        <w:rPr>
          <w:rFonts w:hint="eastAsia" w:ascii="宋体" w:hAnsi="宋体" w:cs="宋体"/>
          <w:sz w:val="24"/>
        </w:rPr>
        <w:t>项目概况</w:t>
      </w:r>
    </w:p>
    <w:p w14:paraId="2F13BF05">
      <w:pPr>
        <w:pBdr>
          <w:top w:val="single" w:color="auto" w:sz="4" w:space="1"/>
          <w:left w:val="single" w:color="auto" w:sz="4" w:space="4"/>
          <w:bottom w:val="single" w:color="auto" w:sz="4" w:space="1"/>
          <w:right w:val="single" w:color="auto" w:sz="4" w:space="4"/>
        </w:pBdr>
        <w:wordWrap w:val="0"/>
        <w:spacing w:line="360" w:lineRule="auto"/>
        <w:ind w:firstLine="480" w:firstLineChars="200"/>
        <w:rPr>
          <w:rFonts w:hint="eastAsia" w:ascii="宋体" w:hAnsi="宋体" w:cs="宋体"/>
          <w:sz w:val="24"/>
          <w:highlight w:val="none"/>
        </w:rPr>
      </w:pPr>
      <w:r>
        <w:rPr>
          <w:rFonts w:hint="eastAsia" w:ascii="宋体" w:hAnsi="宋体" w:cs="宋体"/>
          <w:sz w:val="24"/>
          <w:u w:val="single"/>
          <w:lang w:eastAsia="zh-CN"/>
        </w:rPr>
        <w:t>2026年莎车县英吾斯塘乡壮大村集体经济项目</w:t>
      </w:r>
      <w:r>
        <w:rPr>
          <w:rFonts w:hint="eastAsia" w:ascii="宋体" w:hAnsi="宋体" w:cs="宋体"/>
          <w:sz w:val="24"/>
        </w:rPr>
        <w:t>的潜在供应商应在</w:t>
      </w:r>
      <w:r>
        <w:rPr>
          <w:rFonts w:hint="eastAsia" w:ascii="宋体" w:hAnsi="宋体" w:cs="宋体"/>
          <w:sz w:val="24"/>
          <w:u w:val="single"/>
        </w:rPr>
        <w:t>政采云平台（</w:t>
      </w:r>
      <w:r>
        <w:rPr>
          <w:rFonts w:hint="eastAsia" w:ascii="宋体" w:hAnsi="宋体" w:cs="宋体"/>
          <w:sz w:val="24"/>
          <w:highlight w:val="none"/>
          <w:u w:val="single"/>
        </w:rPr>
        <w:t>https://login.zcygov.cn/user-login/#/login）</w:t>
      </w:r>
      <w:r>
        <w:rPr>
          <w:rFonts w:hint="eastAsia" w:ascii="宋体" w:hAnsi="宋体" w:cs="宋体"/>
          <w:sz w:val="24"/>
          <w:highlight w:val="none"/>
        </w:rPr>
        <w:t>获取磋商文件，并于</w:t>
      </w:r>
      <w:r>
        <w:rPr>
          <w:rFonts w:hint="eastAsia" w:ascii="宋体" w:hAnsi="宋体" w:cs="宋体"/>
          <w:sz w:val="24"/>
          <w:highlight w:val="none"/>
          <w:u w:val="single"/>
          <w:lang w:eastAsia="zh-CN"/>
        </w:rPr>
        <w:t>2026年5月28日11:00（北京时间）</w:t>
      </w:r>
      <w:r>
        <w:rPr>
          <w:rFonts w:hint="eastAsia" w:ascii="宋体" w:hAnsi="宋体" w:cs="宋体"/>
          <w:sz w:val="24"/>
          <w:highlight w:val="none"/>
        </w:rPr>
        <w:t>前递交</w:t>
      </w:r>
      <w:r>
        <w:rPr>
          <w:rFonts w:hint="eastAsia" w:ascii="宋体" w:hAnsi="宋体" w:cs="宋体"/>
          <w:bCs/>
          <w:sz w:val="24"/>
          <w:highlight w:val="none"/>
        </w:rPr>
        <w:t>响应文件</w:t>
      </w:r>
      <w:r>
        <w:rPr>
          <w:rFonts w:hint="eastAsia" w:ascii="宋体" w:hAnsi="宋体" w:cs="宋体"/>
          <w:sz w:val="24"/>
          <w:highlight w:val="none"/>
        </w:rPr>
        <w:t>。</w:t>
      </w:r>
    </w:p>
    <w:p w14:paraId="0E71DA95">
      <w:pPr>
        <w:spacing w:line="360" w:lineRule="auto"/>
        <w:jc w:val="left"/>
        <w:rPr>
          <w:rFonts w:hint="eastAsia" w:ascii="宋体" w:hAnsi="宋体" w:cs="宋体"/>
          <w:b/>
          <w:bCs/>
          <w:kern w:val="0"/>
          <w:sz w:val="24"/>
          <w:highlight w:val="none"/>
        </w:rPr>
      </w:pPr>
      <w:bookmarkStart w:id="4" w:name="_Toc8264"/>
      <w:bookmarkEnd w:id="4"/>
      <w:bookmarkStart w:id="5" w:name="_Toc35393798"/>
      <w:bookmarkEnd w:id="5"/>
      <w:bookmarkStart w:id="6" w:name="_Toc29182"/>
      <w:bookmarkEnd w:id="6"/>
      <w:bookmarkStart w:id="7" w:name="_Toc28359089"/>
      <w:bookmarkEnd w:id="7"/>
      <w:bookmarkStart w:id="8" w:name="_Toc28359012"/>
      <w:bookmarkEnd w:id="8"/>
      <w:bookmarkStart w:id="9" w:name="_Toc35393629"/>
      <w:bookmarkEnd w:id="9"/>
      <w:r>
        <w:rPr>
          <w:rFonts w:hint="eastAsia" w:ascii="宋体" w:hAnsi="宋体" w:cs="宋体"/>
          <w:b/>
          <w:bCs/>
          <w:kern w:val="0"/>
          <w:sz w:val="24"/>
          <w:highlight w:val="none"/>
        </w:rPr>
        <w:t>一、项目基本情况</w:t>
      </w:r>
    </w:p>
    <w:p w14:paraId="11337A19">
      <w:pPr>
        <w:spacing w:line="360" w:lineRule="auto"/>
        <w:ind w:firstLine="480" w:firstLineChars="200"/>
        <w:jc w:val="left"/>
        <w:rPr>
          <w:rFonts w:hint="eastAsia" w:ascii="宋体" w:hAnsi="宋体" w:cs="宋体"/>
          <w:sz w:val="24"/>
          <w:highlight w:val="none"/>
        </w:rPr>
      </w:pPr>
      <w:bookmarkStart w:id="10" w:name="_Toc12963"/>
      <w:bookmarkEnd w:id="10"/>
      <w:bookmarkStart w:id="11" w:name="_Toc35393799"/>
      <w:bookmarkEnd w:id="11"/>
      <w:bookmarkStart w:id="12" w:name="_Toc28359090"/>
      <w:bookmarkEnd w:id="12"/>
      <w:bookmarkStart w:id="13" w:name="_Toc35393630"/>
      <w:bookmarkEnd w:id="13"/>
      <w:bookmarkStart w:id="14" w:name="_Toc28359013"/>
      <w:bookmarkEnd w:id="14"/>
      <w:r>
        <w:rPr>
          <w:rFonts w:hint="eastAsia" w:ascii="宋体" w:hAnsi="宋体" w:cs="宋体"/>
          <w:sz w:val="24"/>
          <w:highlight w:val="none"/>
        </w:rPr>
        <w:t>项目编号：XS2026（CS）-016</w:t>
      </w:r>
    </w:p>
    <w:p w14:paraId="2A985C9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项目名称：</w:t>
      </w:r>
      <w:r>
        <w:rPr>
          <w:rFonts w:hint="eastAsia" w:ascii="宋体" w:hAnsi="宋体" w:cs="宋体"/>
          <w:sz w:val="24"/>
          <w:highlight w:val="none"/>
          <w:lang w:eastAsia="zh-CN"/>
        </w:rPr>
        <w:t>2026年莎车县英吾斯塘乡壮大村集体经济项目</w:t>
      </w:r>
      <w:r>
        <w:rPr>
          <w:rFonts w:hint="eastAsia" w:ascii="宋体" w:hAnsi="宋体" w:cs="宋体"/>
          <w:sz w:val="24"/>
          <w:highlight w:val="none"/>
        </w:rPr>
        <w:t xml:space="preserve"> </w:t>
      </w:r>
    </w:p>
    <w:p w14:paraId="2D1AAACA">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采购方式：竞争性磋商 </w:t>
      </w:r>
    </w:p>
    <w:p w14:paraId="0FB3C8E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预算金额（元）：</w:t>
      </w:r>
      <w:r>
        <w:rPr>
          <w:rFonts w:hint="eastAsia" w:ascii="宋体" w:hAnsi="宋体" w:cs="宋体"/>
          <w:sz w:val="24"/>
          <w:highlight w:val="none"/>
          <w:lang w:val="en-US" w:eastAsia="zh-CN"/>
        </w:rPr>
        <w:t>890603.54</w:t>
      </w:r>
      <w:r>
        <w:rPr>
          <w:rFonts w:hint="eastAsia" w:ascii="宋体" w:hAnsi="宋体" w:cs="宋体"/>
          <w:sz w:val="24"/>
          <w:highlight w:val="none"/>
        </w:rPr>
        <w:t xml:space="preserve"> </w:t>
      </w:r>
    </w:p>
    <w:p w14:paraId="4C7CE75B">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最高限价（元）：</w:t>
      </w:r>
      <w:r>
        <w:rPr>
          <w:rFonts w:hint="eastAsia" w:ascii="宋体" w:hAnsi="宋体" w:cs="宋体"/>
          <w:sz w:val="24"/>
          <w:highlight w:val="none"/>
          <w:lang w:val="en-US" w:eastAsia="zh-CN"/>
        </w:rPr>
        <w:t>890603.54</w:t>
      </w:r>
      <w:r>
        <w:rPr>
          <w:rFonts w:hint="eastAsia" w:ascii="宋体" w:hAnsi="宋体" w:cs="宋体"/>
          <w:sz w:val="24"/>
          <w:highlight w:val="none"/>
        </w:rPr>
        <w:t xml:space="preserve"> </w:t>
      </w:r>
    </w:p>
    <w:p w14:paraId="141AA7F2">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采购需求：</w:t>
      </w:r>
    </w:p>
    <w:p w14:paraId="7A035ED9">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highlight w:val="none"/>
        </w:rPr>
        <w:t>标项名称：</w:t>
      </w:r>
      <w:r>
        <w:rPr>
          <w:rFonts w:hint="eastAsia" w:ascii="宋体" w:hAnsi="宋体" w:cs="宋体"/>
          <w:sz w:val="24"/>
          <w:highlight w:val="none"/>
          <w:lang w:eastAsia="zh-CN"/>
        </w:rPr>
        <w:t>2026年莎车县英吾斯塘乡壮大村集体经济项目</w:t>
      </w:r>
    </w:p>
    <w:p w14:paraId="3452FA4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数量：1     </w:t>
      </w:r>
    </w:p>
    <w:p w14:paraId="023524E3">
      <w:p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预算金额（元）：</w:t>
      </w:r>
      <w:r>
        <w:rPr>
          <w:rFonts w:hint="eastAsia" w:ascii="宋体" w:hAnsi="宋体" w:cs="宋体"/>
          <w:sz w:val="24"/>
          <w:highlight w:val="none"/>
          <w:lang w:val="en-US" w:eastAsia="zh-CN"/>
        </w:rPr>
        <w:t>890603.54</w:t>
      </w:r>
    </w:p>
    <w:p w14:paraId="67A29189">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 xml:space="preserve">单位：项 </w:t>
      </w:r>
    </w:p>
    <w:p w14:paraId="2EC3E2E6">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简要规格描述：新建450平方米钢结构厂房1座，并配套水电暖、消防设施。（</w:t>
      </w:r>
      <w:r>
        <w:rPr>
          <w:rFonts w:hint="eastAsia" w:ascii="宋体" w:hAnsi="宋体" w:cs="宋体"/>
          <w:sz w:val="24"/>
          <w:highlight w:val="none"/>
          <w:lang w:eastAsia="zh-CN"/>
        </w:rPr>
        <w:t>具体内容详见</w:t>
      </w:r>
      <w:r>
        <w:rPr>
          <w:rFonts w:hint="eastAsia" w:ascii="宋体" w:hAnsi="宋体" w:cs="宋体"/>
          <w:sz w:val="24"/>
          <w:highlight w:val="none"/>
        </w:rPr>
        <w:t xml:space="preserve">工程量清单) </w:t>
      </w:r>
    </w:p>
    <w:p w14:paraId="7F637238">
      <w:pPr>
        <w:spacing w:line="360" w:lineRule="auto"/>
        <w:ind w:firstLine="480" w:firstLineChars="200"/>
        <w:jc w:val="left"/>
        <w:rPr>
          <w:rFonts w:hint="eastAsia" w:ascii="宋体" w:hAnsi="宋体" w:cs="宋体"/>
          <w:sz w:val="24"/>
          <w:highlight w:val="yellow"/>
        </w:rPr>
      </w:pPr>
      <w:r>
        <w:rPr>
          <w:rFonts w:hint="eastAsia" w:ascii="宋体" w:hAnsi="宋体" w:cs="宋体"/>
          <w:sz w:val="24"/>
          <w:highlight w:val="none"/>
        </w:rPr>
        <w:t>备注：本项目工程量清单、施工图纸范围内的全部工作内容</w:t>
      </w:r>
    </w:p>
    <w:p w14:paraId="5BFA4A37">
      <w:pPr>
        <w:spacing w:line="360" w:lineRule="auto"/>
        <w:ind w:firstLine="480" w:firstLineChars="200"/>
        <w:jc w:val="left"/>
        <w:rPr>
          <w:rFonts w:hint="eastAsia" w:ascii="宋体" w:hAnsi="宋体" w:cs="宋体"/>
          <w:sz w:val="24"/>
        </w:rPr>
      </w:pPr>
      <w:r>
        <w:rPr>
          <w:rFonts w:hint="eastAsia" w:ascii="宋体" w:hAnsi="宋体" w:cs="宋体"/>
          <w:sz w:val="24"/>
          <w:highlight w:val="none"/>
        </w:rPr>
        <w:t>合同履约期限：详见磋商文件</w:t>
      </w:r>
      <w:r>
        <w:rPr>
          <w:rFonts w:hint="eastAsia" w:ascii="宋体" w:hAnsi="宋体" w:cs="宋体"/>
          <w:sz w:val="24"/>
        </w:rPr>
        <w:t xml:space="preserve">  </w:t>
      </w:r>
    </w:p>
    <w:p w14:paraId="7F4679BD">
      <w:pPr>
        <w:spacing w:line="360" w:lineRule="auto"/>
        <w:ind w:firstLine="480" w:firstLineChars="200"/>
        <w:jc w:val="left"/>
        <w:rPr>
          <w:rFonts w:hint="eastAsia" w:ascii="宋体" w:hAnsi="宋体" w:cs="宋体"/>
          <w:sz w:val="24"/>
        </w:rPr>
      </w:pPr>
      <w:r>
        <w:rPr>
          <w:rFonts w:hint="eastAsia" w:ascii="宋体" w:hAnsi="宋体" w:cs="宋体"/>
          <w:sz w:val="24"/>
        </w:rPr>
        <w:t>本项目（否）接受联合体投标。</w:t>
      </w:r>
    </w:p>
    <w:p w14:paraId="778E1018">
      <w:pPr>
        <w:spacing w:line="360" w:lineRule="auto"/>
        <w:jc w:val="left"/>
        <w:rPr>
          <w:rFonts w:hint="eastAsia" w:ascii="宋体" w:hAnsi="宋体" w:cs="宋体"/>
          <w:b/>
          <w:bCs/>
          <w:kern w:val="0"/>
          <w:sz w:val="24"/>
        </w:rPr>
      </w:pPr>
      <w:r>
        <w:rPr>
          <w:rFonts w:hint="eastAsia" w:ascii="宋体" w:hAnsi="宋体" w:cs="宋体"/>
          <w:b/>
          <w:bCs/>
          <w:kern w:val="0"/>
          <w:sz w:val="24"/>
        </w:rPr>
        <w:t>二、申请人的资格要求：</w:t>
      </w:r>
    </w:p>
    <w:p w14:paraId="277A33CC">
      <w:pPr>
        <w:spacing w:line="360" w:lineRule="auto"/>
        <w:ind w:firstLine="480" w:firstLineChars="200"/>
        <w:jc w:val="left"/>
        <w:rPr>
          <w:rFonts w:hint="eastAsia" w:ascii="宋体" w:hAnsi="宋体" w:cs="宋体"/>
          <w:sz w:val="24"/>
        </w:rPr>
      </w:pPr>
      <w:bookmarkStart w:id="15" w:name="_Toc35393800"/>
      <w:bookmarkStart w:id="16" w:name="_Toc28359014"/>
      <w:bookmarkStart w:id="17" w:name="_Toc35393631"/>
      <w:bookmarkStart w:id="18" w:name="_Toc28359091"/>
      <w:r>
        <w:rPr>
          <w:rFonts w:hint="eastAsia" w:ascii="宋体" w:hAnsi="宋体" w:cs="宋体"/>
          <w:sz w:val="24"/>
        </w:rPr>
        <w:t xml:space="preserve"> 1.满足《中华人民共和国政府采购法》第二十二条规定：</w:t>
      </w:r>
    </w:p>
    <w:p w14:paraId="4BD2EBF4">
      <w:pPr>
        <w:spacing w:line="360" w:lineRule="auto"/>
        <w:ind w:firstLine="480" w:firstLineChars="200"/>
        <w:jc w:val="left"/>
        <w:rPr>
          <w:rFonts w:hint="eastAsia" w:ascii="宋体" w:hAnsi="宋体" w:eastAsia="宋体" w:cs="宋体"/>
          <w:sz w:val="24"/>
          <w:highlight w:val="none"/>
          <w:lang w:eastAsia="zh-CN"/>
        </w:rPr>
      </w:pPr>
      <w:r>
        <w:rPr>
          <w:rFonts w:hint="eastAsia" w:ascii="宋体" w:hAnsi="宋体" w:cs="宋体"/>
          <w:sz w:val="24"/>
        </w:rPr>
        <w:t xml:space="preserve"> 2.落实政府采购政策需满足的资格要求：</w:t>
      </w:r>
      <w:r>
        <w:rPr>
          <w:rFonts w:hint="eastAsia" w:ascii="宋体" w:hAnsi="宋体" w:cs="宋体"/>
          <w:sz w:val="24"/>
          <w:highlight w:val="none"/>
        </w:rPr>
        <w:t>本项目专门面向中小企业</w:t>
      </w:r>
      <w:r>
        <w:rPr>
          <w:rFonts w:hint="eastAsia" w:ascii="宋体" w:hAnsi="宋体" w:cs="宋体"/>
          <w:sz w:val="24"/>
          <w:highlight w:val="none"/>
          <w:lang w:val="en-US" w:eastAsia="zh-CN"/>
        </w:rPr>
        <w:t>。</w:t>
      </w:r>
    </w:p>
    <w:p w14:paraId="244ABAD4">
      <w:pPr>
        <w:pStyle w:val="12"/>
        <w:spacing w:line="360" w:lineRule="auto"/>
        <w:ind w:firstLine="480" w:firstLineChars="200"/>
        <w:jc w:val="left"/>
        <w:rPr>
          <w:rFonts w:hint="eastAsia" w:hAnsi="宋体" w:cs="宋体"/>
          <w:sz w:val="24"/>
          <w:szCs w:val="24"/>
          <w:highlight w:val="none"/>
        </w:rPr>
      </w:pPr>
      <w:r>
        <w:rPr>
          <w:rFonts w:hint="eastAsia" w:hAnsi="宋体" w:cs="宋体"/>
          <w:sz w:val="24"/>
          <w:szCs w:val="24"/>
          <w:highlight w:val="none"/>
        </w:rPr>
        <w:t xml:space="preserve"> 3.本项目的特定资格要求</w:t>
      </w:r>
      <w:r>
        <w:rPr>
          <w:rFonts w:hint="eastAsia" w:hAnsi="宋体" w:cs="宋体"/>
          <w:sz w:val="24"/>
          <w:szCs w:val="24"/>
          <w:highlight w:val="none"/>
          <w:lang w:eastAsia="zh-CN"/>
        </w:rPr>
        <w:t>：【</w:t>
      </w:r>
      <w:r>
        <w:rPr>
          <w:rFonts w:hint="eastAsia" w:hAnsi="宋体" w:cs="宋体"/>
          <w:sz w:val="24"/>
          <w:szCs w:val="24"/>
          <w:highlight w:val="none"/>
          <w:lang w:val="en-US" w:eastAsia="zh-CN"/>
        </w:rPr>
        <w:t>1</w:t>
      </w:r>
      <w:r>
        <w:rPr>
          <w:rFonts w:hint="eastAsia" w:hAnsi="宋体" w:cs="宋体"/>
          <w:sz w:val="24"/>
          <w:szCs w:val="24"/>
          <w:highlight w:val="none"/>
          <w:lang w:eastAsia="zh-CN"/>
        </w:rPr>
        <w:t>】所投</w:t>
      </w:r>
      <w:r>
        <w:rPr>
          <w:rFonts w:hint="eastAsia" w:hAnsi="宋体" w:cs="宋体"/>
          <w:sz w:val="24"/>
          <w:szCs w:val="24"/>
          <w:highlight w:val="none"/>
        </w:rPr>
        <w:t>供应商须具备建筑工程施工总承包</w:t>
      </w:r>
      <w:r>
        <w:rPr>
          <w:rFonts w:hint="eastAsia" w:hAnsi="宋体" w:cs="宋体"/>
          <w:sz w:val="24"/>
          <w:szCs w:val="24"/>
          <w:highlight w:val="none"/>
          <w:lang w:eastAsia="zh-CN"/>
        </w:rPr>
        <w:t>二</w:t>
      </w:r>
      <w:r>
        <w:rPr>
          <w:rFonts w:hint="eastAsia" w:hAnsi="宋体" w:cs="宋体"/>
          <w:sz w:val="24"/>
          <w:szCs w:val="24"/>
          <w:highlight w:val="none"/>
        </w:rPr>
        <w:t>级及以上资质</w:t>
      </w:r>
      <w:r>
        <w:rPr>
          <w:rFonts w:hint="eastAsia" w:hAnsi="宋体" w:cs="宋体"/>
          <w:sz w:val="24"/>
          <w:szCs w:val="24"/>
          <w:highlight w:val="none"/>
          <w:lang w:eastAsia="zh-CN"/>
        </w:rPr>
        <w:t>，还</w:t>
      </w:r>
      <w:r>
        <w:rPr>
          <w:rFonts w:hint="eastAsia" w:hAnsi="宋体" w:cs="宋体"/>
          <w:sz w:val="24"/>
          <w:szCs w:val="24"/>
          <w:highlight w:val="none"/>
        </w:rPr>
        <w:t>须具备有效的安全生产许可证（所有证件均应在有效期内）；</w:t>
      </w:r>
    </w:p>
    <w:p w14:paraId="31F0EB13">
      <w:pPr>
        <w:pStyle w:val="12"/>
        <w:spacing w:line="360" w:lineRule="auto"/>
        <w:ind w:firstLine="480" w:firstLineChars="200"/>
        <w:jc w:val="left"/>
        <w:rPr>
          <w:rFonts w:hint="eastAsia" w:hAnsi="宋体" w:eastAsia="宋体" w:cs="宋体"/>
          <w:sz w:val="24"/>
          <w:szCs w:val="24"/>
          <w:highlight w:val="none"/>
          <w:lang w:eastAsia="zh-CN"/>
        </w:rPr>
      </w:pPr>
      <w:r>
        <w:rPr>
          <w:rFonts w:hint="eastAsia" w:hAnsi="宋体" w:cs="宋体"/>
          <w:sz w:val="24"/>
          <w:szCs w:val="24"/>
          <w:highlight w:val="none"/>
          <w:lang w:eastAsia="zh-CN"/>
        </w:rPr>
        <w:t>【</w:t>
      </w:r>
      <w:r>
        <w:rPr>
          <w:rFonts w:hint="eastAsia" w:hAnsi="宋体" w:cs="宋体"/>
          <w:sz w:val="24"/>
          <w:szCs w:val="24"/>
          <w:highlight w:val="none"/>
          <w:lang w:val="en-US" w:eastAsia="zh-CN"/>
        </w:rPr>
        <w:t>2</w:t>
      </w:r>
      <w:r>
        <w:rPr>
          <w:rFonts w:hint="eastAsia" w:hAnsi="宋体" w:cs="宋体"/>
          <w:sz w:val="24"/>
          <w:szCs w:val="24"/>
          <w:highlight w:val="none"/>
          <w:lang w:eastAsia="zh-CN"/>
        </w:rPr>
        <w:t>】</w:t>
      </w:r>
      <w:r>
        <w:rPr>
          <w:rFonts w:hint="eastAsia" w:hAnsi="宋体" w:cs="宋体"/>
          <w:sz w:val="24"/>
          <w:szCs w:val="24"/>
          <w:highlight w:val="none"/>
        </w:rPr>
        <w:t>项目经理须具备建筑工程专业贰级及以上注册建造师证书和有效的安全生产考核合格证书（B证），且未担任其他在建工程项目的项目经理（所有证件均应在有效期内）。</w:t>
      </w:r>
    </w:p>
    <w:p w14:paraId="40DDF0ED">
      <w:pPr>
        <w:spacing w:line="360" w:lineRule="auto"/>
        <w:jc w:val="left"/>
        <w:rPr>
          <w:rFonts w:hint="eastAsia" w:ascii="宋体" w:hAnsi="宋体" w:cs="宋体"/>
          <w:b/>
          <w:bCs/>
          <w:kern w:val="0"/>
          <w:sz w:val="24"/>
        </w:rPr>
      </w:pPr>
      <w:r>
        <w:rPr>
          <w:rFonts w:hint="eastAsia" w:ascii="宋体" w:hAnsi="宋体" w:cs="宋体"/>
          <w:b/>
          <w:bCs/>
          <w:kern w:val="0"/>
          <w:sz w:val="24"/>
        </w:rPr>
        <w:t>三、获取采购文件</w:t>
      </w:r>
    </w:p>
    <w:p w14:paraId="7F50ABAB">
      <w:pPr>
        <w:spacing w:line="360" w:lineRule="auto"/>
        <w:ind w:firstLine="480" w:firstLineChars="200"/>
        <w:jc w:val="left"/>
        <w:rPr>
          <w:rFonts w:hint="eastAsia" w:ascii="宋体" w:hAnsi="宋体" w:cs="宋体"/>
          <w:sz w:val="24"/>
          <w:highlight w:val="none"/>
        </w:rPr>
      </w:pPr>
      <w:r>
        <w:rPr>
          <w:rFonts w:hint="eastAsia" w:ascii="宋体" w:hAnsi="宋体" w:cs="宋体"/>
          <w:sz w:val="24"/>
        </w:rPr>
        <w:t>时</w:t>
      </w:r>
      <w:r>
        <w:rPr>
          <w:rFonts w:hint="eastAsia" w:ascii="宋体" w:hAnsi="宋体" w:cs="宋体"/>
          <w:sz w:val="24"/>
          <w:highlight w:val="none"/>
        </w:rPr>
        <w:t>间：202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18</w:t>
      </w:r>
      <w:r>
        <w:rPr>
          <w:rFonts w:hint="eastAsia" w:ascii="宋体" w:hAnsi="宋体" w:cs="宋体"/>
          <w:sz w:val="24"/>
          <w:highlight w:val="none"/>
        </w:rPr>
        <w:t>日至202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25</w:t>
      </w:r>
      <w:r>
        <w:rPr>
          <w:rFonts w:hint="eastAsia" w:ascii="宋体" w:hAnsi="宋体" w:cs="宋体"/>
          <w:sz w:val="24"/>
          <w:highlight w:val="none"/>
        </w:rPr>
        <w:t>日，每天上午</w:t>
      </w:r>
      <w:r>
        <w:rPr>
          <w:rFonts w:hint="eastAsia" w:ascii="宋体" w:hAnsi="宋体" w:cs="宋体"/>
          <w:sz w:val="24"/>
          <w:highlight w:val="none"/>
          <w:lang w:val="en-US" w:eastAsia="zh-CN"/>
        </w:rPr>
        <w:t>00</w:t>
      </w:r>
      <w:r>
        <w:rPr>
          <w:rFonts w:hint="eastAsia" w:ascii="宋体" w:hAnsi="宋体" w:cs="宋体"/>
          <w:sz w:val="24"/>
          <w:highlight w:val="none"/>
        </w:rPr>
        <w:t>:00至14:00，下午1</w:t>
      </w:r>
      <w:r>
        <w:rPr>
          <w:rFonts w:hint="eastAsia" w:ascii="宋体" w:hAnsi="宋体" w:cs="宋体"/>
          <w:sz w:val="24"/>
          <w:highlight w:val="none"/>
          <w:lang w:val="en-US" w:eastAsia="zh-CN"/>
        </w:rPr>
        <w:t>4</w:t>
      </w:r>
      <w:r>
        <w:rPr>
          <w:rFonts w:hint="eastAsia" w:ascii="宋体" w:hAnsi="宋体" w:cs="宋体"/>
          <w:sz w:val="24"/>
          <w:highlight w:val="none"/>
        </w:rPr>
        <w:t>:</w:t>
      </w:r>
      <w:r>
        <w:rPr>
          <w:rFonts w:hint="eastAsia" w:ascii="宋体" w:hAnsi="宋体" w:cs="宋体"/>
          <w:sz w:val="24"/>
          <w:highlight w:val="none"/>
          <w:lang w:val="en-US" w:eastAsia="zh-CN"/>
        </w:rPr>
        <w:t>0</w:t>
      </w:r>
      <w:r>
        <w:rPr>
          <w:rFonts w:hint="eastAsia" w:ascii="宋体" w:hAnsi="宋体" w:cs="宋体"/>
          <w:sz w:val="24"/>
          <w:highlight w:val="none"/>
        </w:rPr>
        <w:t>0至</w:t>
      </w:r>
      <w:r>
        <w:rPr>
          <w:rFonts w:hint="eastAsia" w:ascii="宋体" w:hAnsi="宋体" w:cs="宋体"/>
          <w:sz w:val="24"/>
          <w:highlight w:val="none"/>
          <w:lang w:val="en-US" w:eastAsia="zh-CN"/>
        </w:rPr>
        <w:t>23</w:t>
      </w:r>
      <w:r>
        <w:rPr>
          <w:rFonts w:hint="eastAsia" w:ascii="宋体" w:hAnsi="宋体" w:cs="宋体"/>
          <w:sz w:val="24"/>
          <w:highlight w:val="none"/>
        </w:rPr>
        <w:t>:</w:t>
      </w:r>
      <w:r>
        <w:rPr>
          <w:rFonts w:hint="eastAsia" w:ascii="宋体" w:hAnsi="宋体" w:cs="宋体"/>
          <w:sz w:val="24"/>
          <w:highlight w:val="none"/>
          <w:lang w:val="en-US" w:eastAsia="zh-CN"/>
        </w:rPr>
        <w:t>59</w:t>
      </w:r>
      <w:r>
        <w:rPr>
          <w:rFonts w:hint="eastAsia" w:ascii="宋体" w:hAnsi="宋体" w:cs="宋体"/>
          <w:sz w:val="24"/>
          <w:highlight w:val="none"/>
        </w:rPr>
        <w:t>（北京时间，法定节假日除外）</w:t>
      </w:r>
    </w:p>
    <w:p w14:paraId="3B999177">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地点：政采云平台（https://login.zcygov.cn/user-login/#/login） </w:t>
      </w:r>
    </w:p>
    <w:p w14:paraId="29FC0BEC">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方式：供应商登录政采云平台https://www.zcygov.cn/在线申请获取采购文件（进入“项目采购”应用，在获取采购文件菜单中选择项目，申请获取采购文件），或者点击采购公告底部潜在供应商“获取采购文件”，页面跳转后登陆，直接获取采购文件。</w:t>
      </w:r>
    </w:p>
    <w:p w14:paraId="339613F3">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售价：0元</w:t>
      </w:r>
    </w:p>
    <w:bookmarkEnd w:id="15"/>
    <w:bookmarkEnd w:id="16"/>
    <w:bookmarkEnd w:id="17"/>
    <w:bookmarkEnd w:id="18"/>
    <w:p w14:paraId="1CD5FF4A">
      <w:pPr>
        <w:spacing w:line="360" w:lineRule="auto"/>
        <w:jc w:val="left"/>
        <w:rPr>
          <w:rFonts w:hint="eastAsia" w:ascii="宋体" w:hAnsi="宋体" w:cs="宋体"/>
          <w:b/>
          <w:bCs/>
          <w:kern w:val="0"/>
          <w:sz w:val="24"/>
          <w:highlight w:val="none"/>
        </w:rPr>
      </w:pPr>
      <w:bookmarkStart w:id="19" w:name="_Toc35393801"/>
      <w:bookmarkEnd w:id="19"/>
      <w:bookmarkStart w:id="20" w:name="_Toc28359015"/>
      <w:bookmarkEnd w:id="20"/>
      <w:bookmarkStart w:id="21" w:name="_Toc28359092"/>
      <w:bookmarkEnd w:id="21"/>
      <w:bookmarkStart w:id="22" w:name="_Toc35393632"/>
      <w:bookmarkEnd w:id="22"/>
      <w:r>
        <w:rPr>
          <w:rFonts w:hint="eastAsia" w:ascii="宋体" w:hAnsi="宋体" w:cs="宋体"/>
          <w:b/>
          <w:bCs/>
          <w:kern w:val="0"/>
          <w:sz w:val="24"/>
          <w:highlight w:val="none"/>
        </w:rPr>
        <w:t>四、响应文件提交</w:t>
      </w:r>
    </w:p>
    <w:p w14:paraId="6BBC33B6">
      <w:pPr>
        <w:spacing w:line="360" w:lineRule="auto"/>
        <w:ind w:firstLine="480" w:firstLineChars="200"/>
        <w:jc w:val="left"/>
        <w:rPr>
          <w:rFonts w:hint="eastAsia" w:ascii="宋体" w:hAnsi="宋体" w:cs="宋体"/>
          <w:sz w:val="24"/>
          <w:highlight w:val="yellow"/>
        </w:rPr>
      </w:pPr>
      <w:bookmarkStart w:id="23" w:name="_Toc28359016"/>
      <w:bookmarkStart w:id="24" w:name="_Toc35393802"/>
      <w:bookmarkStart w:id="25" w:name="_Toc28359093"/>
      <w:bookmarkStart w:id="26" w:name="_Toc35393633"/>
      <w:r>
        <w:rPr>
          <w:rFonts w:hint="eastAsia" w:ascii="宋体" w:hAnsi="宋体" w:cs="宋体"/>
          <w:sz w:val="24"/>
          <w:highlight w:val="none"/>
        </w:rPr>
        <w:t>截止时间：</w:t>
      </w:r>
      <w:r>
        <w:rPr>
          <w:rFonts w:hint="eastAsia" w:ascii="宋体" w:hAnsi="宋体" w:cs="宋体"/>
          <w:sz w:val="24"/>
          <w:highlight w:val="none"/>
          <w:lang w:eastAsia="zh-CN"/>
        </w:rPr>
        <w:t>2026年5月28日11:00（北京时间）</w:t>
      </w:r>
    </w:p>
    <w:p w14:paraId="25005E90">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地点：请登录政采云投标客户端投标</w:t>
      </w:r>
    </w:p>
    <w:bookmarkEnd w:id="23"/>
    <w:bookmarkEnd w:id="24"/>
    <w:bookmarkEnd w:id="25"/>
    <w:bookmarkEnd w:id="26"/>
    <w:p w14:paraId="556A68DC">
      <w:pPr>
        <w:spacing w:line="360" w:lineRule="auto"/>
        <w:jc w:val="left"/>
        <w:rPr>
          <w:rFonts w:hint="eastAsia" w:ascii="宋体" w:hAnsi="宋体" w:cs="宋体"/>
          <w:b/>
          <w:bCs/>
          <w:kern w:val="0"/>
          <w:sz w:val="24"/>
          <w:highlight w:val="none"/>
        </w:rPr>
      </w:pPr>
      <w:bookmarkStart w:id="27" w:name="_Toc21935"/>
      <w:bookmarkEnd w:id="27"/>
      <w:r>
        <w:rPr>
          <w:rFonts w:hint="eastAsia" w:ascii="宋体" w:hAnsi="宋体" w:cs="宋体"/>
          <w:b/>
          <w:bCs/>
          <w:kern w:val="0"/>
          <w:sz w:val="24"/>
          <w:highlight w:val="none"/>
        </w:rPr>
        <w:t>五、响应文件开启</w:t>
      </w:r>
    </w:p>
    <w:p w14:paraId="5F5E9B8E">
      <w:pPr>
        <w:spacing w:line="360" w:lineRule="auto"/>
        <w:ind w:firstLine="480" w:firstLineChars="200"/>
        <w:jc w:val="left"/>
        <w:rPr>
          <w:rFonts w:hint="eastAsia" w:ascii="宋体" w:hAnsi="宋体" w:cs="宋体"/>
          <w:sz w:val="24"/>
          <w:highlight w:val="none"/>
        </w:rPr>
      </w:pPr>
      <w:r>
        <w:rPr>
          <w:rFonts w:hint="eastAsia" w:ascii="宋体" w:hAnsi="宋体" w:cs="宋体"/>
          <w:sz w:val="24"/>
          <w:highlight w:val="none"/>
        </w:rPr>
        <w:t>开启时间：</w:t>
      </w:r>
      <w:r>
        <w:rPr>
          <w:rFonts w:hint="eastAsia" w:ascii="宋体" w:hAnsi="宋体" w:cs="宋体"/>
          <w:sz w:val="24"/>
          <w:highlight w:val="none"/>
          <w:lang w:eastAsia="zh-CN"/>
        </w:rPr>
        <w:t>2026年5月28日11:00（北京时间）</w:t>
      </w:r>
    </w:p>
    <w:p w14:paraId="0A221080">
      <w:pPr>
        <w:spacing w:line="360" w:lineRule="auto"/>
        <w:ind w:firstLine="480" w:firstLineChars="200"/>
        <w:jc w:val="left"/>
        <w:rPr>
          <w:rFonts w:hint="eastAsia" w:ascii="宋体" w:hAnsi="宋体" w:cs="宋体"/>
          <w:sz w:val="24"/>
        </w:rPr>
      </w:pPr>
      <w:r>
        <w:rPr>
          <w:rFonts w:hint="eastAsia" w:ascii="宋体" w:hAnsi="宋体" w:cs="宋体"/>
          <w:sz w:val="24"/>
          <w:highlight w:val="none"/>
        </w:rPr>
        <w:t>地点：供应商登录政采云平台https://www.zcygo</w:t>
      </w:r>
      <w:r>
        <w:rPr>
          <w:rFonts w:hint="eastAsia" w:ascii="宋体" w:hAnsi="宋体" w:cs="宋体"/>
          <w:sz w:val="24"/>
        </w:rPr>
        <w:t>v.cn/，进入“项目采购-开标评标-右边选择对应项目点击“进入项目”进入开标大厅。</w:t>
      </w:r>
    </w:p>
    <w:p w14:paraId="0EFC19E8">
      <w:pPr>
        <w:spacing w:line="360" w:lineRule="auto"/>
        <w:jc w:val="left"/>
        <w:rPr>
          <w:rFonts w:hint="eastAsia" w:ascii="宋体" w:hAnsi="宋体" w:cs="宋体"/>
          <w:b/>
          <w:bCs/>
          <w:kern w:val="0"/>
          <w:sz w:val="24"/>
        </w:rPr>
      </w:pPr>
      <w:bookmarkStart w:id="28" w:name="_Toc35393803"/>
      <w:bookmarkEnd w:id="28"/>
      <w:bookmarkStart w:id="29" w:name="_Toc28359094"/>
      <w:bookmarkEnd w:id="29"/>
      <w:bookmarkStart w:id="30" w:name="_Toc35393634"/>
      <w:bookmarkEnd w:id="30"/>
      <w:bookmarkStart w:id="31" w:name="_Toc28359017"/>
      <w:bookmarkEnd w:id="31"/>
      <w:bookmarkStart w:id="32" w:name="_Toc25583"/>
      <w:bookmarkEnd w:id="32"/>
      <w:r>
        <w:rPr>
          <w:rFonts w:hint="eastAsia" w:ascii="宋体" w:hAnsi="宋体" w:cs="宋体"/>
          <w:b/>
          <w:bCs/>
          <w:kern w:val="0"/>
          <w:sz w:val="24"/>
        </w:rPr>
        <w:t>六、公告期限</w:t>
      </w:r>
    </w:p>
    <w:p w14:paraId="545B5E39">
      <w:pPr>
        <w:spacing w:line="360" w:lineRule="auto"/>
        <w:ind w:firstLine="480" w:firstLineChars="200"/>
        <w:jc w:val="left"/>
        <w:rPr>
          <w:rFonts w:hint="eastAsia" w:ascii="宋体" w:hAnsi="宋体" w:eastAsia="宋体" w:cs="宋体"/>
          <w:sz w:val="24"/>
          <w:lang w:val="en-US" w:eastAsia="zh-CN"/>
        </w:rPr>
      </w:pPr>
      <w:r>
        <w:rPr>
          <w:rFonts w:hint="eastAsia" w:ascii="宋体" w:hAnsi="宋体" w:cs="宋体"/>
          <w:sz w:val="24"/>
        </w:rPr>
        <w:t>自本公告发布之日起5个工作日。</w:t>
      </w:r>
    </w:p>
    <w:p w14:paraId="19DC5CE1">
      <w:pPr>
        <w:numPr>
          <w:ilvl w:val="0"/>
          <w:numId w:val="2"/>
        </w:numPr>
        <w:spacing w:line="360" w:lineRule="auto"/>
        <w:jc w:val="left"/>
        <w:rPr>
          <w:rFonts w:hint="eastAsia" w:ascii="宋体" w:hAnsi="宋体" w:cs="宋体"/>
          <w:b/>
          <w:bCs/>
          <w:kern w:val="0"/>
          <w:sz w:val="24"/>
        </w:rPr>
      </w:pPr>
      <w:bookmarkStart w:id="33" w:name="_Toc23916"/>
      <w:bookmarkStart w:id="34" w:name="_Toc35393636"/>
      <w:bookmarkStart w:id="35" w:name="_Toc35393805"/>
      <w:bookmarkStart w:id="36" w:name="_Toc28359018"/>
      <w:bookmarkStart w:id="37" w:name="_Toc21330"/>
      <w:bookmarkStart w:id="38" w:name="_Toc28359095"/>
      <w:bookmarkStart w:id="39" w:name="_Toc5483"/>
      <w:bookmarkStart w:id="40" w:name="_Toc18510"/>
      <w:r>
        <w:rPr>
          <w:rFonts w:hint="eastAsia" w:ascii="宋体" w:hAnsi="宋体" w:cs="宋体"/>
          <w:b/>
          <w:bCs/>
          <w:kern w:val="0"/>
          <w:sz w:val="24"/>
        </w:rPr>
        <w:t>其他事项</w:t>
      </w:r>
    </w:p>
    <w:p w14:paraId="47124762">
      <w:pPr>
        <w:spacing w:line="360" w:lineRule="auto"/>
        <w:ind w:firstLine="480" w:firstLineChars="200"/>
        <w:jc w:val="left"/>
        <w:rPr>
          <w:rFonts w:hint="eastAsia" w:ascii="宋体" w:hAnsi="宋体" w:cs="宋体"/>
          <w:sz w:val="24"/>
        </w:rPr>
      </w:pPr>
      <w:r>
        <w:rPr>
          <w:rFonts w:hint="eastAsia" w:ascii="宋体" w:hAnsi="宋体" w:cs="宋体"/>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552C8A1F">
      <w:pPr>
        <w:spacing w:line="360" w:lineRule="auto"/>
        <w:ind w:firstLine="480" w:firstLineChars="200"/>
        <w:jc w:val="left"/>
        <w:rPr>
          <w:rFonts w:hint="eastAsia" w:ascii="宋体" w:hAnsi="宋体" w:cs="宋体"/>
          <w:sz w:val="24"/>
        </w:rPr>
      </w:pPr>
      <w:r>
        <w:rPr>
          <w:rFonts w:hint="eastAsia" w:ascii="宋体" w:hAnsi="宋体" w:cs="宋体"/>
          <w:sz w:val="24"/>
        </w:rPr>
        <w:t>2.本项目实行网上磋商，采用电子响应文件(供应商须使用CA加密设备通过政采云电子投标客户端制作响应文件)。若供应商参与磋商，自行承担磋商一切费用。</w:t>
      </w:r>
    </w:p>
    <w:p w14:paraId="73D579CA">
      <w:pPr>
        <w:spacing w:line="360" w:lineRule="auto"/>
        <w:ind w:firstLine="480" w:firstLineChars="200"/>
        <w:jc w:val="left"/>
        <w:rPr>
          <w:rFonts w:hint="eastAsia" w:ascii="宋体" w:hAnsi="宋体" w:cs="宋体"/>
          <w:sz w:val="24"/>
        </w:rPr>
      </w:pPr>
      <w:r>
        <w:rPr>
          <w:rFonts w:hint="eastAsia" w:ascii="宋体" w:hAnsi="宋体" w:cs="宋体"/>
          <w:sz w:val="24"/>
        </w:rPr>
        <w:t>3.各供应商应在磋商前应确保成为新疆政府采购网正式注册入库供应商，并完成CA数字证书申领。因未注册入库、未办理CA数字证书等原因造成无法磋商或磋商失败等后果由供应商自行承担。</w:t>
      </w:r>
    </w:p>
    <w:p w14:paraId="363C9878">
      <w:pPr>
        <w:spacing w:line="360" w:lineRule="auto"/>
        <w:ind w:firstLine="480" w:firstLineChars="200"/>
        <w:jc w:val="left"/>
        <w:rPr>
          <w:rFonts w:hint="eastAsia" w:ascii="宋体" w:hAnsi="宋体" w:cs="宋体"/>
          <w:sz w:val="24"/>
        </w:rPr>
      </w:pPr>
      <w:r>
        <w:rPr>
          <w:rFonts w:hint="eastAsia" w:ascii="宋体" w:hAnsi="宋体" w:cs="宋体"/>
          <w:sz w:val="24"/>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2191A91E">
      <w:pPr>
        <w:spacing w:line="360" w:lineRule="auto"/>
        <w:ind w:firstLine="480" w:firstLineChars="200"/>
        <w:jc w:val="left"/>
        <w:rPr>
          <w:rFonts w:hint="eastAsia" w:ascii="宋体" w:hAnsi="宋体" w:cs="宋体"/>
          <w:sz w:val="24"/>
        </w:rPr>
      </w:pPr>
      <w:r>
        <w:rPr>
          <w:rFonts w:hint="eastAsia" w:ascii="宋体" w:hAnsi="宋体" w:cs="宋体"/>
          <w:sz w:val="24"/>
        </w:rPr>
        <w:t>5.供应商在磋商时须使用制作加密电子响应文件所使用的CA锁及电脑，电脑须提前配置好浏览器（建议使用360浏览器或谷歌浏览器），以便磋商时解锁。</w:t>
      </w:r>
    </w:p>
    <w:p w14:paraId="48498DA3">
      <w:pPr>
        <w:spacing w:line="360" w:lineRule="auto"/>
        <w:ind w:firstLine="480" w:firstLineChars="200"/>
        <w:jc w:val="left"/>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磋商保证金</w:t>
      </w:r>
      <w:r>
        <w:rPr>
          <w:rFonts w:hint="eastAsia" w:ascii="宋体" w:hAnsi="宋体" w:cs="宋体"/>
          <w:sz w:val="24"/>
        </w:rPr>
        <w:t>缴纳及确认时间：凡拟参加本次采购项目的供应商，必须在磋商前将</w:t>
      </w:r>
      <w:r>
        <w:rPr>
          <w:rFonts w:hint="eastAsia" w:ascii="宋体" w:hAnsi="宋体" w:cs="宋体"/>
          <w:sz w:val="24"/>
          <w:lang w:eastAsia="zh-CN"/>
        </w:rPr>
        <w:t>磋商保证金</w:t>
      </w:r>
      <w:r>
        <w:rPr>
          <w:rFonts w:hint="eastAsia" w:ascii="宋体" w:hAnsi="宋体" w:cs="宋体"/>
          <w:sz w:val="24"/>
        </w:rPr>
        <w:t>汇入指定账户。</w:t>
      </w:r>
      <w:r>
        <w:rPr>
          <w:rFonts w:hint="eastAsia" w:ascii="宋体" w:hAnsi="宋体" w:cs="宋体"/>
          <w:sz w:val="24"/>
          <w:lang w:eastAsia="zh-CN"/>
        </w:rPr>
        <w:t>磋商保证金</w:t>
      </w:r>
      <w:r>
        <w:rPr>
          <w:rFonts w:hint="eastAsia" w:ascii="宋体" w:hAnsi="宋体" w:cs="宋体"/>
          <w:sz w:val="24"/>
        </w:rPr>
        <w:t>汇款凭证上用途栏应注明:采购项目名称+标项号+</w:t>
      </w:r>
      <w:r>
        <w:rPr>
          <w:rFonts w:hint="eastAsia" w:ascii="宋体" w:hAnsi="宋体" w:cs="宋体"/>
          <w:sz w:val="24"/>
          <w:lang w:eastAsia="zh-CN"/>
        </w:rPr>
        <w:t>磋商保证金</w:t>
      </w:r>
      <w:r>
        <w:rPr>
          <w:rFonts w:hint="eastAsia" w:ascii="宋体" w:hAnsi="宋体" w:cs="宋体"/>
          <w:sz w:val="24"/>
        </w:rPr>
        <w:t>。否则，届时其磋商将被拒绝。</w:t>
      </w:r>
    </w:p>
    <w:p w14:paraId="5A48D043">
      <w:pPr>
        <w:spacing w:line="360" w:lineRule="auto"/>
        <w:ind w:firstLine="480" w:firstLineChars="200"/>
        <w:jc w:val="left"/>
        <w:rPr>
          <w:rFonts w:hint="eastAsia" w:ascii="宋体" w:hAnsi="宋体" w:cs="宋体"/>
          <w:sz w:val="24"/>
        </w:rPr>
      </w:pPr>
      <w:r>
        <w:rPr>
          <w:rFonts w:hint="eastAsia" w:ascii="宋体" w:hAnsi="宋体" w:cs="宋体"/>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bookmarkEnd w:id="33"/>
    <w:bookmarkEnd w:id="34"/>
    <w:bookmarkEnd w:id="35"/>
    <w:bookmarkEnd w:id="36"/>
    <w:bookmarkEnd w:id="37"/>
    <w:bookmarkEnd w:id="38"/>
    <w:bookmarkEnd w:id="39"/>
    <w:bookmarkEnd w:id="40"/>
    <w:p w14:paraId="6621C054">
      <w:pPr>
        <w:spacing w:line="360" w:lineRule="auto"/>
        <w:jc w:val="left"/>
        <w:rPr>
          <w:rFonts w:hint="eastAsia" w:ascii="宋体" w:hAnsi="宋体" w:cs="宋体"/>
          <w:b/>
          <w:bCs/>
          <w:kern w:val="0"/>
          <w:sz w:val="24"/>
        </w:rPr>
      </w:pPr>
      <w:r>
        <w:rPr>
          <w:rFonts w:hint="eastAsia" w:ascii="宋体" w:hAnsi="宋体" w:cs="宋体"/>
          <w:b/>
          <w:bCs/>
          <w:kern w:val="0"/>
          <w:sz w:val="24"/>
        </w:rPr>
        <w:t>八、凡对本次采购提出询问，请按以下方式联系。</w:t>
      </w:r>
    </w:p>
    <w:p w14:paraId="24246071">
      <w:pPr>
        <w:spacing w:line="360" w:lineRule="auto"/>
        <w:ind w:firstLine="480" w:firstLineChars="200"/>
        <w:jc w:val="left"/>
        <w:rPr>
          <w:rFonts w:hint="eastAsia" w:ascii="宋体" w:hAnsi="宋体" w:cs="宋体"/>
          <w:sz w:val="24"/>
        </w:rPr>
      </w:pPr>
      <w:r>
        <w:rPr>
          <w:rFonts w:hint="eastAsia" w:ascii="宋体" w:hAnsi="宋体" w:cs="宋体"/>
          <w:sz w:val="24"/>
        </w:rPr>
        <w:t>1.采购人信息</w:t>
      </w:r>
    </w:p>
    <w:p w14:paraId="013B7713">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名 称：</w:t>
      </w:r>
      <w:r>
        <w:rPr>
          <w:rFonts w:hint="eastAsia" w:ascii="宋体" w:hAnsi="宋体" w:cs="宋体"/>
          <w:sz w:val="24"/>
          <w:lang w:eastAsia="zh-CN"/>
        </w:rPr>
        <w:t>莎车县英吾斯塘乡人民政府</w:t>
      </w:r>
    </w:p>
    <w:p w14:paraId="159A305B">
      <w:pPr>
        <w:spacing w:line="360" w:lineRule="auto"/>
        <w:ind w:firstLine="480" w:firstLineChars="200"/>
        <w:jc w:val="left"/>
        <w:rPr>
          <w:rFonts w:hint="eastAsia" w:ascii="宋体" w:hAnsi="宋体" w:eastAsia="宋体" w:cs="宋体"/>
          <w:sz w:val="24"/>
          <w:lang w:eastAsia="zh-CN"/>
        </w:rPr>
      </w:pPr>
      <w:r>
        <w:rPr>
          <w:rFonts w:hint="eastAsia" w:ascii="宋体" w:hAnsi="宋体" w:cs="宋体"/>
          <w:sz w:val="24"/>
        </w:rPr>
        <w:t>地 址：</w:t>
      </w:r>
      <w:r>
        <w:rPr>
          <w:rFonts w:hint="eastAsia" w:ascii="宋体" w:hAnsi="宋体" w:cs="宋体"/>
          <w:sz w:val="24"/>
          <w:lang w:eastAsia="zh-CN"/>
        </w:rPr>
        <w:t>莎车县英吾斯塘乡人民政府</w:t>
      </w:r>
    </w:p>
    <w:p w14:paraId="363954AB">
      <w:pPr>
        <w:spacing w:line="360" w:lineRule="auto"/>
        <w:ind w:firstLine="480" w:firstLineChars="200"/>
        <w:jc w:val="left"/>
        <w:rPr>
          <w:rFonts w:hint="default" w:ascii="宋体" w:hAnsi="宋体" w:eastAsia="宋体" w:cs="宋体"/>
          <w:sz w:val="24"/>
          <w:highlight w:val="none"/>
          <w:lang w:val="en-US" w:eastAsia="zh-CN"/>
        </w:rPr>
      </w:pPr>
      <w:r>
        <w:rPr>
          <w:rFonts w:hint="eastAsia" w:ascii="宋体" w:hAnsi="宋体" w:cs="宋体"/>
          <w:sz w:val="24"/>
          <w:highlight w:val="none"/>
        </w:rPr>
        <w:t>联系方式</w:t>
      </w:r>
      <w:r>
        <w:rPr>
          <w:rFonts w:hint="eastAsia" w:ascii="宋体" w:hAnsi="宋体" w:cs="宋体"/>
          <w:sz w:val="24"/>
          <w:highlight w:val="none"/>
          <w:lang w:eastAsia="zh-CN"/>
        </w:rPr>
        <w:t>：周炜</w:t>
      </w:r>
      <w:r>
        <w:rPr>
          <w:rFonts w:hint="eastAsia" w:ascii="宋体" w:hAnsi="宋体" w:cs="宋体"/>
          <w:sz w:val="24"/>
          <w:highlight w:val="none"/>
          <w:lang w:val="en-US" w:eastAsia="zh-CN"/>
        </w:rPr>
        <w:t xml:space="preserve">  18099843878</w:t>
      </w:r>
    </w:p>
    <w:p w14:paraId="7061A3DF">
      <w:pPr>
        <w:spacing w:line="360" w:lineRule="auto"/>
        <w:ind w:firstLine="480" w:firstLineChars="200"/>
        <w:jc w:val="left"/>
        <w:rPr>
          <w:rFonts w:hint="eastAsia" w:ascii="宋体" w:hAnsi="宋体" w:cs="宋体"/>
          <w:sz w:val="24"/>
        </w:rPr>
      </w:pPr>
      <w:r>
        <w:rPr>
          <w:rFonts w:hint="eastAsia" w:ascii="宋体" w:hAnsi="宋体" w:cs="宋体"/>
          <w:sz w:val="24"/>
        </w:rPr>
        <w:t>2.采购代理机构信息</w:t>
      </w:r>
    </w:p>
    <w:p w14:paraId="5DC295BE">
      <w:pPr>
        <w:spacing w:line="360" w:lineRule="auto"/>
        <w:ind w:firstLine="480" w:firstLineChars="200"/>
        <w:jc w:val="left"/>
        <w:rPr>
          <w:rFonts w:hint="eastAsia" w:ascii="宋体" w:hAnsi="宋体" w:cs="宋体"/>
          <w:sz w:val="24"/>
        </w:rPr>
      </w:pPr>
      <w:r>
        <w:rPr>
          <w:rFonts w:hint="eastAsia" w:ascii="宋体" w:hAnsi="宋体" w:cs="宋体"/>
          <w:sz w:val="24"/>
        </w:rPr>
        <w:t>名 称：新疆信实工程招标咨询服务有限公司</w:t>
      </w:r>
    </w:p>
    <w:p w14:paraId="098E20C1">
      <w:pPr>
        <w:spacing w:line="360" w:lineRule="auto"/>
        <w:ind w:firstLine="480" w:firstLineChars="200"/>
        <w:jc w:val="left"/>
        <w:rPr>
          <w:rFonts w:hint="eastAsia" w:ascii="宋体" w:hAnsi="宋体" w:cs="宋体"/>
          <w:sz w:val="24"/>
        </w:rPr>
      </w:pPr>
      <w:r>
        <w:rPr>
          <w:rFonts w:hint="eastAsia" w:ascii="宋体" w:hAnsi="宋体" w:cs="宋体"/>
          <w:sz w:val="24"/>
        </w:rPr>
        <w:t xml:space="preserve">地 址：喀什经济开发区深喀大道陕西大厦12楼1202室 </w:t>
      </w:r>
    </w:p>
    <w:p w14:paraId="75680E06">
      <w:pPr>
        <w:spacing w:line="360" w:lineRule="auto"/>
        <w:ind w:firstLine="480" w:firstLineChars="200"/>
        <w:jc w:val="left"/>
        <w:rPr>
          <w:rFonts w:hint="eastAsia" w:ascii="宋体" w:hAnsi="宋体" w:cs="宋体"/>
          <w:sz w:val="24"/>
        </w:rPr>
      </w:pPr>
      <w:r>
        <w:rPr>
          <w:rFonts w:hint="eastAsia" w:ascii="宋体" w:hAnsi="宋体" w:cs="宋体"/>
          <w:sz w:val="24"/>
        </w:rPr>
        <w:t>联系方式：刘晓宁 17881381986</w:t>
      </w:r>
    </w:p>
    <w:p w14:paraId="359AF528">
      <w:pPr>
        <w:spacing w:line="360" w:lineRule="auto"/>
        <w:ind w:firstLine="480" w:firstLineChars="200"/>
        <w:jc w:val="left"/>
        <w:rPr>
          <w:rFonts w:hint="eastAsia" w:ascii="宋体" w:hAnsi="宋体" w:cs="宋体"/>
          <w:sz w:val="24"/>
        </w:rPr>
      </w:pPr>
      <w:r>
        <w:rPr>
          <w:rFonts w:hint="eastAsia" w:ascii="宋体" w:hAnsi="宋体" w:cs="宋体"/>
          <w:sz w:val="24"/>
        </w:rPr>
        <w:t>3.项目联系方式</w:t>
      </w:r>
    </w:p>
    <w:p w14:paraId="4FC9F4F5">
      <w:pPr>
        <w:spacing w:line="360" w:lineRule="auto"/>
        <w:ind w:firstLine="480" w:firstLineChars="200"/>
        <w:jc w:val="left"/>
        <w:rPr>
          <w:rFonts w:hint="eastAsia" w:ascii="宋体" w:hAnsi="宋体" w:cs="宋体"/>
          <w:sz w:val="24"/>
        </w:rPr>
      </w:pPr>
      <w:r>
        <w:rPr>
          <w:rFonts w:hint="eastAsia" w:ascii="宋体" w:hAnsi="宋体" w:cs="宋体"/>
          <w:sz w:val="24"/>
        </w:rPr>
        <w:t>项目联系人：刘晓宁</w:t>
      </w:r>
    </w:p>
    <w:p w14:paraId="5E094BC7">
      <w:pPr>
        <w:spacing w:line="360" w:lineRule="auto"/>
        <w:ind w:firstLine="480" w:firstLineChars="200"/>
        <w:jc w:val="left"/>
        <w:rPr>
          <w:rFonts w:hint="eastAsia" w:ascii="宋体" w:hAnsi="宋体" w:cs="宋体"/>
          <w:sz w:val="24"/>
        </w:rPr>
      </w:pPr>
      <w:r>
        <w:rPr>
          <w:rFonts w:hint="eastAsia" w:ascii="宋体" w:hAnsi="宋体" w:cs="宋体"/>
          <w:sz w:val="24"/>
        </w:rPr>
        <w:t>电 话：17881381986</w:t>
      </w:r>
    </w:p>
    <w:p w14:paraId="1FB0A0CB">
      <w:pPr>
        <w:spacing w:line="360" w:lineRule="auto"/>
        <w:ind w:firstLine="480" w:firstLineChars="200"/>
        <w:jc w:val="left"/>
        <w:rPr>
          <w:rFonts w:hint="eastAsia" w:ascii="宋体" w:hAnsi="宋体" w:cs="宋体"/>
          <w:sz w:val="24"/>
        </w:rPr>
      </w:pPr>
      <w:r>
        <w:rPr>
          <w:rFonts w:hint="eastAsia" w:ascii="宋体" w:hAnsi="宋体" w:cs="宋体"/>
          <w:sz w:val="24"/>
        </w:rPr>
        <w:t xml:space="preserve">  </w:t>
      </w:r>
    </w:p>
    <w:p w14:paraId="49639D33">
      <w:pPr>
        <w:spacing w:line="360" w:lineRule="auto"/>
        <w:ind w:firstLine="540"/>
        <w:rPr>
          <w:rFonts w:hint="eastAsia" w:ascii="宋体" w:hAnsi="宋体" w:cs="宋体"/>
          <w:sz w:val="24"/>
        </w:rPr>
      </w:pPr>
      <w:r>
        <w:rPr>
          <w:rFonts w:hint="eastAsia" w:ascii="宋体" w:hAnsi="宋体" w:cs="宋体"/>
          <w:kern w:val="0"/>
          <w:sz w:val="24"/>
        </w:rPr>
        <w:t>　</w:t>
      </w:r>
    </w:p>
    <w:p w14:paraId="6AFCC028">
      <w:pPr>
        <w:spacing w:line="360" w:lineRule="auto"/>
        <w:ind w:firstLine="480" w:firstLineChars="200"/>
        <w:jc w:val="right"/>
        <w:rPr>
          <w:rFonts w:hint="eastAsia" w:ascii="宋体" w:hAnsi="宋体" w:cs="宋体"/>
          <w:sz w:val="24"/>
        </w:rPr>
      </w:pPr>
      <w:r>
        <w:rPr>
          <w:rFonts w:hint="eastAsia" w:ascii="宋体" w:hAnsi="宋体" w:cs="宋体"/>
          <w:sz w:val="24"/>
        </w:rPr>
        <w:t>新疆信实工程招标咨询服务有限公司</w:t>
      </w:r>
    </w:p>
    <w:p w14:paraId="577BC219">
      <w:pPr>
        <w:spacing w:line="360" w:lineRule="auto"/>
        <w:jc w:val="right"/>
        <w:rPr>
          <w:rFonts w:hint="eastAsia" w:ascii="宋体" w:hAnsi="宋体" w:cs="宋体"/>
          <w:sz w:val="24"/>
          <w:highlight w:val="none"/>
        </w:rPr>
      </w:pPr>
    </w:p>
    <w:p w14:paraId="19E7D5F7">
      <w:pPr>
        <w:spacing w:line="360" w:lineRule="auto"/>
        <w:jc w:val="right"/>
        <w:rPr>
          <w:rFonts w:hint="eastAsia" w:ascii="宋体" w:hAnsi="宋体" w:cs="宋体"/>
          <w:sz w:val="24"/>
          <w:highlight w:val="none"/>
        </w:rPr>
      </w:pPr>
      <w:r>
        <w:rPr>
          <w:rFonts w:hint="eastAsia" w:ascii="宋体" w:hAnsi="宋体" w:cs="宋体"/>
          <w:sz w:val="24"/>
          <w:highlight w:val="none"/>
        </w:rPr>
        <w:t>202</w:t>
      </w:r>
      <w:r>
        <w:rPr>
          <w:rFonts w:hint="eastAsia" w:ascii="宋体" w:hAnsi="宋体" w:cs="宋体"/>
          <w:sz w:val="24"/>
          <w:highlight w:val="none"/>
          <w:lang w:val="en-US" w:eastAsia="zh-CN"/>
        </w:rPr>
        <w:t>6</w:t>
      </w:r>
      <w:r>
        <w:rPr>
          <w:rFonts w:hint="eastAsia" w:ascii="宋体" w:hAnsi="宋体" w:cs="宋体"/>
          <w:sz w:val="24"/>
          <w:highlight w:val="none"/>
        </w:rPr>
        <w:t>年</w:t>
      </w:r>
      <w:r>
        <w:rPr>
          <w:rFonts w:hint="eastAsia" w:ascii="宋体" w:hAnsi="宋体" w:cs="宋体"/>
          <w:sz w:val="24"/>
          <w:highlight w:val="none"/>
          <w:lang w:val="en-US" w:eastAsia="zh-CN"/>
        </w:rPr>
        <w:t>5</w:t>
      </w:r>
      <w:r>
        <w:rPr>
          <w:rFonts w:hint="eastAsia" w:ascii="宋体" w:hAnsi="宋体" w:cs="宋体"/>
          <w:sz w:val="24"/>
          <w:highlight w:val="none"/>
        </w:rPr>
        <w:t>月</w:t>
      </w:r>
      <w:r>
        <w:rPr>
          <w:rFonts w:hint="eastAsia" w:ascii="宋体" w:hAnsi="宋体" w:cs="宋体"/>
          <w:sz w:val="24"/>
          <w:highlight w:val="none"/>
          <w:lang w:val="en-US" w:eastAsia="zh-CN"/>
        </w:rPr>
        <w:t>15</w:t>
      </w:r>
      <w:r>
        <w:rPr>
          <w:rFonts w:hint="eastAsia" w:ascii="宋体" w:hAnsi="宋体" w:cs="宋体"/>
          <w:sz w:val="24"/>
          <w:highlight w:val="none"/>
        </w:rPr>
        <w:t>日</w:t>
      </w:r>
      <w:bookmarkEnd w:id="3"/>
    </w:p>
    <w:p w14:paraId="20490ADF">
      <w:pPr>
        <w:rPr>
          <w:rFonts w:hint="eastAsia" w:ascii="宋体" w:hAnsi="宋体" w:cs="宋体"/>
          <w:b/>
          <w:bCs/>
          <w:sz w:val="28"/>
          <w:szCs w:val="21"/>
        </w:rPr>
      </w:pPr>
    </w:p>
    <w:p w14:paraId="055B45C6">
      <w:pPr>
        <w:rPr>
          <w:rFonts w:hint="eastAsia" w:ascii="宋体" w:hAnsi="宋体" w:cs="宋体"/>
          <w:b/>
          <w:bCs/>
          <w:sz w:val="28"/>
          <w:szCs w:val="21"/>
        </w:rPr>
      </w:pPr>
    </w:p>
    <w:p w14:paraId="548A7D14">
      <w:pPr>
        <w:rPr>
          <w:rFonts w:hint="eastAsia" w:ascii="宋体" w:hAnsi="宋体" w:cs="宋体"/>
          <w:b/>
          <w:bCs/>
          <w:sz w:val="28"/>
          <w:szCs w:val="21"/>
        </w:rPr>
      </w:pPr>
    </w:p>
    <w:p w14:paraId="47D1D428">
      <w:pPr>
        <w:rPr>
          <w:rFonts w:hint="eastAsia" w:ascii="宋体" w:hAnsi="宋体" w:cs="宋体"/>
          <w:b/>
          <w:bCs/>
          <w:sz w:val="28"/>
          <w:szCs w:val="21"/>
        </w:rPr>
      </w:pPr>
    </w:p>
    <w:p w14:paraId="518E19EC">
      <w:pPr>
        <w:rPr>
          <w:rFonts w:hint="eastAsia" w:ascii="宋体" w:hAnsi="宋体" w:cs="宋体"/>
          <w:b/>
          <w:bCs/>
          <w:sz w:val="28"/>
          <w:szCs w:val="21"/>
        </w:rPr>
      </w:pPr>
    </w:p>
    <w:p w14:paraId="0620155E">
      <w:pPr>
        <w:rPr>
          <w:rFonts w:hint="eastAsia" w:ascii="宋体" w:hAnsi="宋体" w:cs="宋体"/>
          <w:b/>
          <w:bCs/>
          <w:sz w:val="28"/>
          <w:szCs w:val="21"/>
        </w:rPr>
      </w:pPr>
    </w:p>
    <w:p w14:paraId="25EB0356">
      <w:pPr>
        <w:rPr>
          <w:rFonts w:hint="eastAsia" w:ascii="宋体" w:hAnsi="宋体" w:cs="宋体"/>
          <w:b/>
          <w:bCs/>
          <w:sz w:val="28"/>
          <w:szCs w:val="21"/>
        </w:rPr>
      </w:pPr>
    </w:p>
    <w:p w14:paraId="311DA9EF">
      <w:pPr>
        <w:rPr>
          <w:rFonts w:hint="eastAsia" w:ascii="宋体" w:hAnsi="宋体" w:cs="宋体"/>
          <w:b/>
          <w:bCs/>
          <w:sz w:val="28"/>
          <w:szCs w:val="21"/>
        </w:rPr>
      </w:pPr>
    </w:p>
    <w:p w14:paraId="35EB6ABC">
      <w:pPr>
        <w:rPr>
          <w:rFonts w:hint="eastAsia" w:ascii="宋体" w:hAnsi="宋体" w:cs="宋体"/>
          <w:b/>
          <w:bCs/>
          <w:sz w:val="28"/>
          <w:szCs w:val="21"/>
        </w:rPr>
      </w:pPr>
    </w:p>
    <w:p w14:paraId="26C5831B">
      <w:pPr>
        <w:rPr>
          <w:rFonts w:hint="eastAsia" w:ascii="宋体" w:hAnsi="宋体" w:cs="宋体"/>
          <w:b/>
          <w:bCs/>
          <w:sz w:val="28"/>
          <w:szCs w:val="21"/>
        </w:rPr>
      </w:pPr>
    </w:p>
    <w:p w14:paraId="1E2B908D">
      <w:pPr>
        <w:rPr>
          <w:rFonts w:hint="eastAsia" w:ascii="宋体" w:hAnsi="宋体" w:cs="宋体"/>
          <w:b/>
          <w:bCs/>
          <w:sz w:val="28"/>
          <w:szCs w:val="21"/>
        </w:rPr>
      </w:pPr>
    </w:p>
    <w:p w14:paraId="08684B32">
      <w:pPr>
        <w:rPr>
          <w:rFonts w:hint="eastAsia" w:ascii="宋体" w:hAnsi="宋体" w:cs="宋体"/>
          <w:b/>
          <w:bCs/>
          <w:sz w:val="28"/>
          <w:szCs w:val="21"/>
        </w:rPr>
      </w:pPr>
    </w:p>
    <w:p w14:paraId="62387104">
      <w:pPr>
        <w:rPr>
          <w:rFonts w:hint="eastAsia" w:ascii="宋体" w:hAnsi="宋体" w:cs="宋体"/>
          <w:b/>
          <w:bCs/>
          <w:sz w:val="28"/>
          <w:szCs w:val="21"/>
        </w:rPr>
      </w:pPr>
    </w:p>
    <w:p w14:paraId="18545B81">
      <w:pPr>
        <w:rPr>
          <w:rFonts w:hint="eastAsia" w:ascii="宋体" w:hAnsi="宋体" w:cs="宋体"/>
          <w:b/>
          <w:bCs/>
          <w:sz w:val="28"/>
          <w:szCs w:val="21"/>
        </w:rPr>
      </w:pPr>
    </w:p>
    <w:p w14:paraId="794014A6">
      <w:pPr>
        <w:rPr>
          <w:rFonts w:hint="eastAsia" w:ascii="宋体" w:hAnsi="宋体" w:cs="宋体"/>
          <w:b/>
          <w:bCs/>
          <w:sz w:val="28"/>
          <w:szCs w:val="21"/>
        </w:rPr>
      </w:pPr>
    </w:p>
    <w:p w14:paraId="4D00E29D">
      <w:pPr>
        <w:rPr>
          <w:rFonts w:hint="eastAsia" w:ascii="宋体" w:hAnsi="宋体" w:cs="宋体"/>
          <w:b/>
          <w:bCs/>
          <w:sz w:val="28"/>
          <w:szCs w:val="21"/>
        </w:rPr>
      </w:pPr>
    </w:p>
    <w:p w14:paraId="2BC9F4D7">
      <w:pPr>
        <w:rPr>
          <w:rFonts w:hint="eastAsia" w:ascii="宋体" w:hAnsi="宋体" w:cs="宋体"/>
          <w:b/>
          <w:bCs/>
          <w:sz w:val="28"/>
          <w:szCs w:val="21"/>
        </w:rPr>
      </w:pPr>
    </w:p>
    <w:p w14:paraId="7DDA3943">
      <w:pPr>
        <w:rPr>
          <w:rFonts w:hint="eastAsia" w:ascii="宋体" w:hAnsi="宋体" w:cs="宋体"/>
          <w:b/>
          <w:bCs/>
          <w:sz w:val="28"/>
          <w:szCs w:val="21"/>
        </w:rPr>
      </w:pPr>
    </w:p>
    <w:p w14:paraId="570A2D23">
      <w:pPr>
        <w:rPr>
          <w:rFonts w:hint="eastAsia" w:ascii="宋体" w:hAnsi="宋体" w:cs="宋体"/>
          <w:b/>
          <w:bCs/>
          <w:sz w:val="28"/>
          <w:szCs w:val="21"/>
        </w:rPr>
      </w:pPr>
    </w:p>
    <w:p w14:paraId="0B37A085">
      <w:pPr>
        <w:rPr>
          <w:rFonts w:hint="eastAsia" w:ascii="宋体" w:hAnsi="宋体" w:cs="宋体"/>
          <w:b/>
          <w:bCs/>
          <w:sz w:val="28"/>
          <w:szCs w:val="21"/>
        </w:rPr>
      </w:pPr>
    </w:p>
    <w:p w14:paraId="370716DF">
      <w:pPr>
        <w:rPr>
          <w:rFonts w:hint="eastAsia" w:ascii="宋体" w:hAnsi="宋体" w:cs="宋体"/>
          <w:b/>
          <w:bCs/>
          <w:sz w:val="28"/>
          <w:szCs w:val="21"/>
        </w:rPr>
      </w:pPr>
    </w:p>
    <w:p w14:paraId="3308C53B">
      <w:pPr>
        <w:rPr>
          <w:rFonts w:hint="eastAsia" w:ascii="宋体" w:hAnsi="宋体" w:cs="宋体"/>
          <w:b/>
          <w:bCs/>
          <w:sz w:val="28"/>
          <w:szCs w:val="21"/>
        </w:rPr>
      </w:pPr>
    </w:p>
    <w:p w14:paraId="7DCEC4E6">
      <w:pPr>
        <w:rPr>
          <w:rFonts w:hint="eastAsia" w:ascii="宋体" w:hAnsi="宋体" w:cs="宋体"/>
          <w:b/>
          <w:bCs/>
          <w:sz w:val="28"/>
          <w:szCs w:val="21"/>
        </w:rPr>
      </w:pPr>
    </w:p>
    <w:p w14:paraId="1449A1DC">
      <w:pPr>
        <w:rPr>
          <w:rFonts w:hint="eastAsia" w:ascii="宋体" w:hAnsi="宋体" w:cs="宋体"/>
          <w:b/>
          <w:bCs/>
          <w:sz w:val="28"/>
          <w:szCs w:val="21"/>
        </w:rPr>
      </w:pPr>
    </w:p>
    <w:p w14:paraId="03A7BBE4">
      <w:pPr>
        <w:rPr>
          <w:rFonts w:hint="eastAsia" w:ascii="宋体" w:hAnsi="宋体" w:cs="宋体"/>
          <w:b/>
          <w:bCs/>
          <w:sz w:val="28"/>
          <w:szCs w:val="21"/>
        </w:rPr>
      </w:pPr>
    </w:p>
    <w:p w14:paraId="185762D9">
      <w:pPr>
        <w:pStyle w:val="7"/>
        <w:outlineLvl w:val="0"/>
        <w:rPr>
          <w:rFonts w:hint="eastAsia"/>
          <w:sz w:val="32"/>
          <w:szCs w:val="32"/>
        </w:rPr>
      </w:pPr>
      <w:bookmarkStart w:id="41" w:name="_Toc28481"/>
      <w:r>
        <w:rPr>
          <w:rFonts w:hint="eastAsia"/>
          <w:sz w:val="32"/>
          <w:szCs w:val="32"/>
        </w:rPr>
        <w:t>第</w:t>
      </w:r>
      <w:r>
        <w:rPr>
          <w:rFonts w:hint="eastAsia"/>
          <w:sz w:val="32"/>
          <w:szCs w:val="32"/>
          <w:lang w:val="en-US" w:eastAsia="zh-CN"/>
        </w:rPr>
        <w:t>2</w:t>
      </w:r>
      <w:r>
        <w:rPr>
          <w:rFonts w:hint="eastAsia"/>
          <w:sz w:val="32"/>
          <w:szCs w:val="32"/>
        </w:rPr>
        <w:t>章 供应商须知资料表</w:t>
      </w:r>
      <w:bookmarkEnd w:id="41"/>
    </w:p>
    <w:p w14:paraId="727708BB">
      <w:pPr>
        <w:spacing w:line="240" w:lineRule="atLeast"/>
        <w:ind w:firstLine="360" w:firstLineChars="150"/>
        <w:rPr>
          <w:rFonts w:hint="eastAsia" w:ascii="宋体" w:hAnsi="宋体" w:cs="宋体"/>
          <w:sz w:val="24"/>
        </w:rPr>
      </w:pPr>
      <w:r>
        <w:rPr>
          <w:rFonts w:hint="eastAsia" w:ascii="宋体" w:hAnsi="宋体" w:cs="宋体"/>
          <w:sz w:val="24"/>
        </w:rPr>
        <w:t xml:space="preserve"> 本表是本采购项目的具体资料，是对供应商须知的具体补充和修改，如有矛盾，应以本资料表为准。</w:t>
      </w:r>
    </w:p>
    <w:tbl>
      <w:tblPr>
        <w:tblStyle w:val="28"/>
        <w:tblW w:w="9367" w:type="dxa"/>
        <w:tblInd w:w="-29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867"/>
        <w:gridCol w:w="8500"/>
      </w:tblGrid>
      <w:tr w14:paraId="5A83ED2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4903073E">
            <w:pPr>
              <w:spacing w:line="400" w:lineRule="exact"/>
              <w:rPr>
                <w:rFonts w:hint="eastAsia" w:ascii="宋体" w:hAnsi="宋体" w:cs="宋体"/>
                <w:sz w:val="24"/>
              </w:rPr>
            </w:pPr>
            <w:r>
              <w:rPr>
                <w:rFonts w:hint="eastAsia" w:ascii="宋体" w:hAnsi="宋体" w:cs="宋体"/>
                <w:sz w:val="24"/>
              </w:rPr>
              <w:t>条款号</w:t>
            </w:r>
          </w:p>
        </w:tc>
        <w:tc>
          <w:tcPr>
            <w:tcW w:w="8500" w:type="dxa"/>
            <w:vAlign w:val="center"/>
          </w:tcPr>
          <w:p w14:paraId="2C9DACA1">
            <w:pPr>
              <w:spacing w:line="400" w:lineRule="exact"/>
              <w:ind w:left="1080" w:leftChars="257" w:hanging="540"/>
              <w:rPr>
                <w:rFonts w:hint="eastAsia" w:ascii="宋体" w:hAnsi="宋体" w:cs="宋体"/>
                <w:b/>
                <w:sz w:val="24"/>
              </w:rPr>
            </w:pPr>
            <w:r>
              <w:rPr>
                <w:rFonts w:hint="eastAsia" w:ascii="宋体" w:hAnsi="宋体" w:cs="宋体"/>
                <w:b/>
                <w:sz w:val="24"/>
              </w:rPr>
              <w:t>内      容</w:t>
            </w:r>
          </w:p>
        </w:tc>
      </w:tr>
      <w:tr w14:paraId="1C694C9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23E2D943">
            <w:pPr>
              <w:spacing w:line="400" w:lineRule="exact"/>
              <w:rPr>
                <w:rFonts w:hint="eastAsia" w:ascii="宋体" w:hAnsi="宋体" w:cs="宋体"/>
                <w:sz w:val="24"/>
              </w:rPr>
            </w:pPr>
            <w:r>
              <w:rPr>
                <w:rFonts w:hint="eastAsia" w:ascii="宋体" w:hAnsi="宋体" w:cs="宋体"/>
                <w:sz w:val="24"/>
              </w:rPr>
              <w:t>1.1</w:t>
            </w:r>
          </w:p>
        </w:tc>
        <w:tc>
          <w:tcPr>
            <w:tcW w:w="8500" w:type="dxa"/>
            <w:vAlign w:val="center"/>
          </w:tcPr>
          <w:p w14:paraId="176FB328">
            <w:pPr>
              <w:spacing w:line="400" w:lineRule="exact"/>
              <w:rPr>
                <w:rFonts w:hint="eastAsia" w:ascii="宋体" w:hAnsi="宋体" w:eastAsia="宋体" w:cs="宋体"/>
                <w:sz w:val="24"/>
                <w:lang w:eastAsia="zh-CN"/>
              </w:rPr>
            </w:pPr>
            <w:r>
              <w:rPr>
                <w:rFonts w:hint="eastAsia" w:ascii="宋体" w:hAnsi="宋体" w:cs="宋体"/>
                <w:sz w:val="24"/>
              </w:rPr>
              <w:t>采购人：</w:t>
            </w:r>
            <w:r>
              <w:rPr>
                <w:rFonts w:hint="eastAsia" w:ascii="宋体" w:hAnsi="宋体" w:cs="宋体"/>
                <w:sz w:val="24"/>
                <w:u w:val="single"/>
                <w:lang w:eastAsia="zh-CN"/>
              </w:rPr>
              <w:t>莎车县英吾斯塘乡人民政府</w:t>
            </w:r>
          </w:p>
          <w:p w14:paraId="0291E057">
            <w:pPr>
              <w:spacing w:line="400" w:lineRule="exact"/>
              <w:rPr>
                <w:rFonts w:hint="eastAsia" w:ascii="宋体" w:hAnsi="宋体" w:eastAsia="宋体" w:cs="宋体"/>
                <w:sz w:val="24"/>
                <w:lang w:eastAsia="zh-CN"/>
              </w:rPr>
            </w:pPr>
            <w:r>
              <w:rPr>
                <w:rFonts w:hint="eastAsia" w:ascii="宋体" w:hAnsi="宋体" w:cs="宋体"/>
                <w:sz w:val="24"/>
                <w:highlight w:val="none"/>
              </w:rPr>
              <w:t>联系人：</w:t>
            </w:r>
            <w:r>
              <w:rPr>
                <w:rFonts w:hint="eastAsia" w:ascii="宋体" w:hAnsi="宋体" w:cs="宋体"/>
                <w:sz w:val="24"/>
                <w:highlight w:val="none"/>
                <w:u w:val="single"/>
                <w:lang w:eastAsia="zh-CN"/>
              </w:rPr>
              <w:t>周炜</w:t>
            </w:r>
            <w:r>
              <w:rPr>
                <w:rFonts w:hint="eastAsia" w:ascii="宋体" w:hAnsi="宋体" w:cs="宋体"/>
                <w:sz w:val="24"/>
                <w:highlight w:val="none"/>
                <w:lang w:val="en-US" w:eastAsia="zh-CN"/>
              </w:rPr>
              <w:t xml:space="preserve"> </w:t>
            </w:r>
            <w:r>
              <w:rPr>
                <w:rFonts w:hint="eastAsia" w:ascii="宋体" w:hAnsi="宋体" w:cs="宋体"/>
                <w:sz w:val="24"/>
                <w:highlight w:val="none"/>
              </w:rPr>
              <w:t>　     联系电话：</w:t>
            </w:r>
            <w:r>
              <w:rPr>
                <w:rFonts w:hint="eastAsia" w:ascii="宋体" w:hAnsi="宋体" w:cs="宋体"/>
                <w:sz w:val="24"/>
                <w:highlight w:val="none"/>
                <w:u w:val="single"/>
              </w:rPr>
              <w:t>18099843878</w:t>
            </w:r>
          </w:p>
        </w:tc>
      </w:tr>
      <w:tr w14:paraId="46E1CC5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116" w:hRule="atLeast"/>
        </w:trPr>
        <w:tc>
          <w:tcPr>
            <w:tcW w:w="867" w:type="dxa"/>
            <w:vAlign w:val="center"/>
          </w:tcPr>
          <w:p w14:paraId="03E9D592">
            <w:pPr>
              <w:spacing w:line="400" w:lineRule="exact"/>
              <w:rPr>
                <w:rFonts w:hint="eastAsia" w:ascii="宋体" w:hAnsi="宋体" w:cs="宋体"/>
                <w:sz w:val="24"/>
              </w:rPr>
            </w:pPr>
            <w:r>
              <w:rPr>
                <w:rFonts w:hint="eastAsia" w:ascii="宋体" w:hAnsi="宋体" w:cs="宋体"/>
                <w:sz w:val="24"/>
              </w:rPr>
              <w:t>1.2</w:t>
            </w:r>
          </w:p>
        </w:tc>
        <w:tc>
          <w:tcPr>
            <w:tcW w:w="8500" w:type="dxa"/>
            <w:vAlign w:val="center"/>
          </w:tcPr>
          <w:p w14:paraId="26EF8D7A">
            <w:pPr>
              <w:spacing w:line="400" w:lineRule="exact"/>
              <w:rPr>
                <w:rFonts w:hint="eastAsia" w:ascii="宋体" w:hAnsi="宋体" w:cs="宋体"/>
                <w:sz w:val="24"/>
              </w:rPr>
            </w:pPr>
            <w:r>
              <w:rPr>
                <w:rFonts w:hint="eastAsia" w:ascii="宋体" w:hAnsi="宋体" w:cs="宋体"/>
                <w:sz w:val="24"/>
              </w:rPr>
              <w:t>采购代理机构：</w:t>
            </w:r>
            <w:r>
              <w:rPr>
                <w:rFonts w:hint="eastAsia" w:ascii="宋体" w:hAnsi="宋体" w:cs="宋体"/>
                <w:sz w:val="24"/>
                <w:u w:val="single"/>
              </w:rPr>
              <w:t>新疆信实工程招标咨询服务有限公司</w:t>
            </w:r>
            <w:r>
              <w:rPr>
                <w:rFonts w:hint="eastAsia" w:ascii="宋体" w:hAnsi="宋体" w:cs="宋体"/>
                <w:sz w:val="24"/>
              </w:rPr>
              <w:t xml:space="preserve">  </w:t>
            </w:r>
          </w:p>
          <w:p w14:paraId="60A20FD5">
            <w:pPr>
              <w:spacing w:line="400" w:lineRule="exact"/>
              <w:rPr>
                <w:rFonts w:hint="eastAsia" w:ascii="宋体" w:hAnsi="宋体" w:cs="宋体"/>
                <w:sz w:val="24"/>
              </w:rPr>
            </w:pPr>
            <w:r>
              <w:rPr>
                <w:rFonts w:hint="eastAsia" w:ascii="宋体" w:hAnsi="宋体" w:cs="宋体"/>
                <w:sz w:val="24"/>
              </w:rPr>
              <w:t>地址：</w:t>
            </w:r>
            <w:r>
              <w:rPr>
                <w:rFonts w:hint="eastAsia" w:ascii="宋体" w:hAnsi="宋体" w:cs="宋体"/>
                <w:sz w:val="24"/>
                <w:u w:val="single"/>
              </w:rPr>
              <w:t>喀什经济开发区深喀大道陕西大厦12楼1202室</w:t>
            </w:r>
            <w:r>
              <w:rPr>
                <w:rFonts w:hint="eastAsia" w:ascii="宋体" w:hAnsi="宋体" w:cs="宋体"/>
                <w:sz w:val="24"/>
              </w:rPr>
              <w:t xml:space="preserve"> </w:t>
            </w:r>
          </w:p>
          <w:p w14:paraId="065B6D39">
            <w:pPr>
              <w:spacing w:line="400" w:lineRule="exact"/>
              <w:rPr>
                <w:rFonts w:hint="eastAsia" w:ascii="宋体" w:hAnsi="宋体" w:cs="宋体"/>
                <w:sz w:val="24"/>
              </w:rPr>
            </w:pPr>
            <w:r>
              <w:rPr>
                <w:rFonts w:hint="eastAsia" w:ascii="宋体" w:hAnsi="宋体" w:cs="宋体"/>
                <w:sz w:val="24"/>
              </w:rPr>
              <w:t>业务联系人：</w:t>
            </w:r>
            <w:r>
              <w:rPr>
                <w:rFonts w:hint="eastAsia" w:ascii="宋体" w:hAnsi="宋体" w:cs="宋体"/>
                <w:sz w:val="24"/>
                <w:u w:val="single"/>
              </w:rPr>
              <w:t>刘晓宁</w:t>
            </w:r>
            <w:r>
              <w:rPr>
                <w:rFonts w:hint="eastAsia" w:ascii="宋体" w:hAnsi="宋体" w:cs="宋体"/>
                <w:sz w:val="24"/>
              </w:rPr>
              <w:t xml:space="preserve">　     联系电话： </w:t>
            </w:r>
            <w:r>
              <w:rPr>
                <w:rFonts w:hint="eastAsia" w:ascii="宋体" w:hAnsi="宋体" w:cs="宋体"/>
                <w:sz w:val="24"/>
                <w:u w:val="single"/>
              </w:rPr>
              <w:t>17881381986</w:t>
            </w:r>
            <w:r>
              <w:rPr>
                <w:rFonts w:hint="eastAsia" w:ascii="宋体" w:hAnsi="宋体" w:cs="宋体"/>
                <w:sz w:val="24"/>
              </w:rPr>
              <w:t xml:space="preserve"> </w:t>
            </w:r>
          </w:p>
        </w:tc>
      </w:tr>
      <w:tr w14:paraId="5A4452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44" w:hRule="atLeast"/>
        </w:trPr>
        <w:tc>
          <w:tcPr>
            <w:tcW w:w="867" w:type="dxa"/>
            <w:vAlign w:val="center"/>
          </w:tcPr>
          <w:p w14:paraId="4F0B75CB">
            <w:pPr>
              <w:spacing w:line="400" w:lineRule="exact"/>
              <w:rPr>
                <w:rFonts w:hint="eastAsia" w:ascii="宋体" w:hAnsi="宋体" w:cs="宋体"/>
                <w:sz w:val="24"/>
              </w:rPr>
            </w:pPr>
            <w:r>
              <w:rPr>
                <w:rFonts w:hint="eastAsia" w:ascii="宋体" w:hAnsi="宋体" w:cs="宋体"/>
                <w:sz w:val="24"/>
              </w:rPr>
              <w:t>1.3.4</w:t>
            </w:r>
          </w:p>
        </w:tc>
        <w:tc>
          <w:tcPr>
            <w:tcW w:w="8500" w:type="dxa"/>
            <w:vAlign w:val="center"/>
          </w:tcPr>
          <w:p w14:paraId="09822D6B">
            <w:pPr>
              <w:pStyle w:val="19"/>
              <w:spacing w:line="400" w:lineRule="exact"/>
              <w:rPr>
                <w:rFonts w:hint="eastAsia" w:ascii="宋体" w:hAnsi="宋体" w:cs="宋体"/>
                <w:b/>
                <w:bCs/>
                <w:sz w:val="24"/>
              </w:rPr>
            </w:pPr>
            <w:r>
              <w:rPr>
                <w:rFonts w:hint="eastAsia" w:ascii="宋体" w:hAnsi="宋体" w:cs="宋体"/>
                <w:b/>
                <w:bCs/>
                <w:sz w:val="24"/>
              </w:rPr>
              <w:t>合格供应商的其他资格要求（须将以下证明资料附在响应文件中）：</w:t>
            </w:r>
          </w:p>
          <w:p w14:paraId="08F8ED6C">
            <w:pPr>
              <w:pStyle w:val="19"/>
              <w:spacing w:line="400" w:lineRule="exact"/>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eastAsia="zh-CN"/>
              </w:rPr>
              <w:t>具有有效的营业执照</w:t>
            </w:r>
            <w:r>
              <w:rPr>
                <w:rFonts w:hint="eastAsia" w:ascii="宋体" w:hAnsi="宋体" w:cs="宋体"/>
                <w:b/>
                <w:bCs/>
                <w:sz w:val="24"/>
              </w:rPr>
              <w:t>；</w:t>
            </w:r>
          </w:p>
          <w:p w14:paraId="419C4BE1">
            <w:pPr>
              <w:pStyle w:val="19"/>
              <w:spacing w:line="400" w:lineRule="exact"/>
              <w:rPr>
                <w:rFonts w:hint="eastAsia" w:ascii="宋体" w:hAnsi="宋体" w:cs="宋体"/>
                <w:b/>
                <w:bCs/>
                <w:sz w:val="24"/>
              </w:rPr>
            </w:pPr>
            <w:r>
              <w:rPr>
                <w:rFonts w:hint="eastAsia" w:ascii="宋体" w:hAnsi="宋体" w:cs="宋体"/>
                <w:b/>
                <w:bCs/>
                <w:sz w:val="24"/>
              </w:rPr>
              <w:t>（2）</w:t>
            </w:r>
            <w:r>
              <w:rPr>
                <w:rFonts w:hint="eastAsia" w:ascii="宋体" w:hAnsi="宋体" w:cs="宋体"/>
                <w:b/>
                <w:bCs/>
                <w:sz w:val="24"/>
                <w:lang w:eastAsia="zh-CN"/>
              </w:rPr>
              <w:t>法定代表人资格证明(法定代表人磋商须提供身份证)</w:t>
            </w:r>
            <w:r>
              <w:rPr>
                <w:rFonts w:hint="eastAsia" w:ascii="宋体" w:hAnsi="宋体" w:cs="宋体"/>
                <w:b/>
                <w:bCs/>
                <w:sz w:val="24"/>
              </w:rPr>
              <w:t>；</w:t>
            </w:r>
          </w:p>
          <w:p w14:paraId="54241994">
            <w:pPr>
              <w:pStyle w:val="19"/>
              <w:spacing w:line="400" w:lineRule="exact"/>
              <w:rPr>
                <w:rFonts w:hint="eastAsia" w:ascii="宋体" w:hAnsi="宋体" w:cs="宋体"/>
                <w:b/>
                <w:bCs/>
                <w:sz w:val="24"/>
              </w:rPr>
            </w:pPr>
            <w:r>
              <w:rPr>
                <w:rFonts w:hint="eastAsia" w:ascii="宋体" w:hAnsi="宋体" w:cs="宋体"/>
                <w:b/>
                <w:bCs/>
                <w:sz w:val="24"/>
              </w:rPr>
              <w:t>（3）</w:t>
            </w:r>
            <w:r>
              <w:rPr>
                <w:rFonts w:hint="eastAsia" w:ascii="宋体" w:hAnsi="宋体" w:cs="宋体"/>
                <w:b/>
                <w:bCs/>
                <w:sz w:val="24"/>
                <w:lang w:eastAsia="zh-CN"/>
              </w:rPr>
              <w:t>近两年任意一年的财务审计报告，新成立的公司提供近三个月内任意一个月的银行资信证明</w:t>
            </w:r>
            <w:r>
              <w:rPr>
                <w:rFonts w:hint="eastAsia" w:ascii="宋体" w:hAnsi="宋体" w:cs="宋体"/>
                <w:b/>
                <w:bCs/>
                <w:sz w:val="24"/>
              </w:rPr>
              <w:t>；</w:t>
            </w:r>
          </w:p>
          <w:p w14:paraId="79306DB6">
            <w:pPr>
              <w:pStyle w:val="19"/>
              <w:spacing w:line="400" w:lineRule="exact"/>
              <w:rPr>
                <w:rFonts w:hint="eastAsia" w:ascii="宋体" w:hAnsi="宋体" w:cs="宋体"/>
                <w:b/>
                <w:bCs/>
                <w:sz w:val="24"/>
              </w:rPr>
            </w:pPr>
            <w:r>
              <w:rPr>
                <w:rFonts w:hint="eastAsia" w:ascii="宋体" w:hAnsi="宋体" w:cs="宋体"/>
                <w:b/>
                <w:bCs/>
                <w:sz w:val="24"/>
              </w:rPr>
              <w:t>（4）</w:t>
            </w:r>
            <w:r>
              <w:rPr>
                <w:rFonts w:hint="eastAsia" w:ascii="宋体" w:hAnsi="宋体" w:cs="宋体"/>
                <w:b/>
                <w:bCs/>
                <w:sz w:val="24"/>
                <w:lang w:eastAsia="zh-CN"/>
              </w:rPr>
              <w:t>提供依法缴纳近6个月任意1个月社会保险的证明</w:t>
            </w:r>
            <w:r>
              <w:rPr>
                <w:rFonts w:hint="eastAsia" w:ascii="宋体" w:hAnsi="宋体" w:cs="宋体"/>
                <w:b/>
                <w:bCs/>
                <w:sz w:val="24"/>
              </w:rPr>
              <w:t>；</w:t>
            </w:r>
          </w:p>
          <w:p w14:paraId="33C9C7B2">
            <w:pPr>
              <w:pStyle w:val="19"/>
              <w:spacing w:line="400" w:lineRule="exact"/>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提供依法缴纳近6个月任意1个月的税收证明</w:t>
            </w:r>
            <w:r>
              <w:rPr>
                <w:rFonts w:hint="eastAsia" w:ascii="宋体" w:hAnsi="宋体" w:cs="宋体"/>
                <w:b/>
                <w:bCs/>
                <w:sz w:val="24"/>
              </w:rPr>
              <w:t>；</w:t>
            </w:r>
          </w:p>
          <w:p w14:paraId="14C46030">
            <w:pPr>
              <w:pStyle w:val="19"/>
              <w:spacing w:line="400" w:lineRule="exact"/>
              <w:rPr>
                <w:rFonts w:hint="eastAsia" w:ascii="宋体" w:hAnsi="宋体" w:cs="宋体"/>
                <w:b/>
                <w:bCs/>
                <w:sz w:val="24"/>
              </w:rPr>
            </w:pPr>
            <w:r>
              <w:rPr>
                <w:rFonts w:hint="eastAsia" w:ascii="宋体" w:hAnsi="宋体" w:cs="宋体"/>
                <w:b/>
                <w:bCs/>
                <w:sz w:val="24"/>
              </w:rPr>
              <w:t>（6）</w:t>
            </w:r>
            <w:r>
              <w:rPr>
                <w:rFonts w:hint="eastAsia" w:ascii="宋体" w:hAnsi="宋体" w:cs="宋体"/>
                <w:b/>
                <w:bCs/>
                <w:sz w:val="24"/>
                <w:lang w:eastAsia="zh-CN"/>
              </w:rPr>
              <w:t>根据《财政部关于在政府采购活动中查询及使用信用记录有关问题的通知》（财库﹝2016﹞125号）的要求，凡拟参加本次招标项目的投标人，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宋体" w:hAnsi="宋体" w:cs="宋体"/>
                <w:b/>
                <w:bCs/>
                <w:sz w:val="24"/>
              </w:rPr>
              <w:t>；</w:t>
            </w:r>
          </w:p>
          <w:p w14:paraId="3BAF9109">
            <w:pPr>
              <w:pStyle w:val="19"/>
              <w:spacing w:line="400" w:lineRule="exact"/>
              <w:rPr>
                <w:rFonts w:hint="eastAsia" w:ascii="宋体" w:hAnsi="宋体" w:cs="宋体"/>
                <w:b/>
                <w:bCs/>
                <w:sz w:val="24"/>
              </w:rPr>
            </w:pPr>
            <w:r>
              <w:rPr>
                <w:rFonts w:hint="eastAsia" w:ascii="宋体" w:hAnsi="宋体" w:cs="宋体"/>
                <w:b/>
                <w:bCs/>
                <w:sz w:val="24"/>
              </w:rPr>
              <w:t>（7）参加政府采购活动前三年内在经营活动中没有重大违法记录的书面声明；</w:t>
            </w:r>
          </w:p>
          <w:p w14:paraId="7B3C416A">
            <w:pPr>
              <w:pStyle w:val="19"/>
              <w:spacing w:line="400" w:lineRule="exact"/>
              <w:rPr>
                <w:rFonts w:hint="eastAsia" w:ascii="宋体" w:hAnsi="宋体" w:eastAsia="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8</w:t>
            </w:r>
            <w:r>
              <w:rPr>
                <w:rFonts w:hint="eastAsia" w:ascii="宋体" w:hAnsi="宋体" w:cs="宋体"/>
                <w:b/>
                <w:bCs/>
                <w:sz w:val="24"/>
                <w:lang w:eastAsia="zh-CN"/>
              </w:rPr>
              <w:t>）</w:t>
            </w: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】所投供应商须具备建筑工程施工总承包</w:t>
            </w:r>
            <w:r>
              <w:rPr>
                <w:rFonts w:hint="eastAsia" w:ascii="宋体" w:hAnsi="宋体" w:cs="宋体"/>
                <w:b/>
                <w:bCs/>
                <w:sz w:val="24"/>
                <w:lang w:eastAsia="zh-CN"/>
              </w:rPr>
              <w:t>二</w:t>
            </w:r>
            <w:r>
              <w:rPr>
                <w:rFonts w:hint="eastAsia" w:ascii="宋体" w:hAnsi="宋体" w:eastAsia="宋体" w:cs="宋体"/>
                <w:b/>
                <w:bCs/>
                <w:sz w:val="24"/>
                <w:lang w:eastAsia="zh-CN"/>
              </w:rPr>
              <w:t>级及以上资质</w:t>
            </w:r>
            <w:r>
              <w:rPr>
                <w:rFonts w:hint="eastAsia" w:ascii="宋体" w:hAnsi="宋体" w:cs="宋体"/>
                <w:b/>
                <w:bCs/>
                <w:sz w:val="24"/>
                <w:lang w:eastAsia="zh-CN"/>
              </w:rPr>
              <w:t>，</w:t>
            </w:r>
            <w:r>
              <w:rPr>
                <w:rFonts w:hint="eastAsia" w:ascii="宋体" w:hAnsi="宋体" w:eastAsia="宋体" w:cs="宋体"/>
                <w:b/>
                <w:bCs/>
                <w:sz w:val="24"/>
                <w:lang w:eastAsia="zh-CN"/>
              </w:rPr>
              <w:t>还须具备有效的安全生产许可证（所有证件均应在有效期内）；【</w:t>
            </w:r>
            <w:r>
              <w:rPr>
                <w:rFonts w:hint="eastAsia" w:ascii="宋体" w:hAnsi="宋体" w:eastAsia="宋体" w:cs="宋体"/>
                <w:b/>
                <w:bCs/>
                <w:sz w:val="24"/>
                <w:lang w:val="en-US" w:eastAsia="zh-CN"/>
              </w:rPr>
              <w:t>2</w:t>
            </w:r>
            <w:r>
              <w:rPr>
                <w:rFonts w:hint="eastAsia" w:ascii="宋体" w:hAnsi="宋体" w:eastAsia="宋体" w:cs="宋体"/>
                <w:b/>
                <w:bCs/>
                <w:sz w:val="24"/>
                <w:lang w:eastAsia="zh-CN"/>
              </w:rPr>
              <w:t>】项目经理须具备建筑工程专业贰级及以上注册建造师证书和有效的安全生产考核合格证书（B证），且未担任其他在建工程项目的项目经理（所有证件均应在有效期内）；</w:t>
            </w:r>
          </w:p>
          <w:p w14:paraId="26305C90">
            <w:pPr>
              <w:pStyle w:val="19"/>
              <w:spacing w:line="400" w:lineRule="exact"/>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eastAsia="zh-CN"/>
              </w:rPr>
              <w:t>具备履行合同所必需的设备和专业技术能力的证明材料</w:t>
            </w:r>
            <w:r>
              <w:rPr>
                <w:rFonts w:hint="eastAsia" w:ascii="宋体" w:hAnsi="宋体" w:cs="宋体"/>
                <w:b/>
                <w:bCs/>
                <w:sz w:val="24"/>
              </w:rPr>
              <w:t>；</w:t>
            </w:r>
          </w:p>
          <w:p w14:paraId="56C91E1B">
            <w:pPr>
              <w:pStyle w:val="19"/>
              <w:spacing w:line="400" w:lineRule="exact"/>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10</w:t>
            </w:r>
            <w:r>
              <w:rPr>
                <w:rFonts w:hint="eastAsia" w:ascii="宋体" w:hAnsi="宋体" w:cs="宋体"/>
                <w:b/>
                <w:bCs/>
                <w:sz w:val="24"/>
              </w:rPr>
              <w:t>）提供缴纳</w:t>
            </w:r>
            <w:r>
              <w:rPr>
                <w:rFonts w:hint="eastAsia" w:ascii="宋体" w:hAnsi="宋体" w:cs="宋体"/>
                <w:b/>
                <w:bCs/>
                <w:sz w:val="24"/>
                <w:lang w:eastAsia="zh-CN"/>
              </w:rPr>
              <w:t>磋商保证金</w:t>
            </w:r>
            <w:r>
              <w:rPr>
                <w:rFonts w:hint="eastAsia" w:ascii="宋体" w:hAnsi="宋体" w:cs="宋体"/>
                <w:b/>
                <w:bCs/>
                <w:sz w:val="24"/>
              </w:rPr>
              <w:t>的有效凭证。</w:t>
            </w:r>
          </w:p>
          <w:p w14:paraId="4AB93323">
            <w:pPr>
              <w:widowControl/>
              <w:snapToGrid w:val="0"/>
              <w:spacing w:line="400" w:lineRule="exact"/>
              <w:jc w:val="left"/>
              <w:textAlignment w:val="baseline"/>
              <w:rPr>
                <w:rFonts w:hint="eastAsia" w:ascii="宋体" w:hAnsi="宋体" w:cs="宋体"/>
                <w:sz w:val="24"/>
              </w:rPr>
            </w:pPr>
            <w:r>
              <w:rPr>
                <w:rFonts w:hint="eastAsia" w:ascii="宋体" w:hAnsi="宋体" w:cs="宋体"/>
                <w:sz w:val="24"/>
              </w:rPr>
              <w:t>各供应商应注意以下事项：①本项目要求各投标供应商提供“</w:t>
            </w:r>
            <w:r>
              <w:rPr>
                <w:rFonts w:hint="eastAsia" w:ascii="宋体" w:hAnsi="宋体" w:cs="宋体"/>
                <w:sz w:val="24"/>
                <w:lang w:eastAsia="zh-CN"/>
              </w:rPr>
              <w:t>提供依法缴纳近6个月任意1个月的税收证明</w:t>
            </w:r>
            <w:r>
              <w:rPr>
                <w:rFonts w:hint="eastAsia" w:ascii="宋体" w:hAnsi="宋体" w:cs="宋体"/>
                <w:sz w:val="24"/>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tc>
      </w:tr>
      <w:tr w14:paraId="26FE3FC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2BD6FE9B">
            <w:pPr>
              <w:spacing w:line="400" w:lineRule="exact"/>
              <w:rPr>
                <w:rFonts w:hint="eastAsia" w:ascii="宋体" w:hAnsi="宋体" w:cs="宋体"/>
                <w:sz w:val="24"/>
              </w:rPr>
            </w:pPr>
            <w:r>
              <w:rPr>
                <w:rFonts w:hint="eastAsia" w:ascii="宋体" w:hAnsi="宋体" w:cs="宋体"/>
                <w:sz w:val="24"/>
              </w:rPr>
              <w:t xml:space="preserve">1.3.5   </w:t>
            </w:r>
          </w:p>
        </w:tc>
        <w:tc>
          <w:tcPr>
            <w:tcW w:w="8500" w:type="dxa"/>
            <w:vAlign w:val="center"/>
          </w:tcPr>
          <w:p w14:paraId="38E2177D">
            <w:pPr>
              <w:spacing w:line="400" w:lineRule="exact"/>
              <w:rPr>
                <w:rFonts w:hint="eastAsia" w:ascii="宋体" w:hAnsi="宋体" w:cs="宋体"/>
                <w:sz w:val="24"/>
              </w:rPr>
            </w:pPr>
            <w:r>
              <w:rPr>
                <w:rFonts w:hint="eastAsia" w:ascii="宋体" w:hAnsi="宋体" w:cs="宋体"/>
                <w:color w:val="auto"/>
                <w:sz w:val="24"/>
                <w:highlight w:val="none"/>
              </w:rPr>
              <w:t>是否允许采购进口产品：</w:t>
            </w:r>
            <w:r>
              <w:rPr>
                <w:rFonts w:hint="eastAsia" w:ascii="宋体" w:hAnsi="宋体" w:cs="宋体"/>
                <w:color w:val="auto"/>
                <w:sz w:val="24"/>
                <w:highlight w:val="none"/>
                <w:u w:val="single"/>
              </w:rPr>
              <w:t xml:space="preserve"> 否 </w:t>
            </w:r>
            <w:r>
              <w:rPr>
                <w:rFonts w:hint="eastAsia" w:ascii="宋体" w:hAnsi="宋体" w:cs="宋体"/>
                <w:color w:val="auto"/>
                <w:sz w:val="24"/>
                <w:highlight w:val="none"/>
              </w:rPr>
              <w:t>（是、否）</w:t>
            </w:r>
          </w:p>
        </w:tc>
      </w:tr>
      <w:tr w14:paraId="3464240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9" w:hRule="atLeast"/>
        </w:trPr>
        <w:tc>
          <w:tcPr>
            <w:tcW w:w="867" w:type="dxa"/>
            <w:vAlign w:val="center"/>
          </w:tcPr>
          <w:p w14:paraId="6A206169">
            <w:pPr>
              <w:spacing w:line="400" w:lineRule="exact"/>
              <w:rPr>
                <w:rFonts w:hint="eastAsia" w:ascii="宋体" w:hAnsi="宋体" w:cs="宋体"/>
                <w:sz w:val="24"/>
              </w:rPr>
            </w:pPr>
            <w:r>
              <w:rPr>
                <w:rFonts w:hint="eastAsia" w:ascii="宋体" w:hAnsi="宋体" w:cs="宋体"/>
                <w:sz w:val="24"/>
              </w:rPr>
              <w:t>1.3.6</w:t>
            </w:r>
          </w:p>
        </w:tc>
        <w:tc>
          <w:tcPr>
            <w:tcW w:w="8500" w:type="dxa"/>
            <w:vAlign w:val="center"/>
          </w:tcPr>
          <w:p w14:paraId="02AC4257">
            <w:pPr>
              <w:spacing w:line="400" w:lineRule="exact"/>
              <w:rPr>
                <w:rFonts w:hint="eastAsia" w:ascii="宋体" w:hAnsi="宋体" w:cs="宋体"/>
                <w:sz w:val="24"/>
              </w:rPr>
            </w:pPr>
            <w:r>
              <w:rPr>
                <w:rFonts w:hint="eastAsia" w:ascii="宋体" w:hAnsi="宋体" w:cs="宋体"/>
                <w:b/>
                <w:bCs/>
                <w:sz w:val="24"/>
                <w:highlight w:val="none"/>
              </w:rPr>
              <w:t>是否为专门面向中小企业采购：</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eastAsia="zh-CN"/>
              </w:rPr>
              <w:t>是</w:t>
            </w:r>
            <w:r>
              <w:rPr>
                <w:rFonts w:hint="eastAsia" w:ascii="宋体" w:hAnsi="宋体" w:cs="宋体"/>
                <w:b/>
                <w:bCs/>
                <w:sz w:val="24"/>
                <w:highlight w:val="none"/>
                <w:u w:val="single"/>
              </w:rPr>
              <w:t xml:space="preserve">  </w:t>
            </w:r>
            <w:r>
              <w:rPr>
                <w:rFonts w:hint="eastAsia" w:ascii="宋体" w:hAnsi="宋体" w:cs="宋体"/>
                <w:b/>
                <w:bCs/>
                <w:i/>
                <w:sz w:val="24"/>
                <w:highlight w:val="none"/>
              </w:rPr>
              <w:t>（是、否）</w:t>
            </w:r>
          </w:p>
        </w:tc>
      </w:tr>
      <w:tr w14:paraId="152239E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22807793">
            <w:pPr>
              <w:spacing w:line="400" w:lineRule="exact"/>
              <w:rPr>
                <w:rFonts w:hint="eastAsia" w:ascii="宋体" w:hAnsi="宋体" w:cs="宋体"/>
                <w:sz w:val="24"/>
              </w:rPr>
            </w:pPr>
            <w:r>
              <w:rPr>
                <w:rFonts w:hint="eastAsia" w:ascii="宋体" w:hAnsi="宋体" w:cs="宋体"/>
                <w:sz w:val="24"/>
              </w:rPr>
              <w:t>1.4</w:t>
            </w:r>
          </w:p>
        </w:tc>
        <w:tc>
          <w:tcPr>
            <w:tcW w:w="8500" w:type="dxa"/>
            <w:vAlign w:val="center"/>
          </w:tcPr>
          <w:p w14:paraId="27AB693B">
            <w:pPr>
              <w:spacing w:line="400" w:lineRule="exact"/>
              <w:rPr>
                <w:rFonts w:hint="eastAsia" w:ascii="宋体" w:hAnsi="宋体" w:cs="宋体"/>
                <w:sz w:val="24"/>
              </w:rPr>
            </w:pPr>
            <w:r>
              <w:rPr>
                <w:rFonts w:hint="eastAsia" w:ascii="宋体" w:hAnsi="宋体" w:cs="宋体"/>
                <w:sz w:val="24"/>
              </w:rPr>
              <w:t>是否允许联合体磋商：</w:t>
            </w:r>
            <w:r>
              <w:rPr>
                <w:rFonts w:hint="eastAsia" w:ascii="宋体" w:hAnsi="宋体" w:cs="宋体"/>
                <w:sz w:val="24"/>
                <w:u w:val="single"/>
              </w:rPr>
              <w:t xml:space="preserve">  否  </w:t>
            </w:r>
            <w:r>
              <w:rPr>
                <w:rFonts w:hint="eastAsia" w:ascii="宋体" w:hAnsi="宋体" w:cs="宋体"/>
                <w:i/>
                <w:sz w:val="24"/>
              </w:rPr>
              <w:t>（是、否）</w:t>
            </w:r>
          </w:p>
        </w:tc>
      </w:tr>
      <w:tr w14:paraId="08A4B28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14:paraId="6C13F770">
            <w:pPr>
              <w:spacing w:line="400" w:lineRule="exact"/>
              <w:rPr>
                <w:rFonts w:hint="eastAsia" w:ascii="宋体" w:hAnsi="宋体" w:cs="宋体"/>
                <w:sz w:val="24"/>
              </w:rPr>
            </w:pPr>
            <w:r>
              <w:rPr>
                <w:rFonts w:hint="eastAsia" w:ascii="宋体" w:hAnsi="宋体" w:cs="宋体"/>
                <w:sz w:val="24"/>
              </w:rPr>
              <w:t>1.4.8</w:t>
            </w:r>
          </w:p>
        </w:tc>
        <w:tc>
          <w:tcPr>
            <w:tcW w:w="8500" w:type="dxa"/>
            <w:vAlign w:val="center"/>
          </w:tcPr>
          <w:p w14:paraId="39F3329B">
            <w:pPr>
              <w:spacing w:line="400" w:lineRule="exact"/>
              <w:rPr>
                <w:rFonts w:hint="eastAsia" w:ascii="宋体" w:hAnsi="宋体" w:cs="宋体"/>
                <w:sz w:val="24"/>
              </w:rPr>
            </w:pPr>
            <w:r>
              <w:rPr>
                <w:rFonts w:hint="eastAsia" w:ascii="宋体" w:hAnsi="宋体" w:cs="宋体"/>
                <w:sz w:val="24"/>
              </w:rPr>
              <w:t>联合体的其他资格要求：无</w:t>
            </w:r>
          </w:p>
        </w:tc>
      </w:tr>
      <w:tr w14:paraId="7E78BE9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92" w:hRule="atLeast"/>
        </w:trPr>
        <w:tc>
          <w:tcPr>
            <w:tcW w:w="867" w:type="dxa"/>
            <w:vAlign w:val="center"/>
          </w:tcPr>
          <w:p w14:paraId="48560345">
            <w:pPr>
              <w:spacing w:line="400" w:lineRule="exact"/>
              <w:rPr>
                <w:rFonts w:hint="eastAsia" w:ascii="宋体" w:hAnsi="宋体" w:cs="宋体"/>
                <w:b/>
                <w:bCs/>
                <w:sz w:val="24"/>
              </w:rPr>
            </w:pPr>
            <w:r>
              <w:rPr>
                <w:rFonts w:hint="eastAsia" w:ascii="宋体" w:hAnsi="宋体" w:cs="宋体"/>
                <w:sz w:val="24"/>
              </w:rPr>
              <w:t>2.1</w:t>
            </w:r>
          </w:p>
        </w:tc>
        <w:tc>
          <w:tcPr>
            <w:tcW w:w="8500" w:type="dxa"/>
            <w:vAlign w:val="center"/>
          </w:tcPr>
          <w:p w14:paraId="39E55302">
            <w:pPr>
              <w:spacing w:line="400" w:lineRule="exact"/>
              <w:rPr>
                <w:rFonts w:hint="eastAsia" w:ascii="宋体" w:hAnsi="宋体" w:eastAsia="宋体" w:cs="宋体"/>
                <w:b/>
                <w:bCs/>
                <w:sz w:val="24"/>
                <w:lang w:eastAsia="zh-CN"/>
              </w:rPr>
            </w:pPr>
            <w:r>
              <w:rPr>
                <w:rFonts w:hint="eastAsia" w:ascii="宋体" w:hAnsi="宋体" w:cs="宋体"/>
                <w:b/>
                <w:bCs/>
                <w:sz w:val="24"/>
                <w:highlight w:val="none"/>
              </w:rPr>
              <w:t>资金来源：财政衔接推进乡村振兴补助资金</w:t>
            </w:r>
          </w:p>
        </w:tc>
      </w:tr>
      <w:tr w14:paraId="0FA27D5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32" w:hRule="atLeast"/>
        </w:trPr>
        <w:tc>
          <w:tcPr>
            <w:tcW w:w="867" w:type="dxa"/>
            <w:vAlign w:val="center"/>
          </w:tcPr>
          <w:p w14:paraId="338ACD82">
            <w:pPr>
              <w:spacing w:line="400" w:lineRule="exact"/>
              <w:rPr>
                <w:rFonts w:hint="eastAsia" w:ascii="宋体" w:hAnsi="宋体" w:cs="宋体"/>
                <w:sz w:val="24"/>
              </w:rPr>
            </w:pPr>
            <w:r>
              <w:rPr>
                <w:rFonts w:hint="eastAsia" w:ascii="宋体" w:hAnsi="宋体" w:cs="宋体"/>
                <w:sz w:val="24"/>
              </w:rPr>
              <w:t>2.2</w:t>
            </w:r>
          </w:p>
        </w:tc>
        <w:tc>
          <w:tcPr>
            <w:tcW w:w="8500" w:type="dxa"/>
            <w:vAlign w:val="center"/>
          </w:tcPr>
          <w:p w14:paraId="54F0DD08">
            <w:pPr>
              <w:pStyle w:val="12"/>
              <w:spacing w:line="400" w:lineRule="exact"/>
              <w:rPr>
                <w:rFonts w:hint="eastAsia" w:hAnsi="宋体" w:cs="宋体"/>
                <w:sz w:val="24"/>
                <w:szCs w:val="24"/>
                <w:highlight w:val="none"/>
              </w:rPr>
            </w:pPr>
            <w:r>
              <w:rPr>
                <w:rFonts w:hint="eastAsia" w:hAnsi="宋体" w:cs="宋体"/>
                <w:b/>
                <w:bCs/>
                <w:sz w:val="24"/>
                <w:szCs w:val="24"/>
                <w:highlight w:val="none"/>
                <w:lang w:val="en-US" w:eastAsia="zh-CN"/>
              </w:rPr>
              <w:t>本项目预算金额为890603.54元，供应商的报价超出预算金额的视为磋商无效</w:t>
            </w:r>
            <w:r>
              <w:rPr>
                <w:rFonts w:hint="eastAsia" w:hAnsi="宋体" w:cs="宋体"/>
                <w:sz w:val="24"/>
                <w:szCs w:val="24"/>
                <w:highlight w:val="none"/>
                <w:lang w:val="en-US" w:eastAsia="zh-CN"/>
              </w:rPr>
              <w:t>。</w:t>
            </w:r>
          </w:p>
          <w:p w14:paraId="04C226BE">
            <w:pPr>
              <w:widowControl/>
              <w:snapToGrid w:val="0"/>
              <w:spacing w:line="400" w:lineRule="exact"/>
              <w:textAlignment w:val="baseline"/>
              <w:rPr>
                <w:rFonts w:hint="eastAsia" w:ascii="宋体" w:hAnsi="宋体" w:cs="宋体"/>
                <w:sz w:val="24"/>
              </w:rPr>
            </w:pPr>
            <w:r>
              <w:rPr>
                <w:rFonts w:hint="eastAsia" w:ascii="宋体" w:hAnsi="宋体" w:cs="宋体"/>
                <w:b/>
                <w:bCs/>
                <w:color w:val="auto"/>
                <w:sz w:val="24"/>
                <w:highlight w:val="none"/>
              </w:rPr>
              <w:t xml:space="preserve">采购需求：新建450平方米钢结构厂房1座，并配套水电暖、消防设施。（具体内容详见工程量清单) </w:t>
            </w:r>
          </w:p>
        </w:tc>
      </w:tr>
      <w:tr w14:paraId="5B769BE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90" w:hRule="atLeast"/>
        </w:trPr>
        <w:tc>
          <w:tcPr>
            <w:tcW w:w="867" w:type="dxa"/>
            <w:vAlign w:val="center"/>
          </w:tcPr>
          <w:p w14:paraId="6CC19EAE">
            <w:pPr>
              <w:spacing w:line="400" w:lineRule="exact"/>
              <w:rPr>
                <w:rFonts w:hint="eastAsia" w:ascii="宋体" w:hAnsi="宋体" w:cs="宋体"/>
                <w:sz w:val="24"/>
              </w:rPr>
            </w:pPr>
            <w:r>
              <w:rPr>
                <w:rFonts w:hint="eastAsia" w:ascii="宋体" w:hAnsi="宋体" w:cs="宋体"/>
                <w:sz w:val="24"/>
              </w:rPr>
              <w:t>12.1</w:t>
            </w:r>
          </w:p>
        </w:tc>
        <w:tc>
          <w:tcPr>
            <w:tcW w:w="8500" w:type="dxa"/>
            <w:vAlign w:val="center"/>
          </w:tcPr>
          <w:p w14:paraId="0C70BA0C">
            <w:pPr>
              <w:spacing w:line="400" w:lineRule="exact"/>
              <w:jc w:val="left"/>
              <w:rPr>
                <w:rFonts w:hint="eastAsia" w:ascii="宋体" w:hAnsi="宋体" w:cs="宋体"/>
                <w:sz w:val="24"/>
              </w:rPr>
            </w:pPr>
            <w:r>
              <w:rPr>
                <w:rFonts w:hint="eastAsia" w:ascii="宋体" w:hAnsi="宋体" w:cs="宋体"/>
                <w:sz w:val="24"/>
                <w:lang w:eastAsia="zh-CN"/>
              </w:rPr>
              <w:t>磋商保证金</w:t>
            </w:r>
            <w:r>
              <w:rPr>
                <w:rFonts w:hint="eastAsia" w:ascii="宋体" w:hAnsi="宋体" w:cs="宋体"/>
                <w:sz w:val="24"/>
              </w:rPr>
              <w:t>形式：☑银行转账  ☑保函  ☑支票  ☑汇票  ☑本票</w:t>
            </w:r>
          </w:p>
          <w:p w14:paraId="272171F3">
            <w:pPr>
              <w:spacing w:line="400" w:lineRule="exact"/>
              <w:jc w:val="left"/>
              <w:rPr>
                <w:rFonts w:hint="eastAsia" w:ascii="宋体" w:hAnsi="宋体" w:cs="宋体"/>
                <w:b/>
                <w:bCs/>
                <w:sz w:val="24"/>
              </w:rPr>
            </w:pPr>
            <w:r>
              <w:rPr>
                <w:rFonts w:hint="eastAsia" w:ascii="宋体" w:hAnsi="宋体" w:cs="宋体"/>
                <w:b/>
                <w:bCs/>
                <w:sz w:val="24"/>
                <w:lang w:eastAsia="zh-CN"/>
              </w:rPr>
              <w:t>磋商保证金</w:t>
            </w:r>
            <w:r>
              <w:rPr>
                <w:rFonts w:hint="eastAsia" w:ascii="宋体" w:hAnsi="宋体" w:cs="宋体"/>
                <w:b/>
                <w:bCs/>
                <w:sz w:val="24"/>
              </w:rPr>
              <w:t>金额：小写：</w:t>
            </w:r>
            <w:r>
              <w:rPr>
                <w:rFonts w:hint="eastAsia" w:ascii="宋体" w:hAnsi="宋体" w:cs="宋体"/>
                <w:b/>
                <w:bCs/>
                <w:sz w:val="24"/>
                <w:lang w:val="en-US" w:eastAsia="zh-CN"/>
              </w:rPr>
              <w:t>17000</w:t>
            </w:r>
            <w:r>
              <w:rPr>
                <w:rFonts w:hint="eastAsia" w:ascii="宋体" w:hAnsi="宋体" w:cs="宋体"/>
                <w:b/>
                <w:bCs/>
                <w:sz w:val="24"/>
              </w:rPr>
              <w:t>元（大写：</w:t>
            </w:r>
            <w:r>
              <w:rPr>
                <w:rFonts w:hint="eastAsia" w:ascii="宋体" w:hAnsi="宋体" w:cs="宋体"/>
                <w:b/>
                <w:bCs/>
                <w:sz w:val="24"/>
                <w:lang w:eastAsia="zh-CN"/>
              </w:rPr>
              <w:t>壹万柒仟</w:t>
            </w:r>
            <w:r>
              <w:rPr>
                <w:rFonts w:hint="eastAsia" w:ascii="宋体" w:hAnsi="宋体" w:cs="宋体"/>
                <w:b/>
                <w:bCs/>
                <w:sz w:val="24"/>
              </w:rPr>
              <w:t>元整）</w:t>
            </w:r>
          </w:p>
          <w:p w14:paraId="3CF2C13F">
            <w:pPr>
              <w:spacing w:line="400" w:lineRule="exact"/>
              <w:jc w:val="left"/>
              <w:rPr>
                <w:rFonts w:hint="eastAsia" w:ascii="宋体" w:hAnsi="宋体" w:cs="宋体"/>
                <w:sz w:val="24"/>
              </w:rPr>
            </w:pPr>
            <w:r>
              <w:rPr>
                <w:rFonts w:hint="eastAsia" w:ascii="宋体" w:hAnsi="宋体" w:cs="宋体"/>
                <w:sz w:val="24"/>
              </w:rPr>
              <w:t>（按照预算金额2%以内的整数计算）</w:t>
            </w:r>
          </w:p>
          <w:p w14:paraId="5B59429B">
            <w:pPr>
              <w:spacing w:line="400" w:lineRule="exact"/>
              <w:jc w:val="left"/>
              <w:rPr>
                <w:rFonts w:hint="eastAsia" w:ascii="宋体" w:hAnsi="宋体" w:cs="宋体"/>
                <w:sz w:val="24"/>
              </w:rPr>
            </w:pPr>
            <w:r>
              <w:rPr>
                <w:rFonts w:hint="eastAsia" w:ascii="宋体" w:hAnsi="宋体" w:cs="宋体"/>
                <w:sz w:val="24"/>
                <w:lang w:eastAsia="zh-CN"/>
              </w:rPr>
              <w:t>磋商保证金</w:t>
            </w:r>
            <w:r>
              <w:rPr>
                <w:rFonts w:hint="eastAsia" w:ascii="宋体" w:hAnsi="宋体" w:cs="宋体"/>
                <w:sz w:val="24"/>
              </w:rPr>
              <w:t>收款人：</w:t>
            </w:r>
          </w:p>
          <w:p w14:paraId="572C5EEF">
            <w:pPr>
              <w:spacing w:line="400" w:lineRule="exact"/>
              <w:jc w:val="left"/>
              <w:rPr>
                <w:rFonts w:hint="eastAsia" w:ascii="宋体" w:hAnsi="宋体" w:cs="宋体"/>
                <w:b/>
                <w:bCs/>
                <w:sz w:val="24"/>
              </w:rPr>
            </w:pPr>
            <w:r>
              <w:rPr>
                <w:rFonts w:hint="eastAsia" w:ascii="宋体" w:hAnsi="宋体" w:cs="宋体"/>
                <w:b/>
                <w:bCs/>
                <w:sz w:val="24"/>
              </w:rPr>
              <w:t>单位名称：新疆信实工程招标咨询服务有限公司喀什第一分公司</w:t>
            </w:r>
          </w:p>
          <w:p w14:paraId="4AB342E1">
            <w:pPr>
              <w:spacing w:line="400" w:lineRule="exact"/>
              <w:jc w:val="left"/>
              <w:rPr>
                <w:rFonts w:hint="eastAsia" w:ascii="宋体" w:hAnsi="宋体" w:cs="宋体"/>
                <w:b/>
                <w:bCs/>
                <w:sz w:val="24"/>
              </w:rPr>
            </w:pPr>
            <w:r>
              <w:rPr>
                <w:rFonts w:hint="eastAsia" w:ascii="宋体" w:hAnsi="宋体" w:cs="宋体"/>
                <w:b/>
                <w:bCs/>
                <w:sz w:val="24"/>
              </w:rPr>
              <w:t>开户行：乌鲁木齐银行喀什分行（营业部）</w:t>
            </w:r>
          </w:p>
          <w:p w14:paraId="095B340E">
            <w:pPr>
              <w:spacing w:line="400" w:lineRule="exact"/>
              <w:jc w:val="left"/>
              <w:rPr>
                <w:rFonts w:hint="eastAsia" w:ascii="宋体" w:hAnsi="宋体" w:cs="宋体"/>
                <w:b/>
                <w:bCs/>
                <w:sz w:val="24"/>
              </w:rPr>
            </w:pPr>
            <w:r>
              <w:rPr>
                <w:rFonts w:hint="eastAsia" w:ascii="宋体" w:hAnsi="宋体" w:cs="宋体"/>
                <w:b/>
                <w:bCs/>
                <w:sz w:val="24"/>
              </w:rPr>
              <w:t>账号：0000020090110004324929</w:t>
            </w:r>
            <w:r>
              <w:rPr>
                <w:rFonts w:hint="eastAsia" w:ascii="宋体" w:hAnsi="宋体" w:cs="宋体"/>
                <w:sz w:val="24"/>
              </w:rPr>
              <w:t>（电汇时请在汇款备注栏注明项目名称及标项号（如有），并注明是</w:t>
            </w:r>
            <w:r>
              <w:rPr>
                <w:rFonts w:hint="eastAsia" w:ascii="宋体" w:hAnsi="宋体" w:cs="宋体"/>
                <w:sz w:val="24"/>
                <w:lang w:eastAsia="zh-CN"/>
              </w:rPr>
              <w:t>磋商保证金</w:t>
            </w:r>
            <w:r>
              <w:rPr>
                <w:rFonts w:hint="eastAsia" w:ascii="宋体" w:hAnsi="宋体" w:cs="宋体"/>
                <w:sz w:val="24"/>
              </w:rPr>
              <w:t>，否则视为无效</w:t>
            </w:r>
            <w:r>
              <w:rPr>
                <w:rFonts w:hint="eastAsia" w:ascii="宋体" w:hAnsi="宋体" w:cs="宋体"/>
                <w:sz w:val="24"/>
                <w:lang w:eastAsia="zh-CN"/>
              </w:rPr>
              <w:t>磋商保证金</w:t>
            </w:r>
            <w:r>
              <w:rPr>
                <w:rFonts w:hint="eastAsia" w:ascii="宋体" w:hAnsi="宋体" w:cs="宋体"/>
                <w:sz w:val="24"/>
              </w:rPr>
              <w:t>）</w:t>
            </w:r>
            <w:r>
              <w:rPr>
                <w:rFonts w:hint="eastAsia" w:ascii="宋体" w:hAnsi="宋体" w:cs="宋体"/>
                <w:b/>
                <w:bCs/>
                <w:sz w:val="24"/>
              </w:rPr>
              <w:t xml:space="preserve">     </w:t>
            </w:r>
          </w:p>
          <w:p w14:paraId="2AB95454">
            <w:pPr>
              <w:spacing w:line="400" w:lineRule="exact"/>
              <w:jc w:val="left"/>
              <w:rPr>
                <w:rFonts w:hint="eastAsia" w:ascii="宋体" w:hAnsi="宋体" w:cs="宋体"/>
                <w:b/>
                <w:bCs/>
                <w:sz w:val="24"/>
              </w:rPr>
            </w:pPr>
            <w:r>
              <w:rPr>
                <w:rFonts w:hint="eastAsia" w:ascii="宋体" w:hAnsi="宋体" w:cs="宋体"/>
                <w:b/>
                <w:bCs/>
                <w:sz w:val="24"/>
              </w:rPr>
              <w:t>行号：313894000405</w:t>
            </w:r>
          </w:p>
          <w:p w14:paraId="2AB12C65">
            <w:pPr>
              <w:spacing w:line="400" w:lineRule="exact"/>
              <w:jc w:val="left"/>
              <w:rPr>
                <w:rFonts w:hint="eastAsia" w:ascii="宋体" w:hAnsi="宋体" w:cs="宋体"/>
                <w:sz w:val="24"/>
              </w:rPr>
            </w:pPr>
            <w:r>
              <w:rPr>
                <w:rFonts w:hint="eastAsia" w:ascii="宋体" w:hAnsi="宋体" w:cs="宋体"/>
                <w:sz w:val="24"/>
              </w:rPr>
              <w:t>财务室联系人及联系方式：17881381986</w:t>
            </w:r>
          </w:p>
          <w:p w14:paraId="38CD5DD4">
            <w:pPr>
              <w:spacing w:line="400" w:lineRule="exact"/>
              <w:jc w:val="left"/>
              <w:rPr>
                <w:rFonts w:hint="eastAsia" w:ascii="宋体" w:hAnsi="宋体" w:cs="宋体"/>
                <w:sz w:val="24"/>
              </w:rPr>
            </w:pPr>
            <w:r>
              <w:rPr>
                <w:rFonts w:hint="eastAsia" w:ascii="宋体" w:hAnsi="宋体" w:cs="宋体"/>
                <w:sz w:val="24"/>
              </w:rPr>
              <w:t>A:缴纳</w:t>
            </w:r>
            <w:r>
              <w:rPr>
                <w:rFonts w:hint="eastAsia" w:ascii="宋体" w:hAnsi="宋体" w:cs="宋体"/>
                <w:sz w:val="24"/>
                <w:lang w:eastAsia="zh-CN"/>
              </w:rPr>
              <w:t>磋商保证金</w:t>
            </w:r>
            <w:r>
              <w:rPr>
                <w:rFonts w:hint="eastAsia" w:ascii="宋体" w:hAnsi="宋体" w:cs="宋体"/>
                <w:sz w:val="24"/>
              </w:rPr>
              <w:t>要求：</w:t>
            </w:r>
          </w:p>
          <w:p w14:paraId="62447187">
            <w:pPr>
              <w:spacing w:line="400" w:lineRule="exact"/>
              <w:jc w:val="left"/>
              <w:rPr>
                <w:rFonts w:hint="eastAsia" w:ascii="宋体" w:hAnsi="宋体" w:cs="宋体"/>
                <w:sz w:val="24"/>
              </w:rPr>
            </w:pPr>
            <w:r>
              <w:rPr>
                <w:rFonts w:hint="eastAsia" w:ascii="宋体" w:hAnsi="宋体" w:cs="宋体"/>
                <w:sz w:val="24"/>
              </w:rPr>
              <w:t>（1）</w:t>
            </w:r>
            <w:r>
              <w:rPr>
                <w:rFonts w:hint="eastAsia" w:ascii="宋体" w:hAnsi="宋体" w:cs="宋体"/>
                <w:sz w:val="24"/>
                <w:lang w:eastAsia="zh-CN"/>
              </w:rPr>
              <w:t>磋商保证金</w:t>
            </w:r>
            <w:r>
              <w:rPr>
                <w:rFonts w:hint="eastAsia" w:ascii="宋体" w:hAnsi="宋体" w:cs="宋体"/>
                <w:sz w:val="24"/>
              </w:rPr>
              <w:t>必须在开标前提交到代理机构账户中。不接受现金及任何个人、分公司汇款。供应商向银行办理保证金汇（转）款时，应在用途栏（备注栏）注明项目名称及标项（如有），并注明是</w:t>
            </w:r>
            <w:r>
              <w:rPr>
                <w:rFonts w:hint="eastAsia" w:ascii="宋体" w:hAnsi="宋体" w:cs="宋体"/>
                <w:sz w:val="24"/>
                <w:lang w:eastAsia="zh-CN"/>
              </w:rPr>
              <w:t>磋商保证金</w:t>
            </w:r>
            <w:r>
              <w:rPr>
                <w:rFonts w:hint="eastAsia" w:ascii="宋体" w:hAnsi="宋体" w:cs="宋体"/>
                <w:sz w:val="24"/>
              </w:rPr>
              <w:t>字样，如填写字数有要求可简写项目名称与标项（如有），由于未按要求注明信息而导致的一切后果由供应商自行承担。</w:t>
            </w:r>
          </w:p>
          <w:p w14:paraId="7BF2393C">
            <w:pPr>
              <w:spacing w:line="400" w:lineRule="exact"/>
              <w:jc w:val="left"/>
              <w:rPr>
                <w:rFonts w:hint="eastAsia" w:ascii="宋体" w:hAnsi="宋体" w:cs="宋体"/>
                <w:sz w:val="24"/>
              </w:rPr>
            </w:pPr>
            <w:r>
              <w:rPr>
                <w:rFonts w:hint="eastAsia" w:ascii="宋体" w:hAnsi="宋体" w:cs="宋体"/>
                <w:sz w:val="24"/>
              </w:rPr>
              <w:t>（2）供应商以保函形式提交</w:t>
            </w:r>
            <w:r>
              <w:rPr>
                <w:rFonts w:hint="eastAsia" w:ascii="宋体" w:hAnsi="宋体" w:cs="宋体"/>
                <w:sz w:val="24"/>
                <w:lang w:eastAsia="zh-CN"/>
              </w:rPr>
              <w:t>磋商保证金</w:t>
            </w:r>
            <w:r>
              <w:rPr>
                <w:rFonts w:hint="eastAsia" w:ascii="宋体" w:hAnsi="宋体" w:cs="宋体"/>
                <w:sz w:val="24"/>
              </w:rPr>
              <w:t>的，响应文件须放保函及“银行基本账户开户许可证”或“基本存款账户信息”复印件。注：以支票形式提供</w:t>
            </w:r>
            <w:r>
              <w:rPr>
                <w:rFonts w:hint="eastAsia" w:ascii="宋体" w:hAnsi="宋体" w:cs="宋体"/>
                <w:sz w:val="24"/>
                <w:lang w:eastAsia="zh-CN"/>
              </w:rPr>
              <w:t>磋商保证金</w:t>
            </w:r>
            <w:r>
              <w:rPr>
                <w:rFonts w:hint="eastAsia" w:ascii="宋体" w:hAnsi="宋体" w:cs="宋体"/>
                <w:sz w:val="24"/>
              </w:rPr>
              <w:t>的响应文件内须放支票复印件。</w:t>
            </w:r>
          </w:p>
          <w:p w14:paraId="160A969B">
            <w:pPr>
              <w:spacing w:line="400" w:lineRule="exact"/>
              <w:jc w:val="left"/>
              <w:rPr>
                <w:rFonts w:hint="eastAsia" w:ascii="宋体" w:hAnsi="宋体" w:cs="宋体"/>
                <w:sz w:val="24"/>
              </w:rPr>
            </w:pPr>
            <w:r>
              <w:rPr>
                <w:rFonts w:hint="eastAsia" w:ascii="宋体" w:hAnsi="宋体" w:cs="宋体"/>
                <w:sz w:val="24"/>
              </w:rPr>
              <w:t>B：退</w:t>
            </w:r>
            <w:r>
              <w:rPr>
                <w:rFonts w:hint="eastAsia" w:ascii="宋体" w:hAnsi="宋体" w:cs="宋体"/>
                <w:sz w:val="24"/>
                <w:lang w:eastAsia="zh-CN"/>
              </w:rPr>
              <w:t>磋商保证金</w:t>
            </w:r>
            <w:r>
              <w:rPr>
                <w:rFonts w:hint="eastAsia" w:ascii="宋体" w:hAnsi="宋体" w:cs="宋体"/>
                <w:sz w:val="24"/>
              </w:rPr>
              <w:t>：</w:t>
            </w:r>
          </w:p>
          <w:p w14:paraId="17B94202">
            <w:pPr>
              <w:spacing w:line="400" w:lineRule="exact"/>
              <w:jc w:val="left"/>
              <w:rPr>
                <w:rFonts w:hint="eastAsia" w:ascii="宋体" w:hAnsi="宋体" w:cs="宋体"/>
                <w:sz w:val="24"/>
              </w:rPr>
            </w:pPr>
            <w:r>
              <w:rPr>
                <w:rFonts w:hint="eastAsia" w:ascii="宋体" w:hAnsi="宋体" w:cs="宋体"/>
                <w:sz w:val="24"/>
              </w:rPr>
              <w:t>（1）根据中华人民共和国财政部令第87号--《政府采购货物和服务招标投标管理办法》第三十八条供应商在投标截止时间前撤回已提交的响应文件的，采购人或者采购代理机构应当自收到供应商书面撤回通知之日起５个工作日内，退还已收取的</w:t>
            </w:r>
            <w:r>
              <w:rPr>
                <w:rFonts w:hint="eastAsia" w:ascii="宋体" w:hAnsi="宋体" w:cs="宋体"/>
                <w:sz w:val="24"/>
                <w:lang w:eastAsia="zh-CN"/>
              </w:rPr>
              <w:t>磋商保证金</w:t>
            </w:r>
            <w:r>
              <w:rPr>
                <w:rFonts w:hint="eastAsia" w:ascii="宋体" w:hAnsi="宋体" w:cs="宋体"/>
                <w:sz w:val="24"/>
              </w:rPr>
              <w:t>，但因供应商自身原因导致无法及时退还的除外。采购人或者采购代理机构应当自成交通知书发出之日起5个工作日内退还未成交供应商的</w:t>
            </w:r>
            <w:r>
              <w:rPr>
                <w:rFonts w:hint="eastAsia" w:ascii="宋体" w:hAnsi="宋体" w:cs="宋体"/>
                <w:sz w:val="24"/>
                <w:lang w:eastAsia="zh-CN"/>
              </w:rPr>
              <w:t>磋商保证金</w:t>
            </w:r>
            <w:r>
              <w:rPr>
                <w:rFonts w:hint="eastAsia" w:ascii="宋体" w:hAnsi="宋体" w:cs="宋体"/>
                <w:sz w:val="24"/>
              </w:rPr>
              <w:t>，自采购合同签订之日起5个工作日内退还成交供应商的</w:t>
            </w:r>
            <w:r>
              <w:rPr>
                <w:rFonts w:hint="eastAsia" w:ascii="宋体" w:hAnsi="宋体" w:cs="宋体"/>
                <w:sz w:val="24"/>
                <w:lang w:eastAsia="zh-CN"/>
              </w:rPr>
              <w:t>磋商保证金</w:t>
            </w:r>
            <w:r>
              <w:rPr>
                <w:rFonts w:hint="eastAsia" w:ascii="宋体" w:hAnsi="宋体" w:cs="宋体"/>
                <w:sz w:val="24"/>
              </w:rPr>
              <w:t>。</w:t>
            </w:r>
          </w:p>
          <w:p w14:paraId="0DCFDDEB">
            <w:pPr>
              <w:spacing w:line="400" w:lineRule="exact"/>
              <w:jc w:val="left"/>
              <w:rPr>
                <w:rFonts w:hint="eastAsia" w:ascii="宋体" w:hAnsi="宋体" w:cs="宋体"/>
                <w:sz w:val="24"/>
              </w:rPr>
            </w:pPr>
            <w:r>
              <w:rPr>
                <w:rFonts w:hint="eastAsia" w:ascii="宋体" w:hAnsi="宋体" w:cs="宋体"/>
                <w:sz w:val="24"/>
              </w:rPr>
              <w:t>（2）成交供应商的</w:t>
            </w:r>
            <w:r>
              <w:rPr>
                <w:rFonts w:hint="eastAsia" w:ascii="宋体" w:hAnsi="宋体" w:cs="宋体"/>
                <w:sz w:val="24"/>
                <w:lang w:eastAsia="zh-CN"/>
              </w:rPr>
              <w:t>磋商保证金</w:t>
            </w:r>
            <w:r>
              <w:rPr>
                <w:rFonts w:hint="eastAsia" w:ascii="宋体" w:hAnsi="宋体" w:cs="宋体"/>
                <w:sz w:val="24"/>
              </w:rPr>
              <w:t>在与采购单位签订合同后，把合同扫描件发送至邮箱3792498034@qq.com后，当日或次日即原账户退回。</w:t>
            </w:r>
          </w:p>
        </w:tc>
      </w:tr>
      <w:tr w14:paraId="6F17222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95" w:hRule="atLeast"/>
        </w:trPr>
        <w:tc>
          <w:tcPr>
            <w:tcW w:w="867" w:type="dxa"/>
            <w:vAlign w:val="center"/>
          </w:tcPr>
          <w:p w14:paraId="6C22128D">
            <w:pPr>
              <w:spacing w:line="400" w:lineRule="exact"/>
              <w:rPr>
                <w:rFonts w:hint="eastAsia" w:ascii="宋体" w:hAnsi="宋体" w:cs="宋体"/>
                <w:sz w:val="24"/>
              </w:rPr>
            </w:pPr>
            <w:r>
              <w:rPr>
                <w:rFonts w:hint="eastAsia" w:ascii="宋体" w:hAnsi="宋体" w:cs="宋体"/>
                <w:sz w:val="24"/>
              </w:rPr>
              <w:t>13.1</w:t>
            </w:r>
          </w:p>
        </w:tc>
        <w:tc>
          <w:tcPr>
            <w:tcW w:w="8500" w:type="dxa"/>
            <w:vAlign w:val="center"/>
          </w:tcPr>
          <w:p w14:paraId="05D7361C">
            <w:pPr>
              <w:spacing w:line="400" w:lineRule="exact"/>
              <w:rPr>
                <w:rFonts w:hint="eastAsia" w:ascii="宋体" w:hAnsi="宋体" w:cs="宋体"/>
                <w:sz w:val="24"/>
                <w:u w:val="single"/>
              </w:rPr>
            </w:pPr>
            <w:r>
              <w:rPr>
                <w:rFonts w:hint="eastAsia" w:ascii="宋体" w:hAnsi="宋体" w:cs="宋体"/>
                <w:sz w:val="24"/>
              </w:rPr>
              <w:t>投标有效期：</w:t>
            </w:r>
            <w:r>
              <w:rPr>
                <w:rFonts w:hint="eastAsia" w:ascii="宋体" w:hAnsi="宋体" w:cs="宋体"/>
                <w:sz w:val="24"/>
                <w:u w:val="single"/>
              </w:rPr>
              <w:t>　90　</w:t>
            </w:r>
            <w:r>
              <w:rPr>
                <w:rFonts w:hint="eastAsia" w:ascii="宋体" w:hAnsi="宋体" w:cs="宋体"/>
                <w:sz w:val="24"/>
              </w:rPr>
              <w:t>日历日</w:t>
            </w:r>
          </w:p>
        </w:tc>
      </w:tr>
      <w:tr w14:paraId="47ADD4F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61" w:hRule="atLeast"/>
        </w:trPr>
        <w:tc>
          <w:tcPr>
            <w:tcW w:w="867" w:type="dxa"/>
            <w:vAlign w:val="center"/>
          </w:tcPr>
          <w:p w14:paraId="2D20B665">
            <w:pPr>
              <w:spacing w:line="400" w:lineRule="exact"/>
              <w:rPr>
                <w:rFonts w:hint="eastAsia" w:ascii="宋体" w:hAnsi="宋体" w:cs="宋体"/>
                <w:sz w:val="24"/>
              </w:rPr>
            </w:pPr>
            <w:r>
              <w:rPr>
                <w:rFonts w:hint="eastAsia" w:ascii="宋体" w:hAnsi="宋体" w:cs="宋体"/>
                <w:sz w:val="24"/>
              </w:rPr>
              <w:t>14.1</w:t>
            </w:r>
          </w:p>
        </w:tc>
        <w:tc>
          <w:tcPr>
            <w:tcW w:w="8500" w:type="dxa"/>
            <w:vAlign w:val="center"/>
          </w:tcPr>
          <w:p w14:paraId="6E44E403">
            <w:pPr>
              <w:spacing w:line="400" w:lineRule="exact"/>
              <w:rPr>
                <w:rFonts w:hint="eastAsia" w:ascii="宋体" w:hAnsi="宋体" w:cs="宋体"/>
                <w:sz w:val="24"/>
              </w:rPr>
            </w:pPr>
            <w:r>
              <w:rPr>
                <w:rFonts w:hint="eastAsia" w:ascii="宋体" w:hAnsi="宋体" w:cs="宋体"/>
                <w:sz w:val="24"/>
              </w:rPr>
              <w:t>（1）本项目为电子招投标，供应商需要使用CA加密设备，凡参加本项目必须可自主通过新疆CA申领渠道“新疆政务通”申请政采云平台可使用的CA设备，如原有兵团或公共资源使用的CA，可与新疆CA联系，申请增加电子证书即可，无需重复申领。如需咨询，请联系新疆CA服务热线0991-2819290。</w:t>
            </w:r>
          </w:p>
          <w:p w14:paraId="6C884075">
            <w:pPr>
              <w:spacing w:line="400" w:lineRule="exact"/>
              <w:rPr>
                <w:rFonts w:hint="eastAsia" w:ascii="宋体" w:hAnsi="宋体" w:cs="宋体"/>
                <w:sz w:val="24"/>
              </w:rPr>
            </w:pPr>
            <w:r>
              <w:rPr>
                <w:rFonts w:hint="eastAsia" w:ascii="宋体" w:hAnsi="宋体" w:cs="宋体"/>
                <w:sz w:val="24"/>
              </w:rPr>
              <w:t>（2）本项目实行网上磋商，采用电子响应文件(供应商须使用CA加密设备通过政采云电子投标客户端制作响应文件)。若供应商参与投标，自行承担投标一切费用。</w:t>
            </w:r>
          </w:p>
          <w:p w14:paraId="0AE78758">
            <w:pPr>
              <w:spacing w:line="400" w:lineRule="exact"/>
              <w:rPr>
                <w:rFonts w:hint="eastAsia" w:ascii="宋体" w:hAnsi="宋体" w:cs="宋体"/>
                <w:sz w:val="24"/>
              </w:rPr>
            </w:pPr>
            <w:r>
              <w:rPr>
                <w:rFonts w:hint="eastAsia" w:ascii="宋体" w:hAnsi="宋体" w:cs="宋体"/>
                <w:sz w:val="24"/>
              </w:rPr>
              <w:t>（3）各供应商应在开标前应确保成为新疆政府采购网正式注册入库供应商，并完成CA数字证书申领。因未注册入库、未办理CA数字证书等原因造成无法投标或投标失败等后果由供应商自行承担。</w:t>
            </w:r>
          </w:p>
          <w:p w14:paraId="3DE29E26">
            <w:pPr>
              <w:spacing w:line="400" w:lineRule="exact"/>
              <w:rPr>
                <w:rFonts w:hint="eastAsia" w:ascii="宋体" w:hAnsi="宋体" w:cs="宋体"/>
                <w:sz w:val="24"/>
              </w:rPr>
            </w:pPr>
            <w:r>
              <w:rPr>
                <w:rFonts w:hint="eastAsia" w:ascii="宋体" w:hAnsi="宋体" w:cs="宋体"/>
                <w:sz w:val="24"/>
              </w:rPr>
              <w:t>（4）供应商将政采云电子交易客户端下载、安装完成后，可通过账号密码或CA登录客户端进行响应文件制作。在使用政采云投标客户端时，建议使用WIN7及以上操作系统。客户端请至新疆政府采购网（http://www.ccgp-xinjiang.gov.cn/）下载专区查看，如有问题可拨打政采云客户服务热线95763进行咨询。</w:t>
            </w:r>
          </w:p>
          <w:p w14:paraId="6C9BB8FE">
            <w:pPr>
              <w:spacing w:line="400" w:lineRule="exact"/>
              <w:rPr>
                <w:rFonts w:hint="eastAsia" w:ascii="宋体" w:hAnsi="宋体" w:cs="宋体"/>
                <w:sz w:val="24"/>
              </w:rPr>
            </w:pPr>
            <w:r>
              <w:rPr>
                <w:rFonts w:hint="eastAsia" w:ascii="宋体" w:hAnsi="宋体" w:cs="宋体"/>
                <w:sz w:val="24"/>
              </w:rPr>
              <w:t>（5）供应商在开标时须使用制作加密电子响应文件所使用的CA锁及电脑，电脑须提前配置好浏览器（建议使用360浏览器或谷歌浏览器），以便开标时解锁。</w:t>
            </w:r>
          </w:p>
          <w:p w14:paraId="11AEA6BC">
            <w:pPr>
              <w:spacing w:line="400" w:lineRule="exact"/>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磋商保证金</w:t>
            </w:r>
            <w:r>
              <w:rPr>
                <w:rFonts w:hint="eastAsia" w:ascii="宋体" w:hAnsi="宋体" w:cs="宋体"/>
                <w:sz w:val="24"/>
              </w:rPr>
              <w:t>缴纳及确认时间：凡拟参加本次招标项目的供应商，必须在开标前将</w:t>
            </w:r>
            <w:r>
              <w:rPr>
                <w:rFonts w:hint="eastAsia" w:ascii="宋体" w:hAnsi="宋体" w:cs="宋体"/>
                <w:sz w:val="24"/>
                <w:lang w:eastAsia="zh-CN"/>
              </w:rPr>
              <w:t>磋商保证金</w:t>
            </w:r>
            <w:r>
              <w:rPr>
                <w:rFonts w:hint="eastAsia" w:ascii="宋体" w:hAnsi="宋体" w:cs="宋体"/>
                <w:sz w:val="24"/>
              </w:rPr>
              <w:t>汇入指定账户。否则，届时其投标将被拒绝。</w:t>
            </w:r>
          </w:p>
          <w:p w14:paraId="444CE937">
            <w:pPr>
              <w:spacing w:line="400" w:lineRule="exact"/>
              <w:rPr>
                <w:rFonts w:hint="eastAsia" w:ascii="宋体" w:hAnsi="宋体" w:cs="宋体"/>
                <w:sz w:val="24"/>
              </w:rPr>
            </w:pPr>
            <w:r>
              <w:rPr>
                <w:rFonts w:hint="eastAsia" w:ascii="宋体" w:hAnsi="宋体" w:cs="宋体"/>
                <w:sz w:val="24"/>
              </w:rPr>
              <w:t>（7）供应商对不见面开评标系统的技术操作咨询，可通过https://edu.zcygov.cn/luban/xinjiang-e-biding自助查询，也可在政采云帮助中心常见问题解答和操作流程讲解视频中自助查询，网址为：https://service.zcygov.cn/#/help，“项目采购”—“操作流程-电子招投标”—“政府采购项目电子交易管理操作指南-供应商”版面获取操作指南，同时对自助查询无法解决的问题可通过钉钉群及政采云在线客服获取服务支持。供应商钉钉群号：政采云新疆网超供应商服务二十群：35547618（如已加入1-19群，无需重复加入），钉钉工具软件具有回放功能，直播培训结束后可在钉钉群中回放观看学习。</w:t>
            </w:r>
          </w:p>
          <w:p w14:paraId="532802CB">
            <w:pPr>
              <w:spacing w:line="400" w:lineRule="exact"/>
              <w:rPr>
                <w:rFonts w:hint="eastAsia" w:ascii="宋体" w:hAnsi="宋体" w:cs="宋体"/>
                <w:sz w:val="24"/>
              </w:rPr>
            </w:pPr>
            <w:r>
              <w:rPr>
                <w:rFonts w:hint="eastAsia" w:ascii="宋体" w:hAnsi="宋体" w:cs="宋体"/>
                <w:sz w:val="24"/>
              </w:rPr>
              <w:t>（8）各供应商须在磋商截止时间前完成在系统上递交电子响应文件。投标供应商的电子响应文件是经过CA证书加密后上传提交的，任何单位或个人均无法在磋商截止时间(即磋商时间)之前查看或篡改，不存在泄密风险。（严格按照政采云电子投标流程制作并上传完整版的电子响应文件后缀为.jmbs，包含第一部分磋商一览表及资格证明文件、第二部分商务及技术文件）</w:t>
            </w:r>
          </w:p>
          <w:p w14:paraId="78067B50">
            <w:pPr>
              <w:spacing w:line="400" w:lineRule="exact"/>
              <w:rPr>
                <w:rFonts w:hint="eastAsia" w:ascii="宋体" w:hAnsi="宋体" w:cs="宋体"/>
                <w:sz w:val="24"/>
              </w:rPr>
            </w:pPr>
            <w:r>
              <w:rPr>
                <w:rFonts w:hint="eastAsia" w:ascii="宋体" w:hAnsi="宋体" w:cs="宋体"/>
                <w:sz w:val="24"/>
              </w:rPr>
              <w:t>（9）各供应商应完整地按磋商文件提供的响应文件格式及要求编写响应文件，根据平台关联点上传对应佐证资料，响应文件应包括“磋商一览表及资格证明文件”和“商务及技术文件”两部分，两部分合并成完整一册上传至政采云平台。供应商应承担上传失误产生的任何后果。</w:t>
            </w:r>
          </w:p>
          <w:p w14:paraId="32021FA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eastAsia"/>
              </w:rPr>
            </w:pPr>
            <w:r>
              <w:rPr>
                <w:rFonts w:hint="eastAsia" w:ascii="宋体" w:hAnsi="宋体" w:cs="宋体"/>
                <w:b/>
                <w:bCs/>
                <w:color w:val="auto"/>
                <w:sz w:val="20"/>
                <w:szCs w:val="20"/>
                <w:highlight w:val="none"/>
                <w:lang w:val="en-US" w:eastAsia="zh-CN"/>
              </w:rPr>
              <w:t>（提示：供应商在政采云投标客户端中制作上传投标文件时，须将完整版投标文件.pdf上传至该系统中的“商务及技术文件”模块。）</w:t>
            </w:r>
          </w:p>
          <w:p w14:paraId="6B32B281">
            <w:pPr>
              <w:spacing w:line="400" w:lineRule="exact"/>
              <w:rPr>
                <w:rFonts w:hint="eastAsia" w:ascii="宋体" w:hAnsi="宋体" w:cs="宋体"/>
                <w:sz w:val="24"/>
              </w:rPr>
            </w:pPr>
            <w:r>
              <w:rPr>
                <w:rFonts w:hint="eastAsia" w:ascii="宋体" w:hAnsi="宋体" w:cs="宋体"/>
                <w:sz w:val="24"/>
              </w:rPr>
              <w:t>（10）解密时长为30分钟，超出解密时长，作无效投标处理。</w:t>
            </w:r>
          </w:p>
          <w:p w14:paraId="6A32A045">
            <w:pPr>
              <w:spacing w:line="400" w:lineRule="exact"/>
              <w:jc w:val="left"/>
              <w:rPr>
                <w:rFonts w:hint="eastAsia" w:ascii="宋体" w:hAnsi="宋体" w:cs="宋体"/>
                <w:sz w:val="24"/>
              </w:rPr>
            </w:pPr>
            <w:r>
              <w:rPr>
                <w:rFonts w:hint="eastAsia" w:ascii="宋体" w:hAnsi="宋体" w:cs="宋体"/>
                <w:b/>
                <w:bCs/>
                <w:sz w:val="24"/>
              </w:rPr>
              <w:t>本项目采用竞争性磋商，在评审过程中有磋商环节，须供应商不离开电脑。（①请各供应商调试好台式电脑或笔记本电脑，须上线进行视频磋商，注意视频是能看到人像和声音的；②磋商结束后，还须上传二轮报价表，请各供应商提前调试好系统驱动，确保能在规定时间内提交二轮报价。）</w:t>
            </w:r>
          </w:p>
        </w:tc>
      </w:tr>
      <w:tr w14:paraId="16B9A44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402" w:hRule="atLeast"/>
        </w:trPr>
        <w:tc>
          <w:tcPr>
            <w:tcW w:w="867" w:type="dxa"/>
            <w:vAlign w:val="center"/>
          </w:tcPr>
          <w:p w14:paraId="601B4BE3">
            <w:pPr>
              <w:spacing w:line="400" w:lineRule="exact"/>
              <w:jc w:val="left"/>
              <w:rPr>
                <w:rFonts w:hint="eastAsia" w:ascii="宋体" w:hAnsi="宋体" w:cs="宋体"/>
                <w:sz w:val="24"/>
              </w:rPr>
            </w:pPr>
            <w:r>
              <w:rPr>
                <w:rFonts w:hint="eastAsia" w:ascii="宋体" w:hAnsi="宋体" w:cs="宋体"/>
                <w:sz w:val="24"/>
              </w:rPr>
              <w:t>16.1</w:t>
            </w:r>
          </w:p>
        </w:tc>
        <w:tc>
          <w:tcPr>
            <w:tcW w:w="8500" w:type="dxa"/>
            <w:vAlign w:val="center"/>
          </w:tcPr>
          <w:p w14:paraId="508C847F">
            <w:pPr>
              <w:spacing w:line="400" w:lineRule="exact"/>
              <w:jc w:val="left"/>
              <w:rPr>
                <w:rFonts w:hint="eastAsia" w:ascii="宋体" w:hAnsi="宋体" w:cs="宋体"/>
                <w:b/>
                <w:bCs/>
                <w:sz w:val="24"/>
                <w:highlight w:val="none"/>
              </w:rPr>
            </w:pPr>
            <w:r>
              <w:rPr>
                <w:rFonts w:hint="eastAsia" w:ascii="宋体" w:hAnsi="宋体" w:cs="宋体"/>
                <w:sz w:val="24"/>
              </w:rPr>
              <w:t>响应截止时间</w:t>
            </w:r>
            <w:r>
              <w:rPr>
                <w:rFonts w:hint="eastAsia" w:ascii="宋体" w:hAnsi="宋体" w:cs="宋体"/>
                <w:b/>
                <w:bCs/>
                <w:sz w:val="24"/>
              </w:rPr>
              <w:t>：</w:t>
            </w:r>
            <w:r>
              <w:rPr>
                <w:rFonts w:hint="eastAsia" w:ascii="宋体" w:hAnsi="宋体" w:cs="宋体"/>
                <w:b/>
                <w:bCs/>
                <w:sz w:val="24"/>
                <w:highlight w:val="none"/>
                <w:lang w:eastAsia="zh-CN"/>
              </w:rPr>
              <w:t>202</w:t>
            </w:r>
            <w:r>
              <w:rPr>
                <w:rFonts w:hint="eastAsia" w:ascii="宋体" w:hAnsi="宋体" w:cs="宋体"/>
                <w:b/>
                <w:bCs/>
                <w:sz w:val="24"/>
                <w:highlight w:val="none"/>
                <w:lang w:val="en-US" w:eastAsia="zh-CN"/>
              </w:rPr>
              <w:t>6</w:t>
            </w:r>
            <w:r>
              <w:rPr>
                <w:rFonts w:hint="eastAsia" w:ascii="宋体" w:hAnsi="宋体" w:cs="宋体"/>
                <w:b/>
                <w:bCs/>
                <w:sz w:val="24"/>
                <w:highlight w:val="none"/>
                <w:lang w:eastAsia="zh-CN"/>
              </w:rPr>
              <w:t>年</w:t>
            </w:r>
            <w:r>
              <w:rPr>
                <w:rFonts w:hint="eastAsia" w:ascii="宋体" w:hAnsi="宋体" w:cs="宋体"/>
                <w:b/>
                <w:bCs/>
                <w:sz w:val="24"/>
                <w:highlight w:val="none"/>
                <w:lang w:val="en-US" w:eastAsia="zh-CN"/>
              </w:rPr>
              <w:t xml:space="preserve"> 5</w:t>
            </w:r>
            <w:r>
              <w:rPr>
                <w:rFonts w:hint="eastAsia" w:ascii="宋体" w:hAnsi="宋体" w:cs="宋体"/>
                <w:b/>
                <w:bCs/>
                <w:sz w:val="24"/>
                <w:highlight w:val="none"/>
                <w:lang w:eastAsia="zh-CN"/>
              </w:rPr>
              <w:t>月</w:t>
            </w:r>
            <w:r>
              <w:rPr>
                <w:rFonts w:hint="eastAsia" w:ascii="宋体" w:hAnsi="宋体" w:cs="宋体"/>
                <w:b/>
                <w:bCs/>
                <w:sz w:val="24"/>
                <w:highlight w:val="none"/>
                <w:lang w:val="en-US" w:eastAsia="zh-CN"/>
              </w:rPr>
              <w:t>28</w:t>
            </w:r>
            <w:r>
              <w:rPr>
                <w:rFonts w:hint="eastAsia" w:ascii="宋体" w:hAnsi="宋体" w:cs="宋体"/>
                <w:b/>
                <w:bCs/>
                <w:sz w:val="24"/>
                <w:highlight w:val="none"/>
                <w:lang w:eastAsia="zh-CN"/>
              </w:rPr>
              <w:t>日1</w:t>
            </w:r>
            <w:r>
              <w:rPr>
                <w:rFonts w:hint="eastAsia" w:ascii="宋体" w:hAnsi="宋体" w:cs="宋体"/>
                <w:b/>
                <w:bCs/>
                <w:sz w:val="24"/>
                <w:highlight w:val="none"/>
                <w:lang w:val="en-US" w:eastAsia="zh-CN"/>
              </w:rPr>
              <w:t>1</w:t>
            </w:r>
            <w:r>
              <w:rPr>
                <w:rFonts w:hint="eastAsia" w:ascii="宋体" w:hAnsi="宋体" w:cs="宋体"/>
                <w:b/>
                <w:bCs/>
                <w:sz w:val="24"/>
                <w:highlight w:val="none"/>
                <w:lang w:eastAsia="zh-CN"/>
              </w:rPr>
              <w:t>:</w:t>
            </w:r>
            <w:r>
              <w:rPr>
                <w:rFonts w:hint="eastAsia" w:ascii="宋体" w:hAnsi="宋体" w:cs="宋体"/>
                <w:b/>
                <w:bCs/>
                <w:sz w:val="24"/>
                <w:highlight w:val="none"/>
                <w:lang w:val="en-US" w:eastAsia="zh-CN"/>
              </w:rPr>
              <w:t>0</w:t>
            </w:r>
            <w:r>
              <w:rPr>
                <w:rFonts w:hint="eastAsia" w:ascii="宋体" w:hAnsi="宋体" w:cs="宋体"/>
                <w:b/>
                <w:bCs/>
                <w:sz w:val="24"/>
                <w:highlight w:val="none"/>
                <w:lang w:eastAsia="zh-CN"/>
              </w:rPr>
              <w:t>0</w:t>
            </w:r>
            <w:r>
              <w:rPr>
                <w:rFonts w:hint="eastAsia" w:ascii="宋体" w:hAnsi="宋体" w:cs="宋体"/>
                <w:b/>
                <w:bCs/>
                <w:sz w:val="24"/>
                <w:highlight w:val="none"/>
              </w:rPr>
              <w:t>（北京时间）</w:t>
            </w:r>
          </w:p>
          <w:p w14:paraId="4D364B8E">
            <w:pPr>
              <w:pStyle w:val="10"/>
              <w:rPr>
                <w:rFonts w:hint="eastAsia" w:cs="宋体"/>
              </w:rPr>
            </w:pPr>
            <w:r>
              <w:rPr>
                <w:rFonts w:hint="eastAsia" w:cs="宋体"/>
              </w:rPr>
              <w:t>地点：</w:t>
            </w:r>
            <w:r>
              <w:rPr>
                <w:rFonts w:hint="eastAsia" w:cs="宋体"/>
                <w:b/>
                <w:bCs/>
              </w:rPr>
              <w:t>请登录政采云投标客户端投标</w:t>
            </w:r>
          </w:p>
        </w:tc>
      </w:tr>
      <w:tr w14:paraId="22E702C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834" w:hRule="atLeast"/>
        </w:trPr>
        <w:tc>
          <w:tcPr>
            <w:tcW w:w="867" w:type="dxa"/>
            <w:vAlign w:val="center"/>
          </w:tcPr>
          <w:p w14:paraId="54F7F903">
            <w:pPr>
              <w:spacing w:line="400" w:lineRule="exact"/>
              <w:jc w:val="left"/>
              <w:rPr>
                <w:rFonts w:hint="eastAsia" w:ascii="宋体" w:hAnsi="宋体" w:cs="宋体"/>
                <w:sz w:val="24"/>
              </w:rPr>
            </w:pPr>
            <w:r>
              <w:rPr>
                <w:rFonts w:hint="eastAsia" w:ascii="宋体" w:hAnsi="宋体" w:cs="宋体"/>
                <w:sz w:val="24"/>
              </w:rPr>
              <w:t>18.1</w:t>
            </w:r>
          </w:p>
        </w:tc>
        <w:tc>
          <w:tcPr>
            <w:tcW w:w="8500" w:type="dxa"/>
            <w:vAlign w:val="center"/>
          </w:tcPr>
          <w:p w14:paraId="2C718E4A">
            <w:pPr>
              <w:spacing w:line="400" w:lineRule="exact"/>
              <w:jc w:val="left"/>
              <w:rPr>
                <w:rFonts w:hint="eastAsia" w:ascii="宋体" w:hAnsi="宋体" w:cs="宋体"/>
                <w:sz w:val="24"/>
                <w:highlight w:val="yellow"/>
              </w:rPr>
            </w:pPr>
            <w:r>
              <w:rPr>
                <w:rFonts w:hint="eastAsia" w:ascii="宋体" w:hAnsi="宋体" w:cs="宋体"/>
                <w:sz w:val="24"/>
              </w:rPr>
              <w:t>磋商时间：</w:t>
            </w:r>
            <w:r>
              <w:rPr>
                <w:rFonts w:hint="eastAsia" w:ascii="宋体" w:hAnsi="宋体" w:cs="宋体"/>
                <w:b/>
                <w:bCs/>
                <w:sz w:val="24"/>
                <w:highlight w:val="none"/>
                <w:lang w:eastAsia="zh-CN"/>
              </w:rPr>
              <w:t>2026年5月28日11:00（北京时间）</w:t>
            </w:r>
          </w:p>
          <w:p w14:paraId="0678B1B5">
            <w:pPr>
              <w:spacing w:line="400" w:lineRule="exact"/>
              <w:jc w:val="left"/>
              <w:rPr>
                <w:rFonts w:hint="eastAsia" w:ascii="宋体" w:hAnsi="宋体" w:cs="宋体"/>
                <w:sz w:val="24"/>
              </w:rPr>
            </w:pPr>
            <w:r>
              <w:rPr>
                <w:rFonts w:hint="eastAsia" w:ascii="宋体" w:hAnsi="宋体" w:cs="宋体"/>
                <w:sz w:val="24"/>
              </w:rPr>
              <w:t>磋商地点：</w:t>
            </w:r>
            <w:r>
              <w:rPr>
                <w:rFonts w:hint="eastAsia" w:ascii="宋体" w:hAnsi="宋体" w:cs="宋体"/>
                <w:b/>
                <w:bCs/>
                <w:sz w:val="24"/>
              </w:rPr>
              <w:t>供应商登录政采云平台https://www.zcygov.cn/，进入“项目采购-开标评标-右边选择对应项目点击“进入项目”进入开标大厅。</w:t>
            </w:r>
          </w:p>
        </w:tc>
      </w:tr>
      <w:tr w14:paraId="1167389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05FBC77F">
            <w:pPr>
              <w:spacing w:line="400" w:lineRule="exact"/>
              <w:jc w:val="left"/>
              <w:rPr>
                <w:rFonts w:hint="eastAsia" w:ascii="宋体" w:hAnsi="宋体" w:cs="宋体"/>
                <w:sz w:val="24"/>
              </w:rPr>
            </w:pPr>
            <w:r>
              <w:rPr>
                <w:rFonts w:hint="eastAsia" w:ascii="宋体" w:hAnsi="宋体" w:cs="宋体"/>
                <w:sz w:val="24"/>
              </w:rPr>
              <w:t>23.2</w:t>
            </w:r>
          </w:p>
        </w:tc>
        <w:tc>
          <w:tcPr>
            <w:tcW w:w="8500" w:type="dxa"/>
            <w:vAlign w:val="center"/>
          </w:tcPr>
          <w:p w14:paraId="3E80145E">
            <w:pPr>
              <w:spacing w:line="400" w:lineRule="exact"/>
              <w:rPr>
                <w:rFonts w:hint="eastAsia" w:ascii="宋体" w:hAnsi="宋体" w:cs="宋体"/>
                <w:i/>
                <w:sz w:val="24"/>
              </w:rPr>
            </w:pPr>
            <w:r>
              <w:rPr>
                <w:rFonts w:hint="eastAsia" w:ascii="宋体" w:hAnsi="宋体" w:cs="宋体"/>
                <w:sz w:val="24"/>
              </w:rPr>
              <w:t>评审方法：适用</w:t>
            </w:r>
            <w:r>
              <w:rPr>
                <w:rFonts w:hint="eastAsia" w:ascii="宋体" w:hAnsi="宋体" w:cs="宋体"/>
                <w:sz w:val="24"/>
                <w:u w:val="single"/>
              </w:rPr>
              <w:t xml:space="preserve"> 综合评分法 </w:t>
            </w:r>
          </w:p>
        </w:tc>
      </w:tr>
      <w:tr w14:paraId="30938B0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0967DFC6">
            <w:pPr>
              <w:spacing w:line="400" w:lineRule="exact"/>
              <w:jc w:val="left"/>
              <w:rPr>
                <w:rFonts w:hint="eastAsia" w:ascii="宋体" w:hAnsi="宋体" w:cs="宋体"/>
                <w:b/>
                <w:bCs/>
                <w:sz w:val="24"/>
              </w:rPr>
            </w:pPr>
            <w:r>
              <w:rPr>
                <w:rFonts w:hint="eastAsia" w:ascii="宋体" w:hAnsi="宋体" w:cs="宋体"/>
                <w:b/>
                <w:bCs/>
                <w:sz w:val="24"/>
              </w:rPr>
              <w:t>23.3</w:t>
            </w:r>
          </w:p>
        </w:tc>
        <w:tc>
          <w:tcPr>
            <w:tcW w:w="8500" w:type="dxa"/>
            <w:vAlign w:val="center"/>
          </w:tcPr>
          <w:p w14:paraId="3A9A9DD7">
            <w:pPr>
              <w:spacing w:line="400" w:lineRule="exact"/>
              <w:rPr>
                <w:rFonts w:hint="eastAsia" w:ascii="宋体" w:hAnsi="宋体" w:cs="宋体"/>
                <w:b/>
                <w:bCs/>
                <w:sz w:val="24"/>
              </w:rPr>
            </w:pPr>
            <w:r>
              <w:rPr>
                <w:rFonts w:hint="eastAsia" w:ascii="宋体" w:hAnsi="宋体" w:cs="宋体"/>
                <w:b/>
                <w:bCs/>
                <w:sz w:val="24"/>
              </w:rPr>
              <w:t>本项目所属行业：</w:t>
            </w:r>
            <w:r>
              <w:rPr>
                <w:rFonts w:hint="eastAsia" w:ascii="宋体" w:hAnsi="宋体" w:cs="宋体"/>
                <w:b/>
                <w:bCs/>
                <w:sz w:val="24"/>
                <w:lang w:eastAsia="zh-CN"/>
              </w:rPr>
              <w:t>建筑</w:t>
            </w:r>
            <w:r>
              <w:rPr>
                <w:rFonts w:hint="eastAsia" w:ascii="宋体" w:hAnsi="宋体" w:cs="宋体"/>
                <w:b/>
                <w:bCs/>
                <w:sz w:val="24"/>
              </w:rPr>
              <w:t>业</w:t>
            </w:r>
          </w:p>
        </w:tc>
      </w:tr>
      <w:tr w14:paraId="228FC27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42" w:hRule="atLeast"/>
        </w:trPr>
        <w:tc>
          <w:tcPr>
            <w:tcW w:w="867" w:type="dxa"/>
            <w:vAlign w:val="center"/>
          </w:tcPr>
          <w:p w14:paraId="3C8670A8">
            <w:pPr>
              <w:spacing w:line="400" w:lineRule="exact"/>
              <w:jc w:val="left"/>
              <w:rPr>
                <w:rFonts w:hint="eastAsia" w:ascii="宋体" w:hAnsi="宋体" w:cs="宋体"/>
                <w:sz w:val="24"/>
              </w:rPr>
            </w:pPr>
            <w:r>
              <w:rPr>
                <w:rFonts w:hint="eastAsia" w:ascii="宋体" w:hAnsi="宋体" w:cs="宋体"/>
                <w:sz w:val="24"/>
              </w:rPr>
              <w:t>27</w:t>
            </w:r>
          </w:p>
        </w:tc>
        <w:tc>
          <w:tcPr>
            <w:tcW w:w="8500" w:type="dxa"/>
            <w:vAlign w:val="center"/>
          </w:tcPr>
          <w:p w14:paraId="6B6331FD">
            <w:pPr>
              <w:spacing w:line="400" w:lineRule="exact"/>
              <w:rPr>
                <w:rFonts w:hint="eastAsia" w:ascii="宋体" w:hAnsi="宋体" w:cs="宋体"/>
                <w:sz w:val="24"/>
              </w:rPr>
            </w:pPr>
            <w:r>
              <w:rPr>
                <w:rFonts w:hint="eastAsia" w:ascii="宋体" w:hAnsi="宋体" w:cs="宋体"/>
                <w:sz w:val="24"/>
              </w:rPr>
              <w:t>推荐成交候选供应商的数量：</w:t>
            </w:r>
            <w:r>
              <w:rPr>
                <w:rFonts w:hint="eastAsia" w:ascii="宋体" w:hAnsi="宋体" w:cs="宋体"/>
                <w:sz w:val="24"/>
                <w:u w:val="single"/>
              </w:rPr>
              <w:t xml:space="preserve"> 3 </w:t>
            </w:r>
          </w:p>
        </w:tc>
      </w:tr>
      <w:tr w14:paraId="1419C33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82" w:hRule="atLeast"/>
        </w:trPr>
        <w:tc>
          <w:tcPr>
            <w:tcW w:w="867" w:type="dxa"/>
            <w:vAlign w:val="center"/>
          </w:tcPr>
          <w:p w14:paraId="32198E7A">
            <w:pPr>
              <w:spacing w:line="400" w:lineRule="exact"/>
              <w:jc w:val="left"/>
              <w:rPr>
                <w:rFonts w:hint="eastAsia" w:ascii="宋体" w:hAnsi="宋体" w:cs="宋体"/>
                <w:sz w:val="24"/>
              </w:rPr>
            </w:pPr>
            <w:r>
              <w:rPr>
                <w:rFonts w:hint="eastAsia" w:ascii="宋体" w:hAnsi="宋体" w:cs="宋体"/>
                <w:sz w:val="24"/>
              </w:rPr>
              <w:t>27.1</w:t>
            </w:r>
          </w:p>
        </w:tc>
        <w:tc>
          <w:tcPr>
            <w:tcW w:w="8500" w:type="dxa"/>
            <w:vAlign w:val="center"/>
          </w:tcPr>
          <w:p w14:paraId="7AEB9299">
            <w:pPr>
              <w:spacing w:line="400" w:lineRule="exact"/>
              <w:rPr>
                <w:rFonts w:hint="eastAsia" w:ascii="宋体" w:hAnsi="宋体" w:cs="宋体"/>
                <w:sz w:val="24"/>
              </w:rPr>
            </w:pPr>
            <w:r>
              <w:rPr>
                <w:rFonts w:hint="eastAsia" w:ascii="宋体" w:hAnsi="宋体" w:cs="宋体"/>
                <w:sz w:val="24"/>
              </w:rPr>
              <w:t>采购人是否委托磋商小组直接确定成交人：</w:t>
            </w:r>
            <w:r>
              <w:rPr>
                <w:rFonts w:hint="eastAsia" w:ascii="宋体" w:hAnsi="宋体" w:cs="宋体"/>
                <w:sz w:val="24"/>
                <w:u w:val="single"/>
              </w:rPr>
              <w:t xml:space="preserve"> 否 </w:t>
            </w:r>
            <w:r>
              <w:rPr>
                <w:rFonts w:hint="eastAsia" w:ascii="宋体" w:hAnsi="宋体" w:cs="宋体"/>
                <w:sz w:val="24"/>
              </w:rPr>
              <w:t xml:space="preserve"> </w:t>
            </w:r>
            <w:r>
              <w:rPr>
                <w:rFonts w:hint="eastAsia" w:ascii="宋体" w:hAnsi="宋体" w:cs="宋体"/>
                <w:i/>
                <w:sz w:val="24"/>
              </w:rPr>
              <w:t>（是、否）</w:t>
            </w:r>
          </w:p>
        </w:tc>
      </w:tr>
      <w:tr w14:paraId="01849DE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1441" w:hRule="atLeast"/>
        </w:trPr>
        <w:tc>
          <w:tcPr>
            <w:tcW w:w="867" w:type="dxa"/>
            <w:vAlign w:val="center"/>
          </w:tcPr>
          <w:p w14:paraId="5AA217E1">
            <w:pPr>
              <w:spacing w:line="400" w:lineRule="exact"/>
              <w:rPr>
                <w:rFonts w:hint="eastAsia" w:ascii="宋体" w:hAnsi="宋体" w:cs="宋体"/>
                <w:sz w:val="24"/>
              </w:rPr>
            </w:pPr>
            <w:r>
              <w:rPr>
                <w:rFonts w:hint="eastAsia" w:ascii="宋体" w:hAnsi="宋体" w:cs="宋体"/>
                <w:sz w:val="24"/>
              </w:rPr>
              <w:t>31.1</w:t>
            </w:r>
          </w:p>
        </w:tc>
        <w:tc>
          <w:tcPr>
            <w:tcW w:w="8500" w:type="dxa"/>
            <w:vAlign w:val="center"/>
          </w:tcPr>
          <w:p w14:paraId="75042F69">
            <w:pPr>
              <w:spacing w:line="400" w:lineRule="exact"/>
              <w:rPr>
                <w:rFonts w:hint="eastAsia" w:ascii="宋体" w:hAnsi="宋体" w:cs="宋体"/>
                <w:i/>
                <w:sz w:val="24"/>
              </w:rPr>
            </w:pPr>
            <w:r>
              <w:rPr>
                <w:rFonts w:hint="eastAsia" w:ascii="宋体" w:hAnsi="宋体" w:cs="宋体"/>
                <w:sz w:val="24"/>
              </w:rPr>
              <w:t>履约保证金金额：合同总价的</w:t>
            </w:r>
            <w:r>
              <w:rPr>
                <w:rFonts w:hint="eastAsia" w:ascii="宋体" w:hAnsi="宋体" w:cs="宋体"/>
                <w:sz w:val="24"/>
                <w:u w:val="single"/>
              </w:rPr>
              <w:t>　</w:t>
            </w:r>
            <w:r>
              <w:rPr>
                <w:rFonts w:hint="eastAsia" w:ascii="宋体" w:hAnsi="宋体" w:cs="宋体"/>
                <w:b/>
                <w:bCs/>
                <w:sz w:val="24"/>
                <w:u w:val="single"/>
              </w:rPr>
              <w:t>10%</w:t>
            </w:r>
            <w:r>
              <w:rPr>
                <w:rFonts w:hint="eastAsia" w:ascii="宋体" w:hAnsi="宋体" w:cs="宋体"/>
                <w:sz w:val="24"/>
                <w:u w:val="single"/>
              </w:rPr>
              <w:t>　</w:t>
            </w:r>
            <w:r>
              <w:rPr>
                <w:rFonts w:hint="eastAsia" w:ascii="宋体" w:hAnsi="宋体" w:cs="宋体"/>
                <w:sz w:val="24"/>
              </w:rPr>
              <w:t>（不得超过政府采购合同金额的10%）</w:t>
            </w:r>
          </w:p>
          <w:p w14:paraId="061CA002">
            <w:pPr>
              <w:spacing w:line="400" w:lineRule="exact"/>
              <w:rPr>
                <w:rFonts w:hint="eastAsia" w:ascii="宋体" w:hAnsi="宋体" w:cs="宋体"/>
                <w:sz w:val="24"/>
                <w:u w:val="single"/>
              </w:rPr>
            </w:pPr>
            <w:r>
              <w:rPr>
                <w:rFonts w:hint="eastAsia" w:ascii="宋体" w:hAnsi="宋体" w:cs="宋体"/>
                <w:sz w:val="24"/>
              </w:rPr>
              <w:t>履约保证金形式：</w:t>
            </w:r>
            <w:r>
              <w:rPr>
                <w:rFonts w:hint="eastAsia" w:ascii="宋体" w:hAnsi="宋体" w:cs="宋体"/>
                <w:sz w:val="24"/>
                <w:u w:val="single"/>
              </w:rPr>
              <w:t xml:space="preserve"> ☑银行转账  ☑保函  ☑支票  ☑汇票  ☑本票 </w:t>
            </w:r>
          </w:p>
          <w:p w14:paraId="262A1BF4">
            <w:pPr>
              <w:spacing w:line="400" w:lineRule="exact"/>
              <w:rPr>
                <w:rFonts w:hint="eastAsia" w:ascii="宋体" w:hAnsi="宋体" w:cs="宋体"/>
                <w:sz w:val="24"/>
              </w:rPr>
            </w:pPr>
            <w:r>
              <w:rPr>
                <w:rFonts w:hint="eastAsia" w:ascii="宋体" w:hAnsi="宋体" w:cs="宋体"/>
                <w:sz w:val="24"/>
              </w:rPr>
              <w:t xml:space="preserve">提交履约保证金的时间：签订合同前打入甲方指定账户 </w:t>
            </w:r>
          </w:p>
          <w:p w14:paraId="46764F68">
            <w:pPr>
              <w:spacing w:line="400" w:lineRule="exact"/>
              <w:rPr>
                <w:rFonts w:hint="eastAsia" w:ascii="宋体" w:hAnsi="宋体" w:cs="宋体"/>
                <w:sz w:val="24"/>
                <w:u w:val="single"/>
              </w:rPr>
            </w:pPr>
            <w:r>
              <w:rPr>
                <w:rFonts w:hint="eastAsia" w:ascii="宋体" w:hAnsi="宋体" w:cs="宋体"/>
                <w:sz w:val="24"/>
              </w:rPr>
              <w:t>注：</w:t>
            </w:r>
            <w:r>
              <w:rPr>
                <w:rFonts w:hint="eastAsia" w:ascii="宋体" w:hAnsi="宋体" w:cs="宋体"/>
                <w:sz w:val="24"/>
                <w:lang w:val="zh-CN"/>
              </w:rPr>
              <w:t>双方可以通过协商另行约定其他退还时间和方式及用途。</w:t>
            </w:r>
          </w:p>
        </w:tc>
      </w:tr>
      <w:tr w14:paraId="02B25AAD">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307" w:hRule="atLeast"/>
        </w:trPr>
        <w:tc>
          <w:tcPr>
            <w:tcW w:w="867" w:type="dxa"/>
            <w:vAlign w:val="center"/>
          </w:tcPr>
          <w:p w14:paraId="4A934701">
            <w:pPr>
              <w:spacing w:line="400" w:lineRule="exact"/>
              <w:rPr>
                <w:rFonts w:hint="eastAsia" w:ascii="宋体" w:hAnsi="宋体" w:cs="宋体"/>
                <w:sz w:val="24"/>
              </w:rPr>
            </w:pPr>
            <w:r>
              <w:rPr>
                <w:rFonts w:hint="eastAsia" w:ascii="宋体" w:hAnsi="宋体" w:cs="宋体"/>
                <w:sz w:val="24"/>
              </w:rPr>
              <w:t>32</w:t>
            </w:r>
          </w:p>
        </w:tc>
        <w:tc>
          <w:tcPr>
            <w:tcW w:w="8500" w:type="dxa"/>
            <w:vAlign w:val="center"/>
          </w:tcPr>
          <w:p w14:paraId="5EEED348">
            <w:pPr>
              <w:spacing w:line="400" w:lineRule="exact"/>
              <w:rPr>
                <w:rFonts w:hint="default" w:ascii="宋体" w:hAnsi="宋体" w:cs="宋体"/>
                <w:sz w:val="24"/>
                <w:highlight w:val="none"/>
                <w:lang w:val="en-US" w:eastAsia="zh-CN"/>
              </w:rPr>
            </w:pPr>
            <w:r>
              <w:rPr>
                <w:rFonts w:hint="eastAsia" w:ascii="宋体" w:hAnsi="宋体" w:cs="宋体"/>
                <w:sz w:val="24"/>
              </w:rPr>
              <w:t>招标代理服务费（成交服务费）：</w:t>
            </w:r>
            <w:bookmarkStart w:id="42" w:name="OLE_LINK2"/>
            <w:r>
              <w:rPr>
                <w:rFonts w:hint="eastAsia" w:ascii="宋体" w:hAnsi="宋体" w:cs="宋体"/>
                <w:sz w:val="24"/>
                <w:highlight w:val="none"/>
              </w:rPr>
              <w:t>参照发改价格【2015】299文，招标代理服务费由采购单位和代理机构协商确定，由中标单位支付，100万以下按1.5%计取；100万-500万按1.1%计取；500万-1000万按0.8%计取；1000万-5000万按0.5%计取</w:t>
            </w:r>
            <w:r>
              <w:rPr>
                <w:rFonts w:hint="eastAsia" w:ascii="宋体" w:hAnsi="宋体" w:cs="宋体"/>
                <w:sz w:val="24"/>
                <w:highlight w:val="none"/>
                <w:lang w:eastAsia="zh-CN"/>
              </w:rPr>
              <w:t>；</w:t>
            </w:r>
            <w:r>
              <w:rPr>
                <w:rFonts w:hint="eastAsia" w:ascii="宋体" w:hAnsi="宋体" w:cs="宋体"/>
                <w:sz w:val="24"/>
                <w:highlight w:val="none"/>
                <w:lang w:val="en-US" w:eastAsia="zh-CN"/>
              </w:rPr>
              <w:t>清单编制费为4000元整。</w:t>
            </w:r>
          </w:p>
          <w:bookmarkEnd w:id="42"/>
          <w:p w14:paraId="4E7E8879">
            <w:pPr>
              <w:spacing w:line="400" w:lineRule="exact"/>
              <w:rPr>
                <w:rFonts w:hint="eastAsia" w:ascii="宋体" w:hAnsi="宋体" w:cs="宋体"/>
                <w:sz w:val="24"/>
              </w:rPr>
            </w:pPr>
            <w:r>
              <w:rPr>
                <w:rFonts w:hint="eastAsia" w:ascii="宋体" w:hAnsi="宋体" w:cs="宋体"/>
                <w:sz w:val="24"/>
                <w:lang w:val="en-US" w:eastAsia="zh-CN"/>
              </w:rPr>
              <w:t>支付时间：代理服务费及清单编制费由成交单位领取成交通知书时一次性支付。</w:t>
            </w:r>
          </w:p>
        </w:tc>
      </w:tr>
      <w:tr w14:paraId="1F36A9F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5AF50584">
            <w:pPr>
              <w:spacing w:line="400" w:lineRule="exact"/>
              <w:rPr>
                <w:rFonts w:hint="eastAsia" w:ascii="宋体" w:hAnsi="宋体" w:cs="宋体"/>
                <w:sz w:val="24"/>
              </w:rPr>
            </w:pPr>
            <w:r>
              <w:rPr>
                <w:rFonts w:hint="eastAsia" w:ascii="宋体" w:hAnsi="宋体" w:cs="宋体"/>
                <w:sz w:val="24"/>
              </w:rPr>
              <w:t>33.1</w:t>
            </w:r>
          </w:p>
        </w:tc>
        <w:tc>
          <w:tcPr>
            <w:tcW w:w="8500" w:type="dxa"/>
            <w:vAlign w:val="center"/>
          </w:tcPr>
          <w:p w14:paraId="6A1282BC">
            <w:pPr>
              <w:spacing w:line="400" w:lineRule="exact"/>
              <w:rPr>
                <w:rFonts w:hint="eastAsia" w:ascii="宋体" w:hAnsi="宋体" w:cs="宋体"/>
                <w:sz w:val="24"/>
              </w:rPr>
            </w:pPr>
            <w:r>
              <w:rPr>
                <w:rFonts w:hint="eastAsia" w:ascii="宋体" w:hAnsi="宋体" w:cs="宋体"/>
                <w:sz w:val="24"/>
              </w:rPr>
              <w:t>本项目是否属于信用担保试点范围：</w:t>
            </w:r>
            <w:r>
              <w:rPr>
                <w:rFonts w:hint="eastAsia" w:ascii="宋体" w:hAnsi="宋体" w:cs="宋体"/>
                <w:sz w:val="24"/>
                <w:u w:val="single"/>
              </w:rPr>
              <w:t xml:space="preserve">  </w:t>
            </w:r>
            <w:r>
              <w:rPr>
                <w:rFonts w:hint="eastAsia" w:ascii="宋体" w:hAnsi="宋体" w:cs="宋体"/>
                <w:sz w:val="24"/>
                <w:u w:val="single"/>
                <w:lang w:eastAsia="zh-CN"/>
              </w:rPr>
              <w:t>是</w:t>
            </w:r>
            <w:r>
              <w:rPr>
                <w:rFonts w:hint="eastAsia" w:ascii="宋体" w:hAnsi="宋体" w:cs="宋体"/>
                <w:sz w:val="24"/>
                <w:u w:val="single"/>
              </w:rPr>
              <w:t xml:space="preserve"> </w:t>
            </w:r>
            <w:r>
              <w:rPr>
                <w:rFonts w:hint="eastAsia" w:ascii="宋体" w:hAnsi="宋体" w:cs="宋体"/>
                <w:sz w:val="24"/>
              </w:rPr>
              <w:t xml:space="preserve"> </w:t>
            </w:r>
            <w:r>
              <w:rPr>
                <w:rFonts w:hint="eastAsia" w:ascii="宋体" w:hAnsi="宋体" w:cs="宋体"/>
                <w:i/>
                <w:sz w:val="24"/>
              </w:rPr>
              <w:t>（</w:t>
            </w:r>
            <w:r>
              <w:rPr>
                <w:rFonts w:hint="eastAsia" w:ascii="宋体" w:hAnsi="宋体" w:cs="宋体"/>
                <w:sz w:val="24"/>
              </w:rPr>
              <w:t>是、否）</w:t>
            </w:r>
          </w:p>
        </w:tc>
      </w:tr>
      <w:tr w14:paraId="2362E23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867" w:type="dxa"/>
            <w:vAlign w:val="center"/>
          </w:tcPr>
          <w:p w14:paraId="6D3E1395">
            <w:pPr>
              <w:spacing w:line="400" w:lineRule="exact"/>
              <w:rPr>
                <w:rFonts w:hint="eastAsia" w:ascii="宋体" w:hAnsi="宋体" w:eastAsia="宋体" w:cs="宋体"/>
                <w:sz w:val="24"/>
              </w:rPr>
            </w:pPr>
            <w:r>
              <w:rPr>
                <w:rFonts w:hint="eastAsia" w:ascii="宋体" w:hAnsi="宋体" w:eastAsia="宋体" w:cs="宋体"/>
                <w:b/>
                <w:bCs/>
                <w:sz w:val="24"/>
              </w:rPr>
              <w:t>注意事项</w:t>
            </w:r>
          </w:p>
        </w:tc>
        <w:tc>
          <w:tcPr>
            <w:tcW w:w="8500" w:type="dxa"/>
            <w:vAlign w:val="center"/>
          </w:tcPr>
          <w:p w14:paraId="09E4098F">
            <w:pPr>
              <w:spacing w:line="400" w:lineRule="exact"/>
              <w:rPr>
                <w:rFonts w:hint="eastAsia" w:ascii="宋体" w:hAnsi="宋体" w:eastAsia="宋体" w:cs="宋体"/>
                <w:b/>
                <w:bCs/>
                <w:sz w:val="24"/>
              </w:rPr>
            </w:pPr>
            <w:r>
              <w:rPr>
                <w:rFonts w:hint="eastAsia" w:ascii="宋体" w:hAnsi="宋体" w:eastAsia="宋体" w:cs="宋体"/>
                <w:b/>
                <w:bCs/>
                <w:sz w:val="24"/>
              </w:rPr>
              <w:t>各供应商应当认真阅读以下条款，否则后果自行承担：</w:t>
            </w:r>
          </w:p>
          <w:p w14:paraId="07758DE0">
            <w:pPr>
              <w:spacing w:line="400" w:lineRule="exact"/>
              <w:rPr>
                <w:rFonts w:hint="eastAsia" w:ascii="宋体" w:hAnsi="宋体" w:eastAsia="宋体" w:cs="宋体"/>
                <w:b/>
                <w:bCs/>
                <w:sz w:val="24"/>
              </w:rPr>
            </w:pPr>
            <w:r>
              <w:rPr>
                <w:rFonts w:hint="eastAsia" w:ascii="宋体" w:hAnsi="宋体" w:eastAsia="宋体" w:cs="宋体"/>
                <w:b/>
                <w:bCs/>
                <w:sz w:val="24"/>
              </w:rPr>
              <w:t>（1）参加本项目所有供应商应当提供真实有效佐证资料，不得存在弄虚作假骗取成交行为，一经发现将取消成交资格并列入黑名单。</w:t>
            </w:r>
          </w:p>
          <w:p w14:paraId="63A6384B">
            <w:pPr>
              <w:spacing w:line="400" w:lineRule="exact"/>
              <w:rPr>
                <w:rFonts w:hint="eastAsia" w:ascii="宋体" w:hAnsi="宋体" w:eastAsia="宋体" w:cs="宋体"/>
                <w:b/>
                <w:bCs/>
                <w:sz w:val="24"/>
              </w:rPr>
            </w:pPr>
            <w:r>
              <w:rPr>
                <w:rFonts w:hint="eastAsia" w:ascii="宋体" w:hAnsi="宋体" w:eastAsia="宋体" w:cs="宋体"/>
                <w:b/>
                <w:bCs/>
                <w:sz w:val="24"/>
              </w:rPr>
              <w:t>（2）供应商上传响应文件时，为确保文件的可读性，提供的内容须清晰可见，若因响应文件不清晰造成的后果，由投标供应商自行承担。</w:t>
            </w:r>
          </w:p>
          <w:p w14:paraId="60B67478">
            <w:pPr>
              <w:spacing w:line="400" w:lineRule="exact"/>
              <w:rPr>
                <w:rFonts w:hint="eastAsia" w:ascii="宋体" w:hAnsi="宋体" w:eastAsia="宋体" w:cs="宋体"/>
                <w:b/>
                <w:bCs/>
                <w:sz w:val="24"/>
              </w:rPr>
            </w:pPr>
            <w:r>
              <w:rPr>
                <w:rFonts w:hint="eastAsia" w:ascii="宋体" w:hAnsi="宋体" w:eastAsia="宋体" w:cs="宋体"/>
                <w:b/>
                <w:bCs/>
                <w:sz w:val="24"/>
              </w:rPr>
              <w:t>（3）各投标供应商应充分考虑报价合理性，不得恶意低价竞标。</w:t>
            </w:r>
          </w:p>
          <w:p w14:paraId="66F7F3F7">
            <w:pPr>
              <w:spacing w:line="400" w:lineRule="exact"/>
              <w:rPr>
                <w:rFonts w:hint="eastAsia" w:ascii="宋体" w:hAnsi="宋体" w:eastAsia="宋体" w:cs="宋体"/>
                <w:b/>
                <w:bCs/>
                <w:sz w:val="24"/>
              </w:rPr>
            </w:pPr>
            <w:r>
              <w:rPr>
                <w:rFonts w:hint="eastAsia" w:ascii="宋体" w:hAnsi="宋体" w:eastAsia="宋体" w:cs="宋体"/>
                <w:b/>
                <w:bCs/>
                <w:sz w:val="24"/>
              </w:rPr>
              <w:t>（4）根据财政部国库司《关于推动解决政府采购异常低价问题的通知》（财库〔2026〕2号），为整治政府采购领域“内卷式”竞争，形成优质优价、良性竞争的市场秩序，规范政府采购项目评审，防范履约风险，现将政府采购异常低价审查要求及程序明确如下：</w:t>
            </w:r>
          </w:p>
          <w:p w14:paraId="037126B6">
            <w:pPr>
              <w:spacing w:line="400" w:lineRule="exact"/>
              <w:rPr>
                <w:rFonts w:hint="eastAsia" w:ascii="宋体" w:hAnsi="宋体" w:eastAsia="宋体" w:cs="宋体"/>
                <w:b/>
                <w:bCs/>
                <w:sz w:val="24"/>
              </w:rPr>
            </w:pPr>
            <w:r>
              <w:rPr>
                <w:rFonts w:hint="eastAsia" w:ascii="宋体" w:hAnsi="宋体" w:eastAsia="宋体" w:cs="宋体"/>
                <w:b/>
                <w:bCs/>
                <w:sz w:val="24"/>
              </w:rPr>
              <w:t>①投标报价低于全部通过符合性审查供应商投标报价平均值50%的；</w:t>
            </w:r>
          </w:p>
          <w:p w14:paraId="1C4AB5E5">
            <w:pPr>
              <w:spacing w:line="400" w:lineRule="exact"/>
              <w:rPr>
                <w:rFonts w:hint="eastAsia" w:ascii="宋体" w:hAnsi="宋体" w:eastAsia="宋体" w:cs="宋体"/>
                <w:b/>
                <w:bCs/>
                <w:sz w:val="24"/>
              </w:rPr>
            </w:pPr>
            <w:r>
              <w:rPr>
                <w:rFonts w:hint="eastAsia" w:ascii="宋体" w:hAnsi="宋体" w:eastAsia="宋体" w:cs="宋体"/>
                <w:b/>
                <w:bCs/>
                <w:sz w:val="24"/>
              </w:rPr>
              <w:t>②投标报价低于通过符合性审查的次低报价供应商投标报价50%的；</w:t>
            </w:r>
          </w:p>
          <w:p w14:paraId="55E11A3E">
            <w:pPr>
              <w:spacing w:line="400" w:lineRule="exact"/>
              <w:rPr>
                <w:rFonts w:hint="eastAsia" w:ascii="宋体" w:hAnsi="宋体" w:eastAsia="宋体" w:cs="宋体"/>
                <w:b/>
                <w:bCs/>
                <w:sz w:val="24"/>
              </w:rPr>
            </w:pPr>
            <w:r>
              <w:rPr>
                <w:rFonts w:hint="eastAsia" w:ascii="宋体" w:hAnsi="宋体" w:eastAsia="宋体" w:cs="宋体"/>
                <w:b/>
                <w:bCs/>
                <w:sz w:val="24"/>
              </w:rPr>
              <w:t>③投标报价低于采购项目最高限价45%的；</w:t>
            </w:r>
          </w:p>
          <w:p w14:paraId="7F3AC84F">
            <w:pPr>
              <w:spacing w:line="400" w:lineRule="exact"/>
              <w:rPr>
                <w:rFonts w:hint="eastAsia" w:ascii="宋体" w:hAnsi="宋体" w:eastAsia="宋体" w:cs="宋体"/>
                <w:b/>
                <w:bCs/>
                <w:sz w:val="24"/>
              </w:rPr>
            </w:pPr>
            <w:r>
              <w:rPr>
                <w:rFonts w:hint="eastAsia" w:ascii="宋体" w:hAnsi="宋体" w:eastAsia="宋体" w:cs="宋体"/>
                <w:b/>
                <w:bCs/>
                <w:sz w:val="24"/>
              </w:rPr>
              <w:t>④评审委员会基于专业判断，认为供应商报价过低，有可能影响产品质量或者不能诚信履约的其他情形。</w:t>
            </w:r>
          </w:p>
          <w:p w14:paraId="06E6562C">
            <w:pPr>
              <w:spacing w:line="400" w:lineRule="exact"/>
              <w:rPr>
                <w:rFonts w:hint="eastAsia" w:ascii="宋体" w:hAnsi="宋体" w:eastAsia="宋体" w:cs="宋体"/>
                <w:sz w:val="24"/>
              </w:rPr>
            </w:pPr>
            <w:r>
              <w:rPr>
                <w:rFonts w:hint="eastAsia" w:ascii="宋体" w:hAnsi="宋体" w:eastAsia="宋体" w:cs="宋体"/>
                <w:b/>
                <w:bCs/>
                <w:sz w:val="24"/>
              </w:rPr>
              <w:t>评审委员会启动异常低价审查后，属于前述第1项至第4项情形的，应当要求相关供应商在30分钟内对投标价格作出解释，提供项目具体成本测算等与报价合理性相关的书面说明及必要的证明材料，包括但不限于原材料成本、人工成本、制造费用等。投标供应商不能提供书面说明、证明材料，或者提供的书面说明、证明材料不能证明其报价合理性的，评审委员会应当将其作为无效投标处理。</w:t>
            </w:r>
          </w:p>
        </w:tc>
      </w:tr>
      <w:tr w14:paraId="1CC51F9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287" w:hRule="atLeast"/>
        </w:trPr>
        <w:tc>
          <w:tcPr>
            <w:tcW w:w="9367" w:type="dxa"/>
            <w:gridSpan w:val="2"/>
            <w:vAlign w:val="center"/>
          </w:tcPr>
          <w:p w14:paraId="1E7842E8">
            <w:pPr>
              <w:spacing w:line="400" w:lineRule="exact"/>
              <w:rPr>
                <w:rFonts w:hint="eastAsia" w:ascii="宋体" w:hAnsi="宋体" w:eastAsia="宋体" w:cs="宋体"/>
                <w:b/>
                <w:bCs/>
                <w:sz w:val="24"/>
              </w:rPr>
            </w:pPr>
            <w:r>
              <w:rPr>
                <w:rFonts w:hint="eastAsia" w:ascii="宋体" w:hAnsi="宋体" w:eastAsia="宋体" w:cs="宋体"/>
                <w:b/>
                <w:bCs/>
                <w:sz w:val="24"/>
              </w:rPr>
              <w:t>磋商文件中或有其它未尽事宜，以合同签订为准。</w:t>
            </w:r>
          </w:p>
        </w:tc>
      </w:tr>
    </w:tbl>
    <w:p w14:paraId="49D3BE85">
      <w:pPr>
        <w:pStyle w:val="7"/>
      </w:pPr>
    </w:p>
    <w:p w14:paraId="17E95A92">
      <w:pPr>
        <w:rPr>
          <w:rFonts w:hint="eastAsia" w:ascii="宋体" w:hAnsi="宋体" w:cs="宋体"/>
          <w:b/>
          <w:bCs/>
          <w:sz w:val="28"/>
          <w:szCs w:val="21"/>
        </w:rPr>
      </w:pPr>
    </w:p>
    <w:p w14:paraId="6222BBEA">
      <w:pPr>
        <w:rPr>
          <w:rFonts w:hint="eastAsia" w:ascii="宋体" w:hAnsi="宋体" w:cs="宋体"/>
          <w:b/>
          <w:bCs/>
          <w:sz w:val="28"/>
          <w:szCs w:val="21"/>
        </w:rPr>
      </w:pPr>
    </w:p>
    <w:p w14:paraId="5068A832">
      <w:pPr>
        <w:rPr>
          <w:rFonts w:hint="eastAsia" w:ascii="宋体" w:hAnsi="宋体" w:cs="宋体"/>
          <w:b/>
          <w:bCs/>
          <w:sz w:val="28"/>
          <w:szCs w:val="21"/>
        </w:rPr>
      </w:pPr>
    </w:p>
    <w:p w14:paraId="0712FB56">
      <w:pPr>
        <w:rPr>
          <w:rFonts w:hint="eastAsia" w:ascii="宋体" w:hAnsi="宋体" w:cs="宋体"/>
          <w:b/>
          <w:bCs/>
          <w:sz w:val="28"/>
          <w:szCs w:val="21"/>
        </w:rPr>
      </w:pPr>
    </w:p>
    <w:p w14:paraId="47349807">
      <w:pPr>
        <w:rPr>
          <w:rFonts w:hint="eastAsia" w:ascii="宋体" w:hAnsi="宋体" w:cs="宋体"/>
          <w:b/>
          <w:bCs/>
          <w:sz w:val="28"/>
          <w:szCs w:val="21"/>
        </w:rPr>
      </w:pPr>
    </w:p>
    <w:p w14:paraId="2E0118FC">
      <w:pPr>
        <w:rPr>
          <w:rFonts w:hint="eastAsia" w:ascii="宋体" w:hAnsi="宋体" w:cs="宋体"/>
          <w:b/>
          <w:bCs/>
          <w:sz w:val="28"/>
          <w:szCs w:val="21"/>
        </w:rPr>
      </w:pPr>
    </w:p>
    <w:p w14:paraId="622069D7">
      <w:pPr>
        <w:rPr>
          <w:rFonts w:hint="eastAsia" w:ascii="宋体" w:hAnsi="宋体" w:cs="宋体"/>
          <w:b/>
          <w:bCs/>
          <w:sz w:val="28"/>
          <w:szCs w:val="21"/>
        </w:rPr>
      </w:pPr>
    </w:p>
    <w:p w14:paraId="2ADFFC84">
      <w:pPr>
        <w:rPr>
          <w:rFonts w:hint="eastAsia" w:ascii="宋体" w:hAnsi="宋体" w:cs="宋体"/>
          <w:b/>
          <w:bCs/>
          <w:sz w:val="28"/>
          <w:szCs w:val="21"/>
        </w:rPr>
      </w:pPr>
    </w:p>
    <w:p w14:paraId="125A747D">
      <w:pPr>
        <w:pStyle w:val="7"/>
        <w:ind w:firstLine="0"/>
        <w:jc w:val="center"/>
        <w:outlineLvl w:val="0"/>
        <w:rPr>
          <w:rFonts w:hint="eastAsia" w:ascii="宋体" w:hAnsi="宋体" w:eastAsia="宋体" w:cs="宋体"/>
          <w:b/>
          <w:bCs/>
          <w:color w:val="auto"/>
          <w:sz w:val="36"/>
          <w:szCs w:val="36"/>
          <w:highlight w:val="none"/>
          <w:lang w:val="en-US" w:eastAsia="zh-CN"/>
        </w:rPr>
      </w:pPr>
      <w:bookmarkStart w:id="43" w:name="_Toc15596"/>
      <w:bookmarkStart w:id="44" w:name="_Toc16668"/>
      <w:bookmarkStart w:id="45" w:name="_Toc14025"/>
      <w:r>
        <w:rPr>
          <w:rFonts w:hint="eastAsia" w:ascii="宋体" w:hAnsi="宋体" w:eastAsia="宋体" w:cs="宋体"/>
          <w:b/>
          <w:bCs/>
          <w:color w:val="auto"/>
          <w:sz w:val="36"/>
          <w:szCs w:val="36"/>
          <w:highlight w:val="none"/>
          <w:lang w:val="en-US" w:eastAsia="zh-CN"/>
        </w:rPr>
        <w:t xml:space="preserve">第3章 </w:t>
      </w:r>
      <w:bookmarkStart w:id="46" w:name="_Toc515647756"/>
      <w:r>
        <w:rPr>
          <w:rFonts w:hint="eastAsia" w:ascii="宋体" w:hAnsi="宋体" w:eastAsia="宋体" w:cs="宋体"/>
          <w:b/>
          <w:bCs/>
          <w:color w:val="auto"/>
          <w:sz w:val="36"/>
          <w:szCs w:val="36"/>
          <w:highlight w:val="none"/>
          <w:lang w:val="en-US" w:eastAsia="zh-CN"/>
        </w:rPr>
        <w:t>供应商须知</w:t>
      </w:r>
      <w:bookmarkEnd w:id="43"/>
      <w:bookmarkEnd w:id="44"/>
      <w:bookmarkEnd w:id="45"/>
      <w:bookmarkEnd w:id="46"/>
    </w:p>
    <w:p w14:paraId="3E5669CD">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rPr>
      </w:pPr>
      <w:bookmarkStart w:id="47" w:name="_Toc515647757"/>
      <w:bookmarkStart w:id="48" w:name="_Toc520356143"/>
      <w:bookmarkStart w:id="49" w:name="_Toc216582805"/>
      <w:bookmarkStart w:id="50" w:name="_Toc21015"/>
      <w:bookmarkStart w:id="51" w:name="_Toc30955"/>
      <w:bookmarkStart w:id="52" w:name="_Toc19329"/>
      <w:bookmarkStart w:id="53" w:name="_Toc15321"/>
      <w:bookmarkStart w:id="54" w:name="_Toc21215"/>
      <w:bookmarkStart w:id="55" w:name="_Toc11227"/>
      <w:bookmarkStart w:id="56" w:name="_Toc20699"/>
      <w:r>
        <w:rPr>
          <w:rFonts w:hint="eastAsia" w:ascii="宋体" w:hAnsi="宋体" w:eastAsia="宋体" w:cs="宋体"/>
          <w:b/>
          <w:i w:val="0"/>
          <w:color w:val="auto"/>
          <w:spacing w:val="0"/>
          <w:w w:val="100"/>
          <w:sz w:val="32"/>
          <w:szCs w:val="32"/>
          <w:highlight w:val="none"/>
        </w:rPr>
        <w:t xml:space="preserve">一   </w:t>
      </w:r>
      <w:bookmarkEnd w:id="47"/>
      <w:bookmarkEnd w:id="48"/>
      <w:bookmarkEnd w:id="49"/>
      <w:r>
        <w:rPr>
          <w:rFonts w:hint="eastAsia" w:ascii="宋体" w:hAnsi="宋体" w:eastAsia="宋体" w:cs="宋体"/>
          <w:b/>
          <w:i w:val="0"/>
          <w:color w:val="auto"/>
          <w:spacing w:val="0"/>
          <w:w w:val="100"/>
          <w:sz w:val="32"/>
          <w:szCs w:val="32"/>
          <w:highlight w:val="none"/>
        </w:rPr>
        <w:t>总 则</w:t>
      </w:r>
      <w:bookmarkEnd w:id="50"/>
      <w:bookmarkEnd w:id="51"/>
      <w:bookmarkEnd w:id="52"/>
      <w:bookmarkEnd w:id="53"/>
      <w:bookmarkEnd w:id="54"/>
      <w:bookmarkEnd w:id="55"/>
      <w:bookmarkEnd w:id="56"/>
    </w:p>
    <w:p w14:paraId="62C7E3FD">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7" w:name="_Toc2450"/>
      <w:bookmarkStart w:id="58" w:name="_Toc32623"/>
      <w:bookmarkStart w:id="59" w:name="_Toc12861"/>
      <w:bookmarkStart w:id="60" w:name="_Toc13517"/>
      <w:bookmarkStart w:id="61" w:name="_Toc11808"/>
      <w:bookmarkStart w:id="62" w:name="_Toc29554"/>
      <w:bookmarkStart w:id="63" w:name="_Toc515647758"/>
      <w:bookmarkStart w:id="64" w:name="_Toc31685"/>
      <w:bookmarkStart w:id="65" w:name="_Toc15441"/>
      <w:bookmarkStart w:id="66" w:name="_Toc333"/>
      <w:bookmarkStart w:id="67" w:name="_Toc16847"/>
      <w:bookmarkStart w:id="68" w:name="_Toc32189"/>
      <w:bookmarkStart w:id="69" w:name="_Toc520356144"/>
      <w:bookmarkStart w:id="70" w:name="_Toc30546"/>
      <w:bookmarkStart w:id="71" w:name="_Toc6802"/>
      <w:bookmarkStart w:id="72" w:name="_Toc11065"/>
      <w:r>
        <w:rPr>
          <w:rFonts w:hint="eastAsia" w:ascii="宋体" w:hAnsi="宋体" w:eastAsia="宋体" w:cs="宋体"/>
          <w:b/>
          <w:color w:val="auto"/>
          <w:sz w:val="28"/>
          <w:szCs w:val="28"/>
          <w:highlight w:val="none"/>
          <w:lang w:val="en-US" w:eastAsia="zh-CN"/>
        </w:rPr>
        <w:t>1.采购人、采购代理机构及</w:t>
      </w:r>
      <w:bookmarkEnd w:id="57"/>
      <w:bookmarkEnd w:id="58"/>
      <w:bookmarkEnd w:id="59"/>
      <w:bookmarkEnd w:id="60"/>
      <w:bookmarkEnd w:id="61"/>
      <w:bookmarkEnd w:id="62"/>
      <w:bookmarkEnd w:id="63"/>
      <w:bookmarkEnd w:id="64"/>
      <w:bookmarkEnd w:id="65"/>
      <w:bookmarkEnd w:id="66"/>
      <w:bookmarkEnd w:id="67"/>
      <w:bookmarkEnd w:id="68"/>
      <w:bookmarkEnd w:id="69"/>
      <w:r>
        <w:rPr>
          <w:rFonts w:hint="eastAsia" w:ascii="宋体" w:hAnsi="宋体" w:eastAsia="宋体" w:cs="宋体"/>
          <w:b/>
          <w:color w:val="auto"/>
          <w:sz w:val="28"/>
          <w:szCs w:val="28"/>
          <w:highlight w:val="none"/>
          <w:lang w:val="en-US" w:eastAsia="zh-CN"/>
        </w:rPr>
        <w:t>供应商</w:t>
      </w:r>
      <w:bookmarkEnd w:id="70"/>
      <w:bookmarkEnd w:id="71"/>
      <w:bookmarkEnd w:id="72"/>
    </w:p>
    <w:p w14:paraId="2F25849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1.1    </w:t>
      </w:r>
      <w:r>
        <w:rPr>
          <w:rFonts w:hint="eastAsia" w:ascii="宋体" w:hAnsi="宋体" w:eastAsia="宋体" w:cs="宋体"/>
          <w:color w:val="auto"/>
          <w:sz w:val="24"/>
          <w:szCs w:val="24"/>
          <w:highlight w:val="none"/>
        </w:rPr>
        <w:t>采购人：是指依法开展政府采购活动的国家机关、事业单位、团体组织。</w:t>
      </w:r>
    </w:p>
    <w:p w14:paraId="54A446D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本项目的采购人见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3DEEFD1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1.2    </w:t>
      </w:r>
      <w:r>
        <w:rPr>
          <w:rFonts w:hint="eastAsia" w:ascii="宋体" w:hAnsi="宋体" w:eastAsia="宋体" w:cs="宋体"/>
          <w:color w:val="auto"/>
          <w:sz w:val="24"/>
          <w:szCs w:val="24"/>
          <w:highlight w:val="none"/>
        </w:rPr>
        <w:t>采购代理机构：是指在集中采购机构或从事采购代理业务的社会中介</w:t>
      </w:r>
      <w:r>
        <w:rPr>
          <w:rFonts w:hint="eastAsia" w:ascii="宋体" w:hAnsi="宋体" w:eastAsia="宋体" w:cs="宋体"/>
          <w:color w:val="auto"/>
          <w:sz w:val="24"/>
          <w:szCs w:val="24"/>
          <w:highlight w:val="none"/>
          <w:lang w:val="en-US" w:eastAsia="zh-CN"/>
        </w:rPr>
        <w:t>机构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本项目的采购代理机构见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41B077E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1.3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：是指向采购人提供货物、工程或者服务的法人、非法人组织或者自然人。本项目的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及其服务须满足以下条件：</w:t>
      </w:r>
    </w:p>
    <w:p w14:paraId="338D63D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在中华人民共和国境内注册，能够独立承担民事责任，有生产或供应能力的本国供应商。</w:t>
      </w:r>
    </w:p>
    <w:p w14:paraId="70EE0B05">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1.3.2  具备《中华人民共和国政府采购法》第二十二条关于供应商条件的规定，遵守本项目采购人本级和上级财政部门政府采购的有关规定。</w:t>
      </w:r>
    </w:p>
    <w:p w14:paraId="20B4E66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1.3.3   以采购代理机构认可的方式获得了本项目的</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p>
    <w:p w14:paraId="0E15636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1.3.4   符合</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中规定的其他要求。</w:t>
      </w:r>
    </w:p>
    <w:p w14:paraId="2915A41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    如</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中允许联合体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，对联合体规定如下：</w:t>
      </w:r>
    </w:p>
    <w:p w14:paraId="2F4113D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   两个以上供应商可以组成一个</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联合体，以一个</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的身份</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w:t>
      </w:r>
    </w:p>
    <w:p w14:paraId="1AEF498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1.4.2   联合体各方均应符合《中华人民共和国政府采购法》第二十二条规定的条件。</w:t>
      </w:r>
    </w:p>
    <w:p w14:paraId="2EE9FD7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1.4.3   采购人根据采购项目对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的特殊要求，联合体中至少应当有一方符合相关规定。</w:t>
      </w:r>
    </w:p>
    <w:p w14:paraId="486F69C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1.4.4   联合体各方应签订共同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协议，明确约定联合体各方承担的工作和相应的责任，并将共同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协议连同作为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第一部分的内容提交。</w:t>
      </w:r>
    </w:p>
    <w:p w14:paraId="2C5E55E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1.4.5   大中型企业、其他自然人、法人或者非法人组织与小型、微型企业组成联合体共同参加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，共同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协议中应写明小型、微型企业的协议合同金额占到共同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协议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总金额的比例。</w:t>
      </w:r>
    </w:p>
    <w:p w14:paraId="39C881B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1.4.6  联合体中有同类资质的供应商按照联合体分工承担相同工作的，按照较低的资质等级确定联合体的资质等级。</w:t>
      </w:r>
    </w:p>
    <w:p w14:paraId="43DD819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1.4.7  以联合体形式参加政府采购活动的，联合体各方不得再单独参加或者与其他供应商另外组成联合体参加本项目</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，否则相关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5B92DFF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1.4.8   对联合体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的其他资格要求见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766FD28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    单位负责人为同一人或者存在直接控股、管理关系的不同供应商，其相关</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0A1F56A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1.6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过程中不得向采购人提供、给予任何有价值的物品，影响其正常决策行为。一经发现，其将被认定为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35D5B659">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73" w:name="_Toc28511"/>
      <w:bookmarkStart w:id="74" w:name="_Toc9864"/>
      <w:bookmarkStart w:id="75" w:name="_Toc27814"/>
      <w:bookmarkStart w:id="76" w:name="_Toc10189"/>
      <w:bookmarkStart w:id="77" w:name="_Toc26900"/>
      <w:bookmarkStart w:id="78" w:name="_Toc4429"/>
      <w:bookmarkStart w:id="79" w:name="_Toc1760"/>
      <w:bookmarkStart w:id="80" w:name="_Toc1403"/>
      <w:bookmarkStart w:id="81" w:name="_Toc13872"/>
      <w:bookmarkStart w:id="82" w:name="_Toc12139"/>
      <w:bookmarkStart w:id="83" w:name="_Toc515647759"/>
      <w:bookmarkStart w:id="84" w:name="_Toc5286"/>
      <w:bookmarkStart w:id="85" w:name="_Toc25491"/>
      <w:bookmarkStart w:id="86" w:name="_Toc7800"/>
      <w:bookmarkStart w:id="87" w:name="_Toc2966"/>
      <w:bookmarkStart w:id="88" w:name="_Toc32218"/>
      <w:r>
        <w:rPr>
          <w:rFonts w:hint="eastAsia" w:ascii="宋体" w:hAnsi="宋体" w:eastAsia="宋体" w:cs="宋体"/>
          <w:b/>
          <w:color w:val="auto"/>
          <w:sz w:val="28"/>
          <w:szCs w:val="28"/>
          <w:highlight w:val="none"/>
          <w:lang w:val="en-US" w:eastAsia="zh-CN"/>
        </w:rPr>
        <w:t>2.资金来源</w:t>
      </w:r>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530BCF1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本项目的采购人已获得足以支付本次招标后所签订的合同项下的资金（包括财政性资金和本项目采购中无法与财政性资金分割的非财政性资金）。</w:t>
      </w:r>
    </w:p>
    <w:p w14:paraId="4525653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    项目预算金额和分项或分包最高限价</w:t>
      </w:r>
      <w:r>
        <w:rPr>
          <w:rFonts w:hint="eastAsia" w:ascii="宋体" w:hAnsi="宋体" w:eastAsia="宋体" w:cs="宋体"/>
          <w:color w:val="auto"/>
          <w:sz w:val="24"/>
          <w:szCs w:val="24"/>
          <w:highlight w:val="none"/>
          <w:u w:val="single"/>
        </w:rPr>
        <w:t>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13E10D3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报价超过</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规定的预算金额或者分项、分包最高限价的，其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757E6E3A">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89" w:name="_Toc29481"/>
      <w:bookmarkStart w:id="90" w:name="_Toc20526"/>
      <w:bookmarkStart w:id="91" w:name="_Toc520356145"/>
      <w:bookmarkStart w:id="92" w:name="_Toc2269"/>
      <w:bookmarkStart w:id="93" w:name="_Toc14612"/>
      <w:bookmarkStart w:id="94" w:name="_Toc14525"/>
      <w:bookmarkStart w:id="95" w:name="_Toc13320"/>
      <w:bookmarkStart w:id="96" w:name="_Toc30650"/>
      <w:bookmarkStart w:id="97" w:name="_Toc27475"/>
      <w:bookmarkStart w:id="98" w:name="_Toc5207"/>
      <w:bookmarkStart w:id="99" w:name="_Toc19652"/>
      <w:bookmarkStart w:id="100" w:name="_Toc25817"/>
      <w:bookmarkStart w:id="101" w:name="_Toc22731"/>
      <w:bookmarkStart w:id="102" w:name="_Toc20799"/>
      <w:bookmarkStart w:id="103" w:name="_Toc16114"/>
      <w:bookmarkStart w:id="104" w:name="_Toc515647760"/>
      <w:bookmarkStart w:id="105" w:name="_Toc15936"/>
      <w:r>
        <w:rPr>
          <w:rFonts w:hint="eastAsia" w:ascii="宋体" w:hAnsi="宋体" w:eastAsia="宋体" w:cs="宋体"/>
          <w:b/>
          <w:color w:val="auto"/>
          <w:sz w:val="28"/>
          <w:szCs w:val="28"/>
          <w:highlight w:val="none"/>
          <w:lang w:val="en-US" w:eastAsia="zh-CN"/>
        </w:rPr>
        <w:t>3.磋商费用</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14E0AD9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不论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的结果如何，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应承担所有与准备和参加</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有关的费用。</w:t>
      </w:r>
    </w:p>
    <w:p w14:paraId="2D3CAF5A">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106" w:name="_Toc16328"/>
      <w:bookmarkStart w:id="107" w:name="_Toc27687"/>
      <w:bookmarkStart w:id="108" w:name="_Toc6116"/>
      <w:bookmarkStart w:id="109" w:name="_Toc4463"/>
      <w:bookmarkStart w:id="110" w:name="_Toc25853"/>
      <w:bookmarkStart w:id="111" w:name="_Toc515647761"/>
      <w:bookmarkStart w:id="112" w:name="_Toc21641"/>
      <w:bookmarkStart w:id="113" w:name="_Toc1198"/>
      <w:bookmarkStart w:id="114" w:name="_Toc14718"/>
      <w:bookmarkStart w:id="115" w:name="_Toc5853"/>
      <w:bookmarkStart w:id="116" w:name="_Toc15609"/>
      <w:bookmarkStart w:id="117" w:name="_Toc12920"/>
      <w:bookmarkStart w:id="118" w:name="_Toc4133"/>
      <w:bookmarkStart w:id="119" w:name="_Toc23668"/>
      <w:bookmarkStart w:id="120" w:name="_Toc31996"/>
      <w:r>
        <w:rPr>
          <w:rFonts w:hint="eastAsia" w:ascii="宋体" w:hAnsi="宋体" w:eastAsia="宋体" w:cs="宋体"/>
          <w:b/>
          <w:color w:val="auto"/>
          <w:sz w:val="28"/>
          <w:szCs w:val="28"/>
          <w:highlight w:val="none"/>
          <w:lang w:val="en-US" w:eastAsia="zh-CN"/>
        </w:rPr>
        <w:t>4.适用法律</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612AA54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本项目采购人、采购代理机构、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的相关行为均受《中华人民共和国政府采购法》、《中华人民共和国政府采购法实施条例》</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中华人民共和国财政部令74号</w:t>
      </w:r>
      <w:r>
        <w:rPr>
          <w:rFonts w:hint="eastAsia" w:ascii="宋体" w:hAnsi="宋体" w:eastAsia="宋体" w:cs="宋体"/>
          <w:color w:val="auto"/>
          <w:sz w:val="24"/>
          <w:szCs w:val="24"/>
          <w:highlight w:val="none"/>
          <w:lang w:eastAsia="zh-CN"/>
        </w:rPr>
        <w:t>《政府采购非招标采购方式管理办法</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及本项目本级和上级财政部门政府采购有关规定的约束，其权利受到上述法律法规的保护。</w:t>
      </w:r>
    </w:p>
    <w:p w14:paraId="5D5FE19C">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14:paraId="2506A47C">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lang w:eastAsia="zh-CN"/>
        </w:rPr>
      </w:pPr>
      <w:bookmarkStart w:id="121" w:name="_Toc515647762"/>
      <w:bookmarkStart w:id="122" w:name="_Toc21566"/>
      <w:bookmarkStart w:id="123" w:name="_Toc6385"/>
      <w:bookmarkStart w:id="124" w:name="_Toc12561"/>
      <w:bookmarkStart w:id="125" w:name="_Toc4365"/>
      <w:bookmarkStart w:id="126" w:name="_Toc216582806"/>
      <w:bookmarkStart w:id="127" w:name="_Toc520356146"/>
      <w:bookmarkStart w:id="128" w:name="_Toc16039"/>
      <w:bookmarkStart w:id="129" w:name="_Toc6919"/>
      <w:bookmarkStart w:id="130" w:name="_Toc19349"/>
      <w:r>
        <w:rPr>
          <w:rFonts w:hint="eastAsia" w:ascii="宋体" w:hAnsi="宋体" w:eastAsia="宋体" w:cs="宋体"/>
          <w:b/>
          <w:i w:val="0"/>
          <w:color w:val="auto"/>
          <w:spacing w:val="0"/>
          <w:w w:val="100"/>
          <w:sz w:val="32"/>
          <w:szCs w:val="32"/>
          <w:highlight w:val="none"/>
        </w:rPr>
        <w:t xml:space="preserve">二   </w:t>
      </w:r>
      <w:bookmarkEnd w:id="121"/>
      <w:bookmarkEnd w:id="122"/>
      <w:bookmarkEnd w:id="123"/>
      <w:bookmarkEnd w:id="124"/>
      <w:bookmarkEnd w:id="125"/>
      <w:bookmarkEnd w:id="126"/>
      <w:bookmarkEnd w:id="127"/>
      <w:r>
        <w:rPr>
          <w:rFonts w:hint="eastAsia" w:ascii="宋体" w:hAnsi="宋体" w:eastAsia="宋体" w:cs="宋体"/>
          <w:b/>
          <w:i w:val="0"/>
          <w:color w:val="auto"/>
          <w:spacing w:val="0"/>
          <w:w w:val="100"/>
          <w:sz w:val="32"/>
          <w:szCs w:val="32"/>
          <w:highlight w:val="none"/>
          <w:lang w:eastAsia="zh-CN"/>
        </w:rPr>
        <w:t>磋商文件</w:t>
      </w:r>
      <w:bookmarkEnd w:id="128"/>
      <w:bookmarkEnd w:id="129"/>
      <w:bookmarkEnd w:id="130"/>
    </w:p>
    <w:p w14:paraId="655BE0B0">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131" w:name="_Toc520356147"/>
      <w:bookmarkStart w:id="132" w:name="_Toc14084"/>
      <w:bookmarkStart w:id="133" w:name="_Toc25743"/>
      <w:bookmarkStart w:id="134" w:name="_Toc2004"/>
      <w:bookmarkStart w:id="135" w:name="_Toc18254"/>
      <w:bookmarkStart w:id="136" w:name="_Toc22962"/>
      <w:bookmarkStart w:id="137" w:name="_Toc29550"/>
      <w:bookmarkStart w:id="138" w:name="_Toc24971"/>
      <w:bookmarkStart w:id="139" w:name="_Toc21275"/>
      <w:bookmarkStart w:id="140" w:name="_Toc11557"/>
      <w:bookmarkStart w:id="141" w:name="_Toc18213"/>
      <w:bookmarkStart w:id="142" w:name="_Toc5304"/>
      <w:bookmarkStart w:id="143" w:name="_Toc15203"/>
      <w:bookmarkStart w:id="144" w:name="_Toc8005"/>
      <w:bookmarkStart w:id="145" w:name="_Toc4818"/>
      <w:bookmarkStart w:id="146" w:name="_Toc515647763"/>
      <w:r>
        <w:rPr>
          <w:rFonts w:hint="eastAsia" w:ascii="宋体" w:hAnsi="宋体" w:eastAsia="宋体" w:cs="宋体"/>
          <w:b/>
          <w:color w:val="auto"/>
          <w:sz w:val="28"/>
          <w:szCs w:val="28"/>
          <w:highlight w:val="none"/>
          <w:lang w:val="en-US" w:eastAsia="zh-CN"/>
        </w:rPr>
        <w:t>5.磋商文件构成</w:t>
      </w:r>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p>
    <w:p w14:paraId="14249E1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共7章，内容如下：</w:t>
      </w:r>
    </w:p>
    <w:p w14:paraId="2805E12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val="en-US" w:eastAsia="zh-CN"/>
        </w:rPr>
        <w:t>第</w:t>
      </w: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lang w:val="en-US" w:eastAsia="zh-CN"/>
        </w:rPr>
        <w:t>章 磋商</w:t>
      </w:r>
      <w:r>
        <w:rPr>
          <w:rFonts w:hint="eastAsia" w:ascii="宋体" w:hAnsi="宋体" w:eastAsia="宋体" w:cs="宋体"/>
          <w:color w:val="auto"/>
          <w:sz w:val="24"/>
          <w:szCs w:val="24"/>
          <w:highlight w:val="none"/>
          <w:lang w:eastAsia="zh-CN"/>
        </w:rPr>
        <w:t>邀请</w:t>
      </w:r>
    </w:p>
    <w:p w14:paraId="272D456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章 供应商须知资料表</w:t>
      </w:r>
    </w:p>
    <w:p w14:paraId="67A7886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章 供应商</w:t>
      </w:r>
      <w:r>
        <w:rPr>
          <w:rFonts w:hint="eastAsia" w:ascii="宋体" w:hAnsi="宋体" w:eastAsia="宋体" w:cs="宋体"/>
          <w:color w:val="auto"/>
          <w:sz w:val="24"/>
          <w:szCs w:val="24"/>
          <w:highlight w:val="none"/>
        </w:rPr>
        <w:t>须知</w:t>
      </w:r>
    </w:p>
    <w:p w14:paraId="6CDDDC1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eastAsia="zh-CN"/>
        </w:rPr>
        <w:t>采购需求</w:t>
      </w:r>
      <w:r>
        <w:rPr>
          <w:rFonts w:hint="eastAsia" w:ascii="宋体" w:hAnsi="宋体" w:eastAsia="宋体" w:cs="宋体"/>
          <w:color w:val="auto"/>
          <w:sz w:val="24"/>
          <w:szCs w:val="24"/>
          <w:highlight w:val="none"/>
        </w:rPr>
        <w:t xml:space="preserve">及项目要求 </w:t>
      </w:r>
    </w:p>
    <w:p w14:paraId="198CF3D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 xml:space="preserve">章 </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rPr>
        <w:t>方法和标准</w:t>
      </w:r>
    </w:p>
    <w:p w14:paraId="08FAF38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6</w:t>
      </w:r>
      <w:r>
        <w:rPr>
          <w:rFonts w:hint="eastAsia" w:ascii="宋体" w:hAnsi="宋体" w:eastAsia="宋体" w:cs="宋体"/>
          <w:color w:val="auto"/>
          <w:sz w:val="24"/>
          <w:szCs w:val="24"/>
          <w:highlight w:val="none"/>
        </w:rPr>
        <w:t>章 政府采购合同</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参考范本</w:t>
      </w:r>
      <w:r>
        <w:rPr>
          <w:rFonts w:hint="eastAsia" w:ascii="宋体" w:hAnsi="宋体" w:cs="宋体"/>
          <w:color w:val="auto"/>
          <w:sz w:val="24"/>
          <w:szCs w:val="24"/>
          <w:highlight w:val="none"/>
          <w:lang w:eastAsia="zh-CN"/>
        </w:rPr>
        <w:t>）</w:t>
      </w:r>
    </w:p>
    <w:p w14:paraId="200D0B7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第</w:t>
      </w: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lang w:eastAsia="zh-CN"/>
        </w:rPr>
        <w:t>章 响应文件</w:t>
      </w:r>
      <w:r>
        <w:rPr>
          <w:rFonts w:hint="eastAsia" w:ascii="宋体" w:hAnsi="宋体" w:eastAsia="宋体" w:cs="宋体"/>
          <w:color w:val="auto"/>
          <w:sz w:val="24"/>
          <w:szCs w:val="24"/>
          <w:highlight w:val="none"/>
        </w:rPr>
        <w:t>格式</w:t>
      </w:r>
    </w:p>
    <w:p w14:paraId="36F41A9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如本文件的前后内容不一致，以最后描述为准。</w:t>
      </w:r>
    </w:p>
    <w:p w14:paraId="7E5B1F3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5.3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应认真阅读</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所有的事项、格式、条款和技术规范等。如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没有按照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要求提交全部资料，或者</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没有对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在各方面都做出实质性响应，可能导致其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5512C601">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147" w:name="_Toc520356148"/>
      <w:bookmarkStart w:id="148" w:name="_Toc515904805"/>
      <w:bookmarkStart w:id="149" w:name="_Toc6833"/>
      <w:bookmarkStart w:id="150" w:name="_Toc14910"/>
      <w:bookmarkStart w:id="151" w:name="_Toc15624"/>
      <w:bookmarkStart w:id="152" w:name="_Toc19275"/>
      <w:bookmarkStart w:id="153" w:name="_Toc1227"/>
      <w:bookmarkStart w:id="154" w:name="_Toc10034"/>
      <w:bookmarkStart w:id="155" w:name="_Toc20251"/>
      <w:bookmarkStart w:id="156" w:name="_Toc1117"/>
      <w:bookmarkStart w:id="157" w:name="_Toc24067"/>
      <w:bookmarkStart w:id="158" w:name="_Toc21231"/>
      <w:bookmarkStart w:id="159" w:name="_Toc25866"/>
      <w:bookmarkStart w:id="160" w:name="_Toc28731"/>
      <w:bookmarkStart w:id="161" w:name="_Toc26044"/>
      <w:bookmarkStart w:id="162" w:name="_Toc9232"/>
      <w:bookmarkStart w:id="163" w:name="_Toc20202"/>
      <w:r>
        <w:rPr>
          <w:rFonts w:hint="eastAsia" w:ascii="宋体" w:hAnsi="宋体" w:eastAsia="宋体" w:cs="宋体"/>
          <w:b/>
          <w:color w:val="auto"/>
          <w:sz w:val="28"/>
          <w:szCs w:val="28"/>
          <w:highlight w:val="none"/>
          <w:lang w:val="en-US" w:eastAsia="zh-CN"/>
        </w:rPr>
        <w:t>6.磋商文件的澄清</w:t>
      </w:r>
      <w:bookmarkEnd w:id="147"/>
      <w:bookmarkEnd w:id="148"/>
      <w:r>
        <w:rPr>
          <w:rFonts w:hint="eastAsia" w:ascii="宋体" w:hAnsi="宋体" w:eastAsia="宋体" w:cs="宋体"/>
          <w:b/>
          <w:color w:val="auto"/>
          <w:sz w:val="28"/>
          <w:szCs w:val="28"/>
          <w:highlight w:val="none"/>
          <w:lang w:val="en-US" w:eastAsia="zh-CN"/>
        </w:rPr>
        <w:t>与修改</w:t>
      </w:r>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17918DDC">
      <w:pPr>
        <w:pStyle w:val="7"/>
        <w:pageBreakBefore w:val="0"/>
        <w:kinsoku/>
        <w:wordWrap/>
        <w:overflowPunct/>
        <w:topLinePunct w:val="0"/>
        <w:bidi w:val="0"/>
        <w:spacing w:line="360" w:lineRule="exact"/>
        <w:ind w:left="840" w:hanging="843"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6.1    为了保证对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的澄清和修改满足法律的时限要求，任何要求对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，均应在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w:t>
      </w:r>
      <w:r>
        <w:rPr>
          <w:rFonts w:hint="eastAsia" w:ascii="宋体" w:hAnsi="宋体" w:eastAsia="宋体" w:cs="宋体"/>
          <w:color w:val="auto"/>
          <w:sz w:val="24"/>
          <w:szCs w:val="24"/>
          <w:highlight w:val="none"/>
          <w:lang w:val="en-US" w:eastAsia="zh-CN"/>
        </w:rPr>
        <w:t>时间五个工作日</w:t>
      </w:r>
      <w:r>
        <w:rPr>
          <w:rFonts w:hint="eastAsia" w:ascii="宋体" w:hAnsi="宋体" w:eastAsia="宋体" w:cs="宋体"/>
          <w:color w:val="auto"/>
          <w:sz w:val="24"/>
          <w:szCs w:val="24"/>
          <w:highlight w:val="none"/>
        </w:rPr>
        <w:t>前，以书面形式将澄清要求通知采购人或采购代理机构。</w:t>
      </w:r>
    </w:p>
    <w:p w14:paraId="7B48B0C7">
      <w:pPr>
        <w:pStyle w:val="7"/>
        <w:pageBreakBefore w:val="0"/>
        <w:kinsoku/>
        <w:wordWrap/>
        <w:overflowPunct/>
        <w:topLinePunct w:val="0"/>
        <w:bidi w:val="0"/>
        <w:spacing w:line="360" w:lineRule="exact"/>
        <w:ind w:left="840" w:hanging="843" w:hangingChars="350"/>
        <w:rPr>
          <w:rFonts w:hint="eastAsia" w:ascii="宋体" w:hAnsi="宋体" w:eastAsia="宋体" w:cs="宋体"/>
          <w:color w:val="auto"/>
          <w:sz w:val="24"/>
          <w:szCs w:val="24"/>
          <w:highlight w:val="none"/>
        </w:rPr>
      </w:pPr>
      <w:bookmarkStart w:id="164" w:name="_Ref467378678"/>
      <w:bookmarkStart w:id="165" w:name="_Toc515904806"/>
      <w:bookmarkStart w:id="166" w:name="_Toc520356149"/>
      <w:r>
        <w:rPr>
          <w:rFonts w:hint="eastAsia" w:ascii="宋体" w:hAnsi="宋体" w:eastAsia="宋体" w:cs="宋体"/>
          <w:color w:val="auto"/>
          <w:sz w:val="24"/>
          <w:szCs w:val="24"/>
          <w:highlight w:val="none"/>
        </w:rPr>
        <w:t>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采购人可主动地或在解答</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提出的澄清问题时对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进行澄清或修改。采购代理机构将以发布澄清（更正）公告的方式，澄清或修改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，澄清或修改内容作为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的组成部分。</w:t>
      </w:r>
    </w:p>
    <w:p w14:paraId="3E8C2278">
      <w:pPr>
        <w:pStyle w:val="7"/>
        <w:pageBreakBefore w:val="0"/>
        <w:kinsoku/>
        <w:wordWrap/>
        <w:overflowPunct/>
        <w:topLinePunct w:val="0"/>
        <w:bidi w:val="0"/>
        <w:spacing w:line="360" w:lineRule="exact"/>
        <w:ind w:left="840" w:hanging="843" w:hangingChars="35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澄清或者修改的内容可能影响</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编制的，采购代理机构将以书面形式通知所有购买</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的潜在</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，并对其具有约束力。</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在收到上述通知后，应及时向采购代理机构回函确认。</w:t>
      </w:r>
    </w:p>
    <w:p w14:paraId="463CB1C5">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167" w:name="_Toc25635"/>
      <w:bookmarkStart w:id="168" w:name="_Toc3118"/>
      <w:bookmarkStart w:id="169" w:name="_Toc978"/>
      <w:bookmarkStart w:id="170" w:name="_Toc12558"/>
      <w:bookmarkStart w:id="171" w:name="_Toc1073"/>
      <w:bookmarkStart w:id="172" w:name="_Toc4464"/>
      <w:bookmarkStart w:id="173" w:name="_Toc5103"/>
      <w:bookmarkStart w:id="174" w:name="_Toc517"/>
      <w:bookmarkStart w:id="175" w:name="_Toc22107"/>
      <w:bookmarkStart w:id="176" w:name="_Toc10823"/>
      <w:bookmarkStart w:id="177" w:name="_Toc8561"/>
      <w:bookmarkStart w:id="178" w:name="_Toc11187"/>
      <w:bookmarkStart w:id="179" w:name="_Toc15114"/>
      <w:bookmarkStart w:id="180" w:name="_Toc14569"/>
      <w:bookmarkStart w:id="181" w:name="_Toc21809"/>
      <w:r>
        <w:rPr>
          <w:rFonts w:hint="eastAsia" w:ascii="宋体" w:hAnsi="宋体" w:eastAsia="宋体" w:cs="宋体"/>
          <w:b/>
          <w:color w:val="auto"/>
          <w:sz w:val="28"/>
          <w:szCs w:val="28"/>
          <w:highlight w:val="none"/>
          <w:lang w:val="en-US" w:eastAsia="zh-CN"/>
        </w:rPr>
        <w:t>7</w:t>
      </w:r>
      <w:bookmarkEnd w:id="164"/>
      <w:bookmarkEnd w:id="165"/>
      <w:bookmarkEnd w:id="166"/>
      <w:r>
        <w:rPr>
          <w:rFonts w:hint="eastAsia" w:ascii="宋体" w:hAnsi="宋体" w:eastAsia="宋体" w:cs="宋体"/>
          <w:b/>
          <w:color w:val="auto"/>
          <w:sz w:val="28"/>
          <w:szCs w:val="28"/>
          <w:highlight w:val="none"/>
          <w:lang w:val="en-US" w:eastAsia="zh-CN"/>
        </w:rPr>
        <w:t>.磋商截止时间的顺延</w:t>
      </w:r>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p>
    <w:p w14:paraId="7571EC4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为使</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准备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时有足够的时间对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的澄清或者修改部分进行研究，采购人将依法决定是否顺延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截止时间。</w:t>
      </w:r>
      <w:bookmarkStart w:id="182" w:name="_Toc516367020"/>
      <w:bookmarkStart w:id="183" w:name="_Toc7636"/>
      <w:bookmarkStart w:id="184" w:name="_Toc515647766"/>
      <w:bookmarkStart w:id="185" w:name="_Toc216582807"/>
      <w:bookmarkStart w:id="186" w:name="_Toc30808"/>
      <w:bookmarkStart w:id="187" w:name="_Toc520356150"/>
    </w:p>
    <w:p w14:paraId="7ACD61F6">
      <w:pPr>
        <w:pageBreakBefore w:val="0"/>
        <w:tabs>
          <w:tab w:val="left" w:pos="900"/>
        </w:tabs>
        <w:kinsoku/>
        <w:wordWrap/>
        <w:overflowPunct/>
        <w:topLinePunct w:val="0"/>
        <w:bidi w:val="0"/>
        <w:spacing w:line="360" w:lineRule="exact"/>
        <w:ind w:hanging="540"/>
        <w:rPr>
          <w:rFonts w:hint="eastAsia" w:ascii="宋体" w:hAnsi="宋体" w:eastAsia="宋体" w:cs="宋体"/>
          <w:color w:val="auto"/>
          <w:sz w:val="24"/>
          <w:szCs w:val="24"/>
          <w:highlight w:val="none"/>
        </w:rPr>
      </w:pPr>
    </w:p>
    <w:p w14:paraId="76322EEC">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rPr>
      </w:pPr>
      <w:bookmarkStart w:id="188" w:name="_Toc1341"/>
      <w:bookmarkStart w:id="189" w:name="_Toc13965"/>
      <w:bookmarkStart w:id="190" w:name="_Toc20900"/>
      <w:bookmarkStart w:id="191" w:name="_Toc29522"/>
      <w:bookmarkStart w:id="192" w:name="_Toc28609"/>
      <w:r>
        <w:rPr>
          <w:rFonts w:hint="eastAsia" w:ascii="宋体" w:hAnsi="宋体" w:eastAsia="宋体" w:cs="宋体"/>
          <w:b/>
          <w:i w:val="0"/>
          <w:color w:val="auto"/>
          <w:spacing w:val="0"/>
          <w:w w:val="100"/>
          <w:sz w:val="32"/>
          <w:szCs w:val="32"/>
          <w:highlight w:val="none"/>
        </w:rPr>
        <w:t xml:space="preserve">三   </w:t>
      </w:r>
      <w:bookmarkEnd w:id="182"/>
      <w:r>
        <w:rPr>
          <w:rFonts w:hint="eastAsia" w:ascii="宋体" w:hAnsi="宋体" w:eastAsia="宋体" w:cs="宋体"/>
          <w:b/>
          <w:i w:val="0"/>
          <w:color w:val="auto"/>
          <w:spacing w:val="0"/>
          <w:w w:val="100"/>
          <w:sz w:val="32"/>
          <w:szCs w:val="32"/>
          <w:highlight w:val="none"/>
          <w:lang w:eastAsia="zh-CN"/>
        </w:rPr>
        <w:t>响应文件</w:t>
      </w:r>
      <w:r>
        <w:rPr>
          <w:rFonts w:hint="eastAsia" w:ascii="宋体" w:hAnsi="宋体" w:eastAsia="宋体" w:cs="宋体"/>
          <w:b/>
          <w:i w:val="0"/>
          <w:color w:val="auto"/>
          <w:spacing w:val="0"/>
          <w:w w:val="100"/>
          <w:sz w:val="32"/>
          <w:szCs w:val="32"/>
          <w:highlight w:val="none"/>
        </w:rPr>
        <w:t>的编制</w:t>
      </w:r>
      <w:bookmarkEnd w:id="183"/>
      <w:bookmarkEnd w:id="184"/>
      <w:bookmarkEnd w:id="185"/>
      <w:bookmarkEnd w:id="186"/>
      <w:bookmarkEnd w:id="187"/>
      <w:bookmarkEnd w:id="188"/>
      <w:bookmarkEnd w:id="189"/>
      <w:bookmarkEnd w:id="190"/>
      <w:bookmarkEnd w:id="191"/>
      <w:bookmarkEnd w:id="192"/>
    </w:p>
    <w:p w14:paraId="34446472">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193" w:name="_Toc11691"/>
      <w:bookmarkStart w:id="194" w:name="_Toc2539"/>
      <w:bookmarkStart w:id="195" w:name="_Toc2129"/>
      <w:bookmarkStart w:id="196" w:name="_Toc20486"/>
      <w:bookmarkStart w:id="197" w:name="_Toc15011"/>
      <w:bookmarkStart w:id="198" w:name="_Toc5890"/>
      <w:bookmarkStart w:id="199" w:name="_Toc3785"/>
      <w:bookmarkStart w:id="200" w:name="_Toc520356151"/>
      <w:bookmarkStart w:id="201" w:name="_Toc28364"/>
      <w:bookmarkStart w:id="202" w:name="_Toc5025"/>
      <w:bookmarkStart w:id="203" w:name="_Toc7786"/>
      <w:bookmarkStart w:id="204" w:name="_Toc3553"/>
      <w:bookmarkStart w:id="205" w:name="_Toc516367021"/>
      <w:bookmarkStart w:id="206" w:name="_Toc29861"/>
      <w:bookmarkStart w:id="207" w:name="_Toc515647767"/>
      <w:bookmarkStart w:id="208" w:name="_Toc15642"/>
      <w:bookmarkStart w:id="209" w:name="_Toc25717"/>
      <w:bookmarkStart w:id="210" w:name="_Toc7120"/>
      <w:r>
        <w:rPr>
          <w:rFonts w:hint="eastAsia" w:ascii="宋体" w:hAnsi="宋体" w:eastAsia="宋体" w:cs="宋体"/>
          <w:b/>
          <w:color w:val="auto"/>
          <w:sz w:val="28"/>
          <w:szCs w:val="28"/>
          <w:highlight w:val="none"/>
          <w:lang w:val="en-US" w:eastAsia="zh-CN"/>
        </w:rPr>
        <w:t>8.磋商范围及响应文件成交准和计量单位的使用</w:t>
      </w:r>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p>
    <w:p w14:paraId="17BD303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项目有分包的，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可对</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其中某一个或几个分</w:t>
      </w:r>
      <w:r>
        <w:rPr>
          <w:rFonts w:hint="eastAsia" w:ascii="宋体" w:hAnsi="宋体" w:cs="宋体"/>
          <w:color w:val="auto"/>
          <w:sz w:val="24"/>
          <w:szCs w:val="24"/>
          <w:highlight w:val="none"/>
          <w:lang w:val="en-US" w:eastAsia="zh-CN"/>
        </w:rPr>
        <w:t>标项</w:t>
      </w:r>
      <w:r>
        <w:rPr>
          <w:rFonts w:hint="eastAsia" w:ascii="宋体" w:hAnsi="宋体" w:eastAsia="宋体" w:cs="宋体"/>
          <w:color w:val="auto"/>
          <w:sz w:val="24"/>
          <w:szCs w:val="24"/>
          <w:highlight w:val="none"/>
        </w:rPr>
        <w:t>服务进行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，除非在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中另有规定。</w:t>
      </w:r>
    </w:p>
    <w:p w14:paraId="3FF8BA1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8.2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应当对所投分包</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w:t>
      </w:r>
      <w:r>
        <w:rPr>
          <w:rFonts w:hint="eastAsia" w:ascii="宋体" w:hAnsi="宋体" w:cs="宋体"/>
          <w:color w:val="auto"/>
          <w:sz w:val="24"/>
          <w:szCs w:val="24"/>
          <w:highlight w:val="none"/>
          <w:lang w:eastAsia="zh-CN"/>
        </w:rPr>
        <w:t>采购需求</w:t>
      </w:r>
      <w:r>
        <w:rPr>
          <w:rFonts w:hint="eastAsia" w:ascii="宋体" w:hAnsi="宋体" w:eastAsia="宋体" w:cs="宋体"/>
          <w:color w:val="auto"/>
          <w:sz w:val="24"/>
          <w:szCs w:val="24"/>
          <w:highlight w:val="none"/>
        </w:rPr>
        <w:t>及项目要求”所列的所有内容进行</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，如仅响应某一</w:t>
      </w:r>
      <w:r>
        <w:rPr>
          <w:rFonts w:hint="eastAsia" w:ascii="宋体" w:hAnsi="宋体" w:eastAsia="宋体" w:cs="宋体"/>
          <w:color w:val="auto"/>
          <w:sz w:val="24"/>
          <w:szCs w:val="24"/>
          <w:highlight w:val="none"/>
          <w:lang w:eastAsia="zh-CN"/>
        </w:rPr>
        <w:t>标项</w:t>
      </w:r>
      <w:r>
        <w:rPr>
          <w:rFonts w:hint="eastAsia" w:ascii="宋体" w:hAnsi="宋体" w:eastAsia="宋体" w:cs="宋体"/>
          <w:color w:val="auto"/>
          <w:sz w:val="24"/>
          <w:szCs w:val="24"/>
          <w:highlight w:val="none"/>
        </w:rPr>
        <w:t>中的部分内容，其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3C49920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8.3     除</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中有特殊要求外，</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中所使用的计量单位，应采用中华人民共和国法定计量单位。</w:t>
      </w:r>
    </w:p>
    <w:p w14:paraId="6B64631B">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211" w:name="_Ref467306676"/>
      <w:bookmarkStart w:id="212" w:name="_Toc516367022"/>
      <w:bookmarkStart w:id="213" w:name="_Ref467306195"/>
      <w:bookmarkStart w:id="214" w:name="_Toc16592"/>
      <w:bookmarkStart w:id="215" w:name="_Toc22417"/>
      <w:bookmarkStart w:id="216" w:name="_Toc15740"/>
      <w:bookmarkStart w:id="217" w:name="_Toc32273"/>
      <w:bookmarkStart w:id="218" w:name="_Toc29587"/>
      <w:bookmarkStart w:id="219" w:name="_Toc5546"/>
      <w:bookmarkStart w:id="220" w:name="_Toc258"/>
      <w:bookmarkStart w:id="221" w:name="_Toc28307"/>
      <w:bookmarkStart w:id="222" w:name="_Toc10364"/>
      <w:bookmarkStart w:id="223" w:name="_Toc515647768"/>
      <w:bookmarkStart w:id="224" w:name="_Toc23715"/>
      <w:bookmarkStart w:id="225" w:name="_Toc12220"/>
      <w:bookmarkStart w:id="226" w:name="_Toc520356152"/>
      <w:bookmarkStart w:id="227" w:name="_Toc16016"/>
      <w:bookmarkStart w:id="228" w:name="_Toc22083"/>
      <w:bookmarkStart w:id="229" w:name="_Toc22897"/>
      <w:bookmarkStart w:id="230" w:name="_Toc10584"/>
      <w:bookmarkStart w:id="231" w:name="_Toc6978"/>
      <w:bookmarkStart w:id="232" w:name="_Toc10379"/>
      <w:bookmarkStart w:id="233" w:name="_Toc2999"/>
      <w:bookmarkStart w:id="234" w:name="_Toc516367023"/>
      <w:bookmarkStart w:id="235" w:name="_Toc17395"/>
      <w:bookmarkStart w:id="236" w:name="_Toc4601"/>
      <w:bookmarkStart w:id="237" w:name="_Toc11200"/>
      <w:bookmarkStart w:id="238" w:name="_Toc520356153"/>
      <w:bookmarkStart w:id="239" w:name="_Toc15151"/>
      <w:bookmarkStart w:id="240" w:name="_Toc30354"/>
      <w:bookmarkStart w:id="241" w:name="_Toc2564"/>
      <w:bookmarkStart w:id="242" w:name="_Toc17150"/>
      <w:bookmarkStart w:id="243" w:name="_Toc515647769"/>
      <w:bookmarkStart w:id="244" w:name="_Toc2056"/>
      <w:r>
        <w:rPr>
          <w:rFonts w:hint="eastAsia" w:ascii="宋体" w:hAnsi="宋体" w:eastAsia="宋体" w:cs="宋体"/>
          <w:b/>
          <w:color w:val="auto"/>
          <w:sz w:val="28"/>
          <w:szCs w:val="28"/>
          <w:highlight w:val="none"/>
          <w:lang w:val="en-US" w:eastAsia="zh-CN"/>
        </w:rPr>
        <w:t>9.</w:t>
      </w:r>
      <w:bookmarkEnd w:id="211"/>
      <w:bookmarkEnd w:id="212"/>
      <w:bookmarkEnd w:id="213"/>
      <w:r>
        <w:rPr>
          <w:rFonts w:hint="eastAsia" w:ascii="宋体" w:hAnsi="宋体" w:eastAsia="宋体" w:cs="宋体"/>
          <w:b/>
          <w:color w:val="auto"/>
          <w:sz w:val="28"/>
          <w:szCs w:val="28"/>
          <w:highlight w:val="none"/>
          <w:lang w:val="en-US" w:eastAsia="zh-CN"/>
        </w:rPr>
        <w:t>响应文件构成</w:t>
      </w:r>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p>
    <w:p w14:paraId="238E0F3E">
      <w:pPr>
        <w:pageBreakBefore w:val="0"/>
        <w:tabs>
          <w:tab w:val="left" w:pos="900"/>
          <w:tab w:val="left" w:pos="5580"/>
        </w:tabs>
        <w:kinsoku/>
        <w:wordWrap/>
        <w:overflowPunct/>
        <w:topLinePunct w:val="0"/>
        <w:bidi w:val="0"/>
        <w:spacing w:line="360" w:lineRule="exact"/>
        <w:ind w:left="960" w:hanging="960" w:hangingChars="400"/>
        <w:jc w:val="left"/>
        <w:rPr>
          <w:rFonts w:hint="eastAsia" w:ascii="宋体" w:hAnsi="宋体" w:eastAsia="宋体" w:cs="宋体"/>
          <w:color w:val="auto"/>
          <w:sz w:val="24"/>
          <w:szCs w:val="24"/>
          <w:highlight w:val="none"/>
          <w:u w:val="single"/>
        </w:rPr>
      </w:pPr>
      <w:bookmarkStart w:id="245" w:name="_Ref467052588"/>
      <w:r>
        <w:rPr>
          <w:rFonts w:hint="eastAsia" w:ascii="宋体" w:hAnsi="宋体" w:eastAsia="宋体" w:cs="宋体"/>
          <w:color w:val="auto"/>
          <w:sz w:val="24"/>
          <w:szCs w:val="24"/>
          <w:highlight w:val="none"/>
        </w:rPr>
        <w:t xml:space="preserve">9.1    </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rPr>
        <w:t>供应商应完整地按</w:t>
      </w:r>
      <w:r>
        <w:rPr>
          <w:rFonts w:hint="eastAsia" w:ascii="宋体" w:hAnsi="宋体" w:eastAsia="宋体" w:cs="宋体"/>
          <w:b/>
          <w:bCs/>
          <w:color w:val="auto"/>
          <w:sz w:val="24"/>
          <w:szCs w:val="24"/>
          <w:highlight w:val="none"/>
          <w:u w:val="single"/>
          <w:lang w:eastAsia="zh-CN"/>
        </w:rPr>
        <w:t>磋商文件</w:t>
      </w:r>
      <w:r>
        <w:rPr>
          <w:rFonts w:hint="eastAsia" w:ascii="宋体" w:hAnsi="宋体" w:eastAsia="宋体" w:cs="宋体"/>
          <w:b/>
          <w:bCs/>
          <w:color w:val="auto"/>
          <w:sz w:val="24"/>
          <w:szCs w:val="24"/>
          <w:highlight w:val="none"/>
          <w:u w:val="single"/>
        </w:rPr>
        <w:t>提供的</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格式及要求编写</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，根据平台关联点上传对应佐证资料，</w:t>
      </w:r>
      <w:r>
        <w:rPr>
          <w:rFonts w:hint="eastAsia" w:ascii="宋体" w:hAnsi="宋体" w:eastAsia="宋体" w:cs="宋体"/>
          <w:b/>
          <w:bCs/>
          <w:color w:val="auto"/>
          <w:sz w:val="24"/>
          <w:szCs w:val="24"/>
          <w:highlight w:val="none"/>
          <w:u w:val="single"/>
          <w:lang w:eastAsia="zh-CN"/>
        </w:rPr>
        <w:t>响应文件</w:t>
      </w:r>
      <w:r>
        <w:rPr>
          <w:rFonts w:hint="eastAsia" w:ascii="宋体" w:hAnsi="宋体" w:eastAsia="宋体" w:cs="宋体"/>
          <w:b/>
          <w:bCs/>
          <w:color w:val="auto"/>
          <w:sz w:val="24"/>
          <w:szCs w:val="24"/>
          <w:highlight w:val="none"/>
          <w:u w:val="single"/>
        </w:rPr>
        <w:t>应包括“</w:t>
      </w:r>
      <w:r>
        <w:rPr>
          <w:rFonts w:hint="eastAsia" w:ascii="宋体" w:hAnsi="宋体" w:eastAsia="宋体" w:cs="宋体"/>
          <w:b/>
          <w:bCs/>
          <w:color w:val="auto"/>
          <w:sz w:val="24"/>
          <w:szCs w:val="24"/>
          <w:highlight w:val="none"/>
          <w:u w:val="single"/>
          <w:lang w:eastAsia="zh-CN"/>
        </w:rPr>
        <w:t>磋商一览表</w:t>
      </w:r>
      <w:r>
        <w:rPr>
          <w:rFonts w:hint="eastAsia" w:ascii="宋体" w:hAnsi="宋体" w:eastAsia="宋体" w:cs="宋体"/>
          <w:b/>
          <w:bCs/>
          <w:color w:val="auto"/>
          <w:sz w:val="24"/>
          <w:szCs w:val="24"/>
          <w:highlight w:val="none"/>
          <w:u w:val="single"/>
        </w:rPr>
        <w:t>及资格证明文件”和“商务及技术文件”两部分，两部分合并成完整一册上传至政采云平台。供应商应承担</w:t>
      </w:r>
      <w:r>
        <w:rPr>
          <w:rFonts w:hint="eastAsia" w:ascii="宋体" w:hAnsi="宋体" w:eastAsia="宋体" w:cs="宋体"/>
          <w:b/>
          <w:bCs/>
          <w:color w:val="auto"/>
          <w:sz w:val="24"/>
          <w:szCs w:val="24"/>
          <w:highlight w:val="none"/>
          <w:u w:val="single"/>
          <w:lang w:val="en-US" w:eastAsia="zh-CN"/>
        </w:rPr>
        <w:t>上传</w:t>
      </w:r>
      <w:r>
        <w:rPr>
          <w:rFonts w:hint="eastAsia" w:ascii="宋体" w:hAnsi="宋体" w:eastAsia="宋体" w:cs="宋体"/>
          <w:b/>
          <w:bCs/>
          <w:color w:val="auto"/>
          <w:sz w:val="24"/>
          <w:szCs w:val="24"/>
          <w:highlight w:val="none"/>
          <w:u w:val="single"/>
        </w:rPr>
        <w:t>失误产生的任何后果。</w:t>
      </w:r>
    </w:p>
    <w:p w14:paraId="6A7AD45F">
      <w:pPr>
        <w:keepNext w:val="0"/>
        <w:keepLines w:val="0"/>
        <w:pageBreakBefore w:val="0"/>
        <w:widowControl w:val="0"/>
        <w:kinsoku/>
        <w:wordWrap/>
        <w:overflowPunct/>
        <w:topLinePunct w:val="0"/>
        <w:autoSpaceDE/>
        <w:autoSpaceDN/>
        <w:bidi w:val="0"/>
        <w:adjustRightInd/>
        <w:snapToGrid/>
        <w:spacing w:line="360" w:lineRule="exact"/>
        <w:ind w:left="0" w:leftChars="0" w:firstLine="0" w:firstLineChars="0"/>
        <w:textAlignment w:val="auto"/>
        <w:rPr>
          <w:rFonts w:hint="default" w:ascii="宋体" w:hAnsi="宋体" w:eastAsia="宋体" w:cs="宋体"/>
          <w:b/>
          <w:bCs/>
          <w:color w:val="auto"/>
          <w:sz w:val="20"/>
          <w:szCs w:val="20"/>
          <w:highlight w:val="none"/>
          <w:lang w:val="en-US"/>
        </w:rPr>
      </w:pPr>
      <w:r>
        <w:rPr>
          <w:rFonts w:hint="eastAsia" w:ascii="宋体" w:hAnsi="宋体" w:eastAsia="宋体" w:cs="宋体"/>
          <w:b/>
          <w:bCs/>
          <w:color w:val="auto"/>
          <w:sz w:val="20"/>
          <w:szCs w:val="20"/>
          <w:highlight w:val="none"/>
          <w:lang w:val="en-US" w:eastAsia="zh-CN"/>
        </w:rPr>
        <w:t>（提示：供应商在政采云投标客户端中制作上传响应文件时，须将完整版响应文件.pdf上传至该系统中的“商务及技术文件”模块。）</w:t>
      </w:r>
    </w:p>
    <w:p w14:paraId="2BCAEBA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9.2    上述文件应按照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规定的格式填写、签署和盖章。</w:t>
      </w:r>
      <w:bookmarkEnd w:id="245"/>
    </w:p>
    <w:p w14:paraId="5C4E78CA">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246" w:name="_Toc22845"/>
      <w:bookmarkStart w:id="247" w:name="_Toc32155"/>
      <w:bookmarkStart w:id="248" w:name="_Toc11323"/>
      <w:r>
        <w:rPr>
          <w:rFonts w:hint="eastAsia" w:ascii="宋体" w:hAnsi="宋体" w:eastAsia="宋体" w:cs="宋体"/>
          <w:b/>
          <w:color w:val="auto"/>
          <w:sz w:val="28"/>
          <w:szCs w:val="28"/>
          <w:highlight w:val="none"/>
          <w:lang w:val="en-US" w:eastAsia="zh-CN"/>
        </w:rPr>
        <w:t>10.证明磋商的的合格性和符合磋商文件规定的技术文件</w:t>
      </w:r>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6"/>
      <w:bookmarkEnd w:id="247"/>
      <w:bookmarkEnd w:id="248"/>
    </w:p>
    <w:p w14:paraId="11AA364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应提交证明文件，证明其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内容符合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规定。该证明文件是</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的一部分。</w:t>
      </w:r>
    </w:p>
    <w:p w14:paraId="67C9BBE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bookmarkStart w:id="249" w:name="_Ref467306244"/>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上款所述的证明文件，可以是文字资料、图纸和数据，</w:t>
      </w:r>
      <w:bookmarkEnd w:id="249"/>
      <w:r>
        <w:rPr>
          <w:rFonts w:hint="eastAsia" w:ascii="宋体" w:hAnsi="宋体" w:eastAsia="宋体" w:cs="宋体"/>
          <w:color w:val="auto"/>
          <w:sz w:val="24"/>
          <w:szCs w:val="24"/>
          <w:highlight w:val="none"/>
        </w:rPr>
        <w:t>它包括：</w:t>
      </w:r>
    </w:p>
    <w:p w14:paraId="08C0604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服务主要技术指标</w:t>
      </w:r>
      <w:r>
        <w:rPr>
          <w:rFonts w:hint="eastAsia" w:ascii="宋体" w:hAnsi="宋体" w:eastAsia="宋体" w:cs="宋体"/>
          <w:color w:val="auto"/>
          <w:sz w:val="24"/>
          <w:szCs w:val="24"/>
          <w:highlight w:val="none"/>
        </w:rPr>
        <w:t>的详细说明；</w:t>
      </w:r>
    </w:p>
    <w:p w14:paraId="7741227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10.2.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对照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lang w:val="en-US" w:eastAsia="zh-CN"/>
        </w:rPr>
        <w:t>服务要求</w:t>
      </w:r>
      <w:r>
        <w:rPr>
          <w:rFonts w:hint="eastAsia" w:ascii="宋体" w:hAnsi="宋体" w:eastAsia="宋体" w:cs="宋体"/>
          <w:b/>
          <w:bCs/>
          <w:color w:val="auto"/>
          <w:sz w:val="24"/>
          <w:szCs w:val="24"/>
          <w:highlight w:val="none"/>
        </w:rPr>
        <w:t>，逐条说明所提供服务对</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的</w:t>
      </w:r>
      <w:r>
        <w:rPr>
          <w:rFonts w:hint="eastAsia" w:ascii="宋体" w:hAnsi="宋体" w:eastAsia="宋体" w:cs="宋体"/>
          <w:b/>
          <w:bCs/>
          <w:color w:val="auto"/>
          <w:sz w:val="24"/>
          <w:szCs w:val="24"/>
          <w:highlight w:val="none"/>
          <w:lang w:val="en-US" w:eastAsia="zh-CN"/>
        </w:rPr>
        <w:t>服务要求</w:t>
      </w:r>
      <w:r>
        <w:rPr>
          <w:rFonts w:hint="eastAsia" w:ascii="宋体" w:hAnsi="宋体" w:eastAsia="宋体" w:cs="宋体"/>
          <w:b/>
          <w:bCs/>
          <w:color w:val="auto"/>
          <w:sz w:val="24"/>
          <w:szCs w:val="24"/>
          <w:highlight w:val="none"/>
        </w:rPr>
        <w:t>做出了实质性的响应。</w:t>
      </w:r>
    </w:p>
    <w:p w14:paraId="12A07BE8">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250" w:name="_Toc1607"/>
      <w:bookmarkStart w:id="251" w:name="_Toc21396"/>
      <w:bookmarkStart w:id="252" w:name="_Toc29518"/>
      <w:bookmarkStart w:id="253" w:name="_Toc5144"/>
      <w:bookmarkStart w:id="254" w:name="_Toc28798"/>
      <w:bookmarkStart w:id="255" w:name="_Toc515647770"/>
      <w:bookmarkStart w:id="256" w:name="_Toc29340"/>
      <w:bookmarkStart w:id="257" w:name="_Toc16118"/>
      <w:bookmarkStart w:id="258" w:name="_Toc29220"/>
      <w:bookmarkStart w:id="259" w:name="_Toc2248"/>
      <w:bookmarkStart w:id="260" w:name="_Toc520356155"/>
      <w:bookmarkStart w:id="261" w:name="_Toc25641"/>
      <w:bookmarkStart w:id="262" w:name="_Toc23231"/>
      <w:bookmarkStart w:id="263" w:name="_Toc8671"/>
      <w:bookmarkStart w:id="264" w:name="_Toc7504"/>
      <w:bookmarkStart w:id="265" w:name="_Toc301"/>
      <w:r>
        <w:rPr>
          <w:rFonts w:hint="eastAsia" w:ascii="宋体" w:hAnsi="宋体" w:eastAsia="宋体" w:cs="宋体"/>
          <w:b/>
          <w:color w:val="auto"/>
          <w:sz w:val="28"/>
          <w:szCs w:val="28"/>
          <w:highlight w:val="none"/>
          <w:lang w:val="en-US" w:eastAsia="zh-CN"/>
        </w:rPr>
        <w:t>11.磋商报价</w:t>
      </w:r>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p>
    <w:p w14:paraId="5BB8B35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所有</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均以</w:t>
      </w:r>
      <w:r>
        <w:rPr>
          <w:rFonts w:hint="eastAsia" w:ascii="宋体" w:hAnsi="宋体" w:cs="宋体"/>
          <w:color w:val="auto"/>
          <w:sz w:val="24"/>
          <w:szCs w:val="24"/>
          <w:highlight w:val="none"/>
          <w:lang w:val="en-US" w:eastAsia="zh-CN"/>
        </w:rPr>
        <w:t>人民币</w:t>
      </w:r>
      <w:r>
        <w:rPr>
          <w:rFonts w:hint="eastAsia" w:ascii="宋体" w:hAnsi="宋体" w:eastAsia="宋体" w:cs="宋体"/>
          <w:color w:val="auto"/>
          <w:sz w:val="24"/>
          <w:szCs w:val="24"/>
          <w:highlight w:val="none"/>
        </w:rPr>
        <w:t>报价。</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报价应遵守《中华人民共和国价格法》。同时，根据《中华人民共和国政府采购法》第二条的规定，为保证公平竞争，如有主体部分的赠与行为，其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0877AC9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分项报价表上标明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相关服务的单价（如适用），并由法定代表人签署。</w:t>
      </w:r>
    </w:p>
    <w:p w14:paraId="5986217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分项报价表上的价格应按下列方式填写；</w:t>
      </w:r>
    </w:p>
    <w:p w14:paraId="5540DFC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所报的各分项</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单价在合同履行过程中是固定不变的，不得以任何理由予以变更。任何包含价格调整要求的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7970F8C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11.5</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每种服务只能有一个</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报价。采购人不接受具有附加条件的报价。</w:t>
      </w:r>
    </w:p>
    <w:p w14:paraId="47FEF5EC">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266" w:name="_Toc17788"/>
      <w:bookmarkStart w:id="267" w:name="_Toc23666"/>
      <w:bookmarkStart w:id="268" w:name="_Toc3453"/>
      <w:bookmarkStart w:id="269" w:name="_Toc1683"/>
      <w:bookmarkStart w:id="270" w:name="_Toc11514"/>
      <w:bookmarkStart w:id="271" w:name="_Toc520356156"/>
      <w:bookmarkStart w:id="272" w:name="_Toc14823"/>
      <w:bookmarkStart w:id="273" w:name="_Toc515647771"/>
      <w:bookmarkStart w:id="274" w:name="_Toc18556"/>
      <w:bookmarkStart w:id="275" w:name="_Toc17122"/>
      <w:bookmarkStart w:id="276" w:name="_Toc20784"/>
      <w:bookmarkStart w:id="277" w:name="_Toc5648"/>
      <w:bookmarkStart w:id="278" w:name="_Ref467306513"/>
      <w:bookmarkStart w:id="279" w:name="_Toc30245"/>
      <w:bookmarkStart w:id="280" w:name="_Toc21719"/>
      <w:bookmarkStart w:id="281" w:name="_Toc52"/>
      <w:bookmarkStart w:id="282" w:name="_Toc26761"/>
      <w:bookmarkStart w:id="283" w:name="_Toc3721"/>
      <w:r>
        <w:rPr>
          <w:rFonts w:hint="eastAsia" w:ascii="宋体" w:hAnsi="宋体" w:eastAsia="宋体" w:cs="宋体"/>
          <w:b/>
          <w:color w:val="auto"/>
          <w:sz w:val="28"/>
          <w:szCs w:val="28"/>
          <w:highlight w:val="none"/>
          <w:lang w:val="en-US" w:eastAsia="zh-CN"/>
        </w:rPr>
        <w:t>12.</w:t>
      </w:r>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r>
        <w:rPr>
          <w:rFonts w:hint="eastAsia" w:ascii="宋体" w:hAnsi="宋体" w:eastAsia="宋体" w:cs="宋体"/>
          <w:b/>
          <w:color w:val="auto"/>
          <w:sz w:val="28"/>
          <w:szCs w:val="28"/>
          <w:highlight w:val="none"/>
          <w:lang w:val="en-US" w:eastAsia="zh-CN"/>
        </w:rPr>
        <w:t>投标保证金</w:t>
      </w:r>
      <w:bookmarkEnd w:id="281"/>
      <w:bookmarkEnd w:id="282"/>
      <w:bookmarkEnd w:id="283"/>
    </w:p>
    <w:p w14:paraId="002F6A4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bookmarkStart w:id="284" w:name="_Ref467306302"/>
      <w:r>
        <w:rPr>
          <w:rFonts w:hint="eastAsia" w:ascii="宋体" w:hAnsi="宋体" w:eastAsia="宋体" w:cs="宋体"/>
          <w:color w:val="auto"/>
          <w:sz w:val="24"/>
          <w:szCs w:val="24"/>
          <w:highlight w:val="none"/>
        </w:rPr>
        <w:t>12.1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应提交</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须知资料表中规定的</w:t>
      </w:r>
      <w:bookmarkEnd w:id="284"/>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，并作为</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的一部分。</w:t>
      </w:r>
    </w:p>
    <w:p w14:paraId="7AD0233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存在下列情形的，</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不予退还：</w:t>
      </w:r>
    </w:p>
    <w:p w14:paraId="662F1B5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（1）在</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有效期内，撤销</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w:t>
      </w:r>
    </w:p>
    <w:p w14:paraId="59E1A7C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后不按本须知第30条的规定与采购人签订合同的；</w:t>
      </w:r>
    </w:p>
    <w:p w14:paraId="5486B95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后不按本须知第31条的规定提交履约保证金的；</w:t>
      </w:r>
    </w:p>
    <w:p w14:paraId="2C786B0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后不按本须知第32条的规定缴纳</w:t>
      </w:r>
      <w:r>
        <w:rPr>
          <w:rFonts w:hint="eastAsia" w:ascii="宋体" w:hAnsi="宋体" w:eastAsia="宋体" w:cs="宋体"/>
          <w:color w:val="auto"/>
          <w:sz w:val="24"/>
          <w:szCs w:val="24"/>
          <w:highlight w:val="none"/>
          <w:lang w:eastAsia="zh-CN"/>
        </w:rPr>
        <w:t>成交服务费</w:t>
      </w:r>
      <w:r>
        <w:rPr>
          <w:rFonts w:hint="eastAsia" w:ascii="宋体" w:hAnsi="宋体" w:eastAsia="宋体" w:cs="宋体"/>
          <w:color w:val="auto"/>
          <w:sz w:val="24"/>
          <w:szCs w:val="24"/>
          <w:highlight w:val="none"/>
        </w:rPr>
        <w:t>的；</w:t>
      </w:r>
    </w:p>
    <w:p w14:paraId="35D8031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（5）存在其他违法违规行为的。</w:t>
      </w:r>
    </w:p>
    <w:p w14:paraId="023572C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bookmarkStart w:id="285" w:name="_Ref467306336"/>
      <w:r>
        <w:rPr>
          <w:rFonts w:hint="eastAsia" w:ascii="宋体" w:hAnsi="宋体" w:eastAsia="宋体" w:cs="宋体"/>
          <w:color w:val="auto"/>
          <w:sz w:val="24"/>
          <w:szCs w:val="24"/>
          <w:highlight w:val="none"/>
        </w:rPr>
        <w:t>12.3</w:t>
      </w:r>
      <w:r>
        <w:rPr>
          <w:rFonts w:hint="eastAsia" w:ascii="宋体" w:hAnsi="宋体" w:eastAsia="宋体" w:cs="宋体"/>
          <w:color w:val="auto"/>
          <w:sz w:val="24"/>
          <w:szCs w:val="24"/>
          <w:highlight w:val="none"/>
        </w:rPr>
        <w:tab/>
      </w:r>
      <w:bookmarkEnd w:id="285"/>
      <w:r>
        <w:rPr>
          <w:rFonts w:hint="eastAsia" w:ascii="宋体" w:hAnsi="宋体" w:eastAsia="宋体" w:cs="宋体"/>
          <w:color w:val="auto"/>
          <w:sz w:val="24"/>
          <w:szCs w:val="24"/>
          <w:highlight w:val="none"/>
        </w:rPr>
        <w:t>政府采购信用担保试点范围内的项目，接受符合财政部门规定的政府采购</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担保函。</w:t>
      </w:r>
    </w:p>
    <w:p w14:paraId="386C5DD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未按本须知第12.1和12.3条规定提交</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的，其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将被认定为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18B7503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12.4.1  采用电汇形式的，一般可以实时入账。</w:t>
      </w:r>
    </w:p>
    <w:p w14:paraId="0CE023E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12.4.2  采用支票形式的，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则应充分考虑支票入账时间，以确保</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能按时进入指定账户。根据银行信息交换和付款时间，支票从递交至实际入账一般需要4-5个工作日。如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未及时提交支票或支票不符合银行委托收款要求（如污损、折叠、胶装等），导致</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不能按时进入指定账户的，将按照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的第22.2条相关规定处理。</w:t>
      </w:r>
    </w:p>
    <w:p w14:paraId="6401C09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12.5   联合体</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的，可以由联合体中的一方或者共同提交</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。以一方名义提交</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的，对联合体各方均具有约束力。</w:t>
      </w:r>
    </w:p>
    <w:p w14:paraId="7DFD669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w:t>
      </w:r>
      <w:r>
        <w:rPr>
          <w:rFonts w:hint="eastAsia" w:ascii="宋体" w:hAnsi="宋体" w:eastAsia="宋体" w:cs="宋体"/>
          <w:color w:val="auto"/>
          <w:sz w:val="24"/>
          <w:szCs w:val="24"/>
          <w:highlight w:val="none"/>
        </w:rPr>
        <w:tab/>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的退还</w:t>
      </w:r>
    </w:p>
    <w:p w14:paraId="4CBF258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12.6.1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应在与采购人签订合同之日起5个工作日内，及时联系保证金收受机构办理</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无息退还手续。</w:t>
      </w:r>
    </w:p>
    <w:p w14:paraId="65DA6E1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12.6.2  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将在</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发出之日暨</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结果公告公布之日起5个工作日内无息退还。</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应及时联系保证金收受机构办理退还</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手续。</w:t>
      </w:r>
    </w:p>
    <w:p w14:paraId="1804CB6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12.6.3  政府采购</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担保函不予退回。</w:t>
      </w:r>
    </w:p>
    <w:p w14:paraId="1743F9F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12.7    因</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自身原因导致无法及时退还的，采购人或采购代理机构将不承担相应责任。</w:t>
      </w:r>
    </w:p>
    <w:p w14:paraId="1E54903D">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286" w:name="_Toc30519"/>
      <w:bookmarkStart w:id="287" w:name="_Toc31306"/>
      <w:bookmarkStart w:id="288" w:name="_Toc32569"/>
      <w:bookmarkStart w:id="289" w:name="_Toc16678"/>
      <w:bookmarkStart w:id="290" w:name="_Toc17101"/>
      <w:bookmarkStart w:id="291" w:name="_Toc12947"/>
      <w:bookmarkStart w:id="292" w:name="_Toc15345"/>
      <w:bookmarkStart w:id="293" w:name="_Toc27999"/>
      <w:bookmarkStart w:id="294" w:name="_Toc14309"/>
      <w:bookmarkStart w:id="295" w:name="_Toc19152"/>
      <w:bookmarkStart w:id="296" w:name="_Toc32154"/>
      <w:bookmarkStart w:id="297" w:name="_Toc27662"/>
      <w:bookmarkStart w:id="298" w:name="_Toc23590"/>
      <w:bookmarkStart w:id="299" w:name="_Toc19068"/>
      <w:bookmarkStart w:id="300" w:name="_Toc520356157"/>
      <w:bookmarkStart w:id="301" w:name="_Toc515647772"/>
      <w:bookmarkStart w:id="302" w:name="_Toc1255"/>
      <w:r>
        <w:rPr>
          <w:rFonts w:hint="eastAsia" w:ascii="宋体" w:hAnsi="宋体" w:eastAsia="宋体" w:cs="宋体"/>
          <w:b/>
          <w:color w:val="auto"/>
          <w:sz w:val="28"/>
          <w:szCs w:val="28"/>
          <w:highlight w:val="none"/>
          <w:lang w:val="en-US" w:eastAsia="zh-CN"/>
        </w:rPr>
        <w:t>13.投标有效期</w:t>
      </w:r>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p>
    <w:p w14:paraId="64F9910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应在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中规定时间内保持有效。</w:t>
      </w:r>
      <w:r>
        <w:rPr>
          <w:rFonts w:hint="eastAsia" w:ascii="宋体" w:hAnsi="宋体" w:eastAsia="宋体" w:cs="宋体"/>
          <w:color w:val="auto"/>
          <w:sz w:val="24"/>
          <w:szCs w:val="24"/>
          <w:highlight w:val="none"/>
          <w:lang w:val="en-US" w:eastAsia="zh-CN"/>
        </w:rPr>
        <w:t>投标有效期</w:t>
      </w:r>
      <w:r>
        <w:rPr>
          <w:rFonts w:hint="eastAsia" w:ascii="宋体" w:hAnsi="宋体" w:eastAsia="宋体" w:cs="宋体"/>
          <w:color w:val="auto"/>
          <w:sz w:val="24"/>
          <w:szCs w:val="24"/>
          <w:highlight w:val="none"/>
        </w:rPr>
        <w:t>不满足要求的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，其</w:t>
      </w:r>
      <w:r>
        <w:rPr>
          <w:rFonts w:hint="eastAsia" w:ascii="宋体" w:hAnsi="宋体" w:eastAsia="宋体" w:cs="宋体"/>
          <w:color w:val="auto"/>
          <w:sz w:val="24"/>
          <w:szCs w:val="24"/>
          <w:highlight w:val="none"/>
          <w:lang w:eastAsia="zh-CN"/>
        </w:rPr>
        <w:t>磋商将被</w:t>
      </w:r>
      <w:r>
        <w:rPr>
          <w:rFonts w:hint="eastAsia" w:ascii="宋体" w:hAnsi="宋体" w:eastAsia="宋体" w:cs="宋体"/>
          <w:color w:val="auto"/>
          <w:sz w:val="24"/>
          <w:szCs w:val="24"/>
          <w:highlight w:val="none"/>
        </w:rPr>
        <w:t>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32C75DF8">
      <w:pPr>
        <w:pageBreakBefore w:val="0"/>
        <w:kinsoku/>
        <w:wordWrap/>
        <w:overflowPunct/>
        <w:topLinePunct w:val="0"/>
        <w:bidi w:val="0"/>
        <w:spacing w:line="360" w:lineRule="exact"/>
        <w:ind w:left="900" w:hanging="900" w:hangingChars="375"/>
        <w:rPr>
          <w:rFonts w:hint="eastAsia" w:ascii="宋体" w:hAnsi="宋体" w:eastAsia="宋体" w:cs="宋体"/>
          <w:b w:val="0"/>
          <w:i w:val="0"/>
          <w:color w:val="auto"/>
          <w:spacing w:val="0"/>
          <w:w w:val="100"/>
          <w:sz w:val="24"/>
          <w:szCs w:val="24"/>
          <w:highlight w:val="none"/>
        </w:rPr>
      </w:pPr>
      <w:r>
        <w:rPr>
          <w:rFonts w:hint="eastAsia" w:ascii="宋体" w:hAnsi="宋体" w:eastAsia="宋体" w:cs="宋体"/>
          <w:color w:val="auto"/>
          <w:sz w:val="24"/>
          <w:szCs w:val="24"/>
          <w:highlight w:val="none"/>
        </w:rPr>
        <w:t>13.2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为保证有充分时间签订合同，采购人或采购代理机构可根据实际情况，在原</w:t>
      </w:r>
      <w:r>
        <w:rPr>
          <w:rFonts w:hint="eastAsia" w:ascii="宋体" w:hAnsi="宋体" w:eastAsia="宋体" w:cs="宋体"/>
          <w:color w:val="auto"/>
          <w:sz w:val="24"/>
          <w:szCs w:val="24"/>
          <w:highlight w:val="none"/>
          <w:lang w:val="en-US" w:eastAsia="zh-CN"/>
        </w:rPr>
        <w:t>投标有效期</w:t>
      </w:r>
      <w:r>
        <w:rPr>
          <w:rFonts w:hint="eastAsia" w:ascii="宋体" w:hAnsi="宋体" w:eastAsia="宋体" w:cs="宋体"/>
          <w:color w:val="auto"/>
          <w:sz w:val="24"/>
          <w:szCs w:val="24"/>
          <w:highlight w:val="none"/>
        </w:rPr>
        <w:t>截止之前，要求</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延长</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的有效期。接受该要求的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将不会被要求和允许修正其</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，且本须知中有关</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的要求须在延长的有效期内继续有效。</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可以拒绝延长</w:t>
      </w:r>
      <w:r>
        <w:rPr>
          <w:rFonts w:hint="eastAsia" w:ascii="宋体" w:hAnsi="宋体" w:eastAsia="宋体" w:cs="宋体"/>
          <w:color w:val="auto"/>
          <w:sz w:val="24"/>
          <w:szCs w:val="24"/>
          <w:highlight w:val="none"/>
          <w:lang w:val="en-US" w:eastAsia="zh-CN"/>
        </w:rPr>
        <w:t>投标有效期</w:t>
      </w:r>
      <w:r>
        <w:rPr>
          <w:rFonts w:hint="eastAsia" w:ascii="宋体" w:hAnsi="宋体" w:eastAsia="宋体" w:cs="宋体"/>
          <w:color w:val="auto"/>
          <w:sz w:val="24"/>
          <w:szCs w:val="24"/>
          <w:highlight w:val="none"/>
        </w:rPr>
        <w:t>的要求，其</w:t>
      </w:r>
      <w:r>
        <w:rPr>
          <w:rFonts w:hint="eastAsia" w:ascii="宋体"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将及时无息退还。上述要求和答复都应以书面形式提交。</w:t>
      </w:r>
    </w:p>
    <w:p w14:paraId="5883A9BC">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303" w:name="_Toc493"/>
      <w:bookmarkEnd w:id="303"/>
      <w:bookmarkStart w:id="304" w:name="_Toc515647773"/>
      <w:bookmarkEnd w:id="304"/>
      <w:bookmarkStart w:id="305" w:name="_Toc29619"/>
      <w:bookmarkEnd w:id="305"/>
      <w:bookmarkStart w:id="306" w:name="_Toc520356158"/>
      <w:bookmarkEnd w:id="306"/>
      <w:bookmarkStart w:id="307" w:name="_Toc17074"/>
      <w:bookmarkEnd w:id="307"/>
      <w:bookmarkStart w:id="308" w:name="_Toc9672"/>
      <w:bookmarkEnd w:id="308"/>
      <w:bookmarkStart w:id="309" w:name="_Toc6302"/>
      <w:bookmarkEnd w:id="309"/>
      <w:bookmarkStart w:id="310" w:name="_Toc10391"/>
      <w:bookmarkEnd w:id="310"/>
      <w:bookmarkStart w:id="311" w:name="_Toc30127"/>
      <w:bookmarkEnd w:id="311"/>
      <w:bookmarkStart w:id="312" w:name="_Toc16503"/>
      <w:bookmarkEnd w:id="312"/>
      <w:bookmarkStart w:id="313" w:name="_Toc24787"/>
      <w:bookmarkEnd w:id="313"/>
      <w:bookmarkStart w:id="314" w:name="_Toc3558"/>
      <w:bookmarkEnd w:id="314"/>
      <w:bookmarkStart w:id="315" w:name="_Toc26703"/>
      <w:bookmarkEnd w:id="315"/>
      <w:bookmarkStart w:id="316" w:name="_Toc6286"/>
      <w:bookmarkEnd w:id="316"/>
      <w:bookmarkStart w:id="317" w:name="_Toc4425"/>
      <w:bookmarkEnd w:id="317"/>
      <w:bookmarkStart w:id="318" w:name="_Toc20843"/>
      <w:bookmarkStart w:id="319" w:name="_Toc28956"/>
      <w:bookmarkStart w:id="320" w:name="_Toc11669"/>
      <w:bookmarkStart w:id="321" w:name="_Toc6801"/>
      <w:bookmarkStart w:id="322" w:name="_Toc27840"/>
      <w:bookmarkStart w:id="323" w:name="_Toc7198"/>
      <w:bookmarkStart w:id="324" w:name="_Toc24606"/>
      <w:bookmarkStart w:id="325" w:name="_Toc27307"/>
      <w:bookmarkStart w:id="326" w:name="_Toc10565"/>
      <w:bookmarkStart w:id="327" w:name="_Toc11337"/>
      <w:bookmarkStart w:id="328" w:name="_Toc3823"/>
      <w:bookmarkStart w:id="329" w:name="_Toc87"/>
      <w:bookmarkStart w:id="330" w:name="_Toc8711"/>
      <w:bookmarkStart w:id="331" w:name="_Toc216582808"/>
      <w:bookmarkStart w:id="332" w:name="_Toc8824"/>
      <w:bookmarkStart w:id="333" w:name="_Toc515647774"/>
      <w:bookmarkStart w:id="334" w:name="_Toc16865"/>
      <w:bookmarkStart w:id="335" w:name="_Toc11179"/>
      <w:bookmarkStart w:id="336" w:name="_Toc520356159"/>
      <w:r>
        <w:rPr>
          <w:rFonts w:hint="eastAsia" w:ascii="宋体" w:hAnsi="宋体" w:eastAsia="宋体" w:cs="宋体"/>
          <w:b/>
          <w:color w:val="auto"/>
          <w:sz w:val="28"/>
          <w:szCs w:val="28"/>
          <w:highlight w:val="none"/>
          <w:lang w:val="en-US" w:eastAsia="zh-CN"/>
        </w:rPr>
        <w:t>14.响应文件的签署及规定</w:t>
      </w:r>
      <w:bookmarkEnd w:id="318"/>
      <w:bookmarkEnd w:id="319"/>
      <w:bookmarkEnd w:id="320"/>
      <w:bookmarkEnd w:id="321"/>
      <w:bookmarkEnd w:id="322"/>
      <w:bookmarkEnd w:id="323"/>
      <w:bookmarkEnd w:id="324"/>
      <w:bookmarkEnd w:id="325"/>
      <w:bookmarkEnd w:id="326"/>
      <w:bookmarkEnd w:id="327"/>
      <w:bookmarkEnd w:id="328"/>
      <w:bookmarkEnd w:id="329"/>
    </w:p>
    <w:p w14:paraId="178862BD">
      <w:pPr>
        <w:pageBreakBefore w:val="0"/>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14.1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供应商应按供应商须知资料表中的规定，准备和上传</w:t>
      </w:r>
      <w:r>
        <w:rPr>
          <w:rFonts w:hint="eastAsia" w:ascii="宋体" w:hAnsi="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28F7C083">
      <w:pPr>
        <w:pStyle w:val="27"/>
        <w:pageBreakBefore w:val="0"/>
        <w:kinsoku/>
        <w:wordWrap/>
        <w:overflowPunct/>
        <w:topLinePunct w:val="0"/>
        <w:bidi w:val="0"/>
        <w:spacing w:line="360" w:lineRule="exact"/>
        <w:rPr>
          <w:rFonts w:hint="eastAsia" w:ascii="宋体" w:hAnsi="宋体" w:eastAsia="宋体" w:cs="宋体"/>
          <w:color w:val="auto"/>
          <w:sz w:val="24"/>
          <w:szCs w:val="24"/>
          <w:highlight w:val="none"/>
        </w:rPr>
      </w:pPr>
    </w:p>
    <w:bookmarkEnd w:id="330"/>
    <w:bookmarkEnd w:id="331"/>
    <w:bookmarkEnd w:id="332"/>
    <w:bookmarkEnd w:id="333"/>
    <w:bookmarkEnd w:id="334"/>
    <w:bookmarkEnd w:id="335"/>
    <w:bookmarkEnd w:id="336"/>
    <w:p w14:paraId="5222BA25">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rPr>
      </w:pPr>
      <w:bookmarkStart w:id="337" w:name="_Toc3462"/>
      <w:bookmarkStart w:id="338" w:name="_Toc24055"/>
      <w:bookmarkStart w:id="339" w:name="_Toc14497"/>
      <w:r>
        <w:rPr>
          <w:rFonts w:hint="eastAsia" w:ascii="宋体" w:hAnsi="宋体" w:eastAsia="宋体" w:cs="宋体"/>
          <w:b/>
          <w:i w:val="0"/>
          <w:color w:val="auto"/>
          <w:spacing w:val="0"/>
          <w:w w:val="100"/>
          <w:sz w:val="32"/>
          <w:szCs w:val="32"/>
          <w:highlight w:val="none"/>
        </w:rPr>
        <w:t>四   响应文件的递交</w:t>
      </w:r>
      <w:bookmarkEnd w:id="337"/>
      <w:bookmarkEnd w:id="338"/>
      <w:bookmarkEnd w:id="339"/>
    </w:p>
    <w:p w14:paraId="66A61B15">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340" w:name="_Toc8317"/>
      <w:bookmarkEnd w:id="340"/>
      <w:bookmarkStart w:id="341" w:name="_Toc20727"/>
      <w:bookmarkEnd w:id="341"/>
      <w:bookmarkStart w:id="342" w:name="_Toc14401"/>
      <w:bookmarkEnd w:id="342"/>
      <w:bookmarkStart w:id="343" w:name="_Toc5761"/>
      <w:bookmarkStart w:id="344" w:name="_Toc26050"/>
      <w:bookmarkStart w:id="345" w:name="_Toc2920"/>
      <w:bookmarkStart w:id="346" w:name="_Toc11198"/>
      <w:bookmarkStart w:id="347" w:name="_Toc6516"/>
      <w:bookmarkStart w:id="348" w:name="_Toc8129"/>
      <w:bookmarkStart w:id="349" w:name="_Toc16510"/>
      <w:bookmarkStart w:id="350" w:name="_Toc1906"/>
      <w:bookmarkStart w:id="351" w:name="_Toc7465"/>
      <w:bookmarkStart w:id="352" w:name="_Toc1280"/>
      <w:r>
        <w:rPr>
          <w:rFonts w:hint="eastAsia" w:ascii="宋体" w:hAnsi="宋体" w:eastAsia="宋体" w:cs="宋体"/>
          <w:b/>
          <w:color w:val="auto"/>
          <w:sz w:val="28"/>
          <w:szCs w:val="28"/>
          <w:highlight w:val="none"/>
          <w:lang w:val="en-US" w:eastAsia="zh-CN"/>
        </w:rPr>
        <w:t>15.响应文件的上传和标记</w:t>
      </w:r>
      <w:bookmarkEnd w:id="343"/>
      <w:bookmarkEnd w:id="344"/>
      <w:bookmarkEnd w:id="345"/>
      <w:bookmarkEnd w:id="346"/>
      <w:bookmarkEnd w:id="347"/>
      <w:bookmarkEnd w:id="348"/>
      <w:bookmarkEnd w:id="349"/>
      <w:bookmarkEnd w:id="350"/>
      <w:bookmarkEnd w:id="351"/>
      <w:bookmarkEnd w:id="352"/>
    </w:p>
    <w:p w14:paraId="2631F8E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15.1  为方便评审及进行资格审查，供应商应完整地按磋商文件提供的响应文件格式及要求编写响应文件， 供应商须在磋商截止时间前完成在系统上递交电子响应文件。供应商的电子响应文件是经过CA证书加密后上传提交的，任何单位或个人均无法在磋商截止时间(即磋商时间)之前查看或篡改，不存在泄密风险。（严格按照政采云电子投标流程制作并上传电子响应文件）</w:t>
      </w:r>
    </w:p>
    <w:p w14:paraId="5A78A92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15.2    供应商因自身原因导致电子响应文件无法导入电子评标系统的，该响应文件视为无效文件。</w:t>
      </w:r>
    </w:p>
    <w:p w14:paraId="448F4AE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15.3   电子响应文件具有法律效力,与其他形式的响应文件在内容和格式上等同，若响应文件与磋商文件要求不一致，其内容影响成交结果时，责任由供应商自行承担。</w:t>
      </w:r>
    </w:p>
    <w:p w14:paraId="4D1A1273">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353" w:name="_Toc17998"/>
      <w:bookmarkStart w:id="354" w:name="_Toc20612"/>
      <w:bookmarkStart w:id="355" w:name="_Toc7925"/>
      <w:bookmarkStart w:id="356" w:name="_Toc16308"/>
      <w:bookmarkStart w:id="357" w:name="_Toc22574"/>
      <w:bookmarkStart w:id="358" w:name="_Toc7697"/>
      <w:bookmarkStart w:id="359" w:name="_Toc23034"/>
      <w:bookmarkStart w:id="360" w:name="_Toc9893"/>
      <w:bookmarkStart w:id="361" w:name="_Toc24229"/>
      <w:bookmarkStart w:id="362" w:name="_Toc22002"/>
      <w:bookmarkStart w:id="363" w:name="_Toc8323"/>
      <w:r>
        <w:rPr>
          <w:rFonts w:hint="eastAsia" w:ascii="宋体" w:hAnsi="宋体" w:eastAsia="宋体" w:cs="宋体"/>
          <w:b/>
          <w:color w:val="auto"/>
          <w:sz w:val="28"/>
          <w:szCs w:val="28"/>
          <w:highlight w:val="none"/>
          <w:lang w:val="en-US" w:eastAsia="zh-CN"/>
        </w:rPr>
        <w:t>16.</w:t>
      </w:r>
      <w:bookmarkEnd w:id="353"/>
      <w:bookmarkEnd w:id="354"/>
      <w:bookmarkEnd w:id="355"/>
      <w:bookmarkEnd w:id="356"/>
      <w:bookmarkEnd w:id="357"/>
      <w:bookmarkEnd w:id="358"/>
      <w:bookmarkEnd w:id="359"/>
      <w:bookmarkEnd w:id="360"/>
      <w:r>
        <w:rPr>
          <w:rFonts w:hint="eastAsia" w:ascii="宋体" w:hAnsi="宋体" w:eastAsia="宋体" w:cs="宋体"/>
          <w:b/>
          <w:color w:val="auto"/>
          <w:sz w:val="28"/>
          <w:szCs w:val="28"/>
          <w:highlight w:val="none"/>
          <w:lang w:val="en-US" w:eastAsia="zh-CN"/>
        </w:rPr>
        <w:t>磋商截止</w:t>
      </w:r>
      <w:bookmarkEnd w:id="361"/>
      <w:bookmarkEnd w:id="362"/>
      <w:bookmarkEnd w:id="363"/>
    </w:p>
    <w:p w14:paraId="1BA1906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供应商应在供应商须知资料表中规定的</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时间前，将</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上传到</w:t>
      </w:r>
      <w:r>
        <w:rPr>
          <w:rFonts w:hint="eastAsia" w:ascii="宋体" w:hAnsi="宋体" w:cs="宋体"/>
          <w:color w:val="auto"/>
          <w:sz w:val="24"/>
          <w:szCs w:val="24"/>
          <w:highlight w:val="none"/>
          <w:lang w:val="en-US" w:eastAsia="zh-CN"/>
        </w:rPr>
        <w:t>竞争性磋商公告</w:t>
      </w:r>
      <w:r>
        <w:rPr>
          <w:rFonts w:hint="eastAsia" w:ascii="宋体" w:hAnsi="宋体" w:eastAsia="宋体" w:cs="宋体"/>
          <w:color w:val="auto"/>
          <w:sz w:val="24"/>
          <w:szCs w:val="24"/>
          <w:highlight w:val="none"/>
        </w:rPr>
        <w:t>中规定的地点。</w:t>
      </w:r>
      <w:r>
        <w:rPr>
          <w:rFonts w:hint="eastAsia" w:ascii="宋体" w:hAnsi="宋体" w:eastAsia="宋体" w:cs="宋体"/>
          <w:b/>
          <w:bCs/>
          <w:color w:val="auto"/>
          <w:sz w:val="24"/>
          <w:szCs w:val="24"/>
          <w:highlight w:val="none"/>
        </w:rPr>
        <w:t>解密时间30分钟，逾期未解密的视为投标无效。</w:t>
      </w:r>
    </w:p>
    <w:p w14:paraId="6C821A4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采购人和采购代理机构有权按本须知的规定，延迟</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时间。在此情况下，采购人、采购代理机构和供应商受</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时间制约的所有权利和义务均应延长至新的截止时间。</w:t>
      </w:r>
    </w:p>
    <w:p w14:paraId="46DA7B8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16.3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采购人和采购代理机构将拒绝接收在</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时间后上传的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p>
    <w:p w14:paraId="527327AC">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364" w:name="_Toc704"/>
      <w:bookmarkStart w:id="365" w:name="_Toc32445"/>
      <w:bookmarkStart w:id="366" w:name="_Toc29765"/>
      <w:bookmarkStart w:id="367" w:name="_Toc23097"/>
      <w:bookmarkStart w:id="368" w:name="_Toc11854"/>
      <w:bookmarkStart w:id="369" w:name="_Toc9169"/>
      <w:bookmarkStart w:id="370" w:name="_Toc16566"/>
      <w:bookmarkStart w:id="371" w:name="_Toc22638"/>
      <w:bookmarkStart w:id="372" w:name="_Toc27778"/>
      <w:bookmarkStart w:id="373" w:name="_Toc17866"/>
      <w:bookmarkStart w:id="374" w:name="_Toc17748"/>
      <w:bookmarkStart w:id="375" w:name="_Toc79"/>
      <w:r>
        <w:rPr>
          <w:rFonts w:hint="eastAsia" w:ascii="宋体" w:hAnsi="宋体" w:eastAsia="宋体" w:cs="宋体"/>
          <w:b/>
          <w:color w:val="auto"/>
          <w:sz w:val="28"/>
          <w:szCs w:val="28"/>
          <w:highlight w:val="none"/>
          <w:lang w:val="en-US" w:eastAsia="zh-CN"/>
        </w:rPr>
        <w:t>17.响应文件的接收、修改与撤回</w:t>
      </w:r>
      <w:bookmarkEnd w:id="364"/>
      <w:bookmarkEnd w:id="365"/>
      <w:bookmarkEnd w:id="366"/>
      <w:bookmarkEnd w:id="367"/>
      <w:bookmarkEnd w:id="368"/>
      <w:bookmarkEnd w:id="369"/>
      <w:bookmarkEnd w:id="370"/>
      <w:bookmarkEnd w:id="371"/>
      <w:bookmarkEnd w:id="372"/>
      <w:bookmarkEnd w:id="373"/>
      <w:bookmarkEnd w:id="374"/>
      <w:bookmarkEnd w:id="375"/>
    </w:p>
    <w:p w14:paraId="5F8EC6F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时间后上传的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的，采购人和采购代理机构将拒绝接收。</w:t>
      </w:r>
    </w:p>
    <w:p w14:paraId="4E9C8CD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以后，如果供应商要进行修改或撤回</w:t>
      </w:r>
      <w:r>
        <w:rPr>
          <w:rFonts w:hint="eastAsia" w:ascii="宋体" w:hAnsi="宋体" w:eastAsia="宋体" w:cs="宋体"/>
          <w:color w:val="auto"/>
          <w:sz w:val="24"/>
          <w:szCs w:val="24"/>
          <w:highlight w:val="none"/>
          <w:lang w:val="en-US" w:eastAsia="zh-CN"/>
        </w:rPr>
        <w:t>投标</w:t>
      </w:r>
      <w:r>
        <w:rPr>
          <w:rFonts w:hint="eastAsia" w:ascii="宋体" w:hAnsi="宋体" w:eastAsia="宋体" w:cs="宋体"/>
          <w:color w:val="auto"/>
          <w:sz w:val="24"/>
          <w:szCs w:val="24"/>
          <w:highlight w:val="none"/>
        </w:rPr>
        <w:t>，供应商对</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的修改或撤回通知应按本须知规定编制、标记。采购人和采购代理机构将予以接收，并视为</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的组成部分。</w:t>
      </w:r>
    </w:p>
    <w:p w14:paraId="70E07205">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w:t>
      </w:r>
      <w:r>
        <w:rPr>
          <w:rFonts w:hint="eastAsia" w:ascii="宋体" w:hAnsi="宋体" w:eastAsia="宋体" w:cs="宋体"/>
          <w:color w:val="auto"/>
          <w:sz w:val="24"/>
          <w:szCs w:val="24"/>
          <w:highlight w:val="none"/>
          <w:lang w:val="en-US" w:eastAsia="zh-CN"/>
        </w:rPr>
        <w:t>.</w:t>
      </w: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期之后，采购人和采购代理机构不接受供应商主动对其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做任何修改。</w:t>
      </w:r>
    </w:p>
    <w:p w14:paraId="4AA2B3E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17.4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采购人和采购代理机构对所接收</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概不退回。</w:t>
      </w:r>
    </w:p>
    <w:p w14:paraId="1745969E">
      <w:pPr>
        <w:pageBreakBefore w:val="0"/>
        <w:kinsoku/>
        <w:wordWrap/>
        <w:overflowPunct/>
        <w:topLinePunct w:val="0"/>
        <w:bidi w:val="0"/>
        <w:spacing w:line="360" w:lineRule="exact"/>
        <w:rPr>
          <w:rFonts w:hint="eastAsia" w:ascii="宋体" w:hAnsi="宋体" w:eastAsia="宋体" w:cs="宋体"/>
          <w:color w:val="auto"/>
          <w:sz w:val="24"/>
          <w:szCs w:val="24"/>
          <w:highlight w:val="none"/>
        </w:rPr>
      </w:pPr>
    </w:p>
    <w:p w14:paraId="0E48893C">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rPr>
      </w:pPr>
      <w:bookmarkStart w:id="376" w:name="_Toc7470"/>
      <w:bookmarkStart w:id="377" w:name="_Toc17356"/>
      <w:bookmarkStart w:id="378" w:name="_Toc13624"/>
      <w:bookmarkStart w:id="379" w:name="_Toc17757"/>
      <w:bookmarkStart w:id="380" w:name="_Toc2346"/>
      <w:r>
        <w:rPr>
          <w:rFonts w:hint="eastAsia" w:ascii="宋体" w:hAnsi="宋体" w:eastAsia="宋体" w:cs="宋体"/>
          <w:b/>
          <w:i w:val="0"/>
          <w:color w:val="auto"/>
          <w:spacing w:val="0"/>
          <w:w w:val="100"/>
          <w:sz w:val="32"/>
          <w:szCs w:val="32"/>
          <w:highlight w:val="none"/>
        </w:rPr>
        <w:t xml:space="preserve">五   </w:t>
      </w:r>
      <w:bookmarkEnd w:id="376"/>
      <w:bookmarkEnd w:id="377"/>
      <w:r>
        <w:rPr>
          <w:rFonts w:hint="eastAsia" w:ascii="宋体" w:hAnsi="宋体" w:eastAsia="宋体" w:cs="宋体"/>
          <w:b/>
          <w:i w:val="0"/>
          <w:color w:val="auto"/>
          <w:spacing w:val="0"/>
          <w:w w:val="100"/>
          <w:sz w:val="32"/>
          <w:szCs w:val="32"/>
          <w:highlight w:val="none"/>
        </w:rPr>
        <w:t>磋商开启及评审</w:t>
      </w:r>
      <w:bookmarkEnd w:id="378"/>
      <w:bookmarkEnd w:id="379"/>
      <w:bookmarkEnd w:id="380"/>
    </w:p>
    <w:p w14:paraId="2072EB07">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381" w:name="_Toc1335"/>
      <w:bookmarkStart w:id="382" w:name="_Toc18873"/>
      <w:bookmarkStart w:id="383" w:name="_Toc8328"/>
      <w:bookmarkStart w:id="384" w:name="_Toc5231"/>
      <w:bookmarkStart w:id="385" w:name="_Toc10550"/>
      <w:bookmarkStart w:id="386" w:name="_Toc515647780"/>
      <w:bookmarkStart w:id="387" w:name="_Toc21667"/>
      <w:bookmarkStart w:id="388" w:name="_Toc27495"/>
      <w:bookmarkStart w:id="389" w:name="_Toc378"/>
      <w:bookmarkStart w:id="390" w:name="_Toc32415"/>
      <w:bookmarkStart w:id="391" w:name="_Toc19296"/>
      <w:bookmarkStart w:id="392" w:name="_Toc5052"/>
      <w:bookmarkStart w:id="393" w:name="_Toc18228"/>
      <w:bookmarkStart w:id="394" w:name="_Toc18233"/>
      <w:bookmarkStart w:id="395" w:name="_Toc21372"/>
      <w:bookmarkStart w:id="396" w:name="_Toc28586"/>
      <w:bookmarkStart w:id="397" w:name="_Toc520356166"/>
      <w:bookmarkStart w:id="398" w:name="_Toc19949"/>
      <w:bookmarkStart w:id="399" w:name="_Toc13892"/>
      <w:bookmarkStart w:id="400" w:name="_Toc8432"/>
      <w:bookmarkStart w:id="401" w:name="_Toc3936"/>
      <w:bookmarkStart w:id="402" w:name="_Toc14775"/>
      <w:bookmarkStart w:id="403" w:name="_Toc11595"/>
      <w:bookmarkStart w:id="404" w:name="_Toc28479"/>
      <w:bookmarkStart w:id="405" w:name="_Toc22021"/>
      <w:bookmarkStart w:id="406" w:name="_Toc14028"/>
      <w:bookmarkStart w:id="407" w:name="_Toc29696"/>
      <w:bookmarkStart w:id="408" w:name="_Toc515647781"/>
      <w:bookmarkStart w:id="409" w:name="_Toc21156"/>
      <w:bookmarkStart w:id="410" w:name="_Toc22736"/>
      <w:r>
        <w:rPr>
          <w:rFonts w:hint="eastAsia" w:ascii="宋体" w:hAnsi="宋体" w:eastAsia="宋体" w:cs="宋体"/>
          <w:b/>
          <w:color w:val="auto"/>
          <w:sz w:val="28"/>
          <w:szCs w:val="28"/>
          <w:highlight w:val="none"/>
          <w:lang w:val="en-US" w:eastAsia="zh-CN"/>
        </w:rPr>
        <w:t>18.磋商</w:t>
      </w:r>
      <w:bookmarkEnd w:id="381"/>
      <w:bookmarkEnd w:id="382"/>
      <w:bookmarkEnd w:id="383"/>
    </w:p>
    <w:p w14:paraId="70CB7E8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采购人和采购代理机构将按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须知资料表中规定的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时间和地点组织</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并邀请所有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代表参加。</w:t>
      </w:r>
    </w:p>
    <w:p w14:paraId="27BFD91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到磋商截止时间，对供应商上传的响应文件进行解密，解密时长为30分钟。供应商须在规定时间内使用CA锁在政采云平台解密，解密失败或未在规定时间内解密，将无法参加下一阶段的磋商，将被认定为无效磋商。</w:t>
      </w:r>
      <w:r>
        <w:rPr>
          <w:rFonts w:hint="eastAsia" w:ascii="宋体" w:hAnsi="宋体" w:eastAsia="宋体" w:cs="宋体"/>
          <w:b/>
          <w:bCs/>
          <w:color w:val="auto"/>
          <w:sz w:val="24"/>
          <w:szCs w:val="24"/>
          <w:highlight w:val="none"/>
          <w:lang w:val="en-US" w:eastAsia="zh-CN"/>
        </w:rPr>
        <w:t>请供应商提前调试好CA锁，确保在操作时能正常使用。</w:t>
      </w:r>
      <w:r>
        <w:rPr>
          <w:rFonts w:hint="eastAsia" w:ascii="宋体" w:hAnsi="宋体" w:eastAsia="宋体" w:cs="宋体"/>
          <w:color w:val="auto"/>
          <w:sz w:val="24"/>
          <w:szCs w:val="24"/>
          <w:highlight w:val="none"/>
        </w:rPr>
        <w:t xml:space="preserve">  </w:t>
      </w:r>
    </w:p>
    <w:p w14:paraId="4F18076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18.3</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在开标记录时，代理机构开启签字时段，</w:t>
      </w:r>
      <w:r>
        <w:rPr>
          <w:rFonts w:hint="eastAsia" w:ascii="宋体" w:hAnsi="宋体" w:eastAsia="宋体" w:cs="宋体"/>
          <w:b/>
          <w:bCs/>
          <w:color w:val="auto"/>
          <w:sz w:val="24"/>
          <w:szCs w:val="24"/>
          <w:highlight w:val="none"/>
          <w:lang w:val="en-US" w:eastAsia="zh-CN"/>
        </w:rPr>
        <w:t>供应商须使用CA锁在政采云平台进行签字确认报价</w:t>
      </w:r>
      <w:r>
        <w:rPr>
          <w:rFonts w:hint="eastAsia" w:ascii="宋体" w:hAnsi="宋体" w:eastAsia="宋体" w:cs="宋体"/>
          <w:b/>
          <w:bCs/>
          <w:color w:val="auto"/>
          <w:sz w:val="24"/>
          <w:szCs w:val="24"/>
          <w:highlight w:val="none"/>
        </w:rPr>
        <w:t>。</w:t>
      </w:r>
    </w:p>
    <w:p w14:paraId="2366B15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18.</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val="en-US" w:eastAsia="zh-CN"/>
        </w:rPr>
        <w:t>在评审磋商环节，</w:t>
      </w:r>
      <w:r>
        <w:rPr>
          <w:rFonts w:hint="eastAsia" w:ascii="宋体" w:hAnsi="宋体" w:eastAsia="宋体" w:cs="宋体"/>
          <w:b/>
          <w:bCs/>
          <w:color w:val="auto"/>
          <w:sz w:val="24"/>
          <w:szCs w:val="24"/>
          <w:highlight w:val="none"/>
          <w:lang w:val="en-US" w:eastAsia="zh-CN"/>
        </w:rPr>
        <w:t>供应商须提前调试电脑是否可以正常视频通话</w:t>
      </w:r>
      <w:r>
        <w:rPr>
          <w:rFonts w:hint="eastAsia" w:ascii="宋体" w:hAnsi="宋体" w:eastAsia="宋体" w:cs="宋体"/>
          <w:color w:val="auto"/>
          <w:sz w:val="24"/>
          <w:szCs w:val="24"/>
          <w:highlight w:val="none"/>
          <w:lang w:val="en-US" w:eastAsia="zh-CN"/>
        </w:rPr>
        <w:t>，与评审专家进行一对一的磋商</w:t>
      </w:r>
      <w:r>
        <w:rPr>
          <w:rFonts w:hint="eastAsia" w:ascii="宋体" w:hAnsi="宋体" w:eastAsia="宋体" w:cs="宋体"/>
          <w:color w:val="auto"/>
          <w:sz w:val="24"/>
          <w:szCs w:val="24"/>
          <w:highlight w:val="none"/>
        </w:rPr>
        <w:t>。</w:t>
      </w:r>
    </w:p>
    <w:p w14:paraId="484D2E63">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11" w:name="_Toc8731"/>
      <w:bookmarkStart w:id="412" w:name="_Toc12446"/>
      <w:bookmarkStart w:id="413" w:name="_Toc16751"/>
      <w:r>
        <w:rPr>
          <w:rFonts w:hint="eastAsia" w:ascii="宋体" w:hAnsi="宋体" w:eastAsia="宋体" w:cs="宋体"/>
          <w:b/>
          <w:color w:val="auto"/>
          <w:sz w:val="28"/>
          <w:szCs w:val="28"/>
          <w:highlight w:val="none"/>
          <w:lang w:val="en-US" w:eastAsia="zh-CN"/>
        </w:rPr>
        <w:t>19.资格审查及组建</w:t>
      </w:r>
      <w:bookmarkEnd w:id="384"/>
      <w:bookmarkEnd w:id="385"/>
      <w:bookmarkEnd w:id="386"/>
      <w:bookmarkEnd w:id="387"/>
      <w:bookmarkEnd w:id="388"/>
      <w:bookmarkEnd w:id="389"/>
      <w:bookmarkEnd w:id="390"/>
      <w:bookmarkEnd w:id="391"/>
      <w:bookmarkEnd w:id="392"/>
      <w:bookmarkEnd w:id="393"/>
      <w:bookmarkEnd w:id="394"/>
      <w:bookmarkEnd w:id="395"/>
      <w:bookmarkEnd w:id="396"/>
      <w:r>
        <w:rPr>
          <w:rFonts w:hint="eastAsia" w:ascii="宋体" w:hAnsi="宋体" w:eastAsia="宋体" w:cs="宋体"/>
          <w:b/>
          <w:color w:val="auto"/>
          <w:sz w:val="28"/>
          <w:szCs w:val="28"/>
          <w:highlight w:val="none"/>
          <w:lang w:val="en-US" w:eastAsia="zh-CN"/>
        </w:rPr>
        <w:t>磋商小组</w:t>
      </w:r>
      <w:bookmarkEnd w:id="411"/>
      <w:bookmarkEnd w:id="412"/>
      <w:bookmarkEnd w:id="413"/>
    </w:p>
    <w:p w14:paraId="214C1A61">
      <w:pPr>
        <w:pageBreakBefore w:val="0"/>
        <w:kinsoku/>
        <w:wordWrap/>
        <w:overflowPunct/>
        <w:topLinePunct w:val="0"/>
        <w:bidi w:val="0"/>
        <w:spacing w:line="360" w:lineRule="exact"/>
        <w:ind w:left="960" w:hanging="960" w:hangingChars="400"/>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19.1    采购人或采购代理机构依据法律法规和</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中规定的内容，对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资格进行审查，</w:t>
      </w:r>
      <w:r>
        <w:rPr>
          <w:rFonts w:hint="eastAsia" w:ascii="宋体" w:hAnsi="宋体" w:eastAsia="宋体" w:cs="宋体"/>
          <w:b/>
          <w:bCs/>
          <w:color w:val="auto"/>
          <w:sz w:val="24"/>
          <w:szCs w:val="24"/>
          <w:highlight w:val="none"/>
        </w:rPr>
        <w:t>本项目审查内容如下：</w:t>
      </w:r>
    </w:p>
    <w:p w14:paraId="2E8E9C78">
      <w:pPr>
        <w:pStyle w:val="19"/>
        <w:keepNext w:val="0"/>
        <w:keepLines w:val="0"/>
        <w:pageBreakBefore w:val="0"/>
        <w:widowControl w:val="0"/>
        <w:kinsoku/>
        <w:wordWrap/>
        <w:overflowPunct/>
        <w:topLinePunct w:val="0"/>
        <w:autoSpaceDE/>
        <w:autoSpaceDN/>
        <w:bidi w:val="0"/>
        <w:adjustRightInd/>
        <w:snapToGrid w:val="0"/>
        <w:spacing w:line="360" w:lineRule="exact"/>
        <w:ind w:firstLine="482" w:firstLineChars="200"/>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lang w:eastAsia="zh-CN"/>
        </w:rPr>
        <w:t>合格供应商的其他资格要求（</w:t>
      </w:r>
      <w:r>
        <w:rPr>
          <w:rFonts w:hint="eastAsia" w:ascii="宋体" w:hAnsi="宋体" w:eastAsia="宋体" w:cs="宋体"/>
          <w:b/>
          <w:bCs/>
          <w:color w:val="auto"/>
          <w:sz w:val="24"/>
          <w:szCs w:val="24"/>
          <w:highlight w:val="none"/>
          <w:lang w:val="en-US" w:eastAsia="zh-CN"/>
        </w:rPr>
        <w:t>需将以下证明资料附在响应文件中</w:t>
      </w:r>
      <w:r>
        <w:rPr>
          <w:rFonts w:hint="eastAsia" w:ascii="宋体" w:hAnsi="宋体" w:eastAsia="宋体" w:cs="宋体"/>
          <w:b/>
          <w:bCs/>
          <w:color w:val="auto"/>
          <w:sz w:val="24"/>
          <w:szCs w:val="24"/>
          <w:highlight w:val="none"/>
          <w:lang w:eastAsia="zh-CN"/>
        </w:rPr>
        <w:t>）：</w:t>
      </w:r>
    </w:p>
    <w:p w14:paraId="4D460699">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（1）</w:t>
      </w:r>
      <w:r>
        <w:rPr>
          <w:rFonts w:hint="eastAsia" w:ascii="宋体" w:hAnsi="宋体" w:cs="宋体"/>
          <w:b/>
          <w:bCs/>
          <w:sz w:val="24"/>
          <w:lang w:eastAsia="zh-CN"/>
        </w:rPr>
        <w:t>具有有效的营业执照</w:t>
      </w:r>
      <w:r>
        <w:rPr>
          <w:rFonts w:hint="eastAsia" w:ascii="宋体" w:hAnsi="宋体" w:cs="宋体"/>
          <w:b/>
          <w:bCs/>
          <w:sz w:val="24"/>
        </w:rPr>
        <w:t>；</w:t>
      </w:r>
    </w:p>
    <w:p w14:paraId="56050B32">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（2）</w:t>
      </w:r>
      <w:r>
        <w:rPr>
          <w:rFonts w:hint="eastAsia" w:ascii="宋体" w:hAnsi="宋体" w:cs="宋体"/>
          <w:b/>
          <w:bCs/>
          <w:sz w:val="24"/>
          <w:lang w:eastAsia="zh-CN"/>
        </w:rPr>
        <w:t>法定代表人资格证明(法定代表人磋商须提供身份证)</w:t>
      </w:r>
      <w:r>
        <w:rPr>
          <w:rFonts w:hint="eastAsia" w:ascii="宋体" w:hAnsi="宋体" w:cs="宋体"/>
          <w:b/>
          <w:bCs/>
          <w:sz w:val="24"/>
        </w:rPr>
        <w:t>；</w:t>
      </w:r>
    </w:p>
    <w:p w14:paraId="56E356AA">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（3）</w:t>
      </w:r>
      <w:r>
        <w:rPr>
          <w:rFonts w:hint="eastAsia" w:ascii="宋体" w:hAnsi="宋体" w:cs="宋体"/>
          <w:b/>
          <w:bCs/>
          <w:sz w:val="24"/>
          <w:lang w:eastAsia="zh-CN"/>
        </w:rPr>
        <w:t>近两年任意一年的财务审计报告，新成立的公司提供近三个月内任意一个月的银行资信证明</w:t>
      </w:r>
      <w:r>
        <w:rPr>
          <w:rFonts w:hint="eastAsia" w:ascii="宋体" w:hAnsi="宋体" w:cs="宋体"/>
          <w:b/>
          <w:bCs/>
          <w:sz w:val="24"/>
        </w:rPr>
        <w:t>；</w:t>
      </w:r>
    </w:p>
    <w:p w14:paraId="1F2C83F5">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（4）</w:t>
      </w:r>
      <w:r>
        <w:rPr>
          <w:rFonts w:hint="eastAsia" w:ascii="宋体" w:hAnsi="宋体" w:cs="宋体"/>
          <w:b/>
          <w:bCs/>
          <w:sz w:val="24"/>
          <w:lang w:eastAsia="zh-CN"/>
        </w:rPr>
        <w:t>提供依法缴纳近6个月任意1个月社会保险的证明</w:t>
      </w:r>
      <w:r>
        <w:rPr>
          <w:rFonts w:hint="eastAsia" w:ascii="宋体" w:hAnsi="宋体" w:cs="宋体"/>
          <w:b/>
          <w:bCs/>
          <w:sz w:val="24"/>
        </w:rPr>
        <w:t>；</w:t>
      </w:r>
    </w:p>
    <w:p w14:paraId="39155B9A">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（5）</w:t>
      </w:r>
      <w:r>
        <w:rPr>
          <w:rFonts w:hint="eastAsia" w:ascii="宋体" w:hAnsi="宋体" w:cs="宋体"/>
          <w:b/>
          <w:bCs/>
          <w:sz w:val="24"/>
          <w:lang w:eastAsia="zh-CN"/>
        </w:rPr>
        <w:t>提供依法缴纳近6个月任意1个月的税收证明</w:t>
      </w:r>
      <w:r>
        <w:rPr>
          <w:rFonts w:hint="eastAsia" w:ascii="宋体" w:hAnsi="宋体" w:cs="宋体"/>
          <w:b/>
          <w:bCs/>
          <w:sz w:val="24"/>
        </w:rPr>
        <w:t>；</w:t>
      </w:r>
    </w:p>
    <w:p w14:paraId="42E87821">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（6）</w:t>
      </w:r>
      <w:r>
        <w:rPr>
          <w:rFonts w:hint="eastAsia" w:ascii="宋体" w:hAnsi="宋体" w:cs="宋体"/>
          <w:b/>
          <w:bCs/>
          <w:sz w:val="24"/>
          <w:lang w:eastAsia="zh-CN"/>
        </w:rPr>
        <w:t>根据《财政部关于在政府采购活动中查询及使用信用记录有关问题的通知》（财库﹝2016﹞125号）的要求，凡拟参加本次招标项目的投标人，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宋体" w:hAnsi="宋体" w:cs="宋体"/>
          <w:b/>
          <w:bCs/>
          <w:sz w:val="24"/>
        </w:rPr>
        <w:t>；</w:t>
      </w:r>
    </w:p>
    <w:p w14:paraId="323CE012">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（7）参加政府采购活动前三年内在经营活动中没有重大违法记录的书面声明；</w:t>
      </w:r>
    </w:p>
    <w:p w14:paraId="037F5EAA">
      <w:pPr>
        <w:widowControl/>
        <w:snapToGrid w:val="0"/>
        <w:spacing w:line="360" w:lineRule="exact"/>
        <w:ind w:firstLine="482" w:firstLineChars="200"/>
        <w:jc w:val="left"/>
        <w:textAlignment w:val="baseline"/>
        <w:rPr>
          <w:rFonts w:hint="eastAsia" w:ascii="宋体" w:hAnsi="宋体" w:eastAsia="宋体" w:cs="宋体"/>
          <w:b/>
          <w:bCs/>
          <w:sz w:val="24"/>
          <w:lang w:eastAsia="zh-CN"/>
        </w:rPr>
      </w:pPr>
      <w:r>
        <w:rPr>
          <w:rFonts w:hint="eastAsia" w:ascii="宋体" w:hAnsi="宋体" w:cs="宋体"/>
          <w:b/>
          <w:bCs/>
          <w:sz w:val="24"/>
          <w:lang w:eastAsia="zh-CN"/>
        </w:rPr>
        <w:t>（</w:t>
      </w:r>
      <w:r>
        <w:rPr>
          <w:rFonts w:hint="eastAsia" w:ascii="宋体" w:hAnsi="宋体" w:cs="宋体"/>
          <w:b/>
          <w:bCs/>
          <w:sz w:val="24"/>
          <w:lang w:val="en-US" w:eastAsia="zh-CN"/>
        </w:rPr>
        <w:t>8</w:t>
      </w:r>
      <w:r>
        <w:rPr>
          <w:rFonts w:hint="eastAsia" w:ascii="宋体" w:hAnsi="宋体" w:cs="宋体"/>
          <w:b/>
          <w:bCs/>
          <w:sz w:val="24"/>
          <w:lang w:eastAsia="zh-CN"/>
        </w:rPr>
        <w:t>）</w:t>
      </w:r>
      <w:r>
        <w:rPr>
          <w:rFonts w:hint="eastAsia" w:ascii="宋体" w:hAnsi="宋体" w:eastAsia="宋体" w:cs="宋体"/>
          <w:b/>
          <w:bCs/>
          <w:sz w:val="24"/>
          <w:lang w:eastAsia="zh-CN"/>
        </w:rPr>
        <w:t>【</w:t>
      </w:r>
      <w:r>
        <w:rPr>
          <w:rFonts w:hint="eastAsia" w:ascii="宋体" w:hAnsi="宋体" w:eastAsia="宋体" w:cs="宋体"/>
          <w:b/>
          <w:bCs/>
          <w:sz w:val="24"/>
          <w:lang w:val="en-US" w:eastAsia="zh-CN"/>
        </w:rPr>
        <w:t>1</w:t>
      </w:r>
      <w:r>
        <w:rPr>
          <w:rFonts w:hint="eastAsia" w:ascii="宋体" w:hAnsi="宋体" w:eastAsia="宋体" w:cs="宋体"/>
          <w:b/>
          <w:bCs/>
          <w:sz w:val="24"/>
          <w:lang w:eastAsia="zh-CN"/>
        </w:rPr>
        <w:t>】所投供应商须具备建筑工程施工总承包</w:t>
      </w:r>
      <w:r>
        <w:rPr>
          <w:rFonts w:hint="eastAsia" w:ascii="宋体" w:hAnsi="宋体" w:cs="宋体"/>
          <w:b/>
          <w:bCs/>
          <w:sz w:val="24"/>
          <w:lang w:eastAsia="zh-CN"/>
        </w:rPr>
        <w:t>二</w:t>
      </w:r>
      <w:r>
        <w:rPr>
          <w:rFonts w:hint="eastAsia" w:ascii="宋体" w:hAnsi="宋体" w:eastAsia="宋体" w:cs="宋体"/>
          <w:b/>
          <w:bCs/>
          <w:sz w:val="24"/>
          <w:lang w:eastAsia="zh-CN"/>
        </w:rPr>
        <w:t>级及以上资质</w:t>
      </w:r>
      <w:r>
        <w:rPr>
          <w:rFonts w:hint="eastAsia" w:ascii="宋体" w:hAnsi="宋体" w:cs="宋体"/>
          <w:b/>
          <w:bCs/>
          <w:sz w:val="24"/>
          <w:lang w:eastAsia="zh-CN"/>
        </w:rPr>
        <w:t>，</w:t>
      </w:r>
      <w:r>
        <w:rPr>
          <w:rFonts w:hint="eastAsia" w:ascii="宋体" w:hAnsi="宋体" w:eastAsia="宋体" w:cs="宋体"/>
          <w:b/>
          <w:bCs/>
          <w:sz w:val="24"/>
          <w:lang w:eastAsia="zh-CN"/>
        </w:rPr>
        <w:t>还须具备有效的安全生产许可证（所有证件均应在有效期内）；【</w:t>
      </w:r>
      <w:r>
        <w:rPr>
          <w:rFonts w:hint="eastAsia" w:ascii="宋体" w:hAnsi="宋体" w:eastAsia="宋体" w:cs="宋体"/>
          <w:b/>
          <w:bCs/>
          <w:sz w:val="24"/>
          <w:lang w:val="en-US" w:eastAsia="zh-CN"/>
        </w:rPr>
        <w:t>2</w:t>
      </w:r>
      <w:r>
        <w:rPr>
          <w:rFonts w:hint="eastAsia" w:ascii="宋体" w:hAnsi="宋体" w:eastAsia="宋体" w:cs="宋体"/>
          <w:b/>
          <w:bCs/>
          <w:sz w:val="24"/>
          <w:lang w:eastAsia="zh-CN"/>
        </w:rPr>
        <w:t>】项目经理须具备建筑工程专业贰级及以上注册建造师证书和有效的安全生产考核合格证书（B证），且未担任其他在建工程项目的项目经理（所有证件均应在有效期内）；</w:t>
      </w:r>
    </w:p>
    <w:p w14:paraId="21C5C80B">
      <w:pPr>
        <w:widowControl/>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9</w:t>
      </w:r>
      <w:r>
        <w:rPr>
          <w:rFonts w:hint="eastAsia" w:ascii="宋体" w:hAnsi="宋体" w:cs="宋体"/>
          <w:b/>
          <w:bCs/>
          <w:sz w:val="24"/>
        </w:rPr>
        <w:t>）</w:t>
      </w:r>
      <w:r>
        <w:rPr>
          <w:rFonts w:hint="eastAsia" w:ascii="宋体" w:hAnsi="宋体" w:cs="宋体"/>
          <w:b/>
          <w:bCs/>
          <w:sz w:val="24"/>
          <w:lang w:eastAsia="zh-CN"/>
        </w:rPr>
        <w:t>具备履行合同所必需的设备和专业技术能力的证明材</w:t>
      </w:r>
      <w:r>
        <w:rPr>
          <w:rFonts w:hint="eastAsia" w:ascii="宋体" w:hAnsi="宋体" w:cs="宋体"/>
          <w:b/>
          <w:bCs/>
          <w:sz w:val="24"/>
        </w:rPr>
        <w:t>料；</w:t>
      </w:r>
    </w:p>
    <w:p w14:paraId="122B82BC">
      <w:pPr>
        <w:pageBreakBefore w:val="0"/>
        <w:widowControl/>
        <w:kinsoku/>
        <w:wordWrap/>
        <w:overflowPunct/>
        <w:topLinePunct w:val="0"/>
        <w:bidi w:val="0"/>
        <w:snapToGrid w:val="0"/>
        <w:spacing w:line="360" w:lineRule="exact"/>
        <w:ind w:firstLine="482" w:firstLineChars="200"/>
        <w:jc w:val="left"/>
        <w:textAlignment w:val="baseline"/>
        <w:rPr>
          <w:rFonts w:hint="eastAsia" w:ascii="宋体" w:hAnsi="宋体" w:cs="宋体"/>
          <w:b/>
          <w:bCs/>
          <w:sz w:val="24"/>
        </w:rPr>
      </w:pPr>
      <w:r>
        <w:rPr>
          <w:rFonts w:hint="eastAsia" w:ascii="宋体" w:hAnsi="宋体" w:cs="宋体"/>
          <w:b/>
          <w:bCs/>
          <w:sz w:val="24"/>
        </w:rPr>
        <w:t>（</w:t>
      </w:r>
      <w:r>
        <w:rPr>
          <w:rFonts w:hint="eastAsia" w:ascii="宋体" w:hAnsi="宋体" w:cs="宋体"/>
          <w:b/>
          <w:bCs/>
          <w:sz w:val="24"/>
          <w:lang w:val="en-US" w:eastAsia="zh-CN"/>
        </w:rPr>
        <w:t>10</w:t>
      </w:r>
      <w:r>
        <w:rPr>
          <w:rFonts w:hint="eastAsia" w:ascii="宋体" w:hAnsi="宋体" w:cs="宋体"/>
          <w:b/>
          <w:bCs/>
          <w:sz w:val="24"/>
        </w:rPr>
        <w:t>）提供缴纳</w:t>
      </w:r>
      <w:r>
        <w:rPr>
          <w:rFonts w:hint="eastAsia" w:ascii="宋体" w:hAnsi="宋体" w:cs="宋体"/>
          <w:b/>
          <w:bCs/>
          <w:sz w:val="24"/>
          <w:lang w:eastAsia="zh-CN"/>
        </w:rPr>
        <w:t>磋商保证金</w:t>
      </w:r>
      <w:r>
        <w:rPr>
          <w:rFonts w:hint="eastAsia" w:ascii="宋体" w:hAnsi="宋体" w:cs="宋体"/>
          <w:b/>
          <w:bCs/>
          <w:sz w:val="24"/>
        </w:rPr>
        <w:t>的有效凭证。</w:t>
      </w:r>
    </w:p>
    <w:p w14:paraId="2DA608C4">
      <w:pPr>
        <w:pageBreakBefore w:val="0"/>
        <w:widowControl/>
        <w:kinsoku/>
        <w:wordWrap/>
        <w:overflowPunct/>
        <w:topLinePunct w:val="0"/>
        <w:bidi w:val="0"/>
        <w:snapToGrid w:val="0"/>
        <w:spacing w:line="360" w:lineRule="exact"/>
        <w:ind w:firstLine="482" w:firstLineChars="200"/>
        <w:jc w:val="lef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各供应商应注意以下事项：①本项目要求各投标供应商提供“</w:t>
      </w:r>
      <w:r>
        <w:rPr>
          <w:rFonts w:hint="eastAsia" w:ascii="宋体" w:hAnsi="宋体" w:cs="宋体"/>
          <w:b/>
          <w:bCs/>
          <w:color w:val="auto"/>
          <w:sz w:val="24"/>
          <w:szCs w:val="24"/>
          <w:highlight w:val="none"/>
          <w:lang w:eastAsia="zh-CN"/>
        </w:rPr>
        <w:t>提供依法缴纳近六个月内任意一个月的税收证明</w:t>
      </w:r>
      <w:r>
        <w:rPr>
          <w:rFonts w:hint="eastAsia" w:ascii="宋体" w:hAnsi="宋体" w:eastAsia="宋体" w:cs="宋体"/>
          <w:b/>
          <w:bCs/>
          <w:color w:val="auto"/>
          <w:sz w:val="24"/>
          <w:szCs w:val="24"/>
          <w:highlight w:val="none"/>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7C82A1E5">
      <w:pPr>
        <w:pageBreakBefore w:val="0"/>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未通过资格审查的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不进入评标；通过资格审查的</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少于不足三家的，不得评标。</w:t>
      </w:r>
    </w:p>
    <w:p w14:paraId="1B55869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   采购人或采购代理机构将在磋商前1个工作日至磋商截止后1小时的期间内查询供应商的信用记录。供应商存在不良信用记录的，其磋商将被认定为</w:t>
      </w:r>
      <w:r>
        <w:rPr>
          <w:rFonts w:hint="eastAsia" w:ascii="宋体" w:hAnsi="宋体" w:eastAsia="宋体" w:cs="宋体"/>
          <w:b/>
          <w:bCs/>
          <w:color w:val="auto"/>
          <w:sz w:val="24"/>
          <w:szCs w:val="24"/>
          <w:highlight w:val="none"/>
          <w:lang w:val="en-US" w:eastAsia="zh-CN"/>
        </w:rPr>
        <w:t>磋商无效</w:t>
      </w:r>
      <w:r>
        <w:rPr>
          <w:rFonts w:hint="eastAsia" w:ascii="宋体" w:hAnsi="宋体" w:eastAsia="宋体" w:cs="宋体"/>
          <w:color w:val="auto"/>
          <w:sz w:val="24"/>
          <w:szCs w:val="24"/>
          <w:highlight w:val="none"/>
          <w:lang w:val="en-US" w:eastAsia="zh-CN"/>
        </w:rPr>
        <w:t>。</w:t>
      </w:r>
    </w:p>
    <w:p w14:paraId="1620327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19.2.1 不良信用记录指：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w:t>
      </w:r>
      <w:r>
        <w:rPr>
          <w:rFonts w:hint="eastAsia" w:ascii="宋体" w:hAnsi="宋体" w:cs="宋体"/>
          <w:color w:val="auto"/>
          <w:sz w:val="24"/>
          <w:szCs w:val="24"/>
          <w:highlight w:val="none"/>
          <w:lang w:val="en-US" w:eastAsia="zh-CN"/>
        </w:rPr>
        <w:t>的</w:t>
      </w:r>
      <w:r>
        <w:rPr>
          <w:rFonts w:hint="eastAsia" w:ascii="宋体" w:hAnsi="宋体" w:eastAsia="宋体" w:cs="宋体"/>
          <w:color w:val="auto"/>
          <w:sz w:val="24"/>
          <w:szCs w:val="24"/>
          <w:highlight w:val="none"/>
          <w:lang w:val="en-US" w:eastAsia="zh-CN"/>
        </w:rPr>
        <w:t>，以联合体形式参加磋商的，联合体任何成员存在以上不良信用记录的，联合体磋商将被认定为磋商无效。</w:t>
      </w:r>
    </w:p>
    <w:p w14:paraId="5570729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19.2.2 查询及记录方式：采购人或采购代理机构经办人将查询网页打印、签字并存档备查。供应商不良信用记录以采购人或采购代理机构查询结果为准。</w:t>
      </w:r>
    </w:p>
    <w:p w14:paraId="143B7978">
      <w:pPr>
        <w:pStyle w:val="7"/>
        <w:pageBreakBefore w:val="0"/>
        <w:kinsoku/>
        <w:wordWrap/>
        <w:overflowPunct/>
        <w:topLinePunct w:val="0"/>
        <w:bidi w:val="0"/>
        <w:spacing w:line="360" w:lineRule="exact"/>
        <w:ind w:firstLine="723" w:firstLineChars="3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在本</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规定的查询时间之后，网站信息发生的任何变更均不再作</w:t>
      </w:r>
    </w:p>
    <w:p w14:paraId="4ED391B3">
      <w:pPr>
        <w:pStyle w:val="7"/>
        <w:pageBreakBefore w:val="0"/>
        <w:kinsoku/>
        <w:wordWrap/>
        <w:overflowPunct/>
        <w:topLinePunct w:val="0"/>
        <w:bidi w:val="0"/>
        <w:spacing w:line="360" w:lineRule="exact"/>
        <w:ind w:firstLine="723" w:firstLineChars="3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为评标依据。</w:t>
      </w:r>
    </w:p>
    <w:p w14:paraId="27FFF37F">
      <w:pPr>
        <w:pStyle w:val="7"/>
        <w:pageBreakBefore w:val="0"/>
        <w:kinsoku/>
        <w:wordWrap/>
        <w:overflowPunct/>
        <w:topLinePunct w:val="0"/>
        <w:bidi w:val="0"/>
        <w:spacing w:line="360" w:lineRule="exact"/>
        <w:ind w:firstLine="241" w:firstLineChars="100"/>
        <w:jc w:val="both"/>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自行提供的与网站信息不一致的其他证明材料亦不作为资格审查依据。</w:t>
      </w:r>
    </w:p>
    <w:p w14:paraId="582A144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19.3   按照《中华人民共和国政府采购法》、《中华人民共和国政府采购法实施条例》及本项目本级和上级财政部门的有关规定依法在政采云平台上随机抽取</w:t>
      </w:r>
      <w:r>
        <w:rPr>
          <w:rFonts w:hint="eastAsia" w:ascii="宋体" w:hAnsi="宋体" w:eastAsia="宋体" w:cs="宋体"/>
          <w:b/>
          <w:bCs/>
          <w:color w:val="auto"/>
          <w:sz w:val="24"/>
          <w:szCs w:val="24"/>
          <w:highlight w:val="none"/>
          <w:lang w:val="en-US" w:eastAsia="zh-CN"/>
        </w:rPr>
        <w:t>3名专家，共3名专家组成磋商小组</w:t>
      </w:r>
      <w:r>
        <w:rPr>
          <w:rFonts w:hint="eastAsia" w:ascii="宋体" w:hAnsi="宋体" w:eastAsia="宋体" w:cs="宋体"/>
          <w:color w:val="auto"/>
          <w:sz w:val="24"/>
          <w:szCs w:val="24"/>
          <w:highlight w:val="none"/>
          <w:lang w:val="en-US" w:eastAsia="zh-CN"/>
        </w:rPr>
        <w:t>负责评标工作。</w:t>
      </w:r>
    </w:p>
    <w:p w14:paraId="06F896A2">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14" w:name="_Toc14479"/>
      <w:bookmarkStart w:id="415" w:name="_Toc13453"/>
      <w:bookmarkStart w:id="416" w:name="_Toc20466"/>
      <w:r>
        <w:rPr>
          <w:rFonts w:hint="eastAsia" w:ascii="宋体" w:hAnsi="宋体" w:eastAsia="宋体" w:cs="宋体"/>
          <w:b/>
          <w:color w:val="auto"/>
          <w:sz w:val="28"/>
          <w:szCs w:val="28"/>
          <w:highlight w:val="none"/>
          <w:lang w:val="en-US" w:eastAsia="zh-CN"/>
        </w:rPr>
        <w:t>20.</w:t>
      </w:r>
      <w:bookmarkEnd w:id="397"/>
      <w:r>
        <w:rPr>
          <w:rFonts w:hint="eastAsia" w:ascii="宋体" w:hAnsi="宋体" w:eastAsia="宋体" w:cs="宋体"/>
          <w:b/>
          <w:color w:val="auto"/>
          <w:sz w:val="28"/>
          <w:szCs w:val="28"/>
          <w:highlight w:val="none"/>
          <w:lang w:val="en-US" w:eastAsia="zh-CN"/>
        </w:rPr>
        <w:t>响应文件符合性审查与澄清</w:t>
      </w:r>
      <w:bookmarkEnd w:id="398"/>
      <w:bookmarkEnd w:id="399"/>
      <w:bookmarkEnd w:id="400"/>
      <w:bookmarkEnd w:id="401"/>
      <w:bookmarkEnd w:id="402"/>
      <w:bookmarkEnd w:id="403"/>
      <w:bookmarkEnd w:id="404"/>
      <w:bookmarkEnd w:id="405"/>
      <w:bookmarkEnd w:id="406"/>
      <w:bookmarkEnd w:id="407"/>
      <w:bookmarkEnd w:id="408"/>
      <w:bookmarkEnd w:id="409"/>
      <w:bookmarkEnd w:id="410"/>
      <w:bookmarkEnd w:id="414"/>
      <w:bookmarkEnd w:id="415"/>
      <w:bookmarkEnd w:id="416"/>
    </w:p>
    <w:p w14:paraId="28BEBB4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20.1   符合性审查是指依据磋商文件的规定，从响应文件的有效性和完整性对磋商文件的响应程度进行审查，以确定是否对磋商文件的实质性要求做出响应。</w:t>
      </w:r>
      <w:bookmarkStart w:id="417" w:name="_Hlt522424701"/>
      <w:bookmarkEnd w:id="417"/>
      <w:bookmarkStart w:id="418" w:name="_Toc520356167"/>
    </w:p>
    <w:p w14:paraId="0CE20E2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w:t>
      </w:r>
      <w:r>
        <w:rPr>
          <w:rFonts w:hint="eastAsia" w:ascii="宋体" w:hAnsi="宋体" w:eastAsia="宋体" w:cs="宋体"/>
          <w:color w:val="auto"/>
          <w:sz w:val="24"/>
          <w:szCs w:val="24"/>
          <w:highlight w:val="none"/>
          <w:lang w:val="en-US" w:eastAsia="zh-CN"/>
        </w:rPr>
        <w:tab/>
      </w:r>
      <w:r>
        <w:rPr>
          <w:rFonts w:hint="eastAsia" w:ascii="宋体" w:hAnsi="宋体" w:eastAsia="宋体" w:cs="宋体"/>
          <w:color w:val="auto"/>
          <w:sz w:val="24"/>
          <w:szCs w:val="24"/>
          <w:highlight w:val="none"/>
          <w:lang w:val="en-US" w:eastAsia="zh-CN"/>
        </w:rPr>
        <w:t>响应文件的澄清</w:t>
      </w:r>
    </w:p>
    <w:p w14:paraId="14FA80D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20.2.1  在评标期间，磋商小组将以书面方式要求供应商对其响应文件中含义不明确、对同类问题表述不一致或者有明显文字和计算错误的内容，以及磋商小组认为供应商的报价明显低于其他通过符合性检查供应商的报价，有可能影响履约的情况作必要的澄清、说明或补正。供应商的澄清、说明或补正应在磋商小组规定的时间内以书面方式进行，并不得超出响应文件范围或者改变响应文件的实质性内容。</w:t>
      </w:r>
    </w:p>
    <w:p w14:paraId="0D76AD2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20.2.2  供应商的的澄清、说明或补正将作为响应文件的一部分。</w:t>
      </w:r>
    </w:p>
    <w:p w14:paraId="2E7F61F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20.3  响应文件报价出现前后不一致的，按照下列规定修正：</w:t>
      </w:r>
    </w:p>
    <w:p w14:paraId="64AD6CF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（一）响应文件中磋商一览表（报价表）内容与响应文件中相应内容不一致的，以磋商一览表（报价表）为准；</w:t>
      </w:r>
    </w:p>
    <w:p w14:paraId="3762E22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（二）大写金额和小写金额不一致的，以大写金额为准；</w:t>
      </w:r>
    </w:p>
    <w:p w14:paraId="2EAC36A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（三）单价金额小数点或者百分比有明显错位的，以磋商一览表的总价为准，并修改单价；</w:t>
      </w:r>
    </w:p>
    <w:p w14:paraId="481F52F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（四）总价金额与按单价汇总金额不一致的，以单价金额计算结果为准。</w:t>
      </w:r>
    </w:p>
    <w:p w14:paraId="7F5FEED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同时出现两种以上不一致的，按照前款规定的顺序修正。修正后的报价按照第20.2条的规定经供应商确认后产生约束力，供应商不确认的，其磋商将被认定</w:t>
      </w:r>
      <w:r>
        <w:rPr>
          <w:rFonts w:hint="eastAsia" w:ascii="宋体" w:hAnsi="宋体" w:eastAsia="宋体" w:cs="宋体"/>
          <w:b/>
          <w:bCs/>
          <w:color w:val="auto"/>
          <w:sz w:val="24"/>
          <w:szCs w:val="24"/>
          <w:highlight w:val="none"/>
          <w:lang w:val="en-US" w:eastAsia="zh-CN"/>
        </w:rPr>
        <w:t>为磋商无效</w:t>
      </w:r>
      <w:r>
        <w:rPr>
          <w:rFonts w:hint="eastAsia" w:ascii="宋体" w:hAnsi="宋体" w:eastAsia="宋体" w:cs="宋体"/>
          <w:color w:val="auto"/>
          <w:sz w:val="24"/>
          <w:szCs w:val="24"/>
          <w:highlight w:val="none"/>
          <w:lang w:val="en-US" w:eastAsia="zh-CN"/>
        </w:rPr>
        <w:t>。</w:t>
      </w:r>
    </w:p>
    <w:p w14:paraId="4C94581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对不同文字文本响应文件的解释发生异议的，以中文文本为准。</w:t>
      </w:r>
    </w:p>
    <w:p w14:paraId="3373A61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20.4    供应商所投产品如被列入财政部与国家主管部门颁发的节能产品目录或环境标志产品目录或无线局域网产品目录，应提供相关证明，在评标时予以优先采购，具体优先采购办法见第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lang w:val="en-US" w:eastAsia="zh-CN"/>
        </w:rPr>
        <w:t>章</w:t>
      </w:r>
      <w:r>
        <w:rPr>
          <w:rFonts w:hint="eastAsia" w:ascii="宋体" w:hAnsi="宋体" w:cs="宋体"/>
          <w:color w:val="auto"/>
          <w:sz w:val="24"/>
          <w:szCs w:val="24"/>
          <w:highlight w:val="none"/>
          <w:lang w:val="en-US" w:eastAsia="zh-CN"/>
        </w:rPr>
        <w:t>评审</w:t>
      </w:r>
      <w:r>
        <w:rPr>
          <w:rFonts w:hint="eastAsia" w:ascii="宋体" w:hAnsi="宋体" w:eastAsia="宋体" w:cs="宋体"/>
          <w:color w:val="auto"/>
          <w:sz w:val="24"/>
          <w:szCs w:val="24"/>
          <w:highlight w:val="none"/>
          <w:lang w:val="en-US" w:eastAsia="zh-CN"/>
        </w:rPr>
        <w:t>方法和标准。</w:t>
      </w:r>
    </w:p>
    <w:p w14:paraId="3D0BBB3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        如采购人所采购产品为政府强制采购的节能产品，供应商所投产品的品牌及型号必须为清单中有效期内产品并提供证明文件，否则其磋商将被认定为</w:t>
      </w:r>
      <w:r>
        <w:rPr>
          <w:rFonts w:hint="eastAsia" w:ascii="宋体" w:hAnsi="宋体" w:eastAsia="宋体" w:cs="宋体"/>
          <w:b/>
          <w:bCs/>
          <w:color w:val="auto"/>
          <w:sz w:val="24"/>
          <w:szCs w:val="24"/>
          <w:highlight w:val="none"/>
          <w:lang w:val="en-US" w:eastAsia="zh-CN"/>
        </w:rPr>
        <w:t>磋商无效</w:t>
      </w:r>
      <w:r>
        <w:rPr>
          <w:rFonts w:hint="eastAsia" w:ascii="宋体" w:hAnsi="宋体" w:eastAsia="宋体" w:cs="宋体"/>
          <w:color w:val="auto"/>
          <w:sz w:val="24"/>
          <w:szCs w:val="24"/>
          <w:highlight w:val="none"/>
          <w:lang w:val="en-US" w:eastAsia="zh-CN"/>
        </w:rPr>
        <w:t>。</w:t>
      </w:r>
    </w:p>
    <w:p w14:paraId="19725F5D">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19" w:name="_Toc11608"/>
      <w:bookmarkStart w:id="420" w:name="_Toc6364"/>
      <w:bookmarkStart w:id="421" w:name="_Toc30566"/>
      <w:bookmarkStart w:id="422" w:name="_Toc23124"/>
      <w:bookmarkStart w:id="423" w:name="_Toc22995"/>
      <w:bookmarkStart w:id="424" w:name="_Toc9469"/>
      <w:bookmarkStart w:id="425" w:name="_Toc16665"/>
      <w:bookmarkStart w:id="426" w:name="_Toc24991"/>
      <w:bookmarkStart w:id="427" w:name="_Toc12161"/>
      <w:bookmarkStart w:id="428" w:name="_Toc17990"/>
      <w:bookmarkStart w:id="429" w:name="_Toc27238"/>
      <w:bookmarkStart w:id="430" w:name="_Toc6538"/>
      <w:bookmarkStart w:id="431" w:name="_Toc515647782"/>
      <w:bookmarkStart w:id="432" w:name="_Toc7973"/>
      <w:bookmarkStart w:id="433" w:name="_Toc29292"/>
      <w:r>
        <w:rPr>
          <w:rFonts w:hint="eastAsia" w:ascii="宋体" w:hAnsi="宋体" w:eastAsia="宋体" w:cs="宋体"/>
          <w:b/>
          <w:color w:val="auto"/>
          <w:sz w:val="28"/>
          <w:szCs w:val="28"/>
          <w:highlight w:val="none"/>
          <w:lang w:val="en-US" w:eastAsia="zh-CN"/>
        </w:rPr>
        <w:t>21.磋商偏离</w:t>
      </w:r>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p>
    <w:p w14:paraId="49554723">
      <w:pPr>
        <w:pageBreakBefore w:val="0"/>
        <w:kinsoku/>
        <w:wordWrap/>
        <w:overflowPunct/>
        <w:topLinePunct w:val="0"/>
        <w:bidi w:val="0"/>
        <w:spacing w:line="360" w:lineRule="exact"/>
        <w:ind w:left="641" w:hanging="640" w:hangingChars="267"/>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可以接受</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中不构成实质性偏离的不正规或不一致。</w:t>
      </w:r>
      <w:bookmarkStart w:id="434" w:name="_Toc4950"/>
      <w:bookmarkStart w:id="435" w:name="_Toc515647783"/>
      <w:bookmarkStart w:id="436" w:name="_Toc6092"/>
    </w:p>
    <w:p w14:paraId="0A930F92">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37" w:name="_Toc2301"/>
      <w:bookmarkStart w:id="438" w:name="_Toc23335"/>
      <w:bookmarkStart w:id="439" w:name="_Toc8254"/>
      <w:bookmarkStart w:id="440" w:name="_Toc28630"/>
      <w:bookmarkStart w:id="441" w:name="_Toc1222"/>
      <w:bookmarkStart w:id="442" w:name="_Toc22179"/>
      <w:bookmarkStart w:id="443" w:name="_Toc28742"/>
      <w:bookmarkStart w:id="444" w:name="_Toc19605"/>
      <w:bookmarkStart w:id="445" w:name="_Toc8973"/>
      <w:bookmarkStart w:id="446" w:name="_Toc26299"/>
      <w:bookmarkStart w:id="447" w:name="_Toc19533"/>
      <w:bookmarkStart w:id="448" w:name="_Toc11342"/>
      <w:bookmarkStart w:id="449" w:name="_Toc25006"/>
      <w:r>
        <w:rPr>
          <w:rFonts w:hint="eastAsia" w:ascii="宋体" w:hAnsi="宋体" w:eastAsia="宋体" w:cs="宋体"/>
          <w:b/>
          <w:color w:val="auto"/>
          <w:sz w:val="28"/>
          <w:szCs w:val="28"/>
          <w:highlight w:val="none"/>
          <w:lang w:val="en-US" w:eastAsia="zh-CN"/>
        </w:rPr>
        <w:t>22.</w:t>
      </w:r>
      <w:bookmarkEnd w:id="434"/>
      <w:bookmarkEnd w:id="435"/>
      <w:bookmarkEnd w:id="436"/>
      <w:bookmarkEnd w:id="437"/>
      <w:bookmarkEnd w:id="438"/>
      <w:bookmarkEnd w:id="439"/>
      <w:bookmarkEnd w:id="440"/>
      <w:bookmarkEnd w:id="441"/>
      <w:bookmarkEnd w:id="442"/>
      <w:bookmarkEnd w:id="443"/>
      <w:bookmarkEnd w:id="444"/>
      <w:bookmarkEnd w:id="445"/>
      <w:bookmarkEnd w:id="446"/>
      <w:r>
        <w:rPr>
          <w:rFonts w:hint="eastAsia" w:ascii="宋体" w:hAnsi="宋体" w:eastAsia="宋体" w:cs="宋体"/>
          <w:b/>
          <w:color w:val="auto"/>
          <w:sz w:val="28"/>
          <w:szCs w:val="28"/>
          <w:highlight w:val="none"/>
          <w:lang w:val="en-US" w:eastAsia="zh-CN"/>
        </w:rPr>
        <w:t>磋商无效</w:t>
      </w:r>
      <w:bookmarkEnd w:id="447"/>
      <w:bookmarkEnd w:id="448"/>
      <w:bookmarkEnd w:id="449"/>
    </w:p>
    <w:p w14:paraId="3C0FF245">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22.1  磋商小组决定磋商的响应性只根据磋商文件要求、响应文件内容及财政主管部门指定相关信息发布媒体。</w:t>
      </w:r>
    </w:p>
    <w:p w14:paraId="5692271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22.2</w:t>
      </w: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如发现下列情况之一的，其</w:t>
      </w:r>
      <w:r>
        <w:rPr>
          <w:rFonts w:hint="eastAsia" w:ascii="宋体" w:hAnsi="宋体" w:eastAsia="宋体" w:cs="宋体"/>
          <w:b/>
          <w:bCs/>
          <w:color w:val="auto"/>
          <w:sz w:val="24"/>
          <w:szCs w:val="24"/>
          <w:highlight w:val="none"/>
          <w:lang w:eastAsia="zh-CN"/>
        </w:rPr>
        <w:t>磋商将被</w:t>
      </w:r>
      <w:r>
        <w:rPr>
          <w:rFonts w:hint="eastAsia" w:ascii="宋体" w:hAnsi="宋体" w:eastAsia="宋体" w:cs="宋体"/>
          <w:b/>
          <w:bCs/>
          <w:color w:val="auto"/>
          <w:sz w:val="24"/>
          <w:szCs w:val="24"/>
          <w:highlight w:val="none"/>
        </w:rPr>
        <w:t>认定为</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color w:val="auto"/>
          <w:sz w:val="24"/>
          <w:szCs w:val="24"/>
          <w:highlight w:val="none"/>
        </w:rPr>
        <w:t>：</w:t>
      </w:r>
    </w:p>
    <w:p w14:paraId="7D35E364">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（1）</w:t>
      </w:r>
      <w:r>
        <w:rPr>
          <w:rFonts w:hint="eastAsia" w:ascii="宋体" w:hAnsi="宋体" w:eastAsia="宋体" w:cs="宋体"/>
          <w:b/>
          <w:bCs/>
          <w:color w:val="auto"/>
          <w:sz w:val="24"/>
          <w:szCs w:val="24"/>
          <w:highlight w:val="none"/>
        </w:rPr>
        <w:t>未按</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规定的形式和金额提交</w:t>
      </w:r>
      <w:r>
        <w:rPr>
          <w:rFonts w:hint="eastAsia" w:ascii="宋体" w:hAnsi="宋体" w:cs="宋体"/>
          <w:b/>
          <w:bCs/>
          <w:color w:val="auto"/>
          <w:sz w:val="24"/>
          <w:szCs w:val="24"/>
          <w:highlight w:val="none"/>
          <w:lang w:eastAsia="zh-CN"/>
        </w:rPr>
        <w:t>投标保证金</w:t>
      </w:r>
      <w:r>
        <w:rPr>
          <w:rFonts w:hint="eastAsia" w:ascii="宋体" w:hAnsi="宋体" w:eastAsia="宋体" w:cs="宋体"/>
          <w:b/>
          <w:bCs/>
          <w:color w:val="auto"/>
          <w:sz w:val="24"/>
          <w:szCs w:val="24"/>
          <w:highlight w:val="none"/>
        </w:rPr>
        <w:t>的；</w:t>
      </w:r>
    </w:p>
    <w:p w14:paraId="7B67A23B">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（2）</w:t>
      </w:r>
      <w:r>
        <w:rPr>
          <w:rFonts w:hint="eastAsia" w:ascii="宋体" w:hAnsi="宋体" w:eastAsia="宋体" w:cs="宋体"/>
          <w:b/>
          <w:bCs/>
          <w:color w:val="auto"/>
          <w:sz w:val="24"/>
          <w:szCs w:val="24"/>
          <w:highlight w:val="none"/>
        </w:rPr>
        <w:t>未按照</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规定要求签署、盖章的；</w:t>
      </w:r>
    </w:p>
    <w:p w14:paraId="39D3A378">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（3）</w:t>
      </w:r>
      <w:r>
        <w:rPr>
          <w:rFonts w:hint="eastAsia" w:ascii="宋体" w:hAnsi="宋体" w:eastAsia="宋体" w:cs="宋体"/>
          <w:b/>
          <w:bCs/>
          <w:color w:val="auto"/>
          <w:sz w:val="24"/>
          <w:szCs w:val="24"/>
          <w:highlight w:val="none"/>
        </w:rPr>
        <w:t>与其他</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串通投标，或者与</w:t>
      </w:r>
      <w:r>
        <w:rPr>
          <w:rFonts w:hint="eastAsia" w:ascii="宋体" w:hAnsi="宋体" w:eastAsia="宋体" w:cs="宋体"/>
          <w:b/>
          <w:bCs/>
          <w:color w:val="auto"/>
          <w:sz w:val="24"/>
          <w:szCs w:val="24"/>
          <w:highlight w:val="none"/>
          <w:lang w:eastAsia="zh-CN"/>
        </w:rPr>
        <w:t>采购人</w:t>
      </w:r>
      <w:r>
        <w:rPr>
          <w:rFonts w:hint="eastAsia" w:ascii="宋体" w:hAnsi="宋体" w:eastAsia="宋体" w:cs="宋体"/>
          <w:b/>
          <w:bCs/>
          <w:color w:val="auto"/>
          <w:sz w:val="24"/>
          <w:szCs w:val="24"/>
          <w:highlight w:val="none"/>
        </w:rPr>
        <w:t>串通投标；</w:t>
      </w:r>
    </w:p>
    <w:p w14:paraId="7DB7536A">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（4）</w:t>
      </w:r>
      <w:r>
        <w:rPr>
          <w:rFonts w:hint="eastAsia" w:ascii="宋体" w:hAnsi="宋体" w:eastAsia="宋体" w:cs="宋体"/>
          <w:b/>
          <w:bCs/>
          <w:color w:val="auto"/>
          <w:sz w:val="24"/>
          <w:szCs w:val="24"/>
          <w:highlight w:val="none"/>
        </w:rPr>
        <w:t>属于</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规定的其他</w:t>
      </w:r>
      <w:r>
        <w:rPr>
          <w:rFonts w:hint="eastAsia" w:ascii="宋体" w:hAnsi="宋体" w:eastAsia="宋体" w:cs="宋体"/>
          <w:b/>
          <w:bCs/>
          <w:color w:val="auto"/>
          <w:sz w:val="24"/>
          <w:szCs w:val="24"/>
          <w:highlight w:val="none"/>
          <w:lang w:eastAsia="zh-CN"/>
        </w:rPr>
        <w:t>磋商无效</w:t>
      </w:r>
      <w:r>
        <w:rPr>
          <w:rFonts w:hint="eastAsia" w:ascii="宋体" w:hAnsi="宋体" w:eastAsia="宋体" w:cs="宋体"/>
          <w:b/>
          <w:bCs/>
          <w:color w:val="auto"/>
          <w:sz w:val="24"/>
          <w:szCs w:val="24"/>
          <w:highlight w:val="none"/>
        </w:rPr>
        <w:t>情形；</w:t>
      </w:r>
    </w:p>
    <w:p w14:paraId="0A0ECEAE">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（5）</w:t>
      </w:r>
      <w:r>
        <w:rPr>
          <w:rFonts w:hint="eastAsia" w:ascii="宋体" w:hAnsi="宋体" w:eastAsia="宋体" w:cs="宋体"/>
          <w:b/>
          <w:bCs/>
          <w:color w:val="auto"/>
          <w:sz w:val="24"/>
          <w:szCs w:val="24"/>
          <w:highlight w:val="none"/>
          <w:lang w:eastAsia="zh-CN"/>
        </w:rPr>
        <w:t>磋商小组</w:t>
      </w:r>
      <w:r>
        <w:rPr>
          <w:rFonts w:hint="eastAsia" w:ascii="宋体" w:hAnsi="宋体" w:eastAsia="宋体" w:cs="宋体"/>
          <w:b/>
          <w:bCs/>
          <w:color w:val="auto"/>
          <w:sz w:val="24"/>
          <w:szCs w:val="24"/>
          <w:highlight w:val="none"/>
        </w:rPr>
        <w:t>认为</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的报价明显低于其他通过符合性检查</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的报价，有可能影响履约的，且</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未按照规定证明其报价合理性的；</w:t>
      </w:r>
    </w:p>
    <w:p w14:paraId="4A0E0D52">
      <w:pPr>
        <w:pageBreakBefore w:val="0"/>
        <w:numPr>
          <w:ilvl w:val="0"/>
          <w:numId w:val="0"/>
        </w:numPr>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（6）</w:t>
      </w:r>
      <w:r>
        <w:rPr>
          <w:rFonts w:hint="eastAsia" w:ascii="宋体" w:hAnsi="宋体" w:eastAsia="宋体" w:cs="宋体"/>
          <w:b/>
          <w:bCs/>
          <w:color w:val="auto"/>
          <w:sz w:val="24"/>
          <w:szCs w:val="24"/>
          <w:highlight w:val="none"/>
          <w:lang w:eastAsia="zh-CN"/>
        </w:rPr>
        <w:t>响应文件</w:t>
      </w:r>
      <w:r>
        <w:rPr>
          <w:rFonts w:hint="eastAsia" w:ascii="宋体" w:hAnsi="宋体" w:eastAsia="宋体" w:cs="宋体"/>
          <w:b/>
          <w:bCs/>
          <w:color w:val="auto"/>
          <w:sz w:val="24"/>
          <w:szCs w:val="24"/>
          <w:highlight w:val="none"/>
        </w:rPr>
        <w:t>含有采购人不能接受的附加条件的；</w:t>
      </w:r>
    </w:p>
    <w:p w14:paraId="0AA00FB4">
      <w:pPr>
        <w:pageBreakBefore w:val="0"/>
        <w:numPr>
          <w:ilvl w:val="0"/>
          <w:numId w:val="0"/>
        </w:numPr>
        <w:tabs>
          <w:tab w:val="left" w:pos="0"/>
        </w:tabs>
        <w:kinsoku/>
        <w:wordWrap/>
        <w:overflowPunct/>
        <w:topLinePunct w:val="0"/>
        <w:bidi w:val="0"/>
        <w:spacing w:line="360" w:lineRule="exact"/>
        <w:ind w:left="0" w:leftChars="0" w:hanging="180" w:firstLineChars="0"/>
        <w:rPr>
          <w:rFonts w:hint="eastAsia" w:ascii="宋体" w:hAnsi="宋体" w:eastAsia="宋体" w:cs="宋体"/>
          <w:b/>
          <w:bCs/>
          <w:color w:val="auto"/>
          <w:sz w:val="24"/>
          <w:szCs w:val="24"/>
          <w:highlight w:val="none"/>
        </w:rPr>
      </w:pPr>
      <w:r>
        <w:rPr>
          <w:rFonts w:hint="eastAsia" w:ascii="宋体" w:hAnsi="宋体" w:eastAsia="宋体" w:cs="宋体"/>
          <w:b/>
          <w:bCs/>
          <w:color w:val="auto"/>
          <w:kern w:val="2"/>
          <w:sz w:val="24"/>
          <w:szCs w:val="24"/>
          <w:highlight w:val="none"/>
          <w:lang w:val="en-US" w:eastAsia="zh-CN" w:bidi="ar-SA"/>
        </w:rPr>
        <w:t>（7）</w:t>
      </w:r>
      <w:r>
        <w:rPr>
          <w:rFonts w:hint="eastAsia" w:ascii="宋体" w:hAnsi="宋体" w:eastAsia="宋体" w:cs="宋体"/>
          <w:b/>
          <w:bCs/>
          <w:color w:val="auto"/>
          <w:sz w:val="24"/>
          <w:szCs w:val="24"/>
          <w:highlight w:val="none"/>
        </w:rPr>
        <w:t>不符合法规和</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中规定的其他实质性要求的。</w:t>
      </w:r>
    </w:p>
    <w:p w14:paraId="664C159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22.3   有下列情形之一的，属于恶意串通，对供应商依照政府采购法第七十七条第一款的规定追究法律责任，对采购人、采购代理机构及其工作人员依照政府采购法第七十二条的规定追究法律责任：</w:t>
      </w:r>
    </w:p>
    <w:p w14:paraId="5BD73B2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（1）供应商直接或者间接从采购人或者采购代理机构处获得其他供应商的相关情况并修改其</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或者响应文件；</w:t>
      </w:r>
    </w:p>
    <w:p w14:paraId="1578812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（2）供应商按照采购人或者采购代理机构的授意撤换、修改</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或者响应文件；</w:t>
      </w:r>
    </w:p>
    <w:p w14:paraId="7A757EC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（3）供应商之间协商报价、技术方案等</w:t>
      </w:r>
      <w:r>
        <w:rPr>
          <w:rFonts w:hint="eastAsia" w:ascii="宋体" w:hAnsi="宋体" w:eastAsia="宋体" w:cs="宋体"/>
          <w:color w:val="auto"/>
          <w:sz w:val="24"/>
          <w:szCs w:val="24"/>
          <w:highlight w:val="none"/>
          <w:lang w:eastAsia="zh-CN"/>
        </w:rPr>
        <w:t>投标文件</w:t>
      </w:r>
      <w:r>
        <w:rPr>
          <w:rFonts w:hint="eastAsia" w:ascii="宋体" w:hAnsi="宋体" w:eastAsia="宋体" w:cs="宋体"/>
          <w:color w:val="auto"/>
          <w:sz w:val="24"/>
          <w:szCs w:val="24"/>
          <w:highlight w:val="none"/>
        </w:rPr>
        <w:t>或者响应文件的实质性内容；</w:t>
      </w:r>
    </w:p>
    <w:p w14:paraId="26354B8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（4）属于同一集团、协会、商会等组织成员的供应商按照该组织要求协同参加政府采购活动；</w:t>
      </w:r>
    </w:p>
    <w:p w14:paraId="7F507B0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（5）供应商之间事先约定由某一特定供应商中标、成交；</w:t>
      </w:r>
    </w:p>
    <w:p w14:paraId="3D98B7F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（6）供应商之间商定部分供应商放弃参加政府采购活动或者放弃中标、成交；</w:t>
      </w:r>
    </w:p>
    <w:p w14:paraId="0E5A4E5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（7）供应商与采购人或者采购代理机构之间、供应商相互之间，为谋求特定供应商中标、成交或者排斥其他供应商的其他串通行为。</w:t>
      </w:r>
    </w:p>
    <w:p w14:paraId="4E6FD11A">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50" w:name="_Toc1833"/>
      <w:bookmarkStart w:id="451" w:name="_Toc30751"/>
      <w:bookmarkStart w:id="452" w:name="_Toc13652"/>
      <w:bookmarkStart w:id="453" w:name="_Toc4328"/>
      <w:bookmarkStart w:id="454" w:name="_Toc29551"/>
      <w:bookmarkStart w:id="455" w:name="_Toc31059"/>
      <w:bookmarkStart w:id="456" w:name="_Toc515647784"/>
      <w:bookmarkStart w:id="457" w:name="_Toc20498"/>
      <w:bookmarkStart w:id="458" w:name="_Toc22941"/>
      <w:bookmarkStart w:id="459" w:name="_Toc17090"/>
      <w:bookmarkStart w:id="460" w:name="_Toc20639"/>
      <w:bookmarkStart w:id="461" w:name="_Toc7036"/>
      <w:r>
        <w:rPr>
          <w:rFonts w:hint="eastAsia" w:ascii="宋体" w:hAnsi="宋体" w:eastAsia="宋体" w:cs="宋体"/>
          <w:b/>
          <w:color w:val="auto"/>
          <w:sz w:val="28"/>
          <w:szCs w:val="28"/>
          <w:highlight w:val="none"/>
          <w:lang w:val="en-US" w:eastAsia="zh-CN"/>
        </w:rPr>
        <w:t>23.</w:t>
      </w:r>
      <w:bookmarkEnd w:id="418"/>
      <w:r>
        <w:rPr>
          <w:rFonts w:hint="eastAsia" w:ascii="宋体" w:hAnsi="宋体" w:eastAsia="宋体" w:cs="宋体"/>
          <w:b/>
          <w:color w:val="auto"/>
          <w:sz w:val="28"/>
          <w:szCs w:val="28"/>
          <w:highlight w:val="none"/>
          <w:lang w:val="en-US" w:eastAsia="zh-CN"/>
        </w:rPr>
        <w:t>比较与评价</w:t>
      </w:r>
      <w:bookmarkEnd w:id="450"/>
      <w:bookmarkEnd w:id="451"/>
      <w:bookmarkEnd w:id="452"/>
      <w:bookmarkEnd w:id="453"/>
      <w:bookmarkEnd w:id="454"/>
      <w:bookmarkEnd w:id="455"/>
      <w:bookmarkEnd w:id="456"/>
      <w:bookmarkEnd w:id="457"/>
      <w:bookmarkEnd w:id="458"/>
      <w:bookmarkEnd w:id="459"/>
      <w:bookmarkEnd w:id="460"/>
      <w:bookmarkEnd w:id="461"/>
    </w:p>
    <w:p w14:paraId="1E997E6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23.1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经符合性审查合格的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将根据</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确定的评标方法和标准，对其技术部分和商务部分作进一步的比较和评价。</w:t>
      </w:r>
      <w:r>
        <w:rPr>
          <w:rFonts w:hint="eastAsia" w:ascii="宋体" w:hAnsi="宋体" w:eastAsia="宋体" w:cs="宋体"/>
          <w:b/>
          <w:bCs/>
          <w:color w:val="auto"/>
          <w:sz w:val="24"/>
          <w:szCs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各成员应当独立对每个有效响应的文件进行评价打分，汇总每个供应商每项评分因素的得分。磋商小组应当从质量和</w:t>
      </w:r>
      <w:r>
        <w:rPr>
          <w:rFonts w:hint="eastAsia" w:ascii="宋体" w:hAnsi="宋体" w:eastAsia="宋体" w:cs="宋体"/>
          <w:b/>
          <w:bCs/>
          <w:color w:val="auto"/>
          <w:sz w:val="24"/>
          <w:szCs w:val="24"/>
          <w:highlight w:val="none"/>
          <w:lang w:val="en-US" w:eastAsia="zh-CN"/>
        </w:rPr>
        <w:t>服务</w:t>
      </w:r>
      <w:r>
        <w:rPr>
          <w:rFonts w:hint="eastAsia" w:ascii="宋体" w:hAnsi="宋体" w:eastAsia="宋体" w:cs="宋体"/>
          <w:b/>
          <w:bCs/>
          <w:color w:val="auto"/>
          <w:sz w:val="24"/>
          <w:szCs w:val="24"/>
          <w:highlight w:val="none"/>
        </w:rPr>
        <w:t>均能满足采购文件实质性响应要求的供应商中，按照综合评分由高到低的顺序提出成交候选人，并编写评审报告，将</w:t>
      </w:r>
      <w:r>
        <w:rPr>
          <w:rFonts w:hint="eastAsia" w:ascii="宋体" w:hAnsi="宋体" w:eastAsia="宋体" w:cs="宋体"/>
          <w:b/>
          <w:bCs/>
          <w:color w:val="auto"/>
          <w:sz w:val="24"/>
          <w:szCs w:val="24"/>
          <w:highlight w:val="none"/>
          <w:lang w:val="en-US" w:eastAsia="zh-CN"/>
        </w:rPr>
        <w:t>评审</w:t>
      </w:r>
      <w:r>
        <w:rPr>
          <w:rFonts w:hint="eastAsia" w:ascii="宋体" w:hAnsi="宋体" w:eastAsia="宋体" w:cs="宋体"/>
          <w:b/>
          <w:bCs/>
          <w:color w:val="auto"/>
          <w:sz w:val="24"/>
          <w:szCs w:val="24"/>
          <w:highlight w:val="none"/>
        </w:rPr>
        <w:t>结果通知所有参加磋商的未成交的供应商</w:t>
      </w:r>
      <w:r>
        <w:rPr>
          <w:rFonts w:hint="eastAsia" w:ascii="宋体" w:hAnsi="宋体" w:eastAsia="宋体" w:cs="宋体"/>
          <w:b/>
          <w:bCs/>
          <w:color w:val="auto"/>
          <w:sz w:val="24"/>
          <w:szCs w:val="24"/>
          <w:highlight w:val="none"/>
          <w:lang w:val="en-US" w:eastAsia="zh-CN"/>
        </w:rPr>
        <w:t>.</w:t>
      </w:r>
    </w:p>
    <w:p w14:paraId="179FE01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23.2  </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评标严格按照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的要求和条件进行。根据实际情况，在</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中规定采用下列一种评标方法，详细评标标准见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章：</w:t>
      </w:r>
    </w:p>
    <w:p w14:paraId="58AC656B">
      <w:pPr>
        <w:pStyle w:val="12"/>
        <w:pageBreakBefore w:val="0"/>
        <w:kinsoku/>
        <w:wordWrap/>
        <w:overflowPunct/>
        <w:topLinePunct w:val="0"/>
        <w:bidi w:val="0"/>
        <w:spacing w:line="360" w:lineRule="exact"/>
        <w:ind w:left="239" w:leftChars="114" w:firstLine="31" w:firstLineChars="13"/>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（1）最低评标价法，是指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全部实质性要求，且</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报价最低的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的评标方法。</w:t>
      </w:r>
    </w:p>
    <w:p w14:paraId="10AA854C">
      <w:pPr>
        <w:pStyle w:val="12"/>
        <w:pageBreakBefore w:val="0"/>
        <w:kinsoku/>
        <w:wordWrap/>
        <w:overflowPunct/>
        <w:topLinePunct w:val="0"/>
        <w:bidi w:val="0"/>
        <w:spacing w:line="360" w:lineRule="exact"/>
        <w:ind w:left="239" w:leftChars="114" w:firstLine="33" w:firstLineChars="1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（2）综合评分法，是指</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满足</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全部实质性要求，且按照评审因素的量化指标评审得分最高的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的评标方法。</w:t>
      </w:r>
    </w:p>
    <w:p w14:paraId="036DB3D9">
      <w:pPr>
        <w:pStyle w:val="12"/>
        <w:pageBreakBefore w:val="0"/>
        <w:kinsoku/>
        <w:wordWrap/>
        <w:overflowPunct/>
        <w:topLinePunct w:val="0"/>
        <w:bidi w:val="0"/>
        <w:spacing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本项目采购方式：竞争性磋商。评标方法：综合评分法。</w:t>
      </w:r>
    </w:p>
    <w:p w14:paraId="4794D637">
      <w:pPr>
        <w:pStyle w:val="12"/>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23.3  </w:t>
      </w:r>
      <w:r>
        <w:rPr>
          <w:rFonts w:hint="eastAsia" w:ascii="宋体" w:hAnsi="宋体" w:eastAsia="宋体" w:cs="宋体"/>
          <w:b/>
          <w:bCs/>
          <w:color w:val="auto"/>
          <w:sz w:val="24"/>
          <w:szCs w:val="24"/>
          <w:highlight w:val="none"/>
        </w:rPr>
        <w:t xml:space="preserve"> </w:t>
      </w:r>
      <w:r>
        <w:rPr>
          <w:rFonts w:hint="eastAsia" w:ascii="宋体" w:hAnsi="宋体" w:eastAsia="宋体" w:cs="宋体"/>
          <w:b/>
          <w:bCs/>
          <w:color w:val="auto"/>
          <w:sz w:val="24"/>
          <w:szCs w:val="24"/>
          <w:highlight w:val="none"/>
          <w:lang w:val="en-US" w:eastAsia="zh-CN"/>
        </w:rPr>
        <w:t>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w:t>
      </w:r>
      <w:r>
        <w:rPr>
          <w:rFonts w:hint="eastAsia" w:hAnsi="宋体" w:cs="宋体"/>
          <w:b/>
          <w:bCs/>
          <w:color w:val="auto"/>
          <w:sz w:val="24"/>
          <w:szCs w:val="24"/>
          <w:highlight w:val="none"/>
          <w:lang w:val="en-US" w:eastAsia="zh-CN"/>
        </w:rPr>
        <w:t>响应文件</w:t>
      </w:r>
      <w:r>
        <w:rPr>
          <w:rFonts w:hint="eastAsia" w:ascii="宋体" w:hAnsi="宋体" w:eastAsia="宋体" w:cs="宋体"/>
          <w:b/>
          <w:bCs/>
          <w:color w:val="auto"/>
          <w:sz w:val="24"/>
          <w:szCs w:val="24"/>
          <w:highlight w:val="none"/>
          <w:lang w:val="en-US" w:eastAsia="zh-CN"/>
        </w:rPr>
        <w:t>中提交了《中小企业声明函》、《残疾人福利性单位声明函》或省级以上监狱管理局、戒毒管理局（含新疆生产建设兵团）出具的属于监狱企业的证明文件的供应商，其报价不进行扣除。</w:t>
      </w:r>
    </w:p>
    <w:p w14:paraId="10FE7EFF">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62" w:name="_Toc520356168"/>
      <w:bookmarkStart w:id="463" w:name="_Toc515647785"/>
      <w:bookmarkStart w:id="464" w:name="_Toc15779"/>
      <w:bookmarkStart w:id="465" w:name="_Toc20227"/>
      <w:bookmarkStart w:id="466" w:name="_Toc3639"/>
      <w:bookmarkStart w:id="467" w:name="_Toc31084"/>
      <w:bookmarkStart w:id="468" w:name="_Toc9378"/>
      <w:bookmarkStart w:id="469" w:name="_Toc20226"/>
      <w:bookmarkStart w:id="470" w:name="_Toc26670"/>
      <w:bookmarkStart w:id="471" w:name="_Toc7770"/>
      <w:bookmarkStart w:id="472" w:name="_Toc14408"/>
      <w:bookmarkStart w:id="473" w:name="_Toc2878"/>
      <w:bookmarkStart w:id="474" w:name="_Toc7858"/>
      <w:bookmarkStart w:id="475" w:name="_Toc23302"/>
      <w:bookmarkStart w:id="476" w:name="_Toc21001"/>
      <w:bookmarkStart w:id="477" w:name="_Toc19218"/>
      <w:bookmarkStart w:id="478" w:name="_Toc27067"/>
      <w:r>
        <w:rPr>
          <w:rFonts w:hint="eastAsia" w:ascii="宋体" w:hAnsi="宋体" w:eastAsia="宋体" w:cs="宋体"/>
          <w:b/>
          <w:color w:val="auto"/>
          <w:sz w:val="28"/>
          <w:szCs w:val="28"/>
          <w:highlight w:val="none"/>
          <w:lang w:val="en-US" w:eastAsia="zh-CN"/>
        </w:rPr>
        <w:t>24</w:t>
      </w:r>
      <w:bookmarkEnd w:id="462"/>
      <w:r>
        <w:rPr>
          <w:rFonts w:hint="eastAsia" w:ascii="宋体" w:hAnsi="宋体" w:eastAsia="宋体" w:cs="宋体"/>
          <w:b/>
          <w:color w:val="auto"/>
          <w:sz w:val="28"/>
          <w:szCs w:val="28"/>
          <w:highlight w:val="none"/>
          <w:lang w:val="en-US" w:eastAsia="zh-CN"/>
        </w:rPr>
        <w:t>.废</w:t>
      </w:r>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p>
    <w:p w14:paraId="6F69CEFE">
      <w:pPr>
        <w:pageBreakBefore w:val="0"/>
        <w:kinsoku/>
        <w:wordWrap/>
        <w:overflowPunct/>
        <w:topLinePunct w:val="0"/>
        <w:bidi w:val="0"/>
        <w:spacing w:line="360" w:lineRule="exact"/>
        <w:ind w:left="60" w:hanging="60" w:hangingChars="25"/>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24.1出现下列情形之一，将导致项目废标：</w:t>
      </w:r>
      <w:r>
        <w:rPr>
          <w:rFonts w:hint="eastAsia" w:ascii="宋体" w:hAnsi="宋体" w:eastAsia="宋体" w:cs="宋体"/>
          <w:color w:val="auto"/>
          <w:sz w:val="24"/>
          <w:szCs w:val="24"/>
          <w:highlight w:val="none"/>
        </w:rPr>
        <w:t xml:space="preserve"> </w:t>
      </w:r>
    </w:p>
    <w:p w14:paraId="1FF20E22">
      <w:pPr>
        <w:pageBreakBefore w:val="0"/>
        <w:kinsoku/>
        <w:wordWrap/>
        <w:overflowPunct/>
        <w:topLinePunct w:val="0"/>
        <w:bidi w:val="0"/>
        <w:spacing w:line="360" w:lineRule="exact"/>
        <w:ind w:left="900" w:hanging="900" w:hangingChars="375"/>
        <w:rPr>
          <w:rFonts w:hint="eastAsia" w:ascii="宋体" w:hAnsi="宋体" w:eastAsia="宋体" w:cs="宋体"/>
          <w:b/>
          <w:bCs/>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b/>
          <w:bCs/>
          <w:color w:val="auto"/>
          <w:sz w:val="24"/>
          <w:szCs w:val="24"/>
          <w:highlight w:val="none"/>
        </w:rPr>
        <w:t>（1）符合专业条件的供应商或者对</w:t>
      </w:r>
      <w:r>
        <w:rPr>
          <w:rFonts w:hint="eastAsia" w:ascii="宋体" w:hAnsi="宋体" w:eastAsia="宋体" w:cs="宋体"/>
          <w:b/>
          <w:bCs/>
          <w:color w:val="auto"/>
          <w:sz w:val="24"/>
          <w:szCs w:val="24"/>
          <w:highlight w:val="none"/>
          <w:lang w:eastAsia="zh-CN"/>
        </w:rPr>
        <w:t>磋商文件</w:t>
      </w:r>
      <w:r>
        <w:rPr>
          <w:rFonts w:hint="eastAsia" w:ascii="宋体" w:hAnsi="宋体" w:eastAsia="宋体" w:cs="宋体"/>
          <w:b/>
          <w:bCs/>
          <w:color w:val="auto"/>
          <w:sz w:val="24"/>
          <w:szCs w:val="24"/>
          <w:highlight w:val="none"/>
        </w:rPr>
        <w:t>做实质性响应的供应商不足三家；</w:t>
      </w:r>
    </w:p>
    <w:p w14:paraId="2E0043D4">
      <w:pPr>
        <w:pageBreakBefore w:val="0"/>
        <w:kinsoku/>
        <w:wordWrap/>
        <w:overflowPunct/>
        <w:topLinePunct w:val="0"/>
        <w:bidi w:val="0"/>
        <w:spacing w:line="360" w:lineRule="exact"/>
        <w:ind w:left="900" w:hanging="904" w:hangingChars="375"/>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ab/>
      </w:r>
      <w:r>
        <w:rPr>
          <w:rFonts w:hint="eastAsia" w:ascii="宋体" w:hAnsi="宋体" w:eastAsia="宋体" w:cs="宋体"/>
          <w:b/>
          <w:bCs/>
          <w:color w:val="auto"/>
          <w:sz w:val="24"/>
          <w:szCs w:val="24"/>
          <w:highlight w:val="none"/>
        </w:rPr>
        <w:t>（2）出现影响采购公正的违法、违规行为的；</w:t>
      </w:r>
    </w:p>
    <w:p w14:paraId="76D046A5">
      <w:pPr>
        <w:pageBreakBefore w:val="0"/>
        <w:kinsoku/>
        <w:wordWrap/>
        <w:overflowPunct/>
        <w:topLinePunct w:val="0"/>
        <w:bidi w:val="0"/>
        <w:spacing w:line="360" w:lineRule="exact"/>
        <w:ind w:firstLine="843" w:firstLineChars="350"/>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（3）</w:t>
      </w:r>
      <w:r>
        <w:rPr>
          <w:rFonts w:hint="eastAsia" w:ascii="宋体" w:hAnsi="宋体" w:eastAsia="宋体" w:cs="宋体"/>
          <w:b/>
          <w:bCs/>
          <w:color w:val="auto"/>
          <w:sz w:val="24"/>
          <w:szCs w:val="24"/>
          <w:highlight w:val="none"/>
          <w:lang w:eastAsia="zh-CN"/>
        </w:rPr>
        <w:t>供应商</w:t>
      </w:r>
      <w:r>
        <w:rPr>
          <w:rFonts w:hint="eastAsia" w:ascii="宋体" w:hAnsi="宋体" w:eastAsia="宋体" w:cs="宋体"/>
          <w:b/>
          <w:bCs/>
          <w:color w:val="auto"/>
          <w:sz w:val="24"/>
          <w:szCs w:val="24"/>
          <w:highlight w:val="none"/>
        </w:rPr>
        <w:t>的报价均超过了采购预算，采购人不能支付的；</w:t>
      </w:r>
    </w:p>
    <w:p w14:paraId="1043FF7F">
      <w:pPr>
        <w:pageBreakBefore w:val="0"/>
        <w:kinsoku/>
        <w:wordWrap/>
        <w:overflowPunct/>
        <w:topLinePunct w:val="0"/>
        <w:bidi w:val="0"/>
        <w:spacing w:line="360" w:lineRule="exact"/>
        <w:ind w:firstLine="843" w:firstLineChars="350"/>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 xml:space="preserve">（4）因重大变故，采购任务取消的。  </w:t>
      </w:r>
      <w:r>
        <w:rPr>
          <w:rFonts w:hint="eastAsia" w:ascii="宋体" w:hAnsi="宋体" w:eastAsia="宋体" w:cs="宋体"/>
          <w:color w:val="auto"/>
          <w:sz w:val="24"/>
          <w:szCs w:val="24"/>
          <w:highlight w:val="none"/>
        </w:rPr>
        <w:t xml:space="preserve"> </w:t>
      </w:r>
    </w:p>
    <w:p w14:paraId="1D70E37C">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479" w:name="_Toc10657"/>
      <w:bookmarkStart w:id="480" w:name="_Toc29935"/>
      <w:bookmarkStart w:id="481" w:name="_Toc23725"/>
      <w:bookmarkStart w:id="482" w:name="_Toc16842"/>
      <w:bookmarkStart w:id="483" w:name="_Toc25096"/>
      <w:bookmarkStart w:id="484" w:name="_Toc29646"/>
      <w:bookmarkStart w:id="485" w:name="_Toc21380"/>
      <w:bookmarkStart w:id="486" w:name="_Toc31289"/>
      <w:bookmarkStart w:id="487" w:name="_Toc24972"/>
      <w:bookmarkStart w:id="488" w:name="_Toc19779"/>
      <w:bookmarkStart w:id="489" w:name="_Toc10738"/>
      <w:bookmarkStart w:id="490" w:name="_Toc21697"/>
      <w:bookmarkStart w:id="491" w:name="_Toc515647786"/>
      <w:bookmarkStart w:id="492" w:name="_Toc3793"/>
      <w:bookmarkStart w:id="493" w:name="_Toc2859"/>
      <w:bookmarkStart w:id="494" w:name="_Toc8315"/>
      <w:bookmarkStart w:id="495" w:name="_Toc520356169"/>
      <w:r>
        <w:rPr>
          <w:rFonts w:hint="eastAsia" w:ascii="宋体" w:hAnsi="宋体" w:eastAsia="宋体" w:cs="宋体"/>
          <w:b/>
          <w:color w:val="auto"/>
          <w:sz w:val="28"/>
          <w:szCs w:val="28"/>
          <w:highlight w:val="none"/>
          <w:lang w:val="en-US" w:eastAsia="zh-CN"/>
        </w:rPr>
        <w:t>25.保密原则</w:t>
      </w:r>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p>
    <w:p w14:paraId="2130022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评标将在严格保密的情况下进行。</w:t>
      </w:r>
    </w:p>
    <w:p w14:paraId="57F8846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25.2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政府采购评审专家应当遵守评审工作纪律，不得泄露评审文件、评审情况和评审中获悉的商业秘密。</w:t>
      </w:r>
    </w:p>
    <w:p w14:paraId="396A6802">
      <w:pPr>
        <w:pageBreakBefore w:val="0"/>
        <w:kinsoku/>
        <w:wordWrap/>
        <w:overflowPunct/>
        <w:topLinePunct w:val="0"/>
        <w:bidi w:val="0"/>
        <w:spacing w:line="360" w:lineRule="exact"/>
        <w:ind w:hanging="540"/>
        <w:rPr>
          <w:rFonts w:hint="eastAsia" w:ascii="宋体" w:hAnsi="宋体" w:eastAsia="宋体" w:cs="宋体"/>
          <w:color w:val="auto"/>
          <w:sz w:val="24"/>
          <w:szCs w:val="24"/>
          <w:highlight w:val="none"/>
        </w:rPr>
      </w:pPr>
    </w:p>
    <w:p w14:paraId="4D201C4C">
      <w:pPr>
        <w:pStyle w:val="3"/>
        <w:pageBreakBefore w:val="0"/>
        <w:shd w:val="clear" w:color="auto" w:fill="auto"/>
        <w:kinsoku/>
        <w:wordWrap/>
        <w:overflowPunct/>
        <w:topLinePunct w:val="0"/>
        <w:bidi w:val="0"/>
        <w:snapToGrid w:val="0"/>
        <w:spacing w:before="0" w:beforeAutospacing="0" w:after="0" w:afterAutospacing="0" w:line="360" w:lineRule="exact"/>
        <w:ind w:left="1080" w:leftChars="257" w:hanging="540"/>
        <w:jc w:val="center"/>
        <w:textAlignment w:val="baseline"/>
        <w:rPr>
          <w:rFonts w:hint="eastAsia" w:ascii="宋体" w:hAnsi="宋体" w:eastAsia="宋体" w:cs="宋体"/>
          <w:b/>
          <w:i w:val="0"/>
          <w:color w:val="auto"/>
          <w:spacing w:val="0"/>
          <w:w w:val="100"/>
          <w:sz w:val="32"/>
          <w:szCs w:val="32"/>
          <w:highlight w:val="none"/>
          <w:lang w:eastAsia="zh-CN"/>
        </w:rPr>
      </w:pPr>
      <w:bookmarkStart w:id="496" w:name="_Toc5206"/>
      <w:bookmarkStart w:id="497" w:name="_Toc23904"/>
      <w:bookmarkStart w:id="498" w:name="_Toc31410"/>
      <w:bookmarkStart w:id="499" w:name="_Toc216582810"/>
      <w:bookmarkStart w:id="500" w:name="_Toc515647787"/>
      <w:bookmarkStart w:id="501" w:name="_Toc12143"/>
      <w:bookmarkStart w:id="502" w:name="_Toc28315"/>
      <w:bookmarkStart w:id="503" w:name="_Toc31606"/>
      <w:bookmarkStart w:id="504" w:name="_Toc2675"/>
      <w:r>
        <w:rPr>
          <w:rFonts w:hint="eastAsia" w:ascii="宋体" w:hAnsi="宋体" w:eastAsia="宋体" w:cs="宋体"/>
          <w:b/>
          <w:i w:val="0"/>
          <w:color w:val="auto"/>
          <w:spacing w:val="0"/>
          <w:w w:val="100"/>
          <w:sz w:val="32"/>
          <w:szCs w:val="32"/>
          <w:highlight w:val="none"/>
        </w:rPr>
        <w:t xml:space="preserve">六   </w:t>
      </w:r>
      <w:bookmarkEnd w:id="495"/>
      <w:r>
        <w:rPr>
          <w:rFonts w:hint="eastAsia" w:ascii="宋体" w:hAnsi="宋体" w:eastAsia="宋体" w:cs="宋体"/>
          <w:b/>
          <w:i w:val="0"/>
          <w:color w:val="auto"/>
          <w:spacing w:val="0"/>
          <w:w w:val="100"/>
          <w:sz w:val="32"/>
          <w:szCs w:val="32"/>
          <w:highlight w:val="none"/>
        </w:rPr>
        <w:t>确定</w:t>
      </w:r>
      <w:bookmarkEnd w:id="496"/>
      <w:bookmarkEnd w:id="497"/>
      <w:bookmarkEnd w:id="498"/>
      <w:bookmarkEnd w:id="499"/>
      <w:bookmarkEnd w:id="500"/>
      <w:bookmarkEnd w:id="501"/>
      <w:r>
        <w:rPr>
          <w:rFonts w:hint="eastAsia" w:ascii="宋体" w:hAnsi="宋体" w:eastAsia="宋体" w:cs="宋体"/>
          <w:b/>
          <w:i w:val="0"/>
          <w:color w:val="auto"/>
          <w:spacing w:val="0"/>
          <w:w w:val="100"/>
          <w:sz w:val="32"/>
          <w:szCs w:val="32"/>
          <w:highlight w:val="none"/>
          <w:lang w:val="en-US" w:eastAsia="zh-CN"/>
        </w:rPr>
        <w:t>成交</w:t>
      </w:r>
      <w:bookmarkEnd w:id="502"/>
      <w:bookmarkEnd w:id="503"/>
      <w:bookmarkEnd w:id="504"/>
    </w:p>
    <w:p w14:paraId="4BF96660">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05" w:name="_Toc23762"/>
      <w:bookmarkStart w:id="506" w:name="_Toc13936"/>
      <w:bookmarkStart w:id="507" w:name="_Toc3336"/>
      <w:bookmarkStart w:id="508" w:name="_Toc30510"/>
      <w:bookmarkStart w:id="509" w:name="_Toc28179"/>
      <w:bookmarkStart w:id="510" w:name="_Toc520356170"/>
      <w:bookmarkStart w:id="511" w:name="_Toc23617"/>
      <w:bookmarkStart w:id="512" w:name="_Toc12957"/>
      <w:bookmarkStart w:id="513" w:name="_Toc1624"/>
      <w:bookmarkStart w:id="514" w:name="_Ref467307010"/>
      <w:bookmarkStart w:id="515" w:name="_Toc14953"/>
      <w:bookmarkStart w:id="516" w:name="_Toc515647788"/>
      <w:bookmarkStart w:id="517" w:name="_Toc20061"/>
      <w:bookmarkStart w:id="518" w:name="_Toc17209"/>
      <w:bookmarkStart w:id="519" w:name="_Toc6510"/>
      <w:bookmarkStart w:id="520" w:name="_Toc31710"/>
      <w:bookmarkStart w:id="521" w:name="_Toc475"/>
      <w:r>
        <w:rPr>
          <w:rFonts w:hint="eastAsia" w:ascii="宋体" w:hAnsi="宋体" w:eastAsia="宋体" w:cs="宋体"/>
          <w:b/>
          <w:color w:val="auto"/>
          <w:sz w:val="28"/>
          <w:szCs w:val="28"/>
          <w:highlight w:val="none"/>
          <w:lang w:val="en-US" w:eastAsia="zh-CN"/>
        </w:rPr>
        <w:t>26.成交候选人的确定原则及标准</w:t>
      </w:r>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p>
    <w:p w14:paraId="5ED2A56C">
      <w:pPr>
        <w:pageBreakBefore w:val="0"/>
        <w:kinsoku/>
        <w:wordWrap/>
        <w:overflowPunct/>
        <w:topLinePunct w:val="0"/>
        <w:bidi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对实质上响应</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按下列方法进行排序，确定</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候选人：</w:t>
      </w:r>
    </w:p>
    <w:p w14:paraId="4C4FD023">
      <w:pPr>
        <w:pageBreakBefore w:val="0"/>
        <w:kinsoku/>
        <w:wordWrap/>
        <w:overflowPunct/>
        <w:topLinePunct w:val="0"/>
        <w:bidi w:val="0"/>
        <w:spacing w:line="360" w:lineRule="exact"/>
        <w:ind w:firstLine="480" w:firstLineChars="200"/>
        <w:rPr>
          <w:rFonts w:hint="eastAsia" w:ascii="宋体" w:hAnsi="宋体" w:eastAsia="宋体" w:cs="宋体"/>
          <w:color w:val="auto"/>
          <w:sz w:val="24"/>
          <w:szCs w:val="24"/>
          <w:highlight w:val="none"/>
        </w:rPr>
      </w:pPr>
      <w:bookmarkStart w:id="522" w:name="_Toc520356171"/>
      <w:bookmarkStart w:id="523" w:name="_Toc515647789"/>
      <w:r>
        <w:rPr>
          <w:rFonts w:hint="eastAsia" w:ascii="宋体" w:hAnsi="宋体" w:eastAsia="宋体" w:cs="宋体"/>
          <w:color w:val="auto"/>
          <w:sz w:val="24"/>
          <w:szCs w:val="24"/>
          <w:highlight w:val="none"/>
        </w:rPr>
        <w:t>（1）采用最低评标价法的，除了算术修正和落实政府采购政策需进行的价格扣除外，不对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价格进行任何调整。评标结果按修正和扣除后的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报价由低到高顺序排列。报价相同的处理方式详见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章。</w:t>
      </w:r>
    </w:p>
    <w:p w14:paraId="10B2FB75">
      <w:pPr>
        <w:pageBreakBefore w:val="0"/>
        <w:kinsoku/>
        <w:wordWrap/>
        <w:overflowPunct/>
        <w:topLinePunct w:val="0"/>
        <w:bidi w:val="0"/>
        <w:spacing w:line="36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（2）采用综合评分法的，评标结果按评审后得分由高到低顺序排列。得分相同的，按修正和扣除后的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报价由低到高顺序排列。得分与</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报价均相同的处理方式详见</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第</w:t>
      </w: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章。</w:t>
      </w:r>
    </w:p>
    <w:p w14:paraId="79CF4731">
      <w:pPr>
        <w:pStyle w:val="12"/>
        <w:pageBreakBefore w:val="0"/>
        <w:kinsoku/>
        <w:wordWrap/>
        <w:overflowPunct/>
        <w:topLinePunct w:val="0"/>
        <w:bidi w:val="0"/>
        <w:spacing w:line="360" w:lineRule="exact"/>
        <w:rPr>
          <w:rFonts w:hint="eastAsia" w:ascii="宋体" w:hAnsi="宋体" w:eastAsia="宋体" w:cs="宋体"/>
          <w:b/>
          <w:bCs/>
          <w:color w:val="auto"/>
          <w:sz w:val="24"/>
          <w:szCs w:val="24"/>
          <w:highlight w:val="none"/>
          <w:lang w:val="en-US" w:eastAsia="zh-CN"/>
        </w:rPr>
      </w:pPr>
      <w:bookmarkStart w:id="524" w:name="_Toc17933"/>
      <w:bookmarkStart w:id="525" w:name="_Toc14558"/>
      <w:bookmarkStart w:id="526" w:name="_Toc721"/>
      <w:bookmarkStart w:id="527" w:name="_Toc3720"/>
      <w:bookmarkStart w:id="528" w:name="_Toc3418"/>
      <w:bookmarkStart w:id="529" w:name="_Toc3500"/>
      <w:bookmarkStart w:id="530" w:name="_Toc21913"/>
      <w:bookmarkStart w:id="531" w:name="_Toc3661"/>
      <w:bookmarkStart w:id="532" w:name="_Toc16846"/>
      <w:bookmarkStart w:id="533" w:name="_Toc24948"/>
      <w:bookmarkStart w:id="534" w:name="_Toc17164"/>
      <w:bookmarkStart w:id="535" w:name="_Toc1644"/>
      <w:bookmarkStart w:id="536" w:name="_Toc11907"/>
      <w:r>
        <w:rPr>
          <w:rFonts w:hint="eastAsia" w:ascii="宋体" w:hAnsi="宋体" w:eastAsia="宋体" w:cs="宋体"/>
          <w:b/>
          <w:bCs/>
          <w:color w:val="auto"/>
          <w:sz w:val="24"/>
          <w:szCs w:val="24"/>
          <w:highlight w:val="none"/>
          <w:lang w:val="en-US" w:eastAsia="zh-CN"/>
        </w:rPr>
        <w:t>本项目采购方式：竞争性磋商。评标方法：综合评分法。</w:t>
      </w:r>
    </w:p>
    <w:p w14:paraId="4D90F240">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37" w:name="_Toc13271"/>
      <w:bookmarkStart w:id="538" w:name="_Toc5056"/>
      <w:bookmarkStart w:id="539" w:name="_Toc10874"/>
      <w:r>
        <w:rPr>
          <w:rFonts w:hint="eastAsia" w:ascii="宋体" w:hAnsi="宋体" w:eastAsia="宋体" w:cs="宋体"/>
          <w:b/>
          <w:color w:val="auto"/>
          <w:sz w:val="28"/>
          <w:szCs w:val="28"/>
          <w:highlight w:val="none"/>
          <w:lang w:val="en-US" w:eastAsia="zh-CN"/>
        </w:rPr>
        <w:t>27.确定成交候选人和</w:t>
      </w:r>
      <w:bookmarkEnd w:id="524"/>
      <w:r>
        <w:rPr>
          <w:rFonts w:hint="eastAsia" w:ascii="宋体" w:hAnsi="宋体" w:eastAsia="宋体" w:cs="宋体"/>
          <w:b/>
          <w:color w:val="auto"/>
          <w:sz w:val="28"/>
          <w:szCs w:val="28"/>
          <w:highlight w:val="none"/>
          <w:lang w:val="en-US" w:eastAsia="zh-CN"/>
        </w:rPr>
        <w:t>成交人</w:t>
      </w:r>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p>
    <w:bookmarkEnd w:id="522"/>
    <w:bookmarkEnd w:id="523"/>
    <w:p w14:paraId="2E267B42">
      <w:pPr>
        <w:pageBreakBefore w:val="0"/>
        <w:kinsoku/>
        <w:wordWrap/>
        <w:overflowPunct/>
        <w:topLinePunct w:val="0"/>
        <w:bidi w:val="0"/>
        <w:spacing w:line="360" w:lineRule="exact"/>
        <w:ind w:left="479" w:leftChars="228" w:firstLine="60" w:firstLineChars="2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磋商小组</w:t>
      </w:r>
      <w:r>
        <w:rPr>
          <w:rFonts w:hint="eastAsia" w:ascii="宋体" w:hAnsi="宋体" w:eastAsia="宋体" w:cs="宋体"/>
          <w:color w:val="auto"/>
          <w:sz w:val="24"/>
          <w:szCs w:val="24"/>
          <w:highlight w:val="none"/>
        </w:rPr>
        <w:t>将根据评标标准，按</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须知资料表中</w:t>
      </w:r>
      <w:r>
        <w:rPr>
          <w:rFonts w:hint="eastAsia" w:ascii="宋体" w:hAnsi="宋体" w:eastAsia="宋体" w:cs="宋体"/>
          <w:color w:val="auto"/>
          <w:sz w:val="24"/>
          <w:szCs w:val="24"/>
          <w:highlight w:val="none"/>
        </w:rPr>
        <w:t>规定数量推荐</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w:t>
      </w:r>
    </w:p>
    <w:p w14:paraId="3A3EB21D">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40" w:name="_Ref467306874"/>
      <w:bookmarkStart w:id="541" w:name="_Toc520356173"/>
      <w:bookmarkStart w:id="542" w:name="_Toc7156"/>
      <w:bookmarkStart w:id="543" w:name="_Toc16517"/>
      <w:bookmarkStart w:id="544" w:name="_Toc30883"/>
      <w:bookmarkStart w:id="545" w:name="_Toc14284"/>
      <w:bookmarkStart w:id="546" w:name="_Toc20001"/>
      <w:bookmarkStart w:id="547" w:name="_Toc32455"/>
      <w:bookmarkStart w:id="548" w:name="_Toc17591"/>
      <w:bookmarkStart w:id="549" w:name="_Toc25730"/>
      <w:bookmarkStart w:id="550" w:name="_Toc8389"/>
      <w:bookmarkStart w:id="551" w:name="_Toc9722"/>
      <w:bookmarkStart w:id="552" w:name="_Toc28562"/>
      <w:bookmarkStart w:id="553" w:name="_Toc3831"/>
      <w:bookmarkStart w:id="554" w:name="_Toc20705"/>
      <w:bookmarkStart w:id="555" w:name="_Toc31043"/>
      <w:bookmarkStart w:id="556" w:name="_Toc22540"/>
      <w:bookmarkStart w:id="557" w:name="_Toc515647790"/>
      <w:r>
        <w:rPr>
          <w:rFonts w:hint="eastAsia" w:ascii="宋体" w:hAnsi="宋体" w:eastAsia="宋体" w:cs="宋体"/>
          <w:b/>
          <w:color w:val="auto"/>
          <w:sz w:val="28"/>
          <w:szCs w:val="28"/>
          <w:highlight w:val="none"/>
          <w:lang w:val="en-US" w:eastAsia="zh-CN"/>
        </w:rPr>
        <w:t>28.</w:t>
      </w:r>
      <w:bookmarkEnd w:id="540"/>
      <w:bookmarkEnd w:id="541"/>
      <w:r>
        <w:rPr>
          <w:rFonts w:hint="eastAsia" w:ascii="宋体" w:hAnsi="宋体" w:eastAsia="宋体" w:cs="宋体"/>
          <w:b/>
          <w:color w:val="auto"/>
          <w:sz w:val="28"/>
          <w:szCs w:val="28"/>
          <w:highlight w:val="none"/>
          <w:lang w:val="en-US" w:eastAsia="zh-CN"/>
        </w:rPr>
        <w:t>采购任务取消</w:t>
      </w:r>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p>
    <w:p w14:paraId="2886B08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因重大变故采购任务取消时，采购人有权拒绝任何</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，且对受影响的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不承担任何责任。</w:t>
      </w:r>
      <w:bookmarkStart w:id="558" w:name="_Toc520356174"/>
    </w:p>
    <w:p w14:paraId="0006EC88">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59" w:name="_Toc21583"/>
      <w:bookmarkStart w:id="560" w:name="_Toc515647791"/>
      <w:bookmarkStart w:id="561" w:name="_Toc28901"/>
      <w:bookmarkStart w:id="562" w:name="_Toc8834"/>
      <w:bookmarkStart w:id="563" w:name="_Toc30170"/>
      <w:bookmarkStart w:id="564" w:name="_Toc17202"/>
      <w:bookmarkStart w:id="565" w:name="_Toc9922"/>
      <w:bookmarkStart w:id="566" w:name="_Toc27996"/>
      <w:bookmarkStart w:id="567" w:name="_Toc31099"/>
      <w:bookmarkStart w:id="568" w:name="_Toc30225"/>
      <w:bookmarkStart w:id="569" w:name="_Toc30931"/>
      <w:bookmarkStart w:id="570" w:name="_Toc25835"/>
      <w:bookmarkStart w:id="571" w:name="_Toc13789"/>
      <w:bookmarkStart w:id="572" w:name="_Toc30149"/>
      <w:bookmarkStart w:id="573" w:name="_Toc11896"/>
      <w:bookmarkStart w:id="574" w:name="_Toc9205"/>
      <w:r>
        <w:rPr>
          <w:rFonts w:hint="eastAsia" w:ascii="宋体" w:hAnsi="宋体" w:eastAsia="宋体" w:cs="宋体"/>
          <w:b/>
          <w:color w:val="auto"/>
          <w:sz w:val="28"/>
          <w:szCs w:val="28"/>
          <w:highlight w:val="none"/>
          <w:lang w:val="en-US" w:eastAsia="zh-CN"/>
        </w:rPr>
        <w:t>29.</w:t>
      </w:r>
      <w:bookmarkEnd w:id="558"/>
      <w:r>
        <w:rPr>
          <w:rFonts w:hint="eastAsia" w:ascii="宋体" w:hAnsi="宋体" w:eastAsia="宋体" w:cs="宋体"/>
          <w:b/>
          <w:color w:val="auto"/>
          <w:sz w:val="28"/>
          <w:szCs w:val="28"/>
          <w:highlight w:val="none"/>
          <w:lang w:val="en-US" w:eastAsia="zh-CN"/>
        </w:rPr>
        <w:t>成交通知书和采购结果通知书</w:t>
      </w:r>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p>
    <w:p w14:paraId="49408C6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在</w:t>
      </w:r>
      <w:r>
        <w:rPr>
          <w:rFonts w:hint="eastAsia" w:ascii="宋体" w:hAnsi="宋体" w:eastAsia="宋体" w:cs="宋体"/>
          <w:color w:val="auto"/>
          <w:sz w:val="24"/>
          <w:szCs w:val="24"/>
          <w:highlight w:val="none"/>
          <w:lang w:val="en-US" w:eastAsia="zh-CN"/>
        </w:rPr>
        <w:t>投标有效期</w:t>
      </w:r>
      <w:r>
        <w:rPr>
          <w:rFonts w:hint="eastAsia" w:ascii="宋体" w:hAnsi="宋体" w:eastAsia="宋体" w:cs="宋体"/>
          <w:color w:val="auto"/>
          <w:sz w:val="24"/>
          <w:szCs w:val="24"/>
          <w:highlight w:val="none"/>
        </w:rPr>
        <w:t>内，</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确定后，采购人或者采购代理机构发布</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lang w:val="en-US" w:eastAsia="zh-CN"/>
        </w:rPr>
        <w:t>结果</w:t>
      </w:r>
      <w:r>
        <w:rPr>
          <w:rFonts w:hint="eastAsia" w:ascii="宋体" w:hAnsi="宋体" w:eastAsia="宋体" w:cs="宋体"/>
          <w:color w:val="auto"/>
          <w:sz w:val="24"/>
          <w:szCs w:val="24"/>
          <w:highlight w:val="none"/>
          <w:lang w:eastAsia="zh-CN"/>
        </w:rPr>
        <w:t>公告</w:t>
      </w:r>
      <w:r>
        <w:rPr>
          <w:rFonts w:hint="eastAsia" w:ascii="宋体" w:hAnsi="宋体" w:eastAsia="宋体" w:cs="宋体"/>
          <w:color w:val="auto"/>
          <w:sz w:val="24"/>
          <w:szCs w:val="24"/>
          <w:highlight w:val="none"/>
        </w:rPr>
        <w:t>，同时以书面形式向</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发出</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w:t>
      </w:r>
    </w:p>
    <w:p w14:paraId="1B19305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是合同的组成部分。</w:t>
      </w:r>
    </w:p>
    <w:p w14:paraId="2F25DAF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29.3    采购结果通知书和</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同时发出。采购结果通知书中将告知未通过资格审查的</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未通过的原因；采用综合评分法评审的，还将告知未</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本人的评审得分和排序。</w:t>
      </w:r>
    </w:p>
    <w:p w14:paraId="51A9F5ED">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75" w:name="_Toc14551"/>
      <w:bookmarkStart w:id="576" w:name="_Toc9518"/>
      <w:bookmarkStart w:id="577" w:name="_Toc15018"/>
      <w:bookmarkStart w:id="578" w:name="_Toc14106"/>
      <w:bookmarkStart w:id="579" w:name="_Ref467306978"/>
      <w:bookmarkStart w:id="580" w:name="_Toc515647792"/>
      <w:bookmarkStart w:id="581" w:name="_Toc9114"/>
      <w:bookmarkStart w:id="582" w:name="_Toc13851"/>
      <w:bookmarkStart w:id="583" w:name="_Toc7584"/>
      <w:bookmarkStart w:id="584" w:name="_Toc29299"/>
      <w:bookmarkStart w:id="585" w:name="_Toc790"/>
      <w:bookmarkStart w:id="586" w:name="_Toc22777"/>
      <w:bookmarkStart w:id="587" w:name="_Toc7779"/>
      <w:bookmarkStart w:id="588" w:name="_Ref467307062"/>
      <w:bookmarkStart w:id="589" w:name="_Ref467307204"/>
      <w:bookmarkStart w:id="590" w:name="_Toc12485"/>
      <w:bookmarkStart w:id="591" w:name="_Ref467306377"/>
      <w:bookmarkStart w:id="592" w:name="_Toc24666"/>
      <w:bookmarkStart w:id="593" w:name="_Toc24140"/>
      <w:bookmarkStart w:id="594" w:name="_Toc520356175"/>
      <w:bookmarkStart w:id="595" w:name="_Toc4231"/>
      <w:r>
        <w:rPr>
          <w:rFonts w:hint="eastAsia" w:ascii="宋体" w:hAnsi="宋体" w:eastAsia="宋体" w:cs="宋体"/>
          <w:b/>
          <w:color w:val="auto"/>
          <w:sz w:val="28"/>
          <w:szCs w:val="28"/>
          <w:highlight w:val="none"/>
          <w:lang w:val="en-US" w:eastAsia="zh-CN"/>
        </w:rPr>
        <w:t>30.签订合同</w:t>
      </w:r>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p>
    <w:p w14:paraId="7E2CE67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应当自发出</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之日起30日内，与采购人签订合同。</w:t>
      </w:r>
    </w:p>
    <w:p w14:paraId="5507D6D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30.2</w:t>
      </w:r>
      <w:r>
        <w:rPr>
          <w:rFonts w:hint="eastAsia" w:ascii="宋体" w:hAnsi="宋体" w:eastAsia="宋体" w:cs="宋体"/>
          <w:color w:val="auto"/>
          <w:sz w:val="24"/>
          <w:szCs w:val="24"/>
          <w:highlight w:val="none"/>
        </w:rPr>
        <w:tab/>
      </w:r>
      <w:bookmarkStart w:id="596" w:name="_Toc520356176"/>
      <w:bookmarkStart w:id="597" w:name="_Ref467307090"/>
      <w:bookmarkStart w:id="598" w:name="_Ref467306425"/>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及其澄清文件等，均为签订合同的依据。</w:t>
      </w:r>
    </w:p>
    <w:p w14:paraId="1C573F9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30.3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拒绝与采购人签订合同的，采购人可以按照评审报告推荐的</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名单排序，确定下一</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，也可以重新开展政府采购活动。</w:t>
      </w:r>
    </w:p>
    <w:p w14:paraId="3DB59B0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30.4   当出现法规规定的</w:t>
      </w:r>
      <w:r>
        <w:rPr>
          <w:rFonts w:hint="eastAsia" w:ascii="宋体" w:hAnsi="宋体" w:eastAsia="宋体" w:cs="宋体"/>
          <w:b/>
          <w:color w:val="auto"/>
          <w:sz w:val="24"/>
          <w:szCs w:val="24"/>
          <w:highlight w:val="none"/>
          <w:lang w:val="en-US" w:eastAsia="zh-CN"/>
        </w:rPr>
        <w:t>成交</w:t>
      </w:r>
      <w:r>
        <w:rPr>
          <w:rFonts w:hint="eastAsia" w:ascii="宋体" w:hAnsi="宋体" w:eastAsia="宋体" w:cs="宋体"/>
          <w:b/>
          <w:color w:val="auto"/>
          <w:sz w:val="24"/>
          <w:szCs w:val="24"/>
          <w:highlight w:val="none"/>
        </w:rPr>
        <w:t>无效或</w:t>
      </w:r>
      <w:r>
        <w:rPr>
          <w:rFonts w:hint="eastAsia" w:ascii="宋体" w:hAnsi="宋体" w:eastAsia="宋体" w:cs="宋体"/>
          <w:b/>
          <w:color w:val="auto"/>
          <w:sz w:val="24"/>
          <w:szCs w:val="24"/>
          <w:highlight w:val="none"/>
          <w:lang w:val="en-US" w:eastAsia="zh-CN"/>
        </w:rPr>
        <w:t>成交</w:t>
      </w:r>
      <w:r>
        <w:rPr>
          <w:rFonts w:hint="eastAsia" w:ascii="宋体" w:hAnsi="宋体" w:eastAsia="宋体" w:cs="宋体"/>
          <w:b/>
          <w:color w:val="auto"/>
          <w:sz w:val="24"/>
          <w:szCs w:val="24"/>
          <w:highlight w:val="none"/>
        </w:rPr>
        <w:t>结果无效</w:t>
      </w:r>
      <w:r>
        <w:rPr>
          <w:rFonts w:hint="eastAsia" w:ascii="宋体" w:hAnsi="宋体" w:eastAsia="宋体" w:cs="宋体"/>
          <w:color w:val="auto"/>
          <w:sz w:val="24"/>
          <w:szCs w:val="24"/>
          <w:highlight w:val="none"/>
        </w:rPr>
        <w:t>情形时，采购人可与排名下一位的</w:t>
      </w:r>
      <w:r>
        <w:rPr>
          <w:rFonts w:hint="eastAsia" w:ascii="宋体" w:hAnsi="宋体" w:eastAsia="宋体" w:cs="宋体"/>
          <w:color w:val="auto"/>
          <w:sz w:val="24"/>
          <w:szCs w:val="24"/>
          <w:highlight w:val="none"/>
          <w:lang w:eastAsia="zh-CN"/>
        </w:rPr>
        <w:t>成交候选人</w:t>
      </w:r>
      <w:r>
        <w:rPr>
          <w:rFonts w:hint="eastAsia" w:ascii="宋体" w:hAnsi="宋体" w:eastAsia="宋体" w:cs="宋体"/>
          <w:color w:val="auto"/>
          <w:sz w:val="24"/>
          <w:szCs w:val="24"/>
          <w:highlight w:val="none"/>
        </w:rPr>
        <w:t>另行签订合同，或依法重新开展采购活动。</w:t>
      </w:r>
    </w:p>
    <w:p w14:paraId="06108701">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599" w:name="_Toc22398"/>
      <w:bookmarkStart w:id="600" w:name="_Toc28788"/>
      <w:bookmarkStart w:id="601" w:name="_Toc8189"/>
      <w:bookmarkStart w:id="602" w:name="_Toc26518"/>
      <w:bookmarkStart w:id="603" w:name="_Toc515647793"/>
      <w:bookmarkStart w:id="604" w:name="_Toc17960"/>
      <w:bookmarkStart w:id="605" w:name="_Toc10991"/>
      <w:bookmarkStart w:id="606" w:name="_Toc30291"/>
      <w:bookmarkStart w:id="607" w:name="_Toc26007"/>
      <w:bookmarkStart w:id="608" w:name="_Toc22555"/>
      <w:bookmarkStart w:id="609" w:name="_Toc14080"/>
      <w:bookmarkStart w:id="610" w:name="_Toc4849"/>
      <w:bookmarkStart w:id="611" w:name="_Toc11467"/>
      <w:bookmarkStart w:id="612" w:name="_Toc20986"/>
      <w:bookmarkStart w:id="613" w:name="_Toc6474"/>
      <w:r>
        <w:rPr>
          <w:rFonts w:hint="eastAsia" w:ascii="宋体" w:hAnsi="宋体" w:eastAsia="宋体" w:cs="宋体"/>
          <w:b/>
          <w:color w:val="auto"/>
          <w:sz w:val="28"/>
          <w:szCs w:val="28"/>
          <w:highlight w:val="none"/>
          <w:lang w:val="en-US" w:eastAsia="zh-CN"/>
        </w:rPr>
        <w:t>31.履约保证金</w:t>
      </w:r>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p>
    <w:p w14:paraId="4135DE1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31.1</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应按照</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规定向采购人缴纳履约保证金。</w:t>
      </w:r>
    </w:p>
    <w:p w14:paraId="4B9B4BC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31.2</w:t>
      </w:r>
      <w:r>
        <w:rPr>
          <w:rFonts w:hint="eastAsia" w:ascii="宋体" w:hAnsi="宋体" w:eastAsia="宋体" w:cs="宋体"/>
          <w:color w:val="auto"/>
          <w:sz w:val="24"/>
          <w:szCs w:val="24"/>
          <w:highlight w:val="none"/>
        </w:rPr>
        <w:tab/>
      </w:r>
      <w:r>
        <w:rPr>
          <w:rFonts w:hint="eastAsia" w:ascii="宋体" w:hAnsi="宋体" w:eastAsia="宋体" w:cs="宋体"/>
          <w:color w:val="auto"/>
          <w:sz w:val="24"/>
          <w:szCs w:val="24"/>
          <w:highlight w:val="none"/>
        </w:rPr>
        <w:t>政府采购利用担保试点范围内的项目，除31.1规定的情形外，</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也可以按照财政部门的规定，向采购人提供合格的履约担保函。</w:t>
      </w:r>
    </w:p>
    <w:p w14:paraId="79E0079F">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614" w:name="_Toc26497"/>
      <w:bookmarkStart w:id="615" w:name="_Toc14539"/>
      <w:bookmarkStart w:id="616" w:name="_Toc21246"/>
      <w:bookmarkStart w:id="617" w:name="_Toc3090"/>
      <w:bookmarkStart w:id="618" w:name="_Toc10577"/>
      <w:bookmarkStart w:id="619" w:name="_Toc29408"/>
      <w:bookmarkStart w:id="620" w:name="_Toc3025"/>
      <w:bookmarkStart w:id="621" w:name="_Toc515647794"/>
      <w:bookmarkStart w:id="622" w:name="_Toc16406"/>
      <w:bookmarkStart w:id="623" w:name="_Toc9967"/>
      <w:bookmarkStart w:id="624" w:name="_Toc17626"/>
      <w:bookmarkStart w:id="625" w:name="_Toc11298"/>
      <w:bookmarkStart w:id="626" w:name="_Toc21835"/>
      <w:bookmarkStart w:id="627" w:name="_Toc18795"/>
      <w:bookmarkStart w:id="628" w:name="_Toc10635"/>
      <w:bookmarkStart w:id="629" w:name="_Toc8803"/>
      <w:r>
        <w:rPr>
          <w:rFonts w:hint="eastAsia" w:ascii="宋体" w:hAnsi="宋体" w:eastAsia="宋体" w:cs="宋体"/>
          <w:b/>
          <w:color w:val="auto"/>
          <w:sz w:val="28"/>
          <w:szCs w:val="28"/>
          <w:highlight w:val="none"/>
          <w:lang w:val="en-US" w:eastAsia="zh-CN"/>
        </w:rPr>
        <w:t>32.</w:t>
      </w:r>
      <w:bookmarkEnd w:id="614"/>
      <w:bookmarkEnd w:id="615"/>
      <w:bookmarkEnd w:id="616"/>
      <w:bookmarkEnd w:id="617"/>
      <w:bookmarkEnd w:id="618"/>
      <w:bookmarkEnd w:id="619"/>
      <w:bookmarkEnd w:id="620"/>
      <w:bookmarkEnd w:id="621"/>
      <w:bookmarkEnd w:id="622"/>
      <w:bookmarkEnd w:id="623"/>
      <w:bookmarkEnd w:id="624"/>
      <w:bookmarkEnd w:id="625"/>
      <w:bookmarkEnd w:id="626"/>
      <w:r>
        <w:rPr>
          <w:rFonts w:hint="eastAsia" w:ascii="宋体" w:hAnsi="宋体" w:eastAsia="宋体" w:cs="宋体"/>
          <w:b/>
          <w:color w:val="auto"/>
          <w:sz w:val="28"/>
          <w:szCs w:val="28"/>
          <w:highlight w:val="none"/>
          <w:lang w:val="en-US" w:eastAsia="zh-CN"/>
        </w:rPr>
        <w:t>成交服务费</w:t>
      </w:r>
      <w:bookmarkEnd w:id="627"/>
      <w:bookmarkEnd w:id="628"/>
      <w:bookmarkEnd w:id="629"/>
    </w:p>
    <w:p w14:paraId="1DEE4EAA">
      <w:pPr>
        <w:pageBreakBefore w:val="0"/>
        <w:kinsoku/>
        <w:wordWrap/>
        <w:overflowPunct/>
        <w:topLinePunct w:val="0"/>
        <w:bidi w:val="0"/>
        <w:spacing w:line="360" w:lineRule="exact"/>
        <w:ind w:left="420" w:hanging="420" w:hangingChars="1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须按照</w:t>
      </w:r>
      <w:r>
        <w:rPr>
          <w:rFonts w:hint="eastAsia" w:ascii="宋体" w:hAnsi="宋体" w:eastAsia="宋体" w:cs="宋体"/>
          <w:color w:val="auto"/>
          <w:sz w:val="24"/>
          <w:szCs w:val="24"/>
          <w:highlight w:val="none"/>
          <w:u w:val="single"/>
          <w:lang w:val="en-US"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规定，向采购代理机构支付</w:t>
      </w:r>
      <w:r>
        <w:rPr>
          <w:rFonts w:hint="eastAsia" w:ascii="宋体" w:hAnsi="宋体" w:eastAsia="宋体" w:cs="宋体"/>
          <w:color w:val="auto"/>
          <w:sz w:val="24"/>
          <w:szCs w:val="24"/>
          <w:highlight w:val="none"/>
          <w:lang w:eastAsia="zh-CN"/>
        </w:rPr>
        <w:t>成交服务费</w:t>
      </w:r>
      <w:r>
        <w:rPr>
          <w:rFonts w:hint="eastAsia" w:ascii="宋体" w:hAnsi="宋体" w:eastAsia="宋体" w:cs="宋体"/>
          <w:color w:val="auto"/>
          <w:sz w:val="24"/>
          <w:szCs w:val="24"/>
          <w:highlight w:val="none"/>
        </w:rPr>
        <w:t>。</w:t>
      </w:r>
    </w:p>
    <w:p w14:paraId="56438A7E">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630" w:name="_Toc8303"/>
      <w:bookmarkStart w:id="631" w:name="_Toc7049"/>
      <w:bookmarkStart w:id="632" w:name="_Toc8426"/>
      <w:bookmarkStart w:id="633" w:name="_Toc515647795"/>
      <w:bookmarkStart w:id="634" w:name="_Toc24525"/>
      <w:bookmarkStart w:id="635" w:name="_Toc24417"/>
      <w:bookmarkStart w:id="636" w:name="_Toc4947"/>
      <w:bookmarkStart w:id="637" w:name="_Toc16900"/>
      <w:bookmarkStart w:id="638" w:name="_Toc7906"/>
      <w:bookmarkStart w:id="639" w:name="_Toc23330"/>
      <w:bookmarkStart w:id="640" w:name="_Toc6923"/>
      <w:bookmarkStart w:id="641" w:name="_Toc5128"/>
      <w:bookmarkStart w:id="642" w:name="_Toc3053"/>
      <w:bookmarkStart w:id="643" w:name="_Toc8477"/>
      <w:bookmarkStart w:id="644" w:name="_Toc31412"/>
      <w:bookmarkStart w:id="645" w:name="_Toc3013"/>
      <w:r>
        <w:rPr>
          <w:rFonts w:hint="eastAsia" w:ascii="宋体" w:hAnsi="宋体" w:eastAsia="宋体" w:cs="宋体"/>
          <w:b/>
          <w:color w:val="auto"/>
          <w:sz w:val="28"/>
          <w:szCs w:val="28"/>
          <w:highlight w:val="none"/>
          <w:lang w:val="en-US" w:eastAsia="zh-CN"/>
        </w:rPr>
        <w:t>33.政府采购信用担保</w:t>
      </w:r>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p>
    <w:p w14:paraId="7EA17E1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33.1   本项目是否属于信用担保试点范围见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5DF636CF">
      <w:pPr>
        <w:pageBreakBefore w:val="0"/>
        <w:kinsoku/>
        <w:wordWrap/>
        <w:overflowPunct/>
        <w:topLinePunct w:val="0"/>
        <w:bidi w:val="0"/>
        <w:spacing w:line="360" w:lineRule="exact"/>
        <w:ind w:left="850" w:hanging="849" w:hangingChars="354"/>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   如属于政府采购信用担保试点范围内，中小型企业</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可以自由按照财政部门的规定，采用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担保、履约担保和融资担保。</w:t>
      </w:r>
    </w:p>
    <w:p w14:paraId="565DB70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33.2.1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递交的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担保函和履约担保函应符合本</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w:t>
      </w:r>
    </w:p>
    <w:p w14:paraId="4919556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33.2.2 </w:t>
      </w:r>
      <w:r>
        <w:rPr>
          <w:rFonts w:hint="eastAsia" w:ascii="宋体" w:hAnsi="宋体" w:eastAsia="宋体" w:cs="宋体"/>
          <w:color w:val="auto"/>
          <w:sz w:val="24"/>
          <w:szCs w:val="24"/>
          <w:highlight w:val="none"/>
          <w:lang w:eastAsia="zh-CN"/>
        </w:rPr>
        <w:t>成交供应商</w:t>
      </w:r>
      <w:r>
        <w:rPr>
          <w:rFonts w:hint="eastAsia" w:ascii="宋体" w:hAnsi="宋体" w:eastAsia="宋体" w:cs="宋体"/>
          <w:color w:val="auto"/>
          <w:sz w:val="24"/>
          <w:szCs w:val="24"/>
          <w:highlight w:val="none"/>
        </w:rPr>
        <w:t>可以采取融资担保的形式为政府采购项目履约进行融资。</w:t>
      </w:r>
    </w:p>
    <w:p w14:paraId="0AA0E61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33.2.3 合格的政府采购专业信用担保机构名单见</w:t>
      </w:r>
      <w:r>
        <w:rPr>
          <w:rFonts w:hint="eastAsia" w:ascii="宋体" w:hAnsi="宋体" w:eastAsia="宋体" w:cs="宋体"/>
          <w:color w:val="auto"/>
          <w:sz w:val="24"/>
          <w:szCs w:val="24"/>
          <w:highlight w:val="none"/>
          <w:u w:val="single"/>
          <w:lang w:eastAsia="zh-CN"/>
        </w:rPr>
        <w:t>供应商</w:t>
      </w:r>
      <w:r>
        <w:rPr>
          <w:rFonts w:hint="eastAsia" w:ascii="宋体" w:hAnsi="宋体" w:eastAsia="宋体" w:cs="宋体"/>
          <w:color w:val="auto"/>
          <w:sz w:val="24"/>
          <w:szCs w:val="24"/>
          <w:highlight w:val="none"/>
          <w:u w:val="single"/>
        </w:rPr>
        <w:t>须知资料表</w:t>
      </w:r>
      <w:r>
        <w:rPr>
          <w:rFonts w:hint="eastAsia" w:ascii="宋体" w:hAnsi="宋体" w:eastAsia="宋体" w:cs="宋体"/>
          <w:color w:val="auto"/>
          <w:sz w:val="24"/>
          <w:szCs w:val="24"/>
          <w:highlight w:val="none"/>
        </w:rPr>
        <w:t>。</w:t>
      </w:r>
    </w:p>
    <w:p w14:paraId="5CFAF120">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646" w:name="_Toc24458"/>
      <w:bookmarkStart w:id="647" w:name="_Toc31178"/>
      <w:bookmarkStart w:id="648" w:name="_Toc6656"/>
      <w:bookmarkStart w:id="649" w:name="_Toc27009"/>
      <w:bookmarkStart w:id="650" w:name="_Toc2133"/>
      <w:bookmarkStart w:id="651" w:name="_Toc23161"/>
      <w:bookmarkStart w:id="652" w:name="_Toc21125"/>
      <w:bookmarkStart w:id="653" w:name="_Toc23999"/>
      <w:bookmarkStart w:id="654" w:name="_Toc515647796"/>
      <w:bookmarkStart w:id="655" w:name="_Toc29108"/>
      <w:bookmarkStart w:id="656" w:name="_Toc22695"/>
      <w:bookmarkStart w:id="657" w:name="_Toc3656"/>
      <w:bookmarkStart w:id="658" w:name="_Toc9912"/>
      <w:bookmarkStart w:id="659" w:name="_Toc491"/>
      <w:bookmarkStart w:id="660" w:name="_Toc26130"/>
      <w:bookmarkStart w:id="661" w:name="_Toc32534"/>
      <w:r>
        <w:rPr>
          <w:rFonts w:hint="eastAsia" w:ascii="宋体" w:hAnsi="宋体" w:eastAsia="宋体" w:cs="宋体"/>
          <w:b/>
          <w:color w:val="auto"/>
          <w:sz w:val="28"/>
          <w:szCs w:val="28"/>
          <w:highlight w:val="none"/>
          <w:lang w:val="en-US" w:eastAsia="zh-CN"/>
        </w:rPr>
        <w:t>34.廉洁自律规定</w:t>
      </w:r>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p>
    <w:p w14:paraId="16D7918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34.1   采购代理机构工作人员不得以不正当手段获取政府采购代理业务，不得与采购人、供应商恶意串通操纵政府采购活动。</w:t>
      </w:r>
    </w:p>
    <w:p w14:paraId="4AAAA8D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34.2   采购代理机构工作人员不得接受采购人或者供应商组织的宴请、旅游、娱乐，不得收受礼品、现金、有价证券等，不得向采购人或者供应商报销应当由个人承担的费用。</w:t>
      </w:r>
    </w:p>
    <w:p w14:paraId="563727F2">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662" w:name="_Toc10801"/>
      <w:bookmarkStart w:id="663" w:name="_Toc30009"/>
      <w:bookmarkStart w:id="664" w:name="_Toc19584"/>
      <w:bookmarkStart w:id="665" w:name="_Toc12619"/>
      <w:bookmarkStart w:id="666" w:name="_Toc29073"/>
      <w:bookmarkStart w:id="667" w:name="_Toc515647797"/>
      <w:bookmarkStart w:id="668" w:name="_Toc25480"/>
      <w:bookmarkStart w:id="669" w:name="_Toc5069"/>
      <w:bookmarkStart w:id="670" w:name="_Toc29018"/>
      <w:bookmarkStart w:id="671" w:name="_Toc11586"/>
      <w:bookmarkStart w:id="672" w:name="_Toc32555"/>
      <w:bookmarkStart w:id="673" w:name="_Toc3319"/>
      <w:bookmarkStart w:id="674" w:name="_Toc13915"/>
      <w:bookmarkStart w:id="675" w:name="_Toc17079"/>
      <w:bookmarkStart w:id="676" w:name="_Toc19854"/>
      <w:bookmarkStart w:id="677" w:name="_Toc5448"/>
      <w:r>
        <w:rPr>
          <w:rFonts w:hint="eastAsia" w:ascii="宋体" w:hAnsi="宋体" w:eastAsia="宋体" w:cs="宋体"/>
          <w:b/>
          <w:color w:val="auto"/>
          <w:sz w:val="28"/>
          <w:szCs w:val="28"/>
          <w:highlight w:val="none"/>
          <w:lang w:val="en-US" w:eastAsia="zh-CN"/>
        </w:rPr>
        <w:t>35.人员回避</w:t>
      </w:r>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p>
    <w:p w14:paraId="5B1E370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认为采购人员及其相关人员有法律法规所列与其他供应商有利害关系的，可以向采购人或采购代理机构书面提出回避申请，并说明理由。</w:t>
      </w:r>
    </w:p>
    <w:p w14:paraId="02F16787">
      <w:pPr>
        <w:pStyle w:val="12"/>
        <w:tabs>
          <w:tab w:val="left" w:pos="5580"/>
        </w:tabs>
        <w:spacing w:line="240" w:lineRule="atLeast"/>
        <w:jc w:val="left"/>
        <w:outlineLvl w:val="2"/>
        <w:rPr>
          <w:rFonts w:hint="eastAsia" w:ascii="宋体" w:hAnsi="宋体" w:eastAsia="宋体" w:cs="宋体"/>
          <w:b/>
          <w:color w:val="auto"/>
          <w:sz w:val="28"/>
          <w:szCs w:val="28"/>
          <w:highlight w:val="none"/>
          <w:lang w:val="en-US" w:eastAsia="zh-CN"/>
        </w:rPr>
      </w:pPr>
      <w:bookmarkStart w:id="678" w:name="_Toc31362"/>
      <w:bookmarkStart w:id="679" w:name="_Toc29324"/>
      <w:bookmarkStart w:id="680" w:name="_Toc12880"/>
      <w:bookmarkStart w:id="681" w:name="_Toc6387"/>
      <w:bookmarkStart w:id="682" w:name="_Toc24153"/>
      <w:bookmarkStart w:id="683" w:name="_Toc30943"/>
      <w:bookmarkStart w:id="684" w:name="_Toc15205"/>
      <w:bookmarkStart w:id="685" w:name="_Toc5486"/>
      <w:bookmarkStart w:id="686" w:name="_Toc6634"/>
      <w:bookmarkStart w:id="687" w:name="_Toc17040"/>
      <w:bookmarkStart w:id="688" w:name="_Toc7870"/>
      <w:bookmarkStart w:id="689" w:name="_Toc10068"/>
      <w:bookmarkStart w:id="690" w:name="_Toc17295"/>
      <w:r>
        <w:rPr>
          <w:rFonts w:hint="eastAsia" w:ascii="宋体" w:hAnsi="宋体" w:eastAsia="宋体" w:cs="宋体"/>
          <w:b/>
          <w:color w:val="auto"/>
          <w:sz w:val="28"/>
          <w:szCs w:val="28"/>
          <w:highlight w:val="none"/>
          <w:lang w:val="en-US" w:eastAsia="zh-CN"/>
        </w:rPr>
        <w:t>36.</w:t>
      </w:r>
      <w:bookmarkEnd w:id="678"/>
      <w:r>
        <w:rPr>
          <w:rFonts w:hint="eastAsia" w:ascii="宋体" w:hAnsi="宋体" w:eastAsia="宋体" w:cs="宋体"/>
          <w:b/>
          <w:color w:val="auto"/>
          <w:sz w:val="28"/>
          <w:szCs w:val="28"/>
          <w:highlight w:val="none"/>
          <w:lang w:val="en-US" w:eastAsia="zh-CN"/>
        </w:rPr>
        <w:t>质疑与接收</w:t>
      </w:r>
      <w:bookmarkEnd w:id="679"/>
      <w:bookmarkEnd w:id="680"/>
      <w:bookmarkEnd w:id="681"/>
      <w:bookmarkEnd w:id="682"/>
      <w:bookmarkEnd w:id="683"/>
      <w:bookmarkEnd w:id="684"/>
      <w:bookmarkEnd w:id="685"/>
      <w:bookmarkEnd w:id="686"/>
      <w:bookmarkEnd w:id="687"/>
      <w:bookmarkEnd w:id="688"/>
      <w:bookmarkEnd w:id="689"/>
      <w:bookmarkEnd w:id="690"/>
    </w:p>
    <w:p w14:paraId="0D0446F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  供应商认为</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采购</w:t>
      </w:r>
      <w:r>
        <w:rPr>
          <w:rFonts w:hint="eastAsia" w:ascii="宋体" w:hAnsi="宋体" w:eastAsia="宋体" w:cs="宋体"/>
          <w:color w:val="auto"/>
          <w:sz w:val="24"/>
          <w:szCs w:val="24"/>
          <w:highlight w:val="none"/>
        </w:rPr>
        <w:t>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结果使自己的权益受到损害的，可以根据《中华人民共和国政府采购法》、《中华人民共和国政府采购法实施条例》和《政府采购质疑和投诉办法》的有关规定，依法向采购人或其委托的采购代理机构提出质疑。</w:t>
      </w:r>
    </w:p>
    <w:p w14:paraId="1BFFD05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  供应商对本项目提出质疑，必须按照相关法律法规的要求和程序，提供的质疑材料必须具备事实依据和法律依据。质疑函应当包含具体的质疑事项及事实依据，不得进行虚假及恶意质疑，如所提供的质疑材料出现恶意诋毁或与事实不符等现象，我公司将该企业的行为上报相应主管部门。</w:t>
      </w:r>
    </w:p>
    <w:p w14:paraId="7A4CD7D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36.3  投诉的事项应当包含投诉的请求和法律依据，投诉的事项不得超出所质疑事项的范围。投诉人有捏造事实、提供虚假材料、以非法手段取得证明材料的行为之一的，属于虚假、恶意投诉，由财政部门列入不良行为记录名单，禁止其1至3年内参加政府采购活动。证据来源的合法性存在明显疑问，投诉人无法证明其取得方式合法的，视为以非法手段取得证明材料。</w:t>
      </w:r>
    </w:p>
    <w:p w14:paraId="7FC1F3D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36.4 质疑供应商应按照财政部制定的《政府采购质疑函范本》格式（可从财政部官方网站下载）和《政府采购质疑和投诉办法》的要求，在法定质疑期内以纸质形式提出质疑，针对同一采购程序环节的质疑应一次性提出。超出法定质疑期的、重复提出的、分次提出的或内容、形式不符合《政府采购质疑和投诉办法》的，质疑供应商将依法承担不利后果。</w:t>
      </w:r>
    </w:p>
    <w:p w14:paraId="507627A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36.5  采购代理机构质疑函接收部门、联系电话和通讯地址, 见供应商须知资料表。</w:t>
      </w:r>
    </w:p>
    <w:p w14:paraId="47D0056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36.6   供应商认为采购文件、采购过程和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结果使自己的权益受到损害的，可以在知道或者应知其权益受到损害之日起7个工作日内，以书面形式向采购方提出质疑。供应商应知其权益受到损害之日，是指：</w:t>
      </w:r>
    </w:p>
    <w:p w14:paraId="3F1F488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（一）对可以质疑的采购文件提出质疑的，为收到采购文件之日或者采购文件公告期限届满之日；</w:t>
      </w:r>
    </w:p>
    <w:p w14:paraId="77D62BD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（二）对采购过程提出质疑的，为各采购程序环节结束之日；</w:t>
      </w:r>
    </w:p>
    <w:p w14:paraId="536E861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（三）对</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结果提出质疑的，为</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结果公告期限届满之日。</w:t>
      </w:r>
    </w:p>
    <w:p w14:paraId="7FAE293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36.7   供应商在法定质疑期内只能一次性提出针对同一采购程序环节的质疑，否则不予受理。</w:t>
      </w:r>
    </w:p>
    <w:p w14:paraId="3C7F351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36.8   对可以质疑的采购文件提出质疑的，质疑人为参与本项目的报价方或潜在报价方。可质疑的文件为采购公告以及采购文件（包括属于其组成部分的澄清、修改、补充文件和评审标准、合同文本等）。</w:t>
      </w:r>
    </w:p>
    <w:p w14:paraId="3826586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36.9  对采购过程和</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结果提出质疑的，质疑人为直接参与本项目的报价方。采购过程,即从采购项目信息公告发布起到</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结果公告止，包括采购文件的发出、提交响应文件、响应文件开启、评审等各个采购程序环节。</w:t>
      </w:r>
    </w:p>
    <w:p w14:paraId="3A5D1C5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36.10  提出质疑应当符合下列条件：</w:t>
      </w:r>
    </w:p>
    <w:p w14:paraId="1ED1184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（一）质疑主体应当符合有关规定；</w:t>
      </w:r>
    </w:p>
    <w:p w14:paraId="7CD4196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（二）在质疑法定期限内提出；</w:t>
      </w:r>
    </w:p>
    <w:p w14:paraId="3D78299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（三）属于可以提出质疑的政府采购事项受理范围和本项目采购人的管辖权范围；</w:t>
      </w:r>
    </w:p>
    <w:p w14:paraId="0955B54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（四）政府采购法律、法规、规章规定的其他条件。</w:t>
      </w:r>
    </w:p>
    <w:p w14:paraId="4A475A0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36.11  提出质疑应当具有明确的请求和提供必要的证明材料。明确的请求,即质疑人在质疑函中提出的，要求采购方对其予以支持的主张。必要的证明材料,即能够证明质疑人的质疑请求成立的必要材料，包括相关证据、依据和其他有关材料。</w:t>
      </w:r>
    </w:p>
    <w:p w14:paraId="1246B0D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36.12  质疑人所提供的证明材料应当具有真实性、合法性以及与质疑事项的关联性和证明力，否则不能作为认定该质疑事项成立的依据。</w:t>
      </w:r>
    </w:p>
    <w:p w14:paraId="60F5BFCA">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36.13 质疑人提出质疑时应当提交质疑函。质疑函包括下列内容：</w:t>
      </w:r>
    </w:p>
    <w:p w14:paraId="37C9EB1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（一）提出质疑的质疑人的名称、地址、邮编、联系人及联系电话等；</w:t>
      </w:r>
    </w:p>
    <w:p w14:paraId="4E97A3D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（二）质疑项目的名称、编号；</w:t>
      </w:r>
    </w:p>
    <w:p w14:paraId="2EA7B205">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w:t>
      </w:r>
    </w:p>
    <w:p w14:paraId="2E5FB47B">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（四）事实依据和证明材料；</w:t>
      </w:r>
    </w:p>
    <w:p w14:paraId="5AF45FB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（五）法律依据；</w:t>
      </w:r>
    </w:p>
    <w:p w14:paraId="12C1745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（六）提出质疑的日期。</w:t>
      </w:r>
    </w:p>
    <w:p w14:paraId="5F5CA93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质疑函采用实名制。质疑人为自然人的应当由本人签字，并附有效身份证明文件；质疑人为法人或者非法人组织的应当由法定代表人或者负责人签字并加盖公章，并附有效身份证明文件。</w:t>
      </w:r>
    </w:p>
    <w:p w14:paraId="1700C6C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36.14  质疑人可以委托代理人进行质疑。代理人应当提交授权委托书。授权委托书应当载明委托代理的具体权限、期限和相关事项。</w:t>
      </w:r>
    </w:p>
    <w:p w14:paraId="7E66B93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36.15  质疑的审查和受理</w:t>
      </w:r>
    </w:p>
    <w:p w14:paraId="452BCD1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采购方在收到质疑函后应当及时审查是否符合质疑受理条件，对符合质疑受理条件的，及时予以受理。</w:t>
      </w:r>
    </w:p>
    <w:p w14:paraId="0D2224A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36.16  对不符合质疑受理条件的，分别按照下列不同情形予以处理：</w:t>
      </w:r>
    </w:p>
    <w:p w14:paraId="26FCAF7E">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（一）质疑函内容不符合规定的，告知质疑人进行修改并重新提出质疑。修改后质疑事项仍不具体、不明确或者最终递交质疑函的时间超过质疑法定期限的，不予受理；</w:t>
      </w:r>
    </w:p>
    <w:p w14:paraId="66E6A3B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（二）质疑主体不符合有关规定的，告知质疑人不予受理；</w:t>
      </w:r>
    </w:p>
    <w:p w14:paraId="4C556F7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（三）超过质疑法定期限提出质疑的，告知质疑人不予受理；</w:t>
      </w:r>
    </w:p>
    <w:p w14:paraId="0DD9153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（四）对不属于可以提出质疑的政府采购事项提出质疑的，告知质疑人不予受理；</w:t>
      </w:r>
    </w:p>
    <w:p w14:paraId="452C3777">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（五）质疑不属于本项目采购方管辖的，告知质疑人向有管辖权的采购人提出质疑；</w:t>
      </w:r>
    </w:p>
    <w:p w14:paraId="4482F4A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（六）质疑不符合其他条件的，告知质疑人不予受理。</w:t>
      </w:r>
    </w:p>
    <w:p w14:paraId="770B0B6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36.17  质疑的处理和答复</w:t>
      </w:r>
    </w:p>
    <w:p w14:paraId="1CCA60B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36.18  采购方受理质疑后，将及时把质疑函发送给被质疑人，并要求其在一定限期内提交书面答复，同时提供有关证据、依据和相关材料。</w:t>
      </w:r>
    </w:p>
    <w:p w14:paraId="38E18E54">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36.19  对于质疑事项中涉及的问题较多、情况比较复杂的，为了全面查清事实、取得充分的证据，采购方认为有必要时，可以进行调查取证或者组织质证。</w:t>
      </w:r>
    </w:p>
    <w:p w14:paraId="2EEA3DB3">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36.20  对评审过程、</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结果提出质疑的，采购方可以组织原评审委员会协助答复质疑。</w:t>
      </w:r>
    </w:p>
    <w:p w14:paraId="25BEC85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36.21  质疑处理过程中，质疑人书面申请撤回质疑的，将终止质疑处理程序。</w:t>
      </w:r>
    </w:p>
    <w:p w14:paraId="47F5F549">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36.22  质疑人拒绝配合采购方依法对质疑进行调查处理的，采购方将按质疑人自动撤回质疑处理；被质疑人拒绝配合采购方依法对质疑进行调查处理的，采购方将视同其认可质疑事项。</w:t>
      </w:r>
    </w:p>
    <w:p w14:paraId="495AD63C">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36.23  质疑人拒绝配合采购方依法对质疑进行调查处理的，采购方将按质疑人自动撤回质疑处理；被质疑人拒绝配合采购方依法对质疑进行调查处理的，采购方将视同其认可质疑事项。</w:t>
      </w:r>
    </w:p>
    <w:p w14:paraId="47CDB712">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36.24  采购方将在正式受理质疑后7个工作日内作出答复。 </w:t>
      </w:r>
    </w:p>
    <w:p w14:paraId="4755CA8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36.25 质疑答复应当包括下列内容：</w:t>
      </w:r>
    </w:p>
    <w:p w14:paraId="0EB90868">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（一）质疑人的姓名或者名称；</w:t>
      </w:r>
    </w:p>
    <w:p w14:paraId="6BB7F2B6">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（二）收到质疑函的日期、质疑项目名称及编号；</w:t>
      </w:r>
    </w:p>
    <w:p w14:paraId="588523BF">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（三）质疑事项、质疑答复的具体内容、事实依据和法律依据；</w:t>
      </w:r>
    </w:p>
    <w:p w14:paraId="4BBA2390">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（四）告知质疑供应商依法投诉的权利；</w:t>
      </w:r>
    </w:p>
    <w:p w14:paraId="7B98AAFD">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（五）质疑答复人名称；</w:t>
      </w:r>
    </w:p>
    <w:p w14:paraId="5F53F9C1">
      <w:pPr>
        <w:pageBreakBefore w:val="0"/>
        <w:kinsoku/>
        <w:wordWrap/>
        <w:overflowPunct/>
        <w:topLinePunct w:val="0"/>
        <w:bidi w:val="0"/>
        <w:spacing w:line="360" w:lineRule="exact"/>
        <w:ind w:left="900" w:hanging="900" w:hangingChars="375"/>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（六）答复质疑的日期。</w:t>
      </w:r>
    </w:p>
    <w:p w14:paraId="31F5661F">
      <w:pPr>
        <w:pageBreakBefore w:val="0"/>
        <w:kinsoku/>
        <w:wordWrap/>
        <w:overflowPunct/>
        <w:topLinePunct w:val="0"/>
        <w:bidi w:val="0"/>
        <w:spacing w:line="360" w:lineRule="exact"/>
        <w:jc w:val="center"/>
        <w:outlineLvl w:val="9"/>
        <w:rPr>
          <w:rFonts w:hint="eastAsia" w:ascii="宋体" w:hAnsi="宋体" w:eastAsia="宋体" w:cs="宋体"/>
          <w:b/>
          <w:bCs/>
          <w:color w:val="auto"/>
          <w:sz w:val="24"/>
          <w:szCs w:val="24"/>
          <w:highlight w:val="none"/>
        </w:rPr>
      </w:pPr>
      <w:bookmarkStart w:id="691" w:name="_Toc20549"/>
      <w:bookmarkStart w:id="692" w:name="_Toc23411"/>
      <w:bookmarkStart w:id="693" w:name="_Toc27601"/>
      <w:bookmarkStart w:id="694" w:name="_Toc9016"/>
      <w:bookmarkStart w:id="695" w:name="_Toc11297"/>
      <w:bookmarkStart w:id="696" w:name="_Toc1369"/>
      <w:bookmarkStart w:id="697" w:name="_Toc25636"/>
      <w:bookmarkStart w:id="698" w:name="_Toc20088"/>
      <w:bookmarkStart w:id="699" w:name="_Toc7516"/>
      <w:bookmarkStart w:id="700" w:name="_Toc16553"/>
      <w:bookmarkStart w:id="701" w:name="_Toc12088"/>
      <w:bookmarkStart w:id="702" w:name="_Toc8353"/>
      <w:bookmarkStart w:id="703" w:name="_Toc9437"/>
      <w:bookmarkStart w:id="704" w:name="_Toc30093"/>
    </w:p>
    <w:p w14:paraId="1A9D59E4">
      <w:pPr>
        <w:pStyle w:val="12"/>
        <w:tabs>
          <w:tab w:val="left" w:pos="5580"/>
        </w:tabs>
        <w:spacing w:line="240" w:lineRule="atLeast"/>
        <w:jc w:val="left"/>
        <w:outlineLvl w:val="9"/>
        <w:rPr>
          <w:rFonts w:hint="eastAsia" w:ascii="宋体" w:hAnsi="宋体" w:eastAsia="宋体" w:cs="宋体"/>
          <w:b/>
          <w:color w:val="auto"/>
          <w:sz w:val="28"/>
          <w:szCs w:val="28"/>
          <w:highlight w:val="none"/>
          <w:lang w:val="en-US" w:eastAsia="zh-CN"/>
        </w:rPr>
      </w:pPr>
    </w:p>
    <w:p w14:paraId="10078C59">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705" w:name="_Toc28997"/>
      <w:bookmarkStart w:id="706" w:name="_Toc5261"/>
      <w:bookmarkStart w:id="707" w:name="_Toc24408"/>
      <w:r>
        <w:rPr>
          <w:rFonts w:hint="eastAsia" w:ascii="宋体" w:hAnsi="宋体" w:eastAsia="宋体" w:cs="宋体"/>
          <w:b/>
          <w:color w:val="auto"/>
          <w:sz w:val="28"/>
          <w:szCs w:val="28"/>
          <w:highlight w:val="none"/>
          <w:lang w:val="en-US" w:eastAsia="zh-CN"/>
        </w:rPr>
        <w:t>质疑函范本</w:t>
      </w:r>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p>
    <w:p w14:paraId="0BDD68EB">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一、质疑供应商基本信息</w:t>
      </w:r>
    </w:p>
    <w:p w14:paraId="5683EC61">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质疑供应商：</w:t>
      </w:r>
      <w:r>
        <w:rPr>
          <w:rFonts w:hint="eastAsia" w:ascii="宋体" w:hAnsi="宋体" w:eastAsia="宋体" w:cs="宋体"/>
          <w:color w:val="auto"/>
          <w:sz w:val="24"/>
          <w:szCs w:val="24"/>
          <w:highlight w:val="none"/>
          <w:u w:val="dotted"/>
        </w:rPr>
        <w:t xml:space="preserve">                                        </w:t>
      </w:r>
    </w:p>
    <w:p w14:paraId="346ACDBB">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4F5AFA9D">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p>
    <w:p w14:paraId="701931FD">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授权代表：</w:t>
      </w:r>
      <w:r>
        <w:rPr>
          <w:rFonts w:hint="eastAsia" w:ascii="宋体" w:hAnsi="宋体" w:eastAsia="宋体" w:cs="宋体"/>
          <w:color w:val="auto"/>
          <w:sz w:val="24"/>
          <w:szCs w:val="24"/>
          <w:highlight w:val="none"/>
          <w:u w:val="dotted"/>
        </w:rPr>
        <w:t xml:space="preserve">                                          </w:t>
      </w:r>
    </w:p>
    <w:p w14:paraId="6504C7D5">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 xml:space="preserve"> </w:t>
      </w:r>
    </w:p>
    <w:p w14:paraId="77749218">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地址： </w:t>
      </w:r>
      <w:r>
        <w:rPr>
          <w:rFonts w:hint="eastAsia" w:ascii="宋体" w:hAnsi="宋体" w:eastAsia="宋体" w:cs="宋体"/>
          <w:color w:val="auto"/>
          <w:sz w:val="24"/>
          <w:szCs w:val="24"/>
          <w:highlight w:val="none"/>
          <w:u w:val="dotted"/>
        </w:rPr>
        <w:t xml:space="preserve">                        </w:t>
      </w:r>
      <w:r>
        <w:rPr>
          <w:rFonts w:hint="eastAsia" w:ascii="宋体" w:hAnsi="宋体" w:eastAsia="宋体" w:cs="宋体"/>
          <w:color w:val="auto"/>
          <w:sz w:val="24"/>
          <w:szCs w:val="24"/>
          <w:highlight w:val="none"/>
        </w:rPr>
        <w:t>邮编：</w:t>
      </w:r>
      <w:r>
        <w:rPr>
          <w:rFonts w:hint="eastAsia" w:ascii="宋体" w:hAnsi="宋体" w:eastAsia="宋体" w:cs="宋体"/>
          <w:color w:val="auto"/>
          <w:sz w:val="24"/>
          <w:szCs w:val="24"/>
          <w:highlight w:val="none"/>
          <w:u w:val="dotted"/>
        </w:rPr>
        <w:t xml:space="preserve">                                                </w:t>
      </w:r>
    </w:p>
    <w:p w14:paraId="1A96C049">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二、质疑项目基本情况</w:t>
      </w:r>
    </w:p>
    <w:p w14:paraId="34441B32">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质疑项目的名称：</w:t>
      </w:r>
      <w:r>
        <w:rPr>
          <w:rFonts w:hint="eastAsia" w:ascii="宋体" w:hAnsi="宋体" w:eastAsia="宋体" w:cs="宋体"/>
          <w:color w:val="auto"/>
          <w:sz w:val="24"/>
          <w:szCs w:val="24"/>
          <w:highlight w:val="none"/>
          <w:u w:val="dotted"/>
        </w:rPr>
        <w:t xml:space="preserve">                                      </w:t>
      </w:r>
    </w:p>
    <w:p w14:paraId="3EE16AC1">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质疑项目的编号：</w:t>
      </w:r>
      <w:r>
        <w:rPr>
          <w:rFonts w:hint="eastAsia" w:ascii="宋体" w:hAnsi="宋体" w:eastAsia="宋体" w:cs="宋体"/>
          <w:color w:val="auto"/>
          <w:sz w:val="24"/>
          <w:szCs w:val="24"/>
          <w:highlight w:val="none"/>
          <w:u w:val="dotted"/>
        </w:rPr>
        <w:t xml:space="preserve">               </w:t>
      </w:r>
      <w:r>
        <w:rPr>
          <w:rFonts w:hint="eastAsia" w:ascii="宋体" w:hAnsi="宋体" w:cs="宋体"/>
          <w:color w:val="auto"/>
          <w:sz w:val="24"/>
          <w:szCs w:val="24"/>
          <w:highlight w:val="none"/>
          <w:lang w:eastAsia="zh-CN"/>
        </w:rPr>
        <w:t>标项</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dotted"/>
        </w:rPr>
        <w:t xml:space="preserve">                 </w:t>
      </w:r>
    </w:p>
    <w:p w14:paraId="059533D5">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采购人名称：</w:t>
      </w:r>
      <w:r>
        <w:rPr>
          <w:rFonts w:hint="eastAsia" w:ascii="宋体" w:hAnsi="宋体" w:eastAsia="宋体" w:cs="宋体"/>
          <w:color w:val="auto"/>
          <w:sz w:val="24"/>
          <w:szCs w:val="24"/>
          <w:highlight w:val="none"/>
          <w:u w:val="dotted"/>
        </w:rPr>
        <w:t xml:space="preserve">                                         </w:t>
      </w:r>
    </w:p>
    <w:p w14:paraId="405404E4">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采购文件获取日期：</w:t>
      </w:r>
      <w:r>
        <w:rPr>
          <w:rFonts w:hint="eastAsia" w:ascii="宋体" w:hAnsi="宋体" w:eastAsia="宋体" w:cs="宋体"/>
          <w:color w:val="auto"/>
          <w:sz w:val="24"/>
          <w:szCs w:val="24"/>
          <w:highlight w:val="none"/>
          <w:u w:val="dotted"/>
        </w:rPr>
        <w:t xml:space="preserve">                                           </w:t>
      </w:r>
    </w:p>
    <w:p w14:paraId="0313E2BD">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三、质疑事项具体内容</w:t>
      </w:r>
    </w:p>
    <w:p w14:paraId="55A1997F">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质疑事项1：</w:t>
      </w:r>
      <w:r>
        <w:rPr>
          <w:rFonts w:hint="eastAsia" w:ascii="宋体" w:hAnsi="宋体" w:eastAsia="宋体" w:cs="宋体"/>
          <w:color w:val="auto"/>
          <w:sz w:val="24"/>
          <w:szCs w:val="24"/>
          <w:highlight w:val="none"/>
          <w:u w:val="dotted"/>
        </w:rPr>
        <w:t xml:space="preserve">                                         </w:t>
      </w:r>
    </w:p>
    <w:p w14:paraId="49E7D88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事实依据：</w:t>
      </w:r>
      <w:r>
        <w:rPr>
          <w:rFonts w:hint="eastAsia" w:ascii="宋体" w:hAnsi="宋体" w:eastAsia="宋体" w:cs="宋体"/>
          <w:color w:val="auto"/>
          <w:sz w:val="24"/>
          <w:szCs w:val="24"/>
          <w:highlight w:val="none"/>
          <w:u w:val="dotted"/>
        </w:rPr>
        <w:t xml:space="preserve">                                          </w:t>
      </w:r>
    </w:p>
    <w:p w14:paraId="54E8B747">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dotted"/>
        </w:rPr>
        <w:t xml:space="preserve">                                                       </w:t>
      </w:r>
    </w:p>
    <w:p w14:paraId="098B5E16">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法律依据：</w:t>
      </w:r>
      <w:r>
        <w:rPr>
          <w:rFonts w:hint="eastAsia" w:ascii="宋体" w:hAnsi="宋体" w:eastAsia="宋体" w:cs="宋体"/>
          <w:color w:val="auto"/>
          <w:sz w:val="24"/>
          <w:szCs w:val="24"/>
          <w:highlight w:val="none"/>
          <w:u w:val="dotted"/>
        </w:rPr>
        <w:t xml:space="preserve">                                          </w:t>
      </w:r>
    </w:p>
    <w:p w14:paraId="09E5EE5C">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u w:val="dotted"/>
        </w:rPr>
        <w:t xml:space="preserve">                                                     </w:t>
      </w:r>
    </w:p>
    <w:p w14:paraId="36C336F6">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质疑事项2</w:t>
      </w:r>
    </w:p>
    <w:p w14:paraId="550D982F">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p>
    <w:p w14:paraId="4B0612EA">
      <w:pPr>
        <w:pageBreakBefore w:val="0"/>
        <w:kinsoku/>
        <w:wordWrap/>
        <w:overflowPunct/>
        <w:topLinePunct w:val="0"/>
        <w:bidi w:val="0"/>
        <w:adjustRightInd w:val="0"/>
        <w:snapToGrid w:val="0"/>
        <w:spacing w:line="360" w:lineRule="exac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四、与质疑事项相关的质疑请求</w:t>
      </w:r>
    </w:p>
    <w:p w14:paraId="270822C5">
      <w:pPr>
        <w:pageBreakBefore w:val="0"/>
        <w:kinsoku/>
        <w:wordWrap/>
        <w:overflowPunct/>
        <w:topLinePunct w:val="0"/>
        <w:bidi w:val="0"/>
        <w:adjustRightInd w:val="0"/>
        <w:snapToGrid w:val="0"/>
        <w:spacing w:line="360" w:lineRule="exact"/>
        <w:rPr>
          <w:rFonts w:hint="eastAsia" w:ascii="宋体" w:hAnsi="宋体" w:eastAsia="宋体" w:cs="宋体"/>
          <w:color w:val="auto"/>
          <w:sz w:val="24"/>
          <w:szCs w:val="24"/>
          <w:highlight w:val="none"/>
          <w:u w:val="dotted"/>
        </w:rPr>
      </w:pPr>
      <w:r>
        <w:rPr>
          <w:rFonts w:hint="eastAsia" w:ascii="宋体" w:hAnsi="宋体" w:eastAsia="宋体" w:cs="宋体"/>
          <w:color w:val="auto"/>
          <w:sz w:val="24"/>
          <w:szCs w:val="24"/>
          <w:highlight w:val="none"/>
        </w:rPr>
        <w:t>请求：</w:t>
      </w:r>
      <w:r>
        <w:rPr>
          <w:rFonts w:hint="eastAsia" w:ascii="宋体" w:hAnsi="宋体" w:eastAsia="宋体" w:cs="宋体"/>
          <w:color w:val="auto"/>
          <w:sz w:val="24"/>
          <w:szCs w:val="24"/>
          <w:highlight w:val="none"/>
          <w:u w:val="dotted"/>
        </w:rPr>
        <w:t xml:space="preserve">                                               </w:t>
      </w:r>
    </w:p>
    <w:p w14:paraId="5C5DADDC">
      <w:pPr>
        <w:pageBreakBefore w:val="0"/>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签字(签章)：                   公章：                      </w:t>
      </w:r>
    </w:p>
    <w:p w14:paraId="280C3579">
      <w:pPr>
        <w:pageBreakBefore w:val="0"/>
        <w:kinsoku/>
        <w:wordWrap/>
        <w:overflowPunct/>
        <w:topLinePunct w:val="0"/>
        <w:bidi w:val="0"/>
        <w:spacing w:line="360" w:lineRule="exac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日期：    </w:t>
      </w:r>
    </w:p>
    <w:p w14:paraId="021CC487">
      <w:pPr>
        <w:pageBreakBefore w:val="0"/>
        <w:kinsoku/>
        <w:wordWrap/>
        <w:overflowPunct/>
        <w:topLinePunct w:val="0"/>
        <w:bidi w:val="0"/>
        <w:spacing w:line="360" w:lineRule="exact"/>
        <w:rPr>
          <w:rFonts w:hint="eastAsia" w:ascii="宋体" w:hAnsi="宋体" w:eastAsia="宋体" w:cs="宋体"/>
          <w:b/>
          <w:color w:val="auto"/>
          <w:sz w:val="24"/>
          <w:szCs w:val="24"/>
          <w:highlight w:val="none"/>
        </w:rPr>
      </w:pPr>
    </w:p>
    <w:p w14:paraId="051C36A6">
      <w:pPr>
        <w:pageBreakBefore w:val="0"/>
        <w:kinsoku/>
        <w:wordWrap/>
        <w:overflowPunct/>
        <w:topLinePunct w:val="0"/>
        <w:bidi w:val="0"/>
        <w:spacing w:line="360" w:lineRule="exact"/>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质疑函制作说明：</w:t>
      </w:r>
    </w:p>
    <w:p w14:paraId="39FF994A">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1.供应商提出质疑时，应提交质疑函和必要的证明材料。</w:t>
      </w:r>
    </w:p>
    <w:p w14:paraId="1B74D00D">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2.质疑供应商若委托代理人进行质疑的，质疑函应按要求列明“授权代表”的有关内容，并在附件中提交由质疑</w:t>
      </w:r>
      <w:r>
        <w:rPr>
          <w:rFonts w:hint="eastAsia" w:ascii="宋体" w:hAnsi="宋体" w:eastAsia="宋体" w:cs="宋体"/>
          <w:color w:val="auto"/>
          <w:kern w:val="0"/>
          <w:sz w:val="24"/>
          <w:szCs w:val="24"/>
          <w:highlight w:val="none"/>
        </w:rPr>
        <w:t>供应商签署的授权委托书。授权委托书应载明代理人的姓名或者名称、代理事项、具体权限、期限和相关事项。</w:t>
      </w:r>
    </w:p>
    <w:p w14:paraId="2A5AC8DF">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3.质疑供应商若对项目的某一分包进行质疑，质疑函中应列明具体分包号。</w:t>
      </w:r>
    </w:p>
    <w:p w14:paraId="7828BB74">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4.质疑函的质疑事项应具体、明确，并有必要的事实依据和法律依据。</w:t>
      </w:r>
    </w:p>
    <w:p w14:paraId="39820A58">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5.质疑函的质疑请求应与质疑事项相关。</w:t>
      </w:r>
    </w:p>
    <w:p w14:paraId="57B6B48A">
      <w:pPr>
        <w:pageBreakBefore w:val="0"/>
        <w:widowControl/>
        <w:kinsoku/>
        <w:wordWrap/>
        <w:overflowPunct/>
        <w:topLinePunct w:val="0"/>
        <w:bidi w:val="0"/>
        <w:spacing w:line="360" w:lineRule="exact"/>
        <w:ind w:firstLine="480" w:firstLineChars="200"/>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6.质疑供应商为自然人的，质疑函应由本人签字；质疑供应商为法人或者其他组织的，质疑函应由法定代表人、主要负责人，或者其授权代表签字或者盖章，并加盖公章。</w:t>
      </w:r>
    </w:p>
    <w:p w14:paraId="4482CA56">
      <w:pPr>
        <w:rPr>
          <w:rFonts w:hint="eastAsia" w:ascii="宋体" w:hAnsi="宋体" w:cs="宋体"/>
          <w:b/>
          <w:sz w:val="24"/>
        </w:rPr>
      </w:pPr>
      <w:r>
        <w:rPr>
          <w:rFonts w:hint="eastAsia" w:ascii="宋体" w:hAnsi="宋体" w:cs="宋体"/>
          <w:b/>
          <w:sz w:val="24"/>
        </w:rPr>
        <w:br w:type="page"/>
      </w:r>
    </w:p>
    <w:p w14:paraId="492611D9">
      <w:pPr>
        <w:pStyle w:val="7"/>
        <w:outlineLvl w:val="0"/>
        <w:rPr>
          <w:rFonts w:hint="eastAsia" w:eastAsia="宋体"/>
          <w:sz w:val="32"/>
          <w:szCs w:val="32"/>
          <w:lang w:eastAsia="zh-CN"/>
        </w:rPr>
      </w:pPr>
      <w:bookmarkStart w:id="708" w:name="_Toc16508"/>
      <w:r>
        <w:rPr>
          <w:rFonts w:hint="eastAsia"/>
          <w:sz w:val="32"/>
          <w:szCs w:val="32"/>
        </w:rPr>
        <w:t>第</w:t>
      </w:r>
      <w:r>
        <w:rPr>
          <w:rFonts w:hint="eastAsia"/>
          <w:sz w:val="32"/>
          <w:szCs w:val="32"/>
          <w:lang w:val="en-US" w:eastAsia="zh-CN"/>
        </w:rPr>
        <w:t>4</w:t>
      </w:r>
      <w:r>
        <w:rPr>
          <w:rFonts w:hint="eastAsia"/>
          <w:sz w:val="32"/>
          <w:szCs w:val="32"/>
        </w:rPr>
        <w:t>章 采购需求及项目要求</w:t>
      </w:r>
      <w:bookmarkEnd w:id="708"/>
    </w:p>
    <w:p w14:paraId="284C8CCD">
      <w:pPr>
        <w:rPr>
          <w:rFonts w:hint="eastAsia" w:ascii="宋体" w:hAnsi="宋体" w:cs="宋体"/>
        </w:rPr>
      </w:pPr>
    </w:p>
    <w:p w14:paraId="74C8684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outlineLvl w:val="1"/>
        <w:rPr>
          <w:rFonts w:hint="eastAsia" w:ascii="宋体" w:hAnsi="宋体" w:eastAsia="宋体" w:cs="宋体"/>
          <w:b/>
          <w:bCs/>
          <w:sz w:val="24"/>
          <w:szCs w:val="24"/>
          <w:lang w:val="en-US" w:eastAsia="zh-CN"/>
        </w:rPr>
      </w:pPr>
      <w:bookmarkStart w:id="709" w:name="_Toc23496"/>
      <w:bookmarkEnd w:id="709"/>
      <w:bookmarkStart w:id="710" w:name="_Toc4196"/>
      <w:r>
        <w:rPr>
          <w:rFonts w:hint="eastAsia" w:ascii="宋体" w:hAnsi="宋体" w:eastAsia="宋体" w:cs="宋体"/>
          <w:b/>
          <w:bCs/>
          <w:sz w:val="24"/>
          <w:szCs w:val="24"/>
          <w:lang w:val="en-US" w:eastAsia="zh-CN"/>
        </w:rPr>
        <w:t>一、项目名称</w:t>
      </w:r>
      <w:bookmarkEnd w:id="710"/>
    </w:p>
    <w:p w14:paraId="6979E9F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sz w:val="24"/>
          <w:szCs w:val="24"/>
          <w:lang w:val="en-US" w:eastAsia="zh-CN"/>
        </w:rPr>
      </w:pPr>
      <w:r>
        <w:rPr>
          <w:rFonts w:hint="eastAsia" w:ascii="宋体" w:hAnsi="宋体" w:cs="宋体"/>
          <w:sz w:val="24"/>
          <w:highlight w:val="none"/>
          <w:lang w:eastAsia="zh-CN"/>
        </w:rPr>
        <w:t>2026年莎车县英吾斯塘乡壮大村集体经济项目</w:t>
      </w:r>
    </w:p>
    <w:p w14:paraId="286D4FD8">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outlineLvl w:val="1"/>
        <w:rPr>
          <w:rFonts w:hint="eastAsia" w:ascii="宋体" w:hAnsi="宋体" w:eastAsia="宋体" w:cs="宋体"/>
          <w:b/>
          <w:bCs/>
          <w:sz w:val="24"/>
          <w:szCs w:val="24"/>
          <w:lang w:val="en-US" w:eastAsia="zh-CN"/>
        </w:rPr>
      </w:pPr>
      <w:bookmarkStart w:id="711" w:name="_Toc11155"/>
      <w:r>
        <w:rPr>
          <w:rFonts w:hint="eastAsia" w:ascii="宋体" w:hAnsi="宋体" w:eastAsia="宋体" w:cs="宋体"/>
          <w:b/>
          <w:bCs/>
          <w:sz w:val="24"/>
          <w:szCs w:val="24"/>
          <w:lang w:val="en-US" w:eastAsia="zh-CN"/>
        </w:rPr>
        <w:t>二、项目建设规模及主要建设内容</w:t>
      </w:r>
      <w:bookmarkEnd w:id="711"/>
    </w:p>
    <w:p w14:paraId="4450776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sz w:val="24"/>
          <w:szCs w:val="24"/>
          <w:highlight w:val="yellow"/>
          <w:lang w:val="en-US" w:eastAsia="zh-CN"/>
        </w:rPr>
      </w:pPr>
      <w:r>
        <w:rPr>
          <w:rFonts w:hint="eastAsia" w:ascii="宋体" w:hAnsi="宋体" w:cs="宋体"/>
          <w:sz w:val="24"/>
          <w:highlight w:val="none"/>
        </w:rPr>
        <w:t>新建450平方米钢结构厂房1座，并配套水电暖、消防设施。</w:t>
      </w:r>
      <w:r>
        <w:rPr>
          <w:rFonts w:hint="eastAsia" w:ascii="宋体" w:hAnsi="宋体" w:eastAsia="宋体" w:cs="宋体"/>
          <w:sz w:val="24"/>
          <w:szCs w:val="24"/>
          <w:highlight w:val="none"/>
          <w:lang w:val="en-US" w:eastAsia="zh-CN"/>
        </w:rPr>
        <w:t>（</w:t>
      </w:r>
      <w:r>
        <w:rPr>
          <w:rFonts w:hint="eastAsia" w:ascii="宋体" w:hAnsi="宋体" w:cs="宋体"/>
          <w:sz w:val="24"/>
          <w:highlight w:val="none"/>
          <w:lang w:eastAsia="zh-CN"/>
        </w:rPr>
        <w:t>具体内容详见</w:t>
      </w:r>
      <w:r>
        <w:rPr>
          <w:rFonts w:hint="eastAsia" w:ascii="宋体" w:hAnsi="宋体" w:cs="宋体"/>
          <w:sz w:val="24"/>
          <w:highlight w:val="none"/>
        </w:rPr>
        <w:t>工程量清单</w:t>
      </w:r>
      <w:r>
        <w:rPr>
          <w:rFonts w:hint="eastAsia" w:ascii="宋体" w:hAnsi="宋体" w:eastAsia="宋体" w:cs="宋体"/>
          <w:sz w:val="24"/>
          <w:szCs w:val="24"/>
          <w:highlight w:val="none"/>
          <w:lang w:val="en-US" w:eastAsia="zh-CN"/>
        </w:rPr>
        <w:t>)</w:t>
      </w:r>
    </w:p>
    <w:p w14:paraId="5DBFEEF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1.工程质量标准</w:t>
      </w:r>
    </w:p>
    <w:p w14:paraId="2ADA9ADA">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合格，本磋商文件提出的是最低限度的要求，响应供应商的方案应达到或优于本磋商文件要求，符合现行国家有关工程施工验收规范 要求并达合格标准。 </w:t>
      </w:r>
    </w:p>
    <w:p w14:paraId="1082A9F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2.工程质量要求</w:t>
      </w:r>
    </w:p>
    <w:p w14:paraId="6625B8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施工方必须根据甲方提供的建设地点保质保量地进行施工，本工程的工程质量应符合国家工程质量验收标准合格以上要求，成交供应商应按现行的国家施工验收规范和质量评定标准和工程量清单要求等技术文件为依据施工。如工程质量达不到约定合格条件的部分，一经发现，可要求成交供应商返工，直至达到合同约定条件，并由成交供应商承担全部返工费用。 返工后仍达不到约定条件，应继续返工到约定条件或合格标准。 </w:t>
      </w:r>
    </w:p>
    <w:p w14:paraId="0469D83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3.施工材料要求</w:t>
      </w:r>
    </w:p>
    <w:p w14:paraId="6C62AFE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用于本工程的主要材料品质不得低于工程量清单中对材料设备所规定的技术参数等各项指标自行采购材料设备，质量应符合国家和行业标准、经采购人确认，才能进行使用和安装，并同时提供相关质量证件。如若成交供应商未按此采购材料，将视为违约，所造成的损失由乙方承担。如若施工单位未按此采购材料，将视为违约，所造成的损失由施工单位承担。 </w:t>
      </w:r>
    </w:p>
    <w:p w14:paraId="5FF6BB9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4.工程安全要求</w:t>
      </w:r>
    </w:p>
    <w:p w14:paraId="0E4411D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严格执行《中华人民共和国安全生产法》、《中华人民共和国建筑法》、《建设工程安全生产管理条例》、《安全生产许可证条例》等法律和法规的规定。 </w:t>
      </w:r>
    </w:p>
    <w:p w14:paraId="2B1EC44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5.工程量清单投标报价规定</w:t>
      </w:r>
    </w:p>
    <w:p w14:paraId="46700BB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①</w:t>
      </w:r>
      <w:r>
        <w:rPr>
          <w:rFonts w:hint="eastAsia" w:ascii="宋体" w:hAnsi="宋体" w:eastAsia="宋体" w:cs="宋体"/>
          <w:b w:val="0"/>
          <w:bCs w:val="0"/>
          <w:color w:val="auto"/>
          <w:kern w:val="0"/>
          <w:sz w:val="24"/>
          <w:szCs w:val="24"/>
          <w:highlight w:val="none"/>
          <w:lang w:val="en-US" w:eastAsia="zh-CN" w:bidi="ar"/>
        </w:rPr>
        <w:t>清单应与投标人须知、合同通用条款、合同专用条款、设计图纸、规范要求、图纸答疑、设计变更等文件及中华人民共和国国家标准GB50500-2013《建设工程工程量清单计价规范》结合起来理解或解释；</w:t>
      </w:r>
    </w:p>
    <w:p w14:paraId="37C1AF1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投标人报价时不允许对工程项目、数量进行调整和改动，结算时按中标的综合单价进行结算与支付。其他变更项目，按合同条款确定的单价进行结算与支付；</w:t>
      </w:r>
    </w:p>
    <w:p w14:paraId="57BD085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③</w:t>
      </w:r>
      <w:r>
        <w:rPr>
          <w:rFonts w:hint="eastAsia" w:ascii="宋体" w:hAnsi="宋体" w:eastAsia="宋体" w:cs="宋体"/>
          <w:b w:val="0"/>
          <w:bCs w:val="0"/>
          <w:color w:val="auto"/>
          <w:kern w:val="0"/>
          <w:sz w:val="24"/>
          <w:szCs w:val="24"/>
          <w:highlight w:val="none"/>
          <w:lang w:val="en-US" w:eastAsia="zh-CN" w:bidi="ar"/>
        </w:rPr>
        <w:t>工程量清单中所填入的综合单价为按技术规范与技术要求完成一个规定计量单位的工程所需的人工费、材料费、机械使用费、管理费和利润，按技术规范要求完成一个规定计量单位的工程量所需的其他一切费用，并包括工程量清单项目中没有体现的但施工过程中又必须发生的工程内容所需的费用。除非投标人在措施项目清单中列出，否则视为已包含在工程量清单各项目的综合单价中；</w:t>
      </w:r>
    </w:p>
    <w:p w14:paraId="371B44C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④</w:t>
      </w:r>
      <w:r>
        <w:rPr>
          <w:rFonts w:hint="eastAsia" w:ascii="宋体" w:hAnsi="宋体" w:eastAsia="宋体" w:cs="宋体"/>
          <w:b w:val="0"/>
          <w:bCs w:val="0"/>
          <w:color w:val="auto"/>
          <w:kern w:val="0"/>
          <w:sz w:val="24"/>
          <w:szCs w:val="24"/>
          <w:highlight w:val="none"/>
          <w:lang w:val="en-US" w:eastAsia="zh-CN" w:bidi="ar"/>
        </w:rPr>
        <w:t>清单中的每一项目必须填入综合单价和合价，投标人没有填入综合单价和合价的项目，其费用均视为已包含在工程量清单的其他单价和合价中；</w:t>
      </w:r>
    </w:p>
    <w:p w14:paraId="7D0ACB5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⑤</w:t>
      </w:r>
      <w:r>
        <w:rPr>
          <w:rFonts w:hint="eastAsia" w:ascii="宋体" w:hAnsi="宋体" w:eastAsia="宋体" w:cs="宋体"/>
          <w:b w:val="0"/>
          <w:bCs w:val="0"/>
          <w:color w:val="auto"/>
          <w:kern w:val="0"/>
          <w:sz w:val="24"/>
          <w:szCs w:val="24"/>
          <w:highlight w:val="none"/>
          <w:lang w:val="en-US" w:eastAsia="zh-CN" w:bidi="ar"/>
        </w:rPr>
        <w:t>措施项目费是为完成工程项目施工，发生于该工程施工前和施工过程中技术、生活、安全等方面的非工程实体项目所产生的全部措施费用。清单中所列措施项目是招标人根据一般情况所列的项目，投标人根据实际措施不同时，可根据具体列项内容自行报价。中标后，除合同条款没有明确约定的，工程措施项目费将以总价包干，结算时不再进行调整；</w:t>
      </w:r>
    </w:p>
    <w:p w14:paraId="709C9A76">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⑥</w:t>
      </w:r>
      <w:r>
        <w:rPr>
          <w:rFonts w:hint="eastAsia" w:ascii="宋体" w:hAnsi="宋体" w:eastAsia="宋体" w:cs="宋体"/>
          <w:b w:val="0"/>
          <w:bCs w:val="0"/>
          <w:color w:val="auto"/>
          <w:kern w:val="0"/>
          <w:sz w:val="24"/>
          <w:szCs w:val="24"/>
          <w:highlight w:val="none"/>
          <w:lang w:val="en-US" w:eastAsia="zh-CN" w:bidi="ar"/>
        </w:rPr>
        <w:t>招标人提供的工程量清单，是投标人投标报价的基础，投标人所填写的工程量清单中的综合单价作为签订合同、拨付工程进度款和工程结算的依据。中标人由于自身原因造成工程量的增加，均不予以调增；</w:t>
      </w:r>
    </w:p>
    <w:p w14:paraId="05AB8C3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⑦</w:t>
      </w:r>
      <w:r>
        <w:rPr>
          <w:rFonts w:hint="eastAsia" w:ascii="宋体" w:hAnsi="宋体" w:eastAsia="宋体" w:cs="宋体"/>
          <w:b w:val="0"/>
          <w:bCs w:val="0"/>
          <w:color w:val="auto"/>
          <w:kern w:val="0"/>
          <w:sz w:val="24"/>
          <w:szCs w:val="24"/>
          <w:highlight w:val="none"/>
          <w:lang w:val="en-US" w:eastAsia="zh-CN" w:bidi="ar"/>
        </w:rPr>
        <w:t>工程量清单中的项目名称、项目特征所描述内容为主要内容，投标人投标报价时应详细阅读施工图纸及根据有关规范的要求等，综合单价为完成该项目的全部工作内容。本工程量清单叙述不到位的，由投标人根据施工图纸、施工组织设计和相关施工规范等内容考虑在报价中；</w:t>
      </w:r>
    </w:p>
    <w:p w14:paraId="5B03BF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⑧</w:t>
      </w:r>
      <w:r>
        <w:rPr>
          <w:rFonts w:hint="eastAsia" w:ascii="宋体" w:hAnsi="宋体" w:eastAsia="宋体" w:cs="宋体"/>
          <w:b w:val="0"/>
          <w:bCs w:val="0"/>
          <w:color w:val="auto"/>
          <w:kern w:val="0"/>
          <w:sz w:val="24"/>
          <w:szCs w:val="24"/>
          <w:highlight w:val="none"/>
          <w:lang w:val="en-US" w:eastAsia="zh-CN" w:bidi="ar"/>
        </w:rPr>
        <w:t>投标人必须依据施工图纸及相关规范认真核对清单项目和工程量。如有疑问，图纸答疑时应及时提出，并与清单编制单位核对。若未提出疑问或不与清单编制单位核对，视为接受，结算时一律不予调整；</w:t>
      </w:r>
    </w:p>
    <w:p w14:paraId="3F40BD4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注：响应供应商必须按照本项目提供的工程量清单编制响应文件内的响应报价书。响应供应商不得任意上浮、下浮或多报、少报、漏报。否则按无效响应处理。</w:t>
      </w:r>
    </w:p>
    <w:p w14:paraId="176D257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6.文明施工要求</w:t>
      </w:r>
    </w:p>
    <w:p w14:paraId="2DE1B73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文明施工根据文明施工标准化工地要求和安全文明施工规范，实现达标工地。施工现场平面布置在规定的施工用地范围内。材料、设备堆放整齐，保持场地卫生，做好现场环境保护工作，防止水污染、大气污染与噪声污染。务必每天及时清理场地，严禁直接在地面上、楼面上拌水泥砂浆、涂料等，应先垫铁皮等垫子。保护财物，若有损坏则照价赔偿。安全文明施工，在工程施工、竣工、交付及修补任何缺陷的过程中，承包人应当始终遵守国家和地方有关安全生产的法律、法规、规范、标准和规程等，履行其安全施工职责</w:t>
      </w:r>
      <w:r>
        <w:rPr>
          <w:rFonts w:hint="eastAsia" w:ascii="宋体" w:hAnsi="宋体" w:cs="宋体"/>
          <w:b w:val="0"/>
          <w:bCs w:val="0"/>
          <w:color w:val="auto"/>
          <w:kern w:val="0"/>
          <w:sz w:val="24"/>
          <w:szCs w:val="24"/>
          <w:highlight w:val="none"/>
          <w:lang w:val="en-US" w:eastAsia="zh-CN" w:bidi="ar"/>
        </w:rPr>
        <w:t>。</w:t>
      </w:r>
      <w:r>
        <w:rPr>
          <w:rFonts w:hint="eastAsia" w:ascii="宋体" w:hAnsi="宋体" w:eastAsia="宋体" w:cs="宋体"/>
          <w:b w:val="0"/>
          <w:bCs w:val="0"/>
          <w:color w:val="auto"/>
          <w:kern w:val="0"/>
          <w:sz w:val="24"/>
          <w:szCs w:val="24"/>
          <w:highlight w:val="none"/>
          <w:lang w:val="en-US" w:eastAsia="zh-CN" w:bidi="ar"/>
        </w:rPr>
        <w:t xml:space="preserve"> </w:t>
      </w:r>
    </w:p>
    <w:p w14:paraId="7EE3B94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7.其他要求</w:t>
      </w:r>
    </w:p>
    <w:p w14:paraId="64E6FBDC">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①</w:t>
      </w:r>
      <w:r>
        <w:rPr>
          <w:rFonts w:hint="eastAsia" w:ascii="宋体" w:hAnsi="宋体" w:eastAsia="宋体" w:cs="宋体"/>
          <w:b w:val="0"/>
          <w:bCs w:val="0"/>
          <w:color w:val="auto"/>
          <w:kern w:val="0"/>
          <w:sz w:val="24"/>
          <w:szCs w:val="24"/>
          <w:highlight w:val="none"/>
          <w:lang w:val="en-US" w:eastAsia="zh-CN" w:bidi="ar"/>
        </w:rPr>
        <w:t>在施工过程中尽量降低因施工噪音、交通和环境等因素（大气、水、固体废物污染）对周边市民群众的居住及出行和环境造成的影响。</w:t>
      </w:r>
    </w:p>
    <w:p w14:paraId="24F47D25">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②</w:t>
      </w:r>
      <w:r>
        <w:rPr>
          <w:rFonts w:hint="eastAsia" w:ascii="宋体" w:hAnsi="宋体" w:eastAsia="宋体" w:cs="宋体"/>
          <w:b w:val="0"/>
          <w:bCs w:val="0"/>
          <w:color w:val="auto"/>
          <w:kern w:val="0"/>
          <w:sz w:val="24"/>
          <w:szCs w:val="24"/>
          <w:highlight w:val="none"/>
          <w:lang w:val="en-US" w:eastAsia="zh-CN" w:bidi="ar"/>
        </w:rPr>
        <w:t xml:space="preserve">保持日常清洁卫生及降尘符合环境卫生管理的有关规定和安全文明施工标准化管理的要求。 </w:t>
      </w:r>
    </w:p>
    <w:p w14:paraId="268CE42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微软雅黑" w:hAnsi="微软雅黑" w:eastAsia="微软雅黑" w:cs="微软雅黑"/>
          <w:b w:val="0"/>
          <w:bCs w:val="0"/>
          <w:color w:val="auto"/>
          <w:kern w:val="0"/>
          <w:sz w:val="24"/>
          <w:szCs w:val="24"/>
          <w:highlight w:val="none"/>
          <w:lang w:val="en-US" w:eastAsia="zh-CN" w:bidi="ar"/>
        </w:rPr>
        <w:t>③</w:t>
      </w:r>
      <w:r>
        <w:rPr>
          <w:rFonts w:hint="eastAsia" w:ascii="宋体" w:hAnsi="宋体" w:eastAsia="宋体" w:cs="宋体"/>
          <w:b w:val="0"/>
          <w:bCs w:val="0"/>
          <w:color w:val="auto"/>
          <w:kern w:val="0"/>
          <w:sz w:val="24"/>
          <w:szCs w:val="24"/>
          <w:highlight w:val="none"/>
          <w:lang w:val="en-US" w:eastAsia="zh-CN" w:bidi="ar"/>
        </w:rPr>
        <w:t xml:space="preserve">同时应办理有关施工现场交通、环卫、水土保持、固体废物污染和施工噪音，安全生产等管理规定手续，并承担有关费用。成交供应商应承担因自身原因违反有关规定造成的损失和罚款。 </w:t>
      </w:r>
    </w:p>
    <w:p w14:paraId="26DC8C77">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注：工程量清单及图纸已与采购文件做为附件一并上传至政采云平台，请供应商及时领取下载。</w:t>
      </w:r>
      <w:r>
        <w:rPr>
          <w:rFonts w:hint="eastAsia" w:ascii="宋体" w:hAnsi="宋体" w:eastAsia="宋体" w:cs="宋体"/>
          <w:b w:val="0"/>
          <w:bCs w:val="0"/>
          <w:color w:val="auto"/>
          <w:kern w:val="0"/>
          <w:sz w:val="24"/>
          <w:szCs w:val="24"/>
          <w:highlight w:val="none"/>
          <w:lang w:val="en-US" w:eastAsia="zh-CN" w:bidi="ar"/>
        </w:rPr>
        <w:t xml:space="preserve"> </w:t>
      </w:r>
    </w:p>
    <w:p w14:paraId="79A02ABE">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9"/>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各供应商编制预算时不得改变磋商文件提供的工程量清单，不得增项减项。否则视为不响应采购文件实质性要求。</w:t>
      </w:r>
    </w:p>
    <w:p w14:paraId="2E70457D">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textAlignment w:val="auto"/>
        <w:outlineLvl w:val="1"/>
        <w:rPr>
          <w:rFonts w:hint="eastAsia" w:ascii="宋体" w:hAnsi="宋体" w:eastAsia="宋体" w:cs="宋体"/>
          <w:b/>
          <w:bCs/>
          <w:color w:val="auto"/>
          <w:kern w:val="0"/>
          <w:sz w:val="24"/>
          <w:szCs w:val="24"/>
          <w:highlight w:val="none"/>
          <w:lang w:val="en-US" w:eastAsia="zh-CN" w:bidi="ar"/>
        </w:rPr>
      </w:pPr>
      <w:bookmarkStart w:id="712" w:name="_Toc22149"/>
      <w:r>
        <w:rPr>
          <w:rFonts w:hint="eastAsia" w:ascii="宋体" w:hAnsi="宋体" w:eastAsia="宋体" w:cs="宋体"/>
          <w:b/>
          <w:bCs/>
          <w:sz w:val="24"/>
          <w:szCs w:val="24"/>
          <w:lang w:val="en-US" w:eastAsia="zh-CN"/>
        </w:rPr>
        <w:t>三、商务要求</w:t>
      </w:r>
      <w:bookmarkEnd w:id="712"/>
      <w:r>
        <w:rPr>
          <w:rFonts w:hint="eastAsia" w:ascii="宋体" w:hAnsi="宋体" w:eastAsia="宋体" w:cs="宋体"/>
          <w:b/>
          <w:bCs/>
          <w:color w:val="auto"/>
          <w:kern w:val="0"/>
          <w:sz w:val="24"/>
          <w:szCs w:val="24"/>
          <w:highlight w:val="none"/>
          <w:lang w:val="en-US" w:eastAsia="zh-CN" w:bidi="ar"/>
        </w:rPr>
        <w:t xml:space="preserve"> </w:t>
      </w:r>
    </w:p>
    <w:p w14:paraId="1D2EFAA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1.工期：</w:t>
      </w:r>
    </w:p>
    <w:p w14:paraId="35C3C9A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建设工期为90日历天（具体开竣工日期以签订合同为准）；</w:t>
      </w:r>
    </w:p>
    <w:p w14:paraId="1F43422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2"/>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2.建设地点</w:t>
      </w:r>
      <w:r>
        <w:rPr>
          <w:rFonts w:hint="eastAsia" w:ascii="宋体" w:hAnsi="宋体" w:eastAsia="宋体" w:cs="宋体"/>
          <w:b w:val="0"/>
          <w:bCs w:val="0"/>
          <w:color w:val="auto"/>
          <w:kern w:val="0"/>
          <w:sz w:val="24"/>
          <w:szCs w:val="24"/>
          <w:highlight w:val="none"/>
          <w:lang w:val="en-US" w:eastAsia="zh-CN" w:bidi="ar"/>
        </w:rPr>
        <w:t>：</w:t>
      </w:r>
    </w:p>
    <w:p w14:paraId="123EC641">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sz w:val="24"/>
          <w:szCs w:val="24"/>
          <w:lang w:val="en-US" w:eastAsia="zh-CN"/>
        </w:rPr>
        <w:t>莎车县英吾斯塘乡兰干(9)村。</w:t>
      </w:r>
      <w:r>
        <w:rPr>
          <w:rFonts w:hint="eastAsia" w:ascii="宋体" w:hAnsi="宋体" w:eastAsia="宋体" w:cs="宋体"/>
          <w:b w:val="0"/>
          <w:bCs w:val="0"/>
          <w:color w:val="auto"/>
          <w:kern w:val="0"/>
          <w:sz w:val="24"/>
          <w:szCs w:val="24"/>
          <w:highlight w:val="none"/>
          <w:lang w:val="en-US" w:eastAsia="zh-CN" w:bidi="ar"/>
        </w:rPr>
        <w:t xml:space="preserve"> </w:t>
      </w:r>
    </w:p>
    <w:p w14:paraId="258BA129">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3.付款条件（进度和方式）：</w:t>
      </w:r>
    </w:p>
    <w:p w14:paraId="4A3A0942">
      <w:pPr>
        <w:keepNext w:val="0"/>
        <w:keepLines w:val="0"/>
        <w:pageBreakBefore w:val="0"/>
        <w:widowControl w:val="0"/>
        <w:numPr>
          <w:ilvl w:val="0"/>
          <w:numId w:val="0"/>
        </w:numPr>
        <w:kinsoku/>
        <w:wordWrap/>
        <w:overflowPunct/>
        <w:topLinePunct w:val="0"/>
        <w:autoSpaceDE/>
        <w:autoSpaceDN/>
        <w:bidi w:val="0"/>
        <w:adjustRightInd/>
        <w:snapToGrid/>
        <w:spacing w:line="480" w:lineRule="auto"/>
        <w:ind w:firstLine="480" w:firstLineChars="200"/>
        <w:textAlignment w:val="auto"/>
        <w:outlineLvl w:val="9"/>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color w:val="auto"/>
          <w:sz w:val="24"/>
          <w:highlight w:val="none"/>
          <w:lang w:val="en-US" w:eastAsia="zh-CN"/>
        </w:rPr>
        <w:t>缴纳履约保证金或履约担保后签订施工合同，人员进场开工后支付签约合同价的30%预付款；工程量完成60%后支付合同价款的30%进度款到农民工专用账户，工程量完成90%后支付合同价款的30%进度款,工程竣工验收合格后且完成审计支付剩余尾款（具体以签订合同为准）；</w:t>
      </w:r>
      <w:r>
        <w:rPr>
          <w:rFonts w:hint="eastAsia" w:ascii="宋体" w:hAnsi="宋体" w:eastAsia="宋体" w:cs="宋体"/>
          <w:b w:val="0"/>
          <w:bCs w:val="0"/>
          <w:color w:val="auto"/>
          <w:kern w:val="0"/>
          <w:sz w:val="24"/>
          <w:szCs w:val="24"/>
          <w:highlight w:val="none"/>
          <w:lang w:val="en-US" w:eastAsia="zh-CN" w:bidi="ar"/>
        </w:rPr>
        <w:t xml:space="preserve"> </w:t>
      </w:r>
    </w:p>
    <w:p w14:paraId="22FB6788">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4.保修期限：</w:t>
      </w:r>
    </w:p>
    <w:p w14:paraId="367FAE1B">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保修期为1年，自竣工验收合格之日起算</w:t>
      </w:r>
      <w:r>
        <w:rPr>
          <w:rFonts w:hint="eastAsia" w:ascii="宋体" w:hAnsi="宋体" w:eastAsia="宋体" w:cs="宋体"/>
          <w:b w:val="0"/>
          <w:bCs w:val="0"/>
          <w:color w:val="auto"/>
          <w:sz w:val="24"/>
          <w:highlight w:val="none"/>
          <w:lang w:val="en-US" w:eastAsia="zh-CN"/>
        </w:rPr>
        <w:t>（具体以签订合同为准）；</w:t>
      </w:r>
      <w:r>
        <w:rPr>
          <w:rFonts w:hint="eastAsia" w:ascii="宋体" w:hAnsi="宋体" w:eastAsia="宋体" w:cs="宋体"/>
          <w:b w:val="0"/>
          <w:bCs w:val="0"/>
          <w:color w:val="auto"/>
          <w:kern w:val="0"/>
          <w:sz w:val="24"/>
          <w:szCs w:val="24"/>
          <w:highlight w:val="none"/>
          <w:lang w:val="en-US" w:eastAsia="zh-CN" w:bidi="ar"/>
        </w:rPr>
        <w:t xml:space="preserve"> </w:t>
      </w:r>
    </w:p>
    <w:p w14:paraId="0A45B65F">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2" w:firstLineChars="200"/>
        <w:textAlignment w:val="auto"/>
        <w:outlineLvl w:val="2"/>
        <w:rPr>
          <w:rFonts w:hint="eastAsia" w:ascii="宋体" w:hAnsi="宋体" w:eastAsia="宋体" w:cs="宋体"/>
          <w:b/>
          <w:bCs/>
          <w:color w:val="auto"/>
          <w:kern w:val="0"/>
          <w:sz w:val="24"/>
          <w:szCs w:val="24"/>
          <w:highlight w:val="none"/>
          <w:lang w:val="en-US" w:eastAsia="zh-CN" w:bidi="ar"/>
        </w:rPr>
      </w:pPr>
      <w:r>
        <w:rPr>
          <w:rFonts w:hint="eastAsia" w:ascii="宋体" w:hAnsi="宋体" w:eastAsia="宋体" w:cs="宋体"/>
          <w:b/>
          <w:bCs/>
          <w:color w:val="auto"/>
          <w:kern w:val="0"/>
          <w:sz w:val="24"/>
          <w:szCs w:val="24"/>
          <w:highlight w:val="none"/>
          <w:lang w:val="en-US" w:eastAsia="zh-CN" w:bidi="ar"/>
        </w:rPr>
        <w:t>5.验收：</w:t>
      </w:r>
    </w:p>
    <w:p w14:paraId="6EBB1CD0">
      <w:pPr>
        <w:keepNext w:val="0"/>
        <w:keepLines w:val="0"/>
        <w:pageBreakBefore w:val="0"/>
        <w:widowControl w:val="0"/>
        <w:numPr>
          <w:ilvl w:val="0"/>
          <w:numId w:val="0"/>
        </w:numPr>
        <w:kinsoku/>
        <w:wordWrap/>
        <w:overflowPunct/>
        <w:topLinePunct w:val="0"/>
        <w:autoSpaceDE/>
        <w:autoSpaceDN/>
        <w:bidi w:val="0"/>
        <w:adjustRightInd/>
        <w:snapToGrid/>
        <w:spacing w:line="480" w:lineRule="auto"/>
        <w:ind w:left="136" w:leftChars="0" w:firstLine="480" w:firstLineChars="200"/>
        <w:textAlignment w:val="auto"/>
        <w:rPr>
          <w:rFonts w:hint="eastAsia" w:ascii="宋体" w:hAnsi="宋体" w:eastAsia="宋体" w:cs="宋体"/>
          <w:b w:val="0"/>
          <w:bCs w:val="0"/>
          <w:color w:val="auto"/>
          <w:kern w:val="0"/>
          <w:sz w:val="24"/>
          <w:szCs w:val="24"/>
          <w:highlight w:val="none"/>
          <w:lang w:val="en-US" w:eastAsia="zh-CN" w:bidi="ar"/>
        </w:rPr>
      </w:pPr>
      <w:r>
        <w:rPr>
          <w:rFonts w:hint="eastAsia" w:ascii="宋体" w:hAnsi="宋体" w:eastAsia="宋体" w:cs="宋体"/>
          <w:b w:val="0"/>
          <w:bCs w:val="0"/>
          <w:color w:val="auto"/>
          <w:kern w:val="0"/>
          <w:sz w:val="24"/>
          <w:szCs w:val="24"/>
          <w:highlight w:val="none"/>
          <w:lang w:val="en-US" w:eastAsia="zh-CN" w:bidi="ar"/>
        </w:rPr>
        <w:t xml:space="preserve">施工完成后，质量合格，通过验收后，方可投入使用。 </w:t>
      </w:r>
    </w:p>
    <w:p w14:paraId="78693A36">
      <w:pPr>
        <w:keepNext w:val="0"/>
        <w:keepLines w:val="0"/>
        <w:pageBreakBefore w:val="0"/>
        <w:widowControl w:val="0"/>
        <w:numPr>
          <w:ilvl w:val="0"/>
          <w:numId w:val="0"/>
        </w:numPr>
        <w:kinsoku/>
        <w:wordWrap/>
        <w:overflowPunct/>
        <w:topLinePunct w:val="0"/>
        <w:autoSpaceDE/>
        <w:autoSpaceDN/>
        <w:bidi w:val="0"/>
        <w:adjustRightInd/>
        <w:snapToGrid/>
        <w:spacing w:line="480" w:lineRule="auto"/>
        <w:textAlignment w:val="auto"/>
        <w:outlineLvl w:val="1"/>
        <w:rPr>
          <w:rFonts w:hint="eastAsia" w:ascii="宋体" w:hAnsi="宋体" w:eastAsia="宋体" w:cs="宋体"/>
          <w:b/>
          <w:bCs/>
          <w:color w:val="auto"/>
          <w:kern w:val="0"/>
          <w:sz w:val="24"/>
          <w:szCs w:val="24"/>
          <w:highlight w:val="none"/>
          <w:lang w:val="en-US" w:eastAsia="zh-CN" w:bidi="ar"/>
        </w:rPr>
      </w:pPr>
      <w:bookmarkStart w:id="713" w:name="_Toc18592"/>
      <w:r>
        <w:rPr>
          <w:rFonts w:hint="eastAsia" w:ascii="宋体" w:hAnsi="宋体" w:eastAsia="宋体" w:cs="宋体"/>
          <w:b/>
          <w:bCs/>
          <w:color w:val="auto"/>
          <w:kern w:val="0"/>
          <w:sz w:val="24"/>
          <w:szCs w:val="24"/>
          <w:highlight w:val="none"/>
          <w:lang w:val="en-US" w:eastAsia="zh-CN" w:bidi="ar"/>
        </w:rPr>
        <w:t>四、工程量清单：详见附件</w:t>
      </w:r>
      <w:bookmarkEnd w:id="713"/>
    </w:p>
    <w:p w14:paraId="4517FE1F">
      <w:pPr>
        <w:pStyle w:val="7"/>
        <w:outlineLvl w:val="9"/>
        <w:rPr>
          <w:rFonts w:hint="eastAsia"/>
          <w:sz w:val="32"/>
          <w:szCs w:val="32"/>
        </w:rPr>
      </w:pPr>
    </w:p>
    <w:p w14:paraId="6353C4B7">
      <w:pPr>
        <w:pStyle w:val="8"/>
        <w:rPr>
          <w:rFonts w:hint="eastAsia"/>
          <w:sz w:val="32"/>
          <w:szCs w:val="32"/>
        </w:rPr>
      </w:pPr>
    </w:p>
    <w:p w14:paraId="4364297F">
      <w:pPr>
        <w:rPr>
          <w:rFonts w:hint="eastAsia"/>
          <w:sz w:val="32"/>
          <w:szCs w:val="32"/>
        </w:rPr>
      </w:pPr>
    </w:p>
    <w:p w14:paraId="20FACC0A">
      <w:pPr>
        <w:rPr>
          <w:rFonts w:hint="eastAsia"/>
          <w:sz w:val="32"/>
          <w:szCs w:val="32"/>
        </w:rPr>
      </w:pPr>
    </w:p>
    <w:p w14:paraId="7271978F">
      <w:pPr>
        <w:rPr>
          <w:rFonts w:hint="eastAsia"/>
          <w:sz w:val="32"/>
          <w:szCs w:val="32"/>
        </w:rPr>
      </w:pPr>
    </w:p>
    <w:p w14:paraId="49517848">
      <w:pPr>
        <w:rPr>
          <w:rFonts w:hint="eastAsia"/>
          <w:sz w:val="32"/>
          <w:szCs w:val="32"/>
        </w:rPr>
      </w:pPr>
    </w:p>
    <w:p w14:paraId="0080FE98">
      <w:pPr>
        <w:rPr>
          <w:rFonts w:hint="eastAsia"/>
          <w:sz w:val="32"/>
          <w:szCs w:val="32"/>
        </w:rPr>
      </w:pPr>
    </w:p>
    <w:p w14:paraId="37467883">
      <w:pPr>
        <w:rPr>
          <w:rFonts w:hint="eastAsia"/>
          <w:sz w:val="32"/>
          <w:szCs w:val="32"/>
        </w:rPr>
      </w:pPr>
    </w:p>
    <w:p w14:paraId="3AA1D08F">
      <w:pPr>
        <w:rPr>
          <w:rFonts w:hint="eastAsia"/>
          <w:sz w:val="32"/>
          <w:szCs w:val="32"/>
        </w:rPr>
      </w:pPr>
    </w:p>
    <w:p w14:paraId="34DBC6BE">
      <w:pPr>
        <w:rPr>
          <w:rFonts w:hint="eastAsia"/>
          <w:sz w:val="32"/>
          <w:szCs w:val="32"/>
        </w:rPr>
      </w:pPr>
    </w:p>
    <w:p w14:paraId="74A1FABE">
      <w:pPr>
        <w:rPr>
          <w:rFonts w:hint="eastAsia"/>
          <w:sz w:val="32"/>
          <w:szCs w:val="32"/>
        </w:rPr>
      </w:pPr>
    </w:p>
    <w:p w14:paraId="63FAC89B">
      <w:pPr>
        <w:rPr>
          <w:rFonts w:hint="eastAsia"/>
          <w:sz w:val="32"/>
          <w:szCs w:val="32"/>
        </w:rPr>
      </w:pPr>
    </w:p>
    <w:p w14:paraId="604A6DDC">
      <w:pPr>
        <w:rPr>
          <w:rFonts w:hint="eastAsia"/>
          <w:sz w:val="32"/>
          <w:szCs w:val="32"/>
        </w:rPr>
      </w:pPr>
    </w:p>
    <w:p w14:paraId="160EB810">
      <w:pPr>
        <w:rPr>
          <w:rFonts w:hint="eastAsia"/>
          <w:sz w:val="32"/>
          <w:szCs w:val="32"/>
        </w:rPr>
      </w:pPr>
    </w:p>
    <w:p w14:paraId="598C15A3">
      <w:pPr>
        <w:rPr>
          <w:rFonts w:hint="eastAsia"/>
          <w:sz w:val="32"/>
          <w:szCs w:val="32"/>
        </w:rPr>
      </w:pPr>
    </w:p>
    <w:p w14:paraId="23179D78">
      <w:pPr>
        <w:rPr>
          <w:rFonts w:hint="eastAsia"/>
          <w:sz w:val="32"/>
          <w:szCs w:val="32"/>
        </w:rPr>
      </w:pPr>
    </w:p>
    <w:p w14:paraId="065FC98C">
      <w:pPr>
        <w:rPr>
          <w:rFonts w:hint="eastAsia"/>
          <w:sz w:val="32"/>
          <w:szCs w:val="32"/>
        </w:rPr>
      </w:pPr>
    </w:p>
    <w:p w14:paraId="36A29C7C">
      <w:pPr>
        <w:pStyle w:val="7"/>
        <w:ind w:firstLine="0"/>
        <w:jc w:val="center"/>
        <w:outlineLvl w:val="0"/>
        <w:rPr>
          <w:rFonts w:hint="eastAsia" w:ascii="宋体" w:hAnsi="宋体" w:eastAsia="宋体" w:cs="宋体"/>
          <w:b/>
          <w:bCs/>
          <w:color w:val="auto"/>
          <w:sz w:val="36"/>
          <w:szCs w:val="36"/>
          <w:highlight w:val="none"/>
          <w:lang w:val="en-US" w:eastAsia="zh-CN"/>
        </w:rPr>
      </w:pPr>
      <w:bookmarkStart w:id="714" w:name="_Toc29189"/>
      <w:bookmarkStart w:id="715" w:name="_Toc5511"/>
      <w:bookmarkStart w:id="716" w:name="_Toc8234"/>
      <w:r>
        <w:rPr>
          <w:rFonts w:hint="eastAsia" w:ascii="宋体" w:hAnsi="宋体" w:eastAsia="宋体" w:cs="宋体"/>
          <w:b/>
          <w:bCs/>
          <w:color w:val="auto"/>
          <w:sz w:val="36"/>
          <w:szCs w:val="36"/>
          <w:highlight w:val="none"/>
          <w:lang w:val="en-US" w:eastAsia="zh-CN"/>
        </w:rPr>
        <w:t>第5章 评审方法和标准</w:t>
      </w:r>
      <w:bookmarkEnd w:id="714"/>
      <w:bookmarkEnd w:id="715"/>
      <w:bookmarkEnd w:id="716"/>
    </w:p>
    <w:p w14:paraId="05BEC73F">
      <w:pPr>
        <w:pStyle w:val="10"/>
        <w:keepNext w:val="0"/>
        <w:keepLines w:val="0"/>
        <w:pageBreakBefore w:val="0"/>
        <w:widowControl w:val="0"/>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本项目将按照磋商文件第</w:t>
      </w:r>
      <w:r>
        <w:rPr>
          <w:rFonts w:hint="eastAsia" w:cs="宋体"/>
          <w:b w:val="0"/>
          <w:i w:val="0"/>
          <w:color w:val="auto"/>
          <w:spacing w:val="0"/>
          <w:w w:val="100"/>
          <w:sz w:val="24"/>
          <w:szCs w:val="24"/>
          <w:highlight w:val="none"/>
          <w:lang w:val="en-US" w:eastAsia="zh-CN"/>
        </w:rPr>
        <w:t>3</w:t>
      </w:r>
      <w:r>
        <w:rPr>
          <w:rFonts w:hint="eastAsia" w:ascii="宋体" w:hAnsi="宋体" w:eastAsia="宋体" w:cs="宋体"/>
          <w:b w:val="0"/>
          <w:i w:val="0"/>
          <w:color w:val="auto"/>
          <w:spacing w:val="0"/>
          <w:w w:val="100"/>
          <w:sz w:val="24"/>
          <w:szCs w:val="24"/>
          <w:highlight w:val="none"/>
        </w:rPr>
        <w:t>章供应商须知中“五 磋商开启及评审”、“六 确定成交”及本章的规定</w:t>
      </w:r>
      <w:r>
        <w:rPr>
          <w:rFonts w:hint="eastAsia" w:ascii="宋体" w:hAnsi="宋体" w:eastAsia="宋体" w:cs="宋体"/>
          <w:b w:val="0"/>
          <w:i w:val="0"/>
          <w:color w:val="auto"/>
          <w:spacing w:val="0"/>
          <w:w w:val="100"/>
          <w:sz w:val="24"/>
          <w:szCs w:val="24"/>
          <w:highlight w:val="none"/>
          <w:lang w:eastAsia="zh-CN"/>
        </w:rPr>
        <w:t>评审</w:t>
      </w:r>
      <w:r>
        <w:rPr>
          <w:rFonts w:hint="eastAsia" w:ascii="宋体" w:hAnsi="宋体" w:eastAsia="宋体" w:cs="宋体"/>
          <w:b w:val="0"/>
          <w:i w:val="0"/>
          <w:color w:val="auto"/>
          <w:spacing w:val="0"/>
          <w:w w:val="100"/>
          <w:sz w:val="24"/>
          <w:szCs w:val="24"/>
          <w:highlight w:val="none"/>
        </w:rPr>
        <w:t>。</w:t>
      </w:r>
    </w:p>
    <w:p w14:paraId="09C4C660">
      <w:pPr>
        <w:keepNext w:val="0"/>
        <w:keepLines w:val="0"/>
        <w:pageBreakBefore w:val="0"/>
        <w:widowControl/>
        <w:shd w:val="clear" w:color="auto" w:fill="auto"/>
        <w:kinsoku/>
        <w:wordWrap/>
        <w:overflowPunct/>
        <w:topLinePunct w:val="0"/>
        <w:bidi w:val="0"/>
        <w:snapToGrid w:val="0"/>
        <w:spacing w:before="0" w:beforeAutospacing="0" w:after="0" w:afterAutospacing="0" w:line="360" w:lineRule="exact"/>
        <w:jc w:val="both"/>
        <w:textAlignment w:val="baseline"/>
        <w:rPr>
          <w:rFonts w:hint="eastAsia" w:ascii="宋体" w:hAnsi="宋体" w:eastAsia="宋体" w:cs="宋体"/>
          <w:b/>
          <w:bCs/>
          <w:i w:val="0"/>
          <w:color w:val="auto"/>
          <w:spacing w:val="0"/>
          <w:w w:val="100"/>
          <w:sz w:val="24"/>
          <w:szCs w:val="24"/>
          <w:highlight w:val="none"/>
        </w:rPr>
      </w:pPr>
      <w:r>
        <w:rPr>
          <w:rFonts w:hint="eastAsia" w:ascii="宋体" w:hAnsi="宋体" w:eastAsia="宋体" w:cs="宋体"/>
          <w:b/>
          <w:bCs/>
          <w:i w:val="0"/>
          <w:color w:val="auto"/>
          <w:spacing w:val="0"/>
          <w:w w:val="100"/>
          <w:sz w:val="24"/>
          <w:szCs w:val="24"/>
          <w:highlight w:val="none"/>
        </w:rPr>
        <w:t>注：</w:t>
      </w:r>
    </w:p>
    <w:p w14:paraId="4641A0BE">
      <w:pPr>
        <w:keepNext w:val="0"/>
        <w:keepLines w:val="0"/>
        <w:pageBreakBefore w:val="0"/>
        <w:widowControl/>
        <w:shd w:val="clear" w:color="auto" w:fill="auto"/>
        <w:kinsoku/>
        <w:wordWrap/>
        <w:overflowPunct/>
        <w:topLinePunct w:val="0"/>
        <w:bidi w:val="0"/>
        <w:snapToGrid w:val="0"/>
        <w:spacing w:before="0" w:beforeAutospacing="0" w:after="0" w:afterAutospacing="0" w:line="360" w:lineRule="exact"/>
        <w:jc w:val="both"/>
        <w:textAlignment w:val="baseline"/>
        <w:rPr>
          <w:rFonts w:hint="eastAsia" w:ascii="宋体" w:hAnsi="宋体" w:eastAsia="宋体" w:cs="宋体"/>
          <w:b/>
          <w:bCs/>
          <w:i w:val="0"/>
          <w:color w:val="auto"/>
          <w:spacing w:val="0"/>
          <w:w w:val="100"/>
          <w:sz w:val="24"/>
          <w:szCs w:val="24"/>
          <w:highlight w:val="none"/>
        </w:rPr>
      </w:pPr>
      <w:r>
        <w:rPr>
          <w:rFonts w:hint="eastAsia" w:ascii="宋体" w:hAnsi="宋体" w:eastAsia="宋体" w:cs="宋体"/>
          <w:b/>
          <w:bCs/>
          <w:i w:val="0"/>
          <w:color w:val="auto"/>
          <w:spacing w:val="0"/>
          <w:w w:val="100"/>
          <w:sz w:val="24"/>
          <w:szCs w:val="24"/>
          <w:highlight w:val="none"/>
        </w:rPr>
        <w:t>1.磋商无效的情形：</w:t>
      </w:r>
    </w:p>
    <w:p w14:paraId="1184B0E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（1）单位负责人为同一人或者存在直接控股、管理关系的不同供应商，其相关磋商将被认定为磋商无效。</w:t>
      </w:r>
    </w:p>
    <w:p w14:paraId="4A3FCA6F">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（2）若供应商须知资料表中未写明允许采购进口产品，如供应商所投产品为进口产品，其磋商将被认定为磋商无效。</w:t>
      </w:r>
    </w:p>
    <w:p w14:paraId="73B79A1C">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（3）为本项目提供过整体设计、规范编制或者项目管理、监理、检测等</w:t>
      </w:r>
      <w:r>
        <w:rPr>
          <w:rFonts w:hint="eastAsia" w:ascii="宋体" w:hAnsi="宋体" w:eastAsia="宋体" w:cs="宋体"/>
          <w:b w:val="0"/>
          <w:i w:val="0"/>
          <w:color w:val="auto"/>
          <w:spacing w:val="0"/>
          <w:w w:val="100"/>
          <w:sz w:val="24"/>
          <w:szCs w:val="24"/>
          <w:highlight w:val="none"/>
          <w:lang w:val="en-US" w:eastAsia="zh-CN"/>
        </w:rPr>
        <w:t>服务</w:t>
      </w:r>
      <w:r>
        <w:rPr>
          <w:rFonts w:hint="eastAsia" w:ascii="宋体" w:hAnsi="宋体" w:eastAsia="宋体" w:cs="宋体"/>
          <w:b w:val="0"/>
          <w:i w:val="0"/>
          <w:color w:val="auto"/>
          <w:spacing w:val="0"/>
          <w:w w:val="100"/>
          <w:sz w:val="24"/>
          <w:szCs w:val="24"/>
          <w:highlight w:val="none"/>
        </w:rPr>
        <w:t>的供应商，不得再参加本项目上述</w:t>
      </w:r>
      <w:r>
        <w:rPr>
          <w:rFonts w:hint="eastAsia" w:ascii="宋体" w:hAnsi="宋体" w:eastAsia="宋体" w:cs="宋体"/>
          <w:b w:val="0"/>
          <w:i w:val="0"/>
          <w:color w:val="auto"/>
          <w:spacing w:val="0"/>
          <w:w w:val="100"/>
          <w:sz w:val="24"/>
          <w:szCs w:val="24"/>
          <w:highlight w:val="none"/>
          <w:lang w:val="en-US" w:eastAsia="zh-CN"/>
        </w:rPr>
        <w:t>服务</w:t>
      </w:r>
      <w:r>
        <w:rPr>
          <w:rFonts w:hint="eastAsia" w:ascii="宋体" w:hAnsi="宋体" w:eastAsia="宋体" w:cs="宋体"/>
          <w:b w:val="0"/>
          <w:i w:val="0"/>
          <w:color w:val="auto"/>
          <w:spacing w:val="0"/>
          <w:w w:val="100"/>
          <w:sz w:val="24"/>
          <w:szCs w:val="24"/>
          <w:highlight w:val="none"/>
        </w:rPr>
        <w:t>以外的其他采购活动。否则其磋商将被认定为磋商无效。</w:t>
      </w:r>
    </w:p>
    <w:p w14:paraId="555F73BB">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供应商在磋商过程中不得向采购人提供、给予任何有价值的物品，影响其正常决策行为。一经发现，其将被认定为磋商无效。</w:t>
      </w:r>
    </w:p>
    <w:p w14:paraId="4187C45C">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（4）供应商报价超过磋商文件规定的预算金额或者分项、分包最高限价的，其磋商将被认定为磋商无效。</w:t>
      </w:r>
    </w:p>
    <w:p w14:paraId="66678504">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5）供应商应认真阅读磋商文件所有的事项、格式、条款和技术规范等。如供应商没有按照磋商文件要求提交全部资料，或者响应文件没有对磋商文件在各方面都做出实质性响应，可能导致其磋商将被认定为磋商无效。</w:t>
      </w:r>
    </w:p>
    <w:p w14:paraId="3E6FCDA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（6）供应商应当对所投分包磋商文件中“</w:t>
      </w:r>
      <w:r>
        <w:rPr>
          <w:rFonts w:hint="eastAsia" w:ascii="宋体" w:hAnsi="宋体" w:cs="宋体"/>
          <w:b w:val="0"/>
          <w:i w:val="0"/>
          <w:color w:val="auto"/>
          <w:spacing w:val="0"/>
          <w:w w:val="100"/>
          <w:sz w:val="24"/>
          <w:szCs w:val="24"/>
          <w:highlight w:val="none"/>
          <w:lang w:val="en-US" w:eastAsia="zh-CN"/>
        </w:rPr>
        <w:t>采购需求</w:t>
      </w:r>
      <w:r>
        <w:rPr>
          <w:rFonts w:hint="eastAsia" w:ascii="宋体" w:hAnsi="宋体" w:eastAsia="宋体" w:cs="宋体"/>
          <w:b w:val="0"/>
          <w:i w:val="0"/>
          <w:color w:val="auto"/>
          <w:spacing w:val="0"/>
          <w:w w:val="100"/>
          <w:sz w:val="24"/>
          <w:szCs w:val="24"/>
          <w:highlight w:val="none"/>
        </w:rPr>
        <w:t>”所列的所有内容进行磋商，如仅响应某一包中的部分内容，其该包磋商将被认定为磋商无效。</w:t>
      </w:r>
    </w:p>
    <w:p w14:paraId="247BFDE1">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（7）供应商未按本须知第12.1和12.3条规定提交</w:t>
      </w:r>
      <w:r>
        <w:rPr>
          <w:rFonts w:hint="eastAsia" w:ascii="宋体" w:hAnsi="宋体" w:cs="宋体"/>
          <w:b w:val="0"/>
          <w:i w:val="0"/>
          <w:color w:val="auto"/>
          <w:spacing w:val="0"/>
          <w:w w:val="100"/>
          <w:sz w:val="24"/>
          <w:szCs w:val="24"/>
          <w:highlight w:val="none"/>
          <w:lang w:eastAsia="zh-CN"/>
        </w:rPr>
        <w:t>投标保证金</w:t>
      </w:r>
      <w:r>
        <w:rPr>
          <w:rFonts w:hint="eastAsia" w:ascii="宋体" w:hAnsi="宋体" w:eastAsia="宋体" w:cs="宋体"/>
          <w:b w:val="0"/>
          <w:i w:val="0"/>
          <w:color w:val="auto"/>
          <w:spacing w:val="0"/>
          <w:w w:val="100"/>
          <w:sz w:val="24"/>
          <w:szCs w:val="24"/>
          <w:highlight w:val="none"/>
        </w:rPr>
        <w:t>的，其磋商资格将被认定为无效。</w:t>
      </w:r>
    </w:p>
    <w:p w14:paraId="2339F293">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（8）所有磋商均以</w:t>
      </w:r>
      <w:r>
        <w:rPr>
          <w:rFonts w:hint="eastAsia" w:ascii="宋体" w:hAnsi="宋体" w:cs="宋体"/>
          <w:b w:val="0"/>
          <w:i w:val="0"/>
          <w:color w:val="auto"/>
          <w:spacing w:val="0"/>
          <w:w w:val="100"/>
          <w:sz w:val="24"/>
          <w:szCs w:val="24"/>
          <w:highlight w:val="none"/>
          <w:lang w:val="en-US" w:eastAsia="zh-CN"/>
        </w:rPr>
        <w:t>人民币</w:t>
      </w:r>
      <w:r>
        <w:rPr>
          <w:rFonts w:hint="eastAsia" w:ascii="宋体" w:hAnsi="宋体" w:eastAsia="宋体" w:cs="宋体"/>
          <w:b w:val="0"/>
          <w:i w:val="0"/>
          <w:color w:val="auto"/>
          <w:spacing w:val="0"/>
          <w:w w:val="100"/>
          <w:sz w:val="24"/>
          <w:szCs w:val="24"/>
          <w:highlight w:val="none"/>
        </w:rPr>
        <w:t>报价。供应商的磋商报价应遵守《中华人民共和国价格法》。同时，根据《中华人民共和国政府采购法》第二条的规定，为保证公平竞争，如有</w:t>
      </w:r>
      <w:r>
        <w:rPr>
          <w:rFonts w:hint="eastAsia" w:ascii="宋体" w:hAnsi="宋体" w:eastAsia="宋体" w:cs="宋体"/>
          <w:b w:val="0"/>
          <w:i w:val="0"/>
          <w:color w:val="auto"/>
          <w:spacing w:val="0"/>
          <w:w w:val="100"/>
          <w:sz w:val="24"/>
          <w:szCs w:val="24"/>
          <w:highlight w:val="none"/>
          <w:lang w:val="en-US" w:eastAsia="zh-CN"/>
        </w:rPr>
        <w:t>服务</w:t>
      </w:r>
      <w:r>
        <w:rPr>
          <w:rFonts w:hint="eastAsia" w:ascii="宋体" w:hAnsi="宋体" w:eastAsia="宋体" w:cs="宋体"/>
          <w:b w:val="0"/>
          <w:i w:val="0"/>
          <w:color w:val="auto"/>
          <w:spacing w:val="0"/>
          <w:w w:val="100"/>
          <w:sz w:val="24"/>
          <w:szCs w:val="24"/>
          <w:highlight w:val="none"/>
        </w:rPr>
        <w:t>主体部分的赠与行为，其磋商将被认定为磋商无效。</w:t>
      </w:r>
    </w:p>
    <w:p w14:paraId="164099E1">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（9）供应商所报的各分项磋商单价在合同履行过程中是固定不变的，不得以任何理由予以变更。任何包含价格调整要求的磋商，其磋商将被认定为磋商无效。</w:t>
      </w:r>
    </w:p>
    <w:p w14:paraId="2BC1E18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（10）磋商应在供应商须知资料表中规定时间内保持有效。</w:t>
      </w:r>
      <w:r>
        <w:rPr>
          <w:rFonts w:hint="eastAsia" w:ascii="宋体" w:hAnsi="宋体" w:eastAsia="宋体" w:cs="宋体"/>
          <w:b w:val="0"/>
          <w:i w:val="0"/>
          <w:color w:val="auto"/>
          <w:spacing w:val="0"/>
          <w:w w:val="100"/>
          <w:sz w:val="24"/>
          <w:szCs w:val="24"/>
          <w:highlight w:val="none"/>
          <w:lang w:val="en-US" w:eastAsia="zh-CN"/>
        </w:rPr>
        <w:t>投标</w:t>
      </w:r>
      <w:r>
        <w:rPr>
          <w:rFonts w:hint="eastAsia" w:ascii="宋体" w:hAnsi="宋体" w:eastAsia="宋体" w:cs="宋体"/>
          <w:b w:val="0"/>
          <w:i w:val="0"/>
          <w:color w:val="auto"/>
          <w:spacing w:val="0"/>
          <w:w w:val="100"/>
          <w:sz w:val="24"/>
          <w:szCs w:val="24"/>
          <w:highlight w:val="none"/>
        </w:rPr>
        <w:t>有效期不满足要求的磋商，其磋商将被认定为磋商无效。</w:t>
      </w:r>
    </w:p>
    <w:p w14:paraId="6C1DC1B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（11）采购人或采购代理机构将在</w:t>
      </w:r>
      <w:r>
        <w:rPr>
          <w:rFonts w:hint="eastAsia" w:ascii="宋体" w:hAnsi="宋体" w:eastAsia="宋体" w:cs="宋体"/>
          <w:b w:val="0"/>
          <w:i w:val="0"/>
          <w:color w:val="auto"/>
          <w:spacing w:val="0"/>
          <w:w w:val="100"/>
          <w:sz w:val="24"/>
          <w:szCs w:val="24"/>
          <w:highlight w:val="none"/>
          <w:lang w:eastAsia="zh-CN"/>
        </w:rPr>
        <w:t>磋商</w:t>
      </w:r>
      <w:r>
        <w:rPr>
          <w:rFonts w:hint="eastAsia" w:ascii="宋体" w:hAnsi="宋体" w:eastAsia="宋体" w:cs="宋体"/>
          <w:b w:val="0"/>
          <w:i w:val="0"/>
          <w:color w:val="auto"/>
          <w:spacing w:val="0"/>
          <w:w w:val="100"/>
          <w:sz w:val="24"/>
          <w:szCs w:val="24"/>
          <w:highlight w:val="none"/>
        </w:rPr>
        <w:t>前1个工作日至磋商截止后1小时的期间内查询供应商的信用记录。供应商存在不良信用记录的，其磋商将被认定为磋商无效。</w:t>
      </w:r>
    </w:p>
    <w:p w14:paraId="51CB44B0">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w:t>
      </w:r>
      <w:r>
        <w:rPr>
          <w:rFonts w:hint="eastAsia" w:ascii="宋体" w:hAnsi="宋体" w:eastAsia="宋体" w:cs="宋体"/>
          <w:b w:val="0"/>
          <w:i w:val="0"/>
          <w:color w:val="auto"/>
          <w:spacing w:val="0"/>
          <w:w w:val="100"/>
          <w:sz w:val="24"/>
          <w:szCs w:val="24"/>
          <w:highlight w:val="none"/>
          <w:lang w:val="en-US" w:eastAsia="zh-CN"/>
        </w:rPr>
        <w:t>12</w:t>
      </w:r>
      <w:r>
        <w:rPr>
          <w:rFonts w:hint="eastAsia" w:ascii="宋体" w:hAnsi="宋体" w:eastAsia="宋体" w:cs="宋体"/>
          <w:b w:val="0"/>
          <w:i w:val="0"/>
          <w:color w:val="auto"/>
          <w:spacing w:val="0"/>
          <w:w w:val="100"/>
          <w:sz w:val="24"/>
          <w:szCs w:val="24"/>
          <w:highlight w:val="none"/>
        </w:rPr>
        <w:t>）</w:t>
      </w:r>
      <w:r>
        <w:rPr>
          <w:rFonts w:hint="eastAsia" w:ascii="宋体" w:hAnsi="宋体" w:eastAsia="宋体" w:cs="宋体"/>
          <w:b w:val="0"/>
          <w:i w:val="0"/>
          <w:color w:val="auto"/>
          <w:spacing w:val="0"/>
          <w:w w:val="100"/>
          <w:sz w:val="24"/>
          <w:szCs w:val="24"/>
          <w:highlight w:val="none"/>
          <w:u w:val="none"/>
        </w:rPr>
        <w:t>总价金额与按单价汇总金额不一致的，以单价金额计算结果为准。</w:t>
      </w:r>
      <w:r>
        <w:rPr>
          <w:rFonts w:hint="eastAsia" w:ascii="宋体" w:hAnsi="宋体" w:eastAsia="宋体" w:cs="宋体"/>
          <w:b w:val="0"/>
          <w:i w:val="0"/>
          <w:color w:val="auto"/>
          <w:spacing w:val="0"/>
          <w:w w:val="100"/>
          <w:sz w:val="24"/>
          <w:szCs w:val="24"/>
          <w:highlight w:val="none"/>
        </w:rPr>
        <w:t>同时出现两种以上不一致的，按照前款规定的顺序修正。修正后的报价按照第20.2条的规定经供应商确认后产生约束力，供应商不确认的，其磋商将被认定为磋商无效。</w:t>
      </w:r>
    </w:p>
    <w:p w14:paraId="7D8F75F5">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w:t>
      </w:r>
      <w:r>
        <w:rPr>
          <w:rFonts w:hint="eastAsia" w:ascii="宋体" w:hAnsi="宋体" w:eastAsia="宋体" w:cs="宋体"/>
          <w:b w:val="0"/>
          <w:i w:val="0"/>
          <w:color w:val="auto"/>
          <w:spacing w:val="0"/>
          <w:w w:val="100"/>
          <w:sz w:val="24"/>
          <w:szCs w:val="24"/>
          <w:highlight w:val="none"/>
          <w:lang w:val="en-US" w:eastAsia="zh-CN"/>
        </w:rPr>
        <w:t>13</w:t>
      </w:r>
      <w:r>
        <w:rPr>
          <w:rFonts w:hint="eastAsia" w:ascii="宋体" w:hAnsi="宋体" w:eastAsia="宋体" w:cs="宋体"/>
          <w:b w:val="0"/>
          <w:i w:val="0"/>
          <w:color w:val="auto"/>
          <w:spacing w:val="0"/>
          <w:w w:val="100"/>
          <w:sz w:val="24"/>
          <w:szCs w:val="24"/>
          <w:highlight w:val="none"/>
        </w:rPr>
        <w:t>）在比较与评价之前，根据本须知的规定，磋商小组要审查每份响应文件是否实质上响应了磋商文件的要求。实质上响应的磋商应该是与磋商文件要求的全部条款、条件和规格相符，没有重大偏离的磋商。对关键条款的偏离，将被认定为磋商无效。</w:t>
      </w:r>
    </w:p>
    <w:p w14:paraId="349E2DA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w:t>
      </w:r>
      <w:r>
        <w:rPr>
          <w:rFonts w:hint="eastAsia" w:ascii="宋体" w:hAnsi="宋体" w:eastAsia="宋体" w:cs="宋体"/>
          <w:b w:val="0"/>
          <w:i w:val="0"/>
          <w:color w:val="auto"/>
          <w:spacing w:val="0"/>
          <w:w w:val="100"/>
          <w:sz w:val="24"/>
          <w:szCs w:val="24"/>
          <w:highlight w:val="none"/>
          <w:lang w:val="en-US" w:eastAsia="zh-CN"/>
        </w:rPr>
        <w:t>14</w:t>
      </w:r>
      <w:r>
        <w:rPr>
          <w:rFonts w:hint="eastAsia" w:ascii="宋体" w:hAnsi="宋体" w:eastAsia="宋体" w:cs="宋体"/>
          <w:b w:val="0"/>
          <w:i w:val="0"/>
          <w:color w:val="auto"/>
          <w:spacing w:val="0"/>
          <w:w w:val="100"/>
          <w:sz w:val="24"/>
          <w:szCs w:val="24"/>
          <w:highlight w:val="none"/>
        </w:rPr>
        <w:t>）如发现下列情况之一的，其磋商将被认定为磋商无效：</w:t>
      </w:r>
    </w:p>
    <w:p w14:paraId="43403D4D">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未按磋商文件规定的形式和金额提交</w:t>
      </w:r>
      <w:r>
        <w:rPr>
          <w:rFonts w:hint="eastAsia" w:ascii="宋体" w:hAnsi="宋体" w:cs="宋体"/>
          <w:b w:val="0"/>
          <w:i w:val="0"/>
          <w:color w:val="auto"/>
          <w:spacing w:val="0"/>
          <w:w w:val="100"/>
          <w:sz w:val="24"/>
          <w:szCs w:val="24"/>
          <w:highlight w:val="none"/>
          <w:lang w:eastAsia="zh-CN"/>
        </w:rPr>
        <w:t>投标保证金</w:t>
      </w:r>
      <w:r>
        <w:rPr>
          <w:rFonts w:hint="eastAsia" w:ascii="宋体" w:hAnsi="宋体" w:eastAsia="宋体" w:cs="宋体"/>
          <w:b w:val="0"/>
          <w:i w:val="0"/>
          <w:color w:val="auto"/>
          <w:spacing w:val="0"/>
          <w:w w:val="100"/>
          <w:sz w:val="24"/>
          <w:szCs w:val="24"/>
          <w:highlight w:val="none"/>
        </w:rPr>
        <w:t>的；未按照磋商文件规定要求签署、盖章的；未满足磋商文件中技术条款的实质性要求；与其他供应商串通磋商，或者与</w:t>
      </w:r>
      <w:r>
        <w:rPr>
          <w:rFonts w:hint="eastAsia" w:ascii="宋体" w:hAnsi="宋体" w:eastAsia="宋体" w:cs="宋体"/>
          <w:b w:val="0"/>
          <w:i w:val="0"/>
          <w:color w:val="auto"/>
          <w:spacing w:val="0"/>
          <w:w w:val="100"/>
          <w:sz w:val="24"/>
          <w:szCs w:val="24"/>
          <w:highlight w:val="none"/>
          <w:lang w:eastAsia="zh-CN"/>
        </w:rPr>
        <w:t>采购人</w:t>
      </w:r>
      <w:r>
        <w:rPr>
          <w:rFonts w:hint="eastAsia" w:ascii="宋体" w:hAnsi="宋体" w:eastAsia="宋体" w:cs="宋体"/>
          <w:b w:val="0"/>
          <w:i w:val="0"/>
          <w:color w:val="auto"/>
          <w:spacing w:val="0"/>
          <w:w w:val="100"/>
          <w:sz w:val="24"/>
          <w:szCs w:val="24"/>
          <w:highlight w:val="none"/>
        </w:rPr>
        <w:t>串通磋商；属于磋商文件规定的其他磋商无效情形；磋商小组认为供应商的报价明显低于其他通过符合性检查供应商的报价，有可能影响履约的，且供应商未按照规定证明其报价合理性的；响应文件含有采购人不能接受的附加条件的；不符合法规和磋商文件中规定的其他实质性要求的。</w:t>
      </w:r>
    </w:p>
    <w:p w14:paraId="1B95BCC6">
      <w:pPr>
        <w:keepNext w:val="0"/>
        <w:keepLines w:val="0"/>
        <w:pageBreakBefore w:val="0"/>
        <w:widowControl/>
        <w:numPr>
          <w:ilvl w:val="0"/>
          <w:numId w:val="0"/>
        </w:numPr>
        <w:shd w:val="clear" w:color="auto" w:fill="auto"/>
        <w:kinsoku/>
        <w:wordWrap/>
        <w:overflowPunct/>
        <w:topLinePunct w:val="0"/>
        <w:bidi w:val="0"/>
        <w:snapToGrid w:val="0"/>
        <w:spacing w:before="0" w:beforeAutospacing="0" w:after="0" w:afterAutospacing="0" w:line="360" w:lineRule="exact"/>
        <w:ind w:leftChars="0"/>
        <w:jc w:val="left"/>
        <w:textAlignment w:val="baseline"/>
        <w:rPr>
          <w:rFonts w:hint="eastAsia" w:ascii="宋体" w:hAnsi="宋体" w:eastAsia="宋体" w:cs="宋体"/>
          <w:b/>
          <w:bCs/>
          <w:i w:val="0"/>
          <w:color w:val="auto"/>
          <w:spacing w:val="0"/>
          <w:w w:val="100"/>
          <w:kern w:val="2"/>
          <w:sz w:val="24"/>
          <w:szCs w:val="24"/>
          <w:highlight w:val="none"/>
          <w:lang w:val="en-US" w:eastAsia="zh-CN" w:bidi="ar-SA"/>
        </w:rPr>
      </w:pPr>
      <w:r>
        <w:rPr>
          <w:rFonts w:hint="eastAsia" w:ascii="宋体" w:hAnsi="宋体" w:eastAsia="宋体" w:cs="宋体"/>
          <w:b/>
          <w:bCs/>
          <w:i w:val="0"/>
          <w:color w:val="auto"/>
          <w:spacing w:val="0"/>
          <w:w w:val="100"/>
          <w:kern w:val="2"/>
          <w:sz w:val="24"/>
          <w:szCs w:val="24"/>
          <w:highlight w:val="none"/>
          <w:lang w:val="en-US" w:eastAsia="zh-CN" w:bidi="ar-SA"/>
        </w:rPr>
        <w:t>2.本项目专门面向中小企业采购。根据《财政部关于进一步加大政府采购支持中小企业力度的通知》财库〔2022〕19号、《政府采购促进中小企业发展管理办法》（财库[2020]46号）、《财政部司法部关于政府采购支持监狱企业发展有关问 题 的通知》（财库〔2014〕68号）、《三部门联合发布关于促进残疾人就业政府采购政策的通知》（财库〔2017〕141号）的规定，其中小型、微型及小微企业在</w:t>
      </w:r>
      <w:r>
        <w:rPr>
          <w:rFonts w:hint="eastAsia" w:ascii="宋体" w:hAnsi="宋体" w:cs="宋体"/>
          <w:b/>
          <w:bCs/>
          <w:i w:val="0"/>
          <w:color w:val="auto"/>
          <w:spacing w:val="0"/>
          <w:w w:val="100"/>
          <w:kern w:val="2"/>
          <w:sz w:val="24"/>
          <w:szCs w:val="24"/>
          <w:highlight w:val="none"/>
          <w:lang w:val="en-US" w:eastAsia="zh-CN" w:bidi="ar-SA"/>
        </w:rPr>
        <w:t>响应文件</w:t>
      </w:r>
      <w:r>
        <w:rPr>
          <w:rFonts w:hint="eastAsia" w:ascii="宋体" w:hAnsi="宋体" w:eastAsia="宋体" w:cs="宋体"/>
          <w:b/>
          <w:bCs/>
          <w:i w:val="0"/>
          <w:color w:val="auto"/>
          <w:spacing w:val="0"/>
          <w:w w:val="100"/>
          <w:kern w:val="2"/>
          <w:sz w:val="24"/>
          <w:szCs w:val="24"/>
          <w:highlight w:val="none"/>
          <w:lang w:val="en-US" w:eastAsia="zh-CN" w:bidi="ar-SA"/>
        </w:rPr>
        <w:t>中提交了《中小企业声明函》、《残疾人福利性单位声明函》或省级以上监狱管理局、戒毒管理局（含新疆生产建设兵团）出具的属于监狱企业的证明文件的供应商，其报价不进行扣除。对于同时属于小型、微型及小微企业、监狱企业或残疾人福利性单位的，不重复进行报价扣除。</w:t>
      </w:r>
    </w:p>
    <w:p w14:paraId="64CE7C15">
      <w:pPr>
        <w:keepNext w:val="0"/>
        <w:keepLines w:val="0"/>
        <w:pageBreakBefore w:val="0"/>
        <w:widowControl/>
        <w:numPr>
          <w:ilvl w:val="0"/>
          <w:numId w:val="0"/>
        </w:numPr>
        <w:shd w:val="clear" w:color="auto" w:fill="auto"/>
        <w:kinsoku/>
        <w:wordWrap/>
        <w:overflowPunct/>
        <w:topLinePunct w:val="0"/>
        <w:bidi w:val="0"/>
        <w:snapToGrid w:val="0"/>
        <w:spacing w:before="0" w:beforeAutospacing="0" w:after="0" w:afterAutospacing="0" w:line="360" w:lineRule="exact"/>
        <w:ind w:leftChars="0"/>
        <w:jc w:val="left"/>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3.联合协议中约定，小型、微型企业和监狱企业的协议合同金额占到联合体协议合同总金额30%以上的，可给予联合体</w:t>
      </w:r>
      <w:r>
        <w:rPr>
          <w:rFonts w:hint="eastAsia" w:ascii="宋体" w:hAnsi="宋体" w:eastAsia="宋体" w:cs="宋体"/>
          <w:b w:val="0"/>
          <w:i w:val="0"/>
          <w:color w:val="auto"/>
          <w:spacing w:val="0"/>
          <w:w w:val="100"/>
          <w:sz w:val="24"/>
          <w:szCs w:val="24"/>
          <w:highlight w:val="none"/>
          <w:u w:val="single" w:color="000000"/>
        </w:rPr>
        <w:t xml:space="preserve"> 2%-3</w:t>
      </w:r>
      <w:r>
        <w:rPr>
          <w:rFonts w:hint="eastAsia" w:ascii="宋体" w:hAnsi="宋体" w:eastAsia="宋体" w:cs="宋体"/>
          <w:b w:val="0"/>
          <w:i w:val="0"/>
          <w:color w:val="auto"/>
          <w:spacing w:val="0"/>
          <w:w w:val="100"/>
          <w:sz w:val="24"/>
          <w:szCs w:val="24"/>
          <w:highlight w:val="none"/>
        </w:rPr>
        <w:t>%的价格扣除。</w:t>
      </w:r>
      <w:r>
        <w:rPr>
          <w:rFonts w:hint="eastAsia" w:ascii="宋体" w:hAnsi="宋体" w:eastAsia="宋体" w:cs="宋体"/>
          <w:b/>
          <w:bCs/>
          <w:i w:val="0"/>
          <w:color w:val="auto"/>
          <w:spacing w:val="0"/>
          <w:w w:val="100"/>
          <w:sz w:val="24"/>
          <w:szCs w:val="24"/>
          <w:highlight w:val="none"/>
        </w:rPr>
        <w:t>（本项目不适用）</w:t>
      </w:r>
    </w:p>
    <w:p w14:paraId="5C952535">
      <w:pPr>
        <w:keepNext w:val="0"/>
        <w:keepLines w:val="0"/>
        <w:pageBreakBefore w:val="0"/>
        <w:widowControl/>
        <w:shd w:val="clear" w:color="auto" w:fill="auto"/>
        <w:kinsoku/>
        <w:wordWrap/>
        <w:overflowPunct/>
        <w:topLinePunct w:val="0"/>
        <w:bidi w:val="0"/>
        <w:snapToGrid w:val="0"/>
        <w:spacing w:before="0" w:beforeAutospacing="0" w:after="0" w:afterAutospacing="0" w:line="360" w:lineRule="exact"/>
        <w:ind w:firstLine="480" w:firstLineChars="200"/>
        <w:jc w:val="left"/>
        <w:textAlignment w:val="baseline"/>
        <w:rPr>
          <w:rFonts w:hint="eastAsia" w:ascii="宋体" w:hAnsi="宋体" w:eastAsia="宋体" w:cs="宋体"/>
          <w:b w:val="0"/>
          <w:i w:val="0"/>
          <w:color w:val="auto"/>
          <w:spacing w:val="0"/>
          <w:w w:val="100"/>
          <w:sz w:val="24"/>
          <w:szCs w:val="24"/>
          <w:highlight w:val="none"/>
        </w:rPr>
      </w:pPr>
      <w:r>
        <w:rPr>
          <w:rFonts w:hint="eastAsia" w:ascii="宋体" w:hAnsi="宋体" w:eastAsia="宋体" w:cs="宋体"/>
          <w:b w:val="0"/>
          <w:i w:val="0"/>
          <w:color w:val="auto"/>
          <w:spacing w:val="0"/>
          <w:w w:val="100"/>
          <w:sz w:val="24"/>
          <w:szCs w:val="24"/>
          <w:highlight w:val="none"/>
        </w:rPr>
        <w:t>联合体各方均为小型、微型企业和监狱企业的，联合体视同为小型、微型企业和监狱企业。</w:t>
      </w:r>
    </w:p>
    <w:p w14:paraId="34924329">
      <w:pPr>
        <w:pStyle w:val="10"/>
        <w:keepNext w:val="0"/>
        <w:keepLines w:val="0"/>
        <w:pageBreakBefore w:val="0"/>
        <w:numPr>
          <w:ilvl w:val="0"/>
          <w:numId w:val="0"/>
        </w:numPr>
        <w:shd w:val="clear" w:color="auto" w:fill="auto"/>
        <w:kinsoku/>
        <w:wordWrap/>
        <w:overflowPunct/>
        <w:topLinePunct w:val="0"/>
        <w:bidi w:val="0"/>
        <w:snapToGrid w:val="0"/>
        <w:spacing w:before="0" w:beforeAutospacing="0" w:after="0" w:afterAutospacing="0" w:line="360" w:lineRule="exact"/>
        <w:jc w:val="both"/>
        <w:textAlignment w:val="baseline"/>
        <w:rPr>
          <w:rFonts w:hint="eastAsia" w:ascii="宋体" w:hAnsi="宋体" w:eastAsia="宋体" w:cs="宋体"/>
          <w:b w:val="0"/>
          <w:bCs w:val="0"/>
          <w:i w:val="0"/>
          <w:color w:val="auto"/>
          <w:spacing w:val="0"/>
          <w:w w:val="100"/>
          <w:sz w:val="24"/>
          <w:szCs w:val="24"/>
          <w:highlight w:val="none"/>
          <w:u w:val="single" w:color="000000"/>
        </w:rPr>
      </w:pPr>
      <w:r>
        <w:rPr>
          <w:rFonts w:hint="eastAsia" w:ascii="宋体" w:hAnsi="宋体" w:eastAsia="宋体" w:cs="宋体"/>
          <w:b w:val="0"/>
          <w:bCs w:val="0"/>
          <w:i w:val="0"/>
          <w:color w:val="auto"/>
          <w:spacing w:val="0"/>
          <w:w w:val="100"/>
          <w:kern w:val="2"/>
          <w:sz w:val="24"/>
          <w:szCs w:val="24"/>
          <w:highlight w:val="none"/>
          <w:u w:color="000000"/>
          <w:lang w:val="en-US" w:eastAsia="zh-CN" w:bidi="ar-SA"/>
        </w:rPr>
        <w:t>4.</w:t>
      </w:r>
      <w:r>
        <w:rPr>
          <w:rFonts w:hint="eastAsia" w:ascii="宋体" w:hAnsi="宋体" w:eastAsia="宋体" w:cs="宋体"/>
          <w:b w:val="0"/>
          <w:i w:val="0"/>
          <w:color w:val="auto"/>
          <w:spacing w:val="0"/>
          <w:w w:val="100"/>
          <w:sz w:val="24"/>
          <w:szCs w:val="24"/>
          <w:highlight w:val="none"/>
        </w:rPr>
        <w:t>供应商为提供</w:t>
      </w:r>
      <w:r>
        <w:rPr>
          <w:rFonts w:hint="eastAsia" w:ascii="宋体" w:hAnsi="宋体" w:eastAsia="宋体" w:cs="宋体"/>
          <w:b w:val="0"/>
          <w:i w:val="0"/>
          <w:color w:val="auto"/>
          <w:spacing w:val="0"/>
          <w:w w:val="100"/>
          <w:sz w:val="24"/>
          <w:szCs w:val="24"/>
          <w:highlight w:val="none"/>
          <w:lang w:val="en-US" w:eastAsia="zh-CN"/>
        </w:rPr>
        <w:t>货物</w:t>
      </w:r>
      <w:r>
        <w:rPr>
          <w:rFonts w:hint="eastAsia" w:ascii="宋体" w:hAnsi="宋体" w:eastAsia="宋体" w:cs="宋体"/>
          <w:b w:val="0"/>
          <w:i w:val="0"/>
          <w:color w:val="auto"/>
          <w:spacing w:val="0"/>
          <w:w w:val="100"/>
          <w:sz w:val="24"/>
          <w:szCs w:val="24"/>
          <w:highlight w:val="none"/>
        </w:rPr>
        <w:t>在磋商中伴随磋商的产品如被列入财政部与国家主管部门颁发的节能产品目录或环境标志产品目录或无线局域网产品目录，应提供相关证明，在</w:t>
      </w:r>
      <w:r>
        <w:rPr>
          <w:rFonts w:hint="eastAsia" w:ascii="宋体" w:hAnsi="宋体" w:eastAsia="宋体" w:cs="宋体"/>
          <w:b w:val="0"/>
          <w:i w:val="0"/>
          <w:color w:val="auto"/>
          <w:spacing w:val="0"/>
          <w:w w:val="100"/>
          <w:sz w:val="24"/>
          <w:szCs w:val="24"/>
          <w:highlight w:val="none"/>
          <w:lang w:eastAsia="zh-CN"/>
        </w:rPr>
        <w:t>评审</w:t>
      </w:r>
      <w:r>
        <w:rPr>
          <w:rFonts w:hint="eastAsia" w:ascii="宋体" w:hAnsi="宋体" w:eastAsia="宋体" w:cs="宋体"/>
          <w:b w:val="0"/>
          <w:i w:val="0"/>
          <w:color w:val="auto"/>
          <w:spacing w:val="0"/>
          <w:w w:val="100"/>
          <w:sz w:val="24"/>
          <w:szCs w:val="24"/>
          <w:highlight w:val="none"/>
        </w:rPr>
        <w:t>时予以优先采购</w:t>
      </w:r>
      <w:r>
        <w:rPr>
          <w:rFonts w:hint="eastAsia" w:ascii="宋体" w:hAnsi="宋体" w:eastAsia="宋体" w:cs="宋体"/>
          <w:b w:val="0"/>
          <w:i w:val="0"/>
          <w:color w:val="auto"/>
          <w:spacing w:val="0"/>
          <w:w w:val="100"/>
          <w:sz w:val="24"/>
          <w:szCs w:val="24"/>
          <w:highlight w:val="none"/>
          <w:lang w:eastAsia="zh-CN"/>
        </w:rPr>
        <w:t>，</w:t>
      </w:r>
      <w:r>
        <w:rPr>
          <w:rFonts w:hint="eastAsia" w:ascii="宋体" w:hAnsi="宋体" w:eastAsia="宋体" w:cs="宋体"/>
          <w:b w:val="0"/>
          <w:i w:val="0"/>
          <w:color w:val="auto"/>
          <w:spacing w:val="0"/>
          <w:w w:val="100"/>
          <w:sz w:val="24"/>
          <w:szCs w:val="24"/>
          <w:highlight w:val="none"/>
        </w:rPr>
        <w:t>具体优惠措施为</w:t>
      </w:r>
      <w:r>
        <w:rPr>
          <w:rFonts w:hint="eastAsia" w:ascii="宋体" w:hAnsi="宋体" w:eastAsia="宋体" w:cs="宋体"/>
          <w:b w:val="0"/>
          <w:bCs w:val="0"/>
          <w:i w:val="0"/>
          <w:color w:val="auto"/>
          <w:spacing w:val="0"/>
          <w:w w:val="100"/>
          <w:sz w:val="24"/>
          <w:szCs w:val="24"/>
          <w:highlight w:val="none"/>
          <w:u w:val="single" w:color="000000"/>
        </w:rPr>
        <w:t>：</w:t>
      </w:r>
      <w:r>
        <w:rPr>
          <w:rFonts w:hint="eastAsia" w:ascii="宋体" w:hAnsi="宋体" w:eastAsia="宋体" w:cs="宋体"/>
          <w:b w:val="0"/>
          <w:bCs w:val="0"/>
          <w:i w:val="0"/>
          <w:color w:val="auto"/>
          <w:spacing w:val="0"/>
          <w:w w:val="100"/>
          <w:sz w:val="24"/>
          <w:szCs w:val="24"/>
          <w:highlight w:val="none"/>
          <w:u w:val="single" w:color="000000"/>
          <w:lang w:val="en-US" w:eastAsia="zh-CN"/>
        </w:rPr>
        <w:t>供应商</w:t>
      </w:r>
      <w:r>
        <w:rPr>
          <w:rFonts w:hint="eastAsia" w:ascii="宋体" w:hAnsi="宋体" w:eastAsia="宋体" w:cs="宋体"/>
          <w:b w:val="0"/>
          <w:bCs w:val="0"/>
          <w:i w:val="0"/>
          <w:color w:val="auto"/>
          <w:spacing w:val="0"/>
          <w:w w:val="100"/>
          <w:sz w:val="24"/>
          <w:szCs w:val="24"/>
          <w:highlight w:val="none"/>
          <w:u w:val="single" w:color="000000"/>
        </w:rPr>
        <w:t>所投产品应优先选择《关于印发节能产品政府采购品目清单的通知》（财库〔2019〕19号）、《关于印发环境标志产品政府采购品目清单的通知》（财库〔2019〕</w:t>
      </w:r>
      <w:r>
        <w:rPr>
          <w:rFonts w:hint="eastAsia" w:ascii="宋体" w:hAnsi="宋体" w:eastAsia="宋体" w:cs="宋体"/>
          <w:b w:val="0"/>
          <w:bCs w:val="0"/>
          <w:i w:val="0"/>
          <w:color w:val="auto"/>
          <w:spacing w:val="0"/>
          <w:w w:val="100"/>
          <w:sz w:val="24"/>
          <w:szCs w:val="24"/>
          <w:highlight w:val="none"/>
          <w:u w:val="single" w:color="000000"/>
          <w:lang w:val="en-US" w:eastAsia="zh-CN"/>
        </w:rPr>
        <w:t>18</w:t>
      </w:r>
      <w:r>
        <w:rPr>
          <w:rFonts w:hint="eastAsia" w:ascii="宋体" w:hAnsi="宋体" w:eastAsia="宋体" w:cs="宋体"/>
          <w:b w:val="0"/>
          <w:bCs w:val="0"/>
          <w:i w:val="0"/>
          <w:color w:val="auto"/>
          <w:spacing w:val="0"/>
          <w:w w:val="100"/>
          <w:sz w:val="24"/>
          <w:szCs w:val="24"/>
          <w:highlight w:val="none"/>
          <w:u w:val="single" w:color="000000"/>
        </w:rPr>
        <w:t>号）目录内的产品。</w:t>
      </w:r>
    </w:p>
    <w:p w14:paraId="36554996">
      <w:pPr>
        <w:pStyle w:val="10"/>
        <w:keepNext w:val="0"/>
        <w:keepLines w:val="0"/>
        <w:pageBreakBefore w:val="0"/>
        <w:tabs>
          <w:tab w:val="clear" w:pos="567"/>
        </w:tabs>
        <w:kinsoku/>
        <w:wordWrap/>
        <w:overflowPunct/>
        <w:topLinePunct w:val="0"/>
        <w:autoSpaceDE/>
        <w:autoSpaceDN/>
        <w:bidi w:val="0"/>
        <w:adjustRightInd/>
        <w:spacing w:before="0" w:beforeAutospacing="0" w:afterAutospacing="0" w:line="360" w:lineRule="exact"/>
        <w:rPr>
          <w:rFonts w:hint="eastAsia" w:ascii="宋体" w:hAnsi="宋体" w:eastAsia="宋体" w:cs="宋体"/>
          <w:color w:val="auto"/>
          <w:sz w:val="24"/>
          <w:szCs w:val="24"/>
          <w:highlight w:val="none"/>
          <w:lang w:eastAsia="zh-CN"/>
        </w:rPr>
      </w:pPr>
      <w:r>
        <w:rPr>
          <w:rFonts w:hint="eastAsia" w:ascii="宋体" w:hAnsi="宋体" w:eastAsia="宋体" w:cs="宋体"/>
          <w:b/>
          <w:bCs/>
          <w:color w:val="auto"/>
          <w:sz w:val="24"/>
          <w:szCs w:val="24"/>
          <w:highlight w:val="none"/>
        </w:rPr>
        <w:t>5.对创新产品</w:t>
      </w:r>
      <w:r>
        <w:rPr>
          <w:rFonts w:hint="eastAsia" w:ascii="宋体" w:hAnsi="宋体" w:eastAsia="宋体" w:cs="宋体"/>
          <w:color w:val="auto"/>
          <w:sz w:val="24"/>
          <w:szCs w:val="24"/>
          <w:highlight w:val="none"/>
        </w:rPr>
        <w:t>或创新性企业的优惠措施为：</w:t>
      </w:r>
      <w:r>
        <w:rPr>
          <w:rFonts w:hint="eastAsia" w:ascii="宋体" w:hAnsi="宋体" w:eastAsia="宋体" w:cs="宋体"/>
          <w:color w:val="auto"/>
          <w:sz w:val="24"/>
          <w:szCs w:val="24"/>
          <w:highlight w:val="none"/>
          <w:u w:val="single"/>
        </w:rPr>
        <w:t xml:space="preserve">     /      </w:t>
      </w:r>
    </w:p>
    <w:p w14:paraId="0079387F">
      <w:pPr>
        <w:pStyle w:val="7"/>
        <w:keepNext w:val="0"/>
        <w:keepLines w:val="0"/>
        <w:pageBreakBefore w:val="0"/>
        <w:widowControl w:val="0"/>
        <w:shd w:val="clear" w:color="auto" w:fill="auto"/>
        <w:kinsoku/>
        <w:wordWrap/>
        <w:overflowPunct/>
        <w:topLinePunct w:val="0"/>
        <w:bidi w:val="0"/>
        <w:snapToGrid w:val="0"/>
        <w:spacing w:before="0" w:beforeAutospacing="0" w:after="0" w:afterAutospacing="0" w:line="360" w:lineRule="exact"/>
        <w:ind w:firstLine="0"/>
        <w:jc w:val="left"/>
        <w:textAlignment w:val="baseline"/>
        <w:rPr>
          <w:rFonts w:hint="eastAsia" w:ascii="宋体" w:hAnsi="宋体" w:eastAsia="宋体" w:cs="宋体"/>
          <w:b/>
          <w:bCs/>
          <w:i w:val="0"/>
          <w:color w:val="auto"/>
          <w:spacing w:val="0"/>
          <w:w w:val="100"/>
          <w:kern w:val="2"/>
          <w:sz w:val="24"/>
          <w:szCs w:val="24"/>
          <w:highlight w:val="none"/>
          <w:lang w:val="en-US" w:eastAsia="zh-CN" w:bidi="ar-SA"/>
        </w:rPr>
      </w:pPr>
      <w:r>
        <w:rPr>
          <w:rFonts w:hint="eastAsia" w:ascii="宋体" w:hAnsi="宋体" w:eastAsia="宋体" w:cs="宋体"/>
          <w:b/>
          <w:bCs/>
          <w:i w:val="0"/>
          <w:color w:val="auto"/>
          <w:spacing w:val="0"/>
          <w:w w:val="100"/>
          <w:kern w:val="2"/>
          <w:sz w:val="24"/>
          <w:szCs w:val="24"/>
          <w:highlight w:val="none"/>
          <w:lang w:val="en-US" w:eastAsia="zh-CN" w:bidi="ar-SA"/>
        </w:rPr>
        <w:t>6.磋商：</w:t>
      </w:r>
    </w:p>
    <w:p w14:paraId="3902FF60">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（1）供应商按照须知资料表中规定的</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时间和地点，在规定时间内上传</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w:t>
      </w:r>
    </w:p>
    <w:p w14:paraId="35F8D0DF">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前，工作人员收取所有参会人员的手机，主持人宣读</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纪律。</w:t>
      </w:r>
    </w:p>
    <w:p w14:paraId="5876E557">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时，由代理机构对供应商的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文件进行解密，解密时间为30分钟。</w:t>
      </w:r>
    </w:p>
    <w:p w14:paraId="108759F5">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firstLine="480" w:firstLineChars="200"/>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（4）由代理机构开启报价，所有</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签字确认。</w:t>
      </w:r>
    </w:p>
    <w:p w14:paraId="40AB22D8">
      <w:pPr>
        <w:keepNext w:val="0"/>
        <w:keepLines w:val="0"/>
        <w:pageBreakBefore w:val="0"/>
        <w:widowControl/>
        <w:kinsoku/>
        <w:wordWrap/>
        <w:overflowPunct/>
        <w:topLinePunct w:val="0"/>
        <w:autoSpaceDE/>
        <w:autoSpaceDN/>
        <w:bidi w:val="0"/>
        <w:adjustRightInd/>
        <w:snapToGrid w:val="0"/>
        <w:spacing w:beforeAutospacing="0" w:afterAutospacing="0" w:line="360" w:lineRule="exact"/>
        <w:ind w:firstLine="480" w:firstLineChars="200"/>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color w:val="auto"/>
          <w:sz w:val="24"/>
          <w:szCs w:val="24"/>
          <w:highlight w:val="none"/>
        </w:rPr>
        <w:t>（5）采购人或采购代理机构登录政采云平台对</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的资格证明材料进行审查。</w:t>
      </w:r>
    </w:p>
    <w:p w14:paraId="7F3F17DF">
      <w:pPr>
        <w:keepNext w:val="0"/>
        <w:keepLines w:val="0"/>
        <w:pageBreakBefore w:val="0"/>
        <w:shd w:val="clear" w:color="auto" w:fill="auto"/>
        <w:kinsoku/>
        <w:wordWrap/>
        <w:overflowPunct/>
        <w:topLinePunct w:val="0"/>
        <w:bidi w:val="0"/>
        <w:spacing w:line="360" w:lineRule="exact"/>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评审：</w:t>
      </w:r>
    </w:p>
    <w:p w14:paraId="712FEA42">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（1）在政采云平台上</w:t>
      </w:r>
      <w:r>
        <w:rPr>
          <w:rFonts w:hint="eastAsia" w:ascii="宋体" w:hAnsi="宋体" w:eastAsia="宋体" w:cs="宋体"/>
          <w:color w:val="auto"/>
          <w:sz w:val="24"/>
          <w:szCs w:val="24"/>
          <w:highlight w:val="none"/>
          <w:lang w:eastAsia="zh-CN"/>
        </w:rPr>
        <w:t>随机</w:t>
      </w:r>
      <w:r>
        <w:rPr>
          <w:rFonts w:hint="eastAsia" w:ascii="宋体" w:hAnsi="宋体" w:eastAsia="宋体" w:cs="宋体"/>
          <w:color w:val="auto"/>
          <w:sz w:val="24"/>
          <w:szCs w:val="24"/>
          <w:highlight w:val="none"/>
        </w:rPr>
        <w:t>抽取</w:t>
      </w:r>
      <w:r>
        <w:rPr>
          <w:rFonts w:hint="eastAsia" w:ascii="宋体" w:hAnsi="宋体" w:eastAsia="宋体" w:cs="宋体"/>
          <w:b/>
          <w:bCs/>
          <w:color w:val="auto"/>
          <w:sz w:val="24"/>
          <w:szCs w:val="24"/>
          <w:highlight w:val="none"/>
          <w:lang w:val="en-US" w:eastAsia="zh-CN"/>
        </w:rPr>
        <w:t>3</w:t>
      </w:r>
      <w:r>
        <w:rPr>
          <w:rFonts w:hint="eastAsia" w:ascii="宋体" w:hAnsi="宋体" w:eastAsia="宋体" w:cs="宋体"/>
          <w:b/>
          <w:bCs/>
          <w:color w:val="auto"/>
          <w:sz w:val="24"/>
          <w:szCs w:val="24"/>
          <w:highlight w:val="none"/>
          <w:lang w:eastAsia="zh-CN"/>
        </w:rPr>
        <w:t>名专家</w:t>
      </w:r>
      <w:r>
        <w:rPr>
          <w:rFonts w:hint="eastAsia" w:ascii="宋体" w:hAnsi="宋体" w:eastAsia="宋体" w:cs="宋体"/>
          <w:b/>
          <w:bCs/>
          <w:color w:val="auto"/>
          <w:sz w:val="24"/>
          <w:szCs w:val="24"/>
          <w:highlight w:val="none"/>
          <w:lang w:val="en-US" w:eastAsia="zh-CN"/>
        </w:rPr>
        <w:t>，共3名专家</w:t>
      </w:r>
      <w:r>
        <w:rPr>
          <w:rFonts w:hint="eastAsia" w:ascii="宋体" w:hAnsi="宋体" w:eastAsia="宋体" w:cs="宋体"/>
          <w:b/>
          <w:bCs/>
          <w:color w:val="auto"/>
          <w:sz w:val="24"/>
          <w:szCs w:val="24"/>
          <w:highlight w:val="none"/>
          <w:lang w:eastAsia="zh-CN"/>
        </w:rPr>
        <w:t>组成磋商小组</w:t>
      </w:r>
      <w:r>
        <w:rPr>
          <w:rFonts w:hint="eastAsia" w:ascii="宋体" w:hAnsi="宋体" w:eastAsia="宋体" w:cs="宋体"/>
          <w:color w:val="auto"/>
          <w:sz w:val="24"/>
          <w:szCs w:val="24"/>
          <w:highlight w:val="none"/>
          <w:lang w:val="en-US" w:eastAsia="zh-CN"/>
        </w:rPr>
        <w:t>，负责评</w:t>
      </w:r>
      <w:r>
        <w:rPr>
          <w:rFonts w:hint="eastAsia" w:ascii="宋体" w:hAnsi="宋体" w:eastAsia="宋体" w:cs="宋体"/>
          <w:b w:val="0"/>
          <w:i w:val="0"/>
          <w:color w:val="auto"/>
          <w:spacing w:val="0"/>
          <w:w w:val="100"/>
          <w:sz w:val="24"/>
          <w:szCs w:val="24"/>
          <w:highlight w:val="none"/>
          <w:lang w:val="en-US" w:eastAsia="zh-CN"/>
        </w:rPr>
        <w:t>标工作。</w:t>
      </w:r>
    </w:p>
    <w:p w14:paraId="137F0AAB">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（2）磋商小组应当按照磋商文件中规定的评标方法和标准，对所有响应文件进行资格性审查，再对符合资格要求的供应商的响应文件进行符合性审查，以确定其是否满足磋商文件的实质性要求。</w:t>
      </w:r>
    </w:p>
    <w:p w14:paraId="26F68F12">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3）若对于响应文件中含义不明确、同类问题表述不一致或者有明显文字和计算错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5AF433D8">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4）磋商小组要求供应商澄清、说明或者更正响应文件应当以书面形式作出。供应商的澄清、说明或者更正应当由法定代表人签字或者加盖公章。由授权代表签字的，应当附法定代表人授权书。供应商为自然人的，应当由本人签字并附身份证明。</w:t>
      </w:r>
    </w:p>
    <w:p w14:paraId="327E6FD9">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（5）</w:t>
      </w:r>
      <w:r>
        <w:rPr>
          <w:rFonts w:hint="eastAsia" w:ascii="宋体" w:hAnsi="宋体" w:eastAsia="宋体" w:cs="宋体"/>
          <w:b/>
          <w:bCs/>
          <w:i w:val="0"/>
          <w:color w:val="auto"/>
          <w:spacing w:val="0"/>
          <w:w w:val="100"/>
          <w:sz w:val="24"/>
          <w:szCs w:val="24"/>
          <w:highlight w:val="none"/>
          <w:lang w:val="en-US" w:eastAsia="zh-CN"/>
        </w:rPr>
        <w:t>共有两次报价，二次报价为最终报价</w:t>
      </w:r>
      <w:r>
        <w:rPr>
          <w:rFonts w:hint="eastAsia" w:ascii="宋体" w:hAnsi="宋体" w:eastAsia="宋体" w:cs="宋体"/>
          <w:b w:val="0"/>
          <w:i w:val="0"/>
          <w:color w:val="auto"/>
          <w:spacing w:val="0"/>
          <w:w w:val="100"/>
          <w:sz w:val="24"/>
          <w:szCs w:val="24"/>
          <w:highlight w:val="none"/>
          <w:lang w:val="en-US" w:eastAsia="zh-CN"/>
        </w:rPr>
        <w:t>，磋商小组所有成员集中与单一供应商分别进行磋商，并给予所有参加磋商的供应商平等的磋商机会，磋商小组要求所有实质性响应的供应商在规定时间内提交最后报价。　</w:t>
      </w:r>
    </w:p>
    <w:p w14:paraId="58A84AEC">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（6）磋商小组应当按照磋商文件中规定的评标方法和标准，对符合性审查合格的响应文件进行商务和技术评估，综合比较与评价。</w:t>
      </w:r>
    </w:p>
    <w:p w14:paraId="4819DA45">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综合评分法，是指响应文件满足磋商文件全部实质性要求，且按照评审因素的量化指标评审得分最高的供应商为成交候选人的评标方法。</w:t>
      </w:r>
    </w:p>
    <w:p w14:paraId="1A59B8B5">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7）采用综合评分法的，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w:t>
      </w:r>
    </w:p>
    <w:p w14:paraId="03D0C9A8">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（9）磋商小组成员对需要共同认定的事项存在争议的，应当按照少数服从多数的原则作出结论。持不同意见的磋商小组成员应当在评标报告上签署不同意见及理由，否则视为同意评标报告。</w:t>
      </w:r>
    </w:p>
    <w:p w14:paraId="6330297C">
      <w:pPr>
        <w:pStyle w:val="10"/>
        <w:keepNext w:val="0"/>
        <w:keepLines w:val="0"/>
        <w:pageBreakBefore w:val="0"/>
        <w:shd w:val="clear" w:color="auto" w:fill="auto"/>
        <w:kinsoku/>
        <w:wordWrap/>
        <w:overflowPunct/>
        <w:topLinePunct w:val="0"/>
        <w:bidi w:val="0"/>
        <w:snapToGrid w:val="0"/>
        <w:spacing w:before="0" w:beforeAutospacing="0" w:afterAutospacing="0" w:line="360" w:lineRule="exact"/>
        <w:textAlignment w:val="baseline"/>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.定标：</w:t>
      </w:r>
    </w:p>
    <w:p w14:paraId="19D83492">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（1）采购代理机构应当在评标结束后2个工作日内将评标报告送采购人。</w:t>
      </w:r>
    </w:p>
    <w:p w14:paraId="6E732B71">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2）采购人委托磋商小组直接确定成交人。磋商小组推荐成交候选供应商的数量为3家。采购人应当自收到评标报告之日起5个工作日内，在评标报告确定的成交候选人名单中按顺序确定成交人。成交候选人并列的，由采购人按照磋商文件规定的方式确定成交人。</w:t>
      </w:r>
    </w:p>
    <w:p w14:paraId="208C7D83">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 xml:space="preserve">（3）成交候选人并列式时的处理方式：评标结果按评审后得分由高到低顺序排列。得分相同的，按磋商报价由低到高顺序排列。得分且磋商报价相同的并列。响应文件满足磋商文件全部实质性要求，且按照评审因素的量化指标评审得分最高的供应商为排名第一的成交候选人。  </w:t>
      </w:r>
    </w:p>
    <w:p w14:paraId="2B3B3215">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（4）采购人在收到评标报告5个工作日内未按评标报告推荐的成交候选人顺序确定成交人，又不能说明合法理由的，视同按评标报告推荐的顺序确定排名第一的成交候选人为成交人。</w:t>
      </w:r>
    </w:p>
    <w:p w14:paraId="5CFA12F0">
      <w:pPr>
        <w:pStyle w:val="19"/>
        <w:keepNext w:val="0"/>
        <w:keepLines w:val="0"/>
        <w:pageBreakBefore w:val="0"/>
        <w:shd w:val="clear" w:color="auto" w:fill="auto"/>
        <w:kinsoku/>
        <w:wordWrap/>
        <w:overflowPunct/>
        <w:topLinePunct w:val="0"/>
        <w:autoSpaceDE/>
        <w:autoSpaceDN/>
        <w:bidi w:val="0"/>
        <w:adjustRightInd/>
        <w:snapToGrid w:val="0"/>
        <w:spacing w:beforeAutospacing="0" w:afterAutospacing="0" w:line="360" w:lineRule="exact"/>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9.答疑澄清：</w:t>
      </w:r>
    </w:p>
    <w:p w14:paraId="2C3EE7AA">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（1）磋商小组对于响应文件中含义不明确、同类问题表述不一致或者有明显文字和计算错误的内容，要求供应商以书面形式现场作出必要的澄清、说明或者补正。</w:t>
      </w:r>
    </w:p>
    <w:p w14:paraId="44C22DC4">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（2）供应商的澄清、说明或者补正应当采用书面形式，并加盖公章，或者由法定代表人或其授权的代表签字。供应商的澄清、说明或者补正不得超出响应文件的范围或者改变响应文件的实质性内容。</w:t>
      </w:r>
    </w:p>
    <w:p w14:paraId="724C382B">
      <w:pPr>
        <w:keepNext w:val="0"/>
        <w:keepLines w:val="0"/>
        <w:pageBreakBefore w:val="0"/>
        <w:widowControl/>
        <w:shd w:val="clear" w:color="auto" w:fill="auto"/>
        <w:kinsoku/>
        <w:wordWrap/>
        <w:overflowPunct/>
        <w:topLinePunct w:val="0"/>
        <w:bidi w:val="0"/>
        <w:snapToGrid w:val="0"/>
        <w:spacing w:beforeAutospacing="0" w:afterAutospacing="0" w:line="360" w:lineRule="exact"/>
        <w:textAlignment w:val="baseline"/>
        <w:rPr>
          <w:rFonts w:hint="eastAsia" w:ascii="宋体" w:hAnsi="宋体" w:eastAsia="宋体" w:cs="宋体"/>
          <w:color w:val="auto"/>
          <w:sz w:val="24"/>
          <w:szCs w:val="24"/>
          <w:highlight w:val="none"/>
        </w:rPr>
      </w:pPr>
      <w:r>
        <w:rPr>
          <w:rFonts w:hint="eastAsia" w:ascii="宋体" w:hAnsi="宋体" w:eastAsia="宋体" w:cs="宋体"/>
          <w:b/>
          <w:bCs/>
          <w:color w:val="auto"/>
          <w:sz w:val="24"/>
          <w:szCs w:val="24"/>
          <w:highlight w:val="none"/>
          <w:lang w:val="en-US" w:eastAsia="zh-CN"/>
        </w:rPr>
        <w:t>10</w:t>
      </w:r>
      <w:r>
        <w:rPr>
          <w:rFonts w:hint="eastAsia" w:ascii="宋体" w:hAnsi="宋体" w:eastAsia="宋体" w:cs="宋体"/>
          <w:b/>
          <w:bCs/>
          <w:color w:val="auto"/>
          <w:sz w:val="24"/>
          <w:szCs w:val="24"/>
          <w:highlight w:val="none"/>
        </w:rPr>
        <w:t>.评审标准</w:t>
      </w:r>
      <w:r>
        <w:rPr>
          <w:rFonts w:hint="eastAsia" w:ascii="宋体" w:hAnsi="宋体" w:eastAsia="宋体" w:cs="宋体"/>
          <w:color w:val="auto"/>
          <w:sz w:val="24"/>
          <w:szCs w:val="24"/>
          <w:highlight w:val="none"/>
        </w:rPr>
        <w:t>：（具体详见综合评分表）</w:t>
      </w:r>
    </w:p>
    <w:p w14:paraId="53154B9C">
      <w:pPr>
        <w:keepNext w:val="0"/>
        <w:keepLines w:val="0"/>
        <w:pageBreakBefore w:val="0"/>
        <w:widowControl/>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bCs w:val="0"/>
          <w:i w:val="0"/>
          <w:color w:val="auto"/>
          <w:spacing w:val="0"/>
          <w:w w:val="100"/>
          <w:sz w:val="24"/>
          <w:szCs w:val="24"/>
          <w:highlight w:val="none"/>
          <w:lang w:val="en-US" w:eastAsia="zh-CN"/>
        </w:rPr>
        <w:t>（1）</w:t>
      </w:r>
      <w:r>
        <w:rPr>
          <w:rFonts w:hint="eastAsia" w:ascii="宋体" w:hAnsi="宋体" w:eastAsia="宋体" w:cs="宋体"/>
          <w:b w:val="0"/>
          <w:bCs w:val="0"/>
          <w:i w:val="0"/>
          <w:color w:val="auto"/>
          <w:spacing w:val="0"/>
          <w:w w:val="100"/>
          <w:sz w:val="24"/>
          <w:szCs w:val="24"/>
          <w:highlight w:val="none"/>
        </w:rPr>
        <w:t>竞争性磋商共有两次报价，二次报价为最终报价，磋商小组所有成员集中与单一供应商分别进行磋商，并给予所有参加磋商的供应商平等的磋商机会， 磋商小组要求所有实质性响应的供应商在规定时间内提交最后报价，最后报价是供应商响应文件的有效组成部分，经磋商确定最终采购需求和提交最后报价的供应商后，由磋商小组采用综合评分法对提交最后报价的供应商的响应文件和最后报价进行综合评分。磋商小组应当从质量和服务均能满足采购文件实质性响应要求的供应商中，按照综合评分由高到低的顺序提出成交候选人，并编写评审报告，将结果通知所有参加磋商的未成交的供应商</w:t>
      </w:r>
      <w:r>
        <w:rPr>
          <w:rFonts w:hint="eastAsia" w:ascii="宋体" w:hAnsi="宋体" w:eastAsia="宋体" w:cs="宋体"/>
          <w:b w:val="0"/>
          <w:bCs w:val="0"/>
          <w:i w:val="0"/>
          <w:color w:val="auto"/>
          <w:spacing w:val="0"/>
          <w:w w:val="100"/>
          <w:sz w:val="24"/>
          <w:szCs w:val="24"/>
          <w:highlight w:val="none"/>
          <w:lang w:eastAsia="zh-CN"/>
        </w:rPr>
        <w:t>。</w:t>
      </w:r>
      <w:r>
        <w:rPr>
          <w:rFonts w:hint="eastAsia" w:ascii="宋体" w:hAnsi="宋体" w:eastAsia="宋体" w:cs="宋体"/>
          <w:b w:val="0"/>
          <w:bCs w:val="0"/>
          <w:i w:val="0"/>
          <w:color w:val="auto"/>
          <w:spacing w:val="0"/>
          <w:w w:val="100"/>
          <w:sz w:val="24"/>
          <w:szCs w:val="24"/>
          <w:highlight w:val="none"/>
          <w:lang w:val="en-US" w:eastAsia="zh-CN"/>
        </w:rPr>
        <w:t>　</w:t>
      </w:r>
      <w:r>
        <w:rPr>
          <w:rFonts w:hint="eastAsia" w:ascii="宋体" w:hAnsi="宋体" w:eastAsia="宋体" w:cs="宋体"/>
          <w:b w:val="0"/>
          <w:i w:val="0"/>
          <w:color w:val="auto"/>
          <w:spacing w:val="0"/>
          <w:w w:val="100"/>
          <w:sz w:val="24"/>
          <w:szCs w:val="24"/>
          <w:highlight w:val="none"/>
          <w:lang w:val="en-US" w:eastAsia="zh-CN"/>
        </w:rPr>
        <w:t>　</w:t>
      </w:r>
    </w:p>
    <w:p w14:paraId="13CBFC59">
      <w:pPr>
        <w:keepNext w:val="0"/>
        <w:keepLines w:val="0"/>
        <w:pageBreakBefore w:val="0"/>
        <w:shd w:val="clear" w:color="auto" w:fill="auto"/>
        <w:kinsoku/>
        <w:wordWrap/>
        <w:overflowPunct/>
        <w:topLinePunct w:val="0"/>
        <w:autoSpaceDE/>
        <w:autoSpaceDN/>
        <w:bidi w:val="0"/>
        <w:adjustRightInd/>
        <w:snapToGrid w:val="0"/>
        <w:spacing w:before="0" w:beforeAutospacing="0" w:after="0" w:afterAutospacing="0" w:line="360" w:lineRule="exact"/>
        <w:ind w:firstLine="480" w:firstLineChars="200"/>
        <w:jc w:val="both"/>
        <w:textAlignment w:val="baseline"/>
        <w:rPr>
          <w:rFonts w:hint="eastAsia" w:ascii="宋体" w:hAnsi="宋体" w:eastAsia="宋体" w:cs="宋体"/>
          <w:b w:val="0"/>
          <w:i w:val="0"/>
          <w:color w:val="auto"/>
          <w:spacing w:val="0"/>
          <w:w w:val="100"/>
          <w:sz w:val="24"/>
          <w:szCs w:val="24"/>
          <w:highlight w:val="none"/>
          <w:lang w:val="en-US" w:eastAsia="zh-CN"/>
        </w:rPr>
      </w:pPr>
      <w:r>
        <w:rPr>
          <w:rFonts w:hint="eastAsia" w:ascii="宋体" w:hAnsi="宋体" w:eastAsia="宋体" w:cs="宋体"/>
          <w:b w:val="0"/>
          <w:i w:val="0"/>
          <w:color w:val="auto"/>
          <w:spacing w:val="0"/>
          <w:w w:val="100"/>
          <w:sz w:val="24"/>
          <w:szCs w:val="24"/>
          <w:highlight w:val="none"/>
          <w:lang w:val="en-US" w:eastAsia="zh-CN"/>
        </w:rPr>
        <w:t xml:space="preserve">（2）推荐成交候选供应商的数量：3。 </w:t>
      </w:r>
    </w:p>
    <w:p w14:paraId="1A363299">
      <w:pPr>
        <w:rPr>
          <w:rFonts w:hint="eastAsia"/>
          <w:sz w:val="32"/>
          <w:szCs w:val="32"/>
        </w:rPr>
      </w:pPr>
    </w:p>
    <w:p w14:paraId="07AC7C4E">
      <w:pPr>
        <w:rPr>
          <w:rFonts w:hint="eastAsia"/>
          <w:sz w:val="32"/>
          <w:szCs w:val="32"/>
        </w:rPr>
      </w:pPr>
    </w:p>
    <w:p w14:paraId="575AD57C">
      <w:pPr>
        <w:rPr>
          <w:rFonts w:hint="eastAsia"/>
          <w:sz w:val="32"/>
          <w:szCs w:val="32"/>
        </w:rPr>
      </w:pPr>
    </w:p>
    <w:p w14:paraId="5D7B00EC">
      <w:pPr>
        <w:rPr>
          <w:rFonts w:hint="eastAsia"/>
          <w:sz w:val="32"/>
          <w:szCs w:val="32"/>
        </w:rPr>
      </w:pPr>
    </w:p>
    <w:p w14:paraId="2E02CC15">
      <w:pPr>
        <w:rPr>
          <w:rFonts w:hint="eastAsia"/>
          <w:sz w:val="32"/>
          <w:szCs w:val="32"/>
        </w:rPr>
      </w:pPr>
    </w:p>
    <w:p w14:paraId="00CB0D1E">
      <w:pPr>
        <w:rPr>
          <w:rFonts w:hint="eastAsia"/>
          <w:sz w:val="32"/>
          <w:szCs w:val="32"/>
        </w:rPr>
      </w:pPr>
    </w:p>
    <w:p w14:paraId="6BCB33E8">
      <w:pPr>
        <w:rPr>
          <w:rFonts w:hint="eastAsia"/>
          <w:sz w:val="32"/>
          <w:szCs w:val="32"/>
        </w:rPr>
      </w:pPr>
    </w:p>
    <w:p w14:paraId="1E90FBB8">
      <w:pPr>
        <w:rPr>
          <w:rFonts w:hint="eastAsia"/>
          <w:sz w:val="32"/>
          <w:szCs w:val="32"/>
        </w:rPr>
      </w:pPr>
    </w:p>
    <w:p w14:paraId="61B0C932">
      <w:pPr>
        <w:rPr>
          <w:rFonts w:hint="eastAsia"/>
          <w:sz w:val="32"/>
          <w:szCs w:val="32"/>
        </w:rPr>
      </w:pPr>
    </w:p>
    <w:p w14:paraId="6F3F657F">
      <w:pPr>
        <w:pStyle w:val="3"/>
        <w:snapToGrid w:val="0"/>
        <w:spacing w:before="0" w:after="0" w:line="360" w:lineRule="exact"/>
        <w:ind w:left="1080" w:leftChars="257" w:hanging="540"/>
        <w:textAlignment w:val="baseline"/>
        <w:rPr>
          <w:rFonts w:hint="eastAsia" w:ascii="宋体" w:hAnsi="宋体" w:eastAsia="宋体" w:cs="宋体"/>
          <w:sz w:val="28"/>
          <w:szCs w:val="28"/>
        </w:rPr>
      </w:pPr>
      <w:bookmarkStart w:id="717" w:name="_Toc15342"/>
      <w:r>
        <w:rPr>
          <w:rFonts w:hint="eastAsia" w:ascii="宋体" w:hAnsi="宋体" w:eastAsia="宋体" w:cs="宋体"/>
          <w:sz w:val="28"/>
          <w:szCs w:val="28"/>
        </w:rPr>
        <w:t>初步评审—资格性审查表</w:t>
      </w:r>
      <w:bookmarkEnd w:id="717"/>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
        <w:gridCol w:w="6599"/>
        <w:gridCol w:w="489"/>
        <w:gridCol w:w="489"/>
        <w:gridCol w:w="501"/>
      </w:tblGrid>
      <w:tr w14:paraId="52AB13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 w:hRule="atLeast"/>
          <w:jc w:val="center"/>
        </w:trPr>
        <w:tc>
          <w:tcPr>
            <w:tcW w:w="447" w:type="dxa"/>
            <w:vMerge w:val="restart"/>
            <w:vAlign w:val="center"/>
          </w:tcPr>
          <w:p w14:paraId="21C49972">
            <w:pPr>
              <w:jc w:val="center"/>
              <w:rPr>
                <w:rFonts w:hint="eastAsia" w:ascii="宋体" w:hAnsi="宋体" w:cs="宋体"/>
                <w:b/>
                <w:bCs/>
                <w:sz w:val="22"/>
                <w:szCs w:val="22"/>
              </w:rPr>
            </w:pPr>
            <w:r>
              <w:rPr>
                <w:rFonts w:hint="eastAsia" w:ascii="宋体" w:hAnsi="宋体" w:cs="宋体"/>
                <w:b/>
                <w:bCs/>
                <w:sz w:val="22"/>
                <w:szCs w:val="22"/>
              </w:rPr>
              <w:t>序号</w:t>
            </w:r>
          </w:p>
        </w:tc>
        <w:tc>
          <w:tcPr>
            <w:tcW w:w="6572" w:type="dxa"/>
            <w:vMerge w:val="restart"/>
            <w:vAlign w:val="center"/>
          </w:tcPr>
          <w:p w14:paraId="0A5E693C">
            <w:pPr>
              <w:jc w:val="center"/>
              <w:rPr>
                <w:rFonts w:hint="eastAsia" w:ascii="宋体" w:hAnsi="宋体" w:cs="宋体"/>
                <w:b/>
                <w:bCs/>
                <w:sz w:val="22"/>
                <w:szCs w:val="22"/>
              </w:rPr>
            </w:pPr>
            <w:r>
              <w:rPr>
                <w:rFonts w:hint="eastAsia" w:ascii="宋体" w:hAnsi="宋体" w:cs="宋体"/>
                <w:b/>
                <w:bCs/>
                <w:sz w:val="22"/>
                <w:szCs w:val="22"/>
              </w:rPr>
              <w:t>评审内容</w:t>
            </w:r>
          </w:p>
        </w:tc>
        <w:tc>
          <w:tcPr>
            <w:tcW w:w="1476" w:type="dxa"/>
            <w:gridSpan w:val="3"/>
            <w:vAlign w:val="center"/>
          </w:tcPr>
          <w:p w14:paraId="551FC52D">
            <w:pPr>
              <w:jc w:val="center"/>
              <w:rPr>
                <w:rFonts w:hint="eastAsia" w:ascii="宋体" w:hAnsi="宋体" w:cs="宋体"/>
                <w:b/>
                <w:bCs/>
                <w:sz w:val="22"/>
                <w:szCs w:val="22"/>
              </w:rPr>
            </w:pPr>
            <w:r>
              <w:rPr>
                <w:rFonts w:hint="eastAsia" w:ascii="宋体" w:hAnsi="宋体" w:cs="宋体"/>
                <w:b/>
                <w:bCs/>
                <w:sz w:val="22"/>
                <w:szCs w:val="22"/>
              </w:rPr>
              <w:t>供应商</w:t>
            </w:r>
          </w:p>
        </w:tc>
      </w:tr>
      <w:tr w14:paraId="715B6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6" w:hRule="atLeast"/>
          <w:jc w:val="center"/>
        </w:trPr>
        <w:tc>
          <w:tcPr>
            <w:tcW w:w="447" w:type="dxa"/>
            <w:vMerge w:val="continue"/>
            <w:vAlign w:val="center"/>
          </w:tcPr>
          <w:p w14:paraId="173678B2">
            <w:pPr>
              <w:jc w:val="center"/>
              <w:rPr>
                <w:rFonts w:hint="eastAsia" w:ascii="宋体" w:hAnsi="宋体" w:cs="宋体"/>
                <w:b/>
                <w:bCs/>
                <w:sz w:val="22"/>
                <w:szCs w:val="22"/>
              </w:rPr>
            </w:pPr>
          </w:p>
        </w:tc>
        <w:tc>
          <w:tcPr>
            <w:tcW w:w="6572" w:type="dxa"/>
            <w:vMerge w:val="continue"/>
            <w:vAlign w:val="center"/>
          </w:tcPr>
          <w:p w14:paraId="25BEA6CB">
            <w:pPr>
              <w:jc w:val="center"/>
              <w:rPr>
                <w:rFonts w:hint="eastAsia" w:ascii="宋体" w:hAnsi="宋体" w:cs="宋体"/>
                <w:b/>
                <w:bCs/>
                <w:sz w:val="22"/>
                <w:szCs w:val="22"/>
              </w:rPr>
            </w:pPr>
          </w:p>
        </w:tc>
        <w:tc>
          <w:tcPr>
            <w:tcW w:w="488" w:type="dxa"/>
            <w:vAlign w:val="center"/>
          </w:tcPr>
          <w:p w14:paraId="3645C0BB">
            <w:pPr>
              <w:jc w:val="center"/>
              <w:rPr>
                <w:rFonts w:hint="eastAsia" w:ascii="宋体" w:hAnsi="宋体" w:cs="宋体"/>
                <w:b/>
                <w:bCs/>
                <w:sz w:val="22"/>
                <w:szCs w:val="22"/>
              </w:rPr>
            </w:pPr>
            <w:r>
              <w:rPr>
                <w:rFonts w:hint="eastAsia" w:ascii="宋体" w:hAnsi="宋体" w:cs="宋体"/>
                <w:b/>
                <w:bCs/>
                <w:sz w:val="22"/>
                <w:szCs w:val="22"/>
              </w:rPr>
              <w:t>是否合格</w:t>
            </w:r>
          </w:p>
        </w:tc>
        <w:tc>
          <w:tcPr>
            <w:tcW w:w="488" w:type="dxa"/>
            <w:vAlign w:val="center"/>
          </w:tcPr>
          <w:p w14:paraId="1F2F2198">
            <w:pPr>
              <w:jc w:val="center"/>
              <w:rPr>
                <w:rFonts w:hint="eastAsia" w:ascii="宋体" w:hAnsi="宋体" w:cs="宋体"/>
                <w:b/>
                <w:bCs/>
                <w:sz w:val="22"/>
                <w:szCs w:val="22"/>
              </w:rPr>
            </w:pPr>
            <w:r>
              <w:rPr>
                <w:rFonts w:hint="eastAsia" w:ascii="宋体" w:hAnsi="宋体" w:cs="宋体"/>
                <w:b/>
                <w:bCs/>
                <w:sz w:val="22"/>
                <w:szCs w:val="22"/>
              </w:rPr>
              <w:t>是否合格</w:t>
            </w:r>
          </w:p>
        </w:tc>
        <w:tc>
          <w:tcPr>
            <w:tcW w:w="500" w:type="dxa"/>
            <w:vAlign w:val="center"/>
          </w:tcPr>
          <w:p w14:paraId="7B2B3867">
            <w:pPr>
              <w:jc w:val="center"/>
              <w:rPr>
                <w:rFonts w:hint="eastAsia" w:ascii="宋体" w:hAnsi="宋体" w:cs="宋体"/>
                <w:b/>
                <w:bCs/>
                <w:sz w:val="22"/>
                <w:szCs w:val="22"/>
              </w:rPr>
            </w:pPr>
            <w:r>
              <w:rPr>
                <w:rFonts w:hint="eastAsia" w:ascii="宋体" w:hAnsi="宋体" w:cs="宋体"/>
                <w:b/>
                <w:bCs/>
                <w:sz w:val="22"/>
                <w:szCs w:val="22"/>
              </w:rPr>
              <w:t>是否合格</w:t>
            </w:r>
          </w:p>
        </w:tc>
      </w:tr>
      <w:tr w14:paraId="1170E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8" w:hRule="atLeast"/>
          <w:jc w:val="center"/>
        </w:trPr>
        <w:tc>
          <w:tcPr>
            <w:tcW w:w="447" w:type="dxa"/>
            <w:vAlign w:val="center"/>
          </w:tcPr>
          <w:p w14:paraId="06410FC0">
            <w:pPr>
              <w:jc w:val="center"/>
              <w:rPr>
                <w:rFonts w:hint="eastAsia" w:ascii="宋体" w:hAnsi="宋体" w:cs="宋体"/>
                <w:spacing w:val="-2"/>
                <w:szCs w:val="21"/>
              </w:rPr>
            </w:pPr>
            <w:r>
              <w:rPr>
                <w:rFonts w:hint="eastAsia" w:ascii="宋体" w:hAnsi="宋体" w:cs="宋体"/>
                <w:spacing w:val="-2"/>
                <w:szCs w:val="21"/>
              </w:rPr>
              <w:t>1</w:t>
            </w:r>
          </w:p>
        </w:tc>
        <w:tc>
          <w:tcPr>
            <w:tcW w:w="6572" w:type="dxa"/>
            <w:vAlign w:val="center"/>
          </w:tcPr>
          <w:p w14:paraId="31F9ED0F">
            <w:pPr>
              <w:jc w:val="left"/>
              <w:rPr>
                <w:rFonts w:hint="eastAsia" w:ascii="宋体" w:hAnsi="宋体" w:cs="宋体"/>
                <w:spacing w:val="-2"/>
                <w:szCs w:val="21"/>
              </w:rPr>
            </w:pPr>
            <w:r>
              <w:rPr>
                <w:rFonts w:hint="eastAsia" w:ascii="宋体" w:hAnsi="宋体" w:cs="宋体"/>
                <w:spacing w:val="-2"/>
                <w:szCs w:val="21"/>
                <w:lang w:eastAsia="zh-CN"/>
              </w:rPr>
              <w:t>具有有效的营业执照</w:t>
            </w:r>
            <w:r>
              <w:rPr>
                <w:rFonts w:hint="eastAsia" w:ascii="宋体" w:hAnsi="宋体" w:cs="宋体"/>
                <w:spacing w:val="-2"/>
                <w:szCs w:val="21"/>
              </w:rPr>
              <w:t>；</w:t>
            </w:r>
          </w:p>
        </w:tc>
        <w:tc>
          <w:tcPr>
            <w:tcW w:w="488" w:type="dxa"/>
          </w:tcPr>
          <w:p w14:paraId="0C3457FB">
            <w:pPr>
              <w:rPr>
                <w:rFonts w:hint="eastAsia" w:ascii="宋体" w:hAnsi="宋体" w:cs="宋体"/>
                <w:sz w:val="22"/>
                <w:szCs w:val="22"/>
              </w:rPr>
            </w:pPr>
          </w:p>
        </w:tc>
        <w:tc>
          <w:tcPr>
            <w:tcW w:w="488" w:type="dxa"/>
          </w:tcPr>
          <w:p w14:paraId="11332A8E">
            <w:pPr>
              <w:rPr>
                <w:rFonts w:hint="eastAsia" w:ascii="宋体" w:hAnsi="宋体" w:cs="宋体"/>
                <w:sz w:val="22"/>
                <w:szCs w:val="22"/>
              </w:rPr>
            </w:pPr>
          </w:p>
        </w:tc>
        <w:tc>
          <w:tcPr>
            <w:tcW w:w="500" w:type="dxa"/>
          </w:tcPr>
          <w:p w14:paraId="622AB89E">
            <w:pPr>
              <w:rPr>
                <w:rFonts w:hint="eastAsia" w:ascii="宋体" w:hAnsi="宋体" w:cs="宋体"/>
                <w:sz w:val="22"/>
                <w:szCs w:val="22"/>
              </w:rPr>
            </w:pPr>
          </w:p>
        </w:tc>
      </w:tr>
      <w:tr w14:paraId="7EB22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7" w:type="dxa"/>
            <w:vAlign w:val="center"/>
          </w:tcPr>
          <w:p w14:paraId="11E32ABA">
            <w:pPr>
              <w:jc w:val="center"/>
              <w:rPr>
                <w:rFonts w:hint="eastAsia" w:ascii="宋体" w:hAnsi="宋体" w:cs="宋体"/>
                <w:spacing w:val="-2"/>
                <w:szCs w:val="21"/>
              </w:rPr>
            </w:pPr>
            <w:r>
              <w:rPr>
                <w:rFonts w:hint="eastAsia" w:ascii="宋体" w:hAnsi="宋体" w:cs="宋体"/>
                <w:spacing w:val="-2"/>
                <w:szCs w:val="21"/>
              </w:rPr>
              <w:t>2</w:t>
            </w:r>
          </w:p>
        </w:tc>
        <w:tc>
          <w:tcPr>
            <w:tcW w:w="6572" w:type="dxa"/>
            <w:vAlign w:val="center"/>
          </w:tcPr>
          <w:p w14:paraId="4725D1E1">
            <w:pPr>
              <w:jc w:val="left"/>
              <w:rPr>
                <w:rFonts w:hint="eastAsia" w:ascii="宋体" w:hAnsi="宋体" w:cs="宋体"/>
                <w:spacing w:val="-2"/>
                <w:szCs w:val="21"/>
              </w:rPr>
            </w:pPr>
            <w:r>
              <w:rPr>
                <w:rFonts w:hint="eastAsia" w:ascii="宋体" w:hAnsi="宋体" w:cs="宋体"/>
                <w:spacing w:val="-2"/>
                <w:szCs w:val="21"/>
                <w:lang w:eastAsia="zh-CN"/>
              </w:rPr>
              <w:t>法定代表人资格证明(法定代表人磋商须提供身份证)</w:t>
            </w:r>
            <w:r>
              <w:rPr>
                <w:rFonts w:hint="eastAsia" w:ascii="宋体" w:hAnsi="宋体" w:cs="宋体"/>
                <w:spacing w:val="-2"/>
                <w:szCs w:val="21"/>
              </w:rPr>
              <w:t>；</w:t>
            </w:r>
          </w:p>
        </w:tc>
        <w:tc>
          <w:tcPr>
            <w:tcW w:w="488" w:type="dxa"/>
          </w:tcPr>
          <w:p w14:paraId="3122EFC7">
            <w:pPr>
              <w:rPr>
                <w:rFonts w:hint="eastAsia" w:ascii="宋体" w:hAnsi="宋体" w:cs="宋体"/>
                <w:sz w:val="22"/>
                <w:szCs w:val="22"/>
              </w:rPr>
            </w:pPr>
          </w:p>
        </w:tc>
        <w:tc>
          <w:tcPr>
            <w:tcW w:w="488" w:type="dxa"/>
          </w:tcPr>
          <w:p w14:paraId="7A784D1F">
            <w:pPr>
              <w:rPr>
                <w:rFonts w:hint="eastAsia" w:ascii="宋体" w:hAnsi="宋体" w:cs="宋体"/>
                <w:sz w:val="22"/>
                <w:szCs w:val="22"/>
              </w:rPr>
            </w:pPr>
          </w:p>
        </w:tc>
        <w:tc>
          <w:tcPr>
            <w:tcW w:w="500" w:type="dxa"/>
          </w:tcPr>
          <w:p w14:paraId="61A082B0">
            <w:pPr>
              <w:rPr>
                <w:rFonts w:hint="eastAsia" w:ascii="宋体" w:hAnsi="宋体" w:cs="宋体"/>
                <w:sz w:val="22"/>
                <w:szCs w:val="22"/>
              </w:rPr>
            </w:pPr>
          </w:p>
        </w:tc>
      </w:tr>
      <w:tr w14:paraId="12348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447" w:type="dxa"/>
            <w:vAlign w:val="center"/>
          </w:tcPr>
          <w:p w14:paraId="3063AD87">
            <w:pPr>
              <w:jc w:val="center"/>
              <w:rPr>
                <w:rFonts w:hint="eastAsia" w:ascii="宋体" w:hAnsi="宋体" w:cs="宋体"/>
                <w:spacing w:val="-2"/>
                <w:szCs w:val="21"/>
              </w:rPr>
            </w:pPr>
            <w:r>
              <w:rPr>
                <w:rFonts w:hint="eastAsia" w:ascii="宋体" w:hAnsi="宋体" w:cs="宋体"/>
                <w:spacing w:val="-2"/>
                <w:szCs w:val="21"/>
              </w:rPr>
              <w:t>3</w:t>
            </w:r>
          </w:p>
        </w:tc>
        <w:tc>
          <w:tcPr>
            <w:tcW w:w="6572" w:type="dxa"/>
            <w:vAlign w:val="center"/>
          </w:tcPr>
          <w:p w14:paraId="1512514C">
            <w:pPr>
              <w:jc w:val="left"/>
              <w:rPr>
                <w:rFonts w:hint="eastAsia" w:ascii="宋体" w:hAnsi="宋体" w:cs="宋体"/>
                <w:spacing w:val="-2"/>
                <w:szCs w:val="21"/>
              </w:rPr>
            </w:pPr>
            <w:r>
              <w:rPr>
                <w:rFonts w:hint="eastAsia" w:ascii="宋体" w:hAnsi="宋体" w:cs="宋体"/>
                <w:spacing w:val="-2"/>
                <w:szCs w:val="21"/>
                <w:lang w:eastAsia="zh-CN"/>
              </w:rPr>
              <w:t>近两年任意一年的财务审计报告，新成立的公司提供近三个月内任意一个月的银行资信证明</w:t>
            </w:r>
            <w:r>
              <w:rPr>
                <w:rFonts w:hint="eastAsia" w:ascii="宋体" w:hAnsi="宋体" w:cs="宋体"/>
                <w:spacing w:val="-2"/>
                <w:szCs w:val="21"/>
              </w:rPr>
              <w:t>；</w:t>
            </w:r>
          </w:p>
        </w:tc>
        <w:tc>
          <w:tcPr>
            <w:tcW w:w="488" w:type="dxa"/>
          </w:tcPr>
          <w:p w14:paraId="29F46082">
            <w:pPr>
              <w:rPr>
                <w:rFonts w:hint="eastAsia" w:ascii="宋体" w:hAnsi="宋体" w:cs="宋体"/>
                <w:sz w:val="22"/>
                <w:szCs w:val="22"/>
              </w:rPr>
            </w:pPr>
          </w:p>
        </w:tc>
        <w:tc>
          <w:tcPr>
            <w:tcW w:w="488" w:type="dxa"/>
          </w:tcPr>
          <w:p w14:paraId="53394F1F">
            <w:pPr>
              <w:rPr>
                <w:rFonts w:hint="eastAsia" w:ascii="宋体" w:hAnsi="宋体" w:cs="宋体"/>
                <w:sz w:val="22"/>
                <w:szCs w:val="22"/>
              </w:rPr>
            </w:pPr>
          </w:p>
        </w:tc>
        <w:tc>
          <w:tcPr>
            <w:tcW w:w="500" w:type="dxa"/>
          </w:tcPr>
          <w:p w14:paraId="2CA4D574">
            <w:pPr>
              <w:rPr>
                <w:rFonts w:hint="eastAsia" w:ascii="宋体" w:hAnsi="宋体" w:cs="宋体"/>
                <w:sz w:val="22"/>
                <w:szCs w:val="22"/>
              </w:rPr>
            </w:pPr>
          </w:p>
        </w:tc>
      </w:tr>
      <w:tr w14:paraId="15C799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9" w:hRule="atLeast"/>
          <w:jc w:val="center"/>
        </w:trPr>
        <w:tc>
          <w:tcPr>
            <w:tcW w:w="447" w:type="dxa"/>
            <w:vAlign w:val="center"/>
          </w:tcPr>
          <w:p w14:paraId="3262F295">
            <w:pPr>
              <w:jc w:val="center"/>
              <w:rPr>
                <w:rFonts w:hint="eastAsia" w:ascii="宋体" w:hAnsi="宋体" w:cs="宋体"/>
                <w:spacing w:val="-2"/>
                <w:szCs w:val="21"/>
              </w:rPr>
            </w:pPr>
            <w:r>
              <w:rPr>
                <w:rFonts w:hint="eastAsia" w:ascii="宋体" w:hAnsi="宋体" w:cs="宋体"/>
                <w:spacing w:val="-2"/>
                <w:szCs w:val="21"/>
              </w:rPr>
              <w:t>4</w:t>
            </w:r>
          </w:p>
        </w:tc>
        <w:tc>
          <w:tcPr>
            <w:tcW w:w="6572" w:type="dxa"/>
            <w:vAlign w:val="center"/>
          </w:tcPr>
          <w:p w14:paraId="00B3A890">
            <w:pPr>
              <w:jc w:val="left"/>
              <w:rPr>
                <w:rFonts w:hint="eastAsia" w:ascii="宋体" w:hAnsi="宋体" w:cs="宋体"/>
                <w:spacing w:val="-2"/>
                <w:szCs w:val="21"/>
              </w:rPr>
            </w:pPr>
            <w:r>
              <w:rPr>
                <w:rFonts w:hint="eastAsia" w:ascii="宋体" w:hAnsi="宋体" w:cs="宋体"/>
                <w:spacing w:val="-2"/>
                <w:szCs w:val="21"/>
                <w:lang w:eastAsia="zh-CN"/>
              </w:rPr>
              <w:t>提供依法缴纳近6个月任意1个月社会保险的证明</w:t>
            </w:r>
            <w:r>
              <w:rPr>
                <w:rFonts w:hint="eastAsia" w:ascii="宋体" w:hAnsi="宋体" w:cs="宋体"/>
                <w:spacing w:val="-2"/>
                <w:szCs w:val="21"/>
              </w:rPr>
              <w:t>；</w:t>
            </w:r>
          </w:p>
        </w:tc>
        <w:tc>
          <w:tcPr>
            <w:tcW w:w="488" w:type="dxa"/>
          </w:tcPr>
          <w:p w14:paraId="372B216B">
            <w:pPr>
              <w:rPr>
                <w:rFonts w:hint="eastAsia" w:ascii="宋体" w:hAnsi="宋体" w:cs="宋体"/>
                <w:sz w:val="22"/>
                <w:szCs w:val="22"/>
              </w:rPr>
            </w:pPr>
          </w:p>
        </w:tc>
        <w:tc>
          <w:tcPr>
            <w:tcW w:w="488" w:type="dxa"/>
          </w:tcPr>
          <w:p w14:paraId="1D37A0C0">
            <w:pPr>
              <w:rPr>
                <w:rFonts w:hint="eastAsia" w:ascii="宋体" w:hAnsi="宋体" w:cs="宋体"/>
                <w:sz w:val="22"/>
                <w:szCs w:val="22"/>
              </w:rPr>
            </w:pPr>
          </w:p>
        </w:tc>
        <w:tc>
          <w:tcPr>
            <w:tcW w:w="500" w:type="dxa"/>
          </w:tcPr>
          <w:p w14:paraId="113A4EA0">
            <w:pPr>
              <w:rPr>
                <w:rFonts w:hint="eastAsia" w:ascii="宋体" w:hAnsi="宋体" w:cs="宋体"/>
                <w:sz w:val="22"/>
                <w:szCs w:val="22"/>
              </w:rPr>
            </w:pPr>
          </w:p>
        </w:tc>
      </w:tr>
      <w:tr w14:paraId="70F1EF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447" w:type="dxa"/>
            <w:vAlign w:val="center"/>
          </w:tcPr>
          <w:p w14:paraId="53076F19">
            <w:pPr>
              <w:jc w:val="center"/>
              <w:rPr>
                <w:rFonts w:hint="eastAsia" w:ascii="宋体" w:hAnsi="宋体" w:cs="宋体"/>
                <w:spacing w:val="-2"/>
                <w:szCs w:val="21"/>
              </w:rPr>
            </w:pPr>
            <w:r>
              <w:rPr>
                <w:rFonts w:hint="eastAsia" w:ascii="宋体" w:hAnsi="宋体" w:cs="宋体"/>
                <w:spacing w:val="-2"/>
                <w:szCs w:val="21"/>
              </w:rPr>
              <w:t>5</w:t>
            </w:r>
          </w:p>
        </w:tc>
        <w:tc>
          <w:tcPr>
            <w:tcW w:w="6572" w:type="dxa"/>
            <w:vAlign w:val="center"/>
          </w:tcPr>
          <w:p w14:paraId="5468239B">
            <w:pPr>
              <w:jc w:val="left"/>
              <w:rPr>
                <w:rFonts w:hint="eastAsia" w:ascii="宋体" w:hAnsi="宋体" w:cs="宋体"/>
                <w:spacing w:val="-2"/>
                <w:szCs w:val="21"/>
              </w:rPr>
            </w:pPr>
            <w:r>
              <w:rPr>
                <w:rFonts w:hint="eastAsia" w:ascii="宋体" w:hAnsi="宋体" w:cs="宋体"/>
                <w:spacing w:val="-2"/>
                <w:szCs w:val="21"/>
                <w:lang w:eastAsia="zh-CN"/>
              </w:rPr>
              <w:t>提供依法缴纳近6个月任意1个月的税收证明</w:t>
            </w:r>
            <w:r>
              <w:rPr>
                <w:rFonts w:hint="eastAsia" w:ascii="宋体" w:hAnsi="宋体" w:cs="宋体"/>
                <w:spacing w:val="-2"/>
                <w:szCs w:val="21"/>
              </w:rPr>
              <w:t>；</w:t>
            </w:r>
          </w:p>
        </w:tc>
        <w:tc>
          <w:tcPr>
            <w:tcW w:w="488" w:type="dxa"/>
          </w:tcPr>
          <w:p w14:paraId="60A8EF4A">
            <w:pPr>
              <w:rPr>
                <w:rFonts w:hint="eastAsia" w:ascii="宋体" w:hAnsi="宋体" w:cs="宋体"/>
                <w:sz w:val="22"/>
                <w:szCs w:val="22"/>
              </w:rPr>
            </w:pPr>
          </w:p>
        </w:tc>
        <w:tc>
          <w:tcPr>
            <w:tcW w:w="488" w:type="dxa"/>
          </w:tcPr>
          <w:p w14:paraId="476E64BC">
            <w:pPr>
              <w:rPr>
                <w:rFonts w:hint="eastAsia" w:ascii="宋体" w:hAnsi="宋体" w:cs="宋体"/>
                <w:sz w:val="22"/>
                <w:szCs w:val="22"/>
              </w:rPr>
            </w:pPr>
          </w:p>
        </w:tc>
        <w:tc>
          <w:tcPr>
            <w:tcW w:w="500" w:type="dxa"/>
          </w:tcPr>
          <w:p w14:paraId="1A94454D">
            <w:pPr>
              <w:rPr>
                <w:rFonts w:hint="eastAsia" w:ascii="宋体" w:hAnsi="宋体" w:cs="宋体"/>
                <w:sz w:val="22"/>
                <w:szCs w:val="22"/>
              </w:rPr>
            </w:pPr>
          </w:p>
        </w:tc>
      </w:tr>
      <w:tr w14:paraId="0D1AC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8" w:hRule="atLeast"/>
          <w:jc w:val="center"/>
        </w:trPr>
        <w:tc>
          <w:tcPr>
            <w:tcW w:w="447" w:type="dxa"/>
            <w:vAlign w:val="center"/>
          </w:tcPr>
          <w:p w14:paraId="06E074D6">
            <w:pPr>
              <w:jc w:val="center"/>
              <w:rPr>
                <w:rFonts w:hint="eastAsia" w:ascii="宋体" w:hAnsi="宋体" w:cs="宋体"/>
                <w:spacing w:val="-2"/>
                <w:szCs w:val="21"/>
              </w:rPr>
            </w:pPr>
            <w:r>
              <w:rPr>
                <w:rFonts w:hint="eastAsia" w:ascii="宋体" w:hAnsi="宋体" w:cs="宋体"/>
                <w:spacing w:val="-2"/>
                <w:szCs w:val="21"/>
              </w:rPr>
              <w:t>6</w:t>
            </w:r>
          </w:p>
        </w:tc>
        <w:tc>
          <w:tcPr>
            <w:tcW w:w="6572" w:type="dxa"/>
            <w:vAlign w:val="center"/>
          </w:tcPr>
          <w:p w14:paraId="099E1381">
            <w:pPr>
              <w:jc w:val="left"/>
              <w:rPr>
                <w:rFonts w:hint="eastAsia" w:ascii="宋体" w:hAnsi="宋体" w:cs="宋体"/>
                <w:spacing w:val="-2"/>
                <w:szCs w:val="21"/>
              </w:rPr>
            </w:pPr>
            <w:r>
              <w:rPr>
                <w:rFonts w:hint="eastAsia" w:ascii="宋体" w:hAnsi="宋体" w:cs="宋体"/>
                <w:spacing w:val="-2"/>
                <w:szCs w:val="21"/>
                <w:lang w:eastAsia="zh-CN"/>
              </w:rPr>
              <w:t>根据《财政部关于在政府采购活动中查询及使用信用记录有关问题的通知》（财库﹝2016﹞125号）的要求，凡拟参加本次招标项目的投标人，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宋体" w:hAnsi="宋体" w:cs="宋体"/>
                <w:spacing w:val="-2"/>
                <w:szCs w:val="21"/>
              </w:rPr>
              <w:t>；</w:t>
            </w:r>
          </w:p>
        </w:tc>
        <w:tc>
          <w:tcPr>
            <w:tcW w:w="488" w:type="dxa"/>
          </w:tcPr>
          <w:p w14:paraId="5C82A527">
            <w:pPr>
              <w:rPr>
                <w:rFonts w:hint="eastAsia" w:ascii="宋体" w:hAnsi="宋体" w:cs="宋体"/>
                <w:sz w:val="22"/>
                <w:szCs w:val="22"/>
              </w:rPr>
            </w:pPr>
          </w:p>
        </w:tc>
        <w:tc>
          <w:tcPr>
            <w:tcW w:w="488" w:type="dxa"/>
          </w:tcPr>
          <w:p w14:paraId="26DB4DF5">
            <w:pPr>
              <w:rPr>
                <w:rFonts w:hint="eastAsia" w:ascii="宋体" w:hAnsi="宋体" w:cs="宋体"/>
                <w:sz w:val="22"/>
                <w:szCs w:val="22"/>
              </w:rPr>
            </w:pPr>
          </w:p>
        </w:tc>
        <w:tc>
          <w:tcPr>
            <w:tcW w:w="500" w:type="dxa"/>
          </w:tcPr>
          <w:p w14:paraId="03C79ECA">
            <w:pPr>
              <w:rPr>
                <w:rFonts w:hint="eastAsia" w:ascii="宋体" w:hAnsi="宋体" w:cs="宋体"/>
                <w:sz w:val="22"/>
                <w:szCs w:val="22"/>
              </w:rPr>
            </w:pPr>
          </w:p>
        </w:tc>
      </w:tr>
      <w:tr w14:paraId="6FE1D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7" w:type="dxa"/>
            <w:vAlign w:val="center"/>
          </w:tcPr>
          <w:p w14:paraId="3004F916">
            <w:pPr>
              <w:jc w:val="center"/>
              <w:rPr>
                <w:rFonts w:hint="eastAsia" w:ascii="宋体" w:hAnsi="宋体" w:cs="宋体"/>
                <w:spacing w:val="-2"/>
                <w:szCs w:val="21"/>
              </w:rPr>
            </w:pPr>
            <w:r>
              <w:rPr>
                <w:rFonts w:hint="eastAsia" w:ascii="宋体" w:hAnsi="宋体" w:cs="宋体"/>
                <w:spacing w:val="-2"/>
                <w:szCs w:val="21"/>
              </w:rPr>
              <w:t>7</w:t>
            </w:r>
          </w:p>
        </w:tc>
        <w:tc>
          <w:tcPr>
            <w:tcW w:w="6572" w:type="dxa"/>
            <w:vAlign w:val="center"/>
          </w:tcPr>
          <w:p w14:paraId="2B636171">
            <w:pPr>
              <w:jc w:val="left"/>
              <w:rPr>
                <w:rFonts w:hint="eastAsia" w:ascii="宋体" w:hAnsi="宋体" w:cs="宋体"/>
                <w:spacing w:val="-2"/>
                <w:szCs w:val="21"/>
              </w:rPr>
            </w:pPr>
            <w:r>
              <w:rPr>
                <w:rFonts w:hint="eastAsia" w:ascii="宋体" w:hAnsi="宋体" w:cs="宋体"/>
                <w:spacing w:val="-2"/>
                <w:szCs w:val="21"/>
              </w:rPr>
              <w:t>参加政府采购活动前三年内在经营活动中没有重大违法记录的书面声明；</w:t>
            </w:r>
          </w:p>
        </w:tc>
        <w:tc>
          <w:tcPr>
            <w:tcW w:w="488" w:type="dxa"/>
          </w:tcPr>
          <w:p w14:paraId="3AB8305D">
            <w:pPr>
              <w:rPr>
                <w:rFonts w:hint="eastAsia" w:ascii="宋体" w:hAnsi="宋体" w:cs="宋体"/>
                <w:sz w:val="22"/>
                <w:szCs w:val="22"/>
              </w:rPr>
            </w:pPr>
          </w:p>
        </w:tc>
        <w:tc>
          <w:tcPr>
            <w:tcW w:w="488" w:type="dxa"/>
          </w:tcPr>
          <w:p w14:paraId="50932D8D">
            <w:pPr>
              <w:rPr>
                <w:rFonts w:hint="eastAsia" w:ascii="宋体" w:hAnsi="宋体" w:cs="宋体"/>
                <w:sz w:val="22"/>
                <w:szCs w:val="22"/>
              </w:rPr>
            </w:pPr>
          </w:p>
        </w:tc>
        <w:tc>
          <w:tcPr>
            <w:tcW w:w="500" w:type="dxa"/>
          </w:tcPr>
          <w:p w14:paraId="56B66A77">
            <w:pPr>
              <w:rPr>
                <w:rFonts w:hint="eastAsia" w:ascii="宋体" w:hAnsi="宋体" w:cs="宋体"/>
                <w:sz w:val="22"/>
                <w:szCs w:val="22"/>
              </w:rPr>
            </w:pPr>
          </w:p>
        </w:tc>
      </w:tr>
      <w:tr w14:paraId="1BA4CC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 w:hRule="atLeast"/>
          <w:jc w:val="center"/>
        </w:trPr>
        <w:tc>
          <w:tcPr>
            <w:tcW w:w="447" w:type="dxa"/>
            <w:vAlign w:val="center"/>
          </w:tcPr>
          <w:p w14:paraId="0E97F0D6">
            <w:pPr>
              <w:jc w:val="center"/>
              <w:rPr>
                <w:rFonts w:hint="eastAsia" w:ascii="宋体" w:hAnsi="宋体" w:eastAsia="宋体" w:cs="宋体"/>
                <w:spacing w:val="-2"/>
                <w:szCs w:val="21"/>
                <w:lang w:val="en-US" w:eastAsia="zh-CN"/>
              </w:rPr>
            </w:pPr>
            <w:r>
              <w:rPr>
                <w:rFonts w:hint="eastAsia" w:ascii="宋体" w:hAnsi="宋体" w:cs="宋体"/>
                <w:spacing w:val="-2"/>
                <w:szCs w:val="21"/>
                <w:lang w:val="en-US" w:eastAsia="zh-CN"/>
              </w:rPr>
              <w:t>8</w:t>
            </w:r>
          </w:p>
        </w:tc>
        <w:tc>
          <w:tcPr>
            <w:tcW w:w="6572" w:type="dxa"/>
            <w:vAlign w:val="center"/>
          </w:tcPr>
          <w:p w14:paraId="3DE7431B">
            <w:pPr>
              <w:jc w:val="left"/>
              <w:rPr>
                <w:rFonts w:hint="eastAsia" w:ascii="宋体" w:hAnsi="宋体" w:cs="宋体"/>
                <w:spacing w:val="-2"/>
                <w:szCs w:val="21"/>
              </w:rPr>
            </w:pPr>
            <w:r>
              <w:rPr>
                <w:rFonts w:hint="eastAsia" w:ascii="宋体" w:hAnsi="宋体" w:eastAsia="宋体" w:cs="宋体"/>
                <w:spacing w:val="-2"/>
                <w:szCs w:val="21"/>
                <w:lang w:eastAsia="zh-CN"/>
              </w:rPr>
              <w:t>【</w:t>
            </w:r>
            <w:r>
              <w:rPr>
                <w:rFonts w:hint="eastAsia" w:ascii="宋体" w:hAnsi="宋体" w:eastAsia="宋体" w:cs="宋体"/>
                <w:spacing w:val="-2"/>
                <w:szCs w:val="21"/>
                <w:lang w:val="en-US" w:eastAsia="zh-CN"/>
              </w:rPr>
              <w:t>1</w:t>
            </w:r>
            <w:r>
              <w:rPr>
                <w:rFonts w:hint="eastAsia" w:ascii="宋体" w:hAnsi="宋体" w:eastAsia="宋体" w:cs="宋体"/>
                <w:spacing w:val="-2"/>
                <w:szCs w:val="21"/>
                <w:lang w:eastAsia="zh-CN"/>
              </w:rPr>
              <w:t>】所投供应商须具备建筑工程施工总承包</w:t>
            </w:r>
            <w:r>
              <w:rPr>
                <w:rFonts w:hint="eastAsia" w:ascii="宋体" w:hAnsi="宋体" w:cs="宋体"/>
                <w:spacing w:val="-2"/>
                <w:szCs w:val="21"/>
                <w:lang w:eastAsia="zh-CN"/>
              </w:rPr>
              <w:t>二</w:t>
            </w:r>
            <w:r>
              <w:rPr>
                <w:rFonts w:hint="eastAsia" w:ascii="宋体" w:hAnsi="宋体" w:eastAsia="宋体" w:cs="宋体"/>
                <w:spacing w:val="-2"/>
                <w:szCs w:val="21"/>
                <w:lang w:eastAsia="zh-CN"/>
              </w:rPr>
              <w:t>级及以上资质</w:t>
            </w:r>
            <w:r>
              <w:rPr>
                <w:rFonts w:hint="eastAsia" w:ascii="宋体" w:hAnsi="宋体" w:cs="宋体"/>
                <w:spacing w:val="-2"/>
                <w:szCs w:val="21"/>
                <w:lang w:eastAsia="zh-CN"/>
              </w:rPr>
              <w:t>，</w:t>
            </w:r>
            <w:r>
              <w:rPr>
                <w:rFonts w:hint="eastAsia" w:ascii="宋体" w:hAnsi="宋体" w:eastAsia="宋体" w:cs="宋体"/>
                <w:spacing w:val="-2"/>
                <w:szCs w:val="21"/>
                <w:lang w:eastAsia="zh-CN"/>
              </w:rPr>
              <w:t>还须具备有效的安全生产许可证（所有证件均应在有效期内）；【</w:t>
            </w:r>
            <w:r>
              <w:rPr>
                <w:rFonts w:hint="eastAsia" w:ascii="宋体" w:hAnsi="宋体" w:eastAsia="宋体" w:cs="宋体"/>
                <w:spacing w:val="-2"/>
                <w:szCs w:val="21"/>
                <w:lang w:val="en-US" w:eastAsia="zh-CN"/>
              </w:rPr>
              <w:t>2</w:t>
            </w:r>
            <w:r>
              <w:rPr>
                <w:rFonts w:hint="eastAsia" w:ascii="宋体" w:hAnsi="宋体" w:eastAsia="宋体" w:cs="宋体"/>
                <w:spacing w:val="-2"/>
                <w:szCs w:val="21"/>
                <w:lang w:eastAsia="zh-CN"/>
              </w:rPr>
              <w:t>】项目经理须具备建筑工程专业贰级及以上注册建造师证书和有效的安全生产考核合格证书（B证），且未担任其他在建工程项目的项目经理（所有证件均应在有效期内）；</w:t>
            </w:r>
          </w:p>
        </w:tc>
        <w:tc>
          <w:tcPr>
            <w:tcW w:w="488" w:type="dxa"/>
          </w:tcPr>
          <w:p w14:paraId="0FE4CE19">
            <w:pPr>
              <w:rPr>
                <w:rFonts w:hint="eastAsia" w:ascii="宋体" w:hAnsi="宋体" w:cs="宋体"/>
                <w:sz w:val="22"/>
                <w:szCs w:val="22"/>
              </w:rPr>
            </w:pPr>
          </w:p>
        </w:tc>
        <w:tc>
          <w:tcPr>
            <w:tcW w:w="488" w:type="dxa"/>
          </w:tcPr>
          <w:p w14:paraId="10E7B0E6">
            <w:pPr>
              <w:rPr>
                <w:rFonts w:hint="eastAsia" w:ascii="宋体" w:hAnsi="宋体" w:cs="宋体"/>
                <w:sz w:val="22"/>
                <w:szCs w:val="22"/>
              </w:rPr>
            </w:pPr>
          </w:p>
        </w:tc>
        <w:tc>
          <w:tcPr>
            <w:tcW w:w="500" w:type="dxa"/>
          </w:tcPr>
          <w:p w14:paraId="46C1BF81">
            <w:pPr>
              <w:rPr>
                <w:rFonts w:hint="eastAsia" w:ascii="宋体" w:hAnsi="宋体" w:cs="宋体"/>
                <w:sz w:val="22"/>
                <w:szCs w:val="22"/>
              </w:rPr>
            </w:pPr>
          </w:p>
        </w:tc>
      </w:tr>
      <w:tr w14:paraId="63733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Align w:val="center"/>
          </w:tcPr>
          <w:p w14:paraId="7B7C56FF">
            <w:pPr>
              <w:jc w:val="center"/>
              <w:rPr>
                <w:rFonts w:hint="eastAsia" w:ascii="宋体" w:hAnsi="宋体" w:eastAsia="宋体" w:cs="宋体"/>
                <w:spacing w:val="-2"/>
                <w:szCs w:val="21"/>
                <w:lang w:val="en-US" w:eastAsia="zh-CN"/>
              </w:rPr>
            </w:pPr>
            <w:r>
              <w:rPr>
                <w:rFonts w:hint="eastAsia" w:ascii="宋体" w:hAnsi="宋体" w:cs="宋体"/>
                <w:spacing w:val="-2"/>
                <w:szCs w:val="21"/>
                <w:lang w:val="en-US" w:eastAsia="zh-CN"/>
              </w:rPr>
              <w:t>9</w:t>
            </w:r>
          </w:p>
        </w:tc>
        <w:tc>
          <w:tcPr>
            <w:tcW w:w="6572" w:type="dxa"/>
            <w:vAlign w:val="center"/>
          </w:tcPr>
          <w:p w14:paraId="091E50DB">
            <w:pPr>
              <w:jc w:val="left"/>
              <w:rPr>
                <w:rFonts w:hint="eastAsia" w:ascii="宋体" w:hAnsi="宋体" w:cs="宋体"/>
                <w:spacing w:val="-2"/>
                <w:szCs w:val="21"/>
              </w:rPr>
            </w:pPr>
            <w:r>
              <w:rPr>
                <w:rFonts w:hint="eastAsia" w:ascii="宋体" w:hAnsi="宋体" w:cs="宋体"/>
                <w:spacing w:val="-2"/>
                <w:szCs w:val="21"/>
                <w:lang w:eastAsia="zh-CN"/>
              </w:rPr>
              <w:t>具备履行合同所必需的设备和专业技术能力的证明材料</w:t>
            </w:r>
            <w:r>
              <w:rPr>
                <w:rFonts w:hint="eastAsia" w:ascii="宋体" w:hAnsi="宋体" w:cs="宋体"/>
                <w:spacing w:val="-2"/>
                <w:szCs w:val="21"/>
              </w:rPr>
              <w:t>；</w:t>
            </w:r>
          </w:p>
        </w:tc>
        <w:tc>
          <w:tcPr>
            <w:tcW w:w="488" w:type="dxa"/>
          </w:tcPr>
          <w:p w14:paraId="16C5C38F">
            <w:pPr>
              <w:rPr>
                <w:rFonts w:hint="eastAsia" w:ascii="宋体" w:hAnsi="宋体" w:cs="宋体"/>
                <w:sz w:val="22"/>
                <w:szCs w:val="22"/>
              </w:rPr>
            </w:pPr>
          </w:p>
        </w:tc>
        <w:tc>
          <w:tcPr>
            <w:tcW w:w="488" w:type="dxa"/>
          </w:tcPr>
          <w:p w14:paraId="2A08BA77">
            <w:pPr>
              <w:rPr>
                <w:rFonts w:hint="eastAsia" w:ascii="宋体" w:hAnsi="宋体" w:cs="宋体"/>
                <w:sz w:val="22"/>
                <w:szCs w:val="22"/>
              </w:rPr>
            </w:pPr>
          </w:p>
        </w:tc>
        <w:tc>
          <w:tcPr>
            <w:tcW w:w="500" w:type="dxa"/>
          </w:tcPr>
          <w:p w14:paraId="249A3F93">
            <w:pPr>
              <w:rPr>
                <w:rFonts w:hint="eastAsia" w:ascii="宋体" w:hAnsi="宋体" w:cs="宋体"/>
                <w:sz w:val="22"/>
                <w:szCs w:val="22"/>
              </w:rPr>
            </w:pPr>
          </w:p>
        </w:tc>
      </w:tr>
      <w:tr w14:paraId="37455E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447" w:type="dxa"/>
            <w:vAlign w:val="center"/>
          </w:tcPr>
          <w:p w14:paraId="469FF661">
            <w:pPr>
              <w:jc w:val="center"/>
              <w:rPr>
                <w:rFonts w:hint="default" w:ascii="宋体" w:hAnsi="宋体" w:cs="宋体"/>
                <w:spacing w:val="-2"/>
                <w:szCs w:val="21"/>
                <w:lang w:val="en-US" w:eastAsia="zh-CN"/>
              </w:rPr>
            </w:pPr>
            <w:r>
              <w:rPr>
                <w:rFonts w:hint="eastAsia" w:ascii="宋体" w:hAnsi="宋体" w:cs="宋体"/>
                <w:spacing w:val="-2"/>
                <w:szCs w:val="21"/>
                <w:lang w:val="en-US" w:eastAsia="zh-CN"/>
              </w:rPr>
              <w:t>10</w:t>
            </w:r>
          </w:p>
        </w:tc>
        <w:tc>
          <w:tcPr>
            <w:tcW w:w="6572" w:type="dxa"/>
            <w:vAlign w:val="center"/>
          </w:tcPr>
          <w:p w14:paraId="4C6BF1BC">
            <w:pPr>
              <w:jc w:val="left"/>
              <w:rPr>
                <w:rFonts w:hint="eastAsia" w:ascii="宋体" w:hAnsi="宋体" w:cs="宋体"/>
                <w:spacing w:val="-2"/>
                <w:szCs w:val="21"/>
                <w:lang w:eastAsia="zh-CN"/>
              </w:rPr>
            </w:pPr>
            <w:r>
              <w:rPr>
                <w:rFonts w:hint="eastAsia" w:ascii="宋体" w:hAnsi="宋体" w:cs="宋体"/>
                <w:spacing w:val="-2"/>
                <w:szCs w:val="21"/>
                <w:lang w:eastAsia="zh-CN"/>
              </w:rPr>
              <w:t>中小企业声明函（未提供有效中小企业声明函的供应商，其投标将被拒绝）</w:t>
            </w:r>
          </w:p>
        </w:tc>
        <w:tc>
          <w:tcPr>
            <w:tcW w:w="488" w:type="dxa"/>
          </w:tcPr>
          <w:p w14:paraId="6022FF00">
            <w:pPr>
              <w:rPr>
                <w:rFonts w:hint="eastAsia" w:ascii="宋体" w:hAnsi="宋体" w:cs="宋体"/>
                <w:sz w:val="22"/>
                <w:szCs w:val="22"/>
              </w:rPr>
            </w:pPr>
          </w:p>
        </w:tc>
        <w:tc>
          <w:tcPr>
            <w:tcW w:w="488" w:type="dxa"/>
          </w:tcPr>
          <w:p w14:paraId="3EE56340">
            <w:pPr>
              <w:rPr>
                <w:rFonts w:hint="eastAsia" w:ascii="宋体" w:hAnsi="宋体" w:cs="宋体"/>
                <w:sz w:val="22"/>
                <w:szCs w:val="22"/>
              </w:rPr>
            </w:pPr>
          </w:p>
        </w:tc>
        <w:tc>
          <w:tcPr>
            <w:tcW w:w="500" w:type="dxa"/>
          </w:tcPr>
          <w:p w14:paraId="4396555E">
            <w:pPr>
              <w:rPr>
                <w:rFonts w:hint="eastAsia" w:ascii="宋体" w:hAnsi="宋体" w:cs="宋体"/>
                <w:sz w:val="22"/>
                <w:szCs w:val="22"/>
              </w:rPr>
            </w:pPr>
          </w:p>
        </w:tc>
      </w:tr>
      <w:tr w14:paraId="07CD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1" w:hRule="atLeast"/>
          <w:jc w:val="center"/>
        </w:trPr>
        <w:tc>
          <w:tcPr>
            <w:tcW w:w="447" w:type="dxa"/>
            <w:vAlign w:val="center"/>
          </w:tcPr>
          <w:p w14:paraId="4D3C7383">
            <w:pPr>
              <w:jc w:val="left"/>
              <w:rPr>
                <w:rFonts w:hint="eastAsia" w:ascii="宋体" w:hAnsi="宋体" w:cs="宋体"/>
                <w:spacing w:val="-2"/>
                <w:sz w:val="22"/>
                <w:szCs w:val="22"/>
              </w:rPr>
            </w:pPr>
          </w:p>
        </w:tc>
        <w:tc>
          <w:tcPr>
            <w:tcW w:w="6572" w:type="dxa"/>
            <w:vAlign w:val="center"/>
          </w:tcPr>
          <w:p w14:paraId="22E30334">
            <w:pPr>
              <w:jc w:val="left"/>
              <w:rPr>
                <w:rFonts w:hint="eastAsia" w:ascii="宋体" w:hAnsi="宋体" w:cs="宋体"/>
                <w:spacing w:val="-2"/>
                <w:szCs w:val="21"/>
              </w:rPr>
            </w:pPr>
            <w:r>
              <w:rPr>
                <w:rFonts w:hint="eastAsia" w:ascii="宋体" w:hAnsi="宋体" w:cs="宋体"/>
                <w:spacing w:val="-2"/>
                <w:szCs w:val="21"/>
              </w:rPr>
              <w:t>结论</w:t>
            </w:r>
          </w:p>
        </w:tc>
        <w:tc>
          <w:tcPr>
            <w:tcW w:w="488" w:type="dxa"/>
          </w:tcPr>
          <w:p w14:paraId="3E193705">
            <w:pPr>
              <w:rPr>
                <w:rFonts w:hint="eastAsia" w:ascii="宋体" w:hAnsi="宋体" w:cs="宋体"/>
                <w:sz w:val="22"/>
                <w:szCs w:val="22"/>
              </w:rPr>
            </w:pPr>
          </w:p>
        </w:tc>
        <w:tc>
          <w:tcPr>
            <w:tcW w:w="488" w:type="dxa"/>
          </w:tcPr>
          <w:p w14:paraId="5EB69548">
            <w:pPr>
              <w:rPr>
                <w:rFonts w:hint="eastAsia" w:ascii="宋体" w:hAnsi="宋体" w:cs="宋体"/>
                <w:sz w:val="22"/>
                <w:szCs w:val="22"/>
              </w:rPr>
            </w:pPr>
          </w:p>
        </w:tc>
        <w:tc>
          <w:tcPr>
            <w:tcW w:w="500" w:type="dxa"/>
          </w:tcPr>
          <w:p w14:paraId="09A2EA9F">
            <w:pPr>
              <w:rPr>
                <w:rFonts w:hint="eastAsia" w:ascii="宋体" w:hAnsi="宋体" w:cs="宋体"/>
                <w:sz w:val="22"/>
                <w:szCs w:val="22"/>
              </w:rPr>
            </w:pPr>
          </w:p>
        </w:tc>
      </w:tr>
    </w:tbl>
    <w:p w14:paraId="42C23DEF">
      <w:pPr>
        <w:spacing w:line="400" w:lineRule="exact"/>
        <w:ind w:left="60"/>
        <w:rPr>
          <w:rFonts w:hint="eastAsia" w:ascii="宋体" w:hAnsi="宋体" w:cs="宋体"/>
          <w:szCs w:val="21"/>
        </w:rPr>
      </w:pPr>
      <w:r>
        <w:rPr>
          <w:rFonts w:hint="eastAsia" w:ascii="宋体" w:hAnsi="宋体" w:cs="宋体"/>
          <w:szCs w:val="21"/>
        </w:rPr>
        <w:t>说明：</w:t>
      </w:r>
    </w:p>
    <w:p w14:paraId="076C7972">
      <w:pPr>
        <w:spacing w:line="400" w:lineRule="exact"/>
        <w:ind w:left="60"/>
        <w:rPr>
          <w:rFonts w:hint="eastAsia" w:ascii="宋体" w:hAnsi="宋体" w:cs="宋体"/>
          <w:szCs w:val="21"/>
        </w:rPr>
      </w:pPr>
      <w:r>
        <w:rPr>
          <w:rFonts w:hint="eastAsia" w:ascii="宋体" w:hAnsi="宋体" w:cs="宋体"/>
          <w:szCs w:val="21"/>
        </w:rPr>
        <w:t>（1）上述各项中用“√”表示合格，“×”表示不合格；</w:t>
      </w:r>
    </w:p>
    <w:p w14:paraId="2EE58FE7">
      <w:pPr>
        <w:spacing w:line="400" w:lineRule="exact"/>
        <w:ind w:left="689" w:leftChars="28" w:hanging="630" w:hangingChars="300"/>
        <w:rPr>
          <w:rFonts w:hint="eastAsia" w:ascii="宋体" w:hAnsi="宋体" w:cs="宋体"/>
          <w:szCs w:val="21"/>
        </w:rPr>
      </w:pPr>
      <w:r>
        <w:rPr>
          <w:rFonts w:hint="eastAsia" w:ascii="宋体" w:hAnsi="宋体" w:cs="宋体"/>
          <w:szCs w:val="21"/>
        </w:rPr>
        <w:t>（2）上述各项中如有一项为“×”，则结论为“×”，表示该响应文件中存在重大偏差，不能通过初步评审；评委对某一分项评审认为不合格时，必须要写明原因。</w:t>
      </w:r>
    </w:p>
    <w:p w14:paraId="2906F287">
      <w:pPr>
        <w:autoSpaceDE w:val="0"/>
        <w:autoSpaceDN w:val="0"/>
        <w:adjustRightInd w:val="0"/>
        <w:spacing w:line="400" w:lineRule="exact"/>
        <w:rPr>
          <w:rFonts w:hint="eastAsia" w:ascii="宋体" w:hAnsi="宋体" w:cs="宋体"/>
          <w:kern w:val="0"/>
          <w:szCs w:val="21"/>
        </w:rPr>
      </w:pPr>
      <w:r>
        <w:rPr>
          <w:rFonts w:hint="eastAsia" w:ascii="宋体" w:hAnsi="宋体" w:cs="宋体"/>
          <w:kern w:val="0"/>
          <w:szCs w:val="21"/>
        </w:rPr>
        <w:t>（3）响应文件最终合格与否，以所有评委的评审意见中少数服从多数为原则定论。</w:t>
      </w:r>
    </w:p>
    <w:p w14:paraId="71D5890E">
      <w:pPr>
        <w:spacing w:line="400" w:lineRule="exact"/>
        <w:rPr>
          <w:rFonts w:hint="eastAsia" w:ascii="宋体" w:hAnsi="宋体" w:cs="宋体"/>
          <w:szCs w:val="21"/>
        </w:rPr>
      </w:pPr>
      <w:r>
        <w:rPr>
          <w:rFonts w:hint="eastAsia" w:ascii="宋体" w:hAnsi="宋体" w:cs="宋体"/>
          <w:b/>
          <w:bCs/>
          <w:szCs w:val="21"/>
        </w:rPr>
        <w:t>未通过资格审查的供应商不进入评标；通过资格审查的供应商少于三家的，不得评标。</w:t>
      </w:r>
    </w:p>
    <w:p w14:paraId="68DB4440">
      <w:pPr>
        <w:rPr>
          <w:rFonts w:hint="eastAsia" w:ascii="宋体" w:hAnsi="宋体" w:cs="宋体"/>
          <w:b/>
          <w:sz w:val="28"/>
          <w:szCs w:val="28"/>
        </w:rPr>
      </w:pPr>
      <w:bookmarkStart w:id="718" w:name="_Toc20613"/>
      <w:bookmarkEnd w:id="718"/>
      <w:bookmarkStart w:id="719" w:name="_Toc22718"/>
      <w:bookmarkEnd w:id="719"/>
      <w:bookmarkStart w:id="720" w:name="_Toc23770"/>
      <w:bookmarkEnd w:id="720"/>
      <w:bookmarkStart w:id="721" w:name="_Toc28345"/>
      <w:bookmarkEnd w:id="721"/>
      <w:bookmarkStart w:id="722" w:name="_Toc19523"/>
      <w:bookmarkEnd w:id="722"/>
      <w:bookmarkStart w:id="723" w:name="_Toc12096"/>
      <w:bookmarkEnd w:id="723"/>
      <w:bookmarkStart w:id="724" w:name="_Toc11241"/>
      <w:bookmarkEnd w:id="724"/>
      <w:bookmarkStart w:id="725" w:name="_Toc8628"/>
      <w:bookmarkEnd w:id="725"/>
      <w:bookmarkStart w:id="726" w:name="_Toc946"/>
      <w:bookmarkEnd w:id="726"/>
      <w:bookmarkStart w:id="727" w:name="_Toc7343"/>
      <w:bookmarkEnd w:id="727"/>
      <w:bookmarkStart w:id="728" w:name="_Toc2556"/>
      <w:bookmarkEnd w:id="728"/>
      <w:bookmarkStart w:id="729" w:name="_Toc8771"/>
      <w:bookmarkEnd w:id="729"/>
      <w:bookmarkStart w:id="730" w:name="_Toc70"/>
      <w:bookmarkEnd w:id="730"/>
      <w:bookmarkStart w:id="731" w:name="_Toc29061"/>
      <w:bookmarkEnd w:id="731"/>
      <w:bookmarkStart w:id="732" w:name="_Toc12276"/>
      <w:bookmarkEnd w:id="732"/>
      <w:r>
        <w:rPr>
          <w:rFonts w:hint="eastAsia" w:ascii="宋体" w:hAnsi="宋体" w:cs="宋体"/>
          <w:b/>
          <w:sz w:val="28"/>
          <w:szCs w:val="28"/>
        </w:rPr>
        <w:br w:type="page"/>
      </w:r>
    </w:p>
    <w:p w14:paraId="37DA9C46">
      <w:pPr>
        <w:pStyle w:val="3"/>
        <w:snapToGrid w:val="0"/>
        <w:spacing w:before="0" w:after="0" w:line="360" w:lineRule="exact"/>
        <w:ind w:left="1080" w:leftChars="257" w:hanging="540"/>
        <w:textAlignment w:val="baseline"/>
        <w:rPr>
          <w:rFonts w:hint="eastAsia" w:ascii="宋体" w:hAnsi="宋体" w:eastAsia="宋体" w:cs="宋体"/>
          <w:sz w:val="28"/>
          <w:szCs w:val="28"/>
        </w:rPr>
      </w:pPr>
      <w:bookmarkStart w:id="733" w:name="_Toc15789"/>
      <w:r>
        <w:rPr>
          <w:rFonts w:hint="eastAsia" w:ascii="宋体" w:hAnsi="宋体" w:eastAsia="宋体" w:cs="宋体"/>
          <w:sz w:val="28"/>
          <w:szCs w:val="28"/>
        </w:rPr>
        <w:t>初步评审—符合性审查表</w:t>
      </w:r>
      <w:bookmarkEnd w:id="733"/>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1"/>
        <w:gridCol w:w="7214"/>
        <w:gridCol w:w="771"/>
      </w:tblGrid>
      <w:tr w14:paraId="647F15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7727" w:type="dxa"/>
            <w:gridSpan w:val="2"/>
            <w:vAlign w:val="center"/>
          </w:tcPr>
          <w:p w14:paraId="3E464A20">
            <w:pPr>
              <w:jc w:val="center"/>
              <w:rPr>
                <w:rFonts w:hint="eastAsia" w:ascii="宋体" w:hAnsi="宋体" w:cs="宋体"/>
                <w:spacing w:val="-2"/>
                <w:szCs w:val="21"/>
              </w:rPr>
            </w:pPr>
            <w:r>
              <w:rPr>
                <w:rFonts w:hint="eastAsia" w:ascii="宋体" w:hAnsi="宋体" w:cs="宋体"/>
                <w:spacing w:val="-2"/>
                <w:szCs w:val="21"/>
              </w:rPr>
              <w:t>评审内容</w:t>
            </w:r>
          </w:p>
        </w:tc>
        <w:tc>
          <w:tcPr>
            <w:tcW w:w="768" w:type="dxa"/>
            <w:vAlign w:val="center"/>
          </w:tcPr>
          <w:p w14:paraId="057FDE99">
            <w:pPr>
              <w:jc w:val="center"/>
              <w:rPr>
                <w:rFonts w:hint="eastAsia" w:ascii="宋体" w:hAnsi="宋体" w:cs="宋体"/>
                <w:spacing w:val="-2"/>
                <w:szCs w:val="21"/>
              </w:rPr>
            </w:pPr>
            <w:r>
              <w:rPr>
                <w:rFonts w:hint="eastAsia" w:ascii="宋体" w:hAnsi="宋体" w:cs="宋体"/>
                <w:b/>
                <w:szCs w:val="21"/>
              </w:rPr>
              <w:t>评审意见</w:t>
            </w:r>
          </w:p>
        </w:tc>
      </w:tr>
      <w:tr w14:paraId="5188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6B62809E">
            <w:pPr>
              <w:jc w:val="center"/>
              <w:rPr>
                <w:rFonts w:hint="eastAsia" w:ascii="宋体" w:hAnsi="宋体" w:cs="宋体"/>
                <w:szCs w:val="21"/>
              </w:rPr>
            </w:pPr>
            <w:r>
              <w:rPr>
                <w:rFonts w:hint="eastAsia" w:ascii="宋体" w:hAnsi="宋体" w:cs="宋体"/>
                <w:szCs w:val="21"/>
              </w:rPr>
              <w:t>序号</w:t>
            </w:r>
          </w:p>
        </w:tc>
        <w:tc>
          <w:tcPr>
            <w:tcW w:w="7188" w:type="dxa"/>
            <w:vAlign w:val="center"/>
          </w:tcPr>
          <w:p w14:paraId="7CE361BF">
            <w:pPr>
              <w:rPr>
                <w:rFonts w:hint="eastAsia" w:ascii="宋体" w:hAnsi="宋体" w:cs="宋体"/>
                <w:spacing w:val="-2"/>
                <w:szCs w:val="21"/>
              </w:rPr>
            </w:pPr>
          </w:p>
        </w:tc>
        <w:tc>
          <w:tcPr>
            <w:tcW w:w="768" w:type="dxa"/>
            <w:vAlign w:val="center"/>
          </w:tcPr>
          <w:p w14:paraId="02A4914C">
            <w:pPr>
              <w:jc w:val="center"/>
              <w:rPr>
                <w:rFonts w:hint="eastAsia" w:ascii="宋体" w:hAnsi="宋体" w:cs="宋体"/>
                <w:spacing w:val="-2"/>
                <w:szCs w:val="21"/>
              </w:rPr>
            </w:pPr>
            <w:r>
              <w:rPr>
                <w:rFonts w:hint="eastAsia" w:ascii="宋体" w:hAnsi="宋体" w:cs="宋体"/>
                <w:spacing w:val="-2"/>
                <w:szCs w:val="21"/>
              </w:rPr>
              <w:t>是否合格</w:t>
            </w:r>
          </w:p>
        </w:tc>
      </w:tr>
      <w:tr w14:paraId="66F84B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4DC4792C">
            <w:pPr>
              <w:jc w:val="center"/>
              <w:rPr>
                <w:rFonts w:hint="eastAsia" w:ascii="宋体" w:hAnsi="宋体" w:cs="宋体"/>
                <w:spacing w:val="-2"/>
                <w:szCs w:val="21"/>
              </w:rPr>
            </w:pPr>
            <w:r>
              <w:rPr>
                <w:rFonts w:hint="eastAsia" w:ascii="宋体" w:hAnsi="宋体" w:cs="宋体"/>
                <w:spacing w:val="-2"/>
                <w:szCs w:val="21"/>
              </w:rPr>
              <w:t>1</w:t>
            </w:r>
          </w:p>
        </w:tc>
        <w:tc>
          <w:tcPr>
            <w:tcW w:w="7188" w:type="dxa"/>
            <w:vAlign w:val="center"/>
          </w:tcPr>
          <w:p w14:paraId="26BF8A5B">
            <w:pPr>
              <w:jc w:val="left"/>
              <w:rPr>
                <w:rFonts w:hint="eastAsia" w:ascii="宋体" w:hAnsi="宋体" w:cs="宋体"/>
                <w:spacing w:val="-2"/>
                <w:szCs w:val="21"/>
              </w:rPr>
            </w:pPr>
            <w:r>
              <w:rPr>
                <w:rFonts w:hint="eastAsia" w:ascii="宋体" w:hAnsi="宋体" w:cs="宋体"/>
                <w:spacing w:val="-2"/>
                <w:szCs w:val="21"/>
              </w:rPr>
              <w:t>各供应商</w:t>
            </w:r>
            <w:r>
              <w:rPr>
                <w:rFonts w:hint="eastAsia" w:ascii="宋体" w:hAnsi="宋体" w:cs="宋体"/>
                <w:spacing w:val="-2"/>
                <w:szCs w:val="21"/>
                <w:lang w:eastAsia="zh-CN"/>
              </w:rPr>
              <w:t>磋商报价</w:t>
            </w:r>
            <w:r>
              <w:rPr>
                <w:rFonts w:hint="eastAsia" w:ascii="宋体" w:hAnsi="宋体" w:cs="宋体"/>
                <w:spacing w:val="-2"/>
                <w:szCs w:val="21"/>
              </w:rPr>
              <w:t>未高于</w:t>
            </w:r>
            <w:r>
              <w:rPr>
                <w:rFonts w:hint="eastAsia" w:ascii="宋体" w:hAnsi="宋体" w:cs="宋体"/>
                <w:spacing w:val="-2"/>
                <w:szCs w:val="21"/>
                <w:lang w:eastAsia="zh-CN"/>
              </w:rPr>
              <w:t>预算金额</w:t>
            </w:r>
            <w:r>
              <w:rPr>
                <w:rFonts w:hint="eastAsia" w:ascii="宋体" w:hAnsi="宋体" w:cs="宋体"/>
                <w:spacing w:val="-2"/>
                <w:szCs w:val="21"/>
              </w:rPr>
              <w:t>；</w:t>
            </w:r>
          </w:p>
        </w:tc>
        <w:tc>
          <w:tcPr>
            <w:tcW w:w="768" w:type="dxa"/>
            <w:vAlign w:val="center"/>
          </w:tcPr>
          <w:p w14:paraId="49CD66F5">
            <w:pPr>
              <w:rPr>
                <w:rFonts w:hint="eastAsia" w:ascii="宋体" w:hAnsi="宋体" w:cs="宋体"/>
                <w:spacing w:val="-2"/>
                <w:szCs w:val="21"/>
              </w:rPr>
            </w:pPr>
          </w:p>
        </w:tc>
      </w:tr>
      <w:tr w14:paraId="2EB70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539" w:type="dxa"/>
            <w:vAlign w:val="center"/>
          </w:tcPr>
          <w:p w14:paraId="19028893">
            <w:pPr>
              <w:jc w:val="center"/>
              <w:rPr>
                <w:rFonts w:hint="eastAsia" w:ascii="宋体" w:hAnsi="宋体" w:cs="宋体"/>
                <w:spacing w:val="-2"/>
                <w:szCs w:val="21"/>
              </w:rPr>
            </w:pPr>
            <w:r>
              <w:rPr>
                <w:rFonts w:hint="eastAsia" w:ascii="宋体" w:hAnsi="宋体" w:cs="宋体"/>
                <w:spacing w:val="-2"/>
                <w:szCs w:val="21"/>
              </w:rPr>
              <w:t>2</w:t>
            </w:r>
          </w:p>
        </w:tc>
        <w:tc>
          <w:tcPr>
            <w:tcW w:w="7188" w:type="dxa"/>
            <w:vAlign w:val="center"/>
          </w:tcPr>
          <w:p w14:paraId="0517FBF3">
            <w:pPr>
              <w:jc w:val="left"/>
              <w:rPr>
                <w:rFonts w:hint="eastAsia" w:ascii="宋体" w:hAnsi="宋体" w:cs="宋体"/>
                <w:spacing w:val="-2"/>
                <w:szCs w:val="21"/>
              </w:rPr>
            </w:pPr>
            <w:r>
              <w:rPr>
                <w:rFonts w:hint="eastAsia" w:ascii="宋体" w:hAnsi="宋体" w:cs="宋体"/>
                <w:spacing w:val="-2"/>
                <w:szCs w:val="21"/>
              </w:rPr>
              <w:t>磋商小组认为供应商的报价无明显低于其他通过符合性审查供应商的报价的，供应商的报价不存在异常一致并成规律性的，其报价合理；</w:t>
            </w:r>
          </w:p>
        </w:tc>
        <w:tc>
          <w:tcPr>
            <w:tcW w:w="768" w:type="dxa"/>
            <w:vAlign w:val="center"/>
          </w:tcPr>
          <w:p w14:paraId="0B62CB18">
            <w:pPr>
              <w:rPr>
                <w:rFonts w:hint="eastAsia" w:ascii="宋体" w:hAnsi="宋体" w:cs="宋体"/>
                <w:spacing w:val="-2"/>
                <w:szCs w:val="21"/>
              </w:rPr>
            </w:pPr>
          </w:p>
        </w:tc>
      </w:tr>
      <w:tr w14:paraId="7A9BE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539" w:type="dxa"/>
            <w:vAlign w:val="center"/>
          </w:tcPr>
          <w:p w14:paraId="1D701C67">
            <w:pPr>
              <w:jc w:val="center"/>
              <w:rPr>
                <w:rFonts w:hint="eastAsia" w:ascii="宋体" w:hAnsi="宋体" w:eastAsia="宋体" w:cs="宋体"/>
                <w:spacing w:val="-2"/>
                <w:szCs w:val="21"/>
              </w:rPr>
            </w:pPr>
            <w:r>
              <w:rPr>
                <w:rFonts w:hint="eastAsia" w:ascii="宋体" w:hAnsi="宋体" w:eastAsia="宋体" w:cs="宋体"/>
                <w:spacing w:val="-2"/>
                <w:szCs w:val="21"/>
              </w:rPr>
              <w:t>3</w:t>
            </w:r>
          </w:p>
        </w:tc>
        <w:tc>
          <w:tcPr>
            <w:tcW w:w="7188" w:type="dxa"/>
            <w:vAlign w:val="center"/>
          </w:tcPr>
          <w:p w14:paraId="6F800280">
            <w:pPr>
              <w:jc w:val="left"/>
              <w:rPr>
                <w:rFonts w:hint="eastAsia" w:ascii="宋体" w:hAnsi="宋体" w:eastAsia="宋体" w:cs="宋体"/>
                <w:spacing w:val="-2"/>
                <w:szCs w:val="21"/>
              </w:rPr>
            </w:pPr>
            <w:r>
              <w:rPr>
                <w:rFonts w:hint="eastAsia" w:ascii="宋体" w:hAnsi="宋体" w:eastAsia="宋体" w:cs="宋体"/>
                <w:spacing w:val="-2"/>
                <w:szCs w:val="21"/>
              </w:rPr>
              <w:t>投标文件按照招标文件的规定编制、标记及签署盖章的，法定代表人</w:t>
            </w:r>
            <w:r>
              <w:rPr>
                <w:rFonts w:hint="eastAsia" w:ascii="宋体" w:hAnsi="宋体" w:eastAsia="宋体" w:cs="宋体"/>
                <w:spacing w:val="-2"/>
                <w:szCs w:val="21"/>
                <w:lang w:val="en-US" w:eastAsia="zh-CN"/>
              </w:rPr>
              <w:t>或委托代理人签/</w:t>
            </w:r>
            <w:r>
              <w:rPr>
                <w:rFonts w:hint="eastAsia" w:ascii="宋体" w:hAnsi="宋体" w:eastAsia="宋体" w:cs="宋体"/>
                <w:spacing w:val="-2"/>
                <w:szCs w:val="21"/>
              </w:rPr>
              <w:t>章</w:t>
            </w:r>
            <w:r>
              <w:rPr>
                <w:rFonts w:hint="eastAsia" w:ascii="宋体" w:hAnsi="宋体" w:eastAsia="宋体" w:cs="宋体"/>
                <w:spacing w:val="-2"/>
                <w:szCs w:val="21"/>
                <w:lang w:eastAsia="zh-CN"/>
              </w:rPr>
              <w:t>；</w:t>
            </w:r>
          </w:p>
        </w:tc>
        <w:tc>
          <w:tcPr>
            <w:tcW w:w="768" w:type="dxa"/>
            <w:vAlign w:val="center"/>
          </w:tcPr>
          <w:p w14:paraId="3A85677A">
            <w:pPr>
              <w:spacing w:line="240" w:lineRule="auto"/>
              <w:jc w:val="center"/>
              <w:rPr>
                <w:rFonts w:hint="eastAsia" w:ascii="宋体" w:hAnsi="宋体" w:cs="宋体"/>
                <w:szCs w:val="21"/>
              </w:rPr>
            </w:pPr>
          </w:p>
        </w:tc>
      </w:tr>
      <w:tr w14:paraId="404C8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539" w:type="dxa"/>
            <w:vAlign w:val="center"/>
          </w:tcPr>
          <w:p w14:paraId="55D664D3">
            <w:pPr>
              <w:jc w:val="center"/>
              <w:rPr>
                <w:rFonts w:hint="eastAsia" w:ascii="宋体" w:hAnsi="宋体" w:eastAsia="宋体" w:cs="宋体"/>
                <w:spacing w:val="-2"/>
                <w:szCs w:val="21"/>
              </w:rPr>
            </w:pPr>
            <w:r>
              <w:rPr>
                <w:rFonts w:hint="eastAsia" w:ascii="宋体" w:hAnsi="宋体" w:eastAsia="宋体" w:cs="宋体"/>
                <w:spacing w:val="-2"/>
                <w:szCs w:val="21"/>
              </w:rPr>
              <w:t>4</w:t>
            </w:r>
          </w:p>
        </w:tc>
        <w:tc>
          <w:tcPr>
            <w:tcW w:w="7188" w:type="dxa"/>
            <w:vAlign w:val="center"/>
          </w:tcPr>
          <w:p w14:paraId="4C70F30F">
            <w:pPr>
              <w:jc w:val="left"/>
              <w:rPr>
                <w:rFonts w:hint="eastAsia" w:ascii="宋体" w:hAnsi="宋体" w:eastAsia="宋体" w:cs="宋体"/>
                <w:spacing w:val="-2"/>
                <w:szCs w:val="21"/>
              </w:rPr>
            </w:pPr>
            <w:r>
              <w:rPr>
                <w:rFonts w:hint="eastAsia" w:ascii="宋体" w:hAnsi="宋体" w:eastAsia="宋体" w:cs="宋体"/>
                <w:spacing w:val="-2"/>
                <w:szCs w:val="21"/>
              </w:rPr>
              <w:t>按招标文件规定的格式填写，内容</w:t>
            </w:r>
            <w:r>
              <w:rPr>
                <w:rFonts w:hint="eastAsia" w:ascii="宋体" w:hAnsi="宋体" w:eastAsia="宋体" w:cs="宋体"/>
                <w:spacing w:val="-2"/>
                <w:szCs w:val="21"/>
                <w:lang w:val="en-US" w:eastAsia="zh-CN"/>
              </w:rPr>
              <w:t>全面、关键字迹清晰</w:t>
            </w:r>
            <w:r>
              <w:rPr>
                <w:rFonts w:hint="eastAsia" w:ascii="宋体" w:hAnsi="宋体" w:eastAsia="宋体" w:cs="宋体"/>
                <w:spacing w:val="-2"/>
                <w:szCs w:val="21"/>
              </w:rPr>
              <w:t>；</w:t>
            </w:r>
          </w:p>
        </w:tc>
        <w:tc>
          <w:tcPr>
            <w:tcW w:w="768" w:type="dxa"/>
            <w:vAlign w:val="center"/>
          </w:tcPr>
          <w:p w14:paraId="0CFCB84D">
            <w:pPr>
              <w:spacing w:line="240" w:lineRule="auto"/>
              <w:jc w:val="center"/>
              <w:rPr>
                <w:rFonts w:hint="eastAsia" w:ascii="宋体" w:hAnsi="宋体" w:cs="宋体"/>
                <w:spacing w:val="-2"/>
                <w:szCs w:val="21"/>
              </w:rPr>
            </w:pPr>
          </w:p>
        </w:tc>
      </w:tr>
      <w:tr w14:paraId="4E403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0355B140">
            <w:pPr>
              <w:jc w:val="center"/>
              <w:rPr>
                <w:rFonts w:hint="eastAsia" w:ascii="宋体" w:hAnsi="宋体" w:eastAsia="宋体" w:cs="宋体"/>
                <w:spacing w:val="-2"/>
                <w:szCs w:val="21"/>
              </w:rPr>
            </w:pPr>
            <w:r>
              <w:rPr>
                <w:rFonts w:hint="eastAsia" w:ascii="宋体" w:hAnsi="宋体" w:eastAsia="宋体" w:cs="宋体"/>
                <w:spacing w:val="-2"/>
                <w:szCs w:val="21"/>
              </w:rPr>
              <w:t>5</w:t>
            </w:r>
          </w:p>
        </w:tc>
        <w:tc>
          <w:tcPr>
            <w:tcW w:w="7188" w:type="dxa"/>
            <w:vAlign w:val="center"/>
          </w:tcPr>
          <w:p w14:paraId="571D36C6">
            <w:pPr>
              <w:jc w:val="left"/>
              <w:rPr>
                <w:rFonts w:hint="eastAsia" w:ascii="宋体" w:hAnsi="宋体" w:eastAsia="宋体" w:cs="宋体"/>
                <w:spacing w:val="-2"/>
                <w:szCs w:val="21"/>
              </w:rPr>
            </w:pPr>
            <w:r>
              <w:rPr>
                <w:rFonts w:hint="eastAsia" w:ascii="宋体" w:hAnsi="宋体" w:eastAsia="宋体" w:cs="宋体"/>
                <w:spacing w:val="-2"/>
                <w:szCs w:val="21"/>
                <w:lang w:val="en-US" w:eastAsia="zh-CN"/>
              </w:rPr>
              <w:t>符合招标文件中规定的实质性要求；</w:t>
            </w:r>
          </w:p>
        </w:tc>
        <w:tc>
          <w:tcPr>
            <w:tcW w:w="768" w:type="dxa"/>
            <w:vAlign w:val="center"/>
          </w:tcPr>
          <w:p w14:paraId="43B4EC19">
            <w:pPr>
              <w:spacing w:line="240" w:lineRule="auto"/>
              <w:jc w:val="center"/>
              <w:rPr>
                <w:rFonts w:hint="eastAsia" w:ascii="宋体" w:hAnsi="宋体" w:cs="宋体"/>
                <w:spacing w:val="-2"/>
                <w:szCs w:val="21"/>
              </w:rPr>
            </w:pPr>
          </w:p>
        </w:tc>
      </w:tr>
      <w:tr w14:paraId="2CB5FD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28F439B">
            <w:pPr>
              <w:jc w:val="center"/>
              <w:rPr>
                <w:rFonts w:hint="eastAsia" w:ascii="宋体" w:hAnsi="宋体" w:eastAsia="宋体" w:cs="宋体"/>
                <w:spacing w:val="-2"/>
                <w:szCs w:val="21"/>
              </w:rPr>
            </w:pPr>
            <w:r>
              <w:rPr>
                <w:rFonts w:hint="eastAsia" w:ascii="宋体" w:hAnsi="宋体" w:eastAsia="宋体" w:cs="宋体"/>
                <w:spacing w:val="-2"/>
                <w:szCs w:val="21"/>
              </w:rPr>
              <w:t>6</w:t>
            </w:r>
          </w:p>
        </w:tc>
        <w:tc>
          <w:tcPr>
            <w:tcW w:w="7188" w:type="dxa"/>
            <w:vAlign w:val="center"/>
          </w:tcPr>
          <w:p w14:paraId="64DA8C7D">
            <w:pPr>
              <w:jc w:val="left"/>
              <w:rPr>
                <w:rFonts w:hint="eastAsia" w:ascii="宋体" w:hAnsi="宋体" w:eastAsia="宋体" w:cs="宋体"/>
                <w:spacing w:val="-2"/>
                <w:szCs w:val="21"/>
              </w:rPr>
            </w:pPr>
            <w:r>
              <w:rPr>
                <w:rFonts w:hint="eastAsia" w:ascii="宋体" w:hAnsi="宋体" w:eastAsia="宋体" w:cs="宋体"/>
                <w:spacing w:val="-2"/>
                <w:szCs w:val="21"/>
              </w:rPr>
              <w:t>没有采购人不能接受的附加条件的；</w:t>
            </w:r>
          </w:p>
        </w:tc>
        <w:tc>
          <w:tcPr>
            <w:tcW w:w="768" w:type="dxa"/>
            <w:vAlign w:val="center"/>
          </w:tcPr>
          <w:p w14:paraId="4D85C7C5">
            <w:pPr>
              <w:spacing w:line="240" w:lineRule="auto"/>
              <w:jc w:val="center"/>
              <w:rPr>
                <w:rFonts w:hint="eastAsia" w:ascii="宋体" w:hAnsi="宋体" w:cs="宋体"/>
                <w:spacing w:val="-2"/>
                <w:szCs w:val="21"/>
              </w:rPr>
            </w:pPr>
          </w:p>
        </w:tc>
      </w:tr>
      <w:tr w14:paraId="75787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539" w:type="dxa"/>
            <w:vAlign w:val="center"/>
          </w:tcPr>
          <w:p w14:paraId="307BB352">
            <w:pPr>
              <w:jc w:val="center"/>
              <w:rPr>
                <w:rFonts w:hint="eastAsia" w:ascii="宋体" w:hAnsi="宋体" w:eastAsia="宋体" w:cs="宋体"/>
                <w:spacing w:val="-2"/>
                <w:szCs w:val="21"/>
              </w:rPr>
            </w:pPr>
            <w:r>
              <w:rPr>
                <w:rFonts w:hint="eastAsia" w:ascii="宋体" w:hAnsi="宋体" w:eastAsia="宋体" w:cs="宋体"/>
                <w:spacing w:val="-2"/>
                <w:szCs w:val="21"/>
              </w:rPr>
              <w:t>7</w:t>
            </w:r>
          </w:p>
        </w:tc>
        <w:tc>
          <w:tcPr>
            <w:tcW w:w="7188" w:type="dxa"/>
            <w:vAlign w:val="center"/>
          </w:tcPr>
          <w:p w14:paraId="07FC9EE1">
            <w:pPr>
              <w:jc w:val="left"/>
              <w:rPr>
                <w:rFonts w:hint="eastAsia" w:ascii="宋体" w:hAnsi="宋体" w:eastAsia="宋体" w:cs="宋体"/>
                <w:spacing w:val="-2"/>
                <w:szCs w:val="21"/>
              </w:rPr>
            </w:pPr>
            <w:r>
              <w:rPr>
                <w:rFonts w:hint="eastAsia" w:ascii="宋体" w:hAnsi="宋体" w:eastAsia="宋体" w:cs="宋体"/>
                <w:spacing w:val="-2"/>
                <w:szCs w:val="21"/>
              </w:rPr>
              <w:t>不同供应商的投标文件没有错漏一致的情况；</w:t>
            </w:r>
          </w:p>
        </w:tc>
        <w:tc>
          <w:tcPr>
            <w:tcW w:w="768" w:type="dxa"/>
            <w:vAlign w:val="center"/>
          </w:tcPr>
          <w:p w14:paraId="65AC4C09">
            <w:pPr>
              <w:spacing w:line="240" w:lineRule="auto"/>
              <w:jc w:val="center"/>
              <w:rPr>
                <w:rFonts w:hint="eastAsia" w:ascii="宋体" w:hAnsi="宋体" w:cs="宋体"/>
                <w:spacing w:val="-2"/>
                <w:szCs w:val="21"/>
              </w:rPr>
            </w:pPr>
          </w:p>
        </w:tc>
      </w:tr>
      <w:tr w14:paraId="69834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50DA5FB4">
            <w:pPr>
              <w:jc w:val="center"/>
              <w:rPr>
                <w:rFonts w:hint="eastAsia" w:ascii="宋体" w:hAnsi="宋体" w:eastAsia="宋体" w:cs="宋体"/>
                <w:spacing w:val="-2"/>
                <w:szCs w:val="21"/>
              </w:rPr>
            </w:pPr>
            <w:r>
              <w:rPr>
                <w:rFonts w:hint="eastAsia" w:ascii="宋体" w:hAnsi="宋体" w:eastAsia="宋体" w:cs="宋体"/>
                <w:spacing w:val="-2"/>
                <w:szCs w:val="21"/>
              </w:rPr>
              <w:t>8</w:t>
            </w:r>
          </w:p>
        </w:tc>
        <w:tc>
          <w:tcPr>
            <w:tcW w:w="7188" w:type="dxa"/>
            <w:vAlign w:val="center"/>
          </w:tcPr>
          <w:p w14:paraId="29DB3D6B">
            <w:pPr>
              <w:jc w:val="left"/>
              <w:rPr>
                <w:rFonts w:hint="eastAsia" w:ascii="宋体" w:hAnsi="宋体" w:eastAsia="宋体" w:cs="宋体"/>
                <w:spacing w:val="-2"/>
                <w:szCs w:val="21"/>
              </w:rPr>
            </w:pPr>
            <w:r>
              <w:rPr>
                <w:rFonts w:hint="eastAsia" w:ascii="宋体" w:hAnsi="宋体" w:eastAsia="宋体" w:cs="宋体"/>
                <w:spacing w:val="-2"/>
                <w:szCs w:val="21"/>
              </w:rPr>
              <w:t>供应商附有详细地址、联系人、电话标明的</w:t>
            </w:r>
            <w:r>
              <w:rPr>
                <w:rFonts w:hint="eastAsia" w:ascii="宋体" w:hAnsi="宋体" w:eastAsia="宋体" w:cs="宋体"/>
                <w:spacing w:val="-2"/>
                <w:szCs w:val="21"/>
                <w:lang w:eastAsia="zh-CN"/>
              </w:rPr>
              <w:t>；</w:t>
            </w:r>
          </w:p>
        </w:tc>
        <w:tc>
          <w:tcPr>
            <w:tcW w:w="768" w:type="dxa"/>
            <w:vAlign w:val="center"/>
          </w:tcPr>
          <w:p w14:paraId="1964F204">
            <w:pPr>
              <w:spacing w:line="240" w:lineRule="auto"/>
              <w:jc w:val="center"/>
              <w:rPr>
                <w:rFonts w:hint="eastAsia" w:ascii="宋体" w:hAnsi="宋体" w:cs="宋体"/>
                <w:spacing w:val="-2"/>
                <w:szCs w:val="21"/>
              </w:rPr>
            </w:pPr>
          </w:p>
        </w:tc>
      </w:tr>
      <w:tr w14:paraId="229D3A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B984450">
            <w:pPr>
              <w:jc w:val="center"/>
              <w:rPr>
                <w:rFonts w:hint="eastAsia" w:ascii="宋体" w:hAnsi="宋体" w:eastAsia="宋体" w:cs="宋体"/>
                <w:spacing w:val="-2"/>
                <w:szCs w:val="21"/>
              </w:rPr>
            </w:pPr>
            <w:r>
              <w:rPr>
                <w:rFonts w:hint="eastAsia" w:ascii="宋体" w:hAnsi="宋体" w:eastAsia="宋体" w:cs="宋体"/>
                <w:spacing w:val="-2"/>
                <w:szCs w:val="21"/>
                <w:lang w:val="en-US" w:eastAsia="zh-CN"/>
              </w:rPr>
              <w:t>9</w:t>
            </w:r>
          </w:p>
        </w:tc>
        <w:tc>
          <w:tcPr>
            <w:tcW w:w="7188" w:type="dxa"/>
            <w:vAlign w:val="center"/>
          </w:tcPr>
          <w:p w14:paraId="0E6F8064">
            <w:pPr>
              <w:jc w:val="left"/>
              <w:rPr>
                <w:rFonts w:hint="eastAsia" w:ascii="宋体" w:hAnsi="宋体" w:eastAsia="宋体" w:cs="宋体"/>
                <w:spacing w:val="-2"/>
                <w:szCs w:val="21"/>
              </w:rPr>
            </w:pPr>
            <w:r>
              <w:rPr>
                <w:rFonts w:hint="eastAsia" w:ascii="宋体" w:hAnsi="宋体" w:eastAsia="宋体" w:cs="宋体"/>
                <w:spacing w:val="-2"/>
                <w:szCs w:val="21"/>
              </w:rPr>
              <w:t>不存在法律、法规和招标文件规定的其他无效情形</w:t>
            </w:r>
            <w:r>
              <w:rPr>
                <w:rFonts w:hint="eastAsia" w:ascii="宋体" w:hAnsi="宋体" w:eastAsia="宋体" w:cs="宋体"/>
                <w:spacing w:val="-2"/>
                <w:szCs w:val="21"/>
                <w:lang w:eastAsia="zh-CN"/>
              </w:rPr>
              <w:t>；</w:t>
            </w:r>
          </w:p>
        </w:tc>
        <w:tc>
          <w:tcPr>
            <w:tcW w:w="768" w:type="dxa"/>
            <w:vAlign w:val="center"/>
          </w:tcPr>
          <w:p w14:paraId="73ECFE21">
            <w:pPr>
              <w:spacing w:line="240" w:lineRule="auto"/>
              <w:jc w:val="center"/>
              <w:rPr>
                <w:rFonts w:hint="eastAsia" w:ascii="宋体" w:hAnsi="宋体" w:cs="宋体"/>
                <w:spacing w:val="-2"/>
                <w:szCs w:val="21"/>
              </w:rPr>
            </w:pPr>
          </w:p>
        </w:tc>
      </w:tr>
      <w:tr w14:paraId="512D95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539" w:type="dxa"/>
            <w:vAlign w:val="center"/>
          </w:tcPr>
          <w:p w14:paraId="335C67B4">
            <w:pPr>
              <w:jc w:val="center"/>
              <w:rPr>
                <w:rFonts w:hint="default" w:ascii="宋体" w:hAnsi="宋体" w:eastAsia="宋体" w:cs="宋体"/>
                <w:spacing w:val="-2"/>
                <w:szCs w:val="21"/>
                <w:lang w:val="en-US" w:eastAsia="zh-CN"/>
              </w:rPr>
            </w:pPr>
            <w:r>
              <w:rPr>
                <w:rFonts w:hint="eastAsia" w:ascii="宋体" w:hAnsi="宋体" w:eastAsia="宋体" w:cs="宋体"/>
                <w:spacing w:val="-2"/>
                <w:szCs w:val="21"/>
                <w:lang w:val="en-US" w:eastAsia="zh-CN"/>
              </w:rPr>
              <w:t>10</w:t>
            </w:r>
          </w:p>
        </w:tc>
        <w:tc>
          <w:tcPr>
            <w:tcW w:w="7188" w:type="dxa"/>
            <w:vAlign w:val="center"/>
          </w:tcPr>
          <w:p w14:paraId="664C0A2A">
            <w:pPr>
              <w:jc w:val="left"/>
              <w:rPr>
                <w:rFonts w:hint="eastAsia" w:ascii="宋体" w:hAnsi="宋体" w:eastAsia="宋体" w:cs="宋体"/>
                <w:spacing w:val="-2"/>
                <w:szCs w:val="21"/>
                <w:lang w:eastAsia="zh-CN"/>
              </w:rPr>
            </w:pPr>
            <w:r>
              <w:rPr>
                <w:rFonts w:hint="eastAsia" w:ascii="宋体" w:hAnsi="宋体" w:eastAsia="宋体" w:cs="宋体"/>
                <w:spacing w:val="-2"/>
                <w:szCs w:val="21"/>
                <w:lang w:eastAsia="zh-CN"/>
              </w:rPr>
              <w:t>缴纳投标保证金的有效凭证。</w:t>
            </w:r>
          </w:p>
        </w:tc>
        <w:tc>
          <w:tcPr>
            <w:tcW w:w="768" w:type="dxa"/>
            <w:vAlign w:val="center"/>
          </w:tcPr>
          <w:p w14:paraId="63A3D8E3">
            <w:pPr>
              <w:spacing w:line="240" w:lineRule="auto"/>
              <w:jc w:val="center"/>
              <w:rPr>
                <w:rFonts w:hint="eastAsia" w:ascii="宋体" w:hAnsi="宋体" w:cs="宋体"/>
                <w:spacing w:val="-2"/>
                <w:szCs w:val="21"/>
              </w:rPr>
            </w:pPr>
          </w:p>
        </w:tc>
      </w:tr>
      <w:tr w14:paraId="5D66E7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8" w:hRule="atLeast"/>
          <w:jc w:val="center"/>
        </w:trPr>
        <w:tc>
          <w:tcPr>
            <w:tcW w:w="7727" w:type="dxa"/>
            <w:gridSpan w:val="2"/>
            <w:vAlign w:val="center"/>
          </w:tcPr>
          <w:p w14:paraId="2912F76F">
            <w:pPr>
              <w:ind w:firstLine="370" w:firstLineChars="180"/>
              <w:rPr>
                <w:rFonts w:hint="eastAsia" w:ascii="宋体" w:hAnsi="宋体" w:cs="宋体"/>
                <w:spacing w:val="-2"/>
                <w:sz w:val="24"/>
              </w:rPr>
            </w:pPr>
            <w:r>
              <w:rPr>
                <w:rFonts w:hint="eastAsia" w:ascii="宋体" w:hAnsi="宋体" w:cs="宋体"/>
                <w:spacing w:val="-2"/>
                <w:szCs w:val="21"/>
              </w:rPr>
              <w:t>结论：通过评审打“√”，未通过评审打“×”</w:t>
            </w:r>
          </w:p>
        </w:tc>
        <w:tc>
          <w:tcPr>
            <w:tcW w:w="768" w:type="dxa"/>
            <w:vAlign w:val="center"/>
          </w:tcPr>
          <w:p w14:paraId="3D682115">
            <w:pPr>
              <w:ind w:firstLine="370" w:firstLineChars="180"/>
              <w:rPr>
                <w:rFonts w:hint="eastAsia" w:ascii="宋体" w:hAnsi="宋体" w:cs="宋体"/>
                <w:spacing w:val="-2"/>
                <w:szCs w:val="21"/>
              </w:rPr>
            </w:pPr>
          </w:p>
        </w:tc>
      </w:tr>
    </w:tbl>
    <w:p w14:paraId="7C5ECD8C">
      <w:pPr>
        <w:spacing w:line="400" w:lineRule="exact"/>
        <w:ind w:left="60"/>
        <w:rPr>
          <w:rFonts w:hint="eastAsia" w:ascii="宋体" w:hAnsi="宋体" w:cs="宋体"/>
          <w:szCs w:val="21"/>
        </w:rPr>
      </w:pPr>
      <w:r>
        <w:rPr>
          <w:rFonts w:hint="eastAsia" w:ascii="宋体" w:hAnsi="宋体" w:cs="宋体"/>
          <w:szCs w:val="21"/>
        </w:rPr>
        <w:t>说明：</w:t>
      </w:r>
    </w:p>
    <w:p w14:paraId="0142DA72">
      <w:pPr>
        <w:spacing w:line="400" w:lineRule="exact"/>
        <w:ind w:left="60"/>
        <w:rPr>
          <w:rFonts w:hint="eastAsia" w:ascii="宋体" w:hAnsi="宋体" w:cs="宋体"/>
          <w:szCs w:val="21"/>
        </w:rPr>
      </w:pPr>
      <w:r>
        <w:rPr>
          <w:rFonts w:hint="eastAsia" w:ascii="宋体" w:hAnsi="宋体" w:cs="宋体"/>
          <w:szCs w:val="21"/>
        </w:rPr>
        <w:t>（1）上述各项中用“√”表示合格，“×”表示不合格；</w:t>
      </w:r>
    </w:p>
    <w:p w14:paraId="06DB5134">
      <w:pPr>
        <w:spacing w:line="400" w:lineRule="exact"/>
        <w:ind w:left="689" w:leftChars="28" w:hanging="630" w:hangingChars="300"/>
        <w:rPr>
          <w:rFonts w:hint="eastAsia" w:ascii="宋体" w:hAnsi="宋体" w:cs="宋体"/>
          <w:szCs w:val="21"/>
        </w:rPr>
      </w:pPr>
      <w:r>
        <w:rPr>
          <w:rFonts w:hint="eastAsia" w:ascii="宋体" w:hAnsi="宋体" w:cs="宋体"/>
          <w:szCs w:val="21"/>
        </w:rPr>
        <w:t>（2）上述各项中如有一项为“×”，则结论为“×”，表示该响应文件中存在重大偏差，不能通过初步评审；评委对某一分项评审认为不合格时，必须要写明原因。</w:t>
      </w:r>
    </w:p>
    <w:p w14:paraId="1B0E9C9B">
      <w:pPr>
        <w:autoSpaceDE w:val="0"/>
        <w:autoSpaceDN w:val="0"/>
        <w:adjustRightInd w:val="0"/>
        <w:spacing w:line="400" w:lineRule="exact"/>
        <w:rPr>
          <w:rFonts w:hint="eastAsia" w:ascii="宋体" w:hAnsi="宋体" w:cs="宋体"/>
          <w:kern w:val="0"/>
          <w:szCs w:val="21"/>
        </w:rPr>
      </w:pPr>
      <w:r>
        <w:rPr>
          <w:rFonts w:hint="eastAsia" w:ascii="宋体" w:hAnsi="宋体" w:cs="宋体"/>
          <w:kern w:val="0"/>
          <w:szCs w:val="21"/>
        </w:rPr>
        <w:t>（3）响应文件最终合格与否，以所有评委的评审意见中少数服从多数为原则定论。</w:t>
      </w:r>
    </w:p>
    <w:p w14:paraId="732F2C7C">
      <w:pPr>
        <w:spacing w:line="400" w:lineRule="exact"/>
        <w:rPr>
          <w:rFonts w:hint="eastAsia" w:ascii="宋体" w:hAnsi="宋体" w:cs="宋体"/>
          <w:szCs w:val="21"/>
        </w:rPr>
      </w:pPr>
      <w:r>
        <w:rPr>
          <w:rFonts w:hint="eastAsia" w:ascii="宋体" w:hAnsi="宋体" w:cs="宋体"/>
          <w:b/>
          <w:bCs/>
          <w:szCs w:val="21"/>
        </w:rPr>
        <w:t>未通过符合审查的供应商不进入评标；通过符合审查的供应商少于三家的，不得评标。</w:t>
      </w:r>
    </w:p>
    <w:p w14:paraId="51FDED67">
      <w:pPr>
        <w:rPr>
          <w:rFonts w:hint="eastAsia"/>
          <w:sz w:val="32"/>
          <w:szCs w:val="32"/>
        </w:rPr>
      </w:pPr>
    </w:p>
    <w:p w14:paraId="50161AB1">
      <w:pPr>
        <w:rPr>
          <w:rFonts w:hint="eastAsia"/>
          <w:sz w:val="32"/>
          <w:szCs w:val="32"/>
        </w:rPr>
      </w:pPr>
    </w:p>
    <w:p w14:paraId="3235E36A">
      <w:pPr>
        <w:rPr>
          <w:rFonts w:hint="eastAsia"/>
          <w:sz w:val="32"/>
          <w:szCs w:val="32"/>
        </w:rPr>
      </w:pPr>
    </w:p>
    <w:p w14:paraId="0FB4C8F7">
      <w:pPr>
        <w:rPr>
          <w:rFonts w:hint="eastAsia"/>
          <w:sz w:val="32"/>
          <w:szCs w:val="32"/>
        </w:rPr>
      </w:pPr>
    </w:p>
    <w:p w14:paraId="4575C563">
      <w:pPr>
        <w:rPr>
          <w:rFonts w:hint="eastAsia"/>
          <w:sz w:val="32"/>
          <w:szCs w:val="32"/>
        </w:rPr>
      </w:pPr>
    </w:p>
    <w:p w14:paraId="2F18F3C5">
      <w:pPr>
        <w:rPr>
          <w:rFonts w:hint="eastAsia"/>
          <w:sz w:val="32"/>
          <w:szCs w:val="32"/>
        </w:rPr>
      </w:pPr>
    </w:p>
    <w:p w14:paraId="356A92F9">
      <w:pPr>
        <w:rPr>
          <w:rFonts w:hint="eastAsia"/>
          <w:sz w:val="32"/>
          <w:szCs w:val="32"/>
        </w:rPr>
      </w:pPr>
    </w:p>
    <w:p w14:paraId="034094BA">
      <w:pPr>
        <w:rPr>
          <w:rFonts w:hint="eastAsia"/>
          <w:sz w:val="32"/>
          <w:szCs w:val="32"/>
        </w:rPr>
      </w:pPr>
    </w:p>
    <w:p w14:paraId="019D7E01">
      <w:pPr>
        <w:rPr>
          <w:rFonts w:hint="eastAsia"/>
          <w:sz w:val="32"/>
          <w:szCs w:val="32"/>
        </w:rPr>
      </w:pPr>
    </w:p>
    <w:p w14:paraId="1C10797D">
      <w:pPr>
        <w:rPr>
          <w:rFonts w:hint="eastAsia"/>
          <w:sz w:val="32"/>
          <w:szCs w:val="32"/>
        </w:rPr>
      </w:pPr>
    </w:p>
    <w:p w14:paraId="02ACC239">
      <w:pPr>
        <w:rPr>
          <w:rFonts w:hint="eastAsia"/>
          <w:sz w:val="32"/>
          <w:szCs w:val="32"/>
        </w:rPr>
      </w:pPr>
    </w:p>
    <w:p w14:paraId="193DD9A3">
      <w:pPr>
        <w:pStyle w:val="3"/>
        <w:snapToGrid w:val="0"/>
        <w:spacing w:before="0" w:after="0" w:line="360" w:lineRule="exact"/>
        <w:ind w:left="1080" w:leftChars="257" w:hanging="540"/>
        <w:jc w:val="center"/>
        <w:textAlignment w:val="baseline"/>
        <w:rPr>
          <w:rFonts w:hint="eastAsia" w:ascii="宋体" w:hAnsi="宋体" w:eastAsia="宋体" w:cs="宋体"/>
          <w:b/>
          <w:bCs/>
          <w:sz w:val="28"/>
          <w:szCs w:val="28"/>
        </w:rPr>
      </w:pPr>
      <w:bookmarkStart w:id="734" w:name="_Toc17595"/>
      <w:r>
        <w:rPr>
          <w:rFonts w:hint="eastAsia" w:ascii="宋体" w:hAnsi="宋体" w:eastAsia="宋体" w:cs="宋体"/>
          <w:b/>
          <w:bCs/>
          <w:sz w:val="28"/>
          <w:szCs w:val="28"/>
        </w:rPr>
        <w:t>综合评分表</w:t>
      </w:r>
      <w:bookmarkEnd w:id="734"/>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7"/>
        <w:gridCol w:w="428"/>
        <w:gridCol w:w="5254"/>
        <w:gridCol w:w="912"/>
      </w:tblGrid>
      <w:tr w14:paraId="264CD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27" w:hRule="atLeast"/>
          <w:jc w:val="center"/>
        </w:trPr>
        <w:tc>
          <w:tcPr>
            <w:tcW w:w="857" w:type="dxa"/>
            <w:vAlign w:val="center"/>
          </w:tcPr>
          <w:p w14:paraId="45085889">
            <w:pPr>
              <w:spacing w:line="320" w:lineRule="exact"/>
              <w:ind w:firstLine="28"/>
              <w:jc w:val="center"/>
              <w:rPr>
                <w:rFonts w:hint="eastAsia" w:ascii="宋体" w:hAnsi="宋体" w:cs="宋体"/>
                <w:b/>
                <w:szCs w:val="21"/>
              </w:rPr>
            </w:pPr>
            <w:r>
              <w:rPr>
                <w:rFonts w:hint="eastAsia" w:ascii="宋体" w:hAnsi="宋体" w:cs="宋体"/>
                <w:b/>
                <w:szCs w:val="21"/>
              </w:rPr>
              <w:t>评分因素</w:t>
            </w:r>
          </w:p>
        </w:tc>
        <w:tc>
          <w:tcPr>
            <w:tcW w:w="428" w:type="dxa"/>
            <w:vAlign w:val="center"/>
          </w:tcPr>
          <w:p w14:paraId="72F53FD2">
            <w:pPr>
              <w:widowControl/>
              <w:spacing w:line="320" w:lineRule="exact"/>
              <w:jc w:val="center"/>
              <w:rPr>
                <w:rFonts w:hint="eastAsia" w:ascii="宋体" w:hAnsi="宋体" w:cs="宋体"/>
                <w:b/>
                <w:szCs w:val="21"/>
              </w:rPr>
            </w:pPr>
            <w:r>
              <w:rPr>
                <w:rFonts w:hint="eastAsia" w:ascii="宋体" w:hAnsi="宋体" w:cs="宋体"/>
                <w:b/>
                <w:kern w:val="0"/>
                <w:szCs w:val="21"/>
              </w:rPr>
              <w:t>分值</w:t>
            </w:r>
          </w:p>
        </w:tc>
        <w:tc>
          <w:tcPr>
            <w:tcW w:w="5254" w:type="dxa"/>
            <w:vAlign w:val="center"/>
          </w:tcPr>
          <w:p w14:paraId="7CE1BDE5">
            <w:pPr>
              <w:widowControl/>
              <w:spacing w:line="320" w:lineRule="exact"/>
              <w:jc w:val="center"/>
              <w:rPr>
                <w:rFonts w:hint="eastAsia" w:ascii="宋体" w:hAnsi="宋体" w:cs="宋体"/>
                <w:b/>
                <w:bCs/>
                <w:kern w:val="0"/>
                <w:szCs w:val="21"/>
              </w:rPr>
            </w:pPr>
            <w:r>
              <w:rPr>
                <w:rFonts w:hint="eastAsia" w:ascii="宋体" w:hAnsi="宋体" w:cs="宋体"/>
                <w:b/>
                <w:bCs/>
                <w:kern w:val="0"/>
                <w:szCs w:val="21"/>
              </w:rPr>
              <w:t>评分因素及权重、评分标准</w:t>
            </w:r>
          </w:p>
          <w:p w14:paraId="31160FFE">
            <w:pPr>
              <w:widowControl/>
              <w:spacing w:line="320" w:lineRule="exact"/>
              <w:jc w:val="center"/>
              <w:rPr>
                <w:rFonts w:hint="eastAsia" w:ascii="宋体" w:hAnsi="宋体" w:cs="宋体"/>
                <w:b/>
                <w:szCs w:val="21"/>
              </w:rPr>
            </w:pPr>
            <w:r>
              <w:rPr>
                <w:rFonts w:hint="eastAsia" w:ascii="宋体" w:hAnsi="宋体" w:cs="宋体"/>
                <w:b/>
                <w:bCs/>
                <w:kern w:val="0"/>
                <w:szCs w:val="21"/>
              </w:rPr>
              <w:t>价格：</w:t>
            </w:r>
            <w:r>
              <w:rPr>
                <w:rFonts w:hint="eastAsia" w:ascii="宋体" w:hAnsi="宋体" w:cs="宋体"/>
                <w:b/>
                <w:bCs/>
                <w:kern w:val="0"/>
                <w:szCs w:val="21"/>
                <w:lang w:val="en-US" w:eastAsia="zh-CN"/>
              </w:rPr>
              <w:t>30</w:t>
            </w:r>
            <w:r>
              <w:rPr>
                <w:rFonts w:hint="eastAsia" w:ascii="宋体" w:hAnsi="宋体" w:cs="宋体"/>
                <w:b/>
                <w:bCs/>
                <w:kern w:val="0"/>
                <w:szCs w:val="21"/>
              </w:rPr>
              <w:t>分    商务评分：</w:t>
            </w:r>
            <w:r>
              <w:rPr>
                <w:rFonts w:hint="eastAsia" w:ascii="宋体" w:hAnsi="宋体" w:cs="宋体"/>
                <w:b/>
                <w:bCs/>
                <w:kern w:val="0"/>
                <w:szCs w:val="21"/>
                <w:lang w:val="en-US" w:eastAsia="zh-CN"/>
              </w:rPr>
              <w:t>18</w:t>
            </w:r>
            <w:r>
              <w:rPr>
                <w:rFonts w:hint="eastAsia" w:ascii="宋体" w:hAnsi="宋体" w:cs="宋体"/>
                <w:b/>
                <w:bCs/>
                <w:kern w:val="0"/>
                <w:szCs w:val="21"/>
              </w:rPr>
              <w:t>分    技术评分：</w:t>
            </w:r>
            <w:r>
              <w:rPr>
                <w:rFonts w:hint="eastAsia" w:ascii="宋体" w:hAnsi="宋体" w:cs="宋体"/>
                <w:b/>
                <w:bCs/>
                <w:kern w:val="0"/>
                <w:szCs w:val="21"/>
                <w:lang w:val="en-US" w:eastAsia="zh-CN"/>
              </w:rPr>
              <w:t>52</w:t>
            </w:r>
            <w:r>
              <w:rPr>
                <w:rFonts w:hint="eastAsia" w:ascii="宋体" w:hAnsi="宋体" w:cs="宋体"/>
                <w:b/>
                <w:bCs/>
                <w:kern w:val="0"/>
                <w:szCs w:val="21"/>
              </w:rPr>
              <w:t xml:space="preserve">分              </w:t>
            </w:r>
          </w:p>
        </w:tc>
        <w:tc>
          <w:tcPr>
            <w:tcW w:w="912" w:type="dxa"/>
            <w:vAlign w:val="center"/>
          </w:tcPr>
          <w:p w14:paraId="5CFC826D">
            <w:pPr>
              <w:pStyle w:val="45"/>
              <w:spacing w:before="0" w:after="0" w:line="320" w:lineRule="exact"/>
              <w:rPr>
                <w:rFonts w:hint="eastAsia" w:ascii="宋体" w:hAnsi="宋体" w:eastAsia="宋体" w:cs="宋体"/>
                <w:sz w:val="21"/>
                <w:szCs w:val="21"/>
              </w:rPr>
            </w:pPr>
            <w:r>
              <w:rPr>
                <w:rFonts w:hint="eastAsia" w:ascii="宋体" w:hAnsi="宋体" w:eastAsia="宋体" w:cs="宋体"/>
                <w:sz w:val="21"/>
                <w:szCs w:val="21"/>
              </w:rPr>
              <w:t>说明</w:t>
            </w:r>
          </w:p>
        </w:tc>
      </w:tr>
      <w:tr w14:paraId="1BBD40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88" w:hRule="atLeast"/>
          <w:jc w:val="center"/>
        </w:trPr>
        <w:tc>
          <w:tcPr>
            <w:tcW w:w="857" w:type="dxa"/>
            <w:vAlign w:val="center"/>
          </w:tcPr>
          <w:p w14:paraId="2B498F06">
            <w:pPr>
              <w:spacing w:line="320" w:lineRule="exact"/>
              <w:jc w:val="center"/>
              <w:rPr>
                <w:rFonts w:hint="eastAsia" w:ascii="宋体" w:hAnsi="宋体" w:cs="宋体"/>
                <w:b/>
                <w:szCs w:val="21"/>
              </w:rPr>
            </w:pPr>
            <w:r>
              <w:rPr>
                <w:rFonts w:hint="eastAsia" w:ascii="宋体" w:hAnsi="宋体" w:cs="宋体"/>
                <w:b/>
                <w:szCs w:val="21"/>
              </w:rPr>
              <w:t>价格评分标准（</w:t>
            </w:r>
            <w:r>
              <w:rPr>
                <w:rFonts w:hint="eastAsia" w:ascii="宋体" w:hAnsi="宋体" w:cs="宋体"/>
                <w:b/>
                <w:szCs w:val="21"/>
                <w:lang w:val="en-US" w:eastAsia="zh-CN"/>
              </w:rPr>
              <w:t>30</w:t>
            </w:r>
            <w:r>
              <w:rPr>
                <w:rFonts w:hint="eastAsia" w:ascii="宋体" w:hAnsi="宋体" w:cs="宋体"/>
                <w:b/>
                <w:szCs w:val="21"/>
              </w:rPr>
              <w:t>分）</w:t>
            </w:r>
          </w:p>
        </w:tc>
        <w:tc>
          <w:tcPr>
            <w:tcW w:w="428" w:type="dxa"/>
            <w:vAlign w:val="center"/>
          </w:tcPr>
          <w:p w14:paraId="1C842D43">
            <w:pPr>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30</w:t>
            </w:r>
          </w:p>
        </w:tc>
        <w:tc>
          <w:tcPr>
            <w:tcW w:w="5254" w:type="dxa"/>
            <w:vAlign w:val="center"/>
          </w:tcPr>
          <w:p w14:paraId="4D998D76">
            <w:pPr>
              <w:spacing w:line="320" w:lineRule="exact"/>
              <w:jc w:val="left"/>
              <w:rPr>
                <w:rFonts w:hint="eastAsia" w:ascii="宋体" w:hAnsi="宋体" w:cs="宋体"/>
                <w:b w:val="0"/>
                <w:bCs w:val="0"/>
                <w:szCs w:val="21"/>
              </w:rPr>
            </w:pPr>
            <w:r>
              <w:rPr>
                <w:rFonts w:hint="eastAsia" w:ascii="宋体" w:hAnsi="宋体" w:cs="宋体"/>
                <w:b w:val="0"/>
                <w:bCs w:val="0"/>
                <w:szCs w:val="21"/>
              </w:rPr>
              <w:t>1.按照财政部《政府采购货物和服务招标投标管理办法》（财政部令第87号）的有关规定：价格分采用低价优先法计算，即满足招标文件要求且投标价格最低的投标报价为评标基准价，其价格分为满分。其他投标人的价格分统一按照下列公式计算：投标报价得分=（评标基准价/投标报价）×30%×100（计算分值时，百分比按四舍五入原则，保留小数点后二位数）</w:t>
            </w:r>
          </w:p>
          <w:p w14:paraId="4BFB8E06">
            <w:pPr>
              <w:spacing w:line="320" w:lineRule="exact"/>
              <w:jc w:val="left"/>
              <w:rPr>
                <w:rFonts w:hint="eastAsia" w:ascii="宋体" w:hAnsi="宋体" w:cs="宋体"/>
                <w:b w:val="0"/>
                <w:bCs w:val="0"/>
                <w:szCs w:val="21"/>
              </w:rPr>
            </w:pPr>
            <w:r>
              <w:rPr>
                <w:rFonts w:hint="eastAsia" w:ascii="宋体" w:hAnsi="宋体" w:cs="宋体"/>
                <w:b w:val="0"/>
                <w:bCs w:val="0"/>
                <w:szCs w:val="21"/>
              </w:rPr>
              <w:t>2.评标期间，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提供证明材料需与本产品相符合，否则不予认可）</w:t>
            </w:r>
          </w:p>
          <w:p w14:paraId="7884B4DD">
            <w:pPr>
              <w:spacing w:line="320" w:lineRule="exact"/>
              <w:jc w:val="left"/>
              <w:rPr>
                <w:rFonts w:hint="eastAsia" w:ascii="宋体" w:hAnsi="宋体" w:cs="宋体"/>
                <w:b/>
                <w:bCs/>
                <w:szCs w:val="21"/>
              </w:rPr>
            </w:pPr>
            <w:r>
              <w:rPr>
                <w:rFonts w:hint="eastAsia" w:ascii="宋体" w:hAnsi="宋体" w:cs="宋体"/>
                <w:b w:val="0"/>
                <w:bCs w:val="0"/>
                <w:szCs w:val="21"/>
              </w:rPr>
              <w:t>3.评标期间，评标委员会根据关于推动解决政府采购异常低价问题的通知财库〔2026〕2号强化政府采购启动异常低价审查（详见</w:t>
            </w:r>
            <w:r>
              <w:rPr>
                <w:rFonts w:hint="eastAsia" w:ascii="宋体" w:hAnsi="宋体" w:cs="宋体"/>
                <w:b w:val="0"/>
                <w:bCs w:val="0"/>
                <w:szCs w:val="21"/>
                <w:lang w:eastAsia="zh-CN"/>
              </w:rPr>
              <w:t>磋商</w:t>
            </w:r>
            <w:r>
              <w:rPr>
                <w:rFonts w:hint="eastAsia" w:ascii="宋体" w:hAnsi="宋体" w:cs="宋体"/>
                <w:b w:val="0"/>
                <w:bCs w:val="0"/>
                <w:szCs w:val="21"/>
              </w:rPr>
              <w:t>文件第四章）</w:t>
            </w:r>
          </w:p>
        </w:tc>
        <w:tc>
          <w:tcPr>
            <w:tcW w:w="912" w:type="dxa"/>
            <w:vAlign w:val="center"/>
          </w:tcPr>
          <w:p w14:paraId="02810D17">
            <w:pPr>
              <w:spacing w:line="320" w:lineRule="exact"/>
              <w:rPr>
                <w:rFonts w:hint="eastAsia" w:ascii="宋体" w:hAnsi="宋体" w:cs="宋体"/>
                <w:b/>
                <w:bCs/>
                <w:szCs w:val="21"/>
              </w:rPr>
            </w:pPr>
            <w:r>
              <w:rPr>
                <w:rFonts w:hint="eastAsia" w:ascii="宋体" w:hAnsi="宋体" w:cs="宋体"/>
                <w:b/>
                <w:bCs/>
                <w:szCs w:val="21"/>
                <w:lang w:eastAsia="zh-CN"/>
              </w:rPr>
              <w:t>磋商</w:t>
            </w:r>
            <w:r>
              <w:rPr>
                <w:rFonts w:hint="eastAsia" w:ascii="宋体" w:hAnsi="宋体" w:cs="宋体"/>
                <w:b/>
                <w:bCs/>
                <w:szCs w:val="21"/>
              </w:rPr>
              <w:t>报价超过采购</w:t>
            </w:r>
            <w:r>
              <w:rPr>
                <w:rFonts w:hint="eastAsia" w:ascii="宋体" w:hAnsi="宋体" w:cs="宋体"/>
                <w:b/>
                <w:bCs/>
                <w:szCs w:val="21"/>
                <w:lang w:eastAsia="zh-CN"/>
              </w:rPr>
              <w:t>预算金额</w:t>
            </w:r>
            <w:r>
              <w:rPr>
                <w:rFonts w:hint="eastAsia" w:ascii="宋体" w:hAnsi="宋体" w:cs="宋体"/>
                <w:b/>
                <w:bCs/>
                <w:szCs w:val="21"/>
              </w:rPr>
              <w:t>的按废标处理</w:t>
            </w:r>
          </w:p>
        </w:tc>
      </w:tr>
      <w:tr w14:paraId="6B3A4E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7" w:type="dxa"/>
            <w:vMerge w:val="restart"/>
            <w:vAlign w:val="center"/>
          </w:tcPr>
          <w:p w14:paraId="5989BB9F">
            <w:pPr>
              <w:spacing w:line="320" w:lineRule="exact"/>
              <w:jc w:val="center"/>
              <w:rPr>
                <w:rFonts w:hint="eastAsia" w:ascii="宋体" w:hAnsi="宋体" w:cs="宋体"/>
                <w:b/>
                <w:szCs w:val="21"/>
              </w:rPr>
            </w:pPr>
            <w:r>
              <w:rPr>
                <w:rFonts w:hint="eastAsia" w:ascii="宋体" w:hAnsi="宋体" w:cs="宋体"/>
                <w:b/>
                <w:szCs w:val="21"/>
              </w:rPr>
              <w:t>商务评分标准（</w:t>
            </w:r>
            <w:r>
              <w:rPr>
                <w:rFonts w:hint="eastAsia" w:ascii="宋体" w:hAnsi="宋体" w:cs="宋体"/>
                <w:b/>
                <w:szCs w:val="21"/>
                <w:lang w:val="en-US" w:eastAsia="zh-CN"/>
              </w:rPr>
              <w:t>18</w:t>
            </w:r>
            <w:r>
              <w:rPr>
                <w:rFonts w:hint="eastAsia" w:ascii="宋体" w:hAnsi="宋体" w:cs="宋体"/>
                <w:b/>
                <w:szCs w:val="21"/>
              </w:rPr>
              <w:t>分）</w:t>
            </w:r>
          </w:p>
        </w:tc>
        <w:tc>
          <w:tcPr>
            <w:tcW w:w="428" w:type="dxa"/>
            <w:vAlign w:val="center"/>
          </w:tcPr>
          <w:p w14:paraId="46AE6C7F">
            <w:pPr>
              <w:spacing w:line="320" w:lineRule="exact"/>
              <w:jc w:val="center"/>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4</w:t>
            </w:r>
          </w:p>
        </w:tc>
        <w:tc>
          <w:tcPr>
            <w:tcW w:w="5254" w:type="dxa"/>
            <w:vAlign w:val="center"/>
          </w:tcPr>
          <w:p w14:paraId="311FD4DF">
            <w:pPr>
              <w:spacing w:line="320" w:lineRule="exact"/>
              <w:rPr>
                <w:rFonts w:hint="eastAsia" w:ascii="宋体" w:hAnsi="宋体" w:cs="宋体"/>
                <w:b/>
                <w:bCs/>
                <w:color w:val="auto"/>
                <w:szCs w:val="21"/>
                <w:highlight w:val="none"/>
                <w:lang w:val="en-US" w:eastAsia="zh-CN"/>
              </w:rPr>
            </w:pPr>
          </w:p>
          <w:p w14:paraId="58AD815B">
            <w:pPr>
              <w:keepNext w:val="0"/>
              <w:keepLines w:val="0"/>
              <w:pageBreakBefore w:val="0"/>
              <w:widowControl w:val="0"/>
              <w:shd w:val="clear" w:color="auto" w:fill="auto"/>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业绩：</w:t>
            </w:r>
            <w:r>
              <w:rPr>
                <w:rFonts w:hint="eastAsia" w:ascii="宋体" w:hAnsi="宋体" w:eastAsia="宋体" w:cs="宋体"/>
                <w:b w:val="0"/>
                <w:bCs w:val="0"/>
                <w:color w:val="auto"/>
                <w:sz w:val="21"/>
                <w:szCs w:val="21"/>
                <w:highlight w:val="none"/>
                <w:lang w:val="en-US" w:eastAsia="zh-CN"/>
              </w:rPr>
              <w:t>供应商须提供近三年内（2023年</w:t>
            </w:r>
            <w:r>
              <w:rPr>
                <w:rFonts w:hint="eastAsia" w:ascii="宋体" w:hAnsi="宋体" w:cs="宋体"/>
                <w:b w:val="0"/>
                <w:bCs w:val="0"/>
                <w:color w:val="auto"/>
                <w:sz w:val="21"/>
                <w:szCs w:val="21"/>
                <w:highlight w:val="none"/>
                <w:lang w:val="en-US" w:eastAsia="zh-CN"/>
              </w:rPr>
              <w:t>5</w:t>
            </w:r>
            <w:r>
              <w:rPr>
                <w:rFonts w:hint="eastAsia" w:ascii="宋体" w:hAnsi="宋体" w:eastAsia="宋体" w:cs="宋体"/>
                <w:b w:val="0"/>
                <w:bCs w:val="0"/>
                <w:color w:val="auto"/>
                <w:sz w:val="21"/>
                <w:szCs w:val="21"/>
                <w:highlight w:val="none"/>
                <w:lang w:val="en-US" w:eastAsia="zh-CN"/>
              </w:rPr>
              <w:t>月1日至今）类似项目业绩，</w:t>
            </w:r>
            <w:r>
              <w:rPr>
                <w:rFonts w:hint="eastAsia" w:ascii="宋体" w:hAnsi="宋体" w:cs="宋体"/>
                <w:b w:val="0"/>
                <w:bCs w:val="0"/>
                <w:color w:val="auto"/>
                <w:sz w:val="21"/>
                <w:szCs w:val="21"/>
                <w:highlight w:val="none"/>
                <w:lang w:val="en-US" w:eastAsia="zh-CN"/>
              </w:rPr>
              <w:t>须</w:t>
            </w:r>
            <w:r>
              <w:rPr>
                <w:rFonts w:hint="eastAsia" w:ascii="宋体" w:hAnsi="宋体" w:eastAsia="宋体" w:cs="宋体"/>
                <w:b w:val="0"/>
                <w:bCs w:val="0"/>
                <w:color w:val="auto"/>
                <w:sz w:val="21"/>
                <w:szCs w:val="21"/>
                <w:highlight w:val="none"/>
                <w:lang w:val="en-US" w:eastAsia="zh-CN"/>
              </w:rPr>
              <w:t>提供中标（成交）通知书和合同协议书、工程接收证书或工程竣工验收证书（表），以工程接收证书或工程竣工验收证书（表）时间为准。每提供一个类似业绩得2 分，最高得4分，不提供不得分。</w:t>
            </w:r>
          </w:p>
          <w:p w14:paraId="3A06B6BA">
            <w:pPr>
              <w:spacing w:line="320" w:lineRule="exact"/>
              <w:rPr>
                <w:rFonts w:hint="eastAsia" w:ascii="宋体" w:hAnsi="宋体" w:cs="宋体"/>
                <w:b/>
                <w:bCs/>
                <w:szCs w:val="21"/>
                <w:highlight w:val="none"/>
              </w:rPr>
            </w:pPr>
            <w:r>
              <w:rPr>
                <w:rFonts w:hint="eastAsia" w:ascii="宋体" w:hAnsi="宋体" w:eastAsia="宋体" w:cs="宋体"/>
                <w:b/>
                <w:bCs/>
                <w:color w:val="auto"/>
                <w:sz w:val="21"/>
                <w:szCs w:val="21"/>
                <w:highlight w:val="none"/>
                <w:lang w:val="en-US" w:eastAsia="zh-CN"/>
              </w:rPr>
              <w:t>（注：所提供的业绩证明材料不完整的不得分；同一合同不重复计算得分，分包转包合同无效。）</w:t>
            </w:r>
          </w:p>
        </w:tc>
        <w:tc>
          <w:tcPr>
            <w:tcW w:w="912" w:type="dxa"/>
            <w:vMerge w:val="restart"/>
            <w:vAlign w:val="center"/>
          </w:tcPr>
          <w:p w14:paraId="5AC8C662">
            <w:pPr>
              <w:spacing w:line="320" w:lineRule="exact"/>
              <w:rPr>
                <w:rFonts w:hint="eastAsia" w:ascii="宋体" w:hAnsi="宋体" w:cs="宋体"/>
                <w:b/>
                <w:bCs/>
                <w:szCs w:val="21"/>
              </w:rPr>
            </w:pPr>
            <w:r>
              <w:rPr>
                <w:rFonts w:hint="eastAsia" w:ascii="宋体" w:hAnsi="宋体" w:cs="宋体"/>
                <w:b/>
                <w:bCs/>
                <w:szCs w:val="21"/>
              </w:rPr>
              <w:t>根据需求提供必要的证明资料</w:t>
            </w:r>
          </w:p>
        </w:tc>
      </w:tr>
      <w:tr w14:paraId="61C9B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7" w:type="dxa"/>
            <w:vMerge w:val="continue"/>
            <w:vAlign w:val="center"/>
          </w:tcPr>
          <w:p w14:paraId="07704998">
            <w:pPr>
              <w:spacing w:line="320" w:lineRule="exact"/>
              <w:jc w:val="center"/>
              <w:rPr>
                <w:rFonts w:hint="eastAsia" w:ascii="宋体" w:hAnsi="宋体" w:cs="宋体"/>
                <w:b/>
                <w:szCs w:val="21"/>
              </w:rPr>
            </w:pPr>
          </w:p>
        </w:tc>
        <w:tc>
          <w:tcPr>
            <w:tcW w:w="428" w:type="dxa"/>
            <w:vAlign w:val="center"/>
          </w:tcPr>
          <w:p w14:paraId="609E9815">
            <w:pPr>
              <w:spacing w:line="320" w:lineRule="exact"/>
              <w:jc w:val="center"/>
              <w:rPr>
                <w:rFonts w:hint="default" w:ascii="宋体" w:hAnsi="宋体" w:cs="宋体"/>
                <w:b/>
                <w:szCs w:val="21"/>
                <w:highlight w:val="none"/>
                <w:lang w:val="en-US" w:eastAsia="zh-CN"/>
              </w:rPr>
            </w:pPr>
            <w:r>
              <w:rPr>
                <w:rFonts w:hint="eastAsia" w:ascii="宋体" w:hAnsi="宋体" w:cs="宋体"/>
                <w:b/>
                <w:szCs w:val="21"/>
                <w:highlight w:val="none"/>
                <w:lang w:val="en-US" w:eastAsia="zh-CN"/>
              </w:rPr>
              <w:t>4</w:t>
            </w:r>
          </w:p>
        </w:tc>
        <w:tc>
          <w:tcPr>
            <w:tcW w:w="5254" w:type="dxa"/>
            <w:vAlign w:val="center"/>
          </w:tcPr>
          <w:p w14:paraId="632411A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项目经理：</w:t>
            </w:r>
            <w:r>
              <w:rPr>
                <w:rFonts w:hint="eastAsia" w:ascii="宋体" w:hAnsi="宋体" w:eastAsia="宋体" w:cs="宋体"/>
                <w:b w:val="0"/>
                <w:bCs w:val="0"/>
                <w:color w:val="auto"/>
                <w:sz w:val="21"/>
                <w:szCs w:val="21"/>
                <w:highlight w:val="none"/>
                <w:lang w:val="en-US" w:eastAsia="zh-CN"/>
              </w:rPr>
              <w:t>相关专业高级及以上职称(高级工程师)4分；相关专业中级职称(工程师)3分；相关专业初级职称(助理工程师)2分。</w:t>
            </w:r>
          </w:p>
          <w:p w14:paraId="25853A3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w:t>
            </w:r>
            <w:r>
              <w:rPr>
                <w:rFonts w:hint="eastAsia" w:ascii="宋体" w:hAnsi="宋体" w:cs="宋体"/>
                <w:b/>
                <w:bCs/>
                <w:color w:val="auto"/>
                <w:sz w:val="21"/>
                <w:szCs w:val="21"/>
                <w:highlight w:val="none"/>
                <w:lang w:val="en-US" w:eastAsia="zh-CN"/>
              </w:rPr>
              <w:t>注：</w:t>
            </w:r>
            <w:r>
              <w:rPr>
                <w:rFonts w:hint="eastAsia" w:ascii="宋体" w:hAnsi="宋体" w:eastAsia="宋体" w:cs="宋体"/>
                <w:b/>
                <w:bCs/>
                <w:color w:val="auto"/>
                <w:sz w:val="21"/>
                <w:szCs w:val="21"/>
                <w:highlight w:val="none"/>
                <w:lang w:val="en-US" w:eastAsia="zh-CN"/>
              </w:rPr>
              <w:t>提供相应证明材料，包括但不限于身份证</w:t>
            </w:r>
            <w:r>
              <w:rPr>
                <w:rFonts w:hint="eastAsia" w:ascii="宋体" w:hAnsi="宋体" w:cs="宋体"/>
                <w:b/>
                <w:bCs/>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职称证、近三个月任意一个月社保</w:t>
            </w:r>
            <w:r>
              <w:rPr>
                <w:rFonts w:hint="eastAsia" w:ascii="宋体" w:hAnsi="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lang w:val="en-US" w:eastAsia="zh-CN"/>
              </w:rPr>
              <w:t>合同</w:t>
            </w:r>
            <w:r>
              <w:rPr>
                <w:rFonts w:hint="eastAsia" w:ascii="宋体" w:hAnsi="宋体" w:cs="宋体"/>
                <w:b/>
                <w:bCs/>
                <w:color w:val="auto"/>
                <w:sz w:val="21"/>
                <w:szCs w:val="21"/>
                <w:highlight w:val="none"/>
                <w:lang w:val="en-US" w:eastAsia="zh-CN"/>
              </w:rPr>
              <w:t>或</w:t>
            </w:r>
            <w:r>
              <w:rPr>
                <w:rFonts w:hint="eastAsia" w:ascii="宋体" w:hAnsi="宋体" w:eastAsia="宋体" w:cs="宋体"/>
                <w:b/>
                <w:bCs/>
                <w:color w:val="auto"/>
                <w:sz w:val="21"/>
                <w:szCs w:val="21"/>
                <w:highlight w:val="none"/>
                <w:lang w:val="en-US" w:eastAsia="zh-CN"/>
              </w:rPr>
              <w:t>聘请协议</w:t>
            </w:r>
            <w:bookmarkStart w:id="1969" w:name="_GoBack"/>
            <w:bookmarkEnd w:id="1969"/>
            <w:r>
              <w:rPr>
                <w:rFonts w:hint="eastAsia" w:ascii="宋体" w:hAnsi="宋体" w:eastAsia="宋体" w:cs="宋体"/>
                <w:b/>
                <w:bCs/>
                <w:color w:val="auto"/>
                <w:sz w:val="21"/>
                <w:szCs w:val="21"/>
                <w:highlight w:val="none"/>
                <w:lang w:val="en-US" w:eastAsia="zh-CN"/>
              </w:rPr>
              <w:t>）</w:t>
            </w:r>
          </w:p>
        </w:tc>
        <w:tc>
          <w:tcPr>
            <w:tcW w:w="912" w:type="dxa"/>
            <w:vMerge w:val="continue"/>
            <w:vAlign w:val="center"/>
          </w:tcPr>
          <w:p w14:paraId="101D8D26">
            <w:pPr>
              <w:spacing w:line="320" w:lineRule="exact"/>
              <w:rPr>
                <w:rFonts w:hint="eastAsia" w:ascii="宋体" w:hAnsi="宋体" w:cs="宋体"/>
                <w:szCs w:val="21"/>
              </w:rPr>
            </w:pPr>
          </w:p>
        </w:tc>
      </w:tr>
      <w:tr w14:paraId="7B5EE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857" w:type="dxa"/>
            <w:vMerge w:val="continue"/>
            <w:vAlign w:val="center"/>
          </w:tcPr>
          <w:p w14:paraId="480057D4">
            <w:pPr>
              <w:spacing w:line="320" w:lineRule="exact"/>
              <w:rPr>
                <w:rFonts w:hint="eastAsia" w:ascii="宋体" w:hAnsi="宋体" w:cs="宋体"/>
                <w:b/>
                <w:szCs w:val="21"/>
              </w:rPr>
            </w:pPr>
          </w:p>
        </w:tc>
        <w:tc>
          <w:tcPr>
            <w:tcW w:w="428" w:type="dxa"/>
            <w:vAlign w:val="center"/>
          </w:tcPr>
          <w:p w14:paraId="34388AAF">
            <w:pPr>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10</w:t>
            </w:r>
          </w:p>
        </w:tc>
        <w:tc>
          <w:tcPr>
            <w:tcW w:w="5254" w:type="dxa"/>
            <w:vAlign w:val="center"/>
          </w:tcPr>
          <w:p w14:paraId="2696C6DC">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项目管理人员：</w:t>
            </w:r>
          </w:p>
          <w:p w14:paraId="753D5E15">
            <w:pPr>
              <w:spacing w:line="320" w:lineRule="exact"/>
              <w:rPr>
                <w:rFonts w:hint="eastAsia" w:ascii="宋体" w:hAnsi="宋体" w:cs="宋体"/>
                <w:color w:val="auto"/>
                <w:sz w:val="21"/>
                <w:szCs w:val="21"/>
                <w:highlight w:val="none"/>
                <w:lang w:val="en-US" w:eastAsia="zh-CN"/>
              </w:rPr>
            </w:pPr>
            <w:r>
              <w:rPr>
                <w:rFonts w:hint="eastAsia" w:ascii="宋体" w:hAnsi="宋体" w:cs="宋体"/>
                <w:color w:val="auto"/>
                <w:sz w:val="21"/>
                <w:szCs w:val="21"/>
                <w:highlight w:val="none"/>
                <w:lang w:val="en-US" w:eastAsia="zh-CN"/>
              </w:rPr>
              <w:t>供应商针对本项目拟派项目成员，（包括项目经理、技术负责人、施工员、安全员、质量员、资料员、材料员、造价人员岗位）人员配备齐全合理，满足需要得8分；在满足配备需要的基础上，每增加一名岗位人员得0.5分，本项最多得10分（包括但不限于机械员，劳务员）。</w:t>
            </w:r>
          </w:p>
          <w:p w14:paraId="5282F928">
            <w:pPr>
              <w:spacing w:line="320" w:lineRule="exact"/>
              <w:rPr>
                <w:rFonts w:hint="default" w:ascii="宋体" w:hAnsi="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（注：提供相应证明材料，包括但不限于身份证、劳</w:t>
            </w:r>
            <w:r>
              <w:rPr>
                <w:rFonts w:hint="eastAsia" w:ascii="宋体" w:hAnsi="宋体" w:eastAsia="宋体" w:cs="宋体"/>
                <w:b/>
                <w:bCs/>
                <w:color w:val="auto"/>
                <w:sz w:val="21"/>
                <w:szCs w:val="21"/>
                <w:highlight w:val="none"/>
                <w:lang w:val="en-US" w:eastAsia="zh-CN"/>
              </w:rPr>
              <w:t>务合同或近三个月任意一个月社保或聘请协议）</w:t>
            </w:r>
          </w:p>
        </w:tc>
        <w:tc>
          <w:tcPr>
            <w:tcW w:w="912" w:type="dxa"/>
            <w:vMerge w:val="continue"/>
            <w:vAlign w:val="center"/>
          </w:tcPr>
          <w:p w14:paraId="235A27C5">
            <w:pPr>
              <w:spacing w:line="320" w:lineRule="exact"/>
              <w:rPr>
                <w:rFonts w:hint="eastAsia" w:ascii="宋体" w:hAnsi="宋体" w:cs="宋体"/>
                <w:b/>
                <w:bCs/>
                <w:szCs w:val="21"/>
              </w:rPr>
            </w:pPr>
          </w:p>
        </w:tc>
      </w:tr>
      <w:tr w14:paraId="5D3594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857" w:type="dxa"/>
            <w:vMerge w:val="restart"/>
            <w:vAlign w:val="center"/>
          </w:tcPr>
          <w:p w14:paraId="3E47D4D4">
            <w:pPr>
              <w:spacing w:line="320" w:lineRule="exact"/>
              <w:rPr>
                <w:rFonts w:hint="eastAsia" w:ascii="宋体" w:hAnsi="宋体" w:cs="宋体"/>
                <w:b/>
                <w:szCs w:val="21"/>
              </w:rPr>
            </w:pPr>
            <w:r>
              <w:rPr>
                <w:rFonts w:hint="eastAsia" w:ascii="宋体" w:hAnsi="宋体" w:cs="宋体"/>
                <w:b/>
                <w:szCs w:val="21"/>
              </w:rPr>
              <w:t>技术评分标准</w:t>
            </w:r>
            <w:r>
              <w:rPr>
                <w:rFonts w:hint="eastAsia" w:ascii="宋体" w:hAnsi="宋体" w:cs="宋体"/>
                <w:b/>
                <w:szCs w:val="21"/>
                <w:lang w:eastAsia="zh-CN"/>
              </w:rPr>
              <w:t>（</w:t>
            </w:r>
            <w:r>
              <w:rPr>
                <w:rFonts w:hint="eastAsia" w:ascii="宋体" w:hAnsi="宋体" w:cs="宋体"/>
                <w:b/>
                <w:szCs w:val="21"/>
                <w:lang w:val="en-US" w:eastAsia="zh-CN"/>
              </w:rPr>
              <w:t>52</w:t>
            </w:r>
            <w:r>
              <w:rPr>
                <w:rFonts w:hint="eastAsia" w:ascii="宋体" w:hAnsi="宋体" w:cs="宋体"/>
                <w:b/>
                <w:szCs w:val="21"/>
              </w:rPr>
              <w:t>分）</w:t>
            </w:r>
          </w:p>
        </w:tc>
        <w:tc>
          <w:tcPr>
            <w:tcW w:w="428" w:type="dxa"/>
            <w:vAlign w:val="center"/>
          </w:tcPr>
          <w:p w14:paraId="1DE24EB6">
            <w:pPr>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13</w:t>
            </w:r>
          </w:p>
        </w:tc>
        <w:tc>
          <w:tcPr>
            <w:tcW w:w="5254" w:type="dxa"/>
            <w:vAlign w:val="center"/>
          </w:tcPr>
          <w:p w14:paraId="017B1719">
            <w:pPr>
              <w:spacing w:line="320" w:lineRule="exact"/>
              <w:rPr>
                <w:rFonts w:hint="eastAsia" w:ascii="宋体" w:hAnsi="宋体" w:cs="宋体"/>
                <w:b w:val="0"/>
                <w:bCs w:val="0"/>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方案</w:t>
            </w:r>
            <w:r>
              <w:rPr>
                <w:rFonts w:hint="eastAsia" w:ascii="宋体" w:hAnsi="宋体" w:cs="宋体"/>
                <w:b/>
                <w:bCs/>
                <w:color w:val="auto"/>
                <w:sz w:val="21"/>
                <w:szCs w:val="21"/>
                <w:highlight w:val="none"/>
                <w:lang w:val="en-US" w:eastAsia="zh-CN"/>
              </w:rPr>
              <w:t>全面性：</w:t>
            </w:r>
            <w:r>
              <w:rPr>
                <w:rFonts w:hint="eastAsia" w:ascii="宋体" w:hAnsi="宋体" w:cs="宋体"/>
                <w:b w:val="0"/>
                <w:bCs w:val="0"/>
                <w:color w:val="auto"/>
                <w:sz w:val="21"/>
                <w:szCs w:val="21"/>
                <w:highlight w:val="none"/>
                <w:lang w:val="en-US" w:eastAsia="zh-CN"/>
              </w:rPr>
              <w:t>1. 保证措施应符合科学的施工规律、国家规定的强制性标准并有针对性，工程概况与总体部署对项目理解准确，施工范围清晰同时要符合实际情况，切实可行的得3分，保证措施符合科学的施工规律同时实际可行的得1分，不提供不得分;</w:t>
            </w:r>
          </w:p>
          <w:p w14:paraId="71DB307F">
            <w:pPr>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 详细描述劳动力安排计划与施工进度计划，施工技术、现场、物资与机械、队伍准备计划能充分保证工程需要，按需配置的得2分，未体现此项不得分;</w:t>
            </w:r>
          </w:p>
          <w:p w14:paraId="07187181">
            <w:pPr>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3.确保工程质量、工期、安全措施得力得2分，未体现确保工程质量、工期、安全措施此项不得分;</w:t>
            </w:r>
          </w:p>
          <w:p w14:paraId="6F93FA33">
            <w:pPr>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4.文明施工措施可信度高得2分，未体现文明施工措施此项不得分;</w:t>
            </w:r>
          </w:p>
          <w:p w14:paraId="34371C05">
            <w:pPr>
              <w:spacing w:line="320" w:lineRule="exact"/>
              <w:rPr>
                <w:rFonts w:hint="eastAsia"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5.施工总进度计划合理得2分，未体现施工总进度计划此项不得分;</w:t>
            </w:r>
          </w:p>
          <w:p w14:paraId="55572B75">
            <w:pPr>
              <w:spacing w:line="320" w:lineRule="exact"/>
              <w:rPr>
                <w:rFonts w:hint="eastAsia" w:ascii="宋体" w:hAnsi="宋体" w:cs="宋体"/>
                <w:b/>
                <w:bCs/>
                <w:szCs w:val="21"/>
              </w:rPr>
            </w:pPr>
            <w:r>
              <w:rPr>
                <w:rFonts w:hint="eastAsia" w:ascii="宋体" w:hAnsi="宋体" w:cs="宋体"/>
                <w:b w:val="0"/>
                <w:bCs w:val="0"/>
                <w:color w:val="auto"/>
                <w:sz w:val="21"/>
                <w:szCs w:val="21"/>
                <w:highlight w:val="none"/>
                <w:lang w:val="en-US" w:eastAsia="zh-CN"/>
              </w:rPr>
              <w:t>6.平面布置合理得2分(附图)，未体现平面布置此项不得分。</w:t>
            </w:r>
          </w:p>
        </w:tc>
        <w:tc>
          <w:tcPr>
            <w:tcW w:w="912" w:type="dxa"/>
            <w:vMerge w:val="restart"/>
            <w:vAlign w:val="center"/>
          </w:tcPr>
          <w:p w14:paraId="53E5B38F">
            <w:pPr>
              <w:spacing w:line="320" w:lineRule="exact"/>
              <w:rPr>
                <w:rFonts w:hint="eastAsia" w:ascii="宋体" w:hAnsi="宋体" w:cs="宋体"/>
                <w:b/>
                <w:bCs/>
                <w:szCs w:val="21"/>
              </w:rPr>
            </w:pPr>
            <w:r>
              <w:rPr>
                <w:rFonts w:hint="eastAsia" w:ascii="宋体" w:hAnsi="宋体" w:cs="宋体"/>
                <w:b/>
                <w:bCs/>
                <w:szCs w:val="21"/>
              </w:rPr>
              <w:t>根据需求提供必要的证明资料</w:t>
            </w:r>
          </w:p>
        </w:tc>
      </w:tr>
      <w:tr w14:paraId="70C76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857" w:type="dxa"/>
            <w:vMerge w:val="continue"/>
            <w:vAlign w:val="center"/>
          </w:tcPr>
          <w:p w14:paraId="42A624CC">
            <w:pPr>
              <w:spacing w:line="320" w:lineRule="exact"/>
              <w:rPr>
                <w:rFonts w:hint="eastAsia" w:ascii="宋体" w:hAnsi="宋体" w:cs="宋体"/>
                <w:b/>
                <w:szCs w:val="21"/>
              </w:rPr>
            </w:pPr>
          </w:p>
        </w:tc>
        <w:tc>
          <w:tcPr>
            <w:tcW w:w="428" w:type="dxa"/>
            <w:vAlign w:val="center"/>
          </w:tcPr>
          <w:p w14:paraId="100D1DD0">
            <w:pPr>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15</w:t>
            </w:r>
          </w:p>
        </w:tc>
        <w:tc>
          <w:tcPr>
            <w:tcW w:w="5254" w:type="dxa"/>
            <w:vAlign w:val="center"/>
          </w:tcPr>
          <w:p w14:paraId="17B5D3CC">
            <w:pPr>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cs="宋体"/>
                <w:b/>
                <w:bCs/>
                <w:color w:val="auto"/>
                <w:sz w:val="21"/>
                <w:szCs w:val="21"/>
                <w:highlight w:val="none"/>
                <w:lang w:val="en-US" w:eastAsia="zh-CN"/>
              </w:rPr>
              <w:t>施工技术方案可行性</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b w:val="0"/>
                <w:bCs w:val="0"/>
                <w:color w:val="auto"/>
                <w:sz w:val="21"/>
                <w:szCs w:val="21"/>
                <w:highlight w:val="none"/>
                <w:lang w:val="en-US" w:eastAsia="zh-CN"/>
              </w:rPr>
              <w:t>1.涉及主要内容齐全措施计划详尽，符合工程实际情况、并且能提高生产率提高质量、降低消耗的得4分，涉及主要内容符合工程实际情况得2分，未体现主要内容齐全措施计划的此项不得分;</w:t>
            </w:r>
          </w:p>
          <w:p w14:paraId="5C546219">
            <w:pPr>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2.流水段的划分合理明确、切实可行性强得3分（包含划分依据充分，结构特点、工程量、施工缝、后浇带、现场条件），未体现流水段的划分此项不得分;</w:t>
            </w:r>
          </w:p>
          <w:p w14:paraId="0E1A5DB6">
            <w:pPr>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3.流水作业的合理性好得3分（包含流水方向清晰、顺向合理、减少交叉干扰），未体现流水作业此项不得分;</w:t>
            </w:r>
          </w:p>
          <w:p w14:paraId="440D22E8">
            <w:pPr>
              <w:spacing w:line="320" w:lineRule="exact"/>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4.各项交叉作业切合实际得3分（包含人员、机械、材料按流水段配置），未体现各项交叉作业此项不得分;</w:t>
            </w:r>
          </w:p>
          <w:p w14:paraId="05222022">
            <w:pPr>
              <w:spacing w:line="320" w:lineRule="exact"/>
              <w:rPr>
                <w:rFonts w:hint="eastAsia" w:ascii="宋体" w:hAnsi="宋体" w:cs="宋体"/>
                <w:szCs w:val="21"/>
                <w:highlight w:val="none"/>
              </w:rPr>
            </w:pPr>
            <w:r>
              <w:rPr>
                <w:rFonts w:hint="eastAsia" w:ascii="宋体" w:hAnsi="宋体" w:eastAsia="宋体" w:cs="宋体"/>
                <w:b w:val="0"/>
                <w:bCs w:val="0"/>
                <w:color w:val="auto"/>
                <w:sz w:val="21"/>
                <w:szCs w:val="21"/>
                <w:highlight w:val="none"/>
                <w:lang w:val="en-US" w:eastAsia="zh-CN"/>
              </w:rPr>
              <w:t>5.机具合理可行得2分，未体现机具的此项不得分。</w:t>
            </w:r>
          </w:p>
        </w:tc>
        <w:tc>
          <w:tcPr>
            <w:tcW w:w="912" w:type="dxa"/>
            <w:vMerge w:val="continue"/>
            <w:vAlign w:val="center"/>
          </w:tcPr>
          <w:p w14:paraId="74C31673">
            <w:pPr>
              <w:spacing w:line="320" w:lineRule="exact"/>
              <w:rPr>
                <w:rFonts w:hint="eastAsia" w:ascii="宋体" w:hAnsi="宋体" w:cs="宋体"/>
                <w:b/>
                <w:bCs/>
                <w:szCs w:val="21"/>
              </w:rPr>
            </w:pPr>
          </w:p>
        </w:tc>
      </w:tr>
      <w:tr w14:paraId="2BA6E2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77" w:hRule="atLeast"/>
          <w:jc w:val="center"/>
        </w:trPr>
        <w:tc>
          <w:tcPr>
            <w:tcW w:w="857" w:type="dxa"/>
            <w:vMerge w:val="continue"/>
            <w:vAlign w:val="center"/>
          </w:tcPr>
          <w:p w14:paraId="16EA5942">
            <w:pPr>
              <w:spacing w:line="320" w:lineRule="exact"/>
              <w:rPr>
                <w:rFonts w:hint="eastAsia" w:ascii="宋体" w:hAnsi="宋体" w:cs="宋体"/>
                <w:b/>
                <w:szCs w:val="21"/>
              </w:rPr>
            </w:pPr>
          </w:p>
        </w:tc>
        <w:tc>
          <w:tcPr>
            <w:tcW w:w="428" w:type="dxa"/>
            <w:vAlign w:val="center"/>
          </w:tcPr>
          <w:p w14:paraId="67367EAB">
            <w:pPr>
              <w:spacing w:line="320" w:lineRule="exact"/>
              <w:jc w:val="center"/>
              <w:rPr>
                <w:rFonts w:hint="default" w:ascii="宋体" w:hAnsi="宋体" w:cs="宋体"/>
                <w:b/>
                <w:szCs w:val="21"/>
                <w:lang w:val="en-US" w:eastAsia="zh-CN"/>
              </w:rPr>
            </w:pPr>
            <w:r>
              <w:rPr>
                <w:rFonts w:hint="eastAsia" w:ascii="宋体" w:hAnsi="宋体" w:cs="宋体"/>
                <w:b/>
                <w:szCs w:val="21"/>
                <w:lang w:val="en-US" w:eastAsia="zh-CN"/>
              </w:rPr>
              <w:t>6</w:t>
            </w:r>
          </w:p>
        </w:tc>
        <w:tc>
          <w:tcPr>
            <w:tcW w:w="5254" w:type="dxa"/>
            <w:vAlign w:val="center"/>
          </w:tcPr>
          <w:p w14:paraId="4A87AE64">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bCs/>
                <w:szCs w:val="21"/>
                <w:lang w:eastAsia="zh-CN"/>
              </w:rPr>
              <w:t>方案针对性</w:t>
            </w:r>
            <w:r>
              <w:rPr>
                <w:rFonts w:hint="eastAsia" w:ascii="宋体" w:hAnsi="宋体" w:cs="宋体"/>
                <w:b/>
                <w:bCs/>
                <w:szCs w:val="21"/>
              </w:rPr>
              <w:t>：</w:t>
            </w:r>
            <w:r>
              <w:rPr>
                <w:rFonts w:hint="eastAsia" w:ascii="宋体" w:hAnsi="宋体" w:eastAsia="宋体" w:cs="宋体"/>
                <w:color w:val="auto"/>
                <w:sz w:val="21"/>
                <w:szCs w:val="21"/>
                <w:highlight w:val="none"/>
                <w:lang w:val="en-US" w:eastAsia="zh-CN"/>
              </w:rPr>
              <w:t>1.涉及重点内容突出，可行性强得1分，不提供不得分;</w:t>
            </w:r>
          </w:p>
          <w:p w14:paraId="52ABEEF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2.工程项目的质保体系健全得1分（包含但不限于建立完整的质量管理体系、质量责任制、岗位责任明确等），未体现工程项目的质保体系此项不得分;</w:t>
            </w:r>
          </w:p>
          <w:p w14:paraId="381775E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3.安保体系健全有效得1分（包含但不限于建立健全安全管理体系、安全生产责任制、岗位责任明确），未体现安保体系的此项不得分;</w:t>
            </w:r>
          </w:p>
          <w:p w14:paraId="77561FE1">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4.创优措施切实可行得1分（包含但不限于明确创优目标、优质工程、安全标准化工地等），未体现创优措施的此项不得分;</w:t>
            </w:r>
          </w:p>
          <w:p w14:paraId="45AB41B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5.工程的安全措施有具体可行得1分，未体现工程的安全措施此项不得分；</w:t>
            </w:r>
          </w:p>
          <w:p w14:paraId="67FD74FE">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b/>
                <w:bCs/>
                <w:color w:val="auto"/>
                <w:sz w:val="21"/>
                <w:szCs w:val="21"/>
                <w:highlight w:val="none"/>
                <w:lang w:val="en-US" w:eastAsia="zh-CN"/>
              </w:rPr>
            </w:pPr>
            <w:r>
              <w:rPr>
                <w:rFonts w:hint="eastAsia" w:ascii="宋体" w:hAnsi="宋体" w:eastAsia="宋体" w:cs="宋体"/>
                <w:color w:val="auto"/>
                <w:sz w:val="21"/>
                <w:szCs w:val="21"/>
                <w:highlight w:val="none"/>
                <w:lang w:val="en-US" w:eastAsia="zh-CN"/>
              </w:rPr>
              <w:t>6.文明施工措施得力得1分，未体现文明施工措施此项不得分。</w:t>
            </w:r>
          </w:p>
        </w:tc>
        <w:tc>
          <w:tcPr>
            <w:tcW w:w="912" w:type="dxa"/>
            <w:vMerge w:val="continue"/>
            <w:vAlign w:val="center"/>
          </w:tcPr>
          <w:p w14:paraId="0AF6A1D2">
            <w:pPr>
              <w:spacing w:line="320" w:lineRule="exact"/>
              <w:rPr>
                <w:rFonts w:hint="eastAsia" w:ascii="宋体" w:hAnsi="宋体" w:cs="宋体"/>
                <w:b/>
                <w:bCs/>
                <w:szCs w:val="21"/>
              </w:rPr>
            </w:pPr>
          </w:p>
        </w:tc>
      </w:tr>
      <w:tr w14:paraId="6E2F0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7" w:type="dxa"/>
            <w:vMerge w:val="continue"/>
            <w:vAlign w:val="center"/>
          </w:tcPr>
          <w:p w14:paraId="11F5320B">
            <w:pPr>
              <w:spacing w:line="320" w:lineRule="exact"/>
              <w:jc w:val="center"/>
              <w:rPr>
                <w:rFonts w:hint="eastAsia" w:ascii="宋体" w:hAnsi="宋体" w:cs="宋体"/>
                <w:b/>
                <w:szCs w:val="21"/>
              </w:rPr>
            </w:pPr>
          </w:p>
        </w:tc>
        <w:tc>
          <w:tcPr>
            <w:tcW w:w="428" w:type="dxa"/>
            <w:vAlign w:val="center"/>
          </w:tcPr>
          <w:p w14:paraId="636D6BDB">
            <w:pPr>
              <w:spacing w:line="320" w:lineRule="exact"/>
              <w:jc w:val="center"/>
              <w:rPr>
                <w:rFonts w:hint="default" w:ascii="宋体" w:hAnsi="宋体" w:eastAsia="宋体" w:cs="宋体"/>
                <w:b/>
                <w:szCs w:val="21"/>
                <w:lang w:val="en-US" w:eastAsia="zh-CN"/>
              </w:rPr>
            </w:pPr>
            <w:r>
              <w:rPr>
                <w:rFonts w:hint="eastAsia" w:ascii="宋体" w:hAnsi="宋体" w:cs="宋体"/>
                <w:b/>
                <w:szCs w:val="21"/>
                <w:lang w:val="en-US" w:eastAsia="zh-CN"/>
              </w:rPr>
              <w:t>14</w:t>
            </w:r>
          </w:p>
        </w:tc>
        <w:tc>
          <w:tcPr>
            <w:tcW w:w="5254" w:type="dxa"/>
            <w:vAlign w:val="center"/>
          </w:tcPr>
          <w:p w14:paraId="1A640969">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b/>
                <w:bCs/>
                <w:color w:val="auto"/>
                <w:sz w:val="21"/>
                <w:szCs w:val="21"/>
                <w:highlight w:val="none"/>
                <w:lang w:val="en-US" w:eastAsia="zh-CN"/>
              </w:rPr>
              <w:t>方案先进性</w:t>
            </w:r>
            <w:r>
              <w:rPr>
                <w:rFonts w:hint="eastAsia" w:ascii="宋体" w:hAnsi="宋体" w:eastAsia="宋体" w:cs="宋体"/>
                <w:b/>
                <w:bCs/>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1.采用新工艺、新技术、新设备得2分</w:t>
            </w:r>
          </w:p>
          <w:p w14:paraId="107A9376">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（包含采用新型施工机械、 自动化设备、智能监测设备、信息化管理等），未体现此项不得分;</w:t>
            </w:r>
          </w:p>
          <w:p w14:paraId="4980EB5B">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2.</w:t>
            </w:r>
            <w:r>
              <w:rPr>
                <w:rFonts w:hint="eastAsia" w:ascii="宋体" w:hAnsi="宋体" w:eastAsia="宋体" w:cs="宋体"/>
                <w:color w:val="auto"/>
                <w:sz w:val="21"/>
                <w:szCs w:val="21"/>
                <w:highlight w:val="none"/>
                <w:lang w:val="en-US" w:eastAsia="zh-CN"/>
              </w:rPr>
              <w:t>在确保工程质量前提下，有降低成本、缩短工期、减轻劳动强度、提高进度提案者得8分（</w:t>
            </w:r>
            <w:r>
              <w:rPr>
                <w:rFonts w:hint="eastAsia" w:ascii="宋体" w:hAnsi="宋体" w:eastAsia="宋体" w:cs="宋体"/>
                <w:b/>
                <w:bCs/>
                <w:color w:val="auto"/>
                <w:sz w:val="21"/>
                <w:szCs w:val="21"/>
                <w:highlight w:val="none"/>
                <w:lang w:val="en-US" w:eastAsia="zh-CN"/>
              </w:rPr>
              <w:t>包含有创新点、能提高质量、缩短工期、降低成本、节能环保等</w:t>
            </w:r>
            <w:r>
              <w:rPr>
                <w:rFonts w:hint="eastAsia" w:ascii="宋体" w:hAnsi="宋体" w:eastAsia="宋体" w:cs="宋体"/>
                <w:color w:val="auto"/>
                <w:sz w:val="21"/>
                <w:szCs w:val="21"/>
                <w:highlight w:val="none"/>
                <w:lang w:val="en-US" w:eastAsia="zh-CN"/>
              </w:rPr>
              <w:t>），每提供上述一条内容得2分，</w:t>
            </w:r>
          </w:p>
          <w:p w14:paraId="04EA7526">
            <w:pPr>
              <w:keepNext w:val="0"/>
              <w:keepLines w:val="0"/>
              <w:pageBreakBefore w:val="0"/>
              <w:widowControl w:val="0"/>
              <w:numPr>
                <w:ilvl w:val="0"/>
                <w:numId w:val="0"/>
              </w:numPr>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cs="宋体"/>
                <w:color w:val="auto"/>
                <w:sz w:val="21"/>
                <w:szCs w:val="21"/>
                <w:highlight w:val="none"/>
                <w:lang w:val="en-US" w:eastAsia="zh-CN"/>
              </w:rPr>
              <w:t>【</w:t>
            </w:r>
            <w:r>
              <w:rPr>
                <w:rFonts w:hint="eastAsia" w:ascii="宋体" w:hAnsi="宋体" w:eastAsia="宋体" w:cs="宋体"/>
                <w:b/>
                <w:bCs/>
                <w:color w:val="auto"/>
                <w:sz w:val="21"/>
                <w:szCs w:val="21"/>
                <w:highlight w:val="none"/>
                <w:lang w:val="en-US" w:eastAsia="zh-CN"/>
              </w:rPr>
              <w:t>每有一条内容存在不适用项目实际情况的情形、凭空编造、内容前后不一致、前后逻辑错误涉及的规范及标准错误、地点区域错误、内容遗漏、不符合采购需求等扣1分</w:t>
            </w:r>
            <w:r>
              <w:rPr>
                <w:rFonts w:hint="eastAsia" w:ascii="宋体" w:hAnsi="宋体" w:cs="宋体"/>
                <w:color w:val="auto"/>
                <w:sz w:val="21"/>
                <w:szCs w:val="21"/>
                <w:highlight w:val="none"/>
                <w:lang w:val="en-US" w:eastAsia="zh-CN"/>
              </w:rPr>
              <w:t>】</w:t>
            </w:r>
            <w:r>
              <w:rPr>
                <w:rFonts w:hint="eastAsia" w:ascii="宋体" w:hAnsi="宋体" w:eastAsia="宋体" w:cs="宋体"/>
                <w:color w:val="auto"/>
                <w:sz w:val="21"/>
                <w:szCs w:val="21"/>
                <w:highlight w:val="none"/>
                <w:lang w:val="en-US" w:eastAsia="zh-CN"/>
              </w:rPr>
              <w:t>不提供不得分。</w:t>
            </w:r>
          </w:p>
          <w:p w14:paraId="56B08727">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color w:val="auto"/>
                <w:sz w:val="21"/>
                <w:szCs w:val="21"/>
                <w:highlight w:val="none"/>
                <w:lang w:val="en-US" w:eastAsia="zh-CN"/>
              </w:rPr>
            </w:pPr>
            <w:r>
              <w:rPr>
                <w:rFonts w:hint="eastAsia" w:ascii="宋体" w:hAnsi="宋体" w:eastAsia="宋体" w:cs="宋体"/>
                <w:color w:val="auto"/>
                <w:sz w:val="21"/>
                <w:szCs w:val="21"/>
                <w:highlight w:val="none"/>
                <w:lang w:val="en-US" w:eastAsia="zh-CN"/>
              </w:rPr>
              <w:t>3.执行国家标准的得2分，未体现执行国家标准的此项不得分</w:t>
            </w:r>
          </w:p>
          <w:p w14:paraId="11E073FA">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cs="宋体"/>
                <w:szCs w:val="21"/>
              </w:rPr>
            </w:pPr>
            <w:r>
              <w:rPr>
                <w:rFonts w:hint="eastAsia" w:ascii="宋体" w:hAnsi="宋体" w:eastAsia="宋体" w:cs="宋体"/>
                <w:color w:val="auto"/>
                <w:sz w:val="21"/>
                <w:szCs w:val="21"/>
                <w:highlight w:val="none"/>
                <w:lang w:val="en-US" w:eastAsia="zh-CN"/>
              </w:rPr>
              <w:t>4.有切实可行的保证措施得2分，没有切实可行的保证措施此项不得分。</w:t>
            </w:r>
          </w:p>
        </w:tc>
        <w:tc>
          <w:tcPr>
            <w:tcW w:w="912" w:type="dxa"/>
            <w:vMerge w:val="continue"/>
            <w:vAlign w:val="center"/>
          </w:tcPr>
          <w:p w14:paraId="32972C21">
            <w:pPr>
              <w:spacing w:line="320" w:lineRule="exact"/>
              <w:rPr>
                <w:rFonts w:hint="eastAsia" w:ascii="宋体" w:hAnsi="宋体" w:cs="宋体"/>
                <w:b/>
                <w:bCs/>
                <w:szCs w:val="21"/>
              </w:rPr>
            </w:pPr>
          </w:p>
        </w:tc>
      </w:tr>
      <w:tr w14:paraId="46ACB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857" w:type="dxa"/>
            <w:vMerge w:val="continue"/>
            <w:vAlign w:val="center"/>
          </w:tcPr>
          <w:p w14:paraId="2CB24B69">
            <w:pPr>
              <w:spacing w:line="320" w:lineRule="exact"/>
              <w:rPr>
                <w:rFonts w:hint="eastAsia" w:ascii="宋体" w:hAnsi="宋体" w:cs="宋体"/>
                <w:b/>
                <w:szCs w:val="21"/>
              </w:rPr>
            </w:pPr>
          </w:p>
        </w:tc>
        <w:tc>
          <w:tcPr>
            <w:tcW w:w="428" w:type="dxa"/>
            <w:vAlign w:val="center"/>
          </w:tcPr>
          <w:p w14:paraId="798C33B3">
            <w:pPr>
              <w:spacing w:line="320" w:lineRule="exact"/>
              <w:jc w:val="both"/>
              <w:rPr>
                <w:rFonts w:hint="default" w:ascii="宋体" w:hAnsi="宋体" w:eastAsia="宋体" w:cs="宋体"/>
                <w:b/>
                <w:szCs w:val="21"/>
                <w:highlight w:val="none"/>
                <w:lang w:val="en-US" w:eastAsia="zh-CN"/>
              </w:rPr>
            </w:pPr>
            <w:r>
              <w:rPr>
                <w:rFonts w:hint="eastAsia" w:ascii="宋体" w:hAnsi="宋体" w:cs="宋体"/>
                <w:b/>
                <w:szCs w:val="21"/>
                <w:highlight w:val="none"/>
                <w:lang w:val="en-US" w:eastAsia="zh-CN"/>
              </w:rPr>
              <w:t>4</w:t>
            </w:r>
          </w:p>
        </w:tc>
        <w:tc>
          <w:tcPr>
            <w:tcW w:w="5254" w:type="dxa"/>
            <w:vAlign w:val="center"/>
          </w:tcPr>
          <w:p w14:paraId="234269A5">
            <w:pPr>
              <w:keepNext w:val="0"/>
              <w:keepLines w:val="0"/>
              <w:pageBreakBefore w:val="0"/>
              <w:widowControl w:val="0"/>
              <w:kinsoku/>
              <w:wordWrap/>
              <w:overflowPunct/>
              <w:topLinePunct w:val="0"/>
              <w:autoSpaceDE/>
              <w:autoSpaceDN/>
              <w:bidi w:val="0"/>
              <w:adjustRightInd/>
              <w:snapToGrid/>
              <w:spacing w:line="320" w:lineRule="exact"/>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质量保证承诺：</w:t>
            </w:r>
          </w:p>
          <w:p w14:paraId="519EFAEA">
            <w:pPr>
              <w:pStyle w:val="70"/>
              <w:numPr>
                <w:ilvl w:val="0"/>
                <w:numId w:val="0"/>
              </w:numPr>
              <w:spacing w:before="39" w:line="239" w:lineRule="auto"/>
              <w:ind w:left="26" w:leftChars="0" w:right="35"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1.保修有承诺、有违约经济处罚且措施可行的得2分，保修承诺或违约经济处罚缺一项得1分</w:t>
            </w:r>
          </w:p>
          <w:p w14:paraId="10375B28">
            <w:pPr>
              <w:pStyle w:val="70"/>
              <w:numPr>
                <w:ilvl w:val="0"/>
                <w:numId w:val="0"/>
              </w:numPr>
              <w:spacing w:before="39" w:line="239" w:lineRule="auto"/>
              <w:ind w:left="26" w:leftChars="0" w:right="35" w:rightChars="0"/>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w:t>
            </w:r>
            <w:r>
              <w:rPr>
                <w:rFonts w:hint="eastAsia" w:ascii="宋体" w:hAnsi="宋体" w:eastAsia="宋体" w:cs="宋体"/>
                <w:b/>
                <w:bCs/>
                <w:color w:val="auto"/>
                <w:kern w:val="2"/>
                <w:sz w:val="21"/>
                <w:szCs w:val="21"/>
                <w:highlight w:val="none"/>
                <w:lang w:val="en-US" w:eastAsia="zh-CN" w:bidi="ar-SA"/>
              </w:rPr>
              <w:t>保修承诺期限符合国家及水利行业规定（主体结构终身保修）明确质量缺陷、保修不及时、服务不到位等违约情形的经济处罚条款)】</w:t>
            </w:r>
          </w:p>
          <w:p w14:paraId="1ABE066E">
            <w:pPr>
              <w:pStyle w:val="70"/>
              <w:numPr>
                <w:ilvl w:val="0"/>
                <w:numId w:val="0"/>
              </w:numPr>
              <w:spacing w:before="39" w:line="239" w:lineRule="auto"/>
              <w:ind w:left="26" w:leftChars="0" w:right="35"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未体现保修承诺、无违约经济处罚此项不得分</w:t>
            </w:r>
            <w:r>
              <w:rPr>
                <w:rFonts w:hint="eastAsia" w:ascii="宋体" w:hAnsi="宋体" w:eastAsia="宋体" w:cs="宋体"/>
                <w:color w:val="auto"/>
                <w:kern w:val="2"/>
                <w:sz w:val="21"/>
                <w:szCs w:val="21"/>
                <w:highlight w:val="none"/>
                <w:lang w:val="en-US" w:eastAsia="zh-CN" w:bidi="ar-SA"/>
              </w:rPr>
              <w:t>;</w:t>
            </w:r>
          </w:p>
          <w:p w14:paraId="464A22C1">
            <w:pPr>
              <w:pStyle w:val="70"/>
              <w:spacing w:before="24"/>
              <w:ind w:left="21" w:right="35" w:hanging="10"/>
              <w:rPr>
                <w:rFonts w:hint="eastAsia" w:ascii="宋体" w:hAnsi="宋体" w:cs="宋体"/>
                <w:b/>
                <w:bCs/>
                <w:szCs w:val="21"/>
                <w:highlight w:val="none"/>
              </w:rPr>
            </w:pPr>
            <w:r>
              <w:rPr>
                <w:rFonts w:hint="eastAsia" w:ascii="宋体" w:hAnsi="宋体" w:eastAsia="宋体" w:cs="宋体"/>
                <w:color w:val="auto"/>
                <w:kern w:val="2"/>
                <w:sz w:val="21"/>
                <w:szCs w:val="21"/>
                <w:highlight w:val="none"/>
                <w:lang w:val="en-US" w:eastAsia="zh-CN" w:bidi="ar-SA"/>
              </w:rPr>
              <w:t>2.承诺达到优质质量标准、并有切实可行质量保证措施的得2分(明确优质工程目标、质量等级、创优目标)，未体现此条不得分。</w:t>
            </w:r>
          </w:p>
        </w:tc>
        <w:tc>
          <w:tcPr>
            <w:tcW w:w="912" w:type="dxa"/>
            <w:vMerge w:val="continue"/>
            <w:vAlign w:val="center"/>
          </w:tcPr>
          <w:p w14:paraId="2707557A">
            <w:pPr>
              <w:spacing w:line="320" w:lineRule="exact"/>
              <w:rPr>
                <w:rFonts w:hint="eastAsia" w:ascii="宋体" w:hAnsi="宋体" w:cs="宋体"/>
                <w:szCs w:val="21"/>
              </w:rPr>
            </w:pPr>
          </w:p>
        </w:tc>
      </w:tr>
    </w:tbl>
    <w:p w14:paraId="6F8B8221">
      <w:pPr>
        <w:rPr>
          <w:rFonts w:hint="eastAsia"/>
          <w:sz w:val="32"/>
          <w:szCs w:val="32"/>
        </w:rPr>
      </w:pPr>
    </w:p>
    <w:p w14:paraId="4777E7A1">
      <w:pPr>
        <w:rPr>
          <w:rFonts w:hint="eastAsia"/>
          <w:sz w:val="32"/>
          <w:szCs w:val="32"/>
        </w:rPr>
      </w:pPr>
    </w:p>
    <w:p w14:paraId="79E0BCE9">
      <w:pPr>
        <w:rPr>
          <w:rFonts w:hint="eastAsia"/>
          <w:sz w:val="32"/>
          <w:szCs w:val="32"/>
        </w:rPr>
      </w:pPr>
    </w:p>
    <w:p w14:paraId="0DAC5C44">
      <w:pPr>
        <w:rPr>
          <w:rFonts w:hint="eastAsia"/>
          <w:sz w:val="32"/>
          <w:szCs w:val="32"/>
        </w:rPr>
      </w:pPr>
    </w:p>
    <w:p w14:paraId="1C4893B5">
      <w:pPr>
        <w:pStyle w:val="7"/>
        <w:ind w:firstLine="0"/>
        <w:jc w:val="center"/>
        <w:outlineLvl w:val="0"/>
        <w:rPr>
          <w:rFonts w:hint="eastAsia" w:ascii="宋体" w:hAnsi="宋体" w:eastAsia="宋体" w:cs="宋体"/>
          <w:b/>
          <w:bCs/>
          <w:color w:val="auto"/>
          <w:sz w:val="36"/>
          <w:szCs w:val="36"/>
          <w:highlight w:val="none"/>
          <w:lang w:val="en-US" w:eastAsia="zh-CN"/>
        </w:rPr>
      </w:pPr>
      <w:bookmarkStart w:id="735" w:name="_Toc5679"/>
      <w:bookmarkStart w:id="736" w:name="_Toc27055"/>
      <w:bookmarkStart w:id="737" w:name="_Toc10335"/>
      <w:r>
        <w:rPr>
          <w:rFonts w:hint="eastAsia" w:ascii="宋体" w:hAnsi="宋体" w:eastAsia="宋体" w:cs="宋体"/>
          <w:b/>
          <w:bCs/>
          <w:color w:val="auto"/>
          <w:sz w:val="36"/>
          <w:szCs w:val="36"/>
          <w:highlight w:val="none"/>
          <w:lang w:val="en-US" w:eastAsia="zh-CN"/>
        </w:rPr>
        <w:t>第6章 政府采购合同（参考范本）</w:t>
      </w:r>
      <w:bookmarkEnd w:id="735"/>
      <w:bookmarkEnd w:id="736"/>
      <w:bookmarkEnd w:id="737"/>
    </w:p>
    <w:p w14:paraId="26CDFB3E">
      <w:pPr>
        <w:spacing w:line="440" w:lineRule="exact"/>
        <w:jc w:val="center"/>
        <w:rPr>
          <w:rFonts w:hint="eastAsia" w:ascii="宋体" w:hAnsi="宋体" w:eastAsia="宋体" w:cs="宋体"/>
          <w:b/>
          <w:bCs w:val="0"/>
          <w:color w:val="000000" w:themeColor="text1"/>
          <w:sz w:val="24"/>
          <w:szCs w:val="24"/>
          <w:highlight w:val="none"/>
          <w:lang w:eastAsia="zh-CN"/>
          <w14:textFill>
            <w14:solidFill>
              <w14:schemeClr w14:val="tx1"/>
            </w14:solidFill>
          </w14:textFill>
        </w:rPr>
      </w:pPr>
      <w:r>
        <w:rPr>
          <w:rFonts w:hint="eastAsia" w:ascii="宋体" w:hAnsi="宋体" w:eastAsia="宋体" w:cs="宋体"/>
          <w:b/>
          <w:bCs w:val="0"/>
          <w:color w:val="000000" w:themeColor="text1"/>
          <w:sz w:val="24"/>
          <w:szCs w:val="24"/>
          <w:highlight w:val="none"/>
          <w:lang w:eastAsia="zh-CN"/>
          <w14:textFill>
            <w14:solidFill>
              <w14:schemeClr w14:val="tx1"/>
            </w14:solidFill>
          </w14:textFill>
        </w:rPr>
        <w:t>（</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此</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政府采购合同范本仅供参考，最终</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版</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合同以甲乙双方签订</w:t>
      </w:r>
      <w:r>
        <w:rPr>
          <w:rFonts w:hint="eastAsia" w:ascii="宋体" w:hAnsi="宋体" w:eastAsia="宋体" w:cs="宋体"/>
          <w:b/>
          <w:bCs w:val="0"/>
          <w:color w:val="000000" w:themeColor="text1"/>
          <w:sz w:val="24"/>
          <w:szCs w:val="24"/>
          <w:highlight w:val="none"/>
          <w:lang w:val="en-US" w:eastAsia="zh-CN"/>
          <w14:textFill>
            <w14:solidFill>
              <w14:schemeClr w14:val="tx1"/>
            </w14:solidFill>
          </w14:textFill>
        </w:rPr>
        <w:t>版本</w:t>
      </w:r>
      <w:r>
        <w:rPr>
          <w:rFonts w:hint="eastAsia" w:ascii="宋体" w:hAnsi="宋体" w:eastAsia="宋体" w:cs="宋体"/>
          <w:b/>
          <w:bCs w:val="0"/>
          <w:color w:val="000000" w:themeColor="text1"/>
          <w:sz w:val="24"/>
          <w:szCs w:val="24"/>
          <w:highlight w:val="none"/>
          <w:lang w:eastAsia="zh-CN"/>
          <w14:textFill>
            <w14:solidFill>
              <w14:schemeClr w14:val="tx1"/>
            </w14:solidFill>
          </w14:textFill>
        </w:rPr>
        <w:t>为准。）</w:t>
      </w:r>
    </w:p>
    <w:p w14:paraId="17045709">
      <w:pPr>
        <w:spacing w:line="440" w:lineRule="exact"/>
        <w:jc w:val="left"/>
        <w:rPr>
          <w:rFonts w:ascii="宋体" w:hAnsi="宋体" w:eastAsia="宋体" w:cs="宋体"/>
          <w:bCs/>
          <w:color w:val="000000"/>
          <w:sz w:val="32"/>
          <w:szCs w:val="32"/>
          <w:highlight w:val="none"/>
        </w:rPr>
      </w:pPr>
      <w:r>
        <w:rPr>
          <w:rFonts w:hint="eastAsia" w:ascii="宋体" w:hAnsi="宋体" w:eastAsia="宋体" w:cs="宋体"/>
          <w:bCs/>
          <w:color w:val="000000"/>
          <w:sz w:val="32"/>
          <w:szCs w:val="32"/>
          <w:highlight w:val="none"/>
        </w:rPr>
        <w:t>（GF—2017—0201）</w:t>
      </w:r>
    </w:p>
    <w:p w14:paraId="63BB2DA3">
      <w:pPr>
        <w:spacing w:line="440" w:lineRule="exact"/>
        <w:jc w:val="center"/>
        <w:rPr>
          <w:rFonts w:ascii="宋体" w:hAnsi="宋体" w:eastAsia="宋体" w:cs="宋体"/>
          <w:b/>
          <w:color w:val="000000"/>
          <w:sz w:val="32"/>
          <w:szCs w:val="32"/>
          <w:highlight w:val="none"/>
        </w:rPr>
      </w:pPr>
    </w:p>
    <w:p w14:paraId="0FA7373E">
      <w:pPr>
        <w:spacing w:line="440" w:lineRule="exact"/>
        <w:jc w:val="center"/>
        <w:rPr>
          <w:rFonts w:ascii="宋体" w:hAnsi="宋体" w:eastAsia="宋体" w:cs="宋体"/>
          <w:b/>
          <w:color w:val="000000"/>
          <w:sz w:val="32"/>
          <w:szCs w:val="32"/>
          <w:highlight w:val="none"/>
        </w:rPr>
      </w:pPr>
    </w:p>
    <w:p w14:paraId="65934C04">
      <w:pPr>
        <w:spacing w:line="440" w:lineRule="exact"/>
        <w:jc w:val="center"/>
        <w:rPr>
          <w:rFonts w:ascii="宋体" w:hAnsi="宋体" w:eastAsia="宋体" w:cs="宋体"/>
          <w:b/>
          <w:color w:val="000000"/>
          <w:sz w:val="32"/>
          <w:szCs w:val="32"/>
          <w:highlight w:val="none"/>
        </w:rPr>
      </w:pPr>
    </w:p>
    <w:p w14:paraId="53675611">
      <w:pPr>
        <w:spacing w:line="440" w:lineRule="exact"/>
        <w:jc w:val="center"/>
        <w:rPr>
          <w:rFonts w:ascii="宋体" w:hAnsi="宋体" w:eastAsia="宋体" w:cs="宋体"/>
          <w:b/>
          <w:color w:val="000000"/>
          <w:sz w:val="32"/>
          <w:szCs w:val="32"/>
          <w:highlight w:val="none"/>
        </w:rPr>
      </w:pPr>
    </w:p>
    <w:p w14:paraId="5920648B">
      <w:pPr>
        <w:spacing w:line="440" w:lineRule="exact"/>
        <w:jc w:val="center"/>
        <w:rPr>
          <w:rFonts w:ascii="宋体" w:hAnsi="宋体" w:eastAsia="宋体" w:cs="宋体"/>
          <w:b/>
          <w:color w:val="000000"/>
          <w:sz w:val="32"/>
          <w:szCs w:val="32"/>
          <w:highlight w:val="none"/>
        </w:rPr>
      </w:pPr>
    </w:p>
    <w:p w14:paraId="3E6E796B">
      <w:pPr>
        <w:spacing w:line="440" w:lineRule="exact"/>
        <w:jc w:val="center"/>
        <w:rPr>
          <w:rFonts w:ascii="宋体" w:hAnsi="宋体" w:eastAsia="宋体" w:cs="宋体"/>
          <w:b/>
          <w:color w:val="000000"/>
          <w:sz w:val="32"/>
          <w:szCs w:val="32"/>
          <w:highlight w:val="none"/>
        </w:rPr>
      </w:pPr>
    </w:p>
    <w:p w14:paraId="1328FAE0">
      <w:pPr>
        <w:spacing w:line="440" w:lineRule="exact"/>
        <w:jc w:val="center"/>
        <w:rPr>
          <w:rFonts w:ascii="宋体" w:hAnsi="宋体" w:eastAsia="宋体" w:cs="宋体"/>
          <w:b/>
          <w:color w:val="000000"/>
          <w:sz w:val="32"/>
          <w:szCs w:val="32"/>
          <w:highlight w:val="none"/>
        </w:rPr>
      </w:pPr>
      <w:r>
        <w:rPr>
          <w:rFonts w:hint="eastAsia" w:ascii="宋体" w:hAnsi="宋体" w:eastAsia="宋体" w:cs="宋体"/>
          <w:b/>
          <w:color w:val="000000"/>
          <w:sz w:val="32"/>
          <w:szCs w:val="32"/>
          <w:highlight w:val="none"/>
        </w:rPr>
        <w:t>建设工程施工合同</w:t>
      </w:r>
      <w:r>
        <w:rPr>
          <w:rFonts w:hint="eastAsia" w:ascii="宋体" w:hAnsi="宋体" w:eastAsia="宋体" w:cs="宋体"/>
          <w:b/>
          <w:color w:val="000000"/>
          <w:sz w:val="32"/>
          <w:szCs w:val="32"/>
          <w:highlight w:val="none"/>
        </w:rPr>
        <w:br w:type="textWrapping"/>
      </w:r>
      <w:r>
        <w:rPr>
          <w:rFonts w:hint="eastAsia" w:ascii="宋体" w:hAnsi="宋体" w:eastAsia="宋体" w:cs="宋体"/>
          <w:b/>
          <w:color w:val="000000"/>
          <w:sz w:val="32"/>
          <w:szCs w:val="32"/>
          <w:highlight w:val="none"/>
        </w:rPr>
        <w:t>（示范文本）</w:t>
      </w:r>
    </w:p>
    <w:p w14:paraId="48F17103">
      <w:pPr>
        <w:spacing w:line="440" w:lineRule="exact"/>
        <w:rPr>
          <w:rFonts w:ascii="宋体" w:hAnsi="宋体" w:eastAsia="宋体" w:cs="宋体"/>
          <w:b/>
          <w:color w:val="000000"/>
          <w:sz w:val="32"/>
          <w:szCs w:val="32"/>
          <w:highlight w:val="none"/>
        </w:rPr>
      </w:pPr>
    </w:p>
    <w:p w14:paraId="688E1E6A">
      <w:pPr>
        <w:spacing w:line="440" w:lineRule="exact"/>
        <w:rPr>
          <w:rFonts w:ascii="宋体" w:hAnsi="宋体" w:eastAsia="宋体" w:cs="宋体"/>
          <w:b/>
          <w:color w:val="000000"/>
          <w:sz w:val="32"/>
          <w:szCs w:val="32"/>
        </w:rPr>
      </w:pPr>
    </w:p>
    <w:p w14:paraId="57737438">
      <w:pPr>
        <w:spacing w:line="440" w:lineRule="exact"/>
        <w:rPr>
          <w:rFonts w:ascii="宋体" w:hAnsi="宋体" w:eastAsia="宋体" w:cs="宋体"/>
          <w:b/>
          <w:color w:val="000000"/>
          <w:sz w:val="32"/>
          <w:szCs w:val="32"/>
        </w:rPr>
      </w:pPr>
    </w:p>
    <w:p w14:paraId="3F61E6DF">
      <w:pPr>
        <w:spacing w:line="440" w:lineRule="exact"/>
        <w:rPr>
          <w:rFonts w:ascii="宋体" w:hAnsi="宋体" w:eastAsia="宋体" w:cs="宋体"/>
          <w:b/>
          <w:color w:val="000000"/>
          <w:sz w:val="32"/>
          <w:szCs w:val="32"/>
        </w:rPr>
      </w:pPr>
    </w:p>
    <w:p w14:paraId="624AA1C7">
      <w:pPr>
        <w:spacing w:line="440" w:lineRule="exact"/>
        <w:rPr>
          <w:rFonts w:ascii="宋体" w:hAnsi="宋体" w:eastAsia="宋体" w:cs="宋体"/>
          <w:b/>
          <w:color w:val="000000"/>
          <w:sz w:val="32"/>
          <w:szCs w:val="32"/>
        </w:rPr>
      </w:pPr>
    </w:p>
    <w:p w14:paraId="4BB68E78">
      <w:pPr>
        <w:spacing w:line="440" w:lineRule="exact"/>
        <w:ind w:right="2719" w:rightChars="1295"/>
        <w:jc w:val="distribute"/>
        <w:rPr>
          <w:rFonts w:ascii="宋体" w:hAnsi="宋体" w:eastAsia="宋体" w:cs="宋体"/>
          <w:b/>
          <w:color w:val="000000"/>
          <w:sz w:val="32"/>
          <w:szCs w:val="32"/>
        </w:rPr>
      </w:pPr>
    </w:p>
    <w:p w14:paraId="40DEBE0E">
      <w:pPr>
        <w:spacing w:before="240" w:line="440" w:lineRule="exact"/>
        <w:rPr>
          <w:rFonts w:ascii="宋体" w:hAnsi="宋体" w:eastAsia="宋体" w:cs="宋体"/>
          <w:b/>
          <w:color w:val="000000"/>
          <w:sz w:val="32"/>
          <w:szCs w:val="32"/>
        </w:rPr>
      </w:pPr>
    </w:p>
    <w:p w14:paraId="5136041D">
      <w:pPr>
        <w:spacing w:before="240" w:line="440" w:lineRule="exact"/>
        <w:rPr>
          <w:rFonts w:ascii="宋体" w:hAnsi="宋体" w:eastAsia="宋体" w:cs="宋体"/>
          <w:b/>
          <w:color w:val="000000"/>
          <w:sz w:val="32"/>
          <w:szCs w:val="32"/>
        </w:rPr>
      </w:pPr>
    </w:p>
    <w:p w14:paraId="7DA7ADDB">
      <w:pPr>
        <w:spacing w:before="240" w:line="440" w:lineRule="exact"/>
        <w:rPr>
          <w:rFonts w:ascii="宋体" w:hAnsi="宋体" w:eastAsia="宋体" w:cs="宋体"/>
          <w:b/>
          <w:color w:val="000000"/>
          <w:sz w:val="32"/>
          <w:szCs w:val="32"/>
        </w:rPr>
      </w:pPr>
    </w:p>
    <w:p w14:paraId="4B261F72">
      <w:pPr>
        <w:spacing w:before="240" w:line="440" w:lineRule="exact"/>
        <w:rPr>
          <w:rFonts w:ascii="宋体" w:hAnsi="宋体" w:eastAsia="宋体" w:cs="宋体"/>
          <w:b/>
          <w:color w:val="000000"/>
          <w:sz w:val="32"/>
          <w:szCs w:val="32"/>
        </w:rPr>
      </w:pPr>
    </w:p>
    <w:p w14:paraId="41BCB8E6">
      <w:pPr>
        <w:spacing w:before="240" w:line="440" w:lineRule="exact"/>
        <w:ind w:left="1680" w:firstLine="420"/>
        <w:rPr>
          <w:rFonts w:ascii="宋体" w:hAnsi="宋体" w:eastAsia="宋体" w:cs="宋体"/>
          <w:b/>
          <w:color w:val="000000"/>
          <w:sz w:val="32"/>
          <w:szCs w:val="32"/>
        </w:rPr>
      </w:pPr>
    </w:p>
    <w:p w14:paraId="4BF033AD">
      <w:pPr>
        <w:spacing w:line="440" w:lineRule="exact"/>
        <w:ind w:left="1680" w:right="2719" w:rightChars="1295" w:firstLine="420"/>
        <w:jc w:val="distribute"/>
        <w:rPr>
          <w:rFonts w:ascii="宋体" w:hAnsi="宋体" w:eastAsia="宋体" w:cs="宋体"/>
          <w:b/>
          <w:color w:val="000000"/>
          <w:sz w:val="32"/>
          <w:szCs w:val="32"/>
        </w:rPr>
      </w:pPr>
    </w:p>
    <w:p w14:paraId="22ED5C9F">
      <w:pPr>
        <w:spacing w:line="440" w:lineRule="exact"/>
        <w:ind w:left="1680" w:right="2719" w:rightChars="1295" w:firstLine="420"/>
        <w:jc w:val="center"/>
        <w:rPr>
          <w:rFonts w:ascii="宋体" w:hAnsi="宋体" w:eastAsia="宋体" w:cs="宋体"/>
          <w:b/>
          <w:color w:val="000000"/>
          <w:sz w:val="32"/>
          <w:szCs w:val="32"/>
        </w:rPr>
      </w:pPr>
      <w:r>
        <w:rPr>
          <w:rFonts w:hint="eastAsia" w:ascii="宋体" w:hAnsi="宋体" w:eastAsia="宋体" w:cs="宋体"/>
          <w:sz w:val="32"/>
          <w:szCs w:val="32"/>
        </w:rPr>
        <mc:AlternateContent>
          <mc:Choice Requires="wps">
            <w:drawing>
              <wp:anchor distT="0" distB="0" distL="114300" distR="114300" simplePos="0" relativeHeight="251662336" behindDoc="0" locked="0" layoutInCell="1" allowOverlap="1">
                <wp:simplePos x="0" y="0"/>
                <wp:positionH relativeFrom="column">
                  <wp:posOffset>3945890</wp:posOffset>
                </wp:positionH>
                <wp:positionV relativeFrom="paragraph">
                  <wp:posOffset>71120</wp:posOffset>
                </wp:positionV>
                <wp:extent cx="675005" cy="457200"/>
                <wp:effectExtent l="4445" t="4445" r="6350" b="14605"/>
                <wp:wrapNone/>
                <wp:docPr id="11" name="文本框 11"/>
                <wp:cNvGraphicFramePr/>
                <a:graphic xmlns:a="http://schemas.openxmlformats.org/drawingml/2006/main">
                  <a:graphicData uri="http://schemas.microsoft.com/office/word/2010/wordprocessingShape">
                    <wps:wsp>
                      <wps:cNvSpPr txBox="1"/>
                      <wps:spPr>
                        <a:xfrm>
                          <a:off x="0" y="0"/>
                          <a:ext cx="675005" cy="457200"/>
                        </a:xfrm>
                        <a:prstGeom prst="rect">
                          <a:avLst/>
                        </a:prstGeom>
                        <a:noFill/>
                        <a:ln w="9525" cap="flat" cmpd="sng">
                          <a:solidFill>
                            <a:srgbClr val="FFFFFF"/>
                          </a:solidFill>
                          <a:prstDash val="solid"/>
                          <a:miter/>
                          <a:headEnd type="none" w="med" len="med"/>
                          <a:tailEnd type="none" w="med" len="med"/>
                        </a:ln>
                      </wps:spPr>
                      <wps:txbx>
                        <w:txbxContent>
                          <w:p w14:paraId="591DA353">
                            <w:pPr>
                              <w:rPr>
                                <w:rFonts w:ascii="Calibri" w:hAnsi="Calibri" w:eastAsia="宋体"/>
                                <w:b/>
                                <w:bCs/>
                                <w:sz w:val="32"/>
                                <w:szCs w:val="22"/>
                              </w:rPr>
                            </w:pPr>
                            <w:r>
                              <w:rPr>
                                <w:rFonts w:hint="eastAsia" w:ascii="Calibri" w:hAnsi="Calibri" w:eastAsia="宋体"/>
                                <w:b/>
                                <w:bCs/>
                                <w:sz w:val="32"/>
                                <w:szCs w:val="22"/>
                              </w:rPr>
                              <w:t>制定</w:t>
                            </w:r>
                          </w:p>
                        </w:txbxContent>
                      </wps:txbx>
                      <wps:bodyPr upright="1"/>
                    </wps:wsp>
                  </a:graphicData>
                </a:graphic>
              </wp:anchor>
            </w:drawing>
          </mc:Choice>
          <mc:Fallback>
            <w:pict>
              <v:shape id="_x0000_s1026" o:spid="_x0000_s1026" o:spt="202" type="#_x0000_t202" style="position:absolute;left:0pt;margin-left:310.7pt;margin-top:5.6pt;height:36pt;width:53.15pt;z-index:251662336;mso-width-relative:page;mso-height-relative:page;" filled="f" stroked="t" coordsize="21600,21600" o:gfxdata="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&#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sZ1d2NgAAAAJAQAADwAAAAAAAAABACAAAAAiAAAAZHJz&#10;L2Rvd25yZXYueG1sUEsBAhQAFAAAAAgAh07iQAeTZAcEAgAADgQAAA4AAAAAAAAAAQAgAAAAJwEA&#10;AGRycy9lMm9Eb2MueG1sUEsFBgAAAAAGAAYAWQEAAJ0FAAAAAA==&#10;">
                <v:fill on="f" focussize="0,0"/>
                <v:stroke color="#FFFFFF" joinstyle="miter"/>
                <v:imagedata o:title=""/>
                <o:lock v:ext="edit" aspectratio="f"/>
                <v:textbox>
                  <w:txbxContent>
                    <w:p w14:paraId="591DA353">
                      <w:pPr>
                        <w:rPr>
                          <w:rFonts w:ascii="Calibri" w:hAnsi="Calibri" w:eastAsia="宋体"/>
                          <w:b/>
                          <w:bCs/>
                          <w:sz w:val="32"/>
                          <w:szCs w:val="22"/>
                        </w:rPr>
                      </w:pPr>
                      <w:r>
                        <w:rPr>
                          <w:rFonts w:hint="eastAsia" w:ascii="Calibri" w:hAnsi="Calibri" w:eastAsia="宋体"/>
                          <w:b/>
                          <w:bCs/>
                          <w:sz w:val="32"/>
                          <w:szCs w:val="22"/>
                        </w:rPr>
                        <w:t>制定</w:t>
                      </w:r>
                    </w:p>
                  </w:txbxContent>
                </v:textbox>
              </v:shape>
            </w:pict>
          </mc:Fallback>
        </mc:AlternateContent>
      </w:r>
      <w:r>
        <w:rPr>
          <w:rFonts w:hint="eastAsia" w:ascii="宋体" w:hAnsi="宋体" w:eastAsia="宋体" w:cs="宋体"/>
          <w:b/>
          <w:color w:val="000000"/>
          <w:sz w:val="32"/>
          <w:szCs w:val="32"/>
        </w:rPr>
        <w:t>住房城乡建设部</w:t>
      </w:r>
    </w:p>
    <w:p w14:paraId="1CB86A1C">
      <w:pPr>
        <w:spacing w:line="440" w:lineRule="exact"/>
        <w:ind w:left="1680" w:right="2719" w:rightChars="1295" w:firstLine="420"/>
        <w:jc w:val="center"/>
        <w:rPr>
          <w:rFonts w:ascii="宋体" w:hAnsi="宋体" w:eastAsia="宋体" w:cs="宋体"/>
          <w:b/>
          <w:color w:val="000000"/>
          <w:sz w:val="32"/>
          <w:szCs w:val="32"/>
        </w:rPr>
      </w:pPr>
      <w:r>
        <w:rPr>
          <w:rFonts w:hint="eastAsia" w:ascii="宋体" w:hAnsi="宋体" w:eastAsia="宋体" w:cs="宋体"/>
          <w:b/>
          <w:color w:val="000000"/>
          <w:sz w:val="32"/>
          <w:szCs w:val="32"/>
        </w:rPr>
        <w:t>国家工商行政管理总局</w:t>
      </w:r>
    </w:p>
    <w:p w14:paraId="7BD43BAE">
      <w:pPr>
        <w:widowControl/>
        <w:spacing w:line="440" w:lineRule="exact"/>
        <w:ind w:left="1680" w:firstLine="420"/>
        <w:jc w:val="center"/>
        <w:rPr>
          <w:rFonts w:ascii="宋体" w:hAnsi="宋体" w:eastAsia="宋体" w:cs="宋体"/>
          <w:color w:val="000000"/>
          <w:kern w:val="0"/>
          <w:sz w:val="32"/>
          <w:szCs w:val="32"/>
        </w:rPr>
      </w:pPr>
    </w:p>
    <w:p w14:paraId="4759DCBE">
      <w:pPr>
        <w:widowControl/>
        <w:jc w:val="center"/>
        <w:rPr>
          <w:rFonts w:ascii="宋体" w:hAnsi="宋体" w:eastAsia="宋体" w:cs="宋体"/>
          <w:kern w:val="36"/>
          <w:sz w:val="32"/>
          <w:szCs w:val="44"/>
        </w:rPr>
      </w:pPr>
      <w:r>
        <w:rPr>
          <w:rFonts w:hint="eastAsia" w:ascii="宋体" w:hAnsi="宋体" w:eastAsia="宋体" w:cs="宋体"/>
          <w:kern w:val="36"/>
          <w:sz w:val="32"/>
          <w:szCs w:val="44"/>
        </w:rPr>
        <w:br w:type="page"/>
      </w:r>
      <w:bookmarkStart w:id="738" w:name="_Toc2088"/>
      <w:r>
        <w:rPr>
          <w:rFonts w:hint="eastAsia" w:ascii="宋体" w:hAnsi="宋体" w:eastAsia="宋体" w:cs="宋体"/>
          <w:kern w:val="36"/>
          <w:sz w:val="32"/>
          <w:szCs w:val="44"/>
        </w:rPr>
        <w:t>说 明</w:t>
      </w:r>
      <w:bookmarkEnd w:id="738"/>
    </w:p>
    <w:p w14:paraId="3AFADD47">
      <w:pPr>
        <w:ind w:firstLine="477" w:firstLineChars="199"/>
        <w:rPr>
          <w:rFonts w:ascii="宋体" w:hAnsi="宋体" w:eastAsia="宋体" w:cs="宋体"/>
          <w:bCs/>
          <w:kern w:val="0"/>
          <w:sz w:val="24"/>
        </w:rPr>
      </w:pPr>
      <w:r>
        <w:rPr>
          <w:rFonts w:hint="eastAsia" w:ascii="宋体" w:hAnsi="宋体" w:eastAsia="宋体" w:cs="宋体"/>
          <w:bCs/>
          <w:kern w:val="0"/>
          <w:sz w:val="24"/>
        </w:rPr>
        <w:t>为了指导建设工程施工合同当事人的签约行为，维护合同当事人的合法权益，依据《中华人民共和国民法典》、《中华人民共和国建筑法》、《中华人民共和国招标投标法》以及相关法律法规，住房城乡建设部、国家工商行政管理总局对《建设工程施工合同（示范文本）》（GF-2013-0201）进行了修订，制定了《建设工程施工合同（示范文本）》（GF-2017-0201）（以 下简称《示范文本》）。为了便于合同当事人使用《示范文本》，现就有关问题说明如下：</w:t>
      </w:r>
    </w:p>
    <w:p w14:paraId="44AC731D">
      <w:pPr>
        <w:rPr>
          <w:rFonts w:ascii="宋体" w:hAnsi="宋体" w:eastAsia="宋体" w:cs="宋体"/>
          <w:bCs/>
          <w:kern w:val="0"/>
          <w:sz w:val="24"/>
        </w:rPr>
      </w:pPr>
      <w:r>
        <w:rPr>
          <w:rFonts w:hint="eastAsia" w:ascii="宋体" w:hAnsi="宋体" w:eastAsia="宋体" w:cs="宋体"/>
          <w:bCs/>
          <w:kern w:val="0"/>
          <w:sz w:val="24"/>
        </w:rPr>
        <w:t xml:space="preserve"> 一、《示范文本》的组成 </w:t>
      </w:r>
    </w:p>
    <w:p w14:paraId="6316772B">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《示范文本》由合同协议书、通用合同条款和专用合同条款三部分组成。 </w:t>
      </w:r>
    </w:p>
    <w:p w14:paraId="1525F8F2">
      <w:pPr>
        <w:ind w:firstLine="477" w:firstLineChars="199"/>
        <w:rPr>
          <w:rFonts w:ascii="宋体" w:hAnsi="宋体" w:eastAsia="宋体" w:cs="宋体"/>
          <w:bCs/>
          <w:kern w:val="0"/>
          <w:sz w:val="24"/>
        </w:rPr>
      </w:pPr>
      <w:r>
        <w:rPr>
          <w:rFonts w:hint="eastAsia" w:ascii="宋体" w:hAnsi="宋体" w:eastAsia="宋体" w:cs="宋体"/>
          <w:bCs/>
          <w:kern w:val="0"/>
          <w:sz w:val="24"/>
        </w:rPr>
        <w:t>（一）合同协议</w:t>
      </w:r>
    </w:p>
    <w:p w14:paraId="2A034E38">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 《示范文本》合同协议书共计 13 条，主要包括：工程概况、合同工期、质量标准、签约 合同价和合同价格形式、项目经理、合同文件构成、承诺以及合同生效条件等重要内容，集中 约定了合同当事人基本的合同权利义务。</w:t>
      </w:r>
    </w:p>
    <w:p w14:paraId="5950776C">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（二）通用合同条款 </w:t>
      </w:r>
    </w:p>
    <w:p w14:paraId="57349872">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通用合同条款是合同当事人根据《中华人民共和国建筑法》、《中华人民共和国民法典》等 法律法规的规定，就工程建设的实施及相关事项，对合同当事人的权利义务作出的原则性约定。 </w:t>
      </w:r>
    </w:p>
    <w:p w14:paraId="76DBE739">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通用合同条款共计 20 条，具体条款分别为：一般约定、发包人、承包人、监理人、工程 质量、安全文明施工与环境保护、工期和进度、材料与设备、试验与检验、变更、价格调整、 合同价格、计量与支付、验收和工程试车、竣工结算、缺陷责任与保修、违约、不可抗力、保 险、索赔和争议解决。前述条款安排既考虑了现行法律法规对工程建设的有关要求，也考虑了 建设工程施工管理的特殊需要。 </w:t>
      </w:r>
    </w:p>
    <w:p w14:paraId="0C06B5E9">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（三）专用合同条款 </w:t>
      </w:r>
    </w:p>
    <w:p w14:paraId="4EB60D9B">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专用合同条款是对通用合同条款原则性约定的细化、完善、补充、修改或另行约定的条款。 合同当事人可以根据不同建设工程的特点及具体情况，通过双方的谈判、协商对相应的专用合 同条款进行修改补充。在使用专用合同条款时，应注意以下事项： </w:t>
      </w:r>
    </w:p>
    <w:p w14:paraId="27C09EE5">
      <w:pPr>
        <w:ind w:firstLine="477" w:firstLineChars="199"/>
        <w:rPr>
          <w:rFonts w:ascii="宋体" w:hAnsi="宋体" w:eastAsia="宋体" w:cs="宋体"/>
          <w:bCs/>
          <w:kern w:val="0"/>
          <w:sz w:val="24"/>
        </w:rPr>
      </w:pPr>
      <w:r>
        <w:rPr>
          <w:rFonts w:hint="eastAsia" w:ascii="宋体" w:hAnsi="宋体" w:eastAsia="宋体" w:cs="宋体"/>
          <w:bCs/>
          <w:kern w:val="0"/>
          <w:sz w:val="24"/>
        </w:rPr>
        <w:t>1.专用合同条款的编号应与相应的通用合同条款的编号一致；</w:t>
      </w:r>
    </w:p>
    <w:p w14:paraId="1FE603CB">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2.合同当事人可以通过对专用合同条款的修改，满足具体建设工程的特殊要求，避免直接 修改通用合同条款； </w:t>
      </w:r>
    </w:p>
    <w:p w14:paraId="45172951">
      <w:pPr>
        <w:ind w:firstLine="477" w:firstLineChars="199"/>
        <w:rPr>
          <w:rFonts w:ascii="宋体" w:hAnsi="宋体" w:eastAsia="宋体" w:cs="宋体"/>
          <w:bCs/>
          <w:kern w:val="0"/>
          <w:sz w:val="24"/>
        </w:rPr>
      </w:pPr>
      <w:r>
        <w:rPr>
          <w:rFonts w:hint="eastAsia" w:ascii="宋体" w:hAnsi="宋体" w:eastAsia="宋体" w:cs="宋体"/>
          <w:bCs/>
          <w:kern w:val="0"/>
          <w:sz w:val="24"/>
        </w:rPr>
        <w:t>3.在专用合同条款中有横道线的地方，合同当事人可针对相应的通用合同条款进行细化、 完善、补充、修改或另行约定；如无细化、完善、补充、修改或另行约定，则填写“无”或划 “/”。</w:t>
      </w:r>
    </w:p>
    <w:p w14:paraId="1E772836">
      <w:pPr>
        <w:rPr>
          <w:rFonts w:ascii="宋体" w:hAnsi="宋体" w:eastAsia="宋体" w:cs="宋体"/>
          <w:bCs/>
          <w:kern w:val="0"/>
          <w:sz w:val="24"/>
        </w:rPr>
      </w:pPr>
      <w:r>
        <w:rPr>
          <w:rFonts w:hint="eastAsia" w:ascii="宋体" w:hAnsi="宋体" w:eastAsia="宋体" w:cs="宋体"/>
          <w:bCs/>
          <w:kern w:val="0"/>
          <w:sz w:val="24"/>
        </w:rPr>
        <w:t xml:space="preserve">二、《示范文本》的性质和适用范围 </w:t>
      </w:r>
    </w:p>
    <w:p w14:paraId="7C5CA0FD">
      <w:pPr>
        <w:ind w:firstLine="477" w:firstLineChars="199"/>
        <w:rPr>
          <w:rFonts w:ascii="宋体" w:hAnsi="宋体" w:eastAsia="宋体" w:cs="宋体"/>
          <w:bCs/>
          <w:kern w:val="0"/>
          <w:sz w:val="24"/>
        </w:rPr>
      </w:pPr>
      <w:r>
        <w:rPr>
          <w:rFonts w:hint="eastAsia" w:ascii="宋体" w:hAnsi="宋体" w:eastAsia="宋体" w:cs="宋体"/>
          <w:bCs/>
          <w:kern w:val="0"/>
          <w:sz w:val="24"/>
        </w:rPr>
        <w:t xml:space="preserve">《示范文本》为非强制性使用文本。《示范文本》适用于房屋建筑工程、土木工程、线路 管道和设备安装工程、装修工程等建设工程的施工承发包活动,合同当事人可结合建设工程具 体情况，根据《示范文本》订立合同，并按照法律法规规定和合同约定承担相应的法律责任及 合同权利义务。 </w:t>
      </w:r>
    </w:p>
    <w:p w14:paraId="07D16DD6">
      <w:pPr>
        <w:jc w:val="center"/>
        <w:rPr>
          <w:rFonts w:ascii="宋体" w:hAnsi="宋体" w:eastAsia="宋体" w:cs="宋体"/>
          <w:b/>
          <w:color w:val="000000"/>
          <w:sz w:val="24"/>
        </w:rPr>
      </w:pPr>
      <w:r>
        <w:rPr>
          <w:rFonts w:hint="eastAsia" w:ascii="宋体" w:hAnsi="宋体" w:eastAsia="宋体" w:cs="宋体"/>
        </w:rPr>
        <w:br w:type="page"/>
      </w:r>
      <w:bookmarkStart w:id="739" w:name="_Toc31202"/>
      <w:bookmarkStart w:id="740" w:name="_Toc514163601"/>
      <w:bookmarkStart w:id="741" w:name="_Toc514163714"/>
      <w:bookmarkStart w:id="742" w:name="_Toc514164526"/>
      <w:bookmarkStart w:id="743" w:name="_BookMark_1"/>
      <w:bookmarkStart w:id="744" w:name="_Toc17573_WPSOffice_Level2"/>
      <w:r>
        <w:rPr>
          <w:rFonts w:hint="eastAsia" w:ascii="宋体" w:hAnsi="宋体" w:eastAsia="宋体" w:cs="宋体"/>
          <w:b/>
          <w:bCs/>
          <w:sz w:val="24"/>
        </w:rPr>
        <w:t>第一部分</w:t>
      </w:r>
      <w:bookmarkEnd w:id="739"/>
      <w:r>
        <w:rPr>
          <w:rFonts w:hint="eastAsia" w:ascii="宋体" w:hAnsi="宋体" w:eastAsia="宋体" w:cs="宋体"/>
          <w:b/>
          <w:bCs/>
          <w:sz w:val="24"/>
        </w:rPr>
        <w:t xml:space="preserve"> </w:t>
      </w:r>
      <w:r>
        <w:rPr>
          <w:rFonts w:hint="eastAsia" w:ascii="宋体" w:hAnsi="宋体" w:eastAsia="宋体" w:cs="宋体"/>
          <w:b/>
          <w:sz w:val="24"/>
        </w:rPr>
        <w:t>合同协议书</w:t>
      </w:r>
      <w:bookmarkEnd w:id="740"/>
      <w:bookmarkEnd w:id="741"/>
      <w:bookmarkEnd w:id="742"/>
    </w:p>
    <w:bookmarkEnd w:id="743"/>
    <w:p w14:paraId="38A24671">
      <w:pPr>
        <w:spacing w:line="360" w:lineRule="auto"/>
        <w:rPr>
          <w:rFonts w:ascii="宋体" w:hAnsi="宋体" w:eastAsia="宋体" w:cs="宋体"/>
          <w:b/>
          <w:color w:val="000000"/>
          <w:sz w:val="24"/>
          <w:u w:val="single"/>
        </w:rPr>
      </w:pPr>
      <w:r>
        <w:rPr>
          <w:rFonts w:hint="eastAsia" w:ascii="宋体" w:hAnsi="宋体" w:eastAsia="宋体" w:cs="宋体"/>
          <w:b/>
          <w:color w:val="000000"/>
          <w:sz w:val="24"/>
        </w:rPr>
        <w:t>发包人（全称）：</w:t>
      </w:r>
      <w:r>
        <w:rPr>
          <w:rFonts w:hint="eastAsia" w:ascii="宋体" w:hAnsi="宋体" w:eastAsia="宋体" w:cs="宋体"/>
          <w:bCs/>
          <w:color w:val="000000"/>
          <w:sz w:val="24"/>
          <w:u w:val="single"/>
        </w:rPr>
        <w:t xml:space="preserve">                      </w:t>
      </w:r>
    </w:p>
    <w:p w14:paraId="77C261FA">
      <w:pPr>
        <w:spacing w:line="360" w:lineRule="auto"/>
        <w:rPr>
          <w:rFonts w:ascii="宋体" w:hAnsi="宋体" w:eastAsia="宋体" w:cs="宋体"/>
          <w:b/>
          <w:color w:val="000000"/>
          <w:sz w:val="24"/>
          <w:u w:val="single"/>
        </w:rPr>
      </w:pPr>
      <w:r>
        <w:rPr>
          <w:rFonts w:hint="eastAsia" w:ascii="宋体" w:hAnsi="宋体" w:eastAsia="宋体" w:cs="宋体"/>
          <w:b/>
          <w:color w:val="000000"/>
          <w:sz w:val="24"/>
        </w:rPr>
        <w:t>承包人（全称）：</w:t>
      </w:r>
      <w:r>
        <w:rPr>
          <w:rFonts w:hint="eastAsia" w:ascii="宋体" w:hAnsi="宋体" w:eastAsia="宋体" w:cs="宋体"/>
          <w:b/>
          <w:color w:val="000000"/>
          <w:sz w:val="24"/>
          <w:u w:val="single"/>
        </w:rPr>
        <w:t xml:space="preserve">                     </w:t>
      </w:r>
    </w:p>
    <w:p w14:paraId="3A12D25F">
      <w:pPr>
        <w:spacing w:line="440" w:lineRule="exact"/>
        <w:ind w:left="480" w:hanging="480" w:hangingChars="200"/>
        <w:rPr>
          <w:rFonts w:ascii="宋体" w:hAnsi="宋体" w:eastAsia="宋体" w:cs="宋体"/>
          <w:color w:val="000000"/>
          <w:sz w:val="24"/>
        </w:rPr>
      </w:pPr>
      <w:r>
        <w:rPr>
          <w:rFonts w:hint="eastAsia" w:ascii="宋体" w:hAnsi="宋体" w:eastAsia="宋体" w:cs="宋体"/>
          <w:color w:val="000000"/>
          <w:sz w:val="24"/>
        </w:rPr>
        <w:t>根据《中华人民共和国民法典》、《中华人民共和国建筑法》及有关法律规定，遵循平等、自愿、公平和诚实信用的原则，双方就</w:t>
      </w:r>
      <w:r>
        <w:rPr>
          <w:rFonts w:hint="eastAsia" w:ascii="宋体" w:hAnsi="宋体" w:eastAsia="宋体" w:cs="宋体"/>
          <w:color w:val="000000"/>
          <w:sz w:val="24"/>
          <w:u w:val="single"/>
          <w:lang w:val="en-US" w:eastAsia="zh-CN"/>
        </w:rPr>
        <w:t xml:space="preserve">                  （项目名称）</w:t>
      </w:r>
      <w:r>
        <w:rPr>
          <w:rFonts w:hint="eastAsia" w:ascii="宋体" w:hAnsi="宋体" w:eastAsia="宋体" w:cs="宋体"/>
          <w:color w:val="000000"/>
          <w:sz w:val="24"/>
        </w:rPr>
        <w:t>施工及有关事项协商一致，共同达成如下协议：</w:t>
      </w:r>
    </w:p>
    <w:p w14:paraId="1EC56C7E">
      <w:pPr>
        <w:rPr>
          <w:rFonts w:ascii="宋体" w:hAnsi="宋体" w:eastAsia="宋体" w:cs="宋体"/>
          <w:b/>
          <w:bCs/>
          <w:color w:val="000000"/>
          <w:sz w:val="24"/>
        </w:rPr>
      </w:pPr>
      <w:r>
        <w:rPr>
          <w:rFonts w:hint="eastAsia" w:ascii="宋体" w:hAnsi="宋体" w:eastAsia="宋体" w:cs="宋体"/>
          <w:b/>
          <w:color w:val="000000"/>
          <w:sz w:val="24"/>
        </w:rPr>
        <w:t xml:space="preserve"> </w:t>
      </w:r>
      <w:bookmarkStart w:id="745" w:name="_Toc351203481"/>
      <w:r>
        <w:rPr>
          <w:rFonts w:hint="eastAsia" w:ascii="宋体" w:hAnsi="宋体" w:eastAsia="宋体" w:cs="宋体"/>
          <w:b/>
          <w:bCs/>
          <w:color w:val="000000"/>
          <w:sz w:val="24"/>
        </w:rPr>
        <w:t>一、工程概况</w:t>
      </w:r>
      <w:bookmarkEnd w:id="745"/>
    </w:p>
    <w:p w14:paraId="35BC8A74">
      <w:pPr>
        <w:spacing w:line="360" w:lineRule="auto"/>
        <w:ind w:firstLine="470" w:firstLineChars="196"/>
        <w:rPr>
          <w:rFonts w:hint="default" w:ascii="宋体" w:hAnsi="宋体" w:eastAsia="宋体" w:cs="宋体"/>
          <w:color w:val="000000"/>
          <w:sz w:val="24"/>
          <w:u w:val="single"/>
          <w:lang w:val="en-US" w:eastAsia="zh-CN"/>
        </w:rPr>
      </w:pPr>
      <w:r>
        <w:rPr>
          <w:rFonts w:hint="eastAsia" w:ascii="宋体" w:hAnsi="宋体" w:eastAsia="宋体" w:cs="宋体"/>
          <w:bCs/>
          <w:color w:val="000000"/>
          <w:sz w:val="24"/>
        </w:rPr>
        <w:t>1.工程名称</w:t>
      </w:r>
      <w:r>
        <w:rPr>
          <w:rFonts w:hint="eastAsia" w:ascii="宋体" w:hAnsi="宋体" w:eastAsia="宋体" w:cs="宋体"/>
          <w:color w:val="000000"/>
          <w:sz w:val="24"/>
        </w:rPr>
        <w:t>：</w:t>
      </w:r>
      <w:r>
        <w:rPr>
          <w:rFonts w:hint="eastAsia" w:ascii="宋体" w:hAnsi="宋体" w:eastAsia="宋体" w:cs="宋体"/>
          <w:color w:val="000000"/>
          <w:sz w:val="24"/>
          <w:u w:val="single"/>
          <w:lang w:val="en-US" w:eastAsia="zh-CN"/>
        </w:rPr>
        <w:t xml:space="preserve">                             </w:t>
      </w:r>
    </w:p>
    <w:p w14:paraId="44F01A4E">
      <w:pPr>
        <w:spacing w:line="360" w:lineRule="auto"/>
        <w:ind w:firstLine="470" w:firstLineChars="196"/>
        <w:rPr>
          <w:rFonts w:hint="default" w:ascii="宋体" w:hAnsi="宋体" w:eastAsia="宋体" w:cs="宋体"/>
          <w:bCs/>
          <w:color w:val="000000"/>
          <w:sz w:val="24"/>
          <w:lang w:val="en-US" w:eastAsia="zh-CN"/>
        </w:rPr>
      </w:pPr>
      <w:r>
        <w:rPr>
          <w:rFonts w:hint="eastAsia" w:ascii="宋体" w:hAnsi="宋体" w:eastAsia="宋体" w:cs="宋体"/>
          <w:bCs/>
          <w:color w:val="000000"/>
          <w:sz w:val="24"/>
        </w:rPr>
        <w:t>2.工程地点：</w:t>
      </w:r>
      <w:r>
        <w:rPr>
          <w:rFonts w:hint="eastAsia" w:ascii="宋体" w:hAnsi="宋体" w:eastAsia="宋体" w:cs="宋体"/>
          <w:bCs/>
          <w:color w:val="000000"/>
          <w:sz w:val="24"/>
          <w:u w:val="single"/>
          <w:lang w:val="en-US" w:eastAsia="zh-CN"/>
        </w:rPr>
        <w:t xml:space="preserve">                             </w:t>
      </w:r>
    </w:p>
    <w:p w14:paraId="1D013FD9">
      <w:pPr>
        <w:spacing w:line="440" w:lineRule="exact"/>
        <w:ind w:firstLine="470" w:firstLineChars="196"/>
        <w:rPr>
          <w:rFonts w:hint="default" w:ascii="宋体" w:hAnsi="宋体" w:eastAsia="宋体" w:cs="宋体"/>
          <w:bCs/>
          <w:sz w:val="24"/>
          <w:u w:val="single"/>
          <w:lang w:val="en-US" w:eastAsia="zh-CN"/>
        </w:rPr>
      </w:pPr>
      <w:r>
        <w:rPr>
          <w:rFonts w:hint="eastAsia" w:ascii="宋体" w:hAnsi="宋体" w:eastAsia="宋体" w:cs="宋体"/>
          <w:bCs/>
          <w:sz w:val="24"/>
        </w:rPr>
        <w:t>3.建设内容和规模：</w:t>
      </w:r>
      <w:r>
        <w:rPr>
          <w:rFonts w:hint="eastAsia" w:ascii="宋体" w:hAnsi="宋体" w:eastAsia="宋体" w:cs="宋体"/>
          <w:bCs/>
          <w:sz w:val="24"/>
          <w:u w:val="single"/>
          <w:lang w:val="en-US" w:eastAsia="zh-CN"/>
        </w:rPr>
        <w:t xml:space="preserve">                              </w:t>
      </w:r>
    </w:p>
    <w:p w14:paraId="0F889CA6">
      <w:pPr>
        <w:spacing w:line="440" w:lineRule="exact"/>
        <w:ind w:firstLine="470" w:firstLineChars="196"/>
        <w:rPr>
          <w:rFonts w:ascii="宋体" w:hAnsi="宋体" w:eastAsia="宋体" w:cs="宋体"/>
          <w:bCs/>
          <w:color w:val="000000"/>
          <w:sz w:val="24"/>
          <w:u w:val="single"/>
        </w:rPr>
      </w:pPr>
      <w:r>
        <w:rPr>
          <w:rFonts w:hint="eastAsia" w:ascii="宋体" w:hAnsi="宋体" w:eastAsia="宋体" w:cs="宋体"/>
          <w:bCs/>
          <w:sz w:val="24"/>
        </w:rPr>
        <w:t>4.工程承包范围：</w:t>
      </w:r>
      <w:r>
        <w:rPr>
          <w:rFonts w:hint="eastAsia" w:ascii="宋体" w:hAnsi="宋体" w:eastAsia="宋体" w:cs="宋体"/>
          <w:bCs/>
          <w:sz w:val="24"/>
          <w:u w:val="single"/>
        </w:rPr>
        <w:t xml:space="preserve"> </w:t>
      </w:r>
      <w:r>
        <w:rPr>
          <w:rFonts w:hint="eastAsia" w:ascii="宋体" w:hAnsi="宋体" w:eastAsia="宋体" w:cs="宋体"/>
          <w:bCs/>
          <w:sz w:val="24"/>
          <w:u w:val="single"/>
          <w:lang w:val="en-US" w:eastAsia="zh-CN"/>
        </w:rPr>
        <w:t xml:space="preserve">                   </w:t>
      </w:r>
      <w:r>
        <w:rPr>
          <w:rFonts w:hint="eastAsia" w:ascii="宋体" w:hAnsi="宋体" w:eastAsia="宋体" w:cs="宋体"/>
          <w:bCs/>
          <w:sz w:val="24"/>
          <w:u w:val="single"/>
        </w:rPr>
        <w:t xml:space="preserve">（具体内容详见工程量清单） </w:t>
      </w:r>
    </w:p>
    <w:p w14:paraId="20BF3C3F">
      <w:pPr>
        <w:rPr>
          <w:rFonts w:ascii="宋体" w:hAnsi="宋体" w:eastAsia="宋体" w:cs="宋体"/>
          <w:b/>
          <w:color w:val="000000"/>
          <w:sz w:val="24"/>
        </w:rPr>
      </w:pPr>
      <w:bookmarkStart w:id="746" w:name="_Toc351203482"/>
      <w:r>
        <w:rPr>
          <w:rFonts w:hint="eastAsia" w:ascii="宋体" w:hAnsi="宋体" w:eastAsia="宋体" w:cs="宋体"/>
          <w:b/>
          <w:color w:val="000000"/>
          <w:sz w:val="24"/>
        </w:rPr>
        <w:t>二、合同工期</w:t>
      </w:r>
      <w:bookmarkEnd w:id="746"/>
    </w:p>
    <w:p w14:paraId="3D4E9AFD">
      <w:pPr>
        <w:spacing w:line="440" w:lineRule="exact"/>
        <w:ind w:firstLine="480" w:firstLineChars="200"/>
        <w:rPr>
          <w:rFonts w:ascii="宋体" w:hAnsi="宋体" w:eastAsia="宋体" w:cs="宋体"/>
          <w:sz w:val="24"/>
        </w:rPr>
      </w:pPr>
      <w:r>
        <w:rPr>
          <w:rFonts w:hint="eastAsia" w:ascii="宋体" w:hAnsi="宋体" w:eastAsia="宋体" w:cs="宋体"/>
          <w:sz w:val="24"/>
        </w:rPr>
        <w:t>计划工期：</w:t>
      </w:r>
      <w:r>
        <w:rPr>
          <w:rFonts w:hint="eastAsia" w:ascii="宋体" w:hAnsi="宋体" w:eastAsia="宋体" w:cs="宋体"/>
          <w:sz w:val="24"/>
          <w:u w:val="single"/>
          <w:lang w:val="en-US" w:eastAsia="zh-CN"/>
        </w:rPr>
        <w:t xml:space="preserve">     </w:t>
      </w:r>
      <w:r>
        <w:rPr>
          <w:rFonts w:hint="eastAsia" w:ascii="宋体" w:hAnsi="宋体" w:eastAsia="宋体" w:cs="宋体"/>
          <w:sz w:val="24"/>
        </w:rPr>
        <w:t>日历</w:t>
      </w:r>
      <w:r>
        <w:rPr>
          <w:rFonts w:hint="eastAsia" w:ascii="宋体" w:hAnsi="宋体" w:eastAsia="宋体" w:cs="宋体"/>
          <w:sz w:val="24"/>
          <w:lang w:val="en-US" w:eastAsia="zh-CN"/>
        </w:rPr>
        <w:t>日</w:t>
      </w:r>
      <w:r>
        <w:rPr>
          <w:rFonts w:hint="eastAsia" w:ascii="宋体" w:hAnsi="宋体" w:eastAsia="宋体" w:cs="宋体"/>
          <w:sz w:val="24"/>
        </w:rPr>
        <w:t>，</w:t>
      </w:r>
    </w:p>
    <w:p w14:paraId="70145D76">
      <w:pPr>
        <w:spacing w:line="440" w:lineRule="exact"/>
        <w:ind w:firstLine="480" w:firstLineChars="200"/>
        <w:rPr>
          <w:rFonts w:hint="eastAsia" w:ascii="宋体" w:hAnsi="宋体" w:eastAsia="宋体" w:cs="宋体"/>
          <w:sz w:val="24"/>
        </w:rPr>
      </w:pPr>
      <w:r>
        <w:rPr>
          <w:rFonts w:hint="eastAsia" w:ascii="宋体" w:hAnsi="宋体" w:eastAsia="宋体" w:cs="宋体"/>
          <w:sz w:val="24"/>
        </w:rPr>
        <w:t>计划开工日期：</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月</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日</w:t>
      </w:r>
      <w:r>
        <w:rPr>
          <w:rFonts w:hint="eastAsia" w:ascii="宋体" w:hAnsi="宋体" w:eastAsia="宋体" w:cs="宋体"/>
          <w:sz w:val="24"/>
        </w:rPr>
        <w:t>；</w:t>
      </w:r>
    </w:p>
    <w:p w14:paraId="79BB1897">
      <w:pPr>
        <w:spacing w:line="440" w:lineRule="exact"/>
        <w:ind w:firstLine="480" w:firstLineChars="200"/>
        <w:rPr>
          <w:rFonts w:hint="eastAsia" w:ascii="宋体" w:hAnsi="宋体" w:eastAsia="宋体" w:cs="宋体"/>
          <w:sz w:val="24"/>
        </w:rPr>
      </w:pPr>
      <w:r>
        <w:rPr>
          <w:rFonts w:hint="eastAsia" w:ascii="宋体" w:hAnsi="宋体" w:eastAsia="宋体" w:cs="宋体"/>
          <w:sz w:val="24"/>
        </w:rPr>
        <w:t>计划竣工日期：</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年</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月</w:t>
      </w:r>
      <w:r>
        <w:rPr>
          <w:rFonts w:hint="eastAsia" w:ascii="宋体" w:hAnsi="宋体" w:eastAsia="宋体" w:cs="宋体"/>
          <w:sz w:val="24"/>
          <w:u w:val="single"/>
          <w:lang w:val="en-US" w:eastAsia="zh-CN"/>
        </w:rPr>
        <w:t xml:space="preserve">    </w:t>
      </w:r>
      <w:r>
        <w:rPr>
          <w:rFonts w:hint="eastAsia" w:ascii="宋体" w:hAnsi="宋体" w:eastAsia="宋体" w:cs="宋体"/>
          <w:sz w:val="24"/>
          <w:lang w:val="en-US" w:eastAsia="zh-CN"/>
        </w:rPr>
        <w:t>日</w:t>
      </w:r>
      <w:r>
        <w:rPr>
          <w:rFonts w:hint="eastAsia" w:ascii="宋体" w:hAnsi="宋体" w:eastAsia="宋体" w:cs="宋体"/>
          <w:sz w:val="24"/>
        </w:rPr>
        <w:t>；</w:t>
      </w:r>
      <w:r>
        <w:rPr>
          <w:rFonts w:hint="eastAsia" w:ascii="宋体" w:hAnsi="宋体" w:eastAsia="宋体" w:cs="宋体"/>
          <w:b/>
          <w:bCs/>
          <w:sz w:val="24"/>
        </w:rPr>
        <w:t>（具体以签订合同为准）</w:t>
      </w:r>
    </w:p>
    <w:p w14:paraId="4148606C">
      <w:pPr>
        <w:spacing w:line="440" w:lineRule="exact"/>
        <w:ind w:firstLine="480" w:firstLineChars="200"/>
        <w:rPr>
          <w:rFonts w:hint="eastAsia" w:ascii="宋体" w:hAnsi="宋体" w:eastAsia="宋体" w:cs="宋体"/>
          <w:sz w:val="24"/>
        </w:rPr>
      </w:pPr>
      <w:r>
        <w:rPr>
          <w:rFonts w:hint="eastAsia" w:ascii="宋体" w:hAnsi="宋体" w:eastAsia="宋体" w:cs="宋体"/>
          <w:sz w:val="24"/>
        </w:rPr>
        <w:t>工期总日历天数与根据前述计划开竣工日期计算的工期天数不一致的，以工期总日历天数为准。</w:t>
      </w:r>
    </w:p>
    <w:p w14:paraId="0D561551">
      <w:pPr>
        <w:rPr>
          <w:rFonts w:ascii="宋体" w:hAnsi="宋体" w:eastAsia="宋体" w:cs="宋体"/>
          <w:b/>
          <w:color w:val="000000"/>
          <w:sz w:val="24"/>
        </w:rPr>
      </w:pPr>
      <w:bookmarkStart w:id="747" w:name="_Toc351203483"/>
      <w:r>
        <w:rPr>
          <w:rFonts w:hint="eastAsia" w:ascii="宋体" w:hAnsi="宋体" w:eastAsia="宋体" w:cs="宋体"/>
          <w:b/>
          <w:color w:val="000000"/>
          <w:sz w:val="24"/>
        </w:rPr>
        <w:t>三、质量标准</w:t>
      </w:r>
      <w:bookmarkEnd w:id="747"/>
    </w:p>
    <w:p w14:paraId="7CD598F2">
      <w:pPr>
        <w:spacing w:line="360" w:lineRule="auto"/>
        <w:ind w:firstLine="459"/>
        <w:rPr>
          <w:rFonts w:ascii="宋体" w:hAnsi="宋体" w:eastAsia="宋体" w:cs="宋体"/>
          <w:color w:val="000000"/>
          <w:sz w:val="24"/>
        </w:rPr>
      </w:pPr>
      <w:r>
        <w:rPr>
          <w:rFonts w:hint="eastAsia" w:ascii="宋体" w:hAnsi="宋体" w:eastAsia="宋体" w:cs="宋体"/>
          <w:color w:val="000000"/>
          <w:sz w:val="24"/>
        </w:rPr>
        <w:t>工程质量符合</w:t>
      </w:r>
      <w:r>
        <w:rPr>
          <w:rFonts w:hint="eastAsia" w:ascii="宋体" w:hAnsi="宋体" w:eastAsia="宋体" w:cs="宋体"/>
          <w:color w:val="000000"/>
          <w:sz w:val="24"/>
          <w:u w:val="single"/>
        </w:rPr>
        <w:t xml:space="preserve">   国家规范合格   </w:t>
      </w:r>
      <w:r>
        <w:rPr>
          <w:rFonts w:hint="eastAsia" w:ascii="宋体" w:hAnsi="宋体" w:eastAsia="宋体" w:cs="宋体"/>
          <w:color w:val="000000"/>
          <w:sz w:val="24"/>
        </w:rPr>
        <w:t>标准。</w:t>
      </w:r>
    </w:p>
    <w:p w14:paraId="4ABB87ED">
      <w:pPr>
        <w:rPr>
          <w:rFonts w:ascii="宋体" w:hAnsi="宋体" w:eastAsia="宋体" w:cs="宋体"/>
          <w:b/>
          <w:color w:val="000000"/>
          <w:sz w:val="24"/>
        </w:rPr>
      </w:pPr>
      <w:bookmarkStart w:id="748" w:name="_Toc351203484"/>
      <w:r>
        <w:rPr>
          <w:rFonts w:hint="eastAsia" w:ascii="宋体" w:hAnsi="宋体" w:eastAsia="宋体" w:cs="宋体"/>
          <w:b/>
          <w:color w:val="000000"/>
          <w:sz w:val="24"/>
        </w:rPr>
        <w:t>四、签约合同价与合同价格形式</w:t>
      </w:r>
      <w:bookmarkEnd w:id="748"/>
      <w:r>
        <w:rPr>
          <w:rFonts w:hint="eastAsia" w:ascii="宋体" w:hAnsi="宋体" w:eastAsia="宋体" w:cs="宋体"/>
          <w:b/>
          <w:color w:val="000000"/>
          <w:sz w:val="24"/>
        </w:rPr>
        <w:tab/>
      </w:r>
    </w:p>
    <w:p w14:paraId="1C110B6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1.签约合同价为：人民币（大写）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5B1872E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其中：</w:t>
      </w:r>
    </w:p>
    <w:p w14:paraId="7C7420F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（1）安全文明施工费：</w:t>
      </w:r>
    </w:p>
    <w:p w14:paraId="4044A276">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21567C6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（2）材料和工程设备暂估价金额：</w:t>
      </w:r>
    </w:p>
    <w:p w14:paraId="188AF42F">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3B4E254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（3）专业工程暂估价金额：</w:t>
      </w:r>
    </w:p>
    <w:p w14:paraId="09214B37">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48F3954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（4）暂列金额：</w:t>
      </w:r>
    </w:p>
    <w:p w14:paraId="7C4E112B">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人民币（大写）</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元)。</w:t>
      </w:r>
    </w:p>
    <w:p w14:paraId="74916CB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2.合同价格形式：</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53D2F753">
      <w:pPr>
        <w:rPr>
          <w:rFonts w:ascii="宋体" w:hAnsi="宋体" w:eastAsia="宋体" w:cs="宋体"/>
          <w:b/>
          <w:color w:val="000000"/>
          <w:sz w:val="24"/>
        </w:rPr>
      </w:pPr>
      <w:bookmarkStart w:id="749" w:name="_Toc351203485"/>
      <w:r>
        <w:rPr>
          <w:rFonts w:hint="eastAsia" w:ascii="宋体" w:hAnsi="宋体" w:eastAsia="宋体" w:cs="宋体"/>
          <w:b/>
          <w:color w:val="000000"/>
          <w:sz w:val="24"/>
        </w:rPr>
        <w:t>五、</w:t>
      </w:r>
      <w:bookmarkEnd w:id="749"/>
      <w:r>
        <w:rPr>
          <w:rFonts w:hint="eastAsia" w:ascii="宋体" w:hAnsi="宋体" w:eastAsia="宋体" w:cs="宋体"/>
          <w:b/>
          <w:color w:val="000000"/>
          <w:sz w:val="24"/>
        </w:rPr>
        <w:t>项目经理</w:t>
      </w:r>
    </w:p>
    <w:p w14:paraId="26150EA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承包人项目经理：</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D443B08">
      <w:pPr>
        <w:rPr>
          <w:rFonts w:ascii="宋体" w:hAnsi="宋体" w:eastAsia="宋体" w:cs="宋体"/>
          <w:b/>
          <w:color w:val="000000"/>
          <w:sz w:val="24"/>
        </w:rPr>
      </w:pPr>
      <w:bookmarkStart w:id="750" w:name="_Toc351203486"/>
      <w:r>
        <w:rPr>
          <w:rFonts w:hint="eastAsia" w:ascii="宋体" w:hAnsi="宋体" w:eastAsia="宋体" w:cs="宋体"/>
          <w:b/>
          <w:color w:val="000000"/>
          <w:sz w:val="24"/>
        </w:rPr>
        <w:t>六、合同文件构成</w:t>
      </w:r>
      <w:bookmarkEnd w:id="750"/>
    </w:p>
    <w:p w14:paraId="12577D6D">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本协议书与下列文件一起构成合同文件：</w:t>
      </w:r>
    </w:p>
    <w:p w14:paraId="0728E26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（1）中标通知书（如果有）；</w:t>
      </w:r>
    </w:p>
    <w:p w14:paraId="1F994FE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（2）投标函及其附录（如果有）； </w:t>
      </w:r>
    </w:p>
    <w:p w14:paraId="5F618DD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（3）专用合同条款及其附件；</w:t>
      </w:r>
    </w:p>
    <w:p w14:paraId="18C5B8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（4）通用合同条款；</w:t>
      </w:r>
    </w:p>
    <w:p w14:paraId="51B2909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（5）技术标准和要求；</w:t>
      </w:r>
    </w:p>
    <w:p w14:paraId="01C49EA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（6）已标价工程量清单或预算书；</w:t>
      </w:r>
    </w:p>
    <w:p w14:paraId="0B6DF7A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（7）其他合同文件。</w:t>
      </w:r>
    </w:p>
    <w:p w14:paraId="3BB3599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w:t>
      </w:r>
    </w:p>
    <w:p w14:paraId="507111B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上述各项合同文件包括合同当事人就该项合同文件所作出的补充和修改，属于同一类内容的文件，应以最新签署的为准。专用合同条款及其附件须经合同当事人签字或盖章。</w:t>
      </w:r>
    </w:p>
    <w:p w14:paraId="48F3A765">
      <w:pPr>
        <w:rPr>
          <w:rFonts w:ascii="宋体" w:hAnsi="宋体" w:eastAsia="宋体" w:cs="宋体"/>
          <w:b/>
          <w:color w:val="000000"/>
          <w:sz w:val="24"/>
        </w:rPr>
      </w:pPr>
      <w:bookmarkStart w:id="751" w:name="_Toc351203487"/>
      <w:r>
        <w:rPr>
          <w:rFonts w:hint="eastAsia" w:ascii="宋体" w:hAnsi="宋体" w:eastAsia="宋体" w:cs="宋体"/>
          <w:b/>
          <w:color w:val="000000"/>
          <w:sz w:val="24"/>
        </w:rPr>
        <w:t>七、承诺</w:t>
      </w:r>
      <w:bookmarkEnd w:id="751"/>
    </w:p>
    <w:p w14:paraId="24879550">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1.发包人承诺按照法律规定履行项目审批手续、筹集工程建设资金并按照合同约定的期限和方式支付合同价款。</w:t>
      </w:r>
    </w:p>
    <w:p w14:paraId="62AF3772">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2.承包人承诺按照法律规定及合同约定组织完成工程施工，确保工程质量和安全，不进行转包及违法分包，并在缺陷责任期及保修期内承担相应的工程维修责任。</w:t>
      </w:r>
    </w:p>
    <w:p w14:paraId="3145F3EF">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3.发包人和承包人通过招投标形式签订合同的，双方理解并承诺不再就同一工程另行签订与合同实质性内容相背离的协议。</w:t>
      </w:r>
    </w:p>
    <w:p w14:paraId="1712DE70">
      <w:pPr>
        <w:rPr>
          <w:rFonts w:ascii="宋体" w:hAnsi="宋体" w:eastAsia="宋体" w:cs="宋体"/>
          <w:b/>
          <w:color w:val="000000"/>
          <w:sz w:val="24"/>
        </w:rPr>
      </w:pPr>
      <w:bookmarkStart w:id="752" w:name="_Toc351203488"/>
      <w:r>
        <w:rPr>
          <w:rFonts w:hint="eastAsia" w:ascii="宋体" w:hAnsi="宋体" w:eastAsia="宋体" w:cs="宋体"/>
          <w:b/>
          <w:color w:val="000000"/>
          <w:sz w:val="24"/>
        </w:rPr>
        <w:t>八、词语含义</w:t>
      </w:r>
      <w:bookmarkEnd w:id="752"/>
    </w:p>
    <w:p w14:paraId="06B750AE">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本协议书中词语含义与第二部分通用合同条款中赋予的含义相同。</w:t>
      </w:r>
    </w:p>
    <w:p w14:paraId="792253C4">
      <w:pPr>
        <w:rPr>
          <w:rFonts w:ascii="宋体" w:hAnsi="宋体" w:eastAsia="宋体" w:cs="宋体"/>
          <w:b/>
          <w:color w:val="000000"/>
          <w:sz w:val="24"/>
        </w:rPr>
      </w:pPr>
      <w:bookmarkStart w:id="753" w:name="_Toc351203489"/>
      <w:r>
        <w:rPr>
          <w:rFonts w:hint="eastAsia" w:ascii="宋体" w:hAnsi="宋体" w:eastAsia="宋体" w:cs="宋体"/>
          <w:b/>
          <w:color w:val="000000"/>
          <w:sz w:val="24"/>
        </w:rPr>
        <w:t>九、签订时间</w:t>
      </w:r>
      <w:bookmarkEnd w:id="753"/>
    </w:p>
    <w:p w14:paraId="35626327">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本合同于</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年</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月</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日签订。</w:t>
      </w:r>
    </w:p>
    <w:p w14:paraId="24E2DBEF">
      <w:pPr>
        <w:rPr>
          <w:rFonts w:ascii="宋体" w:hAnsi="宋体" w:eastAsia="宋体" w:cs="宋体"/>
          <w:b/>
          <w:color w:val="000000"/>
          <w:sz w:val="24"/>
        </w:rPr>
      </w:pPr>
      <w:bookmarkStart w:id="754" w:name="_Toc351203490"/>
      <w:r>
        <w:rPr>
          <w:rFonts w:hint="eastAsia" w:ascii="宋体" w:hAnsi="宋体" w:eastAsia="宋体" w:cs="宋体"/>
          <w:b/>
          <w:color w:val="000000"/>
          <w:sz w:val="24"/>
        </w:rPr>
        <w:t>十、签订地点</w:t>
      </w:r>
      <w:bookmarkEnd w:id="754"/>
    </w:p>
    <w:p w14:paraId="341FD8F2">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本合同在</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签订。</w:t>
      </w:r>
    </w:p>
    <w:p w14:paraId="11DCBAA4">
      <w:pPr>
        <w:rPr>
          <w:rFonts w:ascii="宋体" w:hAnsi="宋体" w:eastAsia="宋体" w:cs="宋体"/>
          <w:b/>
          <w:color w:val="000000"/>
          <w:sz w:val="24"/>
        </w:rPr>
      </w:pPr>
      <w:bookmarkStart w:id="755" w:name="_Toc351203491"/>
      <w:r>
        <w:rPr>
          <w:rFonts w:hint="eastAsia" w:ascii="宋体" w:hAnsi="宋体" w:eastAsia="宋体" w:cs="宋体"/>
          <w:b/>
          <w:color w:val="000000"/>
          <w:sz w:val="24"/>
        </w:rPr>
        <w:t>十一、补充协议</w:t>
      </w:r>
      <w:bookmarkEnd w:id="755"/>
    </w:p>
    <w:p w14:paraId="4BA253DF">
      <w:pPr>
        <w:spacing w:line="360" w:lineRule="auto"/>
        <w:ind w:firstLine="480" w:firstLineChars="200"/>
        <w:rPr>
          <w:rFonts w:ascii="宋体" w:hAnsi="宋体" w:eastAsia="宋体" w:cs="宋体"/>
          <w:b/>
          <w:bCs/>
          <w:color w:val="000000"/>
          <w:sz w:val="24"/>
        </w:rPr>
      </w:pPr>
      <w:r>
        <w:rPr>
          <w:rFonts w:hint="eastAsia" w:ascii="宋体" w:hAnsi="宋体" w:eastAsia="宋体" w:cs="宋体"/>
          <w:bCs/>
          <w:color w:val="000000"/>
          <w:sz w:val="24"/>
        </w:rPr>
        <w:t>合同未尽事宜，合同当事人另行签订补充协议，补充协议是合同的组成部分。</w:t>
      </w:r>
    </w:p>
    <w:p w14:paraId="257A8BCF">
      <w:pPr>
        <w:rPr>
          <w:rFonts w:ascii="宋体" w:hAnsi="宋体" w:eastAsia="宋体" w:cs="宋体"/>
          <w:b/>
          <w:color w:val="000000"/>
          <w:sz w:val="24"/>
        </w:rPr>
      </w:pPr>
      <w:bookmarkStart w:id="756" w:name="_Toc351203492"/>
      <w:r>
        <w:rPr>
          <w:rFonts w:hint="eastAsia" w:ascii="宋体" w:hAnsi="宋体" w:eastAsia="宋体" w:cs="宋体"/>
          <w:b/>
          <w:color w:val="000000"/>
          <w:sz w:val="24"/>
        </w:rPr>
        <w:t>十二、合同生效</w:t>
      </w:r>
      <w:bookmarkEnd w:id="756"/>
    </w:p>
    <w:p w14:paraId="457660AF">
      <w:pPr>
        <w:spacing w:line="360" w:lineRule="auto"/>
        <w:ind w:firstLine="480" w:firstLineChars="200"/>
        <w:rPr>
          <w:rFonts w:ascii="宋体" w:hAnsi="宋体" w:eastAsia="宋体" w:cs="宋体"/>
          <w:bCs/>
          <w:color w:val="000000"/>
          <w:sz w:val="24"/>
        </w:rPr>
      </w:pPr>
      <w:r>
        <w:rPr>
          <w:rFonts w:hint="eastAsia" w:ascii="宋体" w:hAnsi="宋体" w:eastAsia="宋体" w:cs="宋体"/>
          <w:bCs/>
          <w:color w:val="000000"/>
          <w:sz w:val="24"/>
        </w:rPr>
        <w:t>本合同自</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生效。</w:t>
      </w:r>
    </w:p>
    <w:p w14:paraId="0E79DED4">
      <w:pPr>
        <w:rPr>
          <w:rFonts w:ascii="宋体" w:hAnsi="宋体" w:eastAsia="宋体" w:cs="宋体"/>
          <w:b/>
          <w:color w:val="000000"/>
          <w:sz w:val="24"/>
        </w:rPr>
      </w:pPr>
      <w:bookmarkStart w:id="757" w:name="_Toc351203493"/>
      <w:r>
        <w:rPr>
          <w:rFonts w:hint="eastAsia" w:ascii="宋体" w:hAnsi="宋体" w:eastAsia="宋体" w:cs="宋体"/>
          <w:b/>
          <w:color w:val="000000"/>
          <w:sz w:val="24"/>
        </w:rPr>
        <w:t>十三、合同份数</w:t>
      </w:r>
      <w:bookmarkEnd w:id="757"/>
    </w:p>
    <w:p w14:paraId="29B1F819">
      <w:pPr>
        <w:spacing w:line="360" w:lineRule="auto"/>
        <w:ind w:firstLine="480" w:firstLineChars="200"/>
        <w:rPr>
          <w:rFonts w:ascii="宋体" w:hAnsi="宋体" w:eastAsia="宋体" w:cs="宋体"/>
          <w:color w:val="000000"/>
          <w:sz w:val="24"/>
        </w:rPr>
      </w:pPr>
      <w:r>
        <w:rPr>
          <w:rFonts w:hint="eastAsia" w:ascii="宋体" w:hAnsi="宋体" w:eastAsia="宋体" w:cs="宋体"/>
          <w:bCs/>
          <w:color w:val="000000"/>
          <w:sz w:val="24"/>
        </w:rPr>
        <w:t>本合同一式</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份，均具有同等法律效力，发包人执</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份，承包人执</w:t>
      </w:r>
      <w:r>
        <w:rPr>
          <w:rFonts w:hint="eastAsia" w:ascii="宋体" w:hAnsi="宋体" w:eastAsia="宋体" w:cs="宋体"/>
          <w:bCs/>
          <w:color w:val="000000"/>
          <w:sz w:val="24"/>
          <w:u w:val="single"/>
        </w:rPr>
        <w:t xml:space="preserve">    </w:t>
      </w:r>
      <w:r>
        <w:rPr>
          <w:rFonts w:hint="eastAsia" w:ascii="宋体" w:hAnsi="宋体" w:eastAsia="宋体" w:cs="宋体"/>
          <w:bCs/>
          <w:color w:val="000000"/>
          <w:sz w:val="24"/>
        </w:rPr>
        <w:t>份。</w:t>
      </w:r>
    </w:p>
    <w:p w14:paraId="2D3644EE">
      <w:pPr>
        <w:spacing w:line="360" w:lineRule="auto"/>
        <w:rPr>
          <w:rFonts w:ascii="宋体" w:hAnsi="宋体" w:eastAsia="宋体" w:cs="宋体"/>
          <w:color w:val="000000"/>
          <w:sz w:val="24"/>
        </w:rPr>
      </w:pPr>
    </w:p>
    <w:p w14:paraId="015EB5F5">
      <w:pPr>
        <w:spacing w:line="360" w:lineRule="auto"/>
        <w:rPr>
          <w:rFonts w:ascii="宋体" w:hAnsi="宋体" w:eastAsia="宋体" w:cs="宋体"/>
          <w:color w:val="000000"/>
          <w:sz w:val="24"/>
        </w:rPr>
      </w:pPr>
    </w:p>
    <w:p w14:paraId="44E775BE">
      <w:pPr>
        <w:spacing w:line="360" w:lineRule="auto"/>
        <w:rPr>
          <w:rFonts w:ascii="宋体" w:hAnsi="宋体" w:eastAsia="宋体" w:cs="宋体"/>
          <w:color w:val="000000"/>
          <w:sz w:val="24"/>
        </w:rPr>
      </w:pPr>
      <w:r>
        <w:rPr>
          <w:rFonts w:hint="eastAsia" w:ascii="宋体" w:hAnsi="宋体" w:eastAsia="宋体" w:cs="宋体"/>
          <w:color w:val="000000"/>
          <w:sz w:val="24"/>
        </w:rPr>
        <w:t>发包人：  (公章)             承包人：  (公章)</w:t>
      </w:r>
    </w:p>
    <w:p w14:paraId="4BC1BBB4">
      <w:pPr>
        <w:spacing w:line="360" w:lineRule="auto"/>
        <w:rPr>
          <w:rFonts w:ascii="宋体" w:hAnsi="宋体" w:eastAsia="宋体" w:cs="宋体"/>
          <w:color w:val="000000"/>
          <w:sz w:val="24"/>
          <w:u w:val="single"/>
        </w:rPr>
      </w:pPr>
      <w:r>
        <w:rPr>
          <w:rFonts w:hint="eastAsia" w:ascii="宋体" w:hAnsi="宋体" w:eastAsia="宋体" w:cs="宋体"/>
          <w:color w:val="000000"/>
          <w:sz w:val="24"/>
        </w:rPr>
        <w:t xml:space="preserve">                                 </w:t>
      </w:r>
    </w:p>
    <w:p w14:paraId="5B264801">
      <w:pPr>
        <w:spacing w:line="360" w:lineRule="auto"/>
        <w:rPr>
          <w:rFonts w:ascii="宋体" w:hAnsi="宋体" w:eastAsia="宋体" w:cs="宋体"/>
          <w:color w:val="000000"/>
          <w:sz w:val="24"/>
        </w:rPr>
      </w:pPr>
      <w:r>
        <w:rPr>
          <w:rFonts w:hint="eastAsia" w:ascii="宋体" w:hAnsi="宋体" w:eastAsia="宋体" w:cs="宋体"/>
          <w:color w:val="000000"/>
          <w:sz w:val="24"/>
        </w:rPr>
        <w:t>法定代表人或其委托代理人：  法定代表人或其委托代理人：</w:t>
      </w:r>
    </w:p>
    <w:p w14:paraId="4752BC62">
      <w:pPr>
        <w:spacing w:line="360" w:lineRule="auto"/>
        <w:rPr>
          <w:rFonts w:ascii="宋体" w:hAnsi="宋体" w:eastAsia="宋体" w:cs="宋体"/>
          <w:color w:val="000000"/>
          <w:sz w:val="24"/>
        </w:rPr>
      </w:pPr>
      <w:r>
        <w:rPr>
          <w:rFonts w:hint="eastAsia" w:ascii="宋体" w:hAnsi="宋体" w:eastAsia="宋体" w:cs="宋体"/>
          <w:color w:val="000000"/>
          <w:sz w:val="24"/>
        </w:rPr>
        <w:t>（签字）                    （签字）</w:t>
      </w:r>
    </w:p>
    <w:p w14:paraId="1B8B872F">
      <w:pPr>
        <w:spacing w:line="360" w:lineRule="auto"/>
        <w:rPr>
          <w:rFonts w:ascii="宋体" w:hAnsi="宋体" w:eastAsia="宋体" w:cs="宋体"/>
          <w:color w:val="000000"/>
          <w:sz w:val="24"/>
          <w:u w:val="single"/>
        </w:rPr>
      </w:pPr>
    </w:p>
    <w:p w14:paraId="6C8274B2">
      <w:pPr>
        <w:tabs>
          <w:tab w:val="left" w:pos="4410"/>
        </w:tabs>
        <w:rPr>
          <w:rFonts w:ascii="宋体" w:hAnsi="宋体" w:eastAsia="宋体" w:cs="宋体"/>
          <w:color w:val="000000"/>
          <w:sz w:val="24"/>
        </w:rPr>
      </w:pPr>
      <w:r>
        <w:rPr>
          <w:rFonts w:hint="eastAsia" w:ascii="宋体" w:hAnsi="宋体" w:eastAsia="宋体" w:cs="宋体"/>
          <w:color w:val="000000"/>
          <w:sz w:val="24"/>
        </w:rPr>
        <w:t>组织机构代码：</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组织机构代码：</w:t>
      </w:r>
      <w:r>
        <w:rPr>
          <w:rFonts w:hint="eastAsia" w:ascii="宋体" w:hAnsi="宋体" w:eastAsia="宋体" w:cs="宋体"/>
          <w:color w:val="000000"/>
          <w:sz w:val="24"/>
          <w:u w:val="single"/>
        </w:rPr>
        <w:t xml:space="preserve">            </w:t>
      </w:r>
    </w:p>
    <w:p w14:paraId="526E684E">
      <w:pPr>
        <w:rPr>
          <w:rFonts w:ascii="宋体" w:hAnsi="宋体" w:eastAsia="宋体" w:cs="宋体"/>
          <w:color w:val="000000"/>
          <w:sz w:val="24"/>
        </w:rPr>
      </w:pPr>
      <w:r>
        <w:rPr>
          <w:rFonts w:hint="eastAsia" w:ascii="宋体" w:hAnsi="宋体" w:eastAsia="宋体" w:cs="宋体"/>
          <w:color w:val="000000"/>
          <w:sz w:val="24"/>
        </w:rPr>
        <w:t>地  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地  址：</w:t>
      </w:r>
      <w:r>
        <w:rPr>
          <w:rFonts w:hint="eastAsia" w:ascii="宋体" w:hAnsi="宋体" w:eastAsia="宋体" w:cs="宋体"/>
          <w:color w:val="000000"/>
          <w:sz w:val="24"/>
          <w:u w:val="single"/>
        </w:rPr>
        <w:t xml:space="preserve">        </w:t>
      </w:r>
    </w:p>
    <w:p w14:paraId="7B818A50">
      <w:pPr>
        <w:rPr>
          <w:rFonts w:ascii="宋体" w:hAnsi="宋体" w:eastAsia="宋体" w:cs="宋体"/>
          <w:color w:val="000000"/>
          <w:sz w:val="24"/>
        </w:rPr>
      </w:pPr>
      <w:r>
        <w:rPr>
          <w:rFonts w:hint="eastAsia" w:ascii="宋体" w:hAnsi="宋体" w:eastAsia="宋体" w:cs="宋体"/>
          <w:color w:val="000000"/>
          <w:sz w:val="24"/>
        </w:rPr>
        <w:t>邮政编码：</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 xml:space="preserve">  邮政编码：</w:t>
      </w:r>
      <w:r>
        <w:rPr>
          <w:rFonts w:hint="eastAsia" w:ascii="宋体" w:hAnsi="宋体" w:eastAsia="宋体" w:cs="宋体"/>
          <w:color w:val="000000"/>
          <w:sz w:val="24"/>
          <w:u w:val="single"/>
        </w:rPr>
        <w:t xml:space="preserve">    </w:t>
      </w:r>
    </w:p>
    <w:p w14:paraId="6D34CED4">
      <w:pPr>
        <w:rPr>
          <w:rFonts w:ascii="宋体" w:hAnsi="宋体" w:eastAsia="宋体" w:cs="宋体"/>
          <w:color w:val="000000"/>
          <w:sz w:val="24"/>
        </w:rPr>
      </w:pPr>
      <w:r>
        <w:rPr>
          <w:rFonts w:hint="eastAsia" w:ascii="宋体" w:hAnsi="宋体" w:eastAsia="宋体" w:cs="宋体"/>
          <w:color w:val="000000"/>
          <w:sz w:val="24"/>
        </w:rPr>
        <w:t>法定代表人：</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法定代表人：</w:t>
      </w:r>
      <w:r>
        <w:rPr>
          <w:rFonts w:hint="eastAsia" w:ascii="宋体" w:hAnsi="宋体" w:eastAsia="宋体" w:cs="宋体"/>
          <w:color w:val="000000"/>
          <w:sz w:val="24"/>
          <w:u w:val="single"/>
        </w:rPr>
        <w:t xml:space="preserve">              </w:t>
      </w:r>
    </w:p>
    <w:p w14:paraId="650B3074">
      <w:pPr>
        <w:rPr>
          <w:rFonts w:ascii="宋体" w:hAnsi="宋体" w:eastAsia="宋体" w:cs="宋体"/>
          <w:color w:val="000000"/>
          <w:sz w:val="24"/>
        </w:rPr>
      </w:pPr>
      <w:r>
        <w:rPr>
          <w:rFonts w:hint="eastAsia" w:ascii="宋体" w:hAnsi="宋体" w:eastAsia="宋体" w:cs="宋体"/>
          <w:color w:val="000000"/>
          <w:sz w:val="24"/>
        </w:rPr>
        <w:t>委托代理人：</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委托代理人：</w:t>
      </w:r>
      <w:r>
        <w:rPr>
          <w:rFonts w:hint="eastAsia" w:ascii="宋体" w:hAnsi="宋体" w:eastAsia="宋体" w:cs="宋体"/>
          <w:color w:val="000000"/>
          <w:sz w:val="24"/>
          <w:u w:val="single"/>
        </w:rPr>
        <w:t xml:space="preserve">              </w:t>
      </w:r>
    </w:p>
    <w:p w14:paraId="776D6986">
      <w:pPr>
        <w:rPr>
          <w:rFonts w:ascii="宋体" w:hAnsi="宋体" w:eastAsia="宋体" w:cs="宋体"/>
          <w:color w:val="000000"/>
          <w:sz w:val="24"/>
        </w:rPr>
      </w:pPr>
      <w:r>
        <w:rPr>
          <w:rFonts w:hint="eastAsia" w:ascii="宋体" w:hAnsi="宋体" w:eastAsia="宋体" w:cs="宋体"/>
          <w:color w:val="000000"/>
          <w:sz w:val="24"/>
        </w:rPr>
        <w:t>电  话：</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  话：</w:t>
      </w:r>
      <w:r>
        <w:rPr>
          <w:rFonts w:hint="eastAsia" w:ascii="宋体" w:hAnsi="宋体" w:eastAsia="宋体" w:cs="宋体"/>
          <w:color w:val="000000"/>
          <w:sz w:val="24"/>
          <w:u w:val="single"/>
        </w:rPr>
        <w:t xml:space="preserve">      </w:t>
      </w:r>
    </w:p>
    <w:p w14:paraId="5F50F3B0">
      <w:pPr>
        <w:rPr>
          <w:rFonts w:ascii="宋体" w:hAnsi="宋体" w:eastAsia="宋体" w:cs="宋体"/>
          <w:color w:val="000000"/>
          <w:sz w:val="24"/>
        </w:rPr>
      </w:pPr>
      <w:r>
        <w:rPr>
          <w:rFonts w:hint="eastAsia" w:ascii="宋体" w:hAnsi="宋体" w:eastAsia="宋体" w:cs="宋体"/>
          <w:color w:val="000000"/>
          <w:sz w:val="24"/>
        </w:rPr>
        <w:t>传  真：</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传  真：</w:t>
      </w:r>
      <w:r>
        <w:rPr>
          <w:rFonts w:hint="eastAsia" w:ascii="宋体" w:hAnsi="宋体" w:eastAsia="宋体" w:cs="宋体"/>
          <w:color w:val="000000"/>
          <w:sz w:val="24"/>
          <w:u w:val="single"/>
        </w:rPr>
        <w:t xml:space="preserve">      </w:t>
      </w:r>
    </w:p>
    <w:p w14:paraId="1ABFFB00">
      <w:pPr>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电子信箱：</w:t>
      </w:r>
      <w:r>
        <w:rPr>
          <w:rFonts w:hint="eastAsia" w:ascii="宋体" w:hAnsi="宋体" w:eastAsia="宋体" w:cs="宋体"/>
          <w:color w:val="000000"/>
          <w:sz w:val="24"/>
          <w:u w:val="single"/>
        </w:rPr>
        <w:t xml:space="preserve">    </w:t>
      </w:r>
    </w:p>
    <w:p w14:paraId="400F140B">
      <w:pPr>
        <w:rPr>
          <w:rFonts w:ascii="宋体" w:hAnsi="宋体" w:eastAsia="宋体" w:cs="宋体"/>
          <w:color w:val="000000"/>
          <w:sz w:val="24"/>
        </w:rPr>
      </w:pPr>
      <w:r>
        <w:rPr>
          <w:rFonts w:hint="eastAsia" w:ascii="宋体" w:hAnsi="宋体" w:eastAsia="宋体" w:cs="宋体"/>
          <w:color w:val="000000"/>
          <w:sz w:val="24"/>
        </w:rPr>
        <w:t>开户银行：</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开户银行：</w:t>
      </w:r>
      <w:r>
        <w:rPr>
          <w:rFonts w:hint="eastAsia" w:ascii="宋体" w:hAnsi="宋体" w:eastAsia="宋体" w:cs="宋体"/>
          <w:color w:val="000000"/>
          <w:sz w:val="24"/>
          <w:u w:val="single"/>
        </w:rPr>
        <w:t xml:space="preserve">    </w:t>
      </w:r>
    </w:p>
    <w:p w14:paraId="317D136F">
      <w:pPr>
        <w:rPr>
          <w:rFonts w:ascii="宋体" w:hAnsi="宋体" w:eastAsia="宋体" w:cs="宋体"/>
          <w:color w:val="000000"/>
          <w:sz w:val="24"/>
        </w:rPr>
      </w:pPr>
      <w:r>
        <w:rPr>
          <w:rFonts w:hint="eastAsia" w:ascii="宋体" w:hAnsi="宋体" w:eastAsia="宋体" w:cs="宋体"/>
          <w:color w:val="000000"/>
          <w:sz w:val="24"/>
        </w:rPr>
        <w:t>账  号：</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 xml:space="preserve">  账  号：</w:t>
      </w:r>
      <w:r>
        <w:rPr>
          <w:rFonts w:hint="eastAsia" w:ascii="宋体" w:hAnsi="宋体" w:eastAsia="宋体" w:cs="宋体"/>
          <w:color w:val="000000"/>
          <w:sz w:val="24"/>
          <w:u w:val="single"/>
        </w:rPr>
        <w:t xml:space="preserve">      </w:t>
      </w:r>
    </w:p>
    <w:p w14:paraId="16143AD7">
      <w:pPr>
        <w:rPr>
          <w:rFonts w:ascii="宋体" w:hAnsi="宋体" w:eastAsia="宋体" w:cs="宋体"/>
          <w:sz w:val="24"/>
        </w:rPr>
      </w:pPr>
    </w:p>
    <w:p w14:paraId="30C24D00">
      <w:pPr>
        <w:jc w:val="center"/>
        <w:rPr>
          <w:rFonts w:ascii="宋体" w:hAnsi="宋体" w:eastAsia="宋体" w:cs="宋体"/>
          <w:b/>
          <w:sz w:val="24"/>
          <w:lang w:val="zh-CN"/>
        </w:rPr>
      </w:pPr>
      <w:r>
        <w:rPr>
          <w:rFonts w:hint="eastAsia" w:ascii="宋体" w:hAnsi="宋体" w:eastAsia="宋体" w:cs="宋体"/>
          <w:b/>
          <w:bCs/>
          <w:sz w:val="24"/>
        </w:rPr>
        <w:br w:type="page"/>
      </w:r>
      <w:r>
        <w:rPr>
          <w:rFonts w:hint="eastAsia" w:ascii="宋体" w:hAnsi="宋体" w:eastAsia="宋体" w:cs="宋体"/>
          <w:b/>
          <w:bCs/>
          <w:sz w:val="24"/>
        </w:rPr>
        <w:t xml:space="preserve">  </w:t>
      </w:r>
      <w:bookmarkEnd w:id="744"/>
      <w:bookmarkStart w:id="758" w:name="_Toc514163602"/>
      <w:bookmarkStart w:id="759" w:name="_Toc514164527"/>
      <w:bookmarkStart w:id="760" w:name="_Toc514163715"/>
      <w:r>
        <w:rPr>
          <w:rFonts w:hint="eastAsia" w:ascii="宋体" w:hAnsi="宋体" w:eastAsia="宋体" w:cs="宋体"/>
          <w:b/>
          <w:sz w:val="24"/>
        </w:rPr>
        <w:t>第二部分 通用合同条款</w:t>
      </w:r>
      <w:bookmarkEnd w:id="758"/>
      <w:bookmarkEnd w:id="759"/>
      <w:bookmarkEnd w:id="760"/>
    </w:p>
    <w:p w14:paraId="75CED47F">
      <w:pPr>
        <w:spacing w:before="120" w:after="120" w:line="360" w:lineRule="auto"/>
        <w:rPr>
          <w:rFonts w:ascii="宋体" w:hAnsi="宋体" w:eastAsia="宋体" w:cs="宋体"/>
          <w:color w:val="000000"/>
          <w:sz w:val="24"/>
        </w:rPr>
      </w:pPr>
      <w:r>
        <w:rPr>
          <w:rFonts w:hint="eastAsia" w:ascii="宋体" w:hAnsi="宋体" w:eastAsia="宋体" w:cs="宋体"/>
          <w:sz w:val="24"/>
        </w:rPr>
        <w:t xml:space="preserve">  </w:t>
      </w:r>
      <w:bookmarkStart w:id="761" w:name="_Toc351203495"/>
      <w:r>
        <w:rPr>
          <w:rFonts w:hint="eastAsia" w:ascii="宋体" w:hAnsi="宋体" w:eastAsia="宋体" w:cs="宋体"/>
          <w:color w:val="000000"/>
          <w:sz w:val="24"/>
        </w:rPr>
        <w:t>1.</w:t>
      </w:r>
      <w:bookmarkStart w:id="762" w:name="_Toc303538973"/>
      <w:bookmarkEnd w:id="762"/>
      <w:bookmarkStart w:id="763" w:name="_Toc303538974"/>
      <w:bookmarkEnd w:id="763"/>
      <w:bookmarkStart w:id="764" w:name="_Toc303538975"/>
      <w:bookmarkEnd w:id="764"/>
      <w:bookmarkStart w:id="765" w:name="_Toc303538976"/>
      <w:bookmarkEnd w:id="765"/>
      <w:bookmarkStart w:id="766" w:name="_Toc303538972"/>
      <w:bookmarkEnd w:id="766"/>
      <w:bookmarkStart w:id="767" w:name="_Toc296503027"/>
      <w:bookmarkStart w:id="768" w:name="_Toc296346528"/>
      <w:r>
        <w:rPr>
          <w:rFonts w:hint="eastAsia" w:ascii="宋体" w:hAnsi="宋体" w:eastAsia="宋体" w:cs="宋体"/>
          <w:color w:val="000000"/>
          <w:sz w:val="24"/>
        </w:rPr>
        <w:t xml:space="preserve"> 一般约定</w:t>
      </w:r>
      <w:bookmarkEnd w:id="761"/>
      <w:bookmarkEnd w:id="767"/>
      <w:bookmarkEnd w:id="768"/>
    </w:p>
    <w:p w14:paraId="02F788D7">
      <w:pPr>
        <w:spacing w:before="120" w:after="120" w:line="360" w:lineRule="auto"/>
        <w:ind w:firstLine="480" w:firstLineChars="200"/>
        <w:rPr>
          <w:rFonts w:ascii="宋体" w:hAnsi="宋体" w:eastAsia="宋体" w:cs="宋体"/>
          <w:color w:val="000000"/>
          <w:sz w:val="24"/>
        </w:rPr>
      </w:pPr>
      <w:bookmarkStart w:id="769" w:name="_Toc296346529"/>
      <w:bookmarkStart w:id="770" w:name="_Toc337558728"/>
      <w:bookmarkStart w:id="771" w:name="_Toc296503028"/>
      <w:bookmarkStart w:id="772" w:name="_Toc351203496"/>
      <w:r>
        <w:rPr>
          <w:rFonts w:hint="eastAsia" w:ascii="宋体" w:hAnsi="宋体" w:eastAsia="宋体" w:cs="宋体"/>
          <w:color w:val="000000"/>
          <w:sz w:val="24"/>
        </w:rPr>
        <w:t>1.1词语定义</w:t>
      </w:r>
      <w:bookmarkEnd w:id="769"/>
      <w:bookmarkEnd w:id="770"/>
      <w:bookmarkEnd w:id="771"/>
      <w:r>
        <w:rPr>
          <w:rFonts w:hint="eastAsia" w:ascii="宋体" w:hAnsi="宋体" w:eastAsia="宋体" w:cs="宋体"/>
          <w:color w:val="000000"/>
          <w:sz w:val="24"/>
        </w:rPr>
        <w:t>与解释</w:t>
      </w:r>
      <w:bookmarkEnd w:id="772"/>
    </w:p>
    <w:p w14:paraId="09C1C37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合同协议书、通用合同条款、专用合同条款中的下列词语具有本款所赋予的含义：</w:t>
      </w:r>
    </w:p>
    <w:p w14:paraId="080820D8">
      <w:pPr>
        <w:autoSpaceDE w:val="0"/>
        <w:autoSpaceDN w:val="0"/>
        <w:adjustRightInd w:val="0"/>
        <w:spacing w:line="360" w:lineRule="auto"/>
        <w:rPr>
          <w:rFonts w:ascii="宋体" w:hAnsi="宋体" w:eastAsia="宋体" w:cs="宋体"/>
          <w:color w:val="000000"/>
          <w:sz w:val="24"/>
        </w:rPr>
      </w:pPr>
      <w:r>
        <w:rPr>
          <w:rFonts w:hint="eastAsia" w:ascii="宋体" w:hAnsi="宋体" w:eastAsia="宋体" w:cs="宋体"/>
          <w:color w:val="000000"/>
          <w:sz w:val="24"/>
        </w:rPr>
        <w:t xml:space="preserve">    1.1.1 合同</w:t>
      </w:r>
    </w:p>
    <w:p w14:paraId="2221562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1.1.1.1 合同：是指根据法律规定和合同当事人约定具有约束力的文件，构成合同的文件包括合同协议书、中标通知书（如果有）、投标函及其附录（如果有）、专用合同条款及其附件、通用合同条款、技术标准和要求、已标价工程量清单或预算书以及其他合同文件。</w:t>
      </w:r>
    </w:p>
    <w:p w14:paraId="6F3D0E3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1.1.1.2 合同协议书：是指构成合同的由发包人和承包人共同签署的称为“合同协议书”的书面文件。</w:t>
      </w:r>
    </w:p>
    <w:p w14:paraId="3E2851C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1.1.1.3 中标通知书：是指构成合同的由发包人通知承包人中标的书面文件。</w:t>
      </w:r>
    </w:p>
    <w:p w14:paraId="135B2FF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1.1.1.4 投标函：是指构成合同的由承包人填写并签署的用于投标的称为“投标函”的文件。</w:t>
      </w:r>
    </w:p>
    <w:p w14:paraId="2FEB952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1.1.1.5 投标函附录：是指构成合同的附在投标函后的称为“投标函附录”的文件。</w:t>
      </w:r>
    </w:p>
    <w:p w14:paraId="778FD44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1.1.1.6 技术标准和要求：是指构成合同的施工应当遵守的或指导施工的国家、行业或地方的技术标准和要求，以及合同约定的技术标准和要求。</w:t>
      </w:r>
    </w:p>
    <w:p w14:paraId="4694926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1.1.1.7 图纸：是指构成合同的图纸，包括由发包人按照合同约定提供或经发包人批准的设计文件、施工图、鸟瞰图及模型等，以及在合同履行过程中形成的图纸文件。图纸应当按照法律规定审查合格。</w:t>
      </w:r>
    </w:p>
    <w:p w14:paraId="367F93E4">
      <w:pPr>
        <w:autoSpaceDE w:val="0"/>
        <w:autoSpaceDN w:val="0"/>
        <w:adjustRightInd w:val="0"/>
        <w:spacing w:line="360" w:lineRule="auto"/>
        <w:ind w:firstLine="468" w:firstLineChars="195"/>
        <w:rPr>
          <w:rFonts w:ascii="宋体" w:hAnsi="宋体" w:eastAsia="宋体" w:cs="宋体"/>
          <w:color w:val="000000"/>
          <w:sz w:val="24"/>
        </w:rPr>
      </w:pPr>
      <w:r>
        <w:rPr>
          <w:rFonts w:hint="eastAsia" w:ascii="宋体" w:hAnsi="宋体" w:eastAsia="宋体" w:cs="宋体"/>
          <w:color w:val="000000"/>
          <w:sz w:val="24"/>
        </w:rPr>
        <w:t>1.1.1.8 已标价工程量清单：是指构成合同的由承包人按照规定的格式和要求填写并标明价格的工程量清单，包括说明和表格。</w:t>
      </w:r>
    </w:p>
    <w:p w14:paraId="508294E6">
      <w:pPr>
        <w:autoSpaceDE w:val="0"/>
        <w:autoSpaceDN w:val="0"/>
        <w:adjustRightInd w:val="0"/>
        <w:spacing w:line="360" w:lineRule="auto"/>
        <w:ind w:firstLine="468" w:firstLineChars="195"/>
        <w:rPr>
          <w:rFonts w:ascii="宋体" w:hAnsi="宋体" w:eastAsia="宋体" w:cs="宋体"/>
          <w:color w:val="000000"/>
          <w:sz w:val="24"/>
        </w:rPr>
      </w:pPr>
      <w:r>
        <w:rPr>
          <w:rFonts w:hint="eastAsia" w:ascii="宋体" w:hAnsi="宋体" w:eastAsia="宋体" w:cs="宋体"/>
          <w:color w:val="000000"/>
          <w:sz w:val="24"/>
        </w:rPr>
        <w:t>1.1.1.9 预算书：是指构成合同的由承包人按照发包人规定的格式和要求编制的工程预算文件。</w:t>
      </w:r>
    </w:p>
    <w:p w14:paraId="21E30CF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1.1.1.10 其他合同文件：是指经合同当事人约定的与工程施工有关的具有合同约束力的文件或书面协议。合同当事人可以在专用合同条款中进行约定。</w:t>
      </w:r>
    </w:p>
    <w:p w14:paraId="0B44FF04">
      <w:pPr>
        <w:autoSpaceDE w:val="0"/>
        <w:autoSpaceDN w:val="0"/>
        <w:adjustRightInd w:val="0"/>
        <w:spacing w:line="360" w:lineRule="auto"/>
        <w:rPr>
          <w:rFonts w:ascii="宋体" w:hAnsi="宋体" w:eastAsia="宋体" w:cs="宋体"/>
          <w:color w:val="000000"/>
          <w:sz w:val="24"/>
        </w:rPr>
      </w:pPr>
      <w:r>
        <w:rPr>
          <w:rFonts w:hint="eastAsia" w:ascii="宋体" w:hAnsi="宋体" w:eastAsia="宋体" w:cs="宋体"/>
          <w:color w:val="000000"/>
          <w:sz w:val="24"/>
        </w:rPr>
        <w:t xml:space="preserve">    1.1.2 合同当事人及其他相关方</w:t>
      </w:r>
    </w:p>
    <w:p w14:paraId="12A8618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1.1.2.1 合同当事人：是指发包人和（或）承包人。</w:t>
      </w:r>
    </w:p>
    <w:p w14:paraId="28DEEFA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1.1.2.2 发包人：是指与承包人签订合同协议书的当事人及取得该当事人资格的合法继承人。</w:t>
      </w:r>
    </w:p>
    <w:p w14:paraId="3B1613E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1.1.2.3 承包人：是指与发包人签订合同协议书的，具有相应工程施工承包资质的当事人及取得该当事人资格的合法继承人。</w:t>
      </w:r>
    </w:p>
    <w:p w14:paraId="4F18F21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1.1.2.4 监理人：是指在专用合同条款中指明的，受发包人委托按照法律规定进行工程监督管理的法人或其他组织。</w:t>
      </w:r>
    </w:p>
    <w:p w14:paraId="7FF6A3F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1.1.2.5 设计人：是指在专用合同条款中指明的，受发包人委托负责工程设计并具备相应工程设计资质的法人或其他组织。</w:t>
      </w:r>
    </w:p>
    <w:p w14:paraId="4F56B01B">
      <w:pPr>
        <w:spacing w:line="360" w:lineRule="auto"/>
        <w:ind w:firstLine="468" w:firstLineChars="195"/>
        <w:rPr>
          <w:rFonts w:ascii="宋体" w:hAnsi="宋体" w:eastAsia="宋体" w:cs="宋体"/>
          <w:color w:val="000000"/>
          <w:sz w:val="24"/>
        </w:rPr>
      </w:pPr>
      <w:r>
        <w:rPr>
          <w:rFonts w:hint="eastAsia" w:ascii="宋体" w:hAnsi="宋体" w:eastAsia="宋体" w:cs="宋体"/>
          <w:color w:val="000000"/>
          <w:sz w:val="24"/>
        </w:rPr>
        <w:t>1.1.2.6 分包人：</w:t>
      </w:r>
      <w:bookmarkStart w:id="773" w:name="#go5"/>
      <w:bookmarkEnd w:id="773"/>
      <w:r>
        <w:rPr>
          <w:rFonts w:hint="eastAsia" w:ascii="宋体" w:hAnsi="宋体" w:eastAsia="宋体" w:cs="宋体"/>
          <w:color w:val="000000"/>
          <w:sz w:val="24"/>
        </w:rPr>
        <w:t>是指按照法律规定和合同约定，分包部分工程或工作，并与承包人签订分包合同的具有相应资质的法人。</w:t>
      </w:r>
    </w:p>
    <w:p w14:paraId="3DBC87C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1.1.2.7 发包人代表：是指由发包人任命并派驻施工现场在发包人授权范围内行使发包人权利的人。</w:t>
      </w:r>
    </w:p>
    <w:p w14:paraId="7575F40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1.1.2.8 项目经理：是指由承包人任命并派驻施工现场，在承包人授权范围内负责合同履行，且按照法律规定具有相应资格的项目负责人。</w:t>
      </w:r>
    </w:p>
    <w:p w14:paraId="6754CC9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1.1.2.9 总监理工程师：是指由监理人任命并派驻施工现场进行工程监理的总负责人。</w:t>
      </w:r>
    </w:p>
    <w:p w14:paraId="78B4BA6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 工程和设备</w:t>
      </w:r>
    </w:p>
    <w:p w14:paraId="498E082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1.1.3.1 工程：是指与合同协议书中工程承包范围对应的永久工程和（或）临时工程。</w:t>
      </w:r>
    </w:p>
    <w:p w14:paraId="2FF2295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1.1.3.2 永久工程：是指按合同约定建造并移交给发包人的工程，包括工程设备。</w:t>
      </w:r>
    </w:p>
    <w:p w14:paraId="2D27041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1.1.3.3 临时工程：是指为完成合同约定的永久工程所修建的各类临时性工程，不包括施工设备。</w:t>
      </w:r>
    </w:p>
    <w:p w14:paraId="05C1B74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1.1.3.4 单位工程：是指在合同协议书中指明的，具备独立施工条件并能形成独立使用功能的永久工程。</w:t>
      </w:r>
    </w:p>
    <w:p w14:paraId="6068F41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1.1.3.5 工程设备：是指构成永久工程的机电设备、金属结构设备、仪器及其他类似的设备和装置。</w:t>
      </w:r>
    </w:p>
    <w:p w14:paraId="58DBD6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1.1.3.6 施工设备：是指为完成合同约定的各项工作所需的设备、器具和其他物品，但不包括工程设备、临时工程和材料。</w:t>
      </w:r>
    </w:p>
    <w:p w14:paraId="0CB7BD7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1.1.3.7 施工现场：是指用于工程施工的场所，以及在专用合同条款中指明作为施工场所组成部分的其他场所，包括永久占地和临时占地。</w:t>
      </w:r>
    </w:p>
    <w:p w14:paraId="65DD4C6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1.1.3.8临时设施：是指为完成合同约定的各项工作所服务的临时性生产和生活设施。</w:t>
      </w:r>
    </w:p>
    <w:p w14:paraId="6054A1A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1.1.3.9 永久占地：是指专用合同条款中指明为实施工程需永久占用的土地。</w:t>
      </w:r>
    </w:p>
    <w:p w14:paraId="74C0746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1.1.3.10 临时占地：是指专用合同条款中指明为实施工程需要临时占用的土地。</w:t>
      </w:r>
    </w:p>
    <w:p w14:paraId="1A9A682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 日期和期限</w:t>
      </w:r>
    </w:p>
    <w:p w14:paraId="5F10DC1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1.1.4.1 开工日期：包括计划开工日期和实际开工日期。计划开工日期是指合同协议书约定的开工日期；实际开工日期是指监理人按照第7.3.2项〔开工通知〕约定发出的符合法律规定的开工通知中载明的开工日期。</w:t>
      </w:r>
    </w:p>
    <w:p w14:paraId="34989EB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1.1.4.2 竣工日期：包括计划竣工日期和实际竣工日期。计划竣工日期是指合同协议书约定的竣工日期；实际竣工日期按照第13.2.3项〔竣工日期〕的约定确定。 </w:t>
      </w:r>
    </w:p>
    <w:p w14:paraId="6E20C530">
      <w:pPr>
        <w:spacing w:line="360" w:lineRule="auto"/>
        <w:ind w:firstLine="487" w:firstLineChars="203"/>
        <w:rPr>
          <w:rFonts w:ascii="宋体" w:hAnsi="宋体" w:eastAsia="宋体" w:cs="宋体"/>
          <w:color w:val="000000"/>
          <w:sz w:val="24"/>
        </w:rPr>
      </w:pPr>
      <w:r>
        <w:rPr>
          <w:rFonts w:hint="eastAsia" w:ascii="宋体" w:hAnsi="宋体" w:eastAsia="宋体" w:cs="宋体"/>
          <w:color w:val="000000"/>
          <w:sz w:val="24"/>
        </w:rPr>
        <w:t>1.1.4.3 工期：是指在合同协议书约定的承包人完成工程所需的期限，包括按照合同约定所作的期限变更。</w:t>
      </w:r>
    </w:p>
    <w:p w14:paraId="4543AA8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1.1.4.4 缺陷责任期：是指承包人按照合同约定承担缺陷修复义务，且发包人预留质量保证金（已缴纳履约保证金的除外）的期限，自工程实际竣工日期起计算。</w:t>
      </w:r>
    </w:p>
    <w:p w14:paraId="08EB6C9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1.1.4.5 保修期：是指承包人按照合同约定对工程承担保修责任的期限，从工程竣工验收合格之日起计算。</w:t>
      </w:r>
    </w:p>
    <w:p w14:paraId="73A2CA1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1.1.4.6 基准日期：招标发包的工程以投标截止日前28天的日期为基准日期，直接发包的工程以合同签订日前28天的日期为基准日期。</w:t>
      </w:r>
    </w:p>
    <w:p w14:paraId="6E4442B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1.1.4.7 天：除特别指明外，均指日历天。合同中按天计算时间的，开始当天不计入，从次日开始计算，期限最后一天的截止时间为当天24:00时。</w:t>
      </w:r>
    </w:p>
    <w:p w14:paraId="3E80AAA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 合同价格和费用</w:t>
      </w:r>
    </w:p>
    <w:p w14:paraId="516D477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1.1.5.1 签约合同价：是指发包人和承包人在合同协议书中确定的总金额，包括安全文明施工费、暂估价及暂列金额等。</w:t>
      </w:r>
    </w:p>
    <w:p w14:paraId="2956765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1.1.5.2 合同价格：是指发包人用于支付承包人按照合同约定完成承包范围内全部工作的金额，包括合同履行过程中按合同约定发生的价格变化。</w:t>
      </w:r>
    </w:p>
    <w:p w14:paraId="567C350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1.1.5.3 费用：是指为履行合同所发生的或将要发生的所有必需的开支，包括管理费和应分摊的其他费用，但不包括利润。</w:t>
      </w:r>
    </w:p>
    <w:p w14:paraId="30722CD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1.1.5.4 暂估价：是指发包人在工程量清单或预算书中提供的用于支付必然发生但暂时不能确定价格的材料、工程设备的单价、专业工程以及服务工作的金额。</w:t>
      </w:r>
    </w:p>
    <w:p w14:paraId="7EC2DBA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1.1.5.5 暂列金额：是指发包人在工程量清单或预算书中暂定并包括在合同价格中的一笔款项，用于工程合同签订时尚未确定或者不可预见的所需材料、工程设备、服务的采购，施工中可能发生的工程变更、合同约定调整因素出现时的合同价格调整以及发生的索赔、现场签证确认等的费用。</w:t>
      </w:r>
    </w:p>
    <w:p w14:paraId="620EE11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1.1.5.6 计日工：是指合同履行过程中，承包人完成发包人提出的零星工作或需要采用计日工计价的变更工作时，按合同中约定的单价计价的一种方式。</w:t>
      </w:r>
    </w:p>
    <w:p w14:paraId="2C1A005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1.1.5.7 质量保证金</w:t>
      </w:r>
      <w:bookmarkStart w:id="774" w:name="#go2"/>
      <w:bookmarkEnd w:id="774"/>
      <w:r>
        <w:rPr>
          <w:rFonts w:hint="eastAsia" w:ascii="宋体" w:hAnsi="宋体" w:eastAsia="宋体" w:cs="宋体"/>
          <w:color w:val="000000"/>
          <w:sz w:val="24"/>
        </w:rPr>
        <w:t>：是指按照第15.3款〔质量保证金〕约定承包人用于保证其在缺陷责任期内履行缺陷修补义务的担保。</w:t>
      </w:r>
    </w:p>
    <w:p w14:paraId="29BAF35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1.1.5.8 总价项目：是指在现行国家、行业以及地方的计量规则中无工程量计算规则，在已标价工程量清单或预算书中以总价或以费率形式计算的项目。</w:t>
      </w:r>
    </w:p>
    <w:p w14:paraId="1B4CC15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1.1.6 其他</w:t>
      </w:r>
    </w:p>
    <w:p w14:paraId="446CB27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1.1.6.1 书面形式：是指合同文件、信函、电报、传真等可以有形地表现所载内容的形式。</w:t>
      </w:r>
    </w:p>
    <w:p w14:paraId="2F17A5F2">
      <w:pPr>
        <w:spacing w:before="120" w:after="120" w:line="360" w:lineRule="auto"/>
        <w:rPr>
          <w:rFonts w:ascii="宋体" w:hAnsi="宋体" w:eastAsia="宋体" w:cs="宋体"/>
          <w:color w:val="000000"/>
          <w:sz w:val="24"/>
        </w:rPr>
      </w:pPr>
      <w:r>
        <w:rPr>
          <w:rFonts w:hint="eastAsia" w:ascii="宋体" w:hAnsi="宋体" w:eastAsia="宋体" w:cs="宋体"/>
          <w:color w:val="000000"/>
          <w:sz w:val="24"/>
        </w:rPr>
        <w:t xml:space="preserve">    </w:t>
      </w:r>
      <w:bookmarkStart w:id="775" w:name="_Toc337558729"/>
      <w:bookmarkStart w:id="776" w:name="_Toc351203497"/>
      <w:bookmarkStart w:id="777" w:name="_Toc296503029"/>
      <w:bookmarkStart w:id="778" w:name="_Toc296346530"/>
      <w:r>
        <w:rPr>
          <w:rFonts w:hint="eastAsia" w:ascii="宋体" w:hAnsi="宋体" w:eastAsia="宋体" w:cs="宋体"/>
          <w:color w:val="000000"/>
          <w:sz w:val="24"/>
        </w:rPr>
        <w:t>1.2语言文字</w:t>
      </w:r>
      <w:bookmarkEnd w:id="775"/>
      <w:bookmarkEnd w:id="776"/>
      <w:bookmarkEnd w:id="777"/>
      <w:bookmarkEnd w:id="778"/>
    </w:p>
    <w:p w14:paraId="664A8CD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合同以中国的汉语简体文字编写、解释和说明。合同当事人在专用合同条款中约定使用两种以上语言时，汉语为优先解释和说明合同的语言。</w:t>
      </w:r>
    </w:p>
    <w:p w14:paraId="66B4386D">
      <w:pPr>
        <w:spacing w:before="120" w:after="120" w:line="360" w:lineRule="auto"/>
        <w:ind w:firstLine="480" w:firstLineChars="200"/>
        <w:rPr>
          <w:rFonts w:ascii="宋体" w:hAnsi="宋体" w:eastAsia="宋体" w:cs="宋体"/>
          <w:color w:val="000000"/>
          <w:sz w:val="24"/>
        </w:rPr>
      </w:pPr>
      <w:bookmarkStart w:id="779" w:name="_Toc337558730"/>
      <w:bookmarkStart w:id="780" w:name="_Toc351203498"/>
      <w:bookmarkStart w:id="781" w:name="_Toc296503030"/>
      <w:bookmarkStart w:id="782" w:name="_Toc296346531"/>
      <w:r>
        <w:rPr>
          <w:rFonts w:hint="eastAsia" w:ascii="宋体" w:hAnsi="宋体" w:eastAsia="宋体" w:cs="宋体"/>
          <w:color w:val="000000"/>
          <w:sz w:val="24"/>
        </w:rPr>
        <w:t>1.3法律</w:t>
      </w:r>
      <w:bookmarkEnd w:id="779"/>
      <w:bookmarkEnd w:id="780"/>
      <w:bookmarkEnd w:id="781"/>
      <w:bookmarkEnd w:id="782"/>
    </w:p>
    <w:p w14:paraId="28DB751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合同所称法律是指中华人民共和国法律、行政法规、部门规章，以及工程所在地的地方性法规、自治条例、单行条例和地方政府规章等。</w:t>
      </w:r>
    </w:p>
    <w:p w14:paraId="0DD2F17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合同当事人可以在专用合同条款中约定合同适用的其他规范性文件。</w:t>
      </w:r>
    </w:p>
    <w:p w14:paraId="6D6302DC">
      <w:pPr>
        <w:spacing w:before="120" w:after="120" w:line="360" w:lineRule="auto"/>
        <w:ind w:firstLine="480" w:firstLineChars="200"/>
        <w:rPr>
          <w:rFonts w:ascii="宋体" w:hAnsi="宋体" w:eastAsia="宋体" w:cs="宋体"/>
          <w:color w:val="000000"/>
          <w:sz w:val="24"/>
        </w:rPr>
      </w:pPr>
      <w:bookmarkStart w:id="783" w:name="_Toc351203499"/>
      <w:r>
        <w:rPr>
          <w:rFonts w:hint="eastAsia" w:ascii="宋体" w:hAnsi="宋体" w:eastAsia="宋体" w:cs="宋体"/>
          <w:color w:val="000000"/>
          <w:sz w:val="24"/>
        </w:rPr>
        <w:t>1.4 标准和规范</w:t>
      </w:r>
      <w:bookmarkEnd w:id="783"/>
    </w:p>
    <w:p w14:paraId="4F994342">
      <w:pPr>
        <w:autoSpaceDE w:val="0"/>
        <w:autoSpaceDN w:val="0"/>
        <w:adjustRightInd w:val="0"/>
        <w:spacing w:line="360" w:lineRule="auto"/>
        <w:ind w:firstLine="640"/>
        <w:rPr>
          <w:rFonts w:ascii="宋体" w:hAnsi="宋体" w:eastAsia="宋体" w:cs="宋体"/>
          <w:color w:val="000000"/>
          <w:sz w:val="24"/>
        </w:rPr>
      </w:pPr>
      <w:r>
        <w:rPr>
          <w:rFonts w:hint="eastAsia" w:ascii="宋体" w:hAnsi="宋体" w:eastAsia="宋体" w:cs="宋体"/>
          <w:color w:val="000000"/>
          <w:sz w:val="24"/>
        </w:rPr>
        <w:t>1.4.1 适用于工程的国家标准、行业标准、工程所在地的地方性标准，以及相应的规范、规程等，合同当事人有特别要求的，应在专用合同条款中约定。</w:t>
      </w:r>
    </w:p>
    <w:p w14:paraId="63BBABB9">
      <w:pPr>
        <w:autoSpaceDE w:val="0"/>
        <w:autoSpaceDN w:val="0"/>
        <w:adjustRightInd w:val="0"/>
        <w:spacing w:line="360" w:lineRule="auto"/>
        <w:ind w:firstLine="640"/>
        <w:rPr>
          <w:rFonts w:ascii="宋体" w:hAnsi="宋体" w:eastAsia="宋体" w:cs="宋体"/>
          <w:color w:val="000000"/>
          <w:sz w:val="24"/>
        </w:rPr>
      </w:pPr>
      <w:r>
        <w:rPr>
          <w:rFonts w:hint="eastAsia" w:ascii="宋体" w:hAnsi="宋体" w:eastAsia="宋体" w:cs="宋体"/>
          <w:color w:val="000000"/>
          <w:sz w:val="24"/>
        </w:rPr>
        <w:t>1.4.2 发包人要求使用国外标准、规范的，发包人负责提供原文版本和中文译本，并在专用合同条款中约定提供标准规范的名称、份数和时间。</w:t>
      </w:r>
    </w:p>
    <w:p w14:paraId="2BA693D6">
      <w:pPr>
        <w:autoSpaceDE w:val="0"/>
        <w:autoSpaceDN w:val="0"/>
        <w:adjustRightInd w:val="0"/>
        <w:spacing w:line="360" w:lineRule="auto"/>
        <w:ind w:firstLine="640"/>
        <w:rPr>
          <w:rFonts w:ascii="宋体" w:hAnsi="宋体" w:eastAsia="宋体" w:cs="宋体"/>
          <w:color w:val="000000"/>
          <w:sz w:val="24"/>
        </w:rPr>
      </w:pPr>
      <w:r>
        <w:rPr>
          <w:rFonts w:hint="eastAsia" w:ascii="宋体" w:hAnsi="宋体" w:eastAsia="宋体" w:cs="宋体"/>
          <w:color w:val="000000"/>
          <w:sz w:val="24"/>
        </w:rPr>
        <w:t>1.4.3 发包人对工程的技术标准、功能要求高于或严于现行国家、行业或地方标准的，应当在专用合同条款中予以明确。除专用合同条款另有约定外，应视为承包人在签订合同前已充分预见前述技术标准和功能要求的复杂程度，签约合同价中已包含由此产生的费用。</w:t>
      </w:r>
    </w:p>
    <w:p w14:paraId="31B6FB6F">
      <w:pPr>
        <w:spacing w:before="120" w:after="120" w:line="360" w:lineRule="auto"/>
        <w:ind w:firstLine="480" w:firstLineChars="200"/>
        <w:rPr>
          <w:rFonts w:ascii="宋体" w:hAnsi="宋体" w:eastAsia="宋体" w:cs="宋体"/>
          <w:color w:val="000000"/>
          <w:sz w:val="24"/>
        </w:rPr>
      </w:pPr>
      <w:bookmarkStart w:id="784" w:name="_Toc351203500"/>
      <w:r>
        <w:rPr>
          <w:rFonts w:hint="eastAsia" w:ascii="宋体" w:hAnsi="宋体" w:eastAsia="宋体" w:cs="宋体"/>
          <w:color w:val="000000"/>
          <w:sz w:val="24"/>
        </w:rPr>
        <w:t>1</w:t>
      </w:r>
      <w:bookmarkStart w:id="785" w:name="_Toc296503031"/>
      <w:bookmarkStart w:id="786" w:name="_Toc296346532"/>
      <w:bookmarkStart w:id="787" w:name="_Toc337558731"/>
      <w:r>
        <w:rPr>
          <w:rFonts w:hint="eastAsia" w:ascii="宋体" w:hAnsi="宋体" w:eastAsia="宋体" w:cs="宋体"/>
          <w:color w:val="000000"/>
          <w:sz w:val="24"/>
        </w:rPr>
        <w:t>.5 合同文件的优先顺序</w:t>
      </w:r>
      <w:bookmarkEnd w:id="784"/>
    </w:p>
    <w:bookmarkEnd w:id="785"/>
    <w:bookmarkEnd w:id="786"/>
    <w:bookmarkEnd w:id="787"/>
    <w:p w14:paraId="584A1E1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组成合同的各项文件应互相解释，互为说明。除专用合同条款另有约定外，解释合同文件的优先顺序如下：</w:t>
      </w:r>
    </w:p>
    <w:p w14:paraId="473E754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（1）合同协议书；</w:t>
      </w:r>
    </w:p>
    <w:p w14:paraId="28707C5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（2）中标通知书（如果有）；</w:t>
      </w:r>
    </w:p>
    <w:p w14:paraId="74370E3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（3）投标函及其附录（如果有）；</w:t>
      </w:r>
    </w:p>
    <w:p w14:paraId="38C1143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（4）专用合同条款及其附件；</w:t>
      </w:r>
    </w:p>
    <w:p w14:paraId="1A0F04B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（5）通用合同条款；</w:t>
      </w:r>
    </w:p>
    <w:p w14:paraId="7F6D0D1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（6）技术标准和要求；</w:t>
      </w:r>
    </w:p>
    <w:p w14:paraId="4107653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（7）已标价工程量清单或预算书；</w:t>
      </w:r>
    </w:p>
    <w:p w14:paraId="26839A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（8）其他合同文件。</w:t>
      </w:r>
    </w:p>
    <w:p w14:paraId="7A23F831">
      <w:pPr>
        <w:spacing w:line="360" w:lineRule="auto"/>
        <w:ind w:firstLine="511" w:firstLineChars="213"/>
        <w:rPr>
          <w:rFonts w:ascii="宋体" w:hAnsi="宋体" w:eastAsia="宋体" w:cs="宋体"/>
          <w:color w:val="000000"/>
          <w:sz w:val="24"/>
        </w:rPr>
      </w:pPr>
      <w:r>
        <w:rPr>
          <w:rFonts w:hint="eastAsia" w:ascii="宋体" w:hAnsi="宋体" w:eastAsia="宋体" w:cs="宋体"/>
          <w:color w:val="000000"/>
          <w:sz w:val="24"/>
        </w:rPr>
        <w:t>上述各项合同文件包括合同当事人就该项合同文件所作出的补充和修改，属于同一类内容的文件，应以最新签署的为准。</w:t>
      </w:r>
    </w:p>
    <w:p w14:paraId="32618BAF">
      <w:pPr>
        <w:spacing w:line="360" w:lineRule="auto"/>
        <w:ind w:firstLine="511" w:firstLineChars="213"/>
        <w:rPr>
          <w:rFonts w:ascii="宋体" w:hAnsi="宋体" w:eastAsia="宋体" w:cs="宋体"/>
          <w:color w:val="000000"/>
          <w:sz w:val="24"/>
        </w:rPr>
      </w:pPr>
      <w:r>
        <w:rPr>
          <w:rFonts w:hint="eastAsia" w:ascii="宋体" w:hAnsi="宋体" w:eastAsia="宋体" w:cs="宋体"/>
          <w:color w:val="000000"/>
          <w:sz w:val="24"/>
        </w:rPr>
        <w:t>在合同订立及履行过程中形成的与合同有关的文件均构成合同文件组成部分，并根据其性质确定优先解释顺序。</w:t>
      </w:r>
    </w:p>
    <w:p w14:paraId="1CBC903E">
      <w:pPr>
        <w:spacing w:before="120" w:after="120" w:line="360" w:lineRule="auto"/>
        <w:ind w:firstLine="480" w:firstLineChars="200"/>
        <w:rPr>
          <w:rFonts w:ascii="宋体" w:hAnsi="宋体" w:eastAsia="宋体" w:cs="宋体"/>
          <w:color w:val="000000"/>
          <w:sz w:val="24"/>
        </w:rPr>
      </w:pPr>
      <w:bookmarkStart w:id="788" w:name="_Toc351203501"/>
      <w:r>
        <w:rPr>
          <w:rFonts w:hint="eastAsia" w:ascii="宋体" w:hAnsi="宋体" w:eastAsia="宋体" w:cs="宋体"/>
          <w:color w:val="000000"/>
          <w:sz w:val="24"/>
        </w:rPr>
        <w:t>1</w:t>
      </w:r>
      <w:bookmarkStart w:id="789" w:name="_Toc296346533"/>
      <w:bookmarkStart w:id="790" w:name="_Toc296503032"/>
      <w:bookmarkStart w:id="791" w:name="_Toc337558732"/>
      <w:r>
        <w:rPr>
          <w:rFonts w:hint="eastAsia" w:ascii="宋体" w:hAnsi="宋体" w:eastAsia="宋体" w:cs="宋体"/>
          <w:color w:val="000000"/>
          <w:sz w:val="24"/>
        </w:rPr>
        <w:t>.6承包人文件</w:t>
      </w:r>
      <w:bookmarkEnd w:id="788"/>
    </w:p>
    <w:bookmarkEnd w:id="789"/>
    <w:bookmarkEnd w:id="790"/>
    <w:bookmarkEnd w:id="791"/>
    <w:p w14:paraId="3DEF236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 承包人文件</w:t>
      </w:r>
    </w:p>
    <w:p w14:paraId="7E67BA2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承包人应按照专用合同条款的约定提供应当由其编制的与工程施工有关的文件，并按照专用合同条款约定的期限、数量和形式提交监理人，并由监理人报送发包人。</w:t>
      </w:r>
    </w:p>
    <w:p w14:paraId="531A702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监理人应在收到承包人文件后7天内审查完毕，监理人对承包人文件有异议的，承包人应予以修改，并重新报送监理人。监理人的审查并不减轻或免除承包人根据合同约定应当承担的责任。</w:t>
      </w:r>
    </w:p>
    <w:p w14:paraId="51FFF43A">
      <w:pPr>
        <w:spacing w:before="120" w:after="120" w:line="360" w:lineRule="auto"/>
        <w:ind w:firstLine="480" w:firstLineChars="200"/>
        <w:rPr>
          <w:rFonts w:ascii="宋体" w:hAnsi="宋体" w:eastAsia="宋体" w:cs="宋体"/>
          <w:color w:val="000000"/>
          <w:sz w:val="24"/>
        </w:rPr>
      </w:pPr>
      <w:bookmarkStart w:id="792" w:name="_Toc351203502"/>
      <w:r>
        <w:rPr>
          <w:rFonts w:hint="eastAsia" w:ascii="宋体" w:hAnsi="宋体" w:eastAsia="宋体" w:cs="宋体"/>
          <w:color w:val="000000"/>
          <w:sz w:val="24"/>
        </w:rPr>
        <w:t>1</w:t>
      </w:r>
      <w:bookmarkStart w:id="793" w:name="_Toc296503033"/>
      <w:bookmarkStart w:id="794" w:name="_Toc296346534"/>
      <w:bookmarkStart w:id="795" w:name="_Toc337558733"/>
      <w:r>
        <w:rPr>
          <w:rFonts w:hint="eastAsia" w:ascii="宋体" w:hAnsi="宋体" w:eastAsia="宋体" w:cs="宋体"/>
          <w:color w:val="000000"/>
          <w:sz w:val="24"/>
        </w:rPr>
        <w:t>.7联络</w:t>
      </w:r>
      <w:bookmarkEnd w:id="792"/>
    </w:p>
    <w:bookmarkEnd w:id="793"/>
    <w:bookmarkEnd w:id="794"/>
    <w:bookmarkEnd w:id="795"/>
    <w:p w14:paraId="445671B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1.7.1 与合同有关的通知、批准、证明、证书、指示、指令、要求、请求、同意、意见、确定和决定等，均应采用书面形式，并应在合同约定的期限内送达接收人和送达地点。</w:t>
      </w:r>
    </w:p>
    <w:p w14:paraId="1B5B507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1.7.2 发包人和承包人应在专用合同条款中约定各自的送达接收人和送达地点。任何一方合同当事人指定的接收人或送达地点发生变动的，应提前3天以书面形式通知对方。</w:t>
      </w:r>
    </w:p>
    <w:p w14:paraId="2CB893E8">
      <w:pPr>
        <w:autoSpaceDE w:val="0"/>
        <w:autoSpaceDN w:val="0"/>
        <w:adjustRightInd w:val="0"/>
        <w:spacing w:line="360" w:lineRule="auto"/>
        <w:ind w:firstLine="480" w:firstLineChars="200"/>
        <w:rPr>
          <w:rFonts w:ascii="宋体" w:hAnsi="宋体" w:eastAsia="宋体" w:cs="宋体"/>
          <w:color w:val="FF0000"/>
          <w:sz w:val="24"/>
        </w:rPr>
      </w:pPr>
      <w:r>
        <w:rPr>
          <w:rFonts w:hint="eastAsia" w:ascii="宋体" w:hAnsi="宋体" w:eastAsia="宋体" w:cs="宋体"/>
          <w:color w:val="000000"/>
          <w:sz w:val="24"/>
        </w:rPr>
        <w:t>1.7.3 发包人和承包人应当及时签收另一方送达至送达地点和指定接收人的来往信函。拒不签收的，由此增加的费用和（或）延误的工期由拒绝接收一方承担。</w:t>
      </w:r>
    </w:p>
    <w:p w14:paraId="76098CEF">
      <w:pPr>
        <w:spacing w:before="120" w:after="120" w:line="360" w:lineRule="auto"/>
        <w:ind w:firstLine="480" w:firstLineChars="200"/>
        <w:rPr>
          <w:rFonts w:ascii="宋体" w:hAnsi="宋体" w:eastAsia="宋体" w:cs="宋体"/>
          <w:color w:val="000000"/>
          <w:sz w:val="24"/>
        </w:rPr>
      </w:pPr>
      <w:bookmarkStart w:id="796" w:name="_Toc351203503"/>
      <w:r>
        <w:rPr>
          <w:rFonts w:hint="eastAsia" w:ascii="宋体" w:hAnsi="宋体" w:eastAsia="宋体" w:cs="宋体"/>
          <w:color w:val="000000"/>
          <w:sz w:val="24"/>
        </w:rPr>
        <w:t>1</w:t>
      </w:r>
      <w:bookmarkStart w:id="797" w:name="_Toc296503035"/>
      <w:bookmarkStart w:id="798" w:name="_Toc337558734"/>
      <w:bookmarkStart w:id="799" w:name="_Toc296346536"/>
      <w:r>
        <w:rPr>
          <w:rFonts w:hint="eastAsia" w:ascii="宋体" w:hAnsi="宋体" w:eastAsia="宋体" w:cs="宋体"/>
          <w:color w:val="000000"/>
          <w:sz w:val="24"/>
        </w:rPr>
        <w:t>.8严禁贿赂</w:t>
      </w:r>
      <w:bookmarkEnd w:id="796"/>
    </w:p>
    <w:bookmarkEnd w:id="797"/>
    <w:bookmarkEnd w:id="798"/>
    <w:bookmarkEnd w:id="799"/>
    <w:p w14:paraId="7EB87FA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合同当事人不得以贿赂或变相贿赂的方式，谋取非法利益或损害对方权益。因一方合同当事人的贿赂造成对方损失的，应赔偿损失，并承担相应的法律责任。</w:t>
      </w:r>
    </w:p>
    <w:p w14:paraId="1B4DBFF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承包人不得与监理人或发包人聘请的第三方串通损害发包人利益。未经发包人书面同意，承包人不得为监理人提供合同约定以外的通讯设备、交通工具及其他任何形式的利益，不得向监理人支付报酬。</w:t>
      </w:r>
    </w:p>
    <w:p w14:paraId="155637DD">
      <w:pPr>
        <w:spacing w:before="120" w:after="120" w:line="360" w:lineRule="auto"/>
        <w:ind w:firstLine="480" w:firstLineChars="200"/>
        <w:rPr>
          <w:rFonts w:ascii="宋体" w:hAnsi="宋体" w:eastAsia="宋体" w:cs="宋体"/>
          <w:color w:val="000000"/>
          <w:sz w:val="24"/>
        </w:rPr>
      </w:pPr>
      <w:bookmarkStart w:id="800" w:name="_Toc351203504"/>
      <w:r>
        <w:rPr>
          <w:rFonts w:hint="eastAsia" w:ascii="宋体" w:hAnsi="宋体" w:eastAsia="宋体" w:cs="宋体"/>
          <w:color w:val="000000"/>
          <w:sz w:val="24"/>
        </w:rPr>
        <w:t>1</w:t>
      </w:r>
      <w:bookmarkStart w:id="801" w:name="_Toc337558735"/>
      <w:bookmarkStart w:id="802" w:name="_Toc296346537"/>
      <w:bookmarkStart w:id="803" w:name="_Toc296503036"/>
      <w:r>
        <w:rPr>
          <w:rFonts w:hint="eastAsia" w:ascii="宋体" w:hAnsi="宋体" w:eastAsia="宋体" w:cs="宋体"/>
          <w:color w:val="000000"/>
          <w:sz w:val="24"/>
        </w:rPr>
        <w:t>.9化石、文物</w:t>
      </w:r>
      <w:bookmarkEnd w:id="800"/>
    </w:p>
    <w:bookmarkEnd w:id="801"/>
    <w:bookmarkEnd w:id="802"/>
    <w:bookmarkEnd w:id="803"/>
    <w:p w14:paraId="253E60B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施工现场发掘的所有文物、古迹以及具有地质研究或考古价值的其他遗迹、化石、钱币或物品属于国家所有。一旦发现上述文物，承包人应采取合理有效的保护措施，防止任何人员移动或损坏上述物品，并立即报告有关政府行政管理部门，同时通知监理人。</w:t>
      </w:r>
    </w:p>
    <w:p w14:paraId="3DE372D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发包人、监理人和承包人应按有关政府行政管理部门要求采取妥善的保护措施，由此增加的费用和（或）延误的工期由发包人承担。</w:t>
      </w:r>
    </w:p>
    <w:p w14:paraId="0E27BD9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承包人发现文物后不及时报告或隐瞒不报，致使文物丢失或损坏的，应赔偿损失，并承担相应的法律责任。</w:t>
      </w:r>
    </w:p>
    <w:p w14:paraId="369CAC6C">
      <w:pPr>
        <w:spacing w:before="120" w:after="120" w:line="360" w:lineRule="auto"/>
        <w:ind w:firstLine="480" w:firstLineChars="200"/>
        <w:rPr>
          <w:rFonts w:ascii="宋体" w:hAnsi="宋体" w:eastAsia="宋体" w:cs="宋体"/>
          <w:color w:val="000000"/>
          <w:sz w:val="24"/>
        </w:rPr>
      </w:pPr>
      <w:bookmarkStart w:id="804" w:name="_Toc351203505"/>
      <w:r>
        <w:rPr>
          <w:rFonts w:hint="eastAsia" w:ascii="宋体" w:hAnsi="宋体" w:eastAsia="宋体" w:cs="宋体"/>
          <w:color w:val="000000"/>
          <w:sz w:val="24"/>
        </w:rPr>
        <w:t>1</w:t>
      </w:r>
      <w:bookmarkStart w:id="805" w:name="_Toc337558736"/>
      <w:r>
        <w:rPr>
          <w:rFonts w:hint="eastAsia" w:ascii="宋体" w:hAnsi="宋体" w:eastAsia="宋体" w:cs="宋体"/>
          <w:color w:val="000000"/>
          <w:sz w:val="24"/>
        </w:rPr>
        <w:t>.10交通运输</w:t>
      </w:r>
      <w:bookmarkEnd w:id="804"/>
    </w:p>
    <w:bookmarkEnd w:id="805"/>
    <w:p w14:paraId="4A19A4E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1.10.1 出入现场的权利</w:t>
      </w:r>
    </w:p>
    <w:p w14:paraId="5EAAA21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根据施工需要，负责取得出入施工现场所需的批准手续和全部权利，以及取得因施工所需修建道路、桥梁以及其他基础设施的权利，并承担相关手续费用和建设费用。承包人应协助发包人办理修建场内外道路、桥梁以及其他基础设施的手续。</w:t>
      </w:r>
    </w:p>
    <w:p w14:paraId="4B8BCB2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承包人应在订立合同前查勘施工现场，并根据工程规模及技术参数合理预见工程施工所需的进出施工现场的方式、手段、路径等。因承包人未合理预见所增加的费用和（或）延误的工期由承包人承担。</w:t>
      </w:r>
    </w:p>
    <w:p w14:paraId="6A0A251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1.10.2 场外交通</w:t>
      </w:r>
    </w:p>
    <w:p w14:paraId="1F3838B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提供场外交通设施的技术参数和具体条件，承包人应遵守有关交通法规，严格按照道路和桥梁的限制荷载行驶，执行有关道路限速、限行、禁止超载的规定，并配合交通管理部门的监督和检查。场外交通设施无法满足工程施工需要的，由发包人负责完善并承担相关费用。</w:t>
      </w:r>
    </w:p>
    <w:p w14:paraId="65956F3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1.10.3场内交通</w:t>
      </w:r>
    </w:p>
    <w:p w14:paraId="7F4D2F4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提供场内交通设施的技术参数和具体条件，并应按照专用合同条款的约定向承包人免费提供满足工程施工所需的场内道路和交通设施。因承包人原因造成上述道路或交通设施损坏的，承包人负责修复并承担由此增加的费用。</w:t>
      </w:r>
    </w:p>
    <w:p w14:paraId="17366C1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发包人按照合同约定提供的场内道路和交通设施外，承包人负责修建、维修、养护和管理施工所需的其他场内临时道路和交通设施。发包人和监理人可以为实现合同目的使用承包人修建的场内临时道路和交通设施。</w:t>
      </w:r>
    </w:p>
    <w:p w14:paraId="545D84E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场外交通和场内交通的边界由合同当事人在专用合同条款中约定。</w:t>
      </w:r>
    </w:p>
    <w:p w14:paraId="6010381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1.10.4 超大件和超重件的运输</w:t>
      </w:r>
    </w:p>
    <w:p w14:paraId="5E40F2B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70A30A5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1.10.5 道路和桥梁的损坏责任</w:t>
      </w:r>
    </w:p>
    <w:p w14:paraId="4FA2C69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因承包人运输造成施工场地内外公共道路和桥梁损坏的，由承包人承担修复损坏的全部费用和可能引起的赔偿。</w:t>
      </w:r>
    </w:p>
    <w:p w14:paraId="4C558EF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1.10.6 水路和航空运输</w:t>
      </w:r>
    </w:p>
    <w:p w14:paraId="425214A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本款前述各项的内容适用于水路运输和航空运输，其中“道路”一词的涵义包括河道、航线、船闸、机场、码头、堤防以及水路或航空运输中其他相似结构物；“车辆”一词的涵义包括船舶和飞机等。</w:t>
      </w:r>
    </w:p>
    <w:p w14:paraId="746D6630">
      <w:pPr>
        <w:spacing w:before="120" w:after="120" w:line="360" w:lineRule="auto"/>
        <w:ind w:firstLine="480" w:firstLineChars="200"/>
        <w:rPr>
          <w:rFonts w:ascii="宋体" w:hAnsi="宋体" w:eastAsia="宋体" w:cs="宋体"/>
          <w:color w:val="000000"/>
          <w:sz w:val="24"/>
        </w:rPr>
      </w:pPr>
      <w:bookmarkStart w:id="806" w:name="_Toc351203506"/>
      <w:r>
        <w:rPr>
          <w:rFonts w:hint="eastAsia" w:ascii="宋体" w:hAnsi="宋体" w:eastAsia="宋体" w:cs="宋体"/>
          <w:color w:val="000000"/>
          <w:sz w:val="24"/>
        </w:rPr>
        <w:t>1</w:t>
      </w:r>
      <w:bookmarkStart w:id="807" w:name="_Toc337558737"/>
      <w:bookmarkStart w:id="808" w:name="_Toc296503037"/>
      <w:bookmarkStart w:id="809" w:name="_Toc296346538"/>
      <w:r>
        <w:rPr>
          <w:rFonts w:hint="eastAsia" w:ascii="宋体" w:hAnsi="宋体" w:eastAsia="宋体" w:cs="宋体"/>
          <w:color w:val="000000"/>
          <w:sz w:val="24"/>
        </w:rPr>
        <w:t>.11知识产权</w:t>
      </w:r>
      <w:bookmarkEnd w:id="806"/>
      <w:r>
        <w:rPr>
          <w:rFonts w:hint="eastAsia" w:ascii="宋体" w:hAnsi="宋体" w:eastAsia="宋体" w:cs="宋体"/>
          <w:color w:val="000000"/>
          <w:sz w:val="24"/>
        </w:rPr>
        <w:t xml:space="preserve"> </w:t>
      </w:r>
      <w:bookmarkEnd w:id="807"/>
    </w:p>
    <w:bookmarkEnd w:id="808"/>
    <w:bookmarkEnd w:id="809"/>
    <w:p w14:paraId="595E6FA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1.11.1 除专用合同条款另有约定外，发包人提供给承包人的图纸、发包人为实施工程自行编制或委托编制的技术规范以及反映发包人要求的或其他类似性质的文件的著作权属于发包人，承包人可以为实现合同目的而复制、使用此类文件，但不能用于与合同无关的其他事项。未经发包人书面同意，承包人不得为了合同以外的目的而复制、使用上述文件或将之提供给任何第三方。</w:t>
      </w:r>
    </w:p>
    <w:p w14:paraId="1075218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1.11.2 除专用合同条款另有约定外，承包人为实施工程所编制的文件，除署名权以外的著作权属于发包人，承包人可因实施工程的运行、调试、维修、改造等目的而复制、使用此类文件，但不能用于与合同无关的其他事项。未经发包人书面同意，承包人不得为了合同以外的目的而复制、使用上述文件或将之提供给任何第三方。</w:t>
      </w:r>
    </w:p>
    <w:p w14:paraId="7DCC773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1.11.3 合同当事人保证在履行合同过程中不侵犯对方及第三方的知识产权。承包人在使用材料、施工设备、工程设备或采用施工工艺时，因侵犯他人的专利权或其他知识产权所引起的责任，由承包人承担；因发包人提供的材料、施工设备、工程设备或施工工艺导致侵权的，由发包人承担责任。</w:t>
      </w:r>
    </w:p>
    <w:p w14:paraId="3529E8F3">
      <w:pPr>
        <w:rPr>
          <w:rFonts w:ascii="宋体" w:hAnsi="宋体" w:eastAsia="宋体" w:cs="宋体"/>
          <w:sz w:val="24"/>
        </w:rPr>
      </w:pPr>
      <w:r>
        <w:rPr>
          <w:rFonts w:hint="eastAsia" w:ascii="宋体" w:hAnsi="宋体" w:eastAsia="宋体" w:cs="宋体"/>
          <w:color w:val="000000"/>
          <w:sz w:val="24"/>
        </w:rPr>
        <w:t xml:space="preserve">    1.11.4 除专用合同条款另有约定外，承包人在合同签订前和签订时已确定采用的专利、专有技术、技术秘密的使用费已包含在签约合同价中。</w:t>
      </w:r>
    </w:p>
    <w:p w14:paraId="6F9751C1">
      <w:pPr>
        <w:spacing w:before="120" w:after="120" w:line="360" w:lineRule="auto"/>
        <w:ind w:firstLine="480" w:firstLineChars="200"/>
        <w:rPr>
          <w:rFonts w:ascii="宋体" w:hAnsi="宋体" w:eastAsia="宋体" w:cs="宋体"/>
          <w:color w:val="000000"/>
          <w:sz w:val="24"/>
        </w:rPr>
      </w:pPr>
      <w:bookmarkStart w:id="810" w:name="_Toc351203507"/>
      <w:r>
        <w:rPr>
          <w:rFonts w:hint="eastAsia" w:ascii="宋体" w:hAnsi="宋体" w:eastAsia="宋体" w:cs="宋体"/>
          <w:color w:val="000000"/>
          <w:sz w:val="24"/>
        </w:rPr>
        <w:t>1</w:t>
      </w:r>
      <w:bookmarkStart w:id="811" w:name="_Toc337558738"/>
      <w:r>
        <w:rPr>
          <w:rFonts w:hint="eastAsia" w:ascii="宋体" w:hAnsi="宋体" w:eastAsia="宋体" w:cs="宋体"/>
          <w:color w:val="000000"/>
          <w:sz w:val="24"/>
        </w:rPr>
        <w:t>.12保密</w:t>
      </w:r>
      <w:bookmarkEnd w:id="810"/>
    </w:p>
    <w:bookmarkEnd w:id="811"/>
    <w:p w14:paraId="0380379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除法律规定或合同另有约定外，未经发包人同意，承包人不得将发包人提供的图纸、文件以及声明需要保密的资料信息等商业秘密泄露给第三方。</w:t>
      </w:r>
    </w:p>
    <w:p w14:paraId="7597732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除法律规定或合同另有约定外，未经承包人同意，发包人不得将承包人提供的技术秘密及声明需要保密的资料信息等商业秘密泄露给第三方。</w:t>
      </w:r>
    </w:p>
    <w:p w14:paraId="1DE4018D">
      <w:pPr>
        <w:spacing w:before="120" w:after="120" w:line="360" w:lineRule="auto"/>
        <w:ind w:firstLine="480" w:firstLineChars="200"/>
        <w:rPr>
          <w:rFonts w:ascii="宋体" w:hAnsi="宋体" w:eastAsia="宋体" w:cs="宋体"/>
          <w:color w:val="000000"/>
          <w:sz w:val="24"/>
        </w:rPr>
      </w:pPr>
      <w:bookmarkStart w:id="812" w:name="_Toc351203508"/>
      <w:r>
        <w:rPr>
          <w:rFonts w:hint="eastAsia" w:ascii="宋体" w:hAnsi="宋体" w:eastAsia="宋体" w:cs="宋体"/>
          <w:color w:val="000000"/>
          <w:sz w:val="24"/>
        </w:rPr>
        <w:t>1.13工程量清单错误的修正</w:t>
      </w:r>
      <w:bookmarkEnd w:id="812"/>
    </w:p>
    <w:p w14:paraId="715B4A0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除专用合同条款另有约定外，发包人提供的工程量清单，应被认为是准确的和完整的。出现下列情形之一时，发包人应予以修正，并相应调整合同价格：</w:t>
      </w:r>
    </w:p>
    <w:p w14:paraId="042749D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（1）工程量清单存在缺项、漏项的；</w:t>
      </w:r>
    </w:p>
    <w:p w14:paraId="7CA1CC5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（2）工程量清单偏差超出专用合同条款约定的工程量偏差范围的；</w:t>
      </w:r>
    </w:p>
    <w:p w14:paraId="3B68375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（3）未按照国家现行计量规范强制性规定计量的。</w:t>
      </w:r>
    </w:p>
    <w:p w14:paraId="4D61DB4F">
      <w:pPr>
        <w:spacing w:before="120" w:after="120" w:line="360" w:lineRule="auto"/>
        <w:rPr>
          <w:rFonts w:ascii="宋体" w:hAnsi="宋体" w:eastAsia="宋体" w:cs="宋体"/>
          <w:color w:val="000000"/>
          <w:sz w:val="24"/>
        </w:rPr>
      </w:pPr>
      <w:bookmarkStart w:id="813" w:name="_Toc351203509"/>
      <w:r>
        <w:rPr>
          <w:rFonts w:hint="eastAsia" w:ascii="宋体" w:hAnsi="宋体" w:eastAsia="宋体" w:cs="宋体"/>
          <w:color w:val="000000"/>
          <w:sz w:val="24"/>
        </w:rPr>
        <w:t>2</w:t>
      </w:r>
      <w:bookmarkStart w:id="814" w:name="_Toc337558739"/>
      <w:bookmarkStart w:id="815" w:name="_Toc296346539"/>
      <w:bookmarkStart w:id="816" w:name="_Toc296503038"/>
      <w:r>
        <w:rPr>
          <w:rFonts w:hint="eastAsia" w:ascii="宋体" w:hAnsi="宋体" w:eastAsia="宋体" w:cs="宋体"/>
          <w:color w:val="000000"/>
          <w:sz w:val="24"/>
        </w:rPr>
        <w:t>. 发包人</w:t>
      </w:r>
      <w:bookmarkEnd w:id="813"/>
    </w:p>
    <w:bookmarkEnd w:id="814"/>
    <w:bookmarkEnd w:id="815"/>
    <w:bookmarkEnd w:id="816"/>
    <w:p w14:paraId="194D1845">
      <w:pPr>
        <w:spacing w:before="120" w:after="120" w:line="360" w:lineRule="auto"/>
        <w:ind w:firstLine="480" w:firstLineChars="200"/>
        <w:rPr>
          <w:rFonts w:ascii="宋体" w:hAnsi="宋体" w:eastAsia="宋体" w:cs="宋体"/>
          <w:color w:val="000000"/>
          <w:sz w:val="24"/>
        </w:rPr>
      </w:pPr>
      <w:bookmarkStart w:id="817" w:name="_Toc351203510"/>
      <w:r>
        <w:rPr>
          <w:rFonts w:hint="eastAsia" w:ascii="宋体" w:hAnsi="宋体" w:eastAsia="宋体" w:cs="宋体"/>
          <w:color w:val="000000"/>
          <w:sz w:val="24"/>
        </w:rPr>
        <w:t>2</w:t>
      </w:r>
      <w:bookmarkStart w:id="818" w:name="_Toc337558740"/>
      <w:bookmarkStart w:id="819" w:name="_Toc296346540"/>
      <w:bookmarkStart w:id="820" w:name="_Toc296503039"/>
      <w:r>
        <w:rPr>
          <w:rFonts w:hint="eastAsia" w:ascii="宋体" w:hAnsi="宋体" w:eastAsia="宋体" w:cs="宋体"/>
          <w:color w:val="000000"/>
          <w:sz w:val="24"/>
        </w:rPr>
        <w:t>.1 许可或批准</w:t>
      </w:r>
      <w:bookmarkEnd w:id="817"/>
    </w:p>
    <w:p w14:paraId="66616A3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遵守法律，并办理法律规定由其办理的许可、批准或备案，包括但不限于建设用地规划许可证、建设工程规划许可证、建设工程施工许可证、施工所需临时用水、临时用电、中断道路交通、临时占用土地等许可和批准。发包人应协助承包人办理法律规定的有关施工证件和批件。</w:t>
      </w:r>
    </w:p>
    <w:p w14:paraId="6A75FA0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因发包人原因未能及时办理完毕前述许可、批准或备案，由发包人承担由此增加的费用和（或）延误的工期，并支付承包人合理的利润。</w:t>
      </w:r>
    </w:p>
    <w:p w14:paraId="0835E058">
      <w:pPr>
        <w:spacing w:before="120" w:after="120" w:line="360" w:lineRule="auto"/>
        <w:ind w:firstLine="480" w:firstLineChars="200"/>
        <w:rPr>
          <w:rFonts w:ascii="宋体" w:hAnsi="宋体" w:eastAsia="宋体" w:cs="宋体"/>
          <w:color w:val="000000"/>
          <w:sz w:val="24"/>
        </w:rPr>
      </w:pPr>
      <w:bookmarkStart w:id="821" w:name="_Toc351203511"/>
      <w:r>
        <w:rPr>
          <w:rFonts w:hint="eastAsia" w:ascii="宋体" w:hAnsi="宋体" w:eastAsia="宋体" w:cs="宋体"/>
          <w:color w:val="000000"/>
          <w:sz w:val="24"/>
        </w:rPr>
        <w:t>2.2 发包人代表</w:t>
      </w:r>
      <w:bookmarkEnd w:id="821"/>
    </w:p>
    <w:p w14:paraId="10381EB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在专用合同条款中明确其派驻施工现场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提前7天书面通知承包人。</w:t>
      </w:r>
    </w:p>
    <w:p w14:paraId="04B227C0">
      <w:pPr>
        <w:ind w:firstLine="480" w:firstLineChars="200"/>
        <w:rPr>
          <w:rFonts w:ascii="宋体" w:hAnsi="宋体" w:eastAsia="宋体" w:cs="宋体"/>
          <w:color w:val="000000"/>
          <w:sz w:val="24"/>
        </w:rPr>
      </w:pPr>
      <w:r>
        <w:rPr>
          <w:rFonts w:hint="eastAsia" w:ascii="宋体" w:hAnsi="宋体" w:eastAsia="宋体" w:cs="宋体"/>
          <w:color w:val="000000"/>
          <w:sz w:val="24"/>
        </w:rPr>
        <w:t>发包人代表不能按照合同约定履行其职责及义务，并导致合同无法继续正常履行的，承包人可以要求发包人撤换发包人代表。</w:t>
      </w:r>
    </w:p>
    <w:p w14:paraId="6A699F03">
      <w:pPr>
        <w:ind w:firstLine="480" w:firstLineChars="200"/>
        <w:rPr>
          <w:rFonts w:ascii="宋体" w:hAnsi="宋体" w:eastAsia="宋体" w:cs="宋体"/>
          <w:sz w:val="24"/>
        </w:rPr>
      </w:pPr>
      <w:r>
        <w:rPr>
          <w:rFonts w:hint="eastAsia" w:ascii="宋体" w:hAnsi="宋体" w:eastAsia="宋体" w:cs="宋体"/>
          <w:color w:val="000000"/>
          <w:sz w:val="24"/>
        </w:rPr>
        <w:t>不属于法定必须监理的工程，监理人的职权可以由发包人代表或发包人指定的其他人员行使。</w:t>
      </w:r>
    </w:p>
    <w:p w14:paraId="3EEAD3AB">
      <w:pPr>
        <w:spacing w:before="120" w:after="120" w:line="360" w:lineRule="auto"/>
        <w:ind w:firstLine="480" w:firstLineChars="200"/>
        <w:rPr>
          <w:rFonts w:ascii="宋体" w:hAnsi="宋体" w:eastAsia="宋体" w:cs="宋体"/>
          <w:color w:val="000000"/>
          <w:sz w:val="24"/>
        </w:rPr>
      </w:pPr>
      <w:bookmarkStart w:id="822" w:name="_Toc351203512"/>
      <w:r>
        <w:rPr>
          <w:rFonts w:hint="eastAsia" w:ascii="宋体" w:hAnsi="宋体" w:eastAsia="宋体" w:cs="宋体"/>
          <w:color w:val="000000"/>
          <w:sz w:val="24"/>
        </w:rPr>
        <w:t>2.3 发包人人员</w:t>
      </w:r>
      <w:bookmarkEnd w:id="822"/>
    </w:p>
    <w:p w14:paraId="23A4702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发包人应要求在施工现场的发包人人员遵守法律及有关安全、质量、环境保护、文明施工等规定，并保障承包人免于承受因发包人人员未遵守上述要求给承包人造成的损失和责任。</w:t>
      </w:r>
    </w:p>
    <w:p w14:paraId="0344DEBE">
      <w:pPr>
        <w:spacing w:line="360" w:lineRule="auto"/>
        <w:ind w:firstLine="640"/>
        <w:rPr>
          <w:rFonts w:ascii="宋体" w:hAnsi="宋体" w:eastAsia="宋体" w:cs="宋体"/>
          <w:color w:val="000000"/>
          <w:sz w:val="24"/>
        </w:rPr>
      </w:pPr>
      <w:r>
        <w:rPr>
          <w:rFonts w:hint="eastAsia" w:ascii="宋体" w:hAnsi="宋体" w:eastAsia="宋体" w:cs="宋体"/>
          <w:color w:val="000000"/>
          <w:sz w:val="24"/>
        </w:rPr>
        <w:t>发包人人员包括发包人代表及其他由发包人派驻施工现场的人员。</w:t>
      </w:r>
      <w:bookmarkEnd w:id="818"/>
      <w:bookmarkEnd w:id="819"/>
      <w:bookmarkEnd w:id="820"/>
    </w:p>
    <w:p w14:paraId="6B3C40E1">
      <w:pPr>
        <w:spacing w:before="120" w:after="120" w:line="360" w:lineRule="auto"/>
        <w:ind w:firstLine="480" w:firstLineChars="200"/>
        <w:rPr>
          <w:rFonts w:ascii="宋体" w:hAnsi="宋体" w:eastAsia="宋体" w:cs="宋体"/>
          <w:color w:val="000000"/>
          <w:sz w:val="24"/>
        </w:rPr>
      </w:pPr>
      <w:bookmarkStart w:id="823" w:name="_Toc351203513"/>
      <w:r>
        <w:rPr>
          <w:rFonts w:hint="eastAsia" w:ascii="宋体" w:hAnsi="宋体" w:eastAsia="宋体" w:cs="宋体"/>
          <w:color w:val="000000"/>
          <w:sz w:val="24"/>
        </w:rPr>
        <w:t>2</w:t>
      </w:r>
      <w:bookmarkStart w:id="824" w:name="_Toc337558741"/>
      <w:bookmarkStart w:id="825" w:name="_Toc296503040"/>
      <w:bookmarkStart w:id="826" w:name="_Toc296346541"/>
      <w:r>
        <w:rPr>
          <w:rFonts w:hint="eastAsia" w:ascii="宋体" w:hAnsi="宋体" w:eastAsia="宋体" w:cs="宋体"/>
          <w:color w:val="000000"/>
          <w:sz w:val="24"/>
        </w:rPr>
        <w:t>.4 施工现场、施工条件和基础资料的提供</w:t>
      </w:r>
      <w:bookmarkEnd w:id="823"/>
      <w:r>
        <w:rPr>
          <w:rFonts w:hint="eastAsia" w:ascii="宋体" w:hAnsi="宋体" w:eastAsia="宋体" w:cs="宋体"/>
          <w:color w:val="000000"/>
          <w:sz w:val="24"/>
        </w:rPr>
        <w:t xml:space="preserve"> </w:t>
      </w:r>
      <w:bookmarkEnd w:id="824"/>
      <w:bookmarkEnd w:id="825"/>
      <w:bookmarkEnd w:id="826"/>
      <w:r>
        <w:rPr>
          <w:rFonts w:hint="eastAsia" w:ascii="宋体" w:hAnsi="宋体" w:eastAsia="宋体" w:cs="宋体"/>
          <w:color w:val="000000"/>
          <w:sz w:val="24"/>
        </w:rPr>
        <w:t xml:space="preserve"> </w:t>
      </w:r>
    </w:p>
    <w:p w14:paraId="5BCBC03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2.4.1 提供施工现场</w:t>
      </w:r>
    </w:p>
    <w:p w14:paraId="12B9B30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除专用合同条款另有约定外，发包人应最迟于开工日期7天前向承包人移交施工现场。</w:t>
      </w:r>
    </w:p>
    <w:p w14:paraId="0BF4A4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2.4.2 提供施工条件</w:t>
      </w:r>
    </w:p>
    <w:p w14:paraId="1264E01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除专用合同条款另有约定外，发包人应负责提供施工所需要的条件，包括：</w:t>
      </w:r>
    </w:p>
    <w:p w14:paraId="6658E29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（1）将施工用水、电力、通讯线路等施工所必需的条件接至施工现场内；</w:t>
      </w:r>
    </w:p>
    <w:p w14:paraId="50F93EB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（2）保证向承包人提供正常施工所需要的进入施工现场的交通条件；</w:t>
      </w:r>
    </w:p>
    <w:p w14:paraId="264D285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（3）协调处理施工现场周围地下管线和邻近建筑物、构筑物、古树名木的保护工作，并承担相关费用；</w:t>
      </w:r>
    </w:p>
    <w:p w14:paraId="35E66EA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（4）按照专用合同条款约定应提供的其他设施和条件。</w:t>
      </w:r>
    </w:p>
    <w:p w14:paraId="3B136F2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2.4.3 提供基础资料</w:t>
      </w:r>
    </w:p>
    <w:p w14:paraId="354C94C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当在移交施工现场前向承包人提供施工现场及工程施工所必需的毗邻区域内供水、排水、供电、供气、供热、通信、广播电视等地下管线资料，气象和水文观测资料，地质勘察资料，相邻建筑物、构筑物和地下工程等有关基础资料，并对所提供资料的真实性、准确性和完整性负责。</w:t>
      </w:r>
    </w:p>
    <w:p w14:paraId="71078B6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按照法律规定确需在开工后方能提供的基础资料，发包人应尽其努力及时地在相应工程施工前的合理期限内提供，合理期限应以不影响承包人的正常施工为限。</w:t>
      </w:r>
    </w:p>
    <w:p w14:paraId="25E6C4D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2.4.4 逾期提供的责任</w:t>
      </w:r>
    </w:p>
    <w:p w14:paraId="3F35023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因发包人原因未能按合同约定及时向承包人提供施工现场、施工条件、基础资料的，由发包人承担由此增加的费用和（或）延误的工期。</w:t>
      </w:r>
    </w:p>
    <w:p w14:paraId="4470E4DA">
      <w:pPr>
        <w:spacing w:before="120" w:after="120" w:line="360" w:lineRule="auto"/>
        <w:ind w:firstLine="480" w:firstLineChars="200"/>
        <w:rPr>
          <w:rFonts w:ascii="宋体" w:hAnsi="宋体" w:eastAsia="宋体" w:cs="宋体"/>
          <w:color w:val="000000"/>
          <w:sz w:val="24"/>
        </w:rPr>
      </w:pPr>
      <w:bookmarkStart w:id="827" w:name="_Toc351203514"/>
      <w:r>
        <w:rPr>
          <w:rFonts w:hint="eastAsia" w:ascii="宋体" w:hAnsi="宋体" w:eastAsia="宋体" w:cs="宋体"/>
          <w:color w:val="000000"/>
          <w:sz w:val="24"/>
        </w:rPr>
        <w:t>2</w:t>
      </w:r>
      <w:bookmarkStart w:id="828" w:name="_Toc337558745"/>
      <w:bookmarkStart w:id="829" w:name="_Toc296346543"/>
      <w:bookmarkStart w:id="830" w:name="_Toc296503042"/>
      <w:r>
        <w:rPr>
          <w:rFonts w:hint="eastAsia" w:ascii="宋体" w:hAnsi="宋体" w:eastAsia="宋体" w:cs="宋体"/>
          <w:color w:val="000000"/>
          <w:sz w:val="24"/>
        </w:rPr>
        <w:t>.5 资</w:t>
      </w:r>
      <w:bookmarkEnd w:id="828"/>
      <w:bookmarkEnd w:id="829"/>
      <w:bookmarkEnd w:id="830"/>
      <w:r>
        <w:rPr>
          <w:rFonts w:hint="eastAsia" w:ascii="宋体" w:hAnsi="宋体" w:eastAsia="宋体" w:cs="宋体"/>
          <w:color w:val="000000"/>
          <w:sz w:val="24"/>
        </w:rPr>
        <w:t>金来源证明及支付担保</w:t>
      </w:r>
      <w:bookmarkEnd w:id="827"/>
    </w:p>
    <w:p w14:paraId="77A18BB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除专用合同条款另有约定外，发包人应在收到承包人要求提供资金来源证明的书面通知后28天内，向承包人提供能够按照合同约定支付合同价款的相应资金来源证明。</w:t>
      </w:r>
    </w:p>
    <w:p w14:paraId="269C5DD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除专用合同条款另有约定外，发包人要求承包人提供履约担保的，发包人应当向承包人提供支付担保。支付担保可以采用银行保函或担保公司担保等形式，具体由合同当事人在专用合同条款中约定。</w:t>
      </w:r>
    </w:p>
    <w:p w14:paraId="1C0D2FAA">
      <w:pPr>
        <w:spacing w:before="120" w:after="120" w:line="360" w:lineRule="auto"/>
        <w:ind w:firstLine="480" w:firstLineChars="200"/>
        <w:rPr>
          <w:rFonts w:ascii="宋体" w:hAnsi="宋体" w:eastAsia="宋体" w:cs="宋体"/>
          <w:color w:val="000000"/>
          <w:sz w:val="24"/>
        </w:rPr>
      </w:pPr>
      <w:bookmarkStart w:id="831" w:name="_Toc351203515"/>
      <w:r>
        <w:rPr>
          <w:rFonts w:hint="eastAsia" w:ascii="宋体" w:hAnsi="宋体" w:eastAsia="宋体" w:cs="宋体"/>
          <w:color w:val="000000"/>
          <w:sz w:val="24"/>
        </w:rPr>
        <w:t>2.6 支付合同价款</w:t>
      </w:r>
      <w:bookmarkEnd w:id="831"/>
    </w:p>
    <w:p w14:paraId="0932702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发包人应按合同约定向承包人及时支付合同价款。</w:t>
      </w:r>
    </w:p>
    <w:p w14:paraId="316E6F72">
      <w:pPr>
        <w:spacing w:before="120" w:after="120" w:line="360" w:lineRule="auto"/>
        <w:ind w:firstLine="480" w:firstLineChars="200"/>
        <w:rPr>
          <w:rFonts w:ascii="宋体" w:hAnsi="宋体" w:eastAsia="宋体" w:cs="宋体"/>
          <w:color w:val="000000"/>
          <w:sz w:val="24"/>
        </w:rPr>
      </w:pPr>
      <w:bookmarkStart w:id="832" w:name="_Toc351203516"/>
      <w:r>
        <w:rPr>
          <w:rFonts w:hint="eastAsia" w:ascii="宋体" w:hAnsi="宋体" w:eastAsia="宋体" w:cs="宋体"/>
          <w:color w:val="000000"/>
          <w:sz w:val="24"/>
        </w:rPr>
        <w:t>2.7 组织竣工验收</w:t>
      </w:r>
      <w:bookmarkEnd w:id="832"/>
    </w:p>
    <w:p w14:paraId="4DD4D83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发包人应按合同约定及时组织竣工验收。</w:t>
      </w:r>
    </w:p>
    <w:p w14:paraId="372166A0">
      <w:pPr>
        <w:spacing w:before="120" w:after="120" w:line="360" w:lineRule="auto"/>
        <w:ind w:firstLine="480" w:firstLineChars="200"/>
        <w:rPr>
          <w:rFonts w:ascii="宋体" w:hAnsi="宋体" w:eastAsia="宋体" w:cs="宋体"/>
          <w:color w:val="000000"/>
          <w:sz w:val="24"/>
        </w:rPr>
      </w:pPr>
      <w:bookmarkStart w:id="833" w:name="_Toc351203517"/>
      <w:r>
        <w:rPr>
          <w:rFonts w:hint="eastAsia" w:ascii="宋体" w:hAnsi="宋体" w:eastAsia="宋体" w:cs="宋体"/>
          <w:color w:val="000000"/>
          <w:sz w:val="24"/>
        </w:rPr>
        <w:t>2.8 现场统一管理协议</w:t>
      </w:r>
      <w:bookmarkEnd w:id="833"/>
    </w:p>
    <w:p w14:paraId="14C23C2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发包人应与承包人、由发包人直接发包的专业工程的承包人签订施工现场统一管理协议，明确各方的权利义务。施工现场统一管理协议作为专用合同条款的附件。</w:t>
      </w:r>
    </w:p>
    <w:p w14:paraId="3BF3C30D">
      <w:pPr>
        <w:spacing w:before="120" w:after="120" w:line="360" w:lineRule="auto"/>
        <w:rPr>
          <w:rFonts w:ascii="宋体" w:hAnsi="宋体" w:eastAsia="宋体" w:cs="宋体"/>
          <w:color w:val="000000"/>
          <w:sz w:val="24"/>
        </w:rPr>
      </w:pPr>
      <w:bookmarkStart w:id="834" w:name="_Toc351203518"/>
      <w:r>
        <w:rPr>
          <w:rFonts w:hint="eastAsia" w:ascii="宋体" w:hAnsi="宋体" w:eastAsia="宋体" w:cs="宋体"/>
          <w:color w:val="000000"/>
          <w:sz w:val="24"/>
        </w:rPr>
        <w:t>3</w:t>
      </w:r>
      <w:bookmarkStart w:id="835" w:name="_Toc296503045"/>
      <w:bookmarkStart w:id="836" w:name="_Toc296346546"/>
      <w:bookmarkStart w:id="837" w:name="_Toc337558746"/>
      <w:r>
        <w:rPr>
          <w:rFonts w:hint="eastAsia" w:ascii="宋体" w:hAnsi="宋体" w:eastAsia="宋体" w:cs="宋体"/>
          <w:color w:val="000000"/>
          <w:sz w:val="24"/>
        </w:rPr>
        <w:t>. 承包人</w:t>
      </w:r>
      <w:bookmarkEnd w:id="834"/>
    </w:p>
    <w:bookmarkEnd w:id="835"/>
    <w:bookmarkEnd w:id="836"/>
    <w:bookmarkEnd w:id="837"/>
    <w:p w14:paraId="47AF28BD">
      <w:pPr>
        <w:spacing w:before="120" w:after="120" w:line="360" w:lineRule="auto"/>
        <w:ind w:firstLine="480" w:firstLineChars="200"/>
        <w:rPr>
          <w:rFonts w:ascii="宋体" w:hAnsi="宋体" w:eastAsia="宋体" w:cs="宋体"/>
          <w:color w:val="000000"/>
          <w:sz w:val="24"/>
        </w:rPr>
      </w:pPr>
      <w:bookmarkStart w:id="838" w:name="_Toc351203519"/>
      <w:r>
        <w:rPr>
          <w:rFonts w:hint="eastAsia" w:ascii="宋体" w:hAnsi="宋体" w:eastAsia="宋体" w:cs="宋体"/>
          <w:color w:val="000000"/>
          <w:sz w:val="24"/>
        </w:rPr>
        <w:t>3</w:t>
      </w:r>
      <w:bookmarkStart w:id="839" w:name="_Toc337558747"/>
      <w:bookmarkStart w:id="840" w:name="_Toc296346547"/>
      <w:bookmarkStart w:id="841" w:name="_Toc296503046"/>
      <w:r>
        <w:rPr>
          <w:rFonts w:hint="eastAsia" w:ascii="宋体" w:hAnsi="宋体" w:eastAsia="宋体" w:cs="宋体"/>
          <w:color w:val="000000"/>
          <w:sz w:val="24"/>
        </w:rPr>
        <w:t>.1 承包人的一般义务</w:t>
      </w:r>
      <w:bookmarkEnd w:id="838"/>
    </w:p>
    <w:bookmarkEnd w:id="839"/>
    <w:bookmarkEnd w:id="840"/>
    <w:bookmarkEnd w:id="841"/>
    <w:p w14:paraId="2089353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承包人在履行合同过程中应遵守法律和工程建设标准规范，并履行以下义务：</w:t>
      </w:r>
    </w:p>
    <w:p w14:paraId="2FC60CE5">
      <w:pPr>
        <w:numPr>
          <w:ilvl w:val="0"/>
          <w:numId w:val="3"/>
        </w:num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办理法律规定应由承包人办理的许可和批准，并将办理结果书面报送发包人留存；</w:t>
      </w:r>
    </w:p>
    <w:p w14:paraId="6BF1CCB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（2）按法律规定和合同约定完成工程，并在保修期内承担保修义务；</w:t>
      </w:r>
    </w:p>
    <w:p w14:paraId="5225AE8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（3）按法律规定和合同约定采取施工安全和环境保护措施，办理工伤保险，确保工程及人员、材料、设备和设施的安全；</w:t>
      </w:r>
    </w:p>
    <w:p w14:paraId="39A5D49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（4）按合同约定的工作内容和施工进度要求，编制施工组织设计和施工措施计划，并对所有施工作业和施工方法的完备性和安全可靠性负责；</w:t>
      </w:r>
    </w:p>
    <w:p w14:paraId="2FD6F45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77C3661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（6）按照第6.3款〔环境保护〕约定负责施工场地及其周边环境与生态的保护工作；</w:t>
      </w:r>
    </w:p>
    <w:p w14:paraId="0F8AD82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（7）按第6.1款〔安全文明施工〕约定采取施工安全措施，确保工程及其人员、材料、设备和设施的安全，防止因工程施工造成的人身伤害和财产损失；</w:t>
      </w:r>
    </w:p>
    <w:p w14:paraId="050C18F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（8）将发包人按合同约定支付的各项价款专用于合同工程，且应及时支付其雇用人员工资，并及时向分包人支付合同价款；</w:t>
      </w:r>
    </w:p>
    <w:p w14:paraId="4382810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（9）按照法律规定和合同约定编制竣工资料，完成竣工资料立卷及归档，并按专用合同条款约定的竣工资料的套数、内容、时间等要求移交发包人；</w:t>
      </w:r>
    </w:p>
    <w:p w14:paraId="0268EED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（10）应履行的其他义务。</w:t>
      </w:r>
    </w:p>
    <w:p w14:paraId="23BF4DB3">
      <w:pPr>
        <w:spacing w:before="120" w:after="120" w:line="360" w:lineRule="auto"/>
        <w:ind w:firstLine="480" w:firstLineChars="200"/>
        <w:rPr>
          <w:rFonts w:ascii="宋体" w:hAnsi="宋体" w:eastAsia="宋体" w:cs="宋体"/>
          <w:color w:val="000000"/>
          <w:sz w:val="24"/>
        </w:rPr>
      </w:pPr>
      <w:bookmarkStart w:id="842" w:name="_Toc351203520"/>
      <w:r>
        <w:rPr>
          <w:rFonts w:hint="eastAsia" w:ascii="宋体" w:hAnsi="宋体" w:eastAsia="宋体" w:cs="宋体"/>
          <w:color w:val="000000"/>
          <w:sz w:val="24"/>
        </w:rPr>
        <w:t>3</w:t>
      </w:r>
      <w:bookmarkStart w:id="843" w:name="_Toc337558748"/>
      <w:bookmarkStart w:id="844" w:name="_Toc296346548"/>
      <w:bookmarkStart w:id="845" w:name="_Toc296503047"/>
      <w:r>
        <w:rPr>
          <w:rFonts w:hint="eastAsia" w:ascii="宋体" w:hAnsi="宋体" w:eastAsia="宋体" w:cs="宋体"/>
          <w:color w:val="000000"/>
          <w:sz w:val="24"/>
        </w:rPr>
        <w:t xml:space="preserve">.2 </w:t>
      </w:r>
      <w:bookmarkEnd w:id="842"/>
      <w:r>
        <w:rPr>
          <w:rFonts w:hint="eastAsia" w:ascii="宋体" w:hAnsi="宋体" w:eastAsia="宋体" w:cs="宋体"/>
          <w:color w:val="000000"/>
          <w:sz w:val="24"/>
        </w:rPr>
        <w:t>项目经理</w:t>
      </w:r>
    </w:p>
    <w:bookmarkEnd w:id="843"/>
    <w:bookmarkEnd w:id="844"/>
    <w:bookmarkEnd w:id="845"/>
    <w:p w14:paraId="57179C8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3.2.1 项目经理应为合同当事人所确认的人选，并在专用合同条款中明确项目经理的姓名、职称、注册执业证书编号、联系方式及授权范围等事项，项目经理经承包人授权后代表承包人负责履行合同。项目经理应是承包人正式聘用的员工，承包人应向发包人提交项目经理与承包人之间的劳动合同，以及承包人为项目经理缴纳社会保险的有效证明。承包人不提交上述文件的，项目经理无权履行职责，发包人有权要求更换项目经理，由此增加的费用和（或）延误的工期由承包人承担。</w:t>
      </w:r>
    </w:p>
    <w:p w14:paraId="7B9E0F0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项目经理应常驻施工现场，且每月在施工现场时间不得少于专用合同条款约定的天数。项目经理不得同时担任其他项目的项目经理。项目经理确需离开施工现场时，应事先通知监理人，并取得发包人的书面同意。项目经理的通知中应当载明临时代行其职责的人员的注册执业资格、管理经验等资料，该人员应具备履行相应职责的能力。</w:t>
      </w:r>
    </w:p>
    <w:p w14:paraId="12CC0D5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承包人违反上述约定的，应按照专用合同条款的约定，承担违约责任。</w:t>
      </w:r>
    </w:p>
    <w:p w14:paraId="3B7143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3.2.2 项目经理按合同约定组织工程实施。在紧急情况下为确保施工安全和人员安全，在无法与发包人代表和总监理工程师及时取得联系时，项目经理有权采取必要的措施保证与工程有关的人身、财产和工程的安全，但应在48小时内向发包人代表和总监理工程师提交书面报告。</w:t>
      </w:r>
    </w:p>
    <w:p w14:paraId="03CB187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3.2.3 承包人需要更换项目经理的，应提前14天书面通知发包人和监理人，并征得发包人书面同意。通知中应当载明继任项目经理的注册执业资格、管理经验等资料，继任项目经理继续履行第3.2.1项约定的职责。未经发包人书面同意，承包人不得擅自更换项目经理。承包人擅自更换项目经理的，应按照专用合同条款的约定承担违约责任。</w:t>
      </w:r>
    </w:p>
    <w:p w14:paraId="4561E07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3.2.4 发包人有权书面通知承包人更换其认为不称职的项目经理，通知中应当载明要求更换的理由。承包人应在接到更换通知后14天内向发包人提出书面的改进报告。发包人收到改进报告后仍要求更换的，承包人应在接到第二次更换通知的28天内进行更换，并将新任命的项目经理的注册执业资格、管理经验等资料书面通知发包人。继任项目经理继续履行第3.2.1项约定的职责。承包人无正当理由拒绝更换项目经理的，应按照专用合同条款的约定承担违约责任。</w:t>
      </w:r>
    </w:p>
    <w:p w14:paraId="70FF587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3.2.5 项目经理因特殊情况授权其下属人员履行其某项工作职责的，该下属人员应具备履行相应职责的能力，并应提前7天将上述人员的姓名和授权范围书面通知监理人，并征得发包人书面同意。</w:t>
      </w:r>
    </w:p>
    <w:p w14:paraId="63FA7F84">
      <w:pPr>
        <w:spacing w:before="120" w:after="120" w:line="360" w:lineRule="auto"/>
        <w:ind w:firstLine="480" w:firstLineChars="200"/>
        <w:rPr>
          <w:rFonts w:ascii="宋体" w:hAnsi="宋体" w:eastAsia="宋体" w:cs="宋体"/>
          <w:color w:val="000000"/>
          <w:sz w:val="24"/>
        </w:rPr>
      </w:pPr>
      <w:bookmarkStart w:id="846" w:name="_Toc351203521"/>
      <w:r>
        <w:rPr>
          <w:rFonts w:hint="eastAsia" w:ascii="宋体" w:hAnsi="宋体" w:eastAsia="宋体" w:cs="宋体"/>
          <w:color w:val="000000"/>
          <w:sz w:val="24"/>
        </w:rPr>
        <w:t>3</w:t>
      </w:r>
      <w:bookmarkStart w:id="847" w:name="_Toc296346549"/>
      <w:bookmarkStart w:id="848" w:name="_Toc296503048"/>
      <w:bookmarkStart w:id="849" w:name="_Toc337558749"/>
      <w:r>
        <w:rPr>
          <w:rFonts w:hint="eastAsia" w:ascii="宋体" w:hAnsi="宋体" w:eastAsia="宋体" w:cs="宋体"/>
          <w:color w:val="000000"/>
          <w:sz w:val="24"/>
        </w:rPr>
        <w:t xml:space="preserve">.3 </w:t>
      </w:r>
      <w:bookmarkEnd w:id="847"/>
      <w:bookmarkEnd w:id="848"/>
      <w:r>
        <w:rPr>
          <w:rFonts w:hint="eastAsia" w:ascii="宋体" w:hAnsi="宋体" w:eastAsia="宋体" w:cs="宋体"/>
          <w:color w:val="000000"/>
          <w:sz w:val="24"/>
        </w:rPr>
        <w:t>承包人人员</w:t>
      </w:r>
      <w:bookmarkEnd w:id="846"/>
    </w:p>
    <w:bookmarkEnd w:id="849"/>
    <w:p w14:paraId="2A4145E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3.3.1 除专用合同条款另有约定外，承包人应在接到开工通知后7天内，向监理人提交承包人项目管理机构及施工现场人员安排的报告，其内容应包括合同管理、施工、技术、材料、质量、安全、财务等主要施工管理人员名单及其岗位、注册执业资格等，以及各工种技术工人的安排情况，并同时提交主要施工管理人员与承包人之间的劳动关系证明和缴纳社会保险的有效证明。</w:t>
      </w:r>
    </w:p>
    <w:p w14:paraId="686C40B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3.3.2 承包人派驻到施工现场的主要施工管理人员应相对稳定。施工过程中如有变动，承包人应及时向监理人提交施工现场人员变动情况的报告。承包人更换主要施工管理人员时，应提前7天书面通知监理人，并征得发包人书面同意。通知中应当载明继任人员的注册执业资格、管理经验等资料。</w:t>
      </w:r>
    </w:p>
    <w:p w14:paraId="6DBB040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特殊工种作业人员均应持有相应的资格证明，监理人可以随时检查。</w:t>
      </w:r>
    </w:p>
    <w:p w14:paraId="337748F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3.3.3 发包人对于承包人主要施工管理人员的资格或能力有异议的，承包人应提供资料证明被质疑人员有能力完成其岗位工作或不存在发包人所质疑的情形。发包人要求撤换不能按照合同约定履行职责及义务的主要施工管理人员的，承包人应当撤换。承包人无正当理由拒绝撤换的，应按照专用合同条款的约定承担违约责任。</w:t>
      </w:r>
    </w:p>
    <w:p w14:paraId="78C4D4A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3.3.4 除专用合同条款另有约定外，承包人的主要施工管理人员离开施工现场每月累计不超过5天的，应报监理人同意；离开施工现场每月累计超过5天的，应通知监理人，并征得发包人书面同意。主要施工管理人员离开施工现场前应指定一名有经验的人员临时代行其职责，该人员应具备履行相应职责的资格和能力，且应征得监理人或发包人的同意。</w:t>
      </w:r>
    </w:p>
    <w:p w14:paraId="3BA8ACB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3.3.5 承包人擅自更换主要施工管理人员，或前述人员未经监理人或发包人同意擅自离开施工现场的，应按照专用合同条款约定承担违约责任。</w:t>
      </w:r>
    </w:p>
    <w:p w14:paraId="7605BFE6">
      <w:pPr>
        <w:spacing w:before="120" w:after="120" w:line="360" w:lineRule="auto"/>
        <w:ind w:firstLine="480" w:firstLineChars="200"/>
        <w:rPr>
          <w:rFonts w:ascii="宋体" w:hAnsi="宋体" w:eastAsia="宋体" w:cs="宋体"/>
          <w:color w:val="000000"/>
          <w:sz w:val="24"/>
        </w:rPr>
      </w:pPr>
      <w:bookmarkStart w:id="850" w:name="_Toc351203522"/>
      <w:r>
        <w:rPr>
          <w:rFonts w:hint="eastAsia" w:ascii="宋体" w:hAnsi="宋体" w:eastAsia="宋体" w:cs="宋体"/>
          <w:color w:val="000000"/>
          <w:sz w:val="24"/>
        </w:rPr>
        <w:t>3</w:t>
      </w:r>
      <w:bookmarkStart w:id="851" w:name="_Toc337558750"/>
      <w:bookmarkStart w:id="852" w:name="_Toc296346551"/>
      <w:bookmarkStart w:id="853" w:name="_Toc296503050"/>
      <w:r>
        <w:rPr>
          <w:rFonts w:hint="eastAsia" w:ascii="宋体" w:hAnsi="宋体" w:eastAsia="宋体" w:cs="宋体"/>
          <w:color w:val="000000"/>
          <w:sz w:val="24"/>
        </w:rPr>
        <w:t>.4 承包人现场查勘</w:t>
      </w:r>
      <w:bookmarkEnd w:id="850"/>
    </w:p>
    <w:bookmarkEnd w:id="851"/>
    <w:bookmarkEnd w:id="852"/>
    <w:bookmarkEnd w:id="853"/>
    <w:p w14:paraId="2F4CD05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承包人应对基于发包人按照第2.4.3项〔提供基础资料〕提交的基础资料所做出的解释和推断负责，但因基础资料存在错误、遗漏导致承包人解释或推断失实的，由发包人承担责任。</w:t>
      </w:r>
    </w:p>
    <w:p w14:paraId="4C5DF98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对施工现场和施工条件进行查勘，并充分了解工程所在地的气象条件、交通条件、风俗习惯以及其他与完成合同工作有关的其他资料。因承包人未能充分查勘、了解前述情况或未能充分估计前述情况所可能产生后果的，承包人承担由此增加的费用和（或）延误的工期。</w:t>
      </w:r>
    </w:p>
    <w:p w14:paraId="64D95294">
      <w:pPr>
        <w:spacing w:before="120" w:after="120" w:line="360" w:lineRule="auto"/>
        <w:ind w:firstLine="480" w:firstLineChars="200"/>
        <w:rPr>
          <w:rFonts w:ascii="宋体" w:hAnsi="宋体" w:eastAsia="宋体" w:cs="宋体"/>
          <w:color w:val="000000"/>
          <w:sz w:val="24"/>
        </w:rPr>
      </w:pPr>
      <w:bookmarkStart w:id="854" w:name="_Toc351203523"/>
      <w:r>
        <w:rPr>
          <w:rFonts w:hint="eastAsia" w:ascii="宋体" w:hAnsi="宋体" w:eastAsia="宋体" w:cs="宋体"/>
          <w:color w:val="000000"/>
          <w:sz w:val="24"/>
        </w:rPr>
        <w:t>3</w:t>
      </w:r>
      <w:bookmarkStart w:id="855" w:name="_Toc296346552"/>
      <w:bookmarkStart w:id="856" w:name="_Toc337558751"/>
      <w:bookmarkStart w:id="857" w:name="_Toc296503051"/>
      <w:r>
        <w:rPr>
          <w:rFonts w:hint="eastAsia" w:ascii="宋体" w:hAnsi="宋体" w:eastAsia="宋体" w:cs="宋体"/>
          <w:color w:val="000000"/>
          <w:sz w:val="24"/>
        </w:rPr>
        <w:t>.5 分包</w:t>
      </w:r>
      <w:bookmarkEnd w:id="854"/>
    </w:p>
    <w:bookmarkEnd w:id="855"/>
    <w:bookmarkEnd w:id="856"/>
    <w:bookmarkEnd w:id="857"/>
    <w:p w14:paraId="56B984B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3.5.1 分包的一般约定</w:t>
      </w:r>
    </w:p>
    <w:p w14:paraId="52DA047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不得将其承包的全部工程转包给第三人，或将其承包的全部工程肢解后以分包的名义转包给第三人。承包人不得将工程主体结构、关键性工作及专用合同条款中禁止分包的专业工程分包给第三人，主体结构、关键性工作的范围由合同当事人按照法律规定在专用合同条款中予以明确。</w:t>
      </w:r>
    </w:p>
    <w:p w14:paraId="60DBBEC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承包人不得以劳务分包的名义转包或违法分包工程。</w:t>
      </w:r>
    </w:p>
    <w:p w14:paraId="37D7ABD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3.5.2 分包的确定</w:t>
      </w:r>
    </w:p>
    <w:p w14:paraId="0B3A57F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专用合同条款的约定进行分包，确定分包人。已标价工程量清单或预算书中给定暂估价的专业工程，按照第10.7款〔暂估价〕确定分包人。按照合同约定进行分包的，承包人应确保分包人具有相应的资质和能力。工程分包不减轻或免除承包人的责任和义务，承包人和分包人就分包工程向发包人承担连带责任。除合同另有约定外，承包人应在分包合同签订后7天内向发包人和监理人提交分包合同副本。</w:t>
      </w:r>
    </w:p>
    <w:p w14:paraId="1A1A448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3.5.3 分包管理</w:t>
      </w:r>
    </w:p>
    <w:p w14:paraId="06052B2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承包人应向监理人提交分包人的主要施工管理人员表，并对分包人的施工人员进行实名制管理，包括但不限于进出场管理、登记造册以及各种证照的办理。</w:t>
      </w:r>
    </w:p>
    <w:p w14:paraId="6618618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3.5.4 分包合同价款</w:t>
      </w:r>
    </w:p>
    <w:p w14:paraId="0834C65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（1）除本项第（2）目约定的情况或专用合同条款另有约定外，分包合同价款由承包人与分包人结算，未经承包人同意，发包人不得向分包人支付分包工程价款；</w:t>
      </w:r>
    </w:p>
    <w:p w14:paraId="167D6DD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（2）生效法律文书要求发包人向分包人支付分包合同价款的，发包人有权从应付承包人工程款中扣除该部分款项。</w:t>
      </w:r>
    </w:p>
    <w:p w14:paraId="742BB4A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3.5.5 分包合同权益的转让</w:t>
      </w:r>
    </w:p>
    <w:p w14:paraId="2F2F000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分包人在分包合同项下的义务持续到缺陷责任期届满以后的，发包人有权在缺陷责任期届满前，要求承包人将其在分包合同项下的权益转让给发包人，承包人应当转让。除转让合同另有约定外，转让合同生效后，由分包人向发包人履行义务。</w:t>
      </w:r>
      <w:bookmarkStart w:id="858" w:name="_Toc351203524"/>
    </w:p>
    <w:p w14:paraId="7000D93D">
      <w:pPr>
        <w:spacing w:before="120"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3.6 工程照管与成品、半成品保护</w:t>
      </w:r>
      <w:bookmarkEnd w:id="858"/>
    </w:p>
    <w:p w14:paraId="1CB191D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（1）除专用合同条款另有约定外，自发包人向承包人移交施工现场之日起，承包人应负责照管工程及工程相关的材料、工程设备，直到颁发工程接收证书之日止。</w:t>
      </w:r>
    </w:p>
    <w:p w14:paraId="2E6CAFF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（2）在承包人负责照管期间，因承包人原因造成工程、材料、工程设备损坏的，由承包人负责修复或更换，并承担由此增加的费用和（或）延误的工期。</w:t>
      </w:r>
    </w:p>
    <w:p w14:paraId="2468B1A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（3）对合同内分期完成的成品和半成品，在工程接收证书颁发前，由承包人承担保护责任。因承包人原因造成成品或半成品损坏的，由承包人负责修复或更换，并承担由此增加的费用和（或）延误的工期。</w:t>
      </w:r>
    </w:p>
    <w:p w14:paraId="5AAB051F">
      <w:pPr>
        <w:spacing w:before="120" w:after="120" w:line="360" w:lineRule="auto"/>
        <w:ind w:firstLine="480" w:firstLineChars="200"/>
        <w:rPr>
          <w:rFonts w:ascii="宋体" w:hAnsi="宋体" w:eastAsia="宋体" w:cs="宋体"/>
          <w:color w:val="000000"/>
          <w:sz w:val="24"/>
        </w:rPr>
      </w:pPr>
      <w:bookmarkStart w:id="859" w:name="_Toc351203525"/>
      <w:r>
        <w:rPr>
          <w:rFonts w:hint="eastAsia" w:ascii="宋体" w:hAnsi="宋体" w:eastAsia="宋体" w:cs="宋体"/>
          <w:color w:val="000000"/>
          <w:sz w:val="24"/>
        </w:rPr>
        <w:t>3</w:t>
      </w:r>
      <w:bookmarkStart w:id="860" w:name="_Toc337558752"/>
      <w:bookmarkStart w:id="861" w:name="_Toc296346553"/>
      <w:bookmarkStart w:id="862" w:name="_Toc296503052"/>
      <w:r>
        <w:rPr>
          <w:rFonts w:hint="eastAsia" w:ascii="宋体" w:hAnsi="宋体" w:eastAsia="宋体" w:cs="宋体"/>
          <w:color w:val="000000"/>
          <w:sz w:val="24"/>
        </w:rPr>
        <w:t>.7 履约担保</w:t>
      </w:r>
      <w:bookmarkEnd w:id="859"/>
    </w:p>
    <w:bookmarkEnd w:id="860"/>
    <w:bookmarkEnd w:id="861"/>
    <w:bookmarkEnd w:id="862"/>
    <w:p w14:paraId="1CD3EF5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发包人需要承包人提供履约担保的，由合同当事人在专用合同条款中约定履约担保的方式、金额及期限等。履约担保可以采用银行保函或担保公司担保等形式，具体由合同当事人在专用合同条款中约定。</w:t>
      </w:r>
    </w:p>
    <w:p w14:paraId="099D2F6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因承包人原因导致工期延长的，继续提供履约担保所增加的费用由承包人承担；非因承包人原因导致工期延长的，继续提供履约担保所增加的费用由发包人承担。</w:t>
      </w:r>
    </w:p>
    <w:p w14:paraId="2A5A9A40">
      <w:pPr>
        <w:spacing w:before="120" w:after="120" w:line="360" w:lineRule="auto"/>
        <w:ind w:firstLine="480" w:firstLineChars="200"/>
        <w:rPr>
          <w:rFonts w:ascii="宋体" w:hAnsi="宋体" w:eastAsia="宋体" w:cs="宋体"/>
          <w:color w:val="000000"/>
          <w:sz w:val="24"/>
        </w:rPr>
      </w:pPr>
      <w:bookmarkStart w:id="863" w:name="_Toc351203526"/>
      <w:r>
        <w:rPr>
          <w:rFonts w:hint="eastAsia" w:ascii="宋体" w:hAnsi="宋体" w:eastAsia="宋体" w:cs="宋体"/>
          <w:color w:val="000000"/>
          <w:sz w:val="24"/>
        </w:rPr>
        <w:t>3.8 联合体</w:t>
      </w:r>
      <w:bookmarkEnd w:id="863"/>
    </w:p>
    <w:p w14:paraId="0DC92C4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3.8.1 联合体各方应共同与发包人签订合同协议书。联合体各方应为履行合同向发包人承担连带责任。</w:t>
      </w:r>
    </w:p>
    <w:p w14:paraId="4F6000B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3.8.2 联合体协议经发包人确认后作为合同附件。在履行合同过程中，未经发包人同意，不得修改联合体协议。</w:t>
      </w:r>
    </w:p>
    <w:p w14:paraId="6A0EF0D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3.8.3 联合体牵头人负责与发包人和监理人联系，并接受指示，负责组织联合体各成员全面履行合同。</w:t>
      </w:r>
    </w:p>
    <w:p w14:paraId="794A09A0">
      <w:pPr>
        <w:spacing w:before="120" w:after="120" w:line="360" w:lineRule="auto"/>
        <w:rPr>
          <w:rFonts w:ascii="宋体" w:hAnsi="宋体" w:eastAsia="宋体" w:cs="宋体"/>
          <w:color w:val="000000"/>
          <w:sz w:val="24"/>
        </w:rPr>
      </w:pPr>
      <w:bookmarkStart w:id="864" w:name="_Toc351203527"/>
      <w:r>
        <w:rPr>
          <w:rFonts w:hint="eastAsia" w:ascii="宋体" w:hAnsi="宋体" w:eastAsia="宋体" w:cs="宋体"/>
          <w:color w:val="000000"/>
          <w:sz w:val="24"/>
        </w:rPr>
        <w:t>4</w:t>
      </w:r>
      <w:bookmarkStart w:id="865" w:name="_Toc296346554"/>
      <w:bookmarkStart w:id="866" w:name="_Toc296503053"/>
      <w:bookmarkStart w:id="867" w:name="_Toc337558753"/>
      <w:r>
        <w:rPr>
          <w:rFonts w:hint="eastAsia" w:ascii="宋体" w:hAnsi="宋体" w:eastAsia="宋体" w:cs="宋体"/>
          <w:color w:val="000000"/>
          <w:sz w:val="24"/>
        </w:rPr>
        <w:t>. 监</w:t>
      </w:r>
      <w:bookmarkEnd w:id="865"/>
      <w:bookmarkEnd w:id="866"/>
      <w:r>
        <w:rPr>
          <w:rFonts w:hint="eastAsia" w:ascii="宋体" w:hAnsi="宋体" w:eastAsia="宋体" w:cs="宋体"/>
          <w:color w:val="000000"/>
          <w:sz w:val="24"/>
        </w:rPr>
        <w:t>理人</w:t>
      </w:r>
      <w:bookmarkEnd w:id="864"/>
    </w:p>
    <w:bookmarkEnd w:id="867"/>
    <w:p w14:paraId="7A308D5B">
      <w:pPr>
        <w:spacing w:before="120" w:after="120" w:line="360" w:lineRule="auto"/>
        <w:ind w:firstLine="480" w:firstLineChars="200"/>
        <w:rPr>
          <w:rFonts w:ascii="宋体" w:hAnsi="宋体" w:eastAsia="宋体" w:cs="宋体"/>
          <w:color w:val="000000"/>
          <w:sz w:val="24"/>
        </w:rPr>
      </w:pPr>
      <w:bookmarkStart w:id="868" w:name="_Toc351203528"/>
      <w:r>
        <w:rPr>
          <w:rFonts w:hint="eastAsia" w:ascii="宋体" w:hAnsi="宋体" w:eastAsia="宋体" w:cs="宋体"/>
          <w:color w:val="000000"/>
          <w:sz w:val="24"/>
        </w:rPr>
        <w:t>4</w:t>
      </w:r>
      <w:bookmarkStart w:id="869" w:name="_Toc296503054"/>
      <w:bookmarkStart w:id="870" w:name="_Toc337558754"/>
      <w:bookmarkStart w:id="871" w:name="_Toc296346555"/>
      <w:r>
        <w:rPr>
          <w:rFonts w:hint="eastAsia" w:ascii="宋体" w:hAnsi="宋体" w:eastAsia="宋体" w:cs="宋体"/>
          <w:color w:val="000000"/>
          <w:sz w:val="24"/>
        </w:rPr>
        <w:t>.1监理人的一般规定</w:t>
      </w:r>
      <w:bookmarkEnd w:id="868"/>
    </w:p>
    <w:bookmarkEnd w:id="869"/>
    <w:bookmarkEnd w:id="870"/>
    <w:bookmarkEnd w:id="871"/>
    <w:p w14:paraId="345F6E8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实行监理的，发包人和承包人应在专用合同条款中明确监理人的监理内容及监理权限等事项。监理人应当根据发包人授权及法律规定，代表发包人对工程施工相关事项进行检查、查验、审核、验收，并签发相关指示，但监理人无权修改合同，且无权减轻或免除合同约定的承包人的任何责任与义务。</w:t>
      </w:r>
    </w:p>
    <w:p w14:paraId="654FA66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除专用合同条款另有约定外，监理人在施工现场的办公场所、生活场所由承包人提供，所发生的费用由发包人承担。</w:t>
      </w:r>
    </w:p>
    <w:p w14:paraId="5157DDE3">
      <w:pPr>
        <w:spacing w:before="120" w:after="120" w:line="360" w:lineRule="auto"/>
        <w:ind w:firstLine="480" w:firstLineChars="200"/>
        <w:rPr>
          <w:rFonts w:ascii="宋体" w:hAnsi="宋体" w:eastAsia="宋体" w:cs="宋体"/>
          <w:color w:val="000000"/>
          <w:sz w:val="24"/>
        </w:rPr>
      </w:pPr>
      <w:bookmarkStart w:id="872" w:name="_Toc351203529"/>
      <w:r>
        <w:rPr>
          <w:rFonts w:hint="eastAsia" w:ascii="宋体" w:hAnsi="宋体" w:eastAsia="宋体" w:cs="宋体"/>
          <w:color w:val="000000"/>
          <w:sz w:val="24"/>
        </w:rPr>
        <w:t>4</w:t>
      </w:r>
      <w:bookmarkStart w:id="873" w:name="_Toc337558755"/>
      <w:r>
        <w:rPr>
          <w:rFonts w:hint="eastAsia" w:ascii="宋体" w:hAnsi="宋体" w:eastAsia="宋体" w:cs="宋体"/>
          <w:color w:val="000000"/>
          <w:sz w:val="24"/>
        </w:rPr>
        <w:t>.2监理人员</w:t>
      </w:r>
      <w:bookmarkEnd w:id="872"/>
    </w:p>
    <w:bookmarkEnd w:id="873"/>
    <w:p w14:paraId="0F85D51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授予监理人对工程实施监理的权利由监理人派驻施工现场的监理人员行使，监理人员包括总监理工程师及监理工程师。监理人应将授权的总监理工程师和监理工程师的姓名及授权范围以书面形式提前通知承包人。更换总监理工程师的，监理人应提前7天书面通知承包人；更换其他监理人员，监理人应提前48小时书面通知承包人。</w:t>
      </w:r>
    </w:p>
    <w:p w14:paraId="7CD9BD33">
      <w:pPr>
        <w:spacing w:before="120" w:after="120" w:line="360" w:lineRule="auto"/>
        <w:ind w:firstLine="480" w:firstLineChars="200"/>
        <w:rPr>
          <w:rFonts w:ascii="宋体" w:hAnsi="宋体" w:eastAsia="宋体" w:cs="宋体"/>
          <w:color w:val="000000"/>
          <w:sz w:val="24"/>
        </w:rPr>
      </w:pPr>
      <w:bookmarkStart w:id="874" w:name="_Toc351203530"/>
      <w:r>
        <w:rPr>
          <w:rFonts w:hint="eastAsia" w:ascii="宋体" w:hAnsi="宋体" w:eastAsia="宋体" w:cs="宋体"/>
          <w:color w:val="000000"/>
          <w:sz w:val="24"/>
        </w:rPr>
        <w:t>4</w:t>
      </w:r>
      <w:bookmarkStart w:id="875" w:name="_Toc296503055"/>
      <w:bookmarkStart w:id="876" w:name="_Toc296346556"/>
      <w:bookmarkStart w:id="877" w:name="_Toc337558756"/>
      <w:r>
        <w:rPr>
          <w:rFonts w:hint="eastAsia" w:ascii="宋体" w:hAnsi="宋体" w:eastAsia="宋体" w:cs="宋体"/>
          <w:color w:val="000000"/>
          <w:sz w:val="24"/>
        </w:rPr>
        <w:t>.3</w:t>
      </w:r>
      <w:bookmarkEnd w:id="875"/>
      <w:bookmarkEnd w:id="876"/>
      <w:r>
        <w:rPr>
          <w:rFonts w:hint="eastAsia" w:ascii="宋体" w:hAnsi="宋体" w:eastAsia="宋体" w:cs="宋体"/>
          <w:color w:val="000000"/>
          <w:sz w:val="24"/>
        </w:rPr>
        <w:t>监理人的指</w:t>
      </w:r>
      <w:bookmarkEnd w:id="877"/>
      <w:r>
        <w:rPr>
          <w:rFonts w:hint="eastAsia" w:ascii="宋体" w:hAnsi="宋体" w:eastAsia="宋体" w:cs="宋体"/>
          <w:color w:val="000000"/>
          <w:sz w:val="24"/>
        </w:rPr>
        <w:t>示</w:t>
      </w:r>
      <w:bookmarkEnd w:id="874"/>
    </w:p>
    <w:p w14:paraId="36E41BC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应按照发包人的授权发出监理指示。监理人的指示应采用书面形式，并经其授权的监理人员签字。紧急情况下，为了保证施工人员的安全或避免工程受损，监理人员可以口头形式发出指示，该指示与书面形式的指示具有同等法律效力，但必须在发出口头指示后24小时内补发书面监理指示，补发的书面监理指示应与口头指示一致。</w:t>
      </w:r>
    </w:p>
    <w:p w14:paraId="5DB06A5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发出的指示应送达承包人项目经理或经项目经理授权接收的人员。因监理人未能按合同约定发出指示、指示延误或发出了错误指示而导致承包人费用增加和（或）工期延误的，由发包人承担相应责任。除专用合同条款另有约定外，总监理工程师不应将第4.4款〔商定或确定〕约定应由总监理工程师作出确定的权力授权或委托给其他监理人员。</w:t>
      </w:r>
    </w:p>
    <w:p w14:paraId="4EB0800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承包人对监理人发出的指示有疑问的，应向监理人提出书面异议，监理人应在48小时内对该指示予以确认、更改或撤销，监理人逾期未回复的，承包人有权拒绝执行上述指示。</w:t>
      </w:r>
    </w:p>
    <w:p w14:paraId="16A8996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监理人对承包人的任何工作、工程或其采用的材料和工程设备未在约定的或合理期限内提出意见的，视为批准，但不免除或减轻承包人对该工作、工程、材料、工程设备等应承担的责任和义务。</w:t>
      </w:r>
    </w:p>
    <w:p w14:paraId="41B4003F">
      <w:pPr>
        <w:spacing w:before="120" w:after="120" w:line="360" w:lineRule="auto"/>
        <w:ind w:firstLine="480" w:firstLineChars="200"/>
        <w:rPr>
          <w:rFonts w:ascii="宋体" w:hAnsi="宋体" w:eastAsia="宋体" w:cs="宋体"/>
          <w:color w:val="000000"/>
          <w:sz w:val="24"/>
        </w:rPr>
      </w:pPr>
      <w:bookmarkStart w:id="878" w:name="_Toc351203531"/>
      <w:r>
        <w:rPr>
          <w:rFonts w:hint="eastAsia" w:ascii="宋体" w:hAnsi="宋体" w:eastAsia="宋体" w:cs="宋体"/>
          <w:color w:val="000000"/>
          <w:sz w:val="24"/>
        </w:rPr>
        <w:t>4</w:t>
      </w:r>
      <w:bookmarkStart w:id="879" w:name="_Toc337558757"/>
      <w:bookmarkStart w:id="880" w:name="_Toc296346558"/>
      <w:bookmarkStart w:id="881" w:name="_Toc296503057"/>
      <w:r>
        <w:rPr>
          <w:rFonts w:hint="eastAsia" w:ascii="宋体" w:hAnsi="宋体" w:eastAsia="宋体" w:cs="宋体"/>
          <w:color w:val="000000"/>
          <w:sz w:val="24"/>
        </w:rPr>
        <w:t>.4 商定或确定</w:t>
      </w:r>
      <w:bookmarkEnd w:id="878"/>
    </w:p>
    <w:bookmarkEnd w:id="879"/>
    <w:bookmarkEnd w:id="880"/>
    <w:bookmarkEnd w:id="881"/>
    <w:p w14:paraId="2669B97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合同当事人进行商定或确定时，总监理工程师应当会同合同当事人尽量通过协商达成一致，不能达成一致的，由总监理工程师按照合同约定审慎做出公正的确定。</w:t>
      </w:r>
    </w:p>
    <w:p w14:paraId="47D78BB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总监理工程师应将确定以书面形式通知发包人和承包人，并附详细依据。合同当事人对总监理工程师的确定没有异议的，按照总监理工程师的确定执行。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28C21486">
      <w:pPr>
        <w:spacing w:before="120" w:after="120" w:line="360" w:lineRule="auto"/>
        <w:rPr>
          <w:rFonts w:ascii="宋体" w:hAnsi="宋体" w:eastAsia="宋体" w:cs="宋体"/>
          <w:color w:val="000000"/>
          <w:sz w:val="24"/>
        </w:rPr>
      </w:pPr>
      <w:bookmarkStart w:id="882" w:name="_Toc351203532"/>
      <w:r>
        <w:rPr>
          <w:rFonts w:hint="eastAsia" w:ascii="宋体" w:hAnsi="宋体" w:eastAsia="宋体" w:cs="宋体"/>
          <w:color w:val="000000"/>
          <w:sz w:val="24"/>
        </w:rPr>
        <w:t>5</w:t>
      </w:r>
      <w:bookmarkStart w:id="883" w:name="_Toc337558758"/>
      <w:r>
        <w:rPr>
          <w:rFonts w:hint="eastAsia" w:ascii="宋体" w:hAnsi="宋体" w:eastAsia="宋体" w:cs="宋体"/>
          <w:color w:val="000000"/>
          <w:sz w:val="24"/>
        </w:rPr>
        <w:t>. 工程质量</w:t>
      </w:r>
      <w:bookmarkEnd w:id="882"/>
    </w:p>
    <w:bookmarkEnd w:id="883"/>
    <w:p w14:paraId="03E06CA3">
      <w:pPr>
        <w:spacing w:before="120" w:after="120" w:line="360" w:lineRule="auto"/>
        <w:ind w:firstLine="480" w:firstLineChars="200"/>
        <w:rPr>
          <w:rFonts w:ascii="宋体" w:hAnsi="宋体" w:eastAsia="宋体" w:cs="宋体"/>
          <w:color w:val="000000"/>
          <w:sz w:val="24"/>
        </w:rPr>
      </w:pPr>
      <w:bookmarkStart w:id="884" w:name="_Toc351203533"/>
      <w:r>
        <w:rPr>
          <w:rFonts w:hint="eastAsia" w:ascii="宋体" w:hAnsi="宋体" w:eastAsia="宋体" w:cs="宋体"/>
          <w:color w:val="000000"/>
          <w:sz w:val="24"/>
        </w:rPr>
        <w:t>5</w:t>
      </w:r>
      <w:bookmarkStart w:id="885" w:name="_Toc337558759"/>
      <w:r>
        <w:rPr>
          <w:rFonts w:hint="eastAsia" w:ascii="宋体" w:hAnsi="宋体" w:eastAsia="宋体" w:cs="宋体"/>
          <w:color w:val="000000"/>
          <w:sz w:val="24"/>
        </w:rPr>
        <w:t>.1质量要求</w:t>
      </w:r>
      <w:bookmarkEnd w:id="884"/>
    </w:p>
    <w:bookmarkEnd w:id="885"/>
    <w:p w14:paraId="4B3F3CD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5.1.1 工程质量标准必须符合现行国家有关工程施工质量验收规范和标准的要求。有关工程质量的特殊标准或要求由合同当事人在专用合同条款中约定。</w:t>
      </w:r>
    </w:p>
    <w:p w14:paraId="3968D99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5.1.2 因发包人原因造成工程质量未达到合同约定标准的，由发包人承担由此增加的费用和（或）延误的工期，并支付承包人合理的利润。</w:t>
      </w:r>
    </w:p>
    <w:p w14:paraId="13BC7DB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5.1.3 因承包人原因造成工程质量未达到合同约定标准的，发包人有权要求承包人返工直至工程质量达到合同约定的标准为止，并由承包人承担由此增加的费用和（或）延误的工期。</w:t>
      </w:r>
    </w:p>
    <w:p w14:paraId="1622C621">
      <w:pPr>
        <w:spacing w:before="120" w:after="120" w:line="360" w:lineRule="auto"/>
        <w:ind w:firstLine="480" w:firstLineChars="200"/>
        <w:rPr>
          <w:rFonts w:ascii="宋体" w:hAnsi="宋体" w:eastAsia="宋体" w:cs="宋体"/>
          <w:color w:val="000000"/>
          <w:sz w:val="24"/>
        </w:rPr>
      </w:pPr>
      <w:bookmarkStart w:id="886" w:name="_Toc351203534"/>
      <w:r>
        <w:rPr>
          <w:rFonts w:hint="eastAsia" w:ascii="宋体" w:hAnsi="宋体" w:eastAsia="宋体" w:cs="宋体"/>
          <w:color w:val="000000"/>
          <w:sz w:val="24"/>
        </w:rPr>
        <w:t>5</w:t>
      </w:r>
      <w:bookmarkStart w:id="887" w:name="_Toc337558760"/>
      <w:r>
        <w:rPr>
          <w:rFonts w:hint="eastAsia" w:ascii="宋体" w:hAnsi="宋体" w:eastAsia="宋体" w:cs="宋体"/>
          <w:color w:val="000000"/>
          <w:sz w:val="24"/>
        </w:rPr>
        <w:t>.2质量保证措施</w:t>
      </w:r>
      <w:bookmarkEnd w:id="886"/>
    </w:p>
    <w:bookmarkEnd w:id="887"/>
    <w:p w14:paraId="75322436">
      <w:pPr>
        <w:autoSpaceDE w:val="0"/>
        <w:autoSpaceDN w:val="0"/>
        <w:adjustRightInd w:val="0"/>
        <w:spacing w:line="360" w:lineRule="auto"/>
        <w:ind w:firstLine="480" w:firstLineChars="200"/>
        <w:rPr>
          <w:rFonts w:ascii="宋体" w:hAnsi="宋体" w:eastAsia="宋体" w:cs="宋体"/>
          <w:color w:val="000000"/>
          <w:sz w:val="24"/>
        </w:rPr>
      </w:pPr>
      <w:bookmarkStart w:id="888" w:name="_Toc18147"/>
      <w:bookmarkStart w:id="889" w:name="_Toc11015"/>
      <w:bookmarkStart w:id="890" w:name="_Toc25481"/>
      <w:bookmarkStart w:id="891" w:name="_Toc30201"/>
      <w:r>
        <w:rPr>
          <w:rFonts w:hint="eastAsia" w:ascii="宋体" w:hAnsi="宋体" w:eastAsia="宋体" w:cs="宋体"/>
          <w:color w:val="000000"/>
          <w:sz w:val="24"/>
        </w:rPr>
        <w:t>5.2.1 发包人的质量管理</w:t>
      </w:r>
      <w:bookmarkEnd w:id="888"/>
      <w:bookmarkEnd w:id="889"/>
      <w:bookmarkEnd w:id="890"/>
      <w:bookmarkEnd w:id="891"/>
    </w:p>
    <w:p w14:paraId="311428C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发包人应按照法律规定及合同约定完成与工程质量有关的各项工作。</w:t>
      </w:r>
    </w:p>
    <w:p w14:paraId="4D5B179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5.2.2 承包人的质量管理</w:t>
      </w:r>
    </w:p>
    <w:p w14:paraId="67DE29B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按照第7.1款〔施工组织设计〕约定向发包人和监理人提交工程质量保证体系及措施文件，建立完善的质量检查制度，并提交相应的工程质量文件。对于发包人和监理人违反法律规定和合同约定的错误指示，承包人有权拒绝实施。</w:t>
      </w:r>
    </w:p>
    <w:p w14:paraId="1B1AC68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承包人应对施工人员进行质量教育和技术培训，定期考核施工人员的劳动技能，严格执行施工规范和操作规程。</w:t>
      </w:r>
    </w:p>
    <w:p w14:paraId="0886846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法律规定和发包人的要求，对材料、工程设备以及工程的所有部位及其施工工艺进行全过程的质量检查和检验，并作详细记录，编制工程质量报表，报送监理人审查。此外，承包人还应按照法律规定和发包人的要求，进行施工现场取样试验、工程复核测量和设备性能检测，提供试验样品、提交试验报告和测量成果以及其他工作。</w:t>
      </w:r>
    </w:p>
    <w:p w14:paraId="2BDB3AA7">
      <w:pPr>
        <w:autoSpaceDE w:val="0"/>
        <w:autoSpaceDN w:val="0"/>
        <w:adjustRightInd w:val="0"/>
        <w:spacing w:line="360" w:lineRule="auto"/>
        <w:ind w:firstLine="480" w:firstLineChars="200"/>
        <w:rPr>
          <w:rFonts w:ascii="宋体" w:hAnsi="宋体" w:eastAsia="宋体" w:cs="宋体"/>
          <w:color w:val="000000"/>
          <w:sz w:val="24"/>
        </w:rPr>
      </w:pPr>
      <w:bookmarkStart w:id="892" w:name="_Toc6461"/>
      <w:bookmarkStart w:id="893" w:name="_Toc26650"/>
      <w:bookmarkStart w:id="894" w:name="_Toc31895"/>
      <w:bookmarkStart w:id="895" w:name="_Toc27661"/>
      <w:r>
        <w:rPr>
          <w:rFonts w:hint="eastAsia" w:ascii="宋体" w:hAnsi="宋体" w:eastAsia="宋体" w:cs="宋体"/>
          <w:color w:val="000000"/>
          <w:sz w:val="24"/>
        </w:rPr>
        <w:t>5.2.3 监理人的质量检查和检验</w:t>
      </w:r>
      <w:bookmarkEnd w:id="892"/>
      <w:bookmarkEnd w:id="893"/>
      <w:bookmarkEnd w:id="894"/>
      <w:bookmarkEnd w:id="895"/>
    </w:p>
    <w:p w14:paraId="414BEAE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按照法律规定和发包人授权对工程的所有部位及其施工工艺、材料和工程设备进行检查和检验。承包人应为监理人的检查和检验提供方便，包括监理人到施工现场，或制造、加工地点，或合同约定的其他地方进行察看和查阅施工原始记录。监理人为此进行的检查和检验，不免除或减轻承包人按照合同约定应当承担的责任。</w:t>
      </w:r>
    </w:p>
    <w:p w14:paraId="7130006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的检查和检验不应影响施工正常进行。监理人的检查和检验影响施工正常进行的，且经检查检验不合格的，影响正常施工的费用由承包人承担，工期不予顺延；经检查检验合格的，由此增加的费用和（或）延误的工期由发包人承担。</w:t>
      </w:r>
    </w:p>
    <w:p w14:paraId="6614C12E">
      <w:pPr>
        <w:spacing w:before="120" w:after="120" w:line="360" w:lineRule="auto"/>
        <w:ind w:firstLine="480" w:firstLineChars="200"/>
        <w:rPr>
          <w:rFonts w:ascii="宋体" w:hAnsi="宋体" w:eastAsia="宋体" w:cs="宋体"/>
          <w:color w:val="000000"/>
          <w:sz w:val="24"/>
        </w:rPr>
      </w:pPr>
      <w:bookmarkStart w:id="896" w:name="_Toc351203535"/>
      <w:r>
        <w:rPr>
          <w:rFonts w:hint="eastAsia" w:ascii="宋体" w:hAnsi="宋体" w:eastAsia="宋体" w:cs="宋体"/>
          <w:color w:val="000000"/>
          <w:sz w:val="24"/>
        </w:rPr>
        <w:t>5</w:t>
      </w:r>
      <w:bookmarkStart w:id="897" w:name="_Toc337558761"/>
      <w:r>
        <w:rPr>
          <w:rFonts w:hint="eastAsia" w:ascii="宋体" w:hAnsi="宋体" w:eastAsia="宋体" w:cs="宋体"/>
          <w:color w:val="000000"/>
          <w:sz w:val="24"/>
        </w:rPr>
        <w:t>.3 隐蔽工程检查</w:t>
      </w:r>
      <w:bookmarkEnd w:id="896"/>
    </w:p>
    <w:bookmarkEnd w:id="897"/>
    <w:p w14:paraId="74AA30B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5.3.1承包人自检</w:t>
      </w:r>
    </w:p>
    <w:p w14:paraId="262FA54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承包人应当对工程隐蔽部位进行自检，并经自检确认是否具备覆盖条件。</w:t>
      </w:r>
    </w:p>
    <w:p w14:paraId="3570C42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5.3.2检查程序</w:t>
      </w:r>
    </w:p>
    <w:p w14:paraId="339B26C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工程隐蔽部位经承包人自检确认具备覆盖条件的，承包人应在共同检查前48小时书面通知监理人检查，通知中应载明隐蔽检查的内容、时间和地点，并应附有自检记录和必要的检查资料。</w:t>
      </w:r>
    </w:p>
    <w:p w14:paraId="19BA0C9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应按时到场并对隐蔽工程及其施工工艺、材料和工程设备进行检查。经监理人检查确认质量符合隐蔽要求，并在验收记录上签字后，承包人才能进行覆盖。经监理人检查质量不合格的，承包人应在监理人指示的时间内完成修复，并由监理人重新检查，由此增加的费用和（或）延误的工期由承包人承担。</w:t>
      </w:r>
    </w:p>
    <w:p w14:paraId="2C05134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监理人不能按时进行检查的，应在检查前24小时向承包人提交书面延期要求，但延期不能超过48小时，由此导致工期延误的，工期应予以顺延。监理人未按时进行检查，也未提出延期要求的，视为隐蔽工程检查合格，承包人可自行完成覆盖工作，并作相应记录报送监理人，监理人应签字确认。监理人事后对检查记录有疑问的，可按第5.3.3项〔重新检查〕的约定重新检查。</w:t>
      </w:r>
    </w:p>
    <w:p w14:paraId="6082FCD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5.3.3 重新检查</w:t>
      </w:r>
    </w:p>
    <w:p w14:paraId="26F5C99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覆盖工程隐蔽部位后，发包人或监理人对质量有疑问的，可要求承包人对已覆盖的部位进行钻孔探测或揭开重新检查，承包人应遵照执行，并在检查后重新覆盖恢复原状。经检查证明工程质量符合合同要求的，由发包人承担由此增加的费用和（或）延误的工期，并支付承包人合理的利润；经检查证明工程质量不符合合同要求的，由此增加的费用和（或）延误的工期由承包人承担。</w:t>
      </w:r>
    </w:p>
    <w:p w14:paraId="59F9581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5.3.4 承包人私自覆盖</w:t>
      </w:r>
    </w:p>
    <w:p w14:paraId="1869D48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承包人未通知监理人到场检查，私自将工程隐蔽部位覆盖的，监理人有权指示承包人钻孔探测或揭开检查，无论工程隐蔽部位质量是否合格，由此增加的费用和（或）延误的工期均由承包人承担。</w:t>
      </w:r>
    </w:p>
    <w:p w14:paraId="55E9CD74">
      <w:pPr>
        <w:spacing w:before="120" w:after="120" w:line="360" w:lineRule="auto"/>
        <w:ind w:firstLine="480" w:firstLineChars="200"/>
        <w:rPr>
          <w:rFonts w:ascii="宋体" w:hAnsi="宋体" w:eastAsia="宋体" w:cs="宋体"/>
          <w:color w:val="000000"/>
          <w:sz w:val="24"/>
        </w:rPr>
      </w:pPr>
      <w:bookmarkStart w:id="898" w:name="_Toc351203536"/>
      <w:r>
        <w:rPr>
          <w:rFonts w:hint="eastAsia" w:ascii="宋体" w:hAnsi="宋体" w:eastAsia="宋体" w:cs="宋体"/>
          <w:color w:val="000000"/>
          <w:sz w:val="24"/>
        </w:rPr>
        <w:t>5</w:t>
      </w:r>
      <w:bookmarkStart w:id="899" w:name="_Toc337558762"/>
      <w:r>
        <w:rPr>
          <w:rFonts w:hint="eastAsia" w:ascii="宋体" w:hAnsi="宋体" w:eastAsia="宋体" w:cs="宋体"/>
          <w:color w:val="000000"/>
          <w:sz w:val="24"/>
        </w:rPr>
        <w:t>.4不合格工程的处理</w:t>
      </w:r>
      <w:bookmarkEnd w:id="898"/>
    </w:p>
    <w:bookmarkEnd w:id="899"/>
    <w:p w14:paraId="7A1CD48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5.4.1 因承包人原因造成工程不合格的，发包人有权随时要求承包人采取补救措施，直至达到合同要求的质量标准，由此增加的费用和（或）延误的工期由承包人承担。无法补救的，按照第13.2.4项〔拒绝接收全部或部分工程〕约定执行。 </w:t>
      </w:r>
    </w:p>
    <w:p w14:paraId="41B1FE9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5.4.2 因发包人原因造成工程不合格的，由此增加的费用和（或）延误的工期由发包人承担，并支付承包人合理的利润。</w:t>
      </w:r>
    </w:p>
    <w:p w14:paraId="21A91C83">
      <w:pPr>
        <w:spacing w:before="120" w:after="120" w:line="360" w:lineRule="auto"/>
        <w:ind w:firstLine="480" w:firstLineChars="200"/>
        <w:rPr>
          <w:rFonts w:ascii="宋体" w:hAnsi="宋体" w:eastAsia="宋体" w:cs="宋体"/>
          <w:color w:val="000000"/>
          <w:sz w:val="24"/>
        </w:rPr>
      </w:pPr>
      <w:bookmarkStart w:id="900" w:name="_Toc351203537"/>
      <w:r>
        <w:rPr>
          <w:rFonts w:hint="eastAsia" w:ascii="宋体" w:hAnsi="宋体" w:eastAsia="宋体" w:cs="宋体"/>
          <w:color w:val="000000"/>
          <w:sz w:val="24"/>
        </w:rPr>
        <w:t>5.5 质量争议检测</w:t>
      </w:r>
      <w:bookmarkEnd w:id="900"/>
    </w:p>
    <w:p w14:paraId="2FA36DC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合同当事人对工程质量有争议的，由双方协商确定的工程质量检测机构鉴定，由此产生的费用及因此造成的损失，由责任方承担。</w:t>
      </w:r>
    </w:p>
    <w:p w14:paraId="0AD708FC">
      <w:pPr>
        <w:autoSpaceDE w:val="0"/>
        <w:autoSpaceDN w:val="0"/>
        <w:adjustRightInd w:val="0"/>
        <w:spacing w:line="360" w:lineRule="auto"/>
        <w:rPr>
          <w:rFonts w:ascii="宋体" w:hAnsi="宋体" w:eastAsia="宋体" w:cs="宋体"/>
          <w:color w:val="000000"/>
          <w:sz w:val="24"/>
        </w:rPr>
      </w:pPr>
      <w:r>
        <w:rPr>
          <w:rFonts w:hint="eastAsia" w:ascii="宋体" w:hAnsi="宋体" w:eastAsia="宋体" w:cs="宋体"/>
          <w:color w:val="000000"/>
          <w:sz w:val="24"/>
        </w:rPr>
        <w:t>合同当事人均有责任的，由双方根据其责任分别承担。合同当事人无法达成一致的，按照第4.4款〔商定或确定〕执行。</w:t>
      </w:r>
    </w:p>
    <w:p w14:paraId="391E9BC5">
      <w:pPr>
        <w:spacing w:before="120" w:after="120" w:line="360" w:lineRule="auto"/>
        <w:rPr>
          <w:rFonts w:ascii="宋体" w:hAnsi="宋体" w:eastAsia="宋体" w:cs="宋体"/>
          <w:color w:val="000000"/>
          <w:sz w:val="24"/>
        </w:rPr>
      </w:pPr>
      <w:bookmarkStart w:id="901" w:name="_Toc351203538"/>
      <w:r>
        <w:rPr>
          <w:rFonts w:hint="eastAsia" w:ascii="宋体" w:hAnsi="宋体" w:eastAsia="宋体" w:cs="宋体"/>
          <w:color w:val="000000"/>
          <w:sz w:val="24"/>
        </w:rPr>
        <w:t>6</w:t>
      </w:r>
      <w:bookmarkStart w:id="902" w:name="_Toc337558763"/>
      <w:r>
        <w:rPr>
          <w:rFonts w:hint="eastAsia" w:ascii="宋体" w:hAnsi="宋体" w:eastAsia="宋体" w:cs="宋体"/>
          <w:color w:val="000000"/>
          <w:sz w:val="24"/>
        </w:rPr>
        <w:t>. 安全文明施工与环境保护</w:t>
      </w:r>
      <w:bookmarkEnd w:id="901"/>
    </w:p>
    <w:bookmarkEnd w:id="902"/>
    <w:p w14:paraId="753D8EC8">
      <w:pPr>
        <w:spacing w:before="120" w:after="120" w:line="360" w:lineRule="auto"/>
        <w:ind w:firstLine="480" w:firstLineChars="200"/>
        <w:rPr>
          <w:rFonts w:ascii="宋体" w:hAnsi="宋体" w:eastAsia="宋体" w:cs="宋体"/>
          <w:color w:val="000000"/>
          <w:sz w:val="24"/>
        </w:rPr>
      </w:pPr>
      <w:bookmarkStart w:id="903" w:name="_Toc351203539"/>
      <w:r>
        <w:rPr>
          <w:rFonts w:hint="eastAsia" w:ascii="宋体" w:hAnsi="宋体" w:eastAsia="宋体" w:cs="宋体"/>
          <w:color w:val="000000"/>
          <w:sz w:val="24"/>
        </w:rPr>
        <w:t>6</w:t>
      </w:r>
      <w:bookmarkStart w:id="904" w:name="_Toc337558764"/>
      <w:r>
        <w:rPr>
          <w:rFonts w:hint="eastAsia" w:ascii="宋体" w:hAnsi="宋体" w:eastAsia="宋体" w:cs="宋体"/>
          <w:color w:val="000000"/>
          <w:sz w:val="24"/>
        </w:rPr>
        <w:t>.1安全文明施工</w:t>
      </w:r>
      <w:bookmarkEnd w:id="903"/>
    </w:p>
    <w:bookmarkEnd w:id="904"/>
    <w:p w14:paraId="51FBDEA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6.1.1安全生产要求</w:t>
      </w:r>
    </w:p>
    <w:p w14:paraId="450E642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履行期间，合同当事人均应当遵守国家和工程所在地有关安全生产的要求，合同当事人有特别要求的，应在专用合同条款中明确施工项目安全生产标准化达标目标及相应事项。承包人有权拒绝发包人及监理人强令承包人违章作业、冒险施工的任何指示。</w:t>
      </w:r>
    </w:p>
    <w:p w14:paraId="4F12F8C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在施工过程中，如遇到突发的地质变动、事先未知的地下施工障碍等影响施工安全的紧急情况，承包人应及时报告监理人和发包人，发包人应当及时下令停工并报政府有关行政管理部门采取应急措施。</w:t>
      </w:r>
    </w:p>
    <w:p w14:paraId="07330C2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因安全生产需要暂停施工的，按照第7.8款〔暂停施工〕的约定执行。</w:t>
      </w:r>
    </w:p>
    <w:p w14:paraId="430E024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6.1.2 安全生产保证措施</w:t>
      </w:r>
    </w:p>
    <w:p w14:paraId="2793AC6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当按照有关规定编制安全技术措施或者专项施工方案，建立安全生产责任制度、治安保卫制度及安全生产教育培训制度，并按安全生产法律规定及合同约定履行安全职责，如实编制工程安全生产的有关记录，接受发包人、监理人及政府安全监督部门的检查与监督。</w:t>
      </w:r>
    </w:p>
    <w:p w14:paraId="78C92CF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6.1.3特别安全生产事项</w:t>
      </w:r>
    </w:p>
    <w:p w14:paraId="1056FB6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承包人应按照法律规定进行施工，开工前做好安全技术交底工作，施工过程中做好各项安全防护措施。承包人为实施合同而雇用的特殊工种的人员应受过专门的培训并已取得政府有关管理机构颁发的上岗证书。</w:t>
      </w:r>
    </w:p>
    <w:p w14:paraId="44FA48B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承包人在动力设备、输电线路、地下管道、密封防震车间、易燃易爆地段以及临街交通要道附近施工时，施工开始前应向发包人和监理人提出安全防护措施，经发包人认可后实施。 </w:t>
      </w:r>
    </w:p>
    <w:p w14:paraId="1ED2114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实施爆破作业，在放射、毒害性环境中施工（含储存、运输、使用）及使用毒害性、腐蚀性物品施工时，承包人应在施工前7天以书面通知发包人和监理人，并报送相应的安全防护措施，经发包人认可后实施。</w:t>
      </w:r>
    </w:p>
    <w:p w14:paraId="1035575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需单独编制危险性较大分部分项专项工程施工方案的，及要求进行专家论证的超过一定规模的危险性较大的分部分项工程，承包人应及时编制和组织论证。</w:t>
      </w:r>
    </w:p>
    <w:p w14:paraId="7CA35D6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6.1.4 治安保卫</w:t>
      </w:r>
    </w:p>
    <w:p w14:paraId="15164DC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除专用合同条款另有约定外，发包人应与当地公安部门协商，在现场建立治安管理机构或联防组织，统一管理施工场地的治安保卫事项，履行合同工程的治安保卫职责。</w:t>
      </w:r>
    </w:p>
    <w:p w14:paraId="39CC4A1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发包人和承包人除应协助现场治安管理机构或联防组织维护施工场地的社会治安外，还应做好包括生活区在内的各自管辖区的治安保卫工作。</w:t>
      </w:r>
    </w:p>
    <w:p w14:paraId="7ADD50A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和承包人应在工程开工后7天内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避免人员伤亡和财产损失。</w:t>
      </w:r>
    </w:p>
    <w:p w14:paraId="2E6BA4B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6.1.5 文明施工</w:t>
      </w:r>
    </w:p>
    <w:p w14:paraId="0014694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承包人在工程施工期间，应当采取措施保持施工现场平整，物料堆放整齐。工程所在地有关政府行政管理部门有特殊要求的，按照其要求执行。合同当事人对文明施工有其他要求的，可以在专用合同条款中明确。</w:t>
      </w:r>
    </w:p>
    <w:p w14:paraId="6F18BAD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工程移交之前，承包人应当从施工现场清除承包人的全部工程设备、多余材料、垃圾和各种临时工程，并保持施工现场清洁整齐。经发包人书面同意，承包人可在发包人指定的地点保留承包人履行保修期内的各项义务所需要的材料、施工设备和临时工程。</w:t>
      </w:r>
    </w:p>
    <w:p w14:paraId="03E832B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6.1.6 安全文明施工费</w:t>
      </w:r>
    </w:p>
    <w:p w14:paraId="4B5A44C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安全文明施工费由发包人承担，发包人不得以任何形式扣减该部分费用。因基准日期后合同所适用的法律或政府有关规定发生变化，增加的安全文明施工费由发包人承担。</w:t>
      </w:r>
    </w:p>
    <w:p w14:paraId="5C1C761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经发包人同意采取合同约定以外的安全措施所产生的费用，由发包人承担。未经发包人同意的，如果该措施避免了发包人的损失，则发包人在避免损失的额度内承担该措施费。如果该措施避免了承包人的损失，由承包人承担该措施费。</w:t>
      </w:r>
    </w:p>
    <w:p w14:paraId="3F6526F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在开工后28天内预付安全文明施工费总额的50%，其余部分与进度款同期支付。发包人逾期支付安全文明施工费超过7天的，承包人有权向发包人发出要求预付的催告通知，发包人收到通知后7天内仍未支付的，承包人有权暂停施工，并按第16.1.1项〔发包人违约的情形〕执行。</w:t>
      </w:r>
    </w:p>
    <w:p w14:paraId="49E53A9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对安全文明施工费应专款专用，承包人应在财务账目中单独列项备查，不得挪作他用，否则发包人有权责令其限期改正；逾期未改正的，可以责令其暂停施工，由此增加的费用和（或）延误的工期由承包人承担。</w:t>
      </w:r>
    </w:p>
    <w:p w14:paraId="468909F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6.1.7 紧急情况处理</w:t>
      </w:r>
    </w:p>
    <w:p w14:paraId="512F631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工程实施期间或缺陷责任期内发生危及工程安全的事件，监理人通知承包人进行抢救，承包人声明无能力或不愿立即执行的，发包人有权雇佣其他人员进行抢救。此类抢救按合同约定属于承包人义务的，由此增加的费用和（或）延误的工期由承包人承担。</w:t>
      </w:r>
    </w:p>
    <w:p w14:paraId="4D0B18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6.1.8 事故处理</w:t>
      </w:r>
    </w:p>
    <w:p w14:paraId="598F59D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320C87E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6.1.9 安全生产责任</w:t>
      </w:r>
    </w:p>
    <w:p w14:paraId="504E440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6.1.9.1 发包人的安全责任</w:t>
      </w:r>
    </w:p>
    <w:p w14:paraId="02E69DF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发包人应负责赔偿以下各种情况造成的损失：</w:t>
      </w:r>
    </w:p>
    <w:p w14:paraId="1DC9C87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（1）工程或工程的任何部分对土地的占用所造成的第三者财产损失；</w:t>
      </w:r>
    </w:p>
    <w:p w14:paraId="5AF1CE3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（2）由于发包人原因在施工场地及其毗邻地带造成的第三者人身伤亡和财产损失；</w:t>
      </w:r>
    </w:p>
    <w:p w14:paraId="43DA61E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（3）由于发包人原因对承包人、监理人造成的人员人身伤亡和财产损失；</w:t>
      </w:r>
    </w:p>
    <w:p w14:paraId="646CECD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（4）由于发包人原因造成的发包人自身人员的人身伤害以及财产损失。</w:t>
      </w:r>
    </w:p>
    <w:p w14:paraId="288BD27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6.1.9.2 承包人的安全责任</w:t>
      </w:r>
    </w:p>
    <w:p w14:paraId="53F9F48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由于承包人原因在施工场地内及其毗邻地带造成的发包人、监理人以及第三者人员伤亡和财产损失，由承包人负责赔偿。</w:t>
      </w:r>
    </w:p>
    <w:p w14:paraId="64651728">
      <w:pPr>
        <w:spacing w:before="120" w:after="120" w:line="360" w:lineRule="auto"/>
        <w:ind w:firstLine="480" w:firstLineChars="200"/>
        <w:rPr>
          <w:rFonts w:ascii="宋体" w:hAnsi="宋体" w:eastAsia="宋体" w:cs="宋体"/>
          <w:color w:val="000000"/>
          <w:sz w:val="24"/>
        </w:rPr>
      </w:pPr>
      <w:bookmarkStart w:id="905" w:name="_Toc351203540"/>
      <w:r>
        <w:rPr>
          <w:rFonts w:hint="eastAsia" w:ascii="宋体" w:hAnsi="宋体" w:eastAsia="宋体" w:cs="宋体"/>
          <w:color w:val="000000"/>
          <w:sz w:val="24"/>
        </w:rPr>
        <w:t>6</w:t>
      </w:r>
      <w:bookmarkStart w:id="906" w:name="_Toc337558765"/>
      <w:r>
        <w:rPr>
          <w:rFonts w:hint="eastAsia" w:ascii="宋体" w:hAnsi="宋体" w:eastAsia="宋体" w:cs="宋体"/>
          <w:color w:val="000000"/>
          <w:sz w:val="24"/>
        </w:rPr>
        <w:t>.2 职业健康</w:t>
      </w:r>
      <w:bookmarkEnd w:id="905"/>
    </w:p>
    <w:bookmarkEnd w:id="906"/>
    <w:p w14:paraId="17232F9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6.2.1 劳动保护</w:t>
      </w:r>
    </w:p>
    <w:p w14:paraId="331AD18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法律规定安排现场施工人员的劳动和休息时间，保障劳动者的休息时间，并支付合理的报酬和费用。承包人应依法为其履行合同所雇用的人员办理必要的证件、许可、保险和注册等，承包人应督促其分包人为分包人所雇用的人员办理必要的证件、许可、保险和注册等。</w:t>
      </w:r>
    </w:p>
    <w:p w14:paraId="73539C0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法律规定保障现场施工人员的劳动安全，并提供劳动保护,并应按国家有关劳动保护的规定，采取有效的防止粉尘、降低噪声、控制有害气体和保障高温、高寒、高空作业安全等劳动保护措施。承包人雇佣人员在施工中受到伤害的，承包人应立即采取有效措施进行抢救和治疗。</w:t>
      </w:r>
    </w:p>
    <w:p w14:paraId="4A6A644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承包人应按法律规定安排工作时间，保证其雇佣人员享有休息和休假的权利。因工程施工的特殊需要占用休假日或延长工作时间的，应不超过法律规定的限度，并按法律规定给予补休或付酬。</w:t>
      </w:r>
    </w:p>
    <w:p w14:paraId="6741F9F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6.2.2 生活条件</w:t>
      </w:r>
    </w:p>
    <w:p w14:paraId="2A25F51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承包人应为其履行合同所雇用的人员提供必要的膳宿条件和生活环境；承包人应采取有效措施预防传染病，保证施工人员的健康，并定期对施工现场、施工人员生活基地和工程进行防疫和卫生的专业检查和处理, 在远离城镇的施工场地，还应配备必要的伤病防治和急救的医务人员与医疗设施。</w:t>
      </w:r>
    </w:p>
    <w:p w14:paraId="344CDFB7">
      <w:pPr>
        <w:spacing w:before="120" w:after="120" w:line="360" w:lineRule="auto"/>
        <w:ind w:firstLine="480" w:firstLineChars="200"/>
        <w:rPr>
          <w:rFonts w:ascii="宋体" w:hAnsi="宋体" w:eastAsia="宋体" w:cs="宋体"/>
          <w:color w:val="000000"/>
          <w:sz w:val="24"/>
        </w:rPr>
      </w:pPr>
      <w:bookmarkStart w:id="907" w:name="_Toc351203541"/>
      <w:r>
        <w:rPr>
          <w:rFonts w:hint="eastAsia" w:ascii="宋体" w:hAnsi="宋体" w:eastAsia="宋体" w:cs="宋体"/>
          <w:color w:val="000000"/>
          <w:sz w:val="24"/>
        </w:rPr>
        <w:t>6</w:t>
      </w:r>
      <w:bookmarkStart w:id="908" w:name="_Toc337558766"/>
      <w:r>
        <w:rPr>
          <w:rFonts w:hint="eastAsia" w:ascii="宋体" w:hAnsi="宋体" w:eastAsia="宋体" w:cs="宋体"/>
          <w:color w:val="000000"/>
          <w:sz w:val="24"/>
        </w:rPr>
        <w:t>.3 环境保护</w:t>
      </w:r>
      <w:bookmarkEnd w:id="907"/>
    </w:p>
    <w:bookmarkEnd w:id="908"/>
    <w:p w14:paraId="550F5C1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承包人应在施工组织设计中列明环境保护的具体措施。在合同履行期间，承包人应采取合理措施保护施工现场环境。对施工作业过程中可能引起的大气、水、噪音以及固体废物污染采取具体可行的防范措施。</w:t>
      </w:r>
    </w:p>
    <w:p w14:paraId="32EBD4F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承包人应当承担因其原因引起的环境污染侵权损害赔偿责任，因上述环境污染引起纠纷而导致暂停施工的，由此增加的费用和（或）延误的工期由承包人承担。</w:t>
      </w:r>
    </w:p>
    <w:p w14:paraId="7B1ED4EF">
      <w:pPr>
        <w:spacing w:before="120" w:after="120" w:line="360" w:lineRule="auto"/>
        <w:rPr>
          <w:rFonts w:ascii="宋体" w:hAnsi="宋体" w:eastAsia="宋体" w:cs="宋体"/>
          <w:color w:val="000000"/>
          <w:sz w:val="24"/>
        </w:rPr>
      </w:pPr>
      <w:bookmarkStart w:id="909" w:name="_Toc351203542"/>
      <w:r>
        <w:rPr>
          <w:rFonts w:hint="eastAsia" w:ascii="宋体" w:hAnsi="宋体" w:eastAsia="宋体" w:cs="宋体"/>
          <w:color w:val="000000"/>
          <w:sz w:val="24"/>
        </w:rPr>
        <w:t>7</w:t>
      </w:r>
      <w:bookmarkStart w:id="910" w:name="_Toc337558767"/>
      <w:r>
        <w:rPr>
          <w:rFonts w:hint="eastAsia" w:ascii="宋体" w:hAnsi="宋体" w:eastAsia="宋体" w:cs="宋体"/>
          <w:color w:val="000000"/>
          <w:sz w:val="24"/>
        </w:rPr>
        <w:t>. 工期和进度</w:t>
      </w:r>
      <w:bookmarkEnd w:id="909"/>
    </w:p>
    <w:bookmarkEnd w:id="910"/>
    <w:p w14:paraId="4E52D5C2">
      <w:pPr>
        <w:spacing w:before="120" w:after="120" w:line="360" w:lineRule="auto"/>
        <w:ind w:firstLine="480" w:firstLineChars="200"/>
        <w:rPr>
          <w:rFonts w:ascii="宋体" w:hAnsi="宋体" w:eastAsia="宋体" w:cs="宋体"/>
          <w:color w:val="000000"/>
          <w:sz w:val="24"/>
        </w:rPr>
      </w:pPr>
      <w:bookmarkStart w:id="911" w:name="_Toc351203543"/>
      <w:r>
        <w:rPr>
          <w:rFonts w:hint="eastAsia" w:ascii="宋体" w:hAnsi="宋体" w:eastAsia="宋体" w:cs="宋体"/>
          <w:color w:val="000000"/>
          <w:sz w:val="24"/>
        </w:rPr>
        <w:t>7</w:t>
      </w:r>
      <w:bookmarkStart w:id="912" w:name="_Toc337558768"/>
      <w:bookmarkStart w:id="913" w:name="_Toc296503066"/>
      <w:bookmarkStart w:id="914" w:name="_Toc296346567"/>
      <w:r>
        <w:rPr>
          <w:rFonts w:hint="eastAsia" w:ascii="宋体" w:hAnsi="宋体" w:eastAsia="宋体" w:cs="宋体"/>
          <w:color w:val="000000"/>
          <w:sz w:val="24"/>
        </w:rPr>
        <w:t>.1施工组织设计</w:t>
      </w:r>
      <w:bookmarkEnd w:id="911"/>
    </w:p>
    <w:bookmarkEnd w:id="912"/>
    <w:p w14:paraId="624E30E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sz w:val="24"/>
        </w:rPr>
        <w:t>7.1.1</w:t>
      </w:r>
      <w:r>
        <w:rPr>
          <w:rFonts w:hint="eastAsia" w:ascii="宋体" w:hAnsi="宋体" w:eastAsia="宋体" w:cs="宋体"/>
          <w:color w:val="000000"/>
          <w:sz w:val="24"/>
        </w:rPr>
        <w:t xml:space="preserve"> 施工组织设计的内容</w:t>
      </w:r>
    </w:p>
    <w:p w14:paraId="5240782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施工组织设计应包含以下内容：</w:t>
      </w:r>
    </w:p>
    <w:p w14:paraId="677EBEB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（1）施工方案； </w:t>
      </w:r>
    </w:p>
    <w:p w14:paraId="15F3788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（2）施工现场平面布置图；</w:t>
      </w:r>
    </w:p>
    <w:p w14:paraId="07E404B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（3）施工进度计划和保证措施； </w:t>
      </w:r>
    </w:p>
    <w:p w14:paraId="0069148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（4）劳动力及材料供应计划；</w:t>
      </w:r>
    </w:p>
    <w:p w14:paraId="5B1BAE0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（5）施工机械设备的选用；</w:t>
      </w:r>
    </w:p>
    <w:p w14:paraId="0F75CD7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（6）质量保证体系及措施；</w:t>
      </w:r>
    </w:p>
    <w:p w14:paraId="4D58552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（7）安全生产、文明施工措施；</w:t>
      </w:r>
    </w:p>
    <w:p w14:paraId="339F166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（8）环境保护、成本控制措施；</w:t>
      </w:r>
    </w:p>
    <w:p w14:paraId="3811419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（9）合同当事人约定的其他内容。</w:t>
      </w:r>
    </w:p>
    <w:p w14:paraId="0E7FE91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sz w:val="24"/>
        </w:rPr>
        <w:t>7.1.2</w:t>
      </w:r>
      <w:r>
        <w:rPr>
          <w:rFonts w:hint="eastAsia" w:ascii="宋体" w:hAnsi="宋体" w:eastAsia="宋体" w:cs="宋体"/>
          <w:color w:val="000000"/>
          <w:sz w:val="24"/>
        </w:rPr>
        <w:t xml:space="preserve"> 施工组织设计的提交和修改</w:t>
      </w:r>
    </w:p>
    <w:p w14:paraId="3922C2D8">
      <w:pPr>
        <w:autoSpaceDE w:val="0"/>
        <w:autoSpaceDN w:val="0"/>
        <w:adjustRightInd w:val="0"/>
        <w:spacing w:line="360" w:lineRule="auto"/>
        <w:ind w:left="239" w:leftChars="114" w:firstLine="240" w:firstLineChars="100"/>
        <w:rPr>
          <w:rFonts w:ascii="宋体" w:hAnsi="宋体" w:eastAsia="宋体" w:cs="宋体"/>
          <w:sz w:val="24"/>
        </w:rPr>
      </w:pPr>
      <w:r>
        <w:rPr>
          <w:rFonts w:hint="eastAsia" w:ascii="宋体" w:hAnsi="宋体" w:eastAsia="宋体" w:cs="宋体"/>
          <w:color w:val="000000"/>
          <w:sz w:val="24"/>
        </w:rPr>
        <w:t>除专用合同条款另有约定外，承包人应在合同签订后14天内，但至迟不得晚于第</w:t>
      </w:r>
      <w:r>
        <w:rPr>
          <w:rFonts w:hint="eastAsia" w:ascii="宋体" w:hAnsi="宋体" w:eastAsia="宋体" w:cs="宋体"/>
          <w:sz w:val="24"/>
        </w:rPr>
        <w:t>7.3.2项〔开工通知〕载明的开工日期前7天，向监理人提交详细的施工组织设计，并由监理人报送发包人。除专用合同条款另有约定外，发包人和监理人应在监理人收到施工组织设计后7天内确认或提出修改意见。对发包人和监理人提出的合理意见和要求，承包人应自费修改完善。根据工程实际情况需要修改施工组织设计的，承包人应向发包人和监理人提交修改后的施工组织设计。</w:t>
      </w:r>
    </w:p>
    <w:p w14:paraId="237CB8F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施工进度计划的编制和修改按照第7.2款〔施工进度计划〕执行。</w:t>
      </w:r>
    </w:p>
    <w:p w14:paraId="6C93EA84">
      <w:pPr>
        <w:spacing w:before="120" w:after="120" w:line="360" w:lineRule="auto"/>
        <w:ind w:firstLine="480" w:firstLineChars="200"/>
        <w:rPr>
          <w:rFonts w:ascii="宋体" w:hAnsi="宋体" w:eastAsia="宋体" w:cs="宋体"/>
          <w:color w:val="000000"/>
          <w:sz w:val="24"/>
        </w:rPr>
      </w:pPr>
      <w:bookmarkStart w:id="915" w:name="_Toc351203544"/>
      <w:r>
        <w:rPr>
          <w:rFonts w:hint="eastAsia" w:ascii="宋体" w:hAnsi="宋体" w:eastAsia="宋体" w:cs="宋体"/>
          <w:color w:val="000000"/>
          <w:sz w:val="24"/>
        </w:rPr>
        <w:t>7</w:t>
      </w:r>
      <w:bookmarkStart w:id="916" w:name="_Toc337558769"/>
      <w:r>
        <w:rPr>
          <w:rFonts w:hint="eastAsia" w:ascii="宋体" w:hAnsi="宋体" w:eastAsia="宋体" w:cs="宋体"/>
          <w:color w:val="000000"/>
          <w:sz w:val="24"/>
        </w:rPr>
        <w:t>.2 施工进度计划</w:t>
      </w:r>
      <w:bookmarkEnd w:id="915"/>
    </w:p>
    <w:bookmarkEnd w:id="916"/>
    <w:p w14:paraId="1858615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7.2.1 施工进度计划的编制</w:t>
      </w:r>
    </w:p>
    <w:p w14:paraId="290779D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照第7.1款〔施工组织设计〕约定提交详细的施工进度计划，施工进度计划的编制应当符合国家法律规定和一般工程实践惯例，施工进度计划经发包人批准后实施。施工进度计划是控制工程进度的依据，发包人和监理人有权按照施工进度计划检查工程进度情况。</w:t>
      </w:r>
    </w:p>
    <w:p w14:paraId="40AC14A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7.2.2 施工进度计划的修订</w:t>
      </w:r>
    </w:p>
    <w:p w14:paraId="0947F18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施工进度计划不符合合同要求或与工程的实际进度不一致的，承包人应向监理人提交修订的施工进度计划，并附具有关措施和相关资料，由监理人报送发包人。除专用合同条款另有约定外，发包人和监理人应在收到修订的施工进度计划后7天内完成审核和批准或提出修改意见。发包人和监理人对承包人提交的施工进度计划的确认，不能减轻或免除承包人根据法律规定和合同约定应承担的任何责任或义务。</w:t>
      </w:r>
    </w:p>
    <w:p w14:paraId="68207DA8">
      <w:pPr>
        <w:spacing w:before="120" w:after="120" w:line="360" w:lineRule="auto"/>
        <w:ind w:firstLine="480" w:firstLineChars="200"/>
        <w:rPr>
          <w:rFonts w:ascii="宋体" w:hAnsi="宋体" w:eastAsia="宋体" w:cs="宋体"/>
          <w:color w:val="000000"/>
          <w:sz w:val="24"/>
        </w:rPr>
      </w:pPr>
      <w:bookmarkStart w:id="917" w:name="_Toc351203545"/>
      <w:r>
        <w:rPr>
          <w:rFonts w:hint="eastAsia" w:ascii="宋体" w:hAnsi="宋体" w:eastAsia="宋体" w:cs="宋体"/>
          <w:color w:val="000000"/>
          <w:sz w:val="24"/>
        </w:rPr>
        <w:t>7</w:t>
      </w:r>
      <w:bookmarkStart w:id="918" w:name="_Toc337558770"/>
      <w:r>
        <w:rPr>
          <w:rFonts w:hint="eastAsia" w:ascii="宋体" w:hAnsi="宋体" w:eastAsia="宋体" w:cs="宋体"/>
          <w:color w:val="000000"/>
          <w:sz w:val="24"/>
        </w:rPr>
        <w:t>.3 开工</w:t>
      </w:r>
      <w:bookmarkEnd w:id="917"/>
    </w:p>
    <w:p w14:paraId="63E32D7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7.3.1 开工准备</w:t>
      </w:r>
    </w:p>
    <w:p w14:paraId="2DE41CF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按照第7.1款〔施工组织设计〕约定的期限，向监理人提交工程开工报审表，经监理人报发包人批准后执行。开工报审表应详细说明按施工进度计划正常施工所需的施工道路、临时设施、材料、工程设备、施工设备、施工人员等落实情况以及工程的进度安排。</w:t>
      </w:r>
    </w:p>
    <w:p w14:paraId="46CB2A0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除专用合同条款另有约定外，合同当事人应按约定完成开工准备工作。</w:t>
      </w:r>
    </w:p>
    <w:p w14:paraId="111B218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7.3.2 开工通知</w:t>
      </w:r>
    </w:p>
    <w:bookmarkEnd w:id="918"/>
    <w:p w14:paraId="656F460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发包人应按照法律规定获得工程施工所需的许可。经发包人同意后，监理人发出的开工通知应符合法律规定。监理人应在计划开工日期7天前向承包人发出开工通知，工期自开工通知中载明的开工日期起算。</w:t>
      </w:r>
    </w:p>
    <w:p w14:paraId="4B5E2C7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因发包人原因造成监理人未能在计划开工日期之日起90天内发出开工通知的，承包人有权提出价格调整要求，或者解除合同。发包人应当承担由此增加的费用和（或）延误的工期，并向承包人支付合理利润。</w:t>
      </w:r>
    </w:p>
    <w:p w14:paraId="4EEC3BBF">
      <w:pPr>
        <w:spacing w:before="120" w:after="120" w:line="360" w:lineRule="auto"/>
        <w:ind w:firstLine="480" w:firstLineChars="200"/>
        <w:rPr>
          <w:rFonts w:ascii="宋体" w:hAnsi="宋体" w:eastAsia="宋体" w:cs="宋体"/>
          <w:color w:val="000000"/>
          <w:sz w:val="24"/>
        </w:rPr>
      </w:pPr>
      <w:bookmarkStart w:id="919" w:name="_Toc351203546"/>
      <w:r>
        <w:rPr>
          <w:rFonts w:hint="eastAsia" w:ascii="宋体" w:hAnsi="宋体" w:eastAsia="宋体" w:cs="宋体"/>
          <w:color w:val="000000"/>
          <w:sz w:val="24"/>
        </w:rPr>
        <w:t>7.4测量放线</w:t>
      </w:r>
      <w:bookmarkEnd w:id="919"/>
    </w:p>
    <w:p w14:paraId="6B9217E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7.4.1 除专用合同条款另有约定外，发包人应在至迟不得晚于第7.3.2项〔开工通知〕载明的开工日期前7天通过监理人向承包人提供测量基准点、基准线和水准点及其书面资料。发包人应对其提供的测量基准点、基准线和水准点及其书面资料的真实性、准确性和完整性负责。</w:t>
      </w:r>
    </w:p>
    <w:p w14:paraId="1A55A96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发现发包人提供的测量基准点、基准线和水准点及其书面资料存在错误或疏漏的，应及时通知监理人。监理人应及时报告发包人，并会同发包人和承包人予以核实。发包人应就如何处理和是否继续施工作出决定，并通知监理人和承包人。</w:t>
      </w:r>
    </w:p>
    <w:p w14:paraId="77AA79C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7.4.2 承包人负责施工过程中的全部施工测量放线工作，并配置具有相应资质的人员、合格的仪器、设备和其他物品。承包人应矫正工程的位置、标高、尺寸或准线中出现的任何差错，并对工程各部分的定位负责。</w:t>
      </w:r>
    </w:p>
    <w:p w14:paraId="1B106F4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施工过程中对施工现场内水准点等测量标志物的保护工作由承包人负责。</w:t>
      </w:r>
      <w:bookmarkStart w:id="920" w:name="_Toc351203547"/>
    </w:p>
    <w:p w14:paraId="02160314">
      <w:pPr>
        <w:spacing w:before="120"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w:t>
      </w:r>
      <w:bookmarkEnd w:id="913"/>
      <w:bookmarkEnd w:id="914"/>
      <w:bookmarkStart w:id="921" w:name="_Toc296346574"/>
      <w:bookmarkStart w:id="922" w:name="_Toc296503073"/>
      <w:bookmarkStart w:id="923" w:name="_Toc337558772"/>
      <w:r>
        <w:rPr>
          <w:rFonts w:hint="eastAsia" w:ascii="宋体" w:hAnsi="宋体" w:eastAsia="宋体" w:cs="宋体"/>
          <w:color w:val="000000"/>
          <w:sz w:val="24"/>
        </w:rPr>
        <w:t>.5 工期延误</w:t>
      </w:r>
      <w:bookmarkEnd w:id="920"/>
    </w:p>
    <w:bookmarkEnd w:id="921"/>
    <w:bookmarkEnd w:id="922"/>
    <w:bookmarkEnd w:id="923"/>
    <w:p w14:paraId="63E0F46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7.5.1 因发包人原因导致工期延误</w:t>
      </w:r>
    </w:p>
    <w:p w14:paraId="6149F90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在合同履行过程中，因下列情况导致工期延误和（或）费用增加的，由发包人承担由此延误的工期和（或）增加的费用，且发包人应支付承包人合理的利润： </w:t>
      </w:r>
    </w:p>
    <w:p w14:paraId="3FE17D5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（1）发包人未能按合同约定提供施工现场、施工条件、基础资料、许可、批准等开工条件的；</w:t>
      </w:r>
    </w:p>
    <w:p w14:paraId="5E6B28F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（2）发包人提供的测量基准点、基准线和水准点及其书面资料存在错误或疏漏的；</w:t>
      </w:r>
    </w:p>
    <w:p w14:paraId="74BCB1B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（3）发包人未能在计划开工日期之日起7天内同意下达开工通知的；</w:t>
      </w:r>
    </w:p>
    <w:p w14:paraId="1D7F7C8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（4）发包人未能按合同约定日期支付工程预付款、进度款或竣工结算款的；</w:t>
      </w:r>
    </w:p>
    <w:p w14:paraId="67123B3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（5）监理人未按合同约定发出指示、批准等文件的；</w:t>
      </w:r>
    </w:p>
    <w:p w14:paraId="1F11FFA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（6）专用合同条款中约定的其他情形。</w:t>
      </w:r>
    </w:p>
    <w:p w14:paraId="5D91623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未按计划开工日期开工的，发包人应按实际开工日期顺延竣工日期，确保实际工期不低于合同约定的工期总日历天数。因发包人原因导致工期延误需要修订施工进度计划的，按照第7.2.2项〔施工进度计划的修订〕执行。</w:t>
      </w:r>
    </w:p>
    <w:p w14:paraId="461C531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7.5.2 因承包人原因导致工期延误</w:t>
      </w:r>
    </w:p>
    <w:p w14:paraId="5BBFBA1C">
      <w:pPr>
        <w:autoSpaceDE w:val="0"/>
        <w:autoSpaceDN w:val="0"/>
        <w:adjustRightInd w:val="0"/>
        <w:spacing w:line="360" w:lineRule="auto"/>
        <w:ind w:firstLine="480" w:firstLineChars="200"/>
        <w:rPr>
          <w:rFonts w:ascii="宋体" w:hAnsi="宋体" w:eastAsia="宋体" w:cs="宋体"/>
          <w:color w:val="000000"/>
          <w:sz w:val="24"/>
        </w:rPr>
      </w:pPr>
      <w:bookmarkStart w:id="924" w:name="_Toc296346577"/>
      <w:bookmarkStart w:id="925" w:name="_Toc296503076"/>
      <w:r>
        <w:rPr>
          <w:rFonts w:hint="eastAsia" w:ascii="宋体" w:hAnsi="宋体" w:eastAsia="宋体" w:cs="宋体"/>
          <w:color w:val="000000"/>
          <w:sz w:val="24"/>
        </w:rPr>
        <w:t>因</w:t>
      </w:r>
      <w:bookmarkEnd w:id="924"/>
      <w:bookmarkEnd w:id="925"/>
      <w:r>
        <w:rPr>
          <w:rFonts w:hint="eastAsia" w:ascii="宋体" w:hAnsi="宋体" w:eastAsia="宋体" w:cs="宋体"/>
          <w:color w:val="000000"/>
          <w:sz w:val="24"/>
        </w:rPr>
        <w:t>承包人原因造成工期延误的，可以在专用合同条款中约定逾期竣工违约金的计算方法和逾期竣工违约金的上限。承包人支付逾期竣工违约金后，不免除承包人继续完成工程及修补缺陷的义务。</w:t>
      </w:r>
    </w:p>
    <w:p w14:paraId="598D0EF1">
      <w:pPr>
        <w:spacing w:before="120" w:after="120" w:line="360" w:lineRule="auto"/>
        <w:ind w:firstLine="480" w:firstLineChars="200"/>
        <w:rPr>
          <w:rFonts w:ascii="宋体" w:hAnsi="宋体" w:eastAsia="宋体" w:cs="宋体"/>
          <w:color w:val="000000"/>
          <w:sz w:val="24"/>
        </w:rPr>
      </w:pPr>
      <w:bookmarkStart w:id="926" w:name="_Toc351203548"/>
      <w:r>
        <w:rPr>
          <w:rFonts w:hint="eastAsia" w:ascii="宋体" w:hAnsi="宋体" w:eastAsia="宋体" w:cs="宋体"/>
          <w:color w:val="000000"/>
          <w:sz w:val="24"/>
        </w:rPr>
        <w:t>7</w:t>
      </w:r>
      <w:bookmarkStart w:id="927" w:name="_Toc337558773"/>
      <w:bookmarkStart w:id="928" w:name="_Toc296346575"/>
      <w:bookmarkStart w:id="929" w:name="_Toc296503074"/>
      <w:bookmarkStart w:id="930" w:name="_Toc296503077"/>
      <w:bookmarkStart w:id="931" w:name="_Toc296346578"/>
      <w:r>
        <w:rPr>
          <w:rFonts w:hint="eastAsia" w:ascii="宋体" w:hAnsi="宋体" w:eastAsia="宋体" w:cs="宋体"/>
          <w:color w:val="000000"/>
          <w:sz w:val="24"/>
        </w:rPr>
        <w:t>.6 不利物质条件</w:t>
      </w:r>
      <w:bookmarkEnd w:id="926"/>
    </w:p>
    <w:bookmarkEnd w:id="927"/>
    <w:bookmarkEnd w:id="928"/>
    <w:bookmarkEnd w:id="929"/>
    <w:p w14:paraId="53FA78D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不利物质条件是指有经验的承包人在施工现场遇到的不可预见的自然物质条件、非自然的物质障碍和污染物，包括地表以下物质条件和水文条件以及专用合同条款约定的其他情形，但不包括气候条件。</w:t>
      </w:r>
    </w:p>
    <w:p w14:paraId="63B7E0F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遇到不利物质条件时，应采取克服不利物质条件的合理措施继续施工，并及时通知发包人和监理人。通知应载明不利物质条件的内容以及承包人认为不可预见的理由。监理人经发包人同意后应当及时发出指示，指示构成变更的，按第10条〔变更〕约定执行。承包人因采取合理措施而增加的费用和（或）延误的工期由发包人承担。</w:t>
      </w:r>
    </w:p>
    <w:p w14:paraId="5D719CCA">
      <w:pPr>
        <w:spacing w:before="120" w:after="120" w:line="360" w:lineRule="auto"/>
        <w:ind w:firstLine="480" w:firstLineChars="200"/>
        <w:rPr>
          <w:rFonts w:ascii="宋体" w:hAnsi="宋体" w:eastAsia="宋体" w:cs="宋体"/>
          <w:color w:val="000000"/>
          <w:sz w:val="24"/>
        </w:rPr>
      </w:pPr>
      <w:bookmarkStart w:id="932" w:name="_Toc351203549"/>
      <w:r>
        <w:rPr>
          <w:rFonts w:hint="eastAsia" w:ascii="宋体" w:hAnsi="宋体" w:eastAsia="宋体" w:cs="宋体"/>
          <w:color w:val="000000"/>
          <w:sz w:val="24"/>
        </w:rPr>
        <w:t>7</w:t>
      </w:r>
      <w:bookmarkStart w:id="933" w:name="_Toc296503075"/>
      <w:bookmarkStart w:id="934" w:name="_Toc337558774"/>
      <w:bookmarkStart w:id="935" w:name="_Toc296346576"/>
      <w:r>
        <w:rPr>
          <w:rFonts w:hint="eastAsia" w:ascii="宋体" w:hAnsi="宋体" w:eastAsia="宋体" w:cs="宋体"/>
          <w:color w:val="000000"/>
          <w:sz w:val="24"/>
        </w:rPr>
        <w:t>.7 异常恶劣的气候条件</w:t>
      </w:r>
      <w:bookmarkEnd w:id="932"/>
    </w:p>
    <w:bookmarkEnd w:id="933"/>
    <w:bookmarkEnd w:id="934"/>
    <w:bookmarkEnd w:id="935"/>
    <w:p w14:paraId="205B2D2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异常恶劣的气候条件是指在施工过程中遇到的，有经验的承包人在签订合同时不可预见的，对合同履行造成实质性影响的，但尚未构成不可抗力事件的恶劣气候条件。合同当事人可以在专用合同条款中约定异常恶劣的气候条件的具体情形。</w:t>
      </w:r>
    </w:p>
    <w:p w14:paraId="428CE5A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采取克服异常恶劣的气候条件的合理措施继续施工，并及时通知发包人和监理人。监理人经发包人同意后应当及时发出指示，指示构成变更的，按第10条〔变更〕约定办理。承包人因采取合理措施而增加的费用和（或）延误的工期由发包人承担。</w:t>
      </w:r>
      <w:bookmarkStart w:id="936" w:name="_Toc351203550"/>
    </w:p>
    <w:p w14:paraId="3AA60ACC">
      <w:pPr>
        <w:autoSpaceDE w:val="0"/>
        <w:autoSpaceDN w:val="0"/>
        <w:adjustRightInd w:val="0"/>
        <w:spacing w:line="360" w:lineRule="auto"/>
        <w:ind w:firstLine="480" w:firstLineChars="200"/>
        <w:rPr>
          <w:rFonts w:ascii="宋体" w:hAnsi="宋体" w:eastAsia="宋体" w:cs="宋体"/>
          <w:bCs/>
          <w:color w:val="000000"/>
          <w:sz w:val="24"/>
        </w:rPr>
      </w:pPr>
      <w:bookmarkStart w:id="937" w:name="_Toc13639"/>
      <w:bookmarkStart w:id="938" w:name="_Toc6934"/>
      <w:bookmarkStart w:id="939" w:name="_Toc3570"/>
      <w:bookmarkStart w:id="940" w:name="_Toc10409"/>
      <w:r>
        <w:rPr>
          <w:rFonts w:hint="eastAsia" w:ascii="宋体" w:hAnsi="宋体" w:eastAsia="宋体" w:cs="宋体"/>
          <w:bCs/>
          <w:color w:val="000000"/>
          <w:sz w:val="24"/>
        </w:rPr>
        <w:t>7</w:t>
      </w:r>
      <w:bookmarkStart w:id="941" w:name="_Toc337558775"/>
      <w:r>
        <w:rPr>
          <w:rFonts w:hint="eastAsia" w:ascii="宋体" w:hAnsi="宋体" w:eastAsia="宋体" w:cs="宋体"/>
          <w:bCs/>
          <w:color w:val="000000"/>
          <w:sz w:val="24"/>
        </w:rPr>
        <w:t>.8 暂停施工</w:t>
      </w:r>
      <w:bookmarkEnd w:id="936"/>
      <w:bookmarkEnd w:id="937"/>
      <w:bookmarkEnd w:id="938"/>
      <w:bookmarkEnd w:id="939"/>
      <w:bookmarkEnd w:id="940"/>
    </w:p>
    <w:bookmarkEnd w:id="930"/>
    <w:bookmarkEnd w:id="931"/>
    <w:bookmarkEnd w:id="941"/>
    <w:p w14:paraId="6028309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7.8.1发包人原因引起的暂停施工</w:t>
      </w:r>
    </w:p>
    <w:p w14:paraId="7E960ED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因发包人原因引起暂停施工的，监理人经发包人同意后，应及时下达暂停施工指示。情况紧急且监理人未及时下达暂停施工指示的，按照第7.8.4项〔紧急情况下的暂停施工〕执行。</w:t>
      </w:r>
    </w:p>
    <w:p w14:paraId="25D9FA0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因发包人原因引起的暂停施工，发包人应承担由此增加的费用和（或）延误的工期，</w:t>
      </w:r>
      <w:r>
        <w:rPr>
          <w:rFonts w:hint="eastAsia" w:ascii="宋体" w:hAnsi="宋体" w:eastAsia="宋体" w:cs="宋体"/>
          <w:sz w:val="24"/>
        </w:rPr>
        <w:t>并支付承包人</w:t>
      </w:r>
      <w:r>
        <w:rPr>
          <w:rFonts w:hint="eastAsia" w:ascii="宋体" w:hAnsi="宋体" w:eastAsia="宋体" w:cs="宋体"/>
          <w:color w:val="000000"/>
          <w:sz w:val="24"/>
        </w:rPr>
        <w:t>合理的利润。</w:t>
      </w:r>
    </w:p>
    <w:p w14:paraId="284C884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7.8.2 承包人原因引起的暂停施工</w:t>
      </w:r>
    </w:p>
    <w:p w14:paraId="17374AC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引起的暂停施工，承包人应承担由此增加的费用和（或）延误的工期，且承包人在收到监理人复工指示后84天内仍未复工的，视为第16.2.1项〔承包人违约的情形〕第（7）目约定的承包人无法继续履行合同的情形。</w:t>
      </w:r>
    </w:p>
    <w:p w14:paraId="1ACBEAC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7.8.3 指示暂停施工</w:t>
      </w:r>
    </w:p>
    <w:p w14:paraId="03D64E3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监理人认为有必要时，并经发包人批准后，可向承包人作出暂停施工的指示，承包人应按监理人指示暂停施工。</w:t>
      </w:r>
    </w:p>
    <w:p w14:paraId="34F0E11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7.8.4 紧急情况下的暂停施工</w:t>
      </w:r>
    </w:p>
    <w:p w14:paraId="6F4B270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紧急情况需暂停施工，且监理人未及时下达暂停施工指示的，承包人可先暂停施工，并及时通知监理人。监理人应在接到通知后24小时内发出指示，逾期未发出指示，视为同意承包人暂停施工。监理人不同意承包人暂停施工的，应说明理由，承包人对监理人的答复有异议，按照第20条〔争议解决〕约定处理。</w:t>
      </w:r>
    </w:p>
    <w:p w14:paraId="44BB3BD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7.8.5 暂停施工后的复工</w:t>
      </w:r>
    </w:p>
    <w:p w14:paraId="32A69AE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暂停施工后，发包人和承包人应采取有效措施积极消除暂停施工的影响。在工程复工前，监理人会同发包人和承包人确定因暂停施工造成的损失，并确定工程复工条件。当工程具备复工条件时，监理人应经发包人批准后向承包人发出复工通知，承包人应按照复工通知要求复工。</w:t>
      </w:r>
    </w:p>
    <w:p w14:paraId="56F4355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承包人无故拖延和拒绝复工的，承包人承担由此增加的费用和（或）延误的工期；因发包人原因无法按时复工的，按照第7.5.1项〔因发包人原因导致工期延误〕约定办理。</w:t>
      </w:r>
    </w:p>
    <w:p w14:paraId="2114E92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7.8.6 暂停施工持续56天以上</w:t>
      </w:r>
    </w:p>
    <w:p w14:paraId="2F1EECAC">
      <w:pPr>
        <w:spacing w:line="360" w:lineRule="auto"/>
        <w:ind w:firstLine="468" w:firstLineChars="195"/>
        <w:rPr>
          <w:rFonts w:ascii="宋体" w:hAnsi="宋体" w:eastAsia="宋体" w:cs="宋体"/>
          <w:color w:val="000000"/>
          <w:sz w:val="24"/>
        </w:rPr>
      </w:pPr>
      <w:r>
        <w:rPr>
          <w:rFonts w:hint="eastAsia" w:ascii="宋体" w:hAnsi="宋体" w:eastAsia="宋体" w:cs="宋体"/>
          <w:color w:val="000000"/>
          <w:sz w:val="24"/>
        </w:rPr>
        <w:t>监理人发出暂停施工指示后56天内未向承包人发出复工通知，除该项停工属于第7.8.2项〔承包人原因引起的暂停施工〕及第17条〔不可抗力〕约定的情形外，承包人可向发包人提交书面通知，要求发包人在收到书面通知后28天内准许已暂停施工的部分或全部工程继续施工。发包人逾期不予批准的，则承包人可以通知发包人，将工程受影响的部分视为按第10.1款〔变更的范围〕第（2）项的可取消工作。</w:t>
      </w:r>
    </w:p>
    <w:p w14:paraId="305F1B03">
      <w:pPr>
        <w:spacing w:line="360" w:lineRule="auto"/>
        <w:ind w:firstLine="468" w:firstLineChars="195"/>
        <w:rPr>
          <w:rFonts w:ascii="宋体" w:hAnsi="宋体" w:eastAsia="宋体" w:cs="宋体"/>
          <w:color w:val="000000"/>
          <w:sz w:val="24"/>
        </w:rPr>
      </w:pPr>
      <w:r>
        <w:rPr>
          <w:rFonts w:hint="eastAsia" w:ascii="宋体" w:hAnsi="宋体" w:eastAsia="宋体" w:cs="宋体"/>
          <w:color w:val="000000"/>
          <w:sz w:val="24"/>
        </w:rPr>
        <w:t>暂停施工持续84天以上不复工的，且不属于第7.8.2项〔承包人原因引起的暂停施工〕及第17条〔不可抗力〕约定的情形，并影响到整个工程以及合同目的实现的，承包人有权提出价格调整要求，或者解除合同。解除合同的，按照第16.1.3项〔因发包人违约解除合同〕执行。</w:t>
      </w:r>
    </w:p>
    <w:p w14:paraId="7273FFA0">
      <w:pPr>
        <w:spacing w:line="360" w:lineRule="auto"/>
        <w:ind w:left="16" w:firstLine="468" w:firstLineChars="195"/>
        <w:rPr>
          <w:rFonts w:ascii="宋体" w:hAnsi="宋体" w:eastAsia="宋体" w:cs="宋体"/>
          <w:color w:val="000000"/>
          <w:sz w:val="24"/>
        </w:rPr>
      </w:pPr>
      <w:r>
        <w:rPr>
          <w:rFonts w:hint="eastAsia" w:ascii="宋体" w:hAnsi="宋体" w:eastAsia="宋体" w:cs="宋体"/>
          <w:color w:val="000000"/>
          <w:sz w:val="24"/>
        </w:rPr>
        <w:t>7.8.7 暂停施工期间的工程照管</w:t>
      </w:r>
    </w:p>
    <w:p w14:paraId="259BDA8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暂停施工期间，承包人应负责妥善照管工程并提供安全保障，由此增加的费用由责任方承担。</w:t>
      </w:r>
    </w:p>
    <w:p w14:paraId="21E441C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7.8.8 暂停施工的措施</w:t>
      </w:r>
    </w:p>
    <w:p w14:paraId="4D9A057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暂停施工期间，发包人和承包人均应采取必要的措施确保工程质量及安全，防止因暂停施工扩大损失。</w:t>
      </w:r>
    </w:p>
    <w:p w14:paraId="7984089D">
      <w:pPr>
        <w:spacing w:before="120" w:after="120" w:line="360" w:lineRule="auto"/>
        <w:ind w:firstLine="480" w:firstLineChars="200"/>
        <w:rPr>
          <w:rFonts w:ascii="宋体" w:hAnsi="宋体" w:eastAsia="宋体" w:cs="宋体"/>
          <w:color w:val="000000"/>
          <w:sz w:val="24"/>
        </w:rPr>
      </w:pPr>
      <w:bookmarkStart w:id="942" w:name="_Toc351203551"/>
      <w:r>
        <w:rPr>
          <w:rFonts w:hint="eastAsia" w:ascii="宋体" w:hAnsi="宋体" w:eastAsia="宋体" w:cs="宋体"/>
          <w:color w:val="000000"/>
          <w:sz w:val="24"/>
        </w:rPr>
        <w:t>7.9提前竣工</w:t>
      </w:r>
      <w:bookmarkEnd w:id="942"/>
    </w:p>
    <w:p w14:paraId="63AB788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7.9.1 发包人要求承包人提前竣工的，发包人应通过监理人向承包人下达提前竣工指示，承包人应向发包人和监理人提交提前竣工建议书，提前竣工建议书应包括实施的方案、缩短的时间、增加的合同价格等内容。发包人接受该提前竣工建议书的，监理人应与发包人和承包人协商采取加快工程进度的措施，并修订施工进度计划，由此增加的费用由发包人承担。承包人认为提前竣工指示无法执行的，应向监理人和发包人提出书面异议，发包人和监理人应在收到异议后7天内予以答复。任何情况下，发包人不得压缩合理工期。</w:t>
      </w:r>
    </w:p>
    <w:p w14:paraId="63BAAEE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7.9.2 发包人要求承包人提前竣工，或承包人提出提前竣工的建议能够给发包人带来效益的，合同当事人可以在专用合同条款中约定提前竣工的奖励。</w:t>
      </w:r>
    </w:p>
    <w:p w14:paraId="020695ED">
      <w:pPr>
        <w:spacing w:before="120" w:after="120" w:line="360" w:lineRule="auto"/>
        <w:rPr>
          <w:rFonts w:ascii="宋体" w:hAnsi="宋体" w:eastAsia="宋体" w:cs="宋体"/>
          <w:color w:val="000000"/>
          <w:sz w:val="24"/>
        </w:rPr>
      </w:pPr>
      <w:bookmarkStart w:id="943" w:name="_Toc351203552"/>
      <w:r>
        <w:rPr>
          <w:rFonts w:hint="eastAsia" w:ascii="宋体" w:hAnsi="宋体" w:eastAsia="宋体" w:cs="宋体"/>
          <w:color w:val="000000"/>
          <w:sz w:val="24"/>
        </w:rPr>
        <w:t>8</w:t>
      </w:r>
      <w:bookmarkStart w:id="944" w:name="_Toc296346559"/>
      <w:bookmarkStart w:id="945" w:name="_Toc296503058"/>
      <w:bookmarkStart w:id="946" w:name="_Toc337558776"/>
      <w:r>
        <w:rPr>
          <w:rFonts w:hint="eastAsia" w:ascii="宋体" w:hAnsi="宋体" w:eastAsia="宋体" w:cs="宋体"/>
          <w:color w:val="000000"/>
          <w:sz w:val="24"/>
        </w:rPr>
        <w:t>. 材料与设备</w:t>
      </w:r>
      <w:bookmarkEnd w:id="943"/>
    </w:p>
    <w:bookmarkEnd w:id="944"/>
    <w:bookmarkEnd w:id="945"/>
    <w:bookmarkEnd w:id="946"/>
    <w:p w14:paraId="667269A5">
      <w:pPr>
        <w:spacing w:before="120" w:after="120" w:line="360" w:lineRule="auto"/>
        <w:ind w:firstLine="480" w:firstLineChars="200"/>
        <w:rPr>
          <w:rFonts w:ascii="宋体" w:hAnsi="宋体" w:eastAsia="宋体" w:cs="宋体"/>
          <w:color w:val="000000"/>
          <w:sz w:val="24"/>
        </w:rPr>
      </w:pPr>
      <w:bookmarkStart w:id="947" w:name="_Toc351203553"/>
      <w:r>
        <w:rPr>
          <w:rFonts w:hint="eastAsia" w:ascii="宋体" w:hAnsi="宋体" w:eastAsia="宋体" w:cs="宋体"/>
          <w:color w:val="000000"/>
          <w:sz w:val="24"/>
        </w:rPr>
        <w:t>8</w:t>
      </w:r>
      <w:bookmarkStart w:id="948" w:name="_Toc296503059"/>
      <w:bookmarkStart w:id="949" w:name="_Toc337558777"/>
      <w:bookmarkStart w:id="950" w:name="_Toc296346560"/>
      <w:bookmarkStart w:id="951" w:name="_Toc468936960"/>
      <w:r>
        <w:rPr>
          <w:rFonts w:hint="eastAsia" w:ascii="宋体" w:hAnsi="宋体" w:eastAsia="宋体" w:cs="宋体"/>
          <w:color w:val="000000"/>
          <w:sz w:val="24"/>
        </w:rPr>
        <w:t>.1发包人供应材料与工程设备</w:t>
      </w:r>
      <w:bookmarkEnd w:id="947"/>
    </w:p>
    <w:bookmarkEnd w:id="948"/>
    <w:bookmarkEnd w:id="949"/>
    <w:bookmarkEnd w:id="950"/>
    <w:p w14:paraId="2B81D6E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发包人自行供应材料、工程设备的，应在签订合同时在专用合同条款的附件《发包人供应材料设备一览表》中明确材料、工程设备的品种、规格、型号、数量、单价、质量等级和送达地点。</w:t>
      </w:r>
    </w:p>
    <w:p w14:paraId="01065DF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提前30天通过监理人以书面形式通知发包人供应材料与工程设备进场。承包人按照第7.2.2项〔施工进度计划的修订〕约定修订施工进度计划时，需同时提交经修订后的发包人供应材料与工程设备的进场计划。</w:t>
      </w:r>
    </w:p>
    <w:p w14:paraId="4AC0D95D">
      <w:pPr>
        <w:spacing w:before="120" w:after="120" w:line="360" w:lineRule="auto"/>
        <w:ind w:firstLine="480" w:firstLineChars="200"/>
        <w:rPr>
          <w:rFonts w:ascii="宋体" w:hAnsi="宋体" w:eastAsia="宋体" w:cs="宋体"/>
          <w:color w:val="000000"/>
          <w:sz w:val="24"/>
        </w:rPr>
      </w:pPr>
      <w:bookmarkStart w:id="952" w:name="_Toc351203554"/>
      <w:r>
        <w:rPr>
          <w:rFonts w:hint="eastAsia" w:ascii="宋体" w:hAnsi="宋体" w:eastAsia="宋体" w:cs="宋体"/>
          <w:color w:val="000000"/>
          <w:sz w:val="24"/>
        </w:rPr>
        <w:t>8</w:t>
      </w:r>
      <w:bookmarkStart w:id="953" w:name="_Toc296346561"/>
      <w:bookmarkStart w:id="954" w:name="_Toc296503060"/>
      <w:bookmarkStart w:id="955" w:name="_Toc337558778"/>
      <w:r>
        <w:rPr>
          <w:rFonts w:hint="eastAsia" w:ascii="宋体" w:hAnsi="宋体" w:eastAsia="宋体" w:cs="宋体"/>
          <w:color w:val="000000"/>
          <w:sz w:val="24"/>
        </w:rPr>
        <w:t>.2承包人采购材料与工程设备</w:t>
      </w:r>
      <w:bookmarkEnd w:id="952"/>
    </w:p>
    <w:bookmarkEnd w:id="953"/>
    <w:bookmarkEnd w:id="954"/>
    <w:bookmarkEnd w:id="955"/>
    <w:p w14:paraId="3D4A1E3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负责采购材料、工程设备的，应按照设计和有关标准要求采购，并提供产品合格证明及出厂证明，对材料、工程设备质量负责。合同约定由承包人采购的材料、工程设备，发包人不得指定生产厂家或供应商，发包人违反本款约定指定生产厂家或供应商的，承包人有权拒绝，并由发包人承担相应责任。</w:t>
      </w:r>
    </w:p>
    <w:p w14:paraId="7749E18F">
      <w:pPr>
        <w:spacing w:before="120" w:after="120" w:line="360" w:lineRule="auto"/>
        <w:ind w:firstLine="480" w:firstLineChars="200"/>
        <w:rPr>
          <w:rFonts w:ascii="宋体" w:hAnsi="宋体" w:eastAsia="宋体" w:cs="宋体"/>
          <w:color w:val="000000"/>
          <w:sz w:val="24"/>
        </w:rPr>
      </w:pPr>
      <w:bookmarkStart w:id="956" w:name="_Toc351203555"/>
      <w:r>
        <w:rPr>
          <w:rFonts w:hint="eastAsia" w:ascii="宋体" w:hAnsi="宋体" w:eastAsia="宋体" w:cs="宋体"/>
          <w:color w:val="000000"/>
          <w:sz w:val="24"/>
        </w:rPr>
        <w:t>8</w:t>
      </w:r>
      <w:bookmarkStart w:id="957" w:name="_Toc337558779"/>
      <w:bookmarkStart w:id="958" w:name="_Toc296503061"/>
      <w:bookmarkStart w:id="959" w:name="_Toc296346562"/>
      <w:r>
        <w:rPr>
          <w:rFonts w:hint="eastAsia" w:ascii="宋体" w:hAnsi="宋体" w:eastAsia="宋体" w:cs="宋体"/>
          <w:color w:val="000000"/>
          <w:sz w:val="24"/>
        </w:rPr>
        <w:t>.3材料与工程设备的接收与拒收</w:t>
      </w:r>
      <w:bookmarkEnd w:id="956"/>
    </w:p>
    <w:bookmarkEnd w:id="957"/>
    <w:bookmarkEnd w:id="958"/>
    <w:bookmarkEnd w:id="959"/>
    <w:p w14:paraId="2B04BD1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8.3.1 发包人应按《发包人供应材料设备一览表》约定的内容提供材料和工程设备，并向承包人提供产品合格证明及出厂证明，对其质量负责。发包人应提前24小时以书面形式通知承包人、监理人材料和工程设备到货时间，承包人负责材料和工程设备的清点、检验和接收。</w:t>
      </w:r>
    </w:p>
    <w:p w14:paraId="0F24F7D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发包人提供的材料和工程设备的规格、数量或质量不符合合同约定的，或因发包人原因导致交货日期延误或交货地点变更等情况的，按照第16.1款〔发包人违约〕约定办理。</w:t>
      </w:r>
    </w:p>
    <w:p w14:paraId="2F57F02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8.3.2 承包人采购的材料和工程设备，应保证产品质量合格，承包人应在材料和工程设备到货前24小时通知监理人检验。承</w:t>
      </w:r>
      <w:bookmarkStart w:id="960" w:name="_Toc250655469"/>
      <w:r>
        <w:rPr>
          <w:rFonts w:hint="eastAsia" w:ascii="宋体" w:hAnsi="宋体" w:eastAsia="宋体" w:cs="宋体"/>
          <w:color w:val="000000"/>
          <w:sz w:val="24"/>
        </w:rPr>
        <w:t>包人进行永久设备、材料的制造和生产的，应符合相关质量标准，并向监理人提交材料的样本以及有关资料，并应在使用该材料或工程设备之前获得监理人同意。</w:t>
      </w:r>
    </w:p>
    <w:bookmarkEnd w:id="960"/>
    <w:p w14:paraId="35819A16">
      <w:pPr>
        <w:autoSpaceDE w:val="0"/>
        <w:autoSpaceDN w:val="0"/>
        <w:adjustRightInd w:val="0"/>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 xml:space="preserve"> 承包人采购的材料和工程设备不符合设计或有关标准要求时，承包人应在监理人要求的合理期限内将不符合设计或有关标准要求的材料、工程设备运出施工现场，并重新采购符合要求的材料、工程设备，由此增加的费用和（或）延误的工期，由承包人承担。</w:t>
      </w:r>
    </w:p>
    <w:p w14:paraId="219FAC05">
      <w:pPr>
        <w:spacing w:before="120" w:after="120" w:line="360" w:lineRule="auto"/>
        <w:ind w:firstLine="480" w:firstLineChars="200"/>
        <w:rPr>
          <w:rFonts w:ascii="宋体" w:hAnsi="宋体" w:eastAsia="宋体" w:cs="宋体"/>
          <w:color w:val="000000"/>
          <w:sz w:val="24"/>
        </w:rPr>
      </w:pPr>
      <w:bookmarkStart w:id="961" w:name="_Toc351203556"/>
      <w:r>
        <w:rPr>
          <w:rFonts w:hint="eastAsia" w:ascii="宋体" w:hAnsi="宋体" w:eastAsia="宋体" w:cs="宋体"/>
          <w:color w:val="000000"/>
          <w:sz w:val="24"/>
        </w:rPr>
        <w:t>8</w:t>
      </w:r>
      <w:bookmarkStart w:id="962" w:name="_Toc296503062"/>
      <w:bookmarkStart w:id="963" w:name="_Toc296346563"/>
      <w:bookmarkStart w:id="964" w:name="_Toc337558780"/>
      <w:r>
        <w:rPr>
          <w:rFonts w:hint="eastAsia" w:ascii="宋体" w:hAnsi="宋体" w:eastAsia="宋体" w:cs="宋体"/>
          <w:color w:val="000000"/>
          <w:sz w:val="24"/>
        </w:rPr>
        <w:t>.4材料与工程设备的保管与使用</w:t>
      </w:r>
      <w:bookmarkEnd w:id="961"/>
    </w:p>
    <w:bookmarkEnd w:id="962"/>
    <w:bookmarkEnd w:id="963"/>
    <w:bookmarkEnd w:id="964"/>
    <w:p w14:paraId="6D48133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8.4.1 发包人供应材料与工程设备的保管与使用</w:t>
      </w:r>
    </w:p>
    <w:p w14:paraId="63E2D1E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供应的材料和工程设备，承包人清点后由承包人妥善保管，保管费用由发包人承担，但已标价工程量清单或预算书已经列支或专用合同条款另有约定除外。因承包人原因发生丢失毁损的，由承包人负责赔偿；监理人未通知承包人清点的，承包人不负责材料和工程设备的保管，由此导致丢失毁损的由发包人负责。</w:t>
      </w:r>
    </w:p>
    <w:p w14:paraId="1A21F51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发包人供应的材料和工程设备使用前，由承包人负责检验，检验费用由发包人承担，不合格的不得使用。</w:t>
      </w:r>
    </w:p>
    <w:p w14:paraId="0EE154A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8.4.2 承包人采购材料与工程设备的保管与使用</w:t>
      </w:r>
    </w:p>
    <w:p w14:paraId="7257CFD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采购的材料和工程设备由承包人妥善保管，保管费用由承包人承担。法律规定材料和工程设备使用前必须进行检验或试验的，承包人应按监理人的要求进行检验或试验，检验或试验费用由承包人承担，不合格的不得使用。</w:t>
      </w:r>
    </w:p>
    <w:p w14:paraId="0ED146C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发包人或监理人发现承包人使用不符合设计或有关标准要求的材料和工程设备时，有权要求承包人进行修复、拆除或重新采购，由此增加的费用和（或）延误的工期，由承包人承担。</w:t>
      </w:r>
    </w:p>
    <w:p w14:paraId="5260059B">
      <w:pPr>
        <w:spacing w:before="120" w:after="120" w:line="360" w:lineRule="auto"/>
        <w:ind w:firstLine="480" w:firstLineChars="200"/>
        <w:rPr>
          <w:rFonts w:ascii="宋体" w:hAnsi="宋体" w:eastAsia="宋体" w:cs="宋体"/>
          <w:color w:val="000000"/>
          <w:sz w:val="24"/>
        </w:rPr>
      </w:pPr>
      <w:bookmarkStart w:id="965" w:name="_Toc351203557"/>
      <w:r>
        <w:rPr>
          <w:rFonts w:hint="eastAsia" w:ascii="宋体" w:hAnsi="宋体" w:eastAsia="宋体" w:cs="宋体"/>
          <w:color w:val="000000"/>
          <w:sz w:val="24"/>
        </w:rPr>
        <w:t>8.5禁止使用不合格的材料和工程设备</w:t>
      </w:r>
      <w:bookmarkEnd w:id="965"/>
    </w:p>
    <w:p w14:paraId="1898D92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8.5.1 监理人有权拒绝承包人提供的不合格材料或工程设备，并要求承包人立即进行更换。监理人应在更换后再次进行检查和检验，由此增加的费用和（或）延误的工期由承包人承担。</w:t>
      </w:r>
    </w:p>
    <w:p w14:paraId="10C610C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8.5.2 监理人发现承包人使用了不合格的材料和工程设备，承包人应按照监理人的指示立即改正，并禁止在工程中继续使用不合格的材料和工程设备。</w:t>
      </w:r>
    </w:p>
    <w:p w14:paraId="588FC75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8.5.3 发包人提供的材料或工程设备不符合合同要求的，承包人有权拒绝，并可要求发包人更换，由此增加的费用和（或）延误的工期由发包人承担，并支付承包人合理的利润。</w:t>
      </w:r>
    </w:p>
    <w:p w14:paraId="5E6144FD">
      <w:pPr>
        <w:spacing w:before="120" w:after="120" w:line="360" w:lineRule="auto"/>
        <w:ind w:firstLine="480" w:firstLineChars="200"/>
        <w:rPr>
          <w:rFonts w:ascii="宋体" w:hAnsi="宋体" w:eastAsia="宋体" w:cs="宋体"/>
          <w:color w:val="000000"/>
          <w:sz w:val="24"/>
        </w:rPr>
      </w:pPr>
      <w:bookmarkStart w:id="966" w:name="_Toc351203558"/>
      <w:r>
        <w:rPr>
          <w:rFonts w:hint="eastAsia" w:ascii="宋体" w:hAnsi="宋体" w:eastAsia="宋体" w:cs="宋体"/>
          <w:color w:val="000000"/>
          <w:sz w:val="24"/>
        </w:rPr>
        <w:t>8.6 样品</w:t>
      </w:r>
      <w:bookmarkEnd w:id="966"/>
    </w:p>
    <w:p w14:paraId="24CDC12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8.6.1</w:t>
      </w:r>
      <w:r>
        <w:rPr>
          <w:rFonts w:hint="eastAsia" w:ascii="宋体" w:hAnsi="宋体" w:eastAsia="宋体" w:cs="宋体"/>
          <w:color w:val="000000"/>
          <w:sz w:val="24"/>
        </w:rPr>
        <w:tab/>
      </w:r>
      <w:r>
        <w:rPr>
          <w:rFonts w:hint="eastAsia" w:ascii="宋体" w:hAnsi="宋体" w:eastAsia="宋体" w:cs="宋体"/>
          <w:color w:val="000000"/>
          <w:sz w:val="24"/>
        </w:rPr>
        <w:t>样品的报送与封存</w:t>
      </w:r>
    </w:p>
    <w:p w14:paraId="3E09A66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需要承包人报送样品的材料或工程设备，样品的种类、名称、规格、数量等要求均应在专用合同条款中约定。样品的报送程序如下：</w:t>
      </w:r>
    </w:p>
    <w:p w14:paraId="765AB5A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在计划采购前28天向监理人报送样品。承包人报送的样品均应来自供应材料的实际生产地，且提供的样品的规格、数量足以表明材料或工程设备的质量、型号、颜色、表面处理、质地、误差和其他要求的特征。</w:t>
      </w:r>
    </w:p>
    <w:p w14:paraId="4BC6B8F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每次报送样品时应随附申报单，申报单应载明报送样品的相关数据和资料，并标明每件样品对应的图纸号，预留监理人批复意见栏。监理人应在收到承包人报送的样品后7天向承包人回复经发包人签认的样品审批意见。</w:t>
      </w:r>
    </w:p>
    <w:p w14:paraId="642AC78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（3）经发包人和监理人审批确认的样品应按约定的方法封样，封存的样品作为检验工程相关部分的标准之一。承包人在施工过程中不得使用与样品不符的材料或工程设备。</w:t>
      </w:r>
    </w:p>
    <w:p w14:paraId="778553D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发包人和监理人对样品的审批确认仅为确认相关材料或工程设备的特征或用途，不得被理解为对合同的修改或改变，也并不减轻或免除承包人任何的责任和义务。如果封存的样品修改或改变了合同约定，合同当事人应当以书面协议予以确认。</w:t>
      </w:r>
    </w:p>
    <w:p w14:paraId="08693EC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8.6.2 样品的保管</w:t>
      </w:r>
    </w:p>
    <w:p w14:paraId="5D7A240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经批准的样品应由监理人负责封存于现场，承包人应在现场为保存样品提供适当和固定的场所并保持适当和良好的存储环境条件。</w:t>
      </w:r>
    </w:p>
    <w:p w14:paraId="2772AACA">
      <w:pPr>
        <w:spacing w:before="120" w:after="120" w:line="360" w:lineRule="auto"/>
        <w:ind w:firstLine="480" w:firstLineChars="200"/>
        <w:rPr>
          <w:rFonts w:ascii="宋体" w:hAnsi="宋体" w:eastAsia="宋体" w:cs="宋体"/>
          <w:color w:val="000000"/>
          <w:sz w:val="24"/>
        </w:rPr>
      </w:pPr>
      <w:bookmarkStart w:id="967" w:name="_Toc351203559"/>
      <w:r>
        <w:rPr>
          <w:rFonts w:hint="eastAsia" w:ascii="宋体" w:hAnsi="宋体" w:eastAsia="宋体" w:cs="宋体"/>
          <w:color w:val="000000"/>
          <w:sz w:val="24"/>
        </w:rPr>
        <w:t>8.7材料与工程设备的替代</w:t>
      </w:r>
      <w:bookmarkEnd w:id="967"/>
    </w:p>
    <w:p w14:paraId="42D81AE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8.7.1 出现下列情况需要使用替代材料和工程设备的，承包人应按照第8.7.2项约定的程序执行：</w:t>
      </w:r>
    </w:p>
    <w:p w14:paraId="4F86EC7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（1）基准日期后生效的法律规定禁止使用的；</w:t>
      </w:r>
    </w:p>
    <w:p w14:paraId="0CE4AE0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（2）发包人要求使用替代品的；</w:t>
      </w:r>
    </w:p>
    <w:p w14:paraId="48EB37A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（3）因其他原因必须使用替代品的。</w:t>
      </w:r>
    </w:p>
    <w:p w14:paraId="5ED3174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8.7.2 承包人应在使用替代材料和工程设备28天前书面通知监理人，并附下列文件：</w:t>
      </w:r>
    </w:p>
    <w:p w14:paraId="563A52C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（1）被替代的材料和工程设备的名称、数量、规格、型号、品牌、性能、价格及其他相关资料；</w:t>
      </w:r>
    </w:p>
    <w:p w14:paraId="4ACF780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（2）替代品的名称、数量、规格、型号、品牌、性能、价格及其他相关资料；</w:t>
      </w:r>
    </w:p>
    <w:p w14:paraId="67FBC98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（3）替代品与被替代产品之间的差异以及使用替代品可能对工程产生的影响；</w:t>
      </w:r>
    </w:p>
    <w:p w14:paraId="2FBEF1D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（4）替代品与被替代产品的价格差异；</w:t>
      </w:r>
    </w:p>
    <w:p w14:paraId="4CBBB7F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（5）使用替代品的理由和原因说明；</w:t>
      </w:r>
    </w:p>
    <w:p w14:paraId="1E7A84F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（6）监理人要求的其他文件。</w:t>
      </w:r>
    </w:p>
    <w:p w14:paraId="04FDC87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监理人应在收到通知后14天内向承包人发出经发包人签认的书面指示；监理人逾期发出书面指示的，视为发包人和监理人同意使用替代品。</w:t>
      </w:r>
    </w:p>
    <w:p w14:paraId="20E9E95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8.7.3 发包人认可使用替代材料和工程设备的，替代材料和工程设备的价格，按照已标价工程量清单或预算书相同项目的价格认定；无相同项目的，参考相似项目价格认定；既无相同项目也无相似项目的，按照合理的成本与利润构成的原则，由合同当事人按照第4.4款〔商定或确定〕确定价格。</w:t>
      </w:r>
    </w:p>
    <w:p w14:paraId="06BA0E51">
      <w:pPr>
        <w:spacing w:before="120" w:after="120" w:line="360" w:lineRule="auto"/>
        <w:ind w:firstLine="480" w:firstLineChars="200"/>
        <w:rPr>
          <w:rFonts w:ascii="宋体" w:hAnsi="宋体" w:eastAsia="宋体" w:cs="宋体"/>
          <w:color w:val="000000"/>
          <w:sz w:val="24"/>
        </w:rPr>
      </w:pPr>
      <w:bookmarkStart w:id="968" w:name="_Toc351203560"/>
      <w:r>
        <w:rPr>
          <w:rFonts w:hint="eastAsia" w:ascii="宋体" w:hAnsi="宋体" w:eastAsia="宋体" w:cs="宋体"/>
          <w:color w:val="000000"/>
          <w:sz w:val="24"/>
        </w:rPr>
        <w:t>8.8施工设备和临时设施</w:t>
      </w:r>
      <w:bookmarkEnd w:id="968"/>
    </w:p>
    <w:p w14:paraId="37DB788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8.8.1 承包人提供的施工设备和临时设施</w:t>
      </w:r>
    </w:p>
    <w:p w14:paraId="09E591B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承包人应按合同进度计划的要求，及时配置施工设备和修建临时设施。进入施工场地的承包人设备需经监理人核查后才能投入使用。承包人更换合同约定的承包人设备的，应报监理人批准。</w:t>
      </w:r>
    </w:p>
    <w:p w14:paraId="17C04B0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除专用合同条款另有约定外，承包人应自行承担修建临时设施的费用，需要临时占地的，应由发包人办理申请手续并承担相应费用。</w:t>
      </w:r>
    </w:p>
    <w:p w14:paraId="02BD654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8.8.2发包人提供的施工设备和临时设施</w:t>
      </w:r>
    </w:p>
    <w:p w14:paraId="7E7F23E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发包人提供的施工设备或临时设施在专用合同条款中约定。</w:t>
      </w:r>
    </w:p>
    <w:p w14:paraId="083B015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8.8.3要求承包人增加或更换施工设备</w:t>
      </w:r>
    </w:p>
    <w:p w14:paraId="00FC98D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承包人使用的施工设备不能满足合同进度计划和（或）质量要求时，监理人有权要求承包人增加或更换施工设备，承包人应及时增加或更换，由此增加的费用和（或）延误的工期由承包人承担。</w:t>
      </w:r>
    </w:p>
    <w:p w14:paraId="6A4F4794">
      <w:pPr>
        <w:spacing w:before="120" w:after="120" w:line="360" w:lineRule="auto"/>
        <w:ind w:firstLine="480" w:firstLineChars="200"/>
        <w:rPr>
          <w:rFonts w:ascii="宋体" w:hAnsi="宋体" w:eastAsia="宋体" w:cs="宋体"/>
          <w:color w:val="000000"/>
          <w:sz w:val="24"/>
        </w:rPr>
      </w:pPr>
      <w:bookmarkStart w:id="969" w:name="_Toc351203561"/>
      <w:r>
        <w:rPr>
          <w:rFonts w:hint="eastAsia" w:ascii="宋体" w:hAnsi="宋体" w:eastAsia="宋体" w:cs="宋体"/>
          <w:color w:val="000000"/>
          <w:sz w:val="24"/>
        </w:rPr>
        <w:t>8</w:t>
      </w:r>
      <w:bookmarkStart w:id="970" w:name="_Toc296346564"/>
      <w:bookmarkStart w:id="971" w:name="_Toc296503063"/>
      <w:bookmarkStart w:id="972" w:name="_Toc337558781"/>
      <w:r>
        <w:rPr>
          <w:rFonts w:hint="eastAsia" w:ascii="宋体" w:hAnsi="宋体" w:eastAsia="宋体" w:cs="宋体"/>
          <w:color w:val="000000"/>
          <w:sz w:val="24"/>
        </w:rPr>
        <w:t>.9材料与设备专用</w:t>
      </w:r>
      <w:bookmarkEnd w:id="969"/>
      <w:r>
        <w:rPr>
          <w:rFonts w:hint="eastAsia" w:ascii="宋体" w:hAnsi="宋体" w:eastAsia="宋体" w:cs="宋体"/>
          <w:color w:val="000000"/>
          <w:sz w:val="24"/>
        </w:rPr>
        <w:t>要求</w:t>
      </w:r>
    </w:p>
    <w:bookmarkEnd w:id="970"/>
    <w:bookmarkEnd w:id="971"/>
    <w:bookmarkEnd w:id="972"/>
    <w:p w14:paraId="30E3A2C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承包人运入施工现场的材料、工程设备、施工设备以及在施工场地建设的临时设施，包括备品备件、安装工具与资料，必须专用于工程。未经发包人批准，承包人不得运出施工现场或挪作他用；</w:t>
      </w:r>
      <w:bookmarkEnd w:id="951"/>
      <w:r>
        <w:rPr>
          <w:rFonts w:hint="eastAsia" w:ascii="宋体" w:hAnsi="宋体" w:eastAsia="宋体" w:cs="宋体"/>
          <w:color w:val="000000"/>
          <w:sz w:val="24"/>
        </w:rPr>
        <w:t>经发包人批准，承包人可以根据施工进度计划撤走闲置的施工设备和其他物品。</w:t>
      </w:r>
    </w:p>
    <w:p w14:paraId="168A7B2B">
      <w:pPr>
        <w:spacing w:before="120" w:after="120" w:line="360" w:lineRule="auto"/>
        <w:rPr>
          <w:rFonts w:ascii="宋体" w:hAnsi="宋体" w:eastAsia="宋体" w:cs="宋体"/>
          <w:color w:val="000000"/>
          <w:sz w:val="24"/>
        </w:rPr>
      </w:pPr>
      <w:bookmarkStart w:id="973" w:name="_Toc351203562"/>
      <w:r>
        <w:rPr>
          <w:rFonts w:hint="eastAsia" w:ascii="宋体" w:hAnsi="宋体" w:eastAsia="宋体" w:cs="宋体"/>
          <w:color w:val="000000"/>
          <w:sz w:val="24"/>
        </w:rPr>
        <w:t>9</w:t>
      </w:r>
      <w:bookmarkStart w:id="974" w:name="_Toc337558782"/>
      <w:bookmarkStart w:id="975" w:name="_Toc296346584"/>
      <w:bookmarkStart w:id="976" w:name="_Toc296503083"/>
      <w:r>
        <w:rPr>
          <w:rFonts w:hint="eastAsia" w:ascii="宋体" w:hAnsi="宋体" w:eastAsia="宋体" w:cs="宋体"/>
          <w:color w:val="000000"/>
          <w:sz w:val="24"/>
        </w:rPr>
        <w:t>. 试验与检验</w:t>
      </w:r>
      <w:bookmarkEnd w:id="973"/>
    </w:p>
    <w:bookmarkEnd w:id="974"/>
    <w:p w14:paraId="5E2CF4FD">
      <w:pPr>
        <w:spacing w:before="120" w:after="120" w:line="360" w:lineRule="auto"/>
        <w:ind w:firstLine="480" w:firstLineChars="200"/>
        <w:rPr>
          <w:rFonts w:ascii="宋体" w:hAnsi="宋体" w:eastAsia="宋体" w:cs="宋体"/>
          <w:color w:val="000000"/>
          <w:sz w:val="24"/>
        </w:rPr>
      </w:pPr>
      <w:bookmarkStart w:id="977" w:name="_Toc351203563"/>
      <w:r>
        <w:rPr>
          <w:rFonts w:hint="eastAsia" w:ascii="宋体" w:hAnsi="宋体" w:eastAsia="宋体" w:cs="宋体"/>
          <w:color w:val="000000"/>
          <w:sz w:val="24"/>
        </w:rPr>
        <w:t>9</w:t>
      </w:r>
      <w:bookmarkStart w:id="978" w:name="_Toc337558783"/>
      <w:r>
        <w:rPr>
          <w:rFonts w:hint="eastAsia" w:ascii="宋体" w:hAnsi="宋体" w:eastAsia="宋体" w:cs="宋体"/>
          <w:color w:val="000000"/>
          <w:sz w:val="24"/>
        </w:rPr>
        <w:t>.1试验设备与试验人员</w:t>
      </w:r>
      <w:bookmarkEnd w:id="977"/>
    </w:p>
    <w:bookmarkEnd w:id="978"/>
    <w:p w14:paraId="7B7DF4F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9.1.1 承包人根据合同约定或监理人指示进行的现场材料试验，应由承包人提供试验场所、试验人员、试验设备以及其他必要的试验条件。监理人在必要时可以使用承包人提供的试验场所、试验设备以及其他试验条件，进行以工程质量检查为目的的材料复核试验，承包人应予以协助。</w:t>
      </w:r>
    </w:p>
    <w:p w14:paraId="2368EB3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9.1.2 承包人应按专用合同条款的约定提供试验设备、取样装置、试验场所和试验条件，并向监理人提交相应进场计划表。</w:t>
      </w:r>
    </w:p>
    <w:p w14:paraId="2F04F59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承包人配置的试验设备要符合相应试验规程的要求并经过具有资质的检测单位检测，且在正式使用该试验设备前，需要经过监理人与承包人共同校定。</w:t>
      </w:r>
    </w:p>
    <w:p w14:paraId="5119545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9.1.3 承包人应向监理人提交试验人员的名单及其岗位、资格等证明资料，试验人员必须能够熟练进行相应的检测试验，承包人对试验人员的试验程序和试验结果的正确性负责。</w:t>
      </w:r>
    </w:p>
    <w:p w14:paraId="0EA2EEE8">
      <w:pPr>
        <w:spacing w:before="120" w:after="120" w:line="360" w:lineRule="auto"/>
        <w:ind w:firstLine="480" w:firstLineChars="200"/>
        <w:rPr>
          <w:rFonts w:ascii="宋体" w:hAnsi="宋体" w:eastAsia="宋体" w:cs="宋体"/>
          <w:color w:val="000000"/>
          <w:sz w:val="24"/>
        </w:rPr>
      </w:pPr>
      <w:bookmarkStart w:id="979" w:name="_Toc351203564"/>
      <w:r>
        <w:rPr>
          <w:rFonts w:hint="eastAsia" w:ascii="宋体" w:hAnsi="宋体" w:eastAsia="宋体" w:cs="宋体"/>
          <w:color w:val="000000"/>
          <w:sz w:val="24"/>
        </w:rPr>
        <w:t>9</w:t>
      </w:r>
      <w:bookmarkStart w:id="980" w:name="_Toc337558784"/>
      <w:r>
        <w:rPr>
          <w:rFonts w:hint="eastAsia" w:ascii="宋体" w:hAnsi="宋体" w:eastAsia="宋体" w:cs="宋体"/>
          <w:color w:val="000000"/>
          <w:sz w:val="24"/>
        </w:rPr>
        <w:t>.2取样</w:t>
      </w:r>
      <w:bookmarkEnd w:id="979"/>
    </w:p>
    <w:bookmarkEnd w:id="980"/>
    <w:p w14:paraId="0340697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试验属于自检性质的，承包人可以单独取样。试验属于监理人抽检性质的，可由监理人取样，也可由承包人的试验人员在监理人的监督下取样。</w:t>
      </w:r>
    </w:p>
    <w:p w14:paraId="0237C9D2">
      <w:pPr>
        <w:spacing w:before="120" w:after="120" w:line="360" w:lineRule="auto"/>
        <w:ind w:firstLine="480" w:firstLineChars="200"/>
        <w:rPr>
          <w:rFonts w:ascii="宋体" w:hAnsi="宋体" w:eastAsia="宋体" w:cs="宋体"/>
          <w:color w:val="000000"/>
          <w:sz w:val="24"/>
        </w:rPr>
      </w:pPr>
      <w:bookmarkStart w:id="981" w:name="_Toc351203565"/>
      <w:r>
        <w:rPr>
          <w:rFonts w:hint="eastAsia" w:ascii="宋体" w:hAnsi="宋体" w:eastAsia="宋体" w:cs="宋体"/>
          <w:color w:val="000000"/>
          <w:sz w:val="24"/>
        </w:rPr>
        <w:t>9</w:t>
      </w:r>
      <w:bookmarkStart w:id="982" w:name="_Toc337558785"/>
      <w:r>
        <w:rPr>
          <w:rFonts w:hint="eastAsia" w:ascii="宋体" w:hAnsi="宋体" w:eastAsia="宋体" w:cs="宋体"/>
          <w:color w:val="000000"/>
          <w:sz w:val="24"/>
        </w:rPr>
        <w:t>.3材料、工程设备和工程的试验和检验</w:t>
      </w:r>
      <w:bookmarkEnd w:id="981"/>
    </w:p>
    <w:bookmarkEnd w:id="982"/>
    <w:p w14:paraId="0A32EB2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9.3.1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56DD4CA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9.3.2试验属于自检性质的，承包人可以单独进行试验。试验属于监理人抽检性质的，监理人可以单独进行试验，也可由承包人与监理人共同进行。承包人对由监理人单独进行的试验结果有异议的，可以申请重新共同进行试验。约定共同进行试验的，监理人未按照约定参加试验的，承包人可自行试验，并将试验结果报送监理人，监理人应承认该试验结果。</w:t>
      </w:r>
    </w:p>
    <w:p w14:paraId="5878B82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9.3.3监理人对承包人的试验和检验结果有异议的，或为查清承包人试验和检验成果的可靠性要求承包人重新试验和检验的，可由监理人与承包人共同进行。重新试验和检验的结果证明该项材料、工程设备或工程的质量不符合合同要求的，由此增加的费用和（或）延误的工期由承包人承担；重新试验和检验结果证明该项材料、工程设备和工程符合合同要求的，由此增加的费用和（或）延误的工期由发包人承担。</w:t>
      </w:r>
    </w:p>
    <w:p w14:paraId="63378F01">
      <w:pPr>
        <w:spacing w:before="120" w:after="120" w:line="360" w:lineRule="auto"/>
        <w:ind w:firstLine="480" w:firstLineChars="200"/>
        <w:rPr>
          <w:rFonts w:ascii="宋体" w:hAnsi="宋体" w:eastAsia="宋体" w:cs="宋体"/>
          <w:color w:val="000000"/>
          <w:sz w:val="24"/>
        </w:rPr>
      </w:pPr>
      <w:bookmarkStart w:id="983" w:name="_Toc351203566"/>
      <w:r>
        <w:rPr>
          <w:rFonts w:hint="eastAsia" w:ascii="宋体" w:hAnsi="宋体" w:eastAsia="宋体" w:cs="宋体"/>
          <w:color w:val="000000"/>
          <w:sz w:val="24"/>
        </w:rPr>
        <w:t>9</w:t>
      </w:r>
      <w:bookmarkStart w:id="984" w:name="_Toc337558786"/>
      <w:r>
        <w:rPr>
          <w:rFonts w:hint="eastAsia" w:ascii="宋体" w:hAnsi="宋体" w:eastAsia="宋体" w:cs="宋体"/>
          <w:color w:val="000000"/>
          <w:sz w:val="24"/>
        </w:rPr>
        <w:t>.4现场工艺试验</w:t>
      </w:r>
      <w:bookmarkEnd w:id="983"/>
    </w:p>
    <w:bookmarkEnd w:id="984"/>
    <w:p w14:paraId="7456EBF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承包人应按合同约定或监理人指示进行现场工艺试验。对大型的现场工艺试验，监理人认为必要时，承包人应根据监理人提出的工艺试验要求，编制工艺试验措施计划，报送监理人审查。</w:t>
      </w:r>
    </w:p>
    <w:p w14:paraId="6D2BE029">
      <w:pPr>
        <w:spacing w:before="120" w:after="120" w:line="360" w:lineRule="auto"/>
        <w:rPr>
          <w:rFonts w:ascii="宋体" w:hAnsi="宋体" w:eastAsia="宋体" w:cs="宋体"/>
          <w:color w:val="000000"/>
          <w:sz w:val="24"/>
        </w:rPr>
      </w:pPr>
      <w:bookmarkStart w:id="985" w:name="_Toc351203567"/>
      <w:r>
        <w:rPr>
          <w:rFonts w:hint="eastAsia" w:ascii="宋体" w:hAnsi="宋体" w:eastAsia="宋体" w:cs="宋体"/>
          <w:color w:val="000000"/>
          <w:sz w:val="24"/>
        </w:rPr>
        <w:t>1</w:t>
      </w:r>
      <w:bookmarkStart w:id="986" w:name="_Toc337558787"/>
      <w:r>
        <w:rPr>
          <w:rFonts w:hint="eastAsia" w:ascii="宋体" w:hAnsi="宋体" w:eastAsia="宋体" w:cs="宋体"/>
          <w:color w:val="000000"/>
          <w:sz w:val="24"/>
        </w:rPr>
        <w:t>0. 变更</w:t>
      </w:r>
      <w:bookmarkEnd w:id="975"/>
      <w:bookmarkEnd w:id="976"/>
      <w:bookmarkEnd w:id="985"/>
    </w:p>
    <w:bookmarkEnd w:id="986"/>
    <w:p w14:paraId="3960354D">
      <w:pPr>
        <w:spacing w:before="120" w:after="120" w:line="360" w:lineRule="auto"/>
        <w:ind w:firstLine="480" w:firstLineChars="200"/>
        <w:rPr>
          <w:rFonts w:ascii="宋体" w:hAnsi="宋体" w:eastAsia="宋体" w:cs="宋体"/>
          <w:color w:val="000000"/>
          <w:sz w:val="24"/>
        </w:rPr>
      </w:pPr>
      <w:bookmarkStart w:id="987" w:name="_Toc351203568"/>
      <w:r>
        <w:rPr>
          <w:rFonts w:hint="eastAsia" w:ascii="宋体" w:hAnsi="宋体" w:eastAsia="宋体" w:cs="宋体"/>
          <w:color w:val="000000"/>
          <w:sz w:val="24"/>
        </w:rPr>
        <w:t>1</w:t>
      </w:r>
      <w:bookmarkStart w:id="988" w:name="_Toc296346585"/>
      <w:bookmarkStart w:id="989" w:name="_Toc296503084"/>
      <w:bookmarkStart w:id="990" w:name="_Toc337558788"/>
      <w:r>
        <w:rPr>
          <w:rFonts w:hint="eastAsia" w:ascii="宋体" w:hAnsi="宋体" w:eastAsia="宋体" w:cs="宋体"/>
          <w:color w:val="000000"/>
          <w:sz w:val="24"/>
        </w:rPr>
        <w:t>0.1变更的范围</w:t>
      </w:r>
      <w:bookmarkEnd w:id="987"/>
    </w:p>
    <w:bookmarkEnd w:id="988"/>
    <w:bookmarkEnd w:id="989"/>
    <w:bookmarkEnd w:id="990"/>
    <w:p w14:paraId="5B9F4E6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除专用合同条款另有约定外，合同履行过程中发生以下情形的，应按照本条约定进行变更：</w:t>
      </w:r>
    </w:p>
    <w:p w14:paraId="2002CFC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（1）增加或减少合同中任何工作，或追加额外的工作；</w:t>
      </w:r>
    </w:p>
    <w:p w14:paraId="3899863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（2）取消合同中任何工作，但转由他人实施的工作除外；</w:t>
      </w:r>
    </w:p>
    <w:p w14:paraId="57D58AC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（3）改变合同中任何工作的质量标准或其他特性；</w:t>
      </w:r>
    </w:p>
    <w:p w14:paraId="1A3F5DE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（4）改变工程的基线、标高、位置和尺寸；</w:t>
      </w:r>
    </w:p>
    <w:p w14:paraId="160E10C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（5）改变工程的时间安排或实施顺序。</w:t>
      </w:r>
    </w:p>
    <w:p w14:paraId="1EBAEFF0">
      <w:pPr>
        <w:spacing w:before="120" w:after="120" w:line="360" w:lineRule="auto"/>
        <w:ind w:firstLine="480" w:firstLineChars="200"/>
        <w:rPr>
          <w:rFonts w:ascii="宋体" w:hAnsi="宋体" w:eastAsia="宋体" w:cs="宋体"/>
          <w:color w:val="000000"/>
          <w:sz w:val="24"/>
        </w:rPr>
      </w:pPr>
      <w:bookmarkStart w:id="991" w:name="_Toc351203569"/>
      <w:r>
        <w:rPr>
          <w:rFonts w:hint="eastAsia" w:ascii="宋体" w:hAnsi="宋体" w:eastAsia="宋体" w:cs="宋体"/>
          <w:color w:val="000000"/>
          <w:sz w:val="24"/>
        </w:rPr>
        <w:t>1</w:t>
      </w:r>
      <w:bookmarkStart w:id="992" w:name="_Toc296503085"/>
      <w:bookmarkStart w:id="993" w:name="_Toc296346586"/>
      <w:bookmarkStart w:id="994" w:name="_Toc337558789"/>
      <w:r>
        <w:rPr>
          <w:rFonts w:hint="eastAsia" w:ascii="宋体" w:hAnsi="宋体" w:eastAsia="宋体" w:cs="宋体"/>
          <w:color w:val="000000"/>
          <w:sz w:val="24"/>
        </w:rPr>
        <w:t>0.2变更权</w:t>
      </w:r>
      <w:bookmarkEnd w:id="991"/>
    </w:p>
    <w:bookmarkEnd w:id="992"/>
    <w:bookmarkEnd w:id="993"/>
    <w:bookmarkEnd w:id="994"/>
    <w:p w14:paraId="73D704D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和监理人均可以提出变更。变更指示均通过监理人发出，监理人发出变更指示前应征得发包人同意。承包人收到经发包人签认的变更指示后，方可实施变更。未经许可，承包人不得擅自对工程的任何部分进行变更。</w:t>
      </w:r>
    </w:p>
    <w:p w14:paraId="485AA29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涉及设计变更的，应由设计人提供变更后的图纸和说明。如变更超过原设计标准或批准的建设规模时，发包人应及时办理规划、设计变更等审批手续。</w:t>
      </w:r>
    </w:p>
    <w:p w14:paraId="26E1442A">
      <w:pPr>
        <w:spacing w:before="120" w:after="120" w:line="360" w:lineRule="auto"/>
        <w:ind w:firstLine="480" w:firstLineChars="200"/>
        <w:rPr>
          <w:rFonts w:ascii="宋体" w:hAnsi="宋体" w:eastAsia="宋体" w:cs="宋体"/>
          <w:color w:val="000000"/>
          <w:sz w:val="24"/>
        </w:rPr>
      </w:pPr>
      <w:bookmarkStart w:id="995" w:name="_Toc351203570"/>
      <w:r>
        <w:rPr>
          <w:rFonts w:hint="eastAsia" w:ascii="宋体" w:hAnsi="宋体" w:eastAsia="宋体" w:cs="宋体"/>
          <w:color w:val="000000"/>
          <w:sz w:val="24"/>
        </w:rPr>
        <w:t>1</w:t>
      </w:r>
      <w:bookmarkStart w:id="996" w:name="_Toc296346587"/>
      <w:bookmarkStart w:id="997" w:name="_Toc337558790"/>
      <w:bookmarkStart w:id="998" w:name="_Toc296503086"/>
      <w:r>
        <w:rPr>
          <w:rFonts w:hint="eastAsia" w:ascii="宋体" w:hAnsi="宋体" w:eastAsia="宋体" w:cs="宋体"/>
          <w:color w:val="000000"/>
          <w:sz w:val="24"/>
        </w:rPr>
        <w:t>0.3变更程序</w:t>
      </w:r>
      <w:bookmarkEnd w:id="995"/>
    </w:p>
    <w:bookmarkEnd w:id="996"/>
    <w:bookmarkEnd w:id="997"/>
    <w:bookmarkEnd w:id="998"/>
    <w:p w14:paraId="214E2DA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10.3.1 发包人提出变更</w:t>
      </w:r>
    </w:p>
    <w:p w14:paraId="75F0957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发包人提出变更的，应通过监理人向承包人发出变更指示，变更指示应说明计划变更的工程范围和变更的内容。</w:t>
      </w:r>
    </w:p>
    <w:p w14:paraId="097AB39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10.3.2 监理人提出变更建议</w:t>
      </w:r>
    </w:p>
    <w:p w14:paraId="417F448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提出变更建议的，需要向发包人以书面形式提出变更计划，说明计划变更工程范围和变更的内容、理由，以及实施该变更对合同价格和工期的影响。发包人同意变更的，由监理人向承包人发出变更指示。发包人不同意变更的，监理人无权擅自发出变更指示。</w:t>
      </w:r>
    </w:p>
    <w:p w14:paraId="38733C6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10.3.3 变更执行</w:t>
      </w:r>
    </w:p>
    <w:p w14:paraId="132EE92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收到监理人下达的变更指示后，认为不能执行，应立即提出不能执行该变更指示的理由。承包人认为可以执行变更的，应当书面说明实施该变更指示对合同价格和工期的影响，且合同当事人应当按照第10.4款〔变更估价〕约定确定变更估价。</w:t>
      </w:r>
    </w:p>
    <w:p w14:paraId="6DDAC66C">
      <w:pPr>
        <w:spacing w:before="120" w:after="120" w:line="360" w:lineRule="auto"/>
        <w:ind w:firstLine="480" w:firstLineChars="200"/>
        <w:rPr>
          <w:rFonts w:ascii="宋体" w:hAnsi="宋体" w:eastAsia="宋体" w:cs="宋体"/>
          <w:color w:val="000000"/>
          <w:sz w:val="24"/>
        </w:rPr>
      </w:pPr>
      <w:bookmarkStart w:id="999" w:name="_Toc351203571"/>
      <w:r>
        <w:rPr>
          <w:rFonts w:hint="eastAsia" w:ascii="宋体" w:hAnsi="宋体" w:eastAsia="宋体" w:cs="宋体"/>
          <w:color w:val="000000"/>
          <w:sz w:val="24"/>
        </w:rPr>
        <w:t>1</w:t>
      </w:r>
      <w:bookmarkStart w:id="1000" w:name="_Toc337558791"/>
      <w:bookmarkStart w:id="1001" w:name="_Toc296503087"/>
      <w:bookmarkStart w:id="1002" w:name="_Toc296346588"/>
      <w:r>
        <w:rPr>
          <w:rFonts w:hint="eastAsia" w:ascii="宋体" w:hAnsi="宋体" w:eastAsia="宋体" w:cs="宋体"/>
          <w:color w:val="000000"/>
          <w:sz w:val="24"/>
        </w:rPr>
        <w:t>0.4变更估价</w:t>
      </w:r>
      <w:bookmarkEnd w:id="999"/>
    </w:p>
    <w:bookmarkEnd w:id="1000"/>
    <w:bookmarkEnd w:id="1001"/>
    <w:bookmarkEnd w:id="1002"/>
    <w:p w14:paraId="2A2C08E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10.4.1 变更估价原则</w:t>
      </w:r>
    </w:p>
    <w:p w14:paraId="79B48C1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除专用合同条款另有约定外，变更估价按照本款约定处理：</w:t>
      </w:r>
    </w:p>
    <w:p w14:paraId="40D558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（1）已标价工程量清单或预算书有相同项目的，按照相同项目单价认定；</w:t>
      </w:r>
    </w:p>
    <w:p w14:paraId="442754D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（2）已标价工程量清单或预算书中无相同项目，但有类似项目的，参照类似项目的单价认定；</w:t>
      </w:r>
    </w:p>
    <w:p w14:paraId="29D3374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变更导致实际完成的变更工程量与已标价工程量清单或预算书中列明的该项目工程量的变化幅度超过15%的，或已标价工程量清单或预算书中无相同项目及类似项目单价的，按照合理的成本与利润构成的原则，由合同当事人按照第4.4款〔商定或确定〕确定变更工作的单价。</w:t>
      </w:r>
    </w:p>
    <w:p w14:paraId="4ADBA92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10.4.2 变更估价程序</w:t>
      </w:r>
    </w:p>
    <w:p w14:paraId="0FBF873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在收到变更指示后14天内，向监理人提交变更估价申请。监理人应在收到承包人提交的变更估价申请后7天内审查完毕并报送发包人，监理人对变更估价申请有异议，通知承包人修改后重新提交。发包人应在承包人提交变更估价申请后14天内审批完毕。发包人逾期未完成审批或未提出异议的，视为认可承包人提交的变更估价申请。</w:t>
      </w:r>
    </w:p>
    <w:p w14:paraId="1CDC47C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因变更引起的价格调整应计入最近一期的进度款中支付。</w:t>
      </w:r>
    </w:p>
    <w:p w14:paraId="59DBE62C">
      <w:pPr>
        <w:spacing w:before="120" w:after="120" w:line="360" w:lineRule="auto"/>
        <w:ind w:firstLine="480" w:firstLineChars="200"/>
        <w:rPr>
          <w:rFonts w:ascii="宋体" w:hAnsi="宋体" w:eastAsia="宋体" w:cs="宋体"/>
          <w:color w:val="000000"/>
          <w:sz w:val="24"/>
        </w:rPr>
      </w:pPr>
      <w:bookmarkStart w:id="1003" w:name="_Toc351203572"/>
      <w:r>
        <w:rPr>
          <w:rFonts w:hint="eastAsia" w:ascii="宋体" w:hAnsi="宋体" w:eastAsia="宋体" w:cs="宋体"/>
          <w:color w:val="000000"/>
          <w:sz w:val="24"/>
        </w:rPr>
        <w:t>1</w:t>
      </w:r>
      <w:bookmarkStart w:id="1004" w:name="_Toc337558792"/>
      <w:bookmarkStart w:id="1005" w:name="_Toc296503094"/>
      <w:bookmarkStart w:id="1006" w:name="_Toc296346595"/>
      <w:r>
        <w:rPr>
          <w:rFonts w:hint="eastAsia" w:ascii="宋体" w:hAnsi="宋体" w:eastAsia="宋体" w:cs="宋体"/>
          <w:color w:val="000000"/>
          <w:sz w:val="24"/>
        </w:rPr>
        <w:t>0.5承包人的合理化建议</w:t>
      </w:r>
      <w:bookmarkEnd w:id="1003"/>
    </w:p>
    <w:bookmarkEnd w:id="1004"/>
    <w:bookmarkEnd w:id="1005"/>
    <w:bookmarkEnd w:id="1006"/>
    <w:p w14:paraId="12D7F7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承包人提出合理化建议的，应向监理人提交合理化建议说明，说明建议的内容和理由，以及实施该建议对合同价格和工期的影响。</w:t>
      </w:r>
    </w:p>
    <w:p w14:paraId="3B990DB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监理人应在收到承包人提交的合理化建议后7天内审查完毕并报送发包人，发现其中存在技术上的缺陷，应通知承包人修改。发包人应在收到监理人报送的合理化建议后7天内审批完毕。合理化建议经发包人批准的，监理人应及时发出变更指示，由此引起的合同价格调整按照第10.4款〔变更估价〕约定执行。发包人不同意变更的，监理人应书面通知承包人。</w:t>
      </w:r>
    </w:p>
    <w:p w14:paraId="2933EDD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合理化建议降低了合同价格或者提高了工程经济效益的，发包人可对承包人给予奖励，奖励的方法和金额在专用合同条款中约定。</w:t>
      </w:r>
    </w:p>
    <w:p w14:paraId="35E3F2AA">
      <w:pPr>
        <w:spacing w:before="120" w:after="120" w:line="360" w:lineRule="auto"/>
        <w:ind w:firstLine="480" w:firstLineChars="200"/>
        <w:rPr>
          <w:rFonts w:ascii="宋体" w:hAnsi="宋体" w:eastAsia="宋体" w:cs="宋体"/>
          <w:color w:val="000000"/>
          <w:sz w:val="24"/>
        </w:rPr>
      </w:pPr>
      <w:bookmarkStart w:id="1007" w:name="_Toc351203573"/>
      <w:r>
        <w:rPr>
          <w:rFonts w:hint="eastAsia" w:ascii="宋体" w:hAnsi="宋体" w:eastAsia="宋体" w:cs="宋体"/>
          <w:color w:val="000000"/>
          <w:sz w:val="24"/>
        </w:rPr>
        <w:t>1</w:t>
      </w:r>
      <w:bookmarkStart w:id="1008" w:name="_Toc337558793"/>
      <w:r>
        <w:rPr>
          <w:rFonts w:hint="eastAsia" w:ascii="宋体" w:hAnsi="宋体" w:eastAsia="宋体" w:cs="宋体"/>
          <w:color w:val="000000"/>
          <w:sz w:val="24"/>
        </w:rPr>
        <w:t>0.6变更引起的工期调整</w:t>
      </w:r>
      <w:bookmarkEnd w:id="1007"/>
      <w:r>
        <w:rPr>
          <w:rFonts w:hint="eastAsia" w:ascii="宋体" w:hAnsi="宋体" w:eastAsia="宋体" w:cs="宋体"/>
          <w:color w:val="000000"/>
          <w:sz w:val="24"/>
        </w:rPr>
        <w:t xml:space="preserve"> </w:t>
      </w:r>
      <w:bookmarkEnd w:id="1008"/>
      <w:r>
        <w:rPr>
          <w:rFonts w:hint="eastAsia" w:ascii="宋体" w:hAnsi="宋体" w:eastAsia="宋体" w:cs="宋体"/>
          <w:color w:val="000000"/>
          <w:sz w:val="24"/>
        </w:rPr>
        <w:t xml:space="preserve">  </w:t>
      </w:r>
    </w:p>
    <w:p w14:paraId="070206E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因变更引起工期变化的，合同当事人均可要求调整合同工期，由合同当事人按照第4.4款〔商定或确定〕并参考工程所在地的工期定额标准确定增减工期天数。</w:t>
      </w:r>
    </w:p>
    <w:p w14:paraId="2D751345">
      <w:pPr>
        <w:spacing w:before="120" w:after="120" w:line="360" w:lineRule="auto"/>
        <w:ind w:firstLine="480" w:firstLineChars="200"/>
        <w:rPr>
          <w:rFonts w:ascii="宋体" w:hAnsi="宋体" w:eastAsia="宋体" w:cs="宋体"/>
          <w:color w:val="000000"/>
          <w:sz w:val="24"/>
        </w:rPr>
      </w:pPr>
      <w:bookmarkStart w:id="1009" w:name="_Toc351203574"/>
      <w:r>
        <w:rPr>
          <w:rFonts w:hint="eastAsia" w:ascii="宋体" w:hAnsi="宋体" w:eastAsia="宋体" w:cs="宋体"/>
          <w:color w:val="000000"/>
          <w:sz w:val="24"/>
        </w:rPr>
        <w:t>10.7暂估价</w:t>
      </w:r>
      <w:bookmarkEnd w:id="1009"/>
    </w:p>
    <w:p w14:paraId="7B0355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暂估价专业分包工程、服务、材料和工程设备的明细由合同当事人在专用合同条款中约定。</w:t>
      </w:r>
    </w:p>
    <w:p w14:paraId="3F37294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10.7.1 依法必须招标的暂估价项目</w:t>
      </w:r>
    </w:p>
    <w:p w14:paraId="34FADAF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对于依法必须招标的暂估价项目，采取以下第1种方式确定。合同当事人也可以在专用合同条款中选择其他招标方式。</w:t>
      </w:r>
    </w:p>
    <w:p w14:paraId="7EFE0D6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第1种方式：对于依法必须招标的暂估价项目，由承包人招标，对该暂估价项目的确认和批准按照以下约定执行：</w:t>
      </w:r>
    </w:p>
    <w:p w14:paraId="7A8CCD4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当根据施工进度计划，在招标工作启动前14天将招标方案通过监理人报送发包人审查，发包人应当在收到承包人报送的招标方案后7天内批准或提出修改意见。承包人应当按照经过发包人批准的招标方案开展招标工作；</w:t>
      </w:r>
    </w:p>
    <w:p w14:paraId="1353179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应当根据施工进度计划，提前14天将招标文件通过监理人报送发包人审批，发包人应当在收到承包人报送的相关文件后7天内完成审批或提出修改意见；发包人有权确定招标控制价并按照法律规定参加评标；</w:t>
      </w:r>
    </w:p>
    <w:p w14:paraId="6C03863E">
      <w:pPr>
        <w:spacing w:line="360" w:lineRule="auto"/>
        <w:rPr>
          <w:rFonts w:ascii="宋体" w:hAnsi="宋体" w:eastAsia="宋体" w:cs="宋体"/>
          <w:color w:val="000000"/>
          <w:sz w:val="24"/>
        </w:rPr>
      </w:pPr>
      <w:r>
        <w:rPr>
          <w:rFonts w:hint="eastAsia" w:ascii="宋体" w:hAnsi="宋体" w:eastAsia="宋体" w:cs="宋体"/>
          <w:color w:val="000000"/>
          <w:sz w:val="24"/>
        </w:rPr>
        <w:t xml:space="preserve">    （3）承包人与供应商、分包人在签订暂估价合同前，应当提前7天将确定的中标候选供应商或中标候选分包人的资料报送发包人，发包人应在收到资料后3天内与承包人共同确定中标人；承包人应当在签订合同后7天内，将暂估价合同副本报送发包人留存。</w:t>
      </w:r>
    </w:p>
    <w:p w14:paraId="67F3ACE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2种方式：对于依法必须招标的暂估价项目，由发包人和承包人共同招标确定暂估价供应商或分包人的，承包人应按照施工进度计划，在招标工作启动前14天通知发包人，并提交暂估价招标方案和工作分工。发包人应在收到后7天内确认。确定中标人后，由发包人、承包人与中标人共同签订暂估价合同。</w:t>
      </w:r>
    </w:p>
    <w:p w14:paraId="6559987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10.7.2不属于依法必须招标的暂估价项目</w:t>
      </w:r>
    </w:p>
    <w:p w14:paraId="0BA953E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除专用合同条款另有约定外，对于不属于依法必须招标的暂估价项目，采取以下第1种方式确定： </w:t>
      </w:r>
    </w:p>
    <w:p w14:paraId="1E00620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第1种方式：对于不属于依法必须招标的暂估价项目，按本项约定确认和批准：</w:t>
      </w:r>
    </w:p>
    <w:p w14:paraId="4432677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根据施工进度计划，在签订暂估价项目的采购合同、分包合同前28天向监理人提出书面申请。监理人应当在收到申请后3天内报送发包人，发包人应当在收到申请后14天内给予批准或提出修改意见，发包人逾期未予批准或提出修改意见的，视为该书面申请已获得同意；</w:t>
      </w:r>
    </w:p>
    <w:p w14:paraId="61C904C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（2）发包人认为承包人确定的供应商、分包人无法满足工程质量或合同要求的，发包人可以要求承包人重新确定暂估价项目的供应商、分包人;</w:t>
      </w:r>
    </w:p>
    <w:p w14:paraId="640F826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（3）承包人应当在签订暂估价合同后7天内，将暂估价合同副本报送发包人留存。</w:t>
      </w:r>
    </w:p>
    <w:p w14:paraId="72AA26F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第2种方式：承包人按照第10.7.1项〔依法必须招标的暂估价项目〕约定的第1种方式确定暂估价项目。</w:t>
      </w:r>
    </w:p>
    <w:p w14:paraId="7D50E99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第3种方式：承包人直接实施的暂估价项目</w:t>
      </w:r>
    </w:p>
    <w:p w14:paraId="74B709E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承包人具备实施暂估价项目的资格和条件的，经发包人和承包人协商一致后，可由承包人自行实施暂估价项目，合同当事人可以在专用合同条款约定具体事项。</w:t>
      </w:r>
    </w:p>
    <w:p w14:paraId="3FE1CB4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10.7.3 因发包人原因导致暂估价合同订立和履行迟延的，由此增加的费用和（或）延误的工期由发包人承担，并支付承包人合理的利润。因承包人原因导致暂估价合同订立和履行迟延的，由此增加的费用和（或）延误的工期由承包人承担。</w:t>
      </w:r>
    </w:p>
    <w:p w14:paraId="0F28DBC8">
      <w:pPr>
        <w:spacing w:before="120" w:after="120" w:line="360" w:lineRule="auto"/>
        <w:ind w:firstLine="480" w:firstLineChars="200"/>
        <w:rPr>
          <w:rFonts w:ascii="宋体" w:hAnsi="宋体" w:eastAsia="宋体" w:cs="宋体"/>
          <w:color w:val="000000"/>
          <w:sz w:val="24"/>
        </w:rPr>
      </w:pPr>
      <w:bookmarkStart w:id="1010" w:name="_Toc351203575"/>
      <w:r>
        <w:rPr>
          <w:rFonts w:hint="eastAsia" w:ascii="宋体" w:hAnsi="宋体" w:eastAsia="宋体" w:cs="宋体"/>
          <w:color w:val="000000"/>
          <w:sz w:val="24"/>
        </w:rPr>
        <w:t>1</w:t>
      </w:r>
      <w:bookmarkStart w:id="1011" w:name="_Toc337558794"/>
      <w:bookmarkStart w:id="1012" w:name="_Toc296346591"/>
      <w:bookmarkStart w:id="1013" w:name="_Toc296503090"/>
      <w:bookmarkStart w:id="1014" w:name="_Toc322522561"/>
      <w:r>
        <w:rPr>
          <w:rFonts w:hint="eastAsia" w:ascii="宋体" w:hAnsi="宋体" w:eastAsia="宋体" w:cs="宋体"/>
          <w:color w:val="000000"/>
          <w:sz w:val="24"/>
        </w:rPr>
        <w:t>0.8暂列金额</w:t>
      </w:r>
      <w:bookmarkEnd w:id="1010"/>
    </w:p>
    <w:bookmarkEnd w:id="1011"/>
    <w:p w14:paraId="303B66A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暂列金额应按照发包人的要求使用，发包人的要求应通过监理人发出。合同当事人可以在专用合同条款中协商确定有关事项。</w:t>
      </w:r>
    </w:p>
    <w:bookmarkEnd w:id="1012"/>
    <w:bookmarkEnd w:id="1013"/>
    <w:bookmarkEnd w:id="1014"/>
    <w:p w14:paraId="165AAE37">
      <w:pPr>
        <w:spacing w:before="120" w:after="120" w:line="360" w:lineRule="auto"/>
        <w:ind w:firstLine="480" w:firstLineChars="200"/>
        <w:rPr>
          <w:rFonts w:ascii="宋体" w:hAnsi="宋体" w:eastAsia="宋体" w:cs="宋体"/>
          <w:color w:val="000000"/>
          <w:sz w:val="24"/>
        </w:rPr>
      </w:pPr>
      <w:bookmarkStart w:id="1015" w:name="_Toc351203576"/>
      <w:r>
        <w:rPr>
          <w:rFonts w:hint="eastAsia" w:ascii="宋体" w:hAnsi="宋体" w:eastAsia="宋体" w:cs="宋体"/>
          <w:color w:val="000000"/>
          <w:sz w:val="24"/>
        </w:rPr>
        <w:t>1</w:t>
      </w:r>
      <w:bookmarkStart w:id="1016" w:name="_Toc337558796"/>
      <w:bookmarkStart w:id="1017" w:name="_Toc296503091"/>
      <w:bookmarkStart w:id="1018" w:name="_Toc296346592"/>
      <w:r>
        <w:rPr>
          <w:rFonts w:hint="eastAsia" w:ascii="宋体" w:hAnsi="宋体" w:eastAsia="宋体" w:cs="宋体"/>
          <w:color w:val="000000"/>
          <w:sz w:val="24"/>
        </w:rPr>
        <w:t>0.9计日工</w:t>
      </w:r>
      <w:bookmarkEnd w:id="1015"/>
      <w:r>
        <w:rPr>
          <w:rFonts w:hint="eastAsia" w:ascii="宋体" w:hAnsi="宋体" w:eastAsia="宋体" w:cs="宋体"/>
          <w:color w:val="000000"/>
          <w:sz w:val="24"/>
        </w:rPr>
        <w:t xml:space="preserve"> </w:t>
      </w:r>
      <w:bookmarkEnd w:id="1016"/>
      <w:bookmarkEnd w:id="1017"/>
      <w:bookmarkEnd w:id="1018"/>
    </w:p>
    <w:p w14:paraId="360E202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需要采用计日工方式的，经发包人同意后，由监理人通知承包人以计日工计价方式实施相应的工作，其价款按列入已标价工程量清单或预算书中的计日工计价项目及其单价进行计算；已标价工程量清单或预算书中无相应的计日工单价的，按照合理的成本与利润构成的原则，由合同当事人按照第4.4款〔商定或确定〕确定计日工的单价。</w:t>
      </w:r>
    </w:p>
    <w:p w14:paraId="18D7F10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采用计日工计价的任何一项工作，承包人应在该项工作实施过程中，每天提交以下报表和有关凭证报送监理人审查：</w:t>
      </w:r>
    </w:p>
    <w:p w14:paraId="3999F720">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（1）工作名称、内容和数量；</w:t>
      </w:r>
    </w:p>
    <w:p w14:paraId="48BA1614">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（2）投入该工作的所有人员的姓名、专业、工种、级别和耗用工时；</w:t>
      </w:r>
    </w:p>
    <w:p w14:paraId="71B19C54">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（3）投入该工作的材料类别和数量；</w:t>
      </w:r>
    </w:p>
    <w:p w14:paraId="54FEA44A">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（4）投入该工作的施工设备型号、台数和耗用台时；</w:t>
      </w:r>
    </w:p>
    <w:p w14:paraId="78B45260">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（5）其他有关资料和凭证。</w:t>
      </w:r>
    </w:p>
    <w:p w14:paraId="56233C28">
      <w:pPr>
        <w:spacing w:line="360" w:lineRule="auto"/>
        <w:ind w:firstLine="360" w:firstLineChars="150"/>
        <w:rPr>
          <w:rFonts w:ascii="宋体" w:hAnsi="宋体" w:eastAsia="宋体" w:cs="宋体"/>
          <w:color w:val="000000"/>
          <w:sz w:val="24"/>
        </w:rPr>
      </w:pPr>
      <w:r>
        <w:rPr>
          <w:rFonts w:hint="eastAsia" w:ascii="宋体" w:hAnsi="宋体" w:eastAsia="宋体" w:cs="宋体"/>
          <w:color w:val="000000"/>
          <w:sz w:val="24"/>
        </w:rPr>
        <w:t xml:space="preserve"> 计日工由承包人汇总后，列入最近一期进度付款申请单，由监理人审查并经发包人批准后列入进度付款。</w:t>
      </w:r>
    </w:p>
    <w:p w14:paraId="48E6DB87">
      <w:pPr>
        <w:spacing w:before="120" w:after="120" w:line="360" w:lineRule="auto"/>
        <w:rPr>
          <w:rFonts w:ascii="宋体" w:hAnsi="宋体" w:eastAsia="宋体" w:cs="宋体"/>
          <w:color w:val="000000"/>
          <w:sz w:val="24"/>
        </w:rPr>
      </w:pPr>
      <w:bookmarkStart w:id="1019" w:name="_Toc351203577"/>
      <w:r>
        <w:rPr>
          <w:rFonts w:hint="eastAsia" w:ascii="宋体" w:hAnsi="宋体" w:eastAsia="宋体" w:cs="宋体"/>
          <w:color w:val="000000"/>
          <w:sz w:val="24"/>
        </w:rPr>
        <w:t>11. 价格调整</w:t>
      </w:r>
      <w:bookmarkEnd w:id="1019"/>
    </w:p>
    <w:p w14:paraId="36EA4FF8">
      <w:pPr>
        <w:spacing w:before="120" w:after="120" w:line="360" w:lineRule="auto"/>
        <w:ind w:firstLine="480" w:firstLineChars="200"/>
        <w:rPr>
          <w:rFonts w:ascii="宋体" w:hAnsi="宋体" w:eastAsia="宋体" w:cs="宋体"/>
          <w:color w:val="000000"/>
          <w:sz w:val="24"/>
        </w:rPr>
      </w:pPr>
      <w:bookmarkStart w:id="1020" w:name="_Toc351203578"/>
      <w:bookmarkStart w:id="1021" w:name="_Toc296346593"/>
      <w:bookmarkStart w:id="1022" w:name="_Toc296503092"/>
      <w:bookmarkStart w:id="1023" w:name="_Toc337558797"/>
      <w:r>
        <w:rPr>
          <w:rFonts w:hint="eastAsia" w:ascii="宋体" w:hAnsi="宋体" w:eastAsia="宋体" w:cs="宋体"/>
          <w:color w:val="000000"/>
          <w:sz w:val="24"/>
        </w:rPr>
        <w:t>11.1市场价格波动引起的调整</w:t>
      </w:r>
      <w:bookmarkEnd w:id="1020"/>
    </w:p>
    <w:bookmarkEnd w:id="1021"/>
    <w:bookmarkEnd w:id="1022"/>
    <w:bookmarkEnd w:id="1023"/>
    <w:p w14:paraId="1A27625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除专用合同条款另有约定外，市场价格波动超过合同当事人约定的范围，合同价格应当调整。合同当事人可以在专用合同条款中约定选择以下一种方式对合同价格进行调整：</w:t>
      </w:r>
    </w:p>
    <w:p w14:paraId="77C214B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第1种方式：采用价格指数进行价格调整。</w:t>
      </w:r>
    </w:p>
    <w:p w14:paraId="2A725263">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（1）价格调整公式</w:t>
      </w:r>
    </w:p>
    <w:p w14:paraId="27402172">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因人工、材料和设备等价格波动影响合同价格时，根据专用合同条款中约定的数据，按以下公式计算差额并调整合同价格：</w:t>
      </w:r>
    </w:p>
    <w:p w14:paraId="1CC3CA85">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position w:val="-30"/>
          <w:sz w:val="24"/>
        </w:rPr>
        <w:object>
          <v:shape id="_x0000_i1025" o:spt="75" type="#_x0000_t75" style="height:43.55pt;width:360pt;" o:ole="t" filled="f" o:preferrelative="t" stroked="f" coordsize="21600,21600">
            <v:path/>
            <v:fill on="f" focussize="0,0"/>
            <v:stroke on="f" joinstyle="miter"/>
            <v:imagedata r:id="rId10" o:title=""/>
            <o:lock v:ext="edit" aspectratio="t"/>
            <w10:wrap type="none"/>
            <w10:anchorlock/>
          </v:shape>
          <o:OLEObject Type="Embed" ProgID="Equation.3" ShapeID="_x0000_i1025" DrawAspect="Content" ObjectID="_1468075725" r:id="rId9">
            <o:LockedField>false</o:LockedField>
          </o:OLEObject>
        </w:object>
      </w:r>
    </w:p>
    <w:p w14:paraId="47A401A7">
      <w:pPr>
        <w:tabs>
          <w:tab w:val="left" w:pos="0"/>
          <w:tab w:val="left" w:pos="360"/>
          <w:tab w:val="left" w:pos="540"/>
        </w:tabs>
        <w:spacing w:line="360" w:lineRule="auto"/>
        <w:ind w:firstLine="640"/>
        <w:rPr>
          <w:rFonts w:ascii="宋体" w:hAnsi="宋体" w:eastAsia="宋体" w:cs="宋体"/>
          <w:color w:val="000000"/>
          <w:sz w:val="24"/>
        </w:rPr>
      </w:pPr>
      <w:r>
        <w:rPr>
          <w:rFonts w:hint="eastAsia" w:ascii="宋体" w:hAnsi="宋体" w:eastAsia="宋体" w:cs="宋体"/>
          <w:color w:val="000000"/>
          <w:sz w:val="24"/>
        </w:rPr>
        <w:t>公式中：ΔP——需调整的价格差额；</w:t>
      </w:r>
    </w:p>
    <w:p w14:paraId="599BDE07">
      <w:pPr>
        <w:tabs>
          <w:tab w:val="left" w:pos="0"/>
          <w:tab w:val="left" w:pos="360"/>
          <w:tab w:val="left" w:pos="540"/>
        </w:tabs>
        <w:spacing w:line="360" w:lineRule="auto"/>
        <w:ind w:firstLine="1440" w:firstLineChars="600"/>
        <w:rPr>
          <w:rFonts w:ascii="宋体" w:hAnsi="宋体" w:eastAsia="宋体" w:cs="宋体"/>
          <w:color w:val="000000"/>
          <w:sz w:val="24"/>
        </w:rPr>
      </w:pPr>
      <w:r>
        <w:rPr>
          <w:rFonts w:hint="eastAsia" w:ascii="宋体" w:hAnsi="宋体" w:eastAsia="宋体" w:cs="宋体"/>
          <w:color w:val="000000"/>
          <w:position w:val="-6"/>
          <w:sz w:val="24"/>
        </w:rPr>
        <w:object>
          <v:shape id="_x0000_i1026" o:spt="75" type="#_x0000_t75" style="height:17.6pt;width:17.6pt;" o:ole="t" filled="f" o:preferrelative="t" stroked="f" coordsize="21600,21600">
            <v:path/>
            <v:fill on="f" focussize="0,0"/>
            <v:stroke on="f" joinstyle="miter"/>
            <v:imagedata r:id="rId12" o:title=""/>
            <o:lock v:ext="edit" aspectratio="t"/>
            <w10:wrap type="none"/>
            <w10:anchorlock/>
          </v:shape>
          <o:OLEObject Type="Embed" ProgID="Equation.3" ShapeID="_x0000_i1026" DrawAspect="Content" ObjectID="_1468075726" r:id="rId11">
            <o:LockedField>false</o:LockedField>
          </o:OLEObject>
        </w:object>
      </w:r>
      <w:r>
        <w:rPr>
          <w:rFonts w:hint="eastAsia" w:ascii="宋体" w:hAnsi="宋体" w:eastAsia="宋体" w:cs="宋体"/>
          <w:color w:val="000000"/>
          <w:sz w:val="24"/>
        </w:rPr>
        <w:t>——约定的付款证书中承包人应得到的已完成工程量的金额。此项金额应不包括价格调整、不计质量保证金的扣留和支付、预付款的支付和扣回。约定的变更及其他金额已按现行价格计价的，也不计在内；</w:t>
      </w:r>
    </w:p>
    <w:p w14:paraId="757969EE">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A——定值权重（即不调部分的权重）；</w:t>
      </w:r>
    </w:p>
    <w:p w14:paraId="4E377F8A">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position w:val="-10"/>
          <w:sz w:val="24"/>
        </w:rPr>
        <w:object>
          <v:shape id="_x0000_i1027" o:spt="75" type="#_x0000_t75" style="height:21pt;width:101.3pt;" o:ole="t" filled="f" o:preferrelative="t" stroked="f" coordsize="21600,21600">
            <v:path/>
            <v:fill on="f" focussize="0,0"/>
            <v:stroke on="f" joinstyle="miter"/>
            <v:imagedata r:id="rId14" o:title=""/>
            <o:lock v:ext="edit" aspectratio="t"/>
            <w10:wrap type="none"/>
            <w10:anchorlock/>
          </v:shape>
          <o:OLEObject Type="Embed" ProgID="Equation.3" ShapeID="_x0000_i1027" DrawAspect="Content" ObjectID="_1468075727" r:id="rId13">
            <o:LockedField>false</o:LockedField>
          </o:OLEObject>
        </w:object>
      </w:r>
      <w:r>
        <w:rPr>
          <w:rFonts w:hint="eastAsia" w:ascii="宋体" w:hAnsi="宋体" w:eastAsia="宋体" w:cs="宋体"/>
          <w:color w:val="000000"/>
          <w:sz w:val="24"/>
        </w:rPr>
        <w:t>——各可调因子的变值权重（即可调部分的权重），为各可调因子在签约合同价中所占的比例；</w:t>
      </w:r>
    </w:p>
    <w:p w14:paraId="026E18E2">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position w:val="-10"/>
          <w:sz w:val="24"/>
        </w:rPr>
        <w:object>
          <v:shape id="_x0000_i1028" o:spt="75" type="#_x0000_t75" style="height:21pt;width:102.15pt;" o:ole="t" filled="f" o:preferrelative="t" stroked="f" coordsize="21600,21600">
            <v:path/>
            <v:fill on="f" focussize="0,0"/>
            <v:stroke on="f" joinstyle="miter"/>
            <v:imagedata r:id="rId16" o:title=""/>
            <o:lock v:ext="edit" aspectratio="t"/>
            <w10:wrap type="none"/>
            <w10:anchorlock/>
          </v:shape>
          <o:OLEObject Type="Embed" ProgID="Equation.3" ShapeID="_x0000_i1028" DrawAspect="Content" ObjectID="_1468075728" r:id="rId15">
            <o:LockedField>false</o:LockedField>
          </o:OLEObject>
        </w:object>
      </w:r>
      <w:r>
        <w:rPr>
          <w:rFonts w:hint="eastAsia" w:ascii="宋体" w:hAnsi="宋体" w:eastAsia="宋体" w:cs="宋体"/>
          <w:color w:val="000000"/>
          <w:sz w:val="24"/>
        </w:rPr>
        <w:t>——各可调因子的现行价格指数，指约定的付款证书相关周期最后一天的前42天的各可调因子的价格指数；</w:t>
      </w:r>
    </w:p>
    <w:p w14:paraId="78DBE283">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position w:val="-10"/>
          <w:sz w:val="24"/>
        </w:rPr>
        <w:object>
          <v:shape id="_x0000_i1029" o:spt="75" type="#_x0000_t75" style="height:20.2pt;width:107.95pt;" o:ole="t" filled="f" o:preferrelative="t" stroked="f" coordsize="21600,21600">
            <v:path/>
            <v:fill on="f" focussize="0,0"/>
            <v:stroke on="f" joinstyle="miter"/>
            <v:imagedata r:id="rId18" o:title=""/>
            <o:lock v:ext="edit" aspectratio="t"/>
            <w10:wrap type="none"/>
            <w10:anchorlock/>
          </v:shape>
          <o:OLEObject Type="Embed" ProgID="Equation.3" ShapeID="_x0000_i1029" DrawAspect="Content" ObjectID="_1468075729" r:id="rId17">
            <o:LockedField>false</o:LockedField>
          </o:OLEObject>
        </w:object>
      </w:r>
      <w:r>
        <w:rPr>
          <w:rFonts w:hint="eastAsia" w:ascii="宋体" w:hAnsi="宋体" w:eastAsia="宋体" w:cs="宋体"/>
          <w:color w:val="000000"/>
          <w:sz w:val="24"/>
        </w:rPr>
        <w:t>——各可调因子的基本价格指数，指基准日期的各可调因子的价格指数。</w:t>
      </w:r>
    </w:p>
    <w:p w14:paraId="18AB1401">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以上价格调整公式中的各可调因子、定值和变值权重，以及基本价格指数及其来源在投标函附录价格指数和权重表中约定，非招标订立的合同，由合同当事人在专用合同条款中约定。价格指数应首先采用工程造价管理机构发布的价格指数，无前述价格指数时，可采用工程造价管理机构发布的价格代替。</w:t>
      </w:r>
    </w:p>
    <w:p w14:paraId="31482B22">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（2）暂时确定调整差额</w:t>
      </w:r>
    </w:p>
    <w:p w14:paraId="5D263617">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在计算调整差额时无现行价格指数的，合同当事人同意暂用前次价格指数计算。实际价格指数有调整的，合同当事人进行相应调整。</w:t>
      </w:r>
    </w:p>
    <w:p w14:paraId="5DB83026">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（3）权重的调整</w:t>
      </w:r>
    </w:p>
    <w:p w14:paraId="74C155FA">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因变更导致合同约定的权重不合理时，按照第4.4款〔商定或确定〕执行。</w:t>
      </w:r>
    </w:p>
    <w:p w14:paraId="2F956678">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（4）因承包人原因工期延误后的价格调整</w:t>
      </w:r>
    </w:p>
    <w:p w14:paraId="19FC5E1C">
      <w:pPr>
        <w:tabs>
          <w:tab w:val="left" w:pos="0"/>
          <w:tab w:val="left" w:pos="360"/>
          <w:tab w:val="left" w:pos="540"/>
        </w:tabs>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因承包人原因未按期竣工的，对合同约定的竣工日期后继续施工的工程，在使用价格调整公式时，应采用计划竣工日期与实际竣工日期的两个价格指数中较低的一个作为现行价格指数。</w:t>
      </w:r>
    </w:p>
    <w:p w14:paraId="47DB195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第2种方式：采用造价信息进行价格调整。</w:t>
      </w:r>
    </w:p>
    <w:p w14:paraId="446C921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履行期间，因人工、材料、工程设备和机械台班价格波动影响合同价格时，人工、机械使用费按照国家或省、自治区、直辖市建设行政管理部门、行业建设管理部门或其授权的工程造价管理机构发布的人工、机械使用费系数进行调整；需要进行价格调整的材料，其单价和采购数量应由发包人审批，发包人确认需调整的材料单价及数量，作为调整合同价格的依据。</w:t>
      </w:r>
    </w:p>
    <w:p w14:paraId="7F8D265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人工单价发生变化且符合省级或行业建设主管部门发布的人工费调整规定，合同当事人应按省级或行业建设主管部门或其授权的工程造价管理机构发布的人工费等文件调整合同价格，但承包人对人工费或人工单价的报价高于发布价格的除外。</w:t>
      </w:r>
    </w:p>
    <w:p w14:paraId="7FD369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（2）材料、工程设备价格变化的价款调整按照发包人提供的基准价格，按以下风险范围规定执行:</w:t>
      </w:r>
    </w:p>
    <w:p w14:paraId="3F93A80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①承包人在已标价工程量清单或预算书中载明材料单价低于基准价格的：除专用合同条款另有约定外，合同履行期间材料单价涨幅以基准价格为基础超过5%时，或材料单价跌幅以在已标价工程量清单或预算书中载明材料单价为基础超过5%时，其超过部分据实调整。</w:t>
      </w:r>
    </w:p>
    <w:p w14:paraId="71FC97D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②承包人在已标价工程量清单或预算书中载明材料单价高于基准价格的：除专用合同条款另有约定外，合同履行期间材料单价跌幅以基准价格为基础超过5%时，材料单价涨幅以在已标价工程量清单或预算书中载明材料单价为基础超过5%时，其超过部分据实调整。</w:t>
      </w:r>
    </w:p>
    <w:p w14:paraId="2A65FC8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③承包人在已标价工程量清单或预算书中载明材料单价等于基准价格的：除专用合同条款另有约定外，合同履行期间材料单价涨跌幅以基准价格为基础超过±5%时，其超过部分据实调整。</w:t>
      </w:r>
    </w:p>
    <w:p w14:paraId="595EB3A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④承包人应在采购材料前将采购数量和新的材料单价报发包人核对，发包人确认用于工程时，发包人应确认采购材料的数量和单价。发包人在收到承包人报送的确认资料后5天内不予答复的视为认可，作为调整合同价格的依据。未经发包人事先核对，承包人自行采购材料的，发包人有权不予调整合同价格。发包人同意的，可以调整合同价格。</w:t>
      </w:r>
    </w:p>
    <w:p w14:paraId="738E295D">
      <w:pPr>
        <w:spacing w:line="360" w:lineRule="auto"/>
        <w:ind w:firstLine="480" w:firstLineChars="200"/>
        <w:rPr>
          <w:rFonts w:ascii="宋体" w:hAnsi="宋体" w:eastAsia="宋体" w:cs="宋体"/>
          <w:color w:val="000000"/>
          <w:sz w:val="24"/>
        </w:rPr>
      </w:pPr>
      <w:bookmarkStart w:id="1024" w:name="OLE_LINK3"/>
      <w:r>
        <w:rPr>
          <w:rFonts w:hint="eastAsia" w:ascii="宋体" w:hAnsi="宋体" w:eastAsia="宋体" w:cs="宋体"/>
          <w:color w:val="000000"/>
          <w:sz w:val="24"/>
        </w:rPr>
        <w:t>前述基准价格是指由发包人在招标文件或专用合同条款中给定的材料、工程设备的价格，该价格原则上应当按照省级或行业建设主管部门或其授权的工程造价管理机构发布的信息价编制。</w:t>
      </w:r>
    </w:p>
    <w:p w14:paraId="0C9B067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（3）施工机械台班单价或施工机械使用费发生变化超过省级或行业建设主管部门或其授权的工程造价管理机构规定的范围时，按规定调整合同价格。</w:t>
      </w:r>
    </w:p>
    <w:p w14:paraId="37E4752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第3种方式：专用合同条款约定的其他方式。</w:t>
      </w:r>
    </w:p>
    <w:p w14:paraId="47C0A428">
      <w:pPr>
        <w:spacing w:before="120" w:after="120" w:line="360" w:lineRule="auto"/>
        <w:ind w:firstLine="480" w:firstLineChars="200"/>
        <w:rPr>
          <w:rFonts w:ascii="宋体" w:hAnsi="宋体" w:eastAsia="宋体" w:cs="宋体"/>
          <w:color w:val="000000"/>
          <w:sz w:val="24"/>
        </w:rPr>
      </w:pPr>
      <w:bookmarkStart w:id="1025" w:name="_Toc351203579"/>
      <w:bookmarkStart w:id="1026" w:name="_Toc337558798"/>
      <w:bookmarkStart w:id="1027" w:name="_Toc296503093"/>
      <w:bookmarkStart w:id="1028" w:name="_Toc296346594"/>
      <w:r>
        <w:rPr>
          <w:rFonts w:hint="eastAsia" w:ascii="宋体" w:hAnsi="宋体" w:eastAsia="宋体" w:cs="宋体"/>
          <w:color w:val="000000"/>
          <w:sz w:val="24"/>
        </w:rPr>
        <w:t>11.2法律变化引起的调整</w:t>
      </w:r>
      <w:bookmarkEnd w:id="1025"/>
    </w:p>
    <w:bookmarkEnd w:id="1026"/>
    <w:bookmarkEnd w:id="1027"/>
    <w:bookmarkEnd w:id="1028"/>
    <w:p w14:paraId="53A910C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基准日期后，法律变化导致承包人在合同履行过程中所需要的费用发生除第11.1款〔市场价格波动引起的调整〕约定以外的增加时，由发包人承担由此增加的费用；减少时，应从合同价格中予以扣减。基准日期后，因法律变化造成工期延误时，工期应予以顺延。</w:t>
      </w:r>
    </w:p>
    <w:p w14:paraId="4D059AD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因法律变化引起的合同价格和工期调整，合同当事人无法达成一致的，由总监理工程师按第4.4款〔商定或确定〕的约定处理。</w:t>
      </w:r>
    </w:p>
    <w:p w14:paraId="081ACD7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因承包人原因造成工期延误，在工期延误期间出现法律变化的，由此增加的费用和（或）延误的工期由承包人承担。</w:t>
      </w:r>
    </w:p>
    <w:p w14:paraId="44CF5AC2">
      <w:pPr>
        <w:spacing w:before="120" w:after="120" w:line="360" w:lineRule="auto"/>
        <w:rPr>
          <w:rFonts w:ascii="宋体" w:hAnsi="宋体" w:eastAsia="宋体" w:cs="宋体"/>
          <w:color w:val="000000"/>
          <w:sz w:val="24"/>
        </w:rPr>
      </w:pPr>
      <w:bookmarkStart w:id="1029" w:name="_Toc351203580"/>
      <w:bookmarkStart w:id="1030" w:name="_Toc337558799"/>
      <w:bookmarkStart w:id="1031" w:name="_Toc296503096"/>
      <w:bookmarkStart w:id="1032" w:name="_Toc296346597"/>
      <w:r>
        <w:rPr>
          <w:rFonts w:hint="eastAsia" w:ascii="宋体" w:hAnsi="宋体" w:eastAsia="宋体" w:cs="宋体"/>
          <w:color w:val="000000"/>
          <w:sz w:val="24"/>
        </w:rPr>
        <w:t>12. 合同价格、计量与支付</w:t>
      </w:r>
      <w:bookmarkEnd w:id="1029"/>
    </w:p>
    <w:bookmarkEnd w:id="1030"/>
    <w:p w14:paraId="6185AB6D">
      <w:pPr>
        <w:spacing w:before="120" w:after="120" w:line="360" w:lineRule="auto"/>
        <w:ind w:firstLine="480" w:firstLineChars="200"/>
        <w:rPr>
          <w:rFonts w:ascii="宋体" w:hAnsi="宋体" w:eastAsia="宋体" w:cs="宋体"/>
          <w:color w:val="000000"/>
          <w:sz w:val="24"/>
        </w:rPr>
      </w:pPr>
      <w:bookmarkStart w:id="1033" w:name="_Toc351203581"/>
      <w:bookmarkStart w:id="1034" w:name="_Toc337558800"/>
      <w:r>
        <w:rPr>
          <w:rFonts w:hint="eastAsia" w:ascii="宋体" w:hAnsi="宋体" w:eastAsia="宋体" w:cs="宋体"/>
          <w:color w:val="000000"/>
          <w:sz w:val="24"/>
        </w:rPr>
        <w:t>12.1 合同价</w:t>
      </w:r>
      <w:bookmarkEnd w:id="1031"/>
      <w:bookmarkEnd w:id="1032"/>
      <w:r>
        <w:rPr>
          <w:rFonts w:hint="eastAsia" w:ascii="宋体" w:hAnsi="宋体" w:eastAsia="宋体" w:cs="宋体"/>
          <w:color w:val="000000"/>
          <w:sz w:val="24"/>
        </w:rPr>
        <w:t>格形式</w:t>
      </w:r>
      <w:bookmarkEnd w:id="1033"/>
    </w:p>
    <w:bookmarkEnd w:id="1034"/>
    <w:p w14:paraId="5815EA7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发包人和承包人应在合同协议书中选择下列一种合同价格形式： </w:t>
      </w:r>
    </w:p>
    <w:p w14:paraId="6B73986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1.单价合同</w:t>
      </w:r>
    </w:p>
    <w:p w14:paraId="5C659E3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单价合同是指合同当事人约定以工程量清单及其综合单价进行合同价格计算、调整和确认的建设工程施工合同，</w:t>
      </w:r>
      <w:r>
        <w:rPr>
          <w:rFonts w:hint="eastAsia" w:ascii="宋体" w:hAnsi="宋体" w:eastAsia="宋体" w:cs="宋体"/>
          <w:sz w:val="24"/>
        </w:rPr>
        <w:t>在约定的范围内合同单价不作调整</w:t>
      </w:r>
      <w:r>
        <w:rPr>
          <w:rFonts w:hint="eastAsia" w:ascii="宋体" w:hAnsi="宋体" w:eastAsia="宋体" w:cs="宋体"/>
          <w:color w:val="000000"/>
          <w:sz w:val="24"/>
        </w:rPr>
        <w:t>。合同当事人应在专用合同条款中约定综合单价包含的风险范围和风险费用的计算方法</w:t>
      </w:r>
      <w:r>
        <w:rPr>
          <w:rFonts w:hint="eastAsia" w:ascii="宋体" w:hAnsi="宋体" w:eastAsia="宋体" w:cs="宋体"/>
          <w:sz w:val="24"/>
        </w:rPr>
        <w:t>，</w:t>
      </w:r>
      <w:r>
        <w:rPr>
          <w:rFonts w:hint="eastAsia" w:ascii="宋体" w:hAnsi="宋体" w:eastAsia="宋体" w:cs="宋体"/>
          <w:color w:val="000000"/>
          <w:sz w:val="24"/>
        </w:rPr>
        <w:t>并约定风险范围以外的合同价格的调整方法，其中因市场价格波动引起的调整按第11.1款〔市场价格波动引起的调整〕约定执行。</w:t>
      </w:r>
    </w:p>
    <w:p w14:paraId="6D104D7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2.总价合同</w:t>
      </w:r>
    </w:p>
    <w:p w14:paraId="462A55F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总价合同是指合同当事人约定以施工图、已标价工程量清单或预算书及有关条件进行合同价格计算、调整和确认的建设工程施工合同，</w:t>
      </w:r>
      <w:r>
        <w:rPr>
          <w:rFonts w:hint="eastAsia" w:ascii="宋体" w:hAnsi="宋体" w:eastAsia="宋体" w:cs="宋体"/>
          <w:sz w:val="24"/>
        </w:rPr>
        <w:t>在约定的范围内合同总价不作调整</w:t>
      </w:r>
      <w:r>
        <w:rPr>
          <w:rFonts w:hint="eastAsia" w:ascii="宋体" w:hAnsi="宋体" w:eastAsia="宋体" w:cs="宋体"/>
          <w:color w:val="000000"/>
          <w:sz w:val="24"/>
        </w:rPr>
        <w:t>。合同当事人应在专用合同条款中约定总价包含的风险范围和风险费用的计算方法，并约定风险范围以外的合同价格的调整方法，其中因市场价格波动引起的调整按第11.1款〔市场价格波动引起的调整〕、因法律变化引起的调整按第11.2款〔法律变化引起的调整〕约定执行。</w:t>
      </w:r>
    </w:p>
    <w:p w14:paraId="7B40EF9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3.其它价格形式</w:t>
      </w:r>
    </w:p>
    <w:p w14:paraId="74278D8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合同当事人可在专用合同条款中约定其他合同价格形式。</w:t>
      </w:r>
    </w:p>
    <w:p w14:paraId="0657E592">
      <w:pPr>
        <w:spacing w:before="120" w:after="120" w:line="360" w:lineRule="auto"/>
        <w:ind w:firstLine="480" w:firstLineChars="200"/>
        <w:rPr>
          <w:rFonts w:ascii="宋体" w:hAnsi="宋体" w:eastAsia="宋体" w:cs="宋体"/>
          <w:color w:val="000000"/>
          <w:sz w:val="24"/>
        </w:rPr>
      </w:pPr>
      <w:bookmarkStart w:id="1035" w:name="_Toc296503097"/>
      <w:bookmarkStart w:id="1036" w:name="_Toc296346598"/>
      <w:bookmarkStart w:id="1037" w:name="_Toc351203582"/>
      <w:bookmarkStart w:id="1038" w:name="_Toc337558801"/>
      <w:r>
        <w:rPr>
          <w:rFonts w:hint="eastAsia" w:ascii="宋体" w:hAnsi="宋体" w:eastAsia="宋体" w:cs="宋体"/>
          <w:color w:val="000000"/>
          <w:sz w:val="24"/>
        </w:rPr>
        <w:t>12.2预</w:t>
      </w:r>
      <w:bookmarkEnd w:id="1035"/>
      <w:bookmarkEnd w:id="1036"/>
      <w:bookmarkStart w:id="1039" w:name="_Toc296346601"/>
      <w:bookmarkStart w:id="1040" w:name="_Toc296503100"/>
      <w:r>
        <w:rPr>
          <w:rFonts w:hint="eastAsia" w:ascii="宋体" w:hAnsi="宋体" w:eastAsia="宋体" w:cs="宋体"/>
          <w:color w:val="000000"/>
          <w:sz w:val="24"/>
        </w:rPr>
        <w:t>付款</w:t>
      </w:r>
      <w:bookmarkEnd w:id="1037"/>
    </w:p>
    <w:bookmarkEnd w:id="1038"/>
    <w:bookmarkEnd w:id="1039"/>
    <w:bookmarkEnd w:id="1040"/>
    <w:p w14:paraId="2AFC71B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12.2.1预付款的支付</w:t>
      </w:r>
    </w:p>
    <w:p w14:paraId="1A6624B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预付款的支付按照专用合同条款约定执行，但至迟应在开工通知载明的开工日期7天前支付。预付款应当用于材料、工程设备、施工设备的采购及修建临时工程、组织施工队伍进场等。</w:t>
      </w:r>
    </w:p>
    <w:p w14:paraId="221285C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除专用合同条款另有约定外，预付款在进度付款中同比例扣回。</w:t>
      </w:r>
      <w:bookmarkEnd w:id="1024"/>
      <w:r>
        <w:rPr>
          <w:rFonts w:hint="eastAsia" w:ascii="宋体" w:hAnsi="宋体" w:eastAsia="宋体" w:cs="宋体"/>
          <w:color w:val="000000"/>
          <w:sz w:val="24"/>
        </w:rPr>
        <w:t>在颁发工程接收证书前，提前解除合同的，尚未扣完的预付款应与合同价款一并结算。</w:t>
      </w:r>
    </w:p>
    <w:p w14:paraId="0002877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发包人逾期支付预付款超过7天的，承包人有权向发包人发出要求预付的催告通知，发包人收到通知后7天内仍未支付的，承包人有权暂停施工，并按第16.1.1项〔发包人违约的情形〕执行。</w:t>
      </w:r>
    </w:p>
    <w:p w14:paraId="783CE6F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12.2.2 预付款担保</w:t>
      </w:r>
    </w:p>
    <w:p w14:paraId="1D372C4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要求承包人提供预付款担保的，承包人应在发包人支付预付款7天前提供预付款担保，专用合同条款另有约定除外。预付款担保可采用银行保函、担保公司担保等形式，具体由合同当事人在专用合同条款中约定。在预付款完全扣回之前，承包人应保证预付款担保持续有效。</w:t>
      </w:r>
    </w:p>
    <w:p w14:paraId="0F3426F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发包人在工程款中逐期扣回预付款后，预付款担保额度应相应减少，但剩余的预付款担保金额不得低于未被扣回的预付款金额。</w:t>
      </w:r>
    </w:p>
    <w:p w14:paraId="6CD8BF4E">
      <w:pPr>
        <w:spacing w:before="120" w:after="120" w:line="360" w:lineRule="auto"/>
        <w:ind w:firstLine="480" w:firstLineChars="200"/>
        <w:rPr>
          <w:rFonts w:ascii="宋体" w:hAnsi="宋体" w:eastAsia="宋体" w:cs="宋体"/>
          <w:color w:val="000000"/>
          <w:sz w:val="24"/>
        </w:rPr>
      </w:pPr>
      <w:bookmarkStart w:id="1041" w:name="_Toc351203583"/>
      <w:bookmarkStart w:id="1042" w:name="_Toc337558802"/>
      <w:r>
        <w:rPr>
          <w:rFonts w:hint="eastAsia" w:ascii="宋体" w:hAnsi="宋体" w:eastAsia="宋体" w:cs="宋体"/>
          <w:color w:val="000000"/>
          <w:sz w:val="24"/>
        </w:rPr>
        <w:t>12.3计量</w:t>
      </w:r>
      <w:bookmarkEnd w:id="1041"/>
    </w:p>
    <w:bookmarkEnd w:id="1042"/>
    <w:p w14:paraId="2C0CC80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12.3.1 计量原则</w:t>
      </w:r>
    </w:p>
    <w:p w14:paraId="6CA89F7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工程量计量按照合同约定的工程量计算规则、图纸及变更指示等进行计量。工程量计算规则应以相关的国家标准、行业标准等为依据，由合同当事人在专用合同条款中约定。</w:t>
      </w:r>
    </w:p>
    <w:p w14:paraId="03D1BEF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12.3.2 计量周期</w:t>
      </w:r>
    </w:p>
    <w:p w14:paraId="536F4DE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除专用合同条款另有约定外，工程量的计量按月进行。</w:t>
      </w:r>
    </w:p>
    <w:p w14:paraId="388E147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12.3.3 单价合同的计量</w:t>
      </w:r>
    </w:p>
    <w:p w14:paraId="416D1EA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除专用合同条款另有约定外，单价合同的计量按照本项约定执行：</w:t>
      </w:r>
    </w:p>
    <w:p w14:paraId="750910F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（1）承包人应于每月25日向监理人报送上月20日至当月19日已完成的工程量报告，并附具进度付款申请单、已完成工程量报表和有关资料。</w:t>
      </w:r>
    </w:p>
    <w:p w14:paraId="13B4ADD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复核或修正的工程量视为承包人实际完成的工程量。</w:t>
      </w:r>
    </w:p>
    <w:p w14:paraId="232AAE7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（3）监理人未在收到承包人提交的工程量报表后的7天内完成审核的，承包人报送的工程量报告中的工程量视为承包人实际完成的工程量，据此计算工程价款。</w:t>
      </w:r>
    </w:p>
    <w:p w14:paraId="5963368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12.3.4 总价合同的计量</w:t>
      </w:r>
    </w:p>
    <w:p w14:paraId="7F8F105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除专用合同条款另有约定外，按月计量支付的总价合同，按照本项约定执行：</w:t>
      </w:r>
    </w:p>
    <w:p w14:paraId="015931E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（1）承包人应于每月25日向监理人报送上月20日至当月19日已完成的工程量报告，并附具进度付款申请单、已完成工程量报表和有关资料。</w:t>
      </w:r>
    </w:p>
    <w:p w14:paraId="7C014A6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监理人应在收到承包人提交的工程量报告后7天内完成对承包人提交的工程量报表的审核并报送发包人，以确定当月实际完成的工程量。监理人对工程量有异议的，有权要求承包人进行共同复核或抽样复测。承包人应协助监理人进行复核或抽样复测并按监理人要求提供补充计量资料。承包人未按监理人要求参加复核或抽样复测的，监理人审核或修正的工程量视为承包人实际完成的工程量。</w:t>
      </w:r>
    </w:p>
    <w:p w14:paraId="4EB73A8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（3）监理人未在收到承包人提交的工程量报表后的7天内完成复核的，承包人提交的工程量报告中的工程量视为承包人实际完成的工程量。</w:t>
      </w:r>
    </w:p>
    <w:p w14:paraId="6B495DB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12.3.5 总价合同采用支付分解表计量支付的，可以按照第12.3.4项〔总价合同的计量〕约定进行计量，但合同价款按照支付分解表进行支付。</w:t>
      </w:r>
    </w:p>
    <w:p w14:paraId="2712403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12.3.6 其他价格形式合同的计量</w:t>
      </w:r>
    </w:p>
    <w:p w14:paraId="404AD08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合同当事人可在专用合同条款中约定其他价格形式合同的计量方式和程序。</w:t>
      </w:r>
    </w:p>
    <w:p w14:paraId="0618435C">
      <w:pPr>
        <w:spacing w:before="120" w:after="120" w:line="360" w:lineRule="auto"/>
        <w:ind w:firstLine="480" w:firstLineChars="200"/>
        <w:rPr>
          <w:rFonts w:ascii="宋体" w:hAnsi="宋体" w:eastAsia="宋体" w:cs="宋体"/>
          <w:color w:val="000000"/>
          <w:sz w:val="24"/>
        </w:rPr>
      </w:pPr>
      <w:bookmarkStart w:id="1043" w:name="_Toc296503101"/>
      <w:bookmarkStart w:id="1044" w:name="_Toc296346602"/>
      <w:bookmarkStart w:id="1045" w:name="_Toc351203584"/>
      <w:bookmarkStart w:id="1046" w:name="_Toc337558803"/>
      <w:r>
        <w:rPr>
          <w:rFonts w:hint="eastAsia" w:ascii="宋体" w:hAnsi="宋体" w:eastAsia="宋体" w:cs="宋体"/>
          <w:color w:val="000000"/>
          <w:sz w:val="24"/>
        </w:rPr>
        <w:t>12.4工程进度款支</w:t>
      </w:r>
      <w:bookmarkEnd w:id="1043"/>
      <w:bookmarkEnd w:id="1044"/>
      <w:r>
        <w:rPr>
          <w:rFonts w:hint="eastAsia" w:ascii="宋体" w:hAnsi="宋体" w:eastAsia="宋体" w:cs="宋体"/>
          <w:color w:val="000000"/>
          <w:sz w:val="24"/>
        </w:rPr>
        <w:t>付</w:t>
      </w:r>
      <w:bookmarkEnd w:id="1045"/>
    </w:p>
    <w:bookmarkEnd w:id="1046"/>
    <w:p w14:paraId="5DF7D45F">
      <w:pPr>
        <w:autoSpaceDE w:val="0"/>
        <w:autoSpaceDN w:val="0"/>
        <w:adjustRightInd w:val="0"/>
        <w:spacing w:line="360" w:lineRule="auto"/>
        <w:ind w:firstLine="480" w:firstLineChars="200"/>
        <w:rPr>
          <w:rFonts w:ascii="宋体" w:hAnsi="宋体" w:eastAsia="宋体" w:cs="宋体"/>
          <w:color w:val="000000"/>
          <w:sz w:val="24"/>
        </w:rPr>
      </w:pPr>
      <w:bookmarkStart w:id="1047" w:name="_Toc22439"/>
      <w:bookmarkStart w:id="1048" w:name="_Toc20345"/>
      <w:bookmarkStart w:id="1049" w:name="_Toc2795"/>
      <w:bookmarkStart w:id="1050" w:name="_Toc18043"/>
      <w:r>
        <w:rPr>
          <w:rFonts w:hint="eastAsia" w:ascii="宋体" w:hAnsi="宋体" w:eastAsia="宋体" w:cs="宋体"/>
          <w:color w:val="000000"/>
          <w:sz w:val="24"/>
        </w:rPr>
        <w:t>12.4.1 付款周期</w:t>
      </w:r>
      <w:bookmarkEnd w:id="1047"/>
      <w:bookmarkEnd w:id="1048"/>
      <w:bookmarkEnd w:id="1049"/>
      <w:bookmarkEnd w:id="1050"/>
    </w:p>
    <w:p w14:paraId="0B21FA3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除专用合同条款另有约定外，付款周期应按照第12.3.2项〔计量周期〕的约定与计量周期保持一致。</w:t>
      </w:r>
    </w:p>
    <w:p w14:paraId="5FF360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12.4.2 进度付款申请单的编制</w:t>
      </w:r>
    </w:p>
    <w:p w14:paraId="5F1A2A9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除专用合同条款另有约定外，进度付款申请单应包括下列内容：</w:t>
      </w:r>
    </w:p>
    <w:p w14:paraId="1A1C21C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（1）截至本次付款周期已完成工作对应的金额；</w:t>
      </w:r>
    </w:p>
    <w:p w14:paraId="1036857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（2）根据第10条〔变更〕应增加和扣减的变更金额；</w:t>
      </w:r>
    </w:p>
    <w:p w14:paraId="0355F3E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（3）根据第12.2款〔预付款〕约定应支付的预付款和扣减的返还预付款；</w:t>
      </w:r>
    </w:p>
    <w:p w14:paraId="4F547C0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（4）根据第15.3款〔质量保证金〕约定应扣减的质量保证金；</w:t>
      </w:r>
    </w:p>
    <w:p w14:paraId="70ABEA2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（5）根据第19条〔索赔〕应增加和扣减的索赔金额；</w:t>
      </w:r>
    </w:p>
    <w:p w14:paraId="55A4714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（6）对已签发的进度款支付证书中出现错误的修正，应在本次进度付款中支付或扣除的金额；</w:t>
      </w:r>
    </w:p>
    <w:p w14:paraId="13311A8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（7）根据合同约定应增加和扣减的其他金额。</w:t>
      </w:r>
    </w:p>
    <w:p w14:paraId="1B7C651E">
      <w:pPr>
        <w:autoSpaceDE w:val="0"/>
        <w:autoSpaceDN w:val="0"/>
        <w:adjustRightInd w:val="0"/>
        <w:spacing w:line="360" w:lineRule="auto"/>
        <w:ind w:firstLine="480" w:firstLineChars="200"/>
        <w:rPr>
          <w:rFonts w:ascii="宋体" w:hAnsi="宋体" w:eastAsia="宋体" w:cs="宋体"/>
          <w:color w:val="000000"/>
          <w:sz w:val="24"/>
        </w:rPr>
      </w:pPr>
      <w:bookmarkStart w:id="1051" w:name="_Toc26561"/>
      <w:bookmarkStart w:id="1052" w:name="_Toc19857"/>
      <w:bookmarkStart w:id="1053" w:name="_Toc26515"/>
      <w:bookmarkStart w:id="1054" w:name="_Toc5619"/>
      <w:r>
        <w:rPr>
          <w:rFonts w:hint="eastAsia" w:ascii="宋体" w:hAnsi="宋体" w:eastAsia="宋体" w:cs="宋体"/>
          <w:color w:val="000000"/>
          <w:sz w:val="24"/>
        </w:rPr>
        <w:t>12.4.3 进度付款申请单的提交</w:t>
      </w:r>
      <w:bookmarkEnd w:id="1051"/>
      <w:bookmarkEnd w:id="1052"/>
      <w:bookmarkEnd w:id="1053"/>
      <w:bookmarkEnd w:id="1054"/>
    </w:p>
    <w:p w14:paraId="54B5F10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（1）单价合同进度付款申请单的提交</w:t>
      </w:r>
    </w:p>
    <w:p w14:paraId="1CBCB57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单价合同的进度付款申请单，按照第12.3.3项〔单价合同的计量〕约定的时间按月向监理人提交，并附上已完成工程量报表和有关资料。单价合同中的总价项目按月进行支付分解，并汇总列入当期进度付款申请单。</w:t>
      </w:r>
    </w:p>
    <w:p w14:paraId="41EA230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（2）总价合同进度付款申请单的提交</w:t>
      </w:r>
    </w:p>
    <w:p w14:paraId="7F2A64D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总价合同按月计量支付的，承包人按照第12.3.4项〔总价合同的计量〕约定的时间按月向监理人提交进度付款申请单，并附上已完成工程量报表和有关资料。</w:t>
      </w:r>
    </w:p>
    <w:p w14:paraId="3634C1D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总价合同按支付分解表支付的，承包人应按照第12.4.6项〔支付分解表〕及第12.4.2项〔进度付款申请单的编制〕的约定向监理人提交进度付款申请单。</w:t>
      </w:r>
    </w:p>
    <w:p w14:paraId="46C6644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（3）其他价格形式合同的进度付款申请单的提交</w:t>
      </w:r>
    </w:p>
    <w:p w14:paraId="21CB085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合同当事人可在专用合同条款中约定其他价格形式合同的进度付款申请单的编制和提交程序。</w:t>
      </w:r>
    </w:p>
    <w:p w14:paraId="2F6C0FC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12.4.4 进度款审核和支付</w:t>
      </w:r>
    </w:p>
    <w:p w14:paraId="2CCF043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监理人应在收到承包人进度付款申请单以及相关资料后7天内完成审查并报送发包人，发包人应在收到后7天内完成审批并签发进度款支付证书。发包人逾期未完成审批且未提出异议的，视为已签发进度款支付证书。</w:t>
      </w:r>
    </w:p>
    <w:p w14:paraId="14D5341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和监理人对承包人的进度付款申请单有异议的，有权要求承包人修正和提供补充资料，承包人应提交修正后的进度付款申请单。监理人应在收到承包人修正后的进度付款申请单及相关资料后7天内完成审查并报送发包人，发包人应在收到监理人报送的进度付款申请单及相关资料后7天内，向承包人签发无异议部分的临时进度款支付证书。存在争议的部分，按照第20条〔争议解决〕的约定处理。</w:t>
      </w:r>
    </w:p>
    <w:p w14:paraId="6B0C81C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（2）除专用合同条款另有约定外，发包人应在进度款支付证书或临时进度款支付证书签发后14天内完成支付，发包人逾期支付进度款的，应按照中国人民银行发布的同期同类贷款基准利率支付违约金。</w:t>
      </w:r>
    </w:p>
    <w:p w14:paraId="5DC93AE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（3）发包人签发进度款支付证书或临时进度款支付证书，不表明发包人已同意、批准或接受了承包人完成的相应部分的工作。</w:t>
      </w:r>
    </w:p>
    <w:p w14:paraId="3A7EF79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12.4.5 进度付款的修正</w:t>
      </w:r>
    </w:p>
    <w:p w14:paraId="056FF08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在对已签发的进度款支付证书进行阶段汇总和复核中发现错误、遗漏或重复的，发包人和承包人均有权提出修正申请。经发包人和承包人同意的修正，应在下期进度付款中支付或扣除。</w:t>
      </w:r>
    </w:p>
    <w:p w14:paraId="011DD20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12.4.6 支付分解表</w:t>
      </w:r>
    </w:p>
    <w:p w14:paraId="3B15181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1.支付分解表的编制要求</w:t>
      </w:r>
    </w:p>
    <w:p w14:paraId="473FAA8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（1）支付分解表中所列的每期付款金额，应为第12.4.2项〔进度付款申请单的编制〕第（1）目的估算金额；</w:t>
      </w:r>
    </w:p>
    <w:p w14:paraId="5EFA6B0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（2）实际进度与施工进度计划不一致的，合同当事人可按照第4.4款〔商定或确定〕修改支付分解表；</w:t>
      </w:r>
    </w:p>
    <w:p w14:paraId="755124E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（3）不采用支付分解表的，承包人应向发包人和监理人提交按季度编制的支付估算分解表，用于支付参考。</w:t>
      </w:r>
    </w:p>
    <w:p w14:paraId="0F2CC37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2.总价合同支付分解表的编制与审批</w:t>
      </w:r>
    </w:p>
    <w:p w14:paraId="58BD26E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承包人应根据第7.2款〔施工进度计划〕约定的施工进度计划、签约合同价和工程量等因素对总价合同按月进行分解，编制支付分解表。承包人应当在收到监理人和发包人批准的施工进度计划后7天内，将支付分解表及编制支付分解表的支持性资料报送监理人。</w:t>
      </w:r>
    </w:p>
    <w:p w14:paraId="34446DD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（2）监理人应在收到支付分解表后7天内完成审核并报送发包人。发包人应在收到经监理人审核的支付分解表后7天内完成审批，经发包人批准的支付分解表为有约束力的支付分解表。</w:t>
      </w:r>
    </w:p>
    <w:p w14:paraId="6CDCF587">
      <w:pPr>
        <w:spacing w:line="360" w:lineRule="auto"/>
        <w:rPr>
          <w:rFonts w:ascii="宋体" w:hAnsi="宋体" w:eastAsia="宋体" w:cs="宋体"/>
          <w:color w:val="000000"/>
          <w:sz w:val="24"/>
        </w:rPr>
      </w:pPr>
      <w:r>
        <w:rPr>
          <w:rFonts w:hint="eastAsia" w:ascii="宋体" w:hAnsi="宋体" w:eastAsia="宋体" w:cs="宋体"/>
          <w:color w:val="000000"/>
          <w:sz w:val="24"/>
        </w:rPr>
        <w:t xml:space="preserve">    （3）发包人逾期未完成支付分解表审批的，也未及时要求承包人进行修正和提供补充资料的，则承包人提交的支付分解表视为已经获得发包人批准。</w:t>
      </w:r>
    </w:p>
    <w:p w14:paraId="47CE3FA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3.单价合同的总价项目支付分解表的编制与审批</w:t>
      </w:r>
    </w:p>
    <w:p w14:paraId="5724638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单价合同的总价项目，由承包人根据施工进度计划和总价项目的总价构成、费用性质、计划发生时间和相应工程量等因素按月进行分解，形成支付分解表，其编制与审批参照总价合同支付分解表的编制与审批执行。</w:t>
      </w:r>
    </w:p>
    <w:p w14:paraId="12F9F31B">
      <w:pPr>
        <w:spacing w:before="120" w:after="120" w:line="360" w:lineRule="auto"/>
        <w:ind w:firstLine="480" w:firstLineChars="200"/>
        <w:rPr>
          <w:rFonts w:ascii="宋体" w:hAnsi="宋体" w:eastAsia="宋体" w:cs="宋体"/>
          <w:color w:val="000000"/>
          <w:sz w:val="24"/>
        </w:rPr>
      </w:pPr>
      <w:bookmarkStart w:id="1055" w:name="_Toc351203585"/>
      <w:r>
        <w:rPr>
          <w:rFonts w:hint="eastAsia" w:ascii="宋体" w:hAnsi="宋体" w:eastAsia="宋体" w:cs="宋体"/>
          <w:color w:val="000000"/>
          <w:sz w:val="24"/>
        </w:rPr>
        <w:t>12.5支付账户</w:t>
      </w:r>
      <w:bookmarkEnd w:id="1055"/>
    </w:p>
    <w:p w14:paraId="644270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发包人应将合同价款支付至合同协议书中约定的承包人账户。</w:t>
      </w:r>
    </w:p>
    <w:p w14:paraId="7C376608">
      <w:pPr>
        <w:spacing w:before="120" w:after="120" w:line="360" w:lineRule="auto"/>
        <w:rPr>
          <w:rFonts w:ascii="宋体" w:hAnsi="宋体" w:eastAsia="宋体" w:cs="宋体"/>
          <w:color w:val="000000"/>
          <w:sz w:val="24"/>
        </w:rPr>
      </w:pPr>
      <w:bookmarkStart w:id="1056" w:name="_Toc351203586"/>
      <w:bookmarkStart w:id="1057" w:name="_Toc296346607"/>
      <w:bookmarkStart w:id="1058" w:name="_Toc296503106"/>
      <w:bookmarkStart w:id="1059" w:name="_Toc322522574"/>
      <w:bookmarkStart w:id="1060" w:name="_Toc337558804"/>
      <w:r>
        <w:rPr>
          <w:rFonts w:hint="eastAsia" w:ascii="宋体" w:hAnsi="宋体" w:eastAsia="宋体" w:cs="宋体"/>
          <w:color w:val="000000"/>
          <w:sz w:val="24"/>
        </w:rPr>
        <w:t>13. 验收和工程试车</w:t>
      </w:r>
      <w:bookmarkEnd w:id="1056"/>
    </w:p>
    <w:bookmarkEnd w:id="1057"/>
    <w:bookmarkEnd w:id="1058"/>
    <w:bookmarkEnd w:id="1059"/>
    <w:bookmarkEnd w:id="1060"/>
    <w:p w14:paraId="3207DCFC">
      <w:pPr>
        <w:spacing w:before="120" w:after="120" w:line="360" w:lineRule="auto"/>
        <w:ind w:firstLine="480" w:firstLineChars="200"/>
        <w:rPr>
          <w:rFonts w:ascii="宋体" w:hAnsi="宋体" w:eastAsia="宋体" w:cs="宋体"/>
          <w:color w:val="000000"/>
          <w:sz w:val="24"/>
        </w:rPr>
      </w:pPr>
      <w:bookmarkStart w:id="1061" w:name="_Toc351203587"/>
      <w:bookmarkStart w:id="1062" w:name="_Toc337558805"/>
      <w:bookmarkStart w:id="1063" w:name="_Toc296346611"/>
      <w:bookmarkStart w:id="1064" w:name="_Toc296503110"/>
      <w:r>
        <w:rPr>
          <w:rFonts w:hint="eastAsia" w:ascii="宋体" w:hAnsi="宋体" w:eastAsia="宋体" w:cs="宋体"/>
          <w:color w:val="000000"/>
          <w:sz w:val="24"/>
        </w:rPr>
        <w:t>13.1分部分项工程验收</w:t>
      </w:r>
      <w:bookmarkEnd w:id="1061"/>
    </w:p>
    <w:bookmarkEnd w:id="1062"/>
    <w:p w14:paraId="6D6EA20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13.1.1 分部分项工程质量应符合国家有关工程施工验收规范、标准及合同约定，承包人应按照施工组织设计的要求完成分部分项工程施工。</w:t>
      </w:r>
    </w:p>
    <w:p w14:paraId="66F551D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13.1.2 除专用合同条款另有约定外，分部分项工程经承包人自检合格并具备验收条件的，承包人应提前48小时通知监理人进行验收。监理人不能按时进行验收的，应在验收前24小时向承包人提交书面延期要求，但延期不能超过48小时。监理人未按时进行验收，也未提出延期要求的，承包人有权自行验收，监理人应认可验收结果。分部分项工程未经验收的，不得进入下一道工序施工。</w:t>
      </w:r>
    </w:p>
    <w:p w14:paraId="4CAAE93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分部分项工程的验收资料应当作为竣工资料的组成部分。</w:t>
      </w:r>
    </w:p>
    <w:p w14:paraId="1F11F4AD">
      <w:pPr>
        <w:spacing w:before="120" w:after="120" w:line="360" w:lineRule="auto"/>
        <w:ind w:firstLine="480" w:firstLineChars="200"/>
        <w:rPr>
          <w:rFonts w:ascii="宋体" w:hAnsi="宋体" w:eastAsia="宋体" w:cs="宋体"/>
          <w:color w:val="000000"/>
          <w:sz w:val="24"/>
        </w:rPr>
      </w:pPr>
      <w:bookmarkStart w:id="1065" w:name="_Toc351203588"/>
      <w:bookmarkStart w:id="1066" w:name="_Toc337558806"/>
      <w:r>
        <w:rPr>
          <w:rFonts w:hint="eastAsia" w:ascii="宋体" w:hAnsi="宋体" w:eastAsia="宋体" w:cs="宋体"/>
          <w:color w:val="000000"/>
          <w:sz w:val="24"/>
        </w:rPr>
        <w:t>13.2竣工验收</w:t>
      </w:r>
      <w:bookmarkEnd w:id="1065"/>
    </w:p>
    <w:bookmarkEnd w:id="1063"/>
    <w:bookmarkEnd w:id="1064"/>
    <w:bookmarkEnd w:id="1066"/>
    <w:p w14:paraId="1773765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13.2.1竣工验收条件</w:t>
      </w:r>
    </w:p>
    <w:p w14:paraId="41D2999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工程具备以下条件的，承包人可以申请竣工验收：</w:t>
      </w:r>
    </w:p>
    <w:p w14:paraId="56475AB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（1）除发包人同意的甩项工作和缺陷修补工作外，合同范围内的全部工程以及有关工作，包括合同要求的试验、试运行以及检验均已完成，并符合合同要求；</w:t>
      </w:r>
    </w:p>
    <w:p w14:paraId="1BD1646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（2）已按合同约定编制了甩项工作和缺陷修补工作清单以及相应的施工计划；</w:t>
      </w:r>
    </w:p>
    <w:p w14:paraId="24CAA11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（3）已按合同约定的内容和份数备齐竣工资料。</w:t>
      </w:r>
    </w:p>
    <w:p w14:paraId="3FC9BC6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13.2.2竣工验收程序</w:t>
      </w:r>
    </w:p>
    <w:p w14:paraId="53B97C4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除专用合同条款另有约定外，承包人申请竣工验收的，应当按照以下程序进行：</w:t>
      </w:r>
    </w:p>
    <w:p w14:paraId="42CA754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向监理人报送竣工验收申请报告，监理人应在收到竣工验收申请报告后14天内完成审查并报送发包人。监理人审查后认为尚不具备验收条件的，应通知承包人在竣工验收前承包人还需完成的工作内容，承包人应在完成监理人通知的全部工作内容后，再次提交竣工验收申请报告。</w:t>
      </w:r>
    </w:p>
    <w:p w14:paraId="4405B76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（2）监理人审查后认为已具备竣工验收条件的，应将竣工验收申请报告提交发包人，发包人应在收到经监理人审核的竣工验收申请报告后28天内审批完毕并组织监理人、承包人、设计人等相关单位完成竣工验收。</w:t>
      </w:r>
    </w:p>
    <w:p w14:paraId="47B33D4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（3）竣工验收合格的，发包人应在验收合格后14天内向承包人签发工程接收证书。发包人无正当理由逾期不颁发工程接收证书的，自验收合格后第15天起视为已颁发工程接收证书。</w:t>
      </w:r>
    </w:p>
    <w:p w14:paraId="0A0ABF2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竣工验收不合格的，监理人应按照验收意见发出指示，要求承包人对不合格工程返工、修复或采取其他补救措施，由此增加的费用和（或）延误的工期由承包人承担。承包人在完成不合格工程的返工、修复或采取其他补救措施后，应重新提交竣工验收申请报告，并按本项约定的程序重新进行验收。</w:t>
      </w:r>
    </w:p>
    <w:p w14:paraId="28019BA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（5）工程未经验收或验收不合格，发包人擅自使用的，应在转移占有工程后7天内向承包人颁发工程接收证书；发包人无正当理由逾期不颁发工程接收证书的，自转移占有后第15天起视为已颁发工程接收证书。</w:t>
      </w:r>
    </w:p>
    <w:p w14:paraId="7BB38B1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除专用合同条款另有约定外，发包人不按照本项约定组织竣工验收、颁发工程接收证书的，每逾期一天，应以签约合同价为基数，按照中国人民银行发布的同期同类贷款基准利率支付违约金。</w:t>
      </w:r>
    </w:p>
    <w:p w14:paraId="6DB7A5B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13.2.3竣工日期</w:t>
      </w:r>
    </w:p>
    <w:p w14:paraId="549F435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经竣工验收合格的，以承包人提交竣工验收申请报告之日为实际竣工日期，并在工程接收证书中载明；因发包人原因，未在监理人收到承包人提交的竣工验收申请报告42天内完成竣工验收，或完成竣工验收不予签发工程接收证书的，以提交竣工验</w:t>
      </w:r>
      <w:bookmarkStart w:id="1067" w:name="#go14"/>
      <w:bookmarkEnd w:id="1067"/>
      <w:r>
        <w:rPr>
          <w:rFonts w:hint="eastAsia" w:ascii="宋体" w:hAnsi="宋体" w:eastAsia="宋体" w:cs="宋体"/>
          <w:color w:val="000000"/>
          <w:sz w:val="24"/>
        </w:rPr>
        <w:t>收申请报告的日期为实际竣工日期；工程未经竣工验收，发包人擅自使用的，以转移占有工程之日为实际竣工日期。</w:t>
      </w:r>
    </w:p>
    <w:p w14:paraId="5252B225">
      <w:pPr>
        <w:spacing w:line="360" w:lineRule="auto"/>
        <w:ind w:firstLine="480" w:firstLineChars="200"/>
        <w:rPr>
          <w:rFonts w:ascii="宋体" w:hAnsi="宋体" w:eastAsia="宋体" w:cs="宋体"/>
          <w:color w:val="000000"/>
          <w:sz w:val="24"/>
        </w:rPr>
      </w:pPr>
      <w:bookmarkStart w:id="1068" w:name="_Toc3872"/>
      <w:bookmarkStart w:id="1069" w:name="_Toc25301"/>
      <w:bookmarkStart w:id="1070" w:name="_Toc5763"/>
      <w:bookmarkStart w:id="1071" w:name="_Toc5357"/>
      <w:r>
        <w:rPr>
          <w:rFonts w:hint="eastAsia" w:ascii="宋体" w:hAnsi="宋体" w:eastAsia="宋体" w:cs="宋体"/>
          <w:color w:val="000000"/>
          <w:sz w:val="24"/>
        </w:rPr>
        <w:t>13.2.4 拒绝接收全部或部分工程</w:t>
      </w:r>
      <w:bookmarkEnd w:id="1068"/>
      <w:bookmarkEnd w:id="1069"/>
      <w:bookmarkEnd w:id="1070"/>
      <w:bookmarkEnd w:id="1071"/>
    </w:p>
    <w:p w14:paraId="343E70A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于竣工验收不合格的工程，承包人完成整改后，应当重新进行竣工验收，经重新组织验收仍不合格的且无法采取措施补救的，则发包人可以拒绝接收不合格工程，因不合格工程导致其他工程不能正常使用的，承包人应采取措施确保相关工程的正常使用，由此增加的费用和（或）延误的工期由承包人承担。</w:t>
      </w:r>
    </w:p>
    <w:p w14:paraId="795FD33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13.2.5 移交、接收全部与部分工程</w:t>
      </w:r>
    </w:p>
    <w:p w14:paraId="3904C29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除专用合同条款另有约定外，合同当事人应当在颁发工程接收证书后7天内完成工程的移交。</w:t>
      </w:r>
    </w:p>
    <w:p w14:paraId="2809F7D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发包人无正当理由不接收工程的，发包人自应当接收工程之日起，承担工程照管、成品保护、保管等与工程有关的各项费用，合同当事人可以在专用合同条款中另行约定发包人逾期接收工程的违约责任。</w:t>
      </w:r>
    </w:p>
    <w:p w14:paraId="664789C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承包人无正当理由不移交工程的，承包人应承担工程照管、成品保护、保管等与工程有关的各项费用，合同当事人可以在专用合同条款中另行约定承包人无正当理由不移交工程的违约责任。</w:t>
      </w:r>
    </w:p>
    <w:p w14:paraId="318C9AF1">
      <w:pPr>
        <w:spacing w:before="120" w:after="120" w:line="360" w:lineRule="auto"/>
        <w:ind w:firstLine="480" w:firstLineChars="200"/>
        <w:rPr>
          <w:rFonts w:ascii="宋体" w:hAnsi="宋体" w:eastAsia="宋体" w:cs="宋体"/>
          <w:color w:val="000000"/>
          <w:sz w:val="24"/>
        </w:rPr>
      </w:pPr>
      <w:bookmarkStart w:id="1072" w:name="_Toc351203589"/>
      <w:bookmarkStart w:id="1073" w:name="_Toc296503111"/>
      <w:bookmarkStart w:id="1074" w:name="_Toc296346612"/>
      <w:bookmarkStart w:id="1075" w:name="_Toc337558807"/>
      <w:r>
        <w:rPr>
          <w:rFonts w:hint="eastAsia" w:ascii="宋体" w:hAnsi="宋体" w:eastAsia="宋体" w:cs="宋体"/>
          <w:color w:val="000000"/>
          <w:sz w:val="24"/>
        </w:rPr>
        <w:t>13.3工程试车</w:t>
      </w:r>
      <w:bookmarkEnd w:id="1072"/>
    </w:p>
    <w:bookmarkEnd w:id="1073"/>
    <w:bookmarkEnd w:id="1074"/>
    <w:bookmarkEnd w:id="1075"/>
    <w:p w14:paraId="5F2A613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13.3.1试车程序</w:t>
      </w:r>
    </w:p>
    <w:p w14:paraId="0687EFF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工程需要试车的，除专用合同条款另有约定外，试车内容应与承包人承包范围相一致，试车费用由承包人承担。工程试车应按如下程序进行：</w:t>
      </w:r>
    </w:p>
    <w:p w14:paraId="29817DE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具备单机无负荷试车条件，承包人组织试车，并在试车前48小时书面通知监理人，通知中应载明试车内容、时间、地点。承包人准备试车记录，发包人根据承包人要求为试车提供必要条件。试车合格的，监理人在试车记录上签字。监理人在试车合格后不在试车记录上签字，自试车结束满24小时后视为监理人已经认可试车记录，承包人可继续施工或办理竣工验收手续。</w:t>
      </w:r>
    </w:p>
    <w:p w14:paraId="6FB0C91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人不能按时参加试车，应在试车前24小时以书面形式向承包人提出延期要求，但延期不能超过48小时，由此导致工期延误的，工期应予以顺延。监理人未能在前述期限内提出延期要求，又不参加试车的，视为认可试车记录。</w:t>
      </w:r>
    </w:p>
    <w:p w14:paraId="7519C13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具备无负荷联动试车条件，发包人组织试车，并在试车前48小时以书面形式通知承包人。通知中应载明试车内容、时间、地点和对承包人的要求，承包人按要求做好准备工作。试车合格，合同当事人在试车记录上签字。承包人无正当理由不参加试车的，视为认可试车记录。</w:t>
      </w:r>
    </w:p>
    <w:p w14:paraId="706F5D2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13.3.2 试车中的责任</w:t>
      </w:r>
    </w:p>
    <w:p w14:paraId="432D6A8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设计原因导致试车达不到验收要求，发包人应要求设计人修改设计，承包人按修改后的设计重新安装。发包人承担修改设计、拆除及重新安装的全部费用，工期相应顺延。因承包人原因导致试车达不到验收要求，承包人按监理人要求重新安装和试车，并承担重新安装和试车的费用，工期不予顺延。</w:t>
      </w:r>
    </w:p>
    <w:p w14:paraId="7418800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工程设备制造原因导致试车达不到验收要求的，由采购该工程设备的合同当事人负责重新购置或修理，承包人负责拆除和重新安装，由此增加的修理、重新购置、拆除及重新安装的费用及延误的工期由采购该工程设备的合同当事人承担。</w:t>
      </w:r>
    </w:p>
    <w:p w14:paraId="3C7FEFC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13.3.3 投料试车</w:t>
      </w:r>
    </w:p>
    <w:p w14:paraId="2129BA1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如需进行投料试车的，发包人应在工程竣工验收后组织投料试车。发包人要求在工程竣工验收前进行或需要承包人配合时，应征得承包人同意，并在专用合同条款中约定有关事项。</w:t>
      </w:r>
    </w:p>
    <w:p w14:paraId="181BAFF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投料试车合格的，费用由发包人承担；因承包人原因造成投料试车不合格的，承包人应按照发包人要求进行整改，由此产生的整改费用由承包人承担；非因承包人原因导致投料试车不合格的，如发包人要求承包人进行整改的，由此产生的费用由发包人承担。</w:t>
      </w:r>
    </w:p>
    <w:p w14:paraId="64DBDD16">
      <w:pPr>
        <w:spacing w:before="120" w:after="120" w:line="360" w:lineRule="auto"/>
        <w:rPr>
          <w:rFonts w:ascii="宋体" w:hAnsi="宋体" w:eastAsia="宋体" w:cs="宋体"/>
          <w:color w:val="000000"/>
          <w:sz w:val="24"/>
        </w:rPr>
      </w:pPr>
      <w:bookmarkStart w:id="1076" w:name="_Toc337558808"/>
      <w:r>
        <w:rPr>
          <w:rFonts w:hint="eastAsia" w:ascii="宋体" w:hAnsi="宋体" w:eastAsia="宋体" w:cs="宋体"/>
          <w:color w:val="000000"/>
          <w:sz w:val="24"/>
        </w:rPr>
        <w:t xml:space="preserve">    </w:t>
      </w:r>
      <w:bookmarkStart w:id="1077" w:name="_Toc351203590"/>
      <w:r>
        <w:rPr>
          <w:rFonts w:hint="eastAsia" w:ascii="宋体" w:hAnsi="宋体" w:eastAsia="宋体" w:cs="宋体"/>
          <w:color w:val="000000"/>
          <w:sz w:val="24"/>
        </w:rPr>
        <w:t>13.4提前交付单位工程的验收</w:t>
      </w:r>
      <w:bookmarkEnd w:id="1077"/>
    </w:p>
    <w:bookmarkEnd w:id="1076"/>
    <w:p w14:paraId="73D4B30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13.4.1 发包人需要在工程竣工前使用单位工程的，或承包人提出提前交付已经竣工的单位工程且经发包人同意的，可进行单位工程验收，验收的程序按照第13.2款〔竣工验收〕的约定进行。</w:t>
      </w:r>
    </w:p>
    <w:p w14:paraId="08FFCDE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验收合格后，由监理人向承包人出具经发包人签认的单位工程接收证书。已签发单位工程接收证书的单位工程由发包人负责照管。单位工程的验收成果和结论作为整体工程竣工验收申请报告的附件。</w:t>
      </w:r>
    </w:p>
    <w:p w14:paraId="5C41C6E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13.4.2 发包人要求在工程竣工前交付单位工程，由此导致承包人费用增加和（或）工期延误的，由发包人承担由此增加的费用和（或）延误的工期，并支付承包人合理的利润。</w:t>
      </w:r>
    </w:p>
    <w:p w14:paraId="1436C86A">
      <w:pPr>
        <w:spacing w:before="120" w:after="120" w:line="360" w:lineRule="auto"/>
        <w:ind w:firstLine="480" w:firstLineChars="200"/>
        <w:rPr>
          <w:rFonts w:ascii="宋体" w:hAnsi="宋体" w:eastAsia="宋体" w:cs="宋体"/>
          <w:color w:val="000000"/>
          <w:sz w:val="24"/>
        </w:rPr>
      </w:pPr>
      <w:bookmarkStart w:id="1078" w:name="_Toc351203591"/>
      <w:r>
        <w:rPr>
          <w:rFonts w:hint="eastAsia" w:ascii="宋体" w:hAnsi="宋体" w:eastAsia="宋体" w:cs="宋体"/>
          <w:color w:val="000000"/>
          <w:sz w:val="24"/>
        </w:rPr>
        <w:t>13.5 施工期运行</w:t>
      </w:r>
      <w:bookmarkEnd w:id="1078"/>
    </w:p>
    <w:p w14:paraId="5654969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13.5.1 施工期运行是指合同工程尚未全部竣工，其中某项或某几项单位工程或工程设备安装已竣工，根据专用合同条款约定，需要投入施工期运行的，经发包人按第13.4款〔提前交付单位工程的验收〕的约定验收合格，证明能确保安全后，才能在施工期投入运行。</w:t>
      </w:r>
    </w:p>
    <w:p w14:paraId="318747A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13.5.2 在施工期运行中发现工程或工程设备损坏或存在缺陷的，由承包人按第15.2款〔缺陷责任期〕约定进行修复。</w:t>
      </w:r>
    </w:p>
    <w:p w14:paraId="22B01B34">
      <w:pPr>
        <w:spacing w:before="120" w:after="120" w:line="360" w:lineRule="auto"/>
        <w:ind w:firstLine="480" w:firstLineChars="200"/>
        <w:rPr>
          <w:rFonts w:ascii="宋体" w:hAnsi="宋体" w:eastAsia="宋体" w:cs="宋体"/>
          <w:color w:val="000000"/>
          <w:sz w:val="24"/>
        </w:rPr>
      </w:pPr>
      <w:bookmarkStart w:id="1079" w:name="_Toc296346613"/>
      <w:bookmarkStart w:id="1080" w:name="_Toc296503112"/>
      <w:bookmarkStart w:id="1081" w:name="_Toc351203592"/>
      <w:bookmarkStart w:id="1082" w:name="_Toc337558809"/>
      <w:r>
        <w:rPr>
          <w:rFonts w:hint="eastAsia" w:ascii="宋体" w:hAnsi="宋体" w:eastAsia="宋体" w:cs="宋体"/>
          <w:color w:val="000000"/>
          <w:sz w:val="24"/>
        </w:rPr>
        <w:t>13.6 竣工退</w:t>
      </w:r>
      <w:bookmarkEnd w:id="1079"/>
      <w:bookmarkEnd w:id="1080"/>
      <w:r>
        <w:rPr>
          <w:rFonts w:hint="eastAsia" w:ascii="宋体" w:hAnsi="宋体" w:eastAsia="宋体" w:cs="宋体"/>
          <w:color w:val="000000"/>
          <w:sz w:val="24"/>
        </w:rPr>
        <w:t>场</w:t>
      </w:r>
      <w:bookmarkEnd w:id="1081"/>
    </w:p>
    <w:bookmarkEnd w:id="1082"/>
    <w:p w14:paraId="6D1EBE9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13.6.1 竣工退场</w:t>
      </w:r>
    </w:p>
    <w:p w14:paraId="0BDC4FE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颁发工程接收证书后，承包人应按以下要求对施工现场进行清理：</w:t>
      </w:r>
    </w:p>
    <w:p w14:paraId="0485EB7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（1）施工现场内残留的垃圾已全部清除出场；</w:t>
      </w:r>
    </w:p>
    <w:p w14:paraId="7D14395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（2）临时工程已拆除，场地已进行清理、平整或复原；</w:t>
      </w:r>
    </w:p>
    <w:p w14:paraId="6E30789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（3）按合同约定应撤离的人员、承包人施工设备和剩余的材料，包括废弃的施工设备和材料，已按计划撤离施工现场；</w:t>
      </w:r>
    </w:p>
    <w:p w14:paraId="6F9C843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（4）施工现场周边及其附近道路、河道的施工堆积物，已全部清理；</w:t>
      </w:r>
    </w:p>
    <w:p w14:paraId="725A039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（5）施工现场其他场地清理工作已全部完成。</w:t>
      </w:r>
    </w:p>
    <w:p w14:paraId="7CE75C2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施工现场的竣工退场费用由承包人承担。承包人应在专用合同条款约定的期限内完成竣工退场，逾期未完成的，发包人有权出售或另行处理承包人遗留的物品，由此支出的费用由承包人承担，发包人出售承包人遗留物品所得款项在扣除必要费用后应返还承包人。</w:t>
      </w:r>
    </w:p>
    <w:p w14:paraId="7E00562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13.6.2 地表还原</w:t>
      </w:r>
    </w:p>
    <w:p w14:paraId="115B89C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承包人应按发包人要求恢复临时占地及清理场地，承包人未按发包人的要求恢复临时占地，或者场地清理未达到合同约定要求的，发包人有权委托其他人恢复或清理，所发生的费用由承包人承担。</w:t>
      </w:r>
    </w:p>
    <w:p w14:paraId="2775458D">
      <w:pPr>
        <w:spacing w:before="120" w:after="120" w:line="360" w:lineRule="auto"/>
        <w:rPr>
          <w:rFonts w:ascii="宋体" w:hAnsi="宋体" w:eastAsia="宋体" w:cs="宋体"/>
          <w:color w:val="000000"/>
          <w:sz w:val="24"/>
        </w:rPr>
      </w:pPr>
      <w:bookmarkStart w:id="1083" w:name="_Toc351203593"/>
      <w:bookmarkStart w:id="1084" w:name="_Toc337558810"/>
      <w:bookmarkStart w:id="1085" w:name="_Toc296346614"/>
      <w:bookmarkStart w:id="1086" w:name="_Toc296503113"/>
      <w:r>
        <w:rPr>
          <w:rFonts w:hint="eastAsia" w:ascii="宋体" w:hAnsi="宋体" w:eastAsia="宋体" w:cs="宋体"/>
          <w:color w:val="000000"/>
          <w:sz w:val="24"/>
        </w:rPr>
        <w:t>14. 竣工结算</w:t>
      </w:r>
      <w:bookmarkEnd w:id="1083"/>
    </w:p>
    <w:bookmarkEnd w:id="1084"/>
    <w:p w14:paraId="3FC729C4">
      <w:pPr>
        <w:spacing w:before="120" w:after="120" w:line="360" w:lineRule="auto"/>
        <w:ind w:firstLine="480" w:firstLineChars="200"/>
        <w:rPr>
          <w:rFonts w:ascii="宋体" w:hAnsi="宋体" w:eastAsia="宋体" w:cs="宋体"/>
          <w:color w:val="000000"/>
          <w:sz w:val="24"/>
        </w:rPr>
      </w:pPr>
      <w:bookmarkStart w:id="1087" w:name="_Toc351203594"/>
      <w:bookmarkStart w:id="1088" w:name="_Toc337558811"/>
      <w:r>
        <w:rPr>
          <w:rFonts w:hint="eastAsia" w:ascii="宋体" w:hAnsi="宋体" w:eastAsia="宋体" w:cs="宋体"/>
          <w:color w:val="000000"/>
          <w:sz w:val="24"/>
        </w:rPr>
        <w:t>14.1 竣工结算申请</w:t>
      </w:r>
      <w:bookmarkEnd w:id="1087"/>
    </w:p>
    <w:bookmarkEnd w:id="1088"/>
    <w:p w14:paraId="0A70533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在工程竣工验收合格后28天内向发包人和监理人提交竣工结算申请单，并提交完整的结算资料，有关竣工结算申请单的资料清单和份数等要求由合同当事人在专用合同条款中约定。</w:t>
      </w:r>
    </w:p>
    <w:p w14:paraId="70E64A3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除专用合同条款另有约定外，竣工结算申请单应包括以下内容：</w:t>
      </w:r>
    </w:p>
    <w:p w14:paraId="7BC201E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（1）竣工结算合同价格；</w:t>
      </w:r>
    </w:p>
    <w:p w14:paraId="0AA7A47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（2）发包人已支付承包人的款项；</w:t>
      </w:r>
    </w:p>
    <w:p w14:paraId="74803C7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（3）应扣留的质量保证金。已缴纳履约保证金的或提供其他工程质量担保方式的除外； </w:t>
      </w:r>
    </w:p>
    <w:p w14:paraId="2CBC157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（4）发包人应支付承包人的合同价款。</w:t>
      </w:r>
    </w:p>
    <w:p w14:paraId="5081B648">
      <w:pPr>
        <w:spacing w:before="120" w:after="120" w:line="360" w:lineRule="auto"/>
        <w:ind w:firstLine="480" w:firstLineChars="200"/>
        <w:rPr>
          <w:rFonts w:ascii="宋体" w:hAnsi="宋体" w:eastAsia="宋体" w:cs="宋体"/>
          <w:color w:val="000000"/>
          <w:sz w:val="24"/>
        </w:rPr>
      </w:pPr>
      <w:bookmarkStart w:id="1089" w:name="_Toc351203595"/>
      <w:bookmarkStart w:id="1090" w:name="_Toc337558812"/>
      <w:r>
        <w:rPr>
          <w:rFonts w:hint="eastAsia" w:ascii="宋体" w:hAnsi="宋体" w:eastAsia="宋体" w:cs="宋体"/>
          <w:color w:val="000000"/>
          <w:sz w:val="24"/>
        </w:rPr>
        <w:t>14.2 竣工结算审核</w:t>
      </w:r>
      <w:bookmarkEnd w:id="1089"/>
    </w:p>
    <w:bookmarkEnd w:id="1090"/>
    <w:p w14:paraId="10BDAD1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监理人应在收到竣工结算申请单后14天内完成核查并报送发包人。发包人应在收到监理人提交的经审核的竣工结算申请单后14天内完成审批，并由监理人向承包人签发经发包人签认的竣工付款证书。监理人或发包人对竣工结算申请单有异议的，有权要求承包人进行修正和提供补充资料，承包人应提交修正后的竣工结算申请单。</w:t>
      </w:r>
    </w:p>
    <w:p w14:paraId="07A97AE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发包人在收到承包人提交竣工结算申请书后28天内未完成审批且未提出异议的，视为发包人认可承包人提交的竣工结算申请单，并自发包人收到承包人提交的竣工结算申请单后第29天起视为已签发竣工付款证书。</w:t>
      </w:r>
    </w:p>
    <w:p w14:paraId="4E2E61D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（2）除专用合同条款另有约定外，发包人应在签发竣工付款证书后的14 天内，完成对承包人的竣工付款。发包人逾期支付的，按照中国人民银行发布的同期同类贷款基准利率支付违约金；逾期支付超过56天的，按照中国人民银行发布的同期同类贷款基准利率的两倍支付违约金。</w:t>
      </w:r>
    </w:p>
    <w:p w14:paraId="604B61D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对发包人签认的竣工付款证书有异议的，对于有异议部分应在收到发包人签认的竣工付款证书后7天内提出异议，并由合同当事人按照专用合同条款约定的方式和程序进行复核，或按照第20条〔争议解决〕约定处理。对于无异议部分，发包人应签发临时竣工付款证书，并按本款第（2）项完成付款。承包人逾期未提出异议的，视为认可发包人的审批结果。</w:t>
      </w:r>
    </w:p>
    <w:p w14:paraId="68353096">
      <w:pPr>
        <w:spacing w:before="120" w:after="120" w:line="360" w:lineRule="auto"/>
        <w:ind w:firstLine="480" w:firstLineChars="200"/>
        <w:rPr>
          <w:rFonts w:ascii="宋体" w:hAnsi="宋体" w:eastAsia="宋体" w:cs="宋体"/>
          <w:color w:val="000000"/>
          <w:sz w:val="24"/>
        </w:rPr>
      </w:pPr>
      <w:bookmarkStart w:id="1091" w:name="_Toc351203596"/>
      <w:bookmarkStart w:id="1092" w:name="_Toc337558813"/>
      <w:r>
        <w:rPr>
          <w:rFonts w:hint="eastAsia" w:ascii="宋体" w:hAnsi="宋体" w:eastAsia="宋体" w:cs="宋体"/>
          <w:color w:val="000000"/>
          <w:sz w:val="24"/>
        </w:rPr>
        <w:t>14.3 甩项竣工协议</w:t>
      </w:r>
      <w:bookmarkEnd w:id="1091"/>
    </w:p>
    <w:bookmarkEnd w:id="1092"/>
    <w:p w14:paraId="14576E51">
      <w:pPr>
        <w:autoSpaceDE w:val="0"/>
        <w:autoSpaceDN w:val="0"/>
        <w:adjustRightInd w:val="0"/>
        <w:spacing w:line="360" w:lineRule="auto"/>
        <w:ind w:firstLine="470" w:firstLineChars="196"/>
        <w:rPr>
          <w:rFonts w:ascii="宋体" w:hAnsi="宋体" w:eastAsia="宋体" w:cs="宋体"/>
          <w:color w:val="000000"/>
          <w:sz w:val="24"/>
        </w:rPr>
      </w:pPr>
      <w:r>
        <w:rPr>
          <w:rFonts w:hint="eastAsia" w:ascii="宋体" w:hAnsi="宋体" w:eastAsia="宋体" w:cs="宋体"/>
          <w:sz w:val="24"/>
        </w:rPr>
        <w:t>发包人要求甩项竣工的，合同当事人应签订甩项竣工协议。在甩项竣工协议中应明确，合同当事人按照第14.1款〔竣工结算申请〕及14.2款〔竣工结算审核〕的约定，对已完合格工程进行结算，并支付相应合同价款。</w:t>
      </w:r>
    </w:p>
    <w:p w14:paraId="54BB2E1F">
      <w:pPr>
        <w:spacing w:before="120" w:after="120" w:line="360" w:lineRule="auto"/>
        <w:ind w:firstLine="480" w:firstLineChars="200"/>
        <w:rPr>
          <w:rFonts w:ascii="宋体" w:hAnsi="宋体" w:eastAsia="宋体" w:cs="宋体"/>
          <w:color w:val="000000"/>
          <w:sz w:val="24"/>
        </w:rPr>
      </w:pPr>
      <w:bookmarkStart w:id="1093" w:name="_Toc351203597"/>
      <w:bookmarkStart w:id="1094" w:name="_Toc337558814"/>
      <w:r>
        <w:rPr>
          <w:rFonts w:hint="eastAsia" w:ascii="宋体" w:hAnsi="宋体" w:eastAsia="宋体" w:cs="宋体"/>
          <w:color w:val="000000"/>
          <w:sz w:val="24"/>
        </w:rPr>
        <w:t>14.4 最终结清</w:t>
      </w:r>
      <w:bookmarkEnd w:id="1093"/>
    </w:p>
    <w:bookmarkEnd w:id="1094"/>
    <w:p w14:paraId="17CA97C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14.4.1 最终结清申请单</w:t>
      </w:r>
    </w:p>
    <w:p w14:paraId="3025931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（1）除专用合同条款另有约定外，承包人应在缺陷责任期终止证书颁发后7天内，按专用合同条款约定的份数向发包人提交最终结清申请单，并提供相关证明材料。</w:t>
      </w:r>
    </w:p>
    <w:p w14:paraId="0E31B95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除专用合同条款另有约定外，最终结清申请单应列明质量保证金、应扣除的质量保证金、缺陷责任期内发生的增减费用。</w:t>
      </w:r>
    </w:p>
    <w:p w14:paraId="74A1AC3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（2）发包人对最终结清申请单内容有异议的，有权要求承包人进行修正和提供补充资料，承包人应向发包人提交修正后的最终结清申请单。</w:t>
      </w:r>
    </w:p>
    <w:p w14:paraId="458784B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14.4.2 最终结清证书和支付</w:t>
      </w:r>
    </w:p>
    <w:p w14:paraId="7BD77A7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除专用合同条款另有约定外，发包人应在收到承包人提交的最终结清申请单后14天内完成审批并向承包人颁发最终结清证书。发包人逾期未完成审批，又未提出修改意见的，视为发包人同意承包人提交的最终结清申请单，且自发包人收到承包人提交的最终结清申请单后15天起视为已颁发最终结清证书。</w:t>
      </w:r>
    </w:p>
    <w:p w14:paraId="33DCA6E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除专用合同条款另有约定外，发包人应在颁发最终结清证书后7天内完成支付。发包人逾期支付的，按照中国人民银行发布的同期同类贷款基准利率支付违约金；逾期支付超过56天的，按照中国人民银行发布的同期同类贷款基准利率的两倍支付违约金。</w:t>
      </w:r>
    </w:p>
    <w:p w14:paraId="080B0F5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（3）承包人对发包人颁发的最终结清证书有异议的，按第20条〔争议解决〕的约定办理。</w:t>
      </w:r>
    </w:p>
    <w:p w14:paraId="7E45A2BF">
      <w:pPr>
        <w:spacing w:before="120" w:after="120" w:line="360" w:lineRule="auto"/>
        <w:rPr>
          <w:rFonts w:ascii="宋体" w:hAnsi="宋体" w:eastAsia="宋体" w:cs="宋体"/>
          <w:color w:val="000000"/>
          <w:sz w:val="24"/>
        </w:rPr>
      </w:pPr>
      <w:bookmarkStart w:id="1095" w:name="_Toc351203598"/>
      <w:bookmarkStart w:id="1096" w:name="_Toc337558815"/>
      <w:r>
        <w:rPr>
          <w:rFonts w:hint="eastAsia" w:ascii="宋体" w:hAnsi="宋体" w:eastAsia="宋体" w:cs="宋体"/>
          <w:color w:val="000000"/>
          <w:sz w:val="24"/>
        </w:rPr>
        <w:t>15. 缺陷责任与保修</w:t>
      </w:r>
      <w:bookmarkEnd w:id="1095"/>
    </w:p>
    <w:bookmarkEnd w:id="1085"/>
    <w:bookmarkEnd w:id="1086"/>
    <w:bookmarkEnd w:id="1096"/>
    <w:p w14:paraId="601A4E3C">
      <w:pPr>
        <w:spacing w:before="120" w:after="120" w:line="360" w:lineRule="auto"/>
        <w:ind w:firstLine="480" w:firstLineChars="200"/>
        <w:rPr>
          <w:rFonts w:ascii="宋体" w:hAnsi="宋体" w:eastAsia="宋体" w:cs="宋体"/>
          <w:color w:val="000000"/>
          <w:sz w:val="24"/>
        </w:rPr>
      </w:pPr>
      <w:bookmarkStart w:id="1097" w:name="_Toc351203599"/>
      <w:bookmarkStart w:id="1098" w:name="_Toc337558816"/>
      <w:bookmarkStart w:id="1099" w:name="_Toc296503114"/>
      <w:bookmarkStart w:id="1100" w:name="_Toc296346615"/>
      <w:r>
        <w:rPr>
          <w:rFonts w:hint="eastAsia" w:ascii="宋体" w:hAnsi="宋体" w:eastAsia="宋体" w:cs="宋体"/>
          <w:color w:val="000000"/>
          <w:sz w:val="24"/>
        </w:rPr>
        <w:t>15.1 工程保修的原则</w:t>
      </w:r>
      <w:bookmarkEnd w:id="1097"/>
    </w:p>
    <w:bookmarkEnd w:id="1098"/>
    <w:p w14:paraId="2766C23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在工程移交发包人后，因承包人原因产生的质量缺陷，承包人应承担质量缺陷责任和保修义务。缺陷责任期届满，承包人仍应按合同约定的工程各部位保修年限承担保修义务。</w:t>
      </w:r>
    </w:p>
    <w:p w14:paraId="6C42B273">
      <w:pPr>
        <w:spacing w:before="120" w:after="120" w:line="360" w:lineRule="auto"/>
        <w:ind w:firstLine="480" w:firstLineChars="200"/>
        <w:rPr>
          <w:rFonts w:ascii="宋体" w:hAnsi="宋体" w:eastAsia="宋体" w:cs="宋体"/>
          <w:color w:val="000000"/>
          <w:sz w:val="24"/>
        </w:rPr>
      </w:pPr>
      <w:bookmarkStart w:id="1101" w:name="_Toc351203600"/>
      <w:bookmarkStart w:id="1102" w:name="_Toc337558817"/>
      <w:r>
        <w:rPr>
          <w:rFonts w:hint="eastAsia" w:ascii="宋体" w:hAnsi="宋体" w:eastAsia="宋体" w:cs="宋体"/>
          <w:color w:val="000000"/>
          <w:sz w:val="24"/>
        </w:rPr>
        <w:t>15.2 缺陷责任期</w:t>
      </w:r>
      <w:bookmarkEnd w:id="1099"/>
      <w:bookmarkEnd w:id="1100"/>
      <w:bookmarkEnd w:id="1101"/>
    </w:p>
    <w:bookmarkEnd w:id="1102"/>
    <w:p w14:paraId="0BA9A8D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15.2.1 缺陷责任期从工程通过竣工验收之日起计算，合同当事人应在专用合同条款约定缺陷责任期的具体期限，但该期限最长不超过24个月。</w:t>
      </w:r>
    </w:p>
    <w:p w14:paraId="1D34813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单位工程先于全部工程进行验收，经验收合格并交付使用的，该单位工程缺陷责任期自单位工程验收合格之日起算。因承包人原因导致工程无法按合同约定期限进行竣工验收的，缺陷责任期从实际通过竣工验收之日起计算。因发包人原因导致工程无法按合同约定期限进行竣工验收的，在承包人提交竣工验收报告90天后，工程自动进入缺陷责任期；发包人未经竣工验收擅自使用工程的，缺陷责任期自工程转移占有之日起开始计算。</w:t>
      </w:r>
    </w:p>
    <w:p w14:paraId="2F29EB2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15.2.2缺陷责任期内，由承包人原因造成的缺陷，承包人应负责维修，并承担鉴定及维修费用。如承包人不维修也不承担费用，发包人可按合同约定从保证金或银行保函中扣除，费用超出保证金额的，发包人可按合同约定向承包人进行索赔。承包人维修并承担相应费用后，不免除对工程的损失赔偿责任。发包人有权要求承</w:t>
      </w:r>
      <w:r>
        <w:rPr>
          <w:rFonts w:hint="eastAsia" w:ascii="宋体" w:hAnsi="宋体" w:eastAsia="宋体" w:cs="宋体"/>
          <w:bCs/>
          <w:color w:val="000000"/>
          <w:sz w:val="24"/>
        </w:rPr>
        <w:t>包人延长缺陷责任期，</w:t>
      </w:r>
      <w:r>
        <w:rPr>
          <w:rFonts w:hint="eastAsia" w:ascii="宋体" w:hAnsi="宋体" w:eastAsia="宋体" w:cs="宋体"/>
          <w:color w:val="000000"/>
          <w:sz w:val="24"/>
        </w:rPr>
        <w:t>并应在原缺陷责任期届满前发出延长通知。</w:t>
      </w:r>
      <w:r>
        <w:rPr>
          <w:rFonts w:hint="eastAsia" w:ascii="宋体" w:hAnsi="宋体" w:eastAsia="宋体" w:cs="宋体"/>
          <w:bCs/>
          <w:color w:val="000000"/>
          <w:sz w:val="24"/>
        </w:rPr>
        <w:t>但缺陷责任期（含延长部分）最长</w:t>
      </w:r>
      <w:r>
        <w:rPr>
          <w:rFonts w:hint="eastAsia" w:ascii="宋体" w:hAnsi="宋体" w:eastAsia="宋体" w:cs="宋体"/>
          <w:color w:val="000000"/>
          <w:sz w:val="24"/>
        </w:rPr>
        <w:t>不能超过24个月。</w:t>
      </w:r>
    </w:p>
    <w:p w14:paraId="44A26BC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由他人原因造成的缺陷，发包人负责组织维修，承包人不承担费用，且发包人不得从保证金中扣除费用。</w:t>
      </w:r>
    </w:p>
    <w:p w14:paraId="53763E1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15.2.3 任何一项缺陷或损坏修复后，经检查证明其影响了工程或工程设备的使用性能，承包人应重新进行合同约定的试验和试运行，试验和试运行的全部费用应由责任方承担。</w:t>
      </w:r>
    </w:p>
    <w:p w14:paraId="720BE8B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15.2.4 除专用合同条款另有约定外，承包人应于缺陷责任期届满后7天内向发包人发出缺陷责任期届满通知，发包人应在收到缺陷责任期满通知后14天内核实承包人是否履行缺陷修复义务，承包人未能履行缺陷修复义务的，发包人有权扣除相应金额的维修费用。发包人应在收到缺陷责任期届满通知后14天内，向承包人颁发缺陷责任期终止证书。</w:t>
      </w:r>
    </w:p>
    <w:p w14:paraId="22B3AF69">
      <w:pPr>
        <w:spacing w:before="120" w:after="120" w:line="360" w:lineRule="auto"/>
        <w:ind w:firstLine="480" w:firstLineChars="200"/>
        <w:rPr>
          <w:rFonts w:ascii="宋体" w:hAnsi="宋体" w:eastAsia="宋体" w:cs="宋体"/>
          <w:color w:val="000000"/>
          <w:sz w:val="24"/>
        </w:rPr>
      </w:pPr>
      <w:bookmarkStart w:id="1103" w:name="_Toc351203601"/>
      <w:bookmarkStart w:id="1104" w:name="_Toc337558818"/>
      <w:bookmarkStart w:id="1105" w:name="_Toc296346616"/>
      <w:bookmarkStart w:id="1106" w:name="_Toc296503115"/>
      <w:r>
        <w:rPr>
          <w:rFonts w:hint="eastAsia" w:ascii="宋体" w:hAnsi="宋体" w:eastAsia="宋体" w:cs="宋体"/>
          <w:color w:val="000000"/>
          <w:sz w:val="24"/>
        </w:rPr>
        <w:t>15.3 质量保证金</w:t>
      </w:r>
      <w:bookmarkEnd w:id="1103"/>
    </w:p>
    <w:bookmarkEnd w:id="1104"/>
    <w:p w14:paraId="223B882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经合同当事人协商一致扣留质量保证金的，应在专用合同条款中予以明确。</w:t>
      </w:r>
    </w:p>
    <w:p w14:paraId="563BD2E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在工程项目竣工前，承包人已经提供履约担保的，发包人不得同时预留工程质量保证金。</w:t>
      </w:r>
    </w:p>
    <w:p w14:paraId="041B955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15.3.1 承包人提供质量保证金的方式</w:t>
      </w:r>
    </w:p>
    <w:p w14:paraId="3EB4F91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承包人提供质量保证金有以下三种方式：</w:t>
      </w:r>
    </w:p>
    <w:p w14:paraId="651D972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（1）质量保证金保函； </w:t>
      </w:r>
    </w:p>
    <w:p w14:paraId="185C9CA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（2）相应比例的工程款；</w:t>
      </w:r>
    </w:p>
    <w:p w14:paraId="799F363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（3）双方约定的其他方式。</w:t>
      </w:r>
    </w:p>
    <w:p w14:paraId="2FC8F30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除专用合同条款另有约定外，质量保证金原则上采用上述第（1）种方式。</w:t>
      </w:r>
    </w:p>
    <w:p w14:paraId="728CB3E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15.3.2 质量保证金的扣留</w:t>
      </w:r>
    </w:p>
    <w:p w14:paraId="3266731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质量保证金的扣留有以下三种方式：</w:t>
      </w:r>
    </w:p>
    <w:p w14:paraId="1655FAC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（1）在支付工程进度款时逐次扣留，在此情形下，质量保证金的计算基数不包括预付款的支付、扣回以及价格调整的金额；</w:t>
      </w:r>
    </w:p>
    <w:p w14:paraId="4B5F443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（2）工</w:t>
      </w:r>
      <w:bookmarkStart w:id="1107" w:name="#go6"/>
      <w:bookmarkEnd w:id="1107"/>
      <w:r>
        <w:rPr>
          <w:rFonts w:hint="eastAsia" w:ascii="宋体" w:hAnsi="宋体" w:eastAsia="宋体" w:cs="宋体"/>
          <w:color w:val="000000"/>
          <w:sz w:val="24"/>
        </w:rPr>
        <w:t>程竣工结算时一次性扣留质量保证金；</w:t>
      </w:r>
    </w:p>
    <w:p w14:paraId="2EF9B8C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（3）双方约定的其他扣留方式。</w:t>
      </w:r>
    </w:p>
    <w:p w14:paraId="181B30A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除专用合同条款另有约定外，质量保证金的扣留原则上采用上述第（1）种方式。</w:t>
      </w:r>
    </w:p>
    <w:p w14:paraId="222D669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w:t>
      </w:r>
      <w:bookmarkStart w:id="1108" w:name="#go4"/>
      <w:bookmarkEnd w:id="1108"/>
      <w:r>
        <w:rPr>
          <w:rFonts w:hint="eastAsia" w:ascii="宋体" w:hAnsi="宋体" w:eastAsia="宋体" w:cs="宋体"/>
          <w:color w:val="000000"/>
          <w:sz w:val="24"/>
        </w:rPr>
        <w:t>包人累计扣留的质量保证金不得超过工程价款结算总额的3%。如承包人在发包人签发竣工付款证书后28天内提交质量保证金保函，发包人应同时退还扣留的作为质量保证金的工程价款；保函金额不得超过工程价款结算总额的3%。</w:t>
      </w:r>
    </w:p>
    <w:p w14:paraId="799C2C4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发包人在退还质量保证金的同时按照中国人民银行发布的同期同类贷款基准利率支付利息。</w:t>
      </w:r>
    </w:p>
    <w:p w14:paraId="6A08AF6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15.3.3 质量保证金的退还</w:t>
      </w:r>
    </w:p>
    <w:p w14:paraId="2550EA7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缺陷责任期内，承包人认真履行合同约定的责任，到期后，承包人可向发包人申请返还保证金。</w:t>
      </w:r>
    </w:p>
    <w:p w14:paraId="247C52D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在接到承包人返还保证金申请后，应于14天内会同承包人按照合同约定的内容进行核实。如无异议，发包人应当按照约定将保证金返还给承包人。对返还期限没有约定或者约定不明确的，发包人应当在核实后14天内将保证金返还承包人，逾期未返还的，依法承担违约责任。发包人在接到承包人返还保证金申请后14天内不予答复，经催告后14天内仍不予答复，视同认可承包人的返还保证金申请。</w:t>
      </w:r>
    </w:p>
    <w:p w14:paraId="430C59C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发包人和承包人对保证金预留、返还以及工程维修质量、费用有争议的，按本合同第20条约定的争议和纠纷解决程序处理。</w:t>
      </w:r>
    </w:p>
    <w:p w14:paraId="6B69E981">
      <w:pPr>
        <w:spacing w:before="120" w:after="120" w:line="360" w:lineRule="auto"/>
        <w:ind w:firstLine="480" w:firstLineChars="200"/>
        <w:rPr>
          <w:rFonts w:ascii="宋体" w:hAnsi="宋体" w:eastAsia="宋体" w:cs="宋体"/>
          <w:color w:val="000000"/>
          <w:sz w:val="24"/>
        </w:rPr>
      </w:pPr>
      <w:bookmarkStart w:id="1109" w:name="_Toc351203602"/>
      <w:bookmarkStart w:id="1110" w:name="_Toc337558819"/>
      <w:r>
        <w:rPr>
          <w:rFonts w:hint="eastAsia" w:ascii="宋体" w:hAnsi="宋体" w:eastAsia="宋体" w:cs="宋体"/>
          <w:color w:val="000000"/>
          <w:sz w:val="24"/>
        </w:rPr>
        <w:t>15.4 保修</w:t>
      </w:r>
      <w:bookmarkEnd w:id="1109"/>
    </w:p>
    <w:bookmarkEnd w:id="1105"/>
    <w:bookmarkEnd w:id="1106"/>
    <w:bookmarkEnd w:id="1110"/>
    <w:p w14:paraId="6B885FA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15.4.1保修责任</w:t>
      </w:r>
    </w:p>
    <w:p w14:paraId="765A10A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工程保修期从工程竣工验收合格之日起算，具体分部分项工程的保修期由合同当事人在专用合同条款中约定，但不得低于法定最低保修年限。在工程保修期内，承包人应当根据有关法律规定以及合同约定承担保修责任。</w:t>
      </w:r>
    </w:p>
    <w:p w14:paraId="772D0FB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发包人未经竣工验收擅自使用工程的，保修期自转移占有之日起算。</w:t>
      </w:r>
    </w:p>
    <w:p w14:paraId="24326E0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15.4.2 修复费用</w:t>
      </w:r>
    </w:p>
    <w:p w14:paraId="00B0C93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保修期内，修复的费用按照以下约定处理：</w:t>
      </w:r>
    </w:p>
    <w:p w14:paraId="6526E0D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（1）保修期内，因承包人原因造成工程的缺陷、损坏，承包人应负责修复，并承担修复的费用以及因工程的缺陷、损坏造成的人身伤害和财产损失；</w:t>
      </w:r>
    </w:p>
    <w:p w14:paraId="2C0DA65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（2）保修期内，因发包人使用不当造成工程的缺陷、损坏，可以委托承包人修复，但发包人应承担修复的费用，并支付承包人合理利润；</w:t>
      </w:r>
    </w:p>
    <w:p w14:paraId="2E12129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（3）因其他原因造成工程的缺陷、损坏，可以委托承包人修复，发包人应承担修复的费用，并支付承包人合理的利润，因工程的缺陷、损坏造成的人身伤害和财产损失由责任方承担。</w:t>
      </w:r>
    </w:p>
    <w:p w14:paraId="3E815E5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15.4.3 修复通知</w:t>
      </w:r>
    </w:p>
    <w:p w14:paraId="7FDB4A3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保修期内，发包人在使用过程中，发现已接收的工程存在缺陷或损坏的，应书面通知承包人予以修复，但情况紧急必须立即修复缺陷或损坏的，发包人可以口头通知承包人并在口头通知后48小时内书面确认，承包人应在专用合同条款约定的合理期限内到达工程现场并修复缺陷或损坏。</w:t>
      </w:r>
    </w:p>
    <w:p w14:paraId="3F7FDC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15.4.4 未能修复</w:t>
      </w:r>
    </w:p>
    <w:p w14:paraId="42F08F1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造成工程的缺陷或损坏，承包人拒绝维修或未能在合理期限内修复缺陷或损坏，且经发包人书面催告后仍未修复的，发包人有权自行修复或委托第三方修复，所需费用由承包人承担。但修复范围超出缺陷或损坏范围的，超出范围部分的修复费用由发包人承担。</w:t>
      </w:r>
    </w:p>
    <w:p w14:paraId="0DEE333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15.4.5 承包人出入权</w:t>
      </w:r>
    </w:p>
    <w:p w14:paraId="0509383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保修期内，为了修复缺陷或损坏，承包人有权出入工程现场，除情况紧急必须立即修复缺陷或损坏外，承包人应提前24小时通知发包人进场修复的时间。承包人进入工程现场前应获得发包人同意，且不应影响发包人正常的生产经营，并应遵守发包人有关保安和保密等规定。</w:t>
      </w:r>
    </w:p>
    <w:p w14:paraId="32289B67">
      <w:pPr>
        <w:spacing w:before="120" w:after="120" w:line="360" w:lineRule="auto"/>
        <w:rPr>
          <w:rFonts w:ascii="宋体" w:hAnsi="宋体" w:eastAsia="宋体" w:cs="宋体"/>
          <w:color w:val="000000"/>
          <w:sz w:val="24"/>
        </w:rPr>
      </w:pPr>
      <w:bookmarkStart w:id="1111" w:name="_Toc351203603"/>
      <w:bookmarkStart w:id="1112" w:name="_Toc337558820"/>
      <w:r>
        <w:rPr>
          <w:rFonts w:hint="eastAsia" w:ascii="宋体" w:hAnsi="宋体" w:eastAsia="宋体" w:cs="宋体"/>
          <w:color w:val="000000"/>
          <w:sz w:val="24"/>
        </w:rPr>
        <w:t>16. 违约</w:t>
      </w:r>
      <w:bookmarkEnd w:id="1111"/>
    </w:p>
    <w:bookmarkEnd w:id="1112"/>
    <w:p w14:paraId="7F6AFBE7">
      <w:pPr>
        <w:spacing w:before="120" w:after="120" w:line="360" w:lineRule="auto"/>
        <w:ind w:firstLine="480" w:firstLineChars="200"/>
        <w:rPr>
          <w:rFonts w:ascii="宋体" w:hAnsi="宋体" w:eastAsia="宋体" w:cs="宋体"/>
          <w:color w:val="000000"/>
          <w:sz w:val="24"/>
        </w:rPr>
      </w:pPr>
      <w:bookmarkStart w:id="1113" w:name="_Toc296346630"/>
      <w:bookmarkStart w:id="1114" w:name="_Toc296503129"/>
      <w:bookmarkStart w:id="1115" w:name="_Toc351203604"/>
      <w:bookmarkStart w:id="1116" w:name="_Toc337558821"/>
      <w:r>
        <w:rPr>
          <w:rFonts w:hint="eastAsia" w:ascii="宋体" w:hAnsi="宋体" w:eastAsia="宋体" w:cs="宋体"/>
          <w:color w:val="000000"/>
          <w:sz w:val="24"/>
        </w:rPr>
        <w:t>16.1 发</w:t>
      </w:r>
      <w:bookmarkEnd w:id="1113"/>
      <w:bookmarkEnd w:id="1114"/>
      <w:r>
        <w:rPr>
          <w:rFonts w:hint="eastAsia" w:ascii="宋体" w:hAnsi="宋体" w:eastAsia="宋体" w:cs="宋体"/>
          <w:color w:val="000000"/>
          <w:sz w:val="24"/>
        </w:rPr>
        <w:t>包人违约</w:t>
      </w:r>
      <w:bookmarkEnd w:id="1115"/>
    </w:p>
    <w:bookmarkEnd w:id="1116"/>
    <w:p w14:paraId="204040A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16.1.1 发包人违约的情形</w:t>
      </w:r>
    </w:p>
    <w:p w14:paraId="700323A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在合同履行过程中发生的下列情形，属于发包人违约：</w:t>
      </w:r>
    </w:p>
    <w:p w14:paraId="4954820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（1）因发包人原因未能在计划开工日期前7天内下达开工通知的；</w:t>
      </w:r>
    </w:p>
    <w:p w14:paraId="37FB81A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（2）因发包人原因未能按合同约定支付合同价款的；</w:t>
      </w:r>
    </w:p>
    <w:p w14:paraId="6E4F343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（3）发包人违反第10.1款〔变更的范围〕第（2）项约定，自行实施被取消的工作或转由他人实施的；</w:t>
      </w:r>
    </w:p>
    <w:p w14:paraId="7E095A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（4）发包人提供的材料、工程设备的规格、数量或质量不符合合同约定，或因发包人原因导致交货日期延误或交货地点变更等情况的；</w:t>
      </w:r>
    </w:p>
    <w:p w14:paraId="294A551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（5）因发包人违反合同约定造成暂停施工的；</w:t>
      </w:r>
    </w:p>
    <w:p w14:paraId="5B7BFF6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（6）发包人无正当理由没有在约定期限内发出复工指示，导致承包人无法复工的；</w:t>
      </w:r>
    </w:p>
    <w:p w14:paraId="408FDCF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（7）发包人明确表示或者以其行为表明不履行合同主要义务的；</w:t>
      </w:r>
    </w:p>
    <w:p w14:paraId="4823E2B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（8）发包人未能按照合同约定履行其他义务的。</w:t>
      </w:r>
    </w:p>
    <w:p w14:paraId="3417D93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发生除本项第（7）目以外的违约情况时，承包人可向发包人发出通知，要求发包人采取有效措施纠正违约行为。发包人收到承包人通知后28天内仍不纠正违约行为的，承包人有权暂停相应部位工程施工，并通知监理人。</w:t>
      </w:r>
    </w:p>
    <w:p w14:paraId="4A4C396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16.1.2 发包人违约的责任</w:t>
      </w:r>
    </w:p>
    <w:p w14:paraId="4214BBD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发包人应承担因其违约给承包人增加的费用和（或）延误的工期，并支付承包人合理的利润。此外，合同当事人可在专用合同条款中另行约定发包人违约责任的承担方式和计算方法。</w:t>
      </w:r>
    </w:p>
    <w:p w14:paraId="565FB71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16.1.3 因发包人违约解除合同</w:t>
      </w:r>
    </w:p>
    <w:p w14:paraId="7D6C632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按第16.1.1项〔发包人违约的情形〕约定暂停施工满28天后，发包人仍不纠正其违约行为并致使合同目的不能实现的，或出现第16.1.1项〔发包人违约的情形〕第（7）目约定的违约情况，承包人有权解除合同，发包人应承担由此增加的费用，并支付承包人合理的利润。</w:t>
      </w:r>
    </w:p>
    <w:p w14:paraId="55B2A8E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16.1.4 因发包人违约解除合同后的付款</w:t>
      </w:r>
    </w:p>
    <w:p w14:paraId="6084E50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承包人按照本款约定解除合同的，发包人应在解除合同后28天内支付下列款项，并解除履约担保：</w:t>
      </w:r>
    </w:p>
    <w:p w14:paraId="458EAF7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（1）合同解除前所完成工作的价款；</w:t>
      </w:r>
    </w:p>
    <w:p w14:paraId="50D47A8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（2）承包人为工程施工订购并已付款的材料、工程设备和其他物品的价款；</w:t>
      </w:r>
    </w:p>
    <w:p w14:paraId="2F248AE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（3）承包人撤离施工现场以及遣散承包人人员的款项；</w:t>
      </w:r>
    </w:p>
    <w:p w14:paraId="3755630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（4）按照合同约定在合同解除前应支付的违约金；</w:t>
      </w:r>
    </w:p>
    <w:p w14:paraId="6C097EB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（5）按照合同约定应当支付给承包人的其他款项；</w:t>
      </w:r>
    </w:p>
    <w:p w14:paraId="38570CE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（6）按照合同约定应退还的质量保证金；</w:t>
      </w:r>
    </w:p>
    <w:p w14:paraId="24EAE47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（7）因解除合同给承包人造成的损失。</w:t>
      </w:r>
    </w:p>
    <w:p w14:paraId="0A72345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合同当事人未能就解除合同后的结清达成一致的，按照第20条〔争议解决〕的约定处理。</w:t>
      </w:r>
    </w:p>
    <w:p w14:paraId="164E085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承包人应妥善做好已完工程和与工程有关的已购材料、工程设备的保护和移交工作，并将施工设备和人员撤出施工现场，发包人应为承包人撤出提供必要条件。</w:t>
      </w:r>
    </w:p>
    <w:p w14:paraId="6E57ACC1">
      <w:pPr>
        <w:spacing w:before="120" w:after="120" w:line="360" w:lineRule="auto"/>
        <w:ind w:firstLine="480" w:firstLineChars="200"/>
        <w:rPr>
          <w:rFonts w:ascii="宋体" w:hAnsi="宋体" w:eastAsia="宋体" w:cs="宋体"/>
          <w:color w:val="000000"/>
          <w:sz w:val="24"/>
        </w:rPr>
      </w:pPr>
      <w:bookmarkStart w:id="1117" w:name="_Toc351203605"/>
      <w:bookmarkStart w:id="1118" w:name="_Toc296346632"/>
      <w:bookmarkStart w:id="1119" w:name="_Toc337558822"/>
      <w:bookmarkStart w:id="1120" w:name="_Toc296503131"/>
      <w:r>
        <w:rPr>
          <w:rFonts w:hint="eastAsia" w:ascii="宋体" w:hAnsi="宋体" w:eastAsia="宋体" w:cs="宋体"/>
          <w:color w:val="000000"/>
          <w:sz w:val="24"/>
        </w:rPr>
        <w:t>16.2 承包人违约</w:t>
      </w:r>
      <w:bookmarkEnd w:id="1117"/>
    </w:p>
    <w:bookmarkEnd w:id="1118"/>
    <w:bookmarkEnd w:id="1119"/>
    <w:bookmarkEnd w:id="1120"/>
    <w:p w14:paraId="1C9EAA3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16.2.1 承包人违约的情形</w:t>
      </w:r>
    </w:p>
    <w:p w14:paraId="1998BBD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在合同履行过程中发生的下列情形，属于承包人违约：</w:t>
      </w:r>
    </w:p>
    <w:p w14:paraId="38047F5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（1）承包人违反合同约定进行转包或违法分包的；</w:t>
      </w:r>
    </w:p>
    <w:p w14:paraId="389EF48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（2）承包人违反合同约定采购和使用不合格的材料和工程设备的；</w:t>
      </w:r>
    </w:p>
    <w:p w14:paraId="00C332B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（3）因承包人原因导致工程质量不符合合同要求的； </w:t>
      </w:r>
    </w:p>
    <w:p w14:paraId="5C505C0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（4）承包人违反第8.9款〔材料与设备专用要求〕的约定，未经批准，私自将已按照合同约定进入施工现场的材料或设备撤离施工现场的；</w:t>
      </w:r>
    </w:p>
    <w:p w14:paraId="6AA8496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（5）承包人未能按施工进度计划及时完成合同约定的工作，造成工期延误的；</w:t>
      </w:r>
    </w:p>
    <w:p w14:paraId="2E0B33D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（6）承包人在缺陷责任期及保修期内，未能在合理期限对工程缺陷进行修复，或拒绝按发包人要求进行修复的；</w:t>
      </w:r>
    </w:p>
    <w:p w14:paraId="0622D36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（7）承包人明确表示或者以其行为表明不履行合同主要义务的；</w:t>
      </w:r>
    </w:p>
    <w:p w14:paraId="1A0742E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（8）承包人未能按照合同约定履行其他义务的。</w:t>
      </w:r>
    </w:p>
    <w:p w14:paraId="54DFC8A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承包人发生除本项第（7）目约定以外的其他违约情况时，监理人可向承包人发出整改通知，要求其在指定的期限内改正。</w:t>
      </w:r>
    </w:p>
    <w:p w14:paraId="34D18D4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16.2.2 承包人违约的责任</w:t>
      </w:r>
    </w:p>
    <w:p w14:paraId="268D44F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承包人应承担因其违约行为而增加的费用和（或）延误的工期。此外，合同当事人可在专用合同条款中另行约定承包人违约责任的承担方式和计算方法。</w:t>
      </w:r>
    </w:p>
    <w:p w14:paraId="0AF996C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16.2.3 因承包人违约解除合同</w:t>
      </w:r>
    </w:p>
    <w:p w14:paraId="501E7CC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出现第16.2.1项〔承包人违约的情形〕第（7）目约定的违约情况时，或监理人发出整改通知后，承包人在指定的合理期限内仍不纠正违约行为并致使合同目的不能实现的，发包人有权解除合同。合同解除后，因继续完成工程的需要，发包人有权使用承包人在施工现场的材料、设备、临时工程、承包人文件和由承包人或以其名义编制的其他文件，合同当事人应在专用合同条款约定相应费用的承担方式。发包人继续使用的行为不免除或减轻承包人应承担的违约责任。</w:t>
      </w:r>
    </w:p>
    <w:p w14:paraId="13EB77E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16.2.4因承包人违约解除合同后的处理</w:t>
      </w:r>
    </w:p>
    <w:p w14:paraId="4DEE7F4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因承包人原因导致合同解除的，则合同当事人应在合同解除后28天内完成估价、付款和清算，并按以下约定执行：</w:t>
      </w:r>
    </w:p>
    <w:p w14:paraId="0A82267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（1）合同解除后，按第4.4款〔商定或确定〕商定或确定承包人实际完成工作对应的合同价款，以及承包人已提供的材料、工程设备、施工设备和临时工程等的价值；</w:t>
      </w:r>
    </w:p>
    <w:p w14:paraId="154E693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（2）合同解除后，承包人应支付的违约金；</w:t>
      </w:r>
    </w:p>
    <w:p w14:paraId="4DB6CEF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（3）合同解除后，因解除合同给发包人造成的损失；</w:t>
      </w:r>
    </w:p>
    <w:p w14:paraId="4EE6369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（4）合同解除后，承包人应按照发包人要求和监理人的指示完成现场的清理和撤离；</w:t>
      </w:r>
    </w:p>
    <w:p w14:paraId="54B6D3C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（5）发包人和承包人应在合同解除后进行清算，出具最终结清付款证书，结清全部款项。</w:t>
      </w:r>
    </w:p>
    <w:p w14:paraId="3B3C062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因承包人违约解除合同的，发包人有权暂停对承包人的付款，查清各项付款和已扣款项。发包人和承包人未能就合同解除后的清算和款项支付达成一致的，按照第20条〔争议解决〕的约定处理。</w:t>
      </w:r>
    </w:p>
    <w:p w14:paraId="0ABCF79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16.2.5采购合同权益转让</w:t>
      </w:r>
    </w:p>
    <w:p w14:paraId="33D1BCA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承包人违约解除合同的，发包人有权要求承包人将其为实施合同而签订的材料和设备的采购合同的权益转让给发包人，承包人应在收到解除合同通知后14天内，协助发包人与采购合同的供应商达成相关的转让协议。</w:t>
      </w:r>
    </w:p>
    <w:p w14:paraId="3EF263DA">
      <w:pPr>
        <w:spacing w:before="120" w:after="120" w:line="360" w:lineRule="auto"/>
        <w:ind w:firstLine="480" w:firstLineChars="200"/>
        <w:rPr>
          <w:rFonts w:ascii="宋体" w:hAnsi="宋体" w:eastAsia="宋体" w:cs="宋体"/>
          <w:color w:val="000000"/>
          <w:sz w:val="24"/>
        </w:rPr>
      </w:pPr>
      <w:bookmarkStart w:id="1121" w:name="_Toc351203606"/>
      <w:r>
        <w:rPr>
          <w:rFonts w:hint="eastAsia" w:ascii="宋体" w:hAnsi="宋体" w:eastAsia="宋体" w:cs="宋体"/>
          <w:color w:val="000000"/>
          <w:sz w:val="24"/>
        </w:rPr>
        <w:t>16.3 第三人造成的违约</w:t>
      </w:r>
      <w:bookmarkEnd w:id="1121"/>
    </w:p>
    <w:p w14:paraId="3552810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在履行合同过程中，一方当事人因第三人的原因造成违约的，应当向对方当事人承担违约责任。一方当事人和第三人之间的纠纷，依照法律规定或者按照约定解决。</w:t>
      </w:r>
    </w:p>
    <w:p w14:paraId="1F669FED">
      <w:pPr>
        <w:spacing w:before="120" w:after="120" w:line="360" w:lineRule="auto"/>
        <w:rPr>
          <w:rFonts w:ascii="宋体" w:hAnsi="宋体" w:eastAsia="宋体" w:cs="宋体"/>
          <w:color w:val="000000"/>
          <w:sz w:val="24"/>
        </w:rPr>
      </w:pPr>
      <w:bookmarkStart w:id="1122" w:name="_Toc351203607"/>
      <w:bookmarkStart w:id="1123" w:name="_Toc296503116"/>
      <w:bookmarkStart w:id="1124" w:name="_Toc337558823"/>
      <w:bookmarkStart w:id="1125" w:name="_Toc296346617"/>
      <w:r>
        <w:rPr>
          <w:rFonts w:hint="eastAsia" w:ascii="宋体" w:hAnsi="宋体" w:eastAsia="宋体" w:cs="宋体"/>
          <w:color w:val="000000"/>
          <w:sz w:val="24"/>
        </w:rPr>
        <w:t>17. 不可抗力</w:t>
      </w:r>
      <w:bookmarkEnd w:id="1122"/>
      <w:r>
        <w:rPr>
          <w:rFonts w:hint="eastAsia" w:ascii="宋体" w:hAnsi="宋体" w:eastAsia="宋体" w:cs="宋体"/>
          <w:color w:val="000000"/>
          <w:sz w:val="24"/>
        </w:rPr>
        <w:t xml:space="preserve"> </w:t>
      </w:r>
      <w:bookmarkEnd w:id="1123"/>
      <w:bookmarkEnd w:id="1124"/>
      <w:bookmarkEnd w:id="1125"/>
    </w:p>
    <w:p w14:paraId="2A01A18E">
      <w:pPr>
        <w:spacing w:before="120" w:after="120" w:line="360" w:lineRule="auto"/>
        <w:ind w:firstLine="480" w:firstLineChars="200"/>
        <w:rPr>
          <w:rFonts w:ascii="宋体" w:hAnsi="宋体" w:eastAsia="宋体" w:cs="宋体"/>
          <w:color w:val="000000"/>
          <w:sz w:val="24"/>
        </w:rPr>
      </w:pPr>
      <w:bookmarkStart w:id="1126" w:name="_Toc351203608"/>
      <w:bookmarkStart w:id="1127" w:name="_Toc296346618"/>
      <w:bookmarkStart w:id="1128" w:name="_Toc337558824"/>
      <w:bookmarkStart w:id="1129" w:name="_Toc296503117"/>
      <w:r>
        <w:rPr>
          <w:rFonts w:hint="eastAsia" w:ascii="宋体" w:hAnsi="宋体" w:eastAsia="宋体" w:cs="宋体"/>
          <w:color w:val="000000"/>
          <w:sz w:val="24"/>
        </w:rPr>
        <w:t>17.1 不可抗力的确认</w:t>
      </w:r>
      <w:bookmarkEnd w:id="1126"/>
    </w:p>
    <w:bookmarkEnd w:id="1127"/>
    <w:bookmarkEnd w:id="1128"/>
    <w:bookmarkEnd w:id="1129"/>
    <w:p w14:paraId="06B9B08B">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不可抗力是指合同当事人在签订合同时不可预见，在合同履行过程中不可避免且不能克服的自然灾害和社会性突发事件，如地震、海啸、瘟疫、骚乱、戒严、暴动、战争和专用合同条款中约定的其他情形。</w:t>
      </w:r>
    </w:p>
    <w:p w14:paraId="14A6FF2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可抗力发生后，发包人和承包人应收集证明不可抗力发生及不可抗力造成损失的证据，并及时认真统计所造成的损失。合同当事人对是否属于不可抗力或其损失的意见不一致的，由监理人按第4.4款〔商定或确定〕的约定处理。发生争议时，按第20条〔争议解决〕的约定处理。</w:t>
      </w:r>
    </w:p>
    <w:p w14:paraId="66745765">
      <w:pPr>
        <w:spacing w:before="120" w:after="120" w:line="360" w:lineRule="auto"/>
        <w:ind w:firstLine="480" w:firstLineChars="200"/>
        <w:rPr>
          <w:rFonts w:ascii="宋体" w:hAnsi="宋体" w:eastAsia="宋体" w:cs="宋体"/>
          <w:color w:val="000000"/>
          <w:sz w:val="24"/>
        </w:rPr>
      </w:pPr>
      <w:bookmarkStart w:id="1130" w:name="_Toc351203609"/>
      <w:bookmarkStart w:id="1131" w:name="_Toc296503118"/>
      <w:bookmarkStart w:id="1132" w:name="_Toc296346619"/>
      <w:bookmarkStart w:id="1133" w:name="_Toc337558825"/>
      <w:r>
        <w:rPr>
          <w:rFonts w:hint="eastAsia" w:ascii="宋体" w:hAnsi="宋体" w:eastAsia="宋体" w:cs="宋体"/>
          <w:color w:val="000000"/>
          <w:sz w:val="24"/>
        </w:rPr>
        <w:t>17.2 不可抗力的通知</w:t>
      </w:r>
      <w:bookmarkEnd w:id="1130"/>
    </w:p>
    <w:bookmarkEnd w:id="1131"/>
    <w:bookmarkEnd w:id="1132"/>
    <w:bookmarkEnd w:id="1133"/>
    <w:p w14:paraId="741976C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合同一方当事人遇到不可抗力事件，使其履行合同义务受到阻碍时，应立即通知合同另一方当事人和监理人，书面说明不可抗力和受阻碍的详细情况，并提供必要的证明。</w:t>
      </w:r>
    </w:p>
    <w:p w14:paraId="0452EB7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不可抗力持续发生的，合同一方当事人应及时向合同另一方当事人和监理人提交中间报告，说明不可抗力和履行合同受阻的情况，并于不可抗力事件结束后28天内提交最终报告及有关资料。</w:t>
      </w:r>
    </w:p>
    <w:p w14:paraId="19A62EC1">
      <w:pPr>
        <w:spacing w:before="120" w:after="120" w:line="360" w:lineRule="auto"/>
        <w:ind w:firstLine="480" w:firstLineChars="200"/>
        <w:rPr>
          <w:rFonts w:ascii="宋体" w:hAnsi="宋体" w:eastAsia="宋体" w:cs="宋体"/>
          <w:color w:val="000000"/>
          <w:sz w:val="24"/>
        </w:rPr>
      </w:pPr>
      <w:bookmarkStart w:id="1134" w:name="_Toc351203610"/>
      <w:bookmarkStart w:id="1135" w:name="_Toc296503119"/>
      <w:bookmarkStart w:id="1136" w:name="_Toc296346620"/>
      <w:bookmarkStart w:id="1137" w:name="_Toc337558826"/>
      <w:r>
        <w:rPr>
          <w:rFonts w:hint="eastAsia" w:ascii="宋体" w:hAnsi="宋体" w:eastAsia="宋体" w:cs="宋体"/>
          <w:color w:val="000000"/>
          <w:sz w:val="24"/>
        </w:rPr>
        <w:t>17.3 不可抗力后果的承担</w:t>
      </w:r>
      <w:bookmarkEnd w:id="1134"/>
    </w:p>
    <w:bookmarkEnd w:id="1135"/>
    <w:bookmarkEnd w:id="1136"/>
    <w:bookmarkEnd w:id="1137"/>
    <w:p w14:paraId="4BB67441">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17.3.1 不可抗力引起的后果及造成的损失由合同当事人按照法律规定及合同约定各自承担。不可抗力发生前已完成的工程应当按照合同约定进行计量支付。</w:t>
      </w:r>
    </w:p>
    <w:p w14:paraId="1453D32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17.3.2 不可抗力导致的人员伤亡、财产损失、费用增加和（或）工期延误等后果，由合同当事人按以下原则承担：</w:t>
      </w:r>
    </w:p>
    <w:p w14:paraId="057CFE5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（1）永久工程、已运至施工现场的材料和工程设备的损坏，以及因工程损坏造成的第三人人员伤亡和财产损失由发包人承担；</w:t>
      </w:r>
    </w:p>
    <w:p w14:paraId="7E5AA97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（2）承包人施工设备的损坏由承包人承担；</w:t>
      </w:r>
    </w:p>
    <w:p w14:paraId="114B931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（3）发包人和承包人承担各自人员伤亡和财产的损失；</w:t>
      </w:r>
    </w:p>
    <w:p w14:paraId="0DA6D99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（4）因不可抗力影响承包人履行合同约定的义务，已经引起或将引起工期延误的，应当顺延工期，由此导致承包人停工的费用损失由发包人和承包人合理分担，停工期间必须支付的工人工资由发包人承担；</w:t>
      </w:r>
    </w:p>
    <w:p w14:paraId="31EBC0E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（5）因不可抗力引起或将引起工期延误，发包人要求赶工的，由此增加的赶工费用由发包人承担；</w:t>
      </w:r>
    </w:p>
    <w:p w14:paraId="1F88DA5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（6）承包人在停工期间按照发包人要求照管、清理和修复工程的费用由发包人承担。</w:t>
      </w:r>
    </w:p>
    <w:p w14:paraId="174F283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不可抗力发生后，合同当事人均应采取措施尽量避免和减少损失的扩大，任何一方当事人没有采取有效措施导致损失扩大的，应对扩大的损失承担责任。</w:t>
      </w:r>
    </w:p>
    <w:p w14:paraId="54E81AC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因合同一方迟延履行合同义务，在迟延履行期间遭遇不可抗力的，不免除其违约责任。</w:t>
      </w:r>
    </w:p>
    <w:p w14:paraId="3351F69F">
      <w:pPr>
        <w:spacing w:before="120" w:after="120" w:line="360" w:lineRule="auto"/>
        <w:ind w:firstLine="480" w:firstLineChars="200"/>
        <w:rPr>
          <w:rFonts w:ascii="宋体" w:hAnsi="宋体" w:eastAsia="宋体" w:cs="宋体"/>
          <w:color w:val="000000"/>
          <w:sz w:val="24"/>
        </w:rPr>
      </w:pPr>
      <w:bookmarkStart w:id="1138" w:name="_Toc351203611"/>
      <w:bookmarkStart w:id="1139" w:name="_Toc337558827"/>
      <w:r>
        <w:rPr>
          <w:rFonts w:hint="eastAsia" w:ascii="宋体" w:hAnsi="宋体" w:eastAsia="宋体" w:cs="宋体"/>
          <w:color w:val="000000"/>
          <w:sz w:val="24"/>
        </w:rPr>
        <w:t>17.4 因不可抗力解除合同</w:t>
      </w:r>
      <w:bookmarkEnd w:id="1138"/>
    </w:p>
    <w:bookmarkEnd w:id="1139"/>
    <w:p w14:paraId="1A7901A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因不可抗力导致合同无法履行连续超过84天或累计超过140天的，发包人和承包人均有权解除合同。合同解除后，由双方当事人按照第4.4款〔商定或确定〕商定或确定发包人应支付的款项，该款项包括：</w:t>
      </w:r>
    </w:p>
    <w:p w14:paraId="520D588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（1）合同解除前承包人已完成工作的价款；</w:t>
      </w:r>
    </w:p>
    <w:p w14:paraId="44A25E4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（2）承包人为工程订购的并已交付给承包人，或承包人有责任接受交付的材料、工程设备和其他物品的价款；</w:t>
      </w:r>
    </w:p>
    <w:p w14:paraId="3AADE0E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（3）发包人要求承包人退货或解除订货合同而产生的费用，或因不能退货或解除合同而产生的损失；</w:t>
      </w:r>
    </w:p>
    <w:p w14:paraId="4BCBF6A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（4）承包人撤离施工现场以及遣散承包人人员的费用；</w:t>
      </w:r>
    </w:p>
    <w:p w14:paraId="461301D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（5）按照合同约定在合同解除前应支付给承包人的其他款项；</w:t>
      </w:r>
    </w:p>
    <w:p w14:paraId="2A271BA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（6）扣减承包人按照合同约定应向发包人支付的款项；</w:t>
      </w:r>
    </w:p>
    <w:p w14:paraId="3B7510F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（7）双方商定或确定的其他款项。</w:t>
      </w:r>
    </w:p>
    <w:p w14:paraId="034CF04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除专用合同条款另有约定外，合同解除后，发包人应在商定或确定上述款项后28天内完成上述款项的支付。</w:t>
      </w:r>
    </w:p>
    <w:p w14:paraId="5B84BBF1">
      <w:pPr>
        <w:spacing w:before="120" w:after="120" w:line="360" w:lineRule="auto"/>
        <w:rPr>
          <w:rFonts w:ascii="宋体" w:hAnsi="宋体" w:eastAsia="宋体" w:cs="宋体"/>
          <w:color w:val="000000"/>
          <w:sz w:val="24"/>
        </w:rPr>
      </w:pPr>
      <w:bookmarkStart w:id="1140" w:name="_Toc351203612"/>
      <w:bookmarkStart w:id="1141" w:name="_Toc296346621"/>
      <w:bookmarkStart w:id="1142" w:name="_Toc337558828"/>
      <w:bookmarkStart w:id="1143" w:name="_Toc296503120"/>
      <w:r>
        <w:rPr>
          <w:rFonts w:hint="eastAsia" w:ascii="宋体" w:hAnsi="宋体" w:eastAsia="宋体" w:cs="宋体"/>
          <w:color w:val="000000"/>
          <w:sz w:val="24"/>
        </w:rPr>
        <w:t>18. 保险</w:t>
      </w:r>
      <w:bookmarkEnd w:id="1140"/>
    </w:p>
    <w:bookmarkEnd w:id="1141"/>
    <w:bookmarkEnd w:id="1142"/>
    <w:bookmarkEnd w:id="1143"/>
    <w:p w14:paraId="5548C272">
      <w:pPr>
        <w:spacing w:before="120" w:after="120" w:line="360" w:lineRule="auto"/>
        <w:ind w:firstLine="480" w:firstLineChars="200"/>
        <w:rPr>
          <w:rFonts w:ascii="宋体" w:hAnsi="宋体" w:eastAsia="宋体" w:cs="宋体"/>
          <w:color w:val="000000"/>
          <w:sz w:val="24"/>
        </w:rPr>
      </w:pPr>
      <w:bookmarkStart w:id="1144" w:name="_Toc351203613"/>
      <w:bookmarkStart w:id="1145" w:name="_Toc296346622"/>
      <w:bookmarkStart w:id="1146" w:name="_Toc296503121"/>
      <w:bookmarkStart w:id="1147" w:name="_Toc337558829"/>
      <w:r>
        <w:rPr>
          <w:rFonts w:hint="eastAsia" w:ascii="宋体" w:hAnsi="宋体" w:eastAsia="宋体" w:cs="宋体"/>
          <w:color w:val="000000"/>
          <w:sz w:val="24"/>
        </w:rPr>
        <w:t>18.1 工程保险</w:t>
      </w:r>
      <w:bookmarkEnd w:id="1144"/>
    </w:p>
    <w:bookmarkEnd w:id="1145"/>
    <w:bookmarkEnd w:id="1146"/>
    <w:bookmarkEnd w:id="1147"/>
    <w:p w14:paraId="3694E30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除专用合同条款另有约定外，发包人应投保建筑工程一切险或安装工程一切险；发包人委托承包人投保的，因投保产生的保险费和其他相关费用由发包人承担。</w:t>
      </w:r>
    </w:p>
    <w:p w14:paraId="21493123">
      <w:pPr>
        <w:spacing w:before="120" w:after="120" w:line="360" w:lineRule="auto"/>
        <w:ind w:firstLine="480" w:firstLineChars="200"/>
        <w:rPr>
          <w:rFonts w:ascii="宋体" w:hAnsi="宋体" w:eastAsia="宋体" w:cs="宋体"/>
          <w:color w:val="000000"/>
          <w:sz w:val="24"/>
        </w:rPr>
      </w:pPr>
      <w:bookmarkStart w:id="1148" w:name="_Toc351203614"/>
      <w:bookmarkStart w:id="1149" w:name="_Toc337558830"/>
      <w:bookmarkStart w:id="1150" w:name="_Toc296346623"/>
      <w:bookmarkStart w:id="1151" w:name="_Toc296503122"/>
      <w:r>
        <w:rPr>
          <w:rFonts w:hint="eastAsia" w:ascii="宋体" w:hAnsi="宋体" w:eastAsia="宋体" w:cs="宋体"/>
          <w:color w:val="000000"/>
          <w:sz w:val="24"/>
        </w:rPr>
        <w:t>18.2 工伤保险</w:t>
      </w:r>
      <w:bookmarkEnd w:id="1148"/>
    </w:p>
    <w:bookmarkEnd w:id="1149"/>
    <w:bookmarkEnd w:id="1150"/>
    <w:bookmarkEnd w:id="1151"/>
    <w:p w14:paraId="6F6FFF6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18.2.1 发包人应依照法律规定参加工伤保险，并为在施工现场的全部员工办理工伤保险，缴纳工伤保险费，并要求监理人及由发包人为履行合同聘请的第三方依法参加工伤保险。</w:t>
      </w:r>
    </w:p>
    <w:p w14:paraId="5594831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18.2.2 承包人应依照法律规定参加工伤保险，并为其履行合同的全部员工办理工伤保险，缴纳工伤保险费，并要求分包人及由承包人为履行合同聘请的第三方依法参加工伤保险。</w:t>
      </w:r>
    </w:p>
    <w:p w14:paraId="1D783A67">
      <w:pPr>
        <w:spacing w:before="120" w:after="120" w:line="360" w:lineRule="auto"/>
        <w:ind w:firstLine="480" w:firstLineChars="200"/>
        <w:rPr>
          <w:rFonts w:ascii="宋体" w:hAnsi="宋体" w:eastAsia="宋体" w:cs="宋体"/>
          <w:color w:val="000000"/>
          <w:sz w:val="24"/>
        </w:rPr>
      </w:pPr>
      <w:bookmarkStart w:id="1152" w:name="_Toc351203615"/>
      <w:bookmarkStart w:id="1153" w:name="_Toc296503125"/>
      <w:bookmarkStart w:id="1154" w:name="_Toc337558831"/>
      <w:bookmarkStart w:id="1155" w:name="_Toc296346626"/>
      <w:r>
        <w:rPr>
          <w:rFonts w:hint="eastAsia" w:ascii="宋体" w:hAnsi="宋体" w:eastAsia="宋体" w:cs="宋体"/>
          <w:color w:val="000000"/>
          <w:sz w:val="24"/>
        </w:rPr>
        <w:t>18.3其他保险</w:t>
      </w:r>
      <w:bookmarkEnd w:id="1152"/>
    </w:p>
    <w:bookmarkEnd w:id="1153"/>
    <w:bookmarkEnd w:id="1154"/>
    <w:bookmarkEnd w:id="1155"/>
    <w:p w14:paraId="40A83B8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发包人和承包人可以为其施工现场的全部人员办理意外伤害保险并支付保险费，包括其员工及为履行合同聘请的第三方的人员，具体事项由合同当事人在专用合同条款约定。</w:t>
      </w:r>
    </w:p>
    <w:p w14:paraId="040530A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除专用合同条款另有约定外，承包人应为其施工设备等办理财产保险。</w:t>
      </w:r>
    </w:p>
    <w:p w14:paraId="164BCB13">
      <w:pPr>
        <w:spacing w:before="120" w:after="120" w:line="360" w:lineRule="auto"/>
        <w:ind w:firstLine="480" w:firstLineChars="200"/>
        <w:rPr>
          <w:rFonts w:ascii="宋体" w:hAnsi="宋体" w:eastAsia="宋体" w:cs="宋体"/>
          <w:color w:val="000000"/>
          <w:sz w:val="24"/>
        </w:rPr>
      </w:pPr>
      <w:bookmarkStart w:id="1156" w:name="_Toc351203616"/>
      <w:r>
        <w:rPr>
          <w:rFonts w:hint="eastAsia" w:ascii="宋体" w:hAnsi="宋体" w:eastAsia="宋体" w:cs="宋体"/>
          <w:color w:val="000000"/>
          <w:sz w:val="24"/>
        </w:rPr>
        <w:t>18.4持续保险</w:t>
      </w:r>
      <w:bookmarkEnd w:id="1156"/>
    </w:p>
    <w:p w14:paraId="478C392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合同当事人应与保险人保持联系，使保险人能够随时了解工程实施中的变动，并确保按保险合同条款要求持续保险。</w:t>
      </w:r>
    </w:p>
    <w:p w14:paraId="440C7912">
      <w:pPr>
        <w:spacing w:before="120" w:after="120" w:line="360" w:lineRule="auto"/>
        <w:ind w:firstLine="480" w:firstLineChars="200"/>
        <w:rPr>
          <w:rFonts w:ascii="宋体" w:hAnsi="宋体" w:eastAsia="宋体" w:cs="宋体"/>
          <w:color w:val="000000"/>
          <w:sz w:val="24"/>
        </w:rPr>
      </w:pPr>
      <w:bookmarkStart w:id="1157" w:name="_Toc351203617"/>
      <w:bookmarkStart w:id="1158" w:name="_Toc337558832"/>
      <w:bookmarkStart w:id="1159" w:name="_Toc296346627"/>
      <w:bookmarkStart w:id="1160" w:name="_Toc296503126"/>
      <w:r>
        <w:rPr>
          <w:rFonts w:hint="eastAsia" w:ascii="宋体" w:hAnsi="宋体" w:eastAsia="宋体" w:cs="宋体"/>
          <w:color w:val="000000"/>
          <w:sz w:val="24"/>
        </w:rPr>
        <w:t>18.5 保险凭证</w:t>
      </w:r>
      <w:bookmarkEnd w:id="1157"/>
    </w:p>
    <w:bookmarkEnd w:id="1158"/>
    <w:bookmarkEnd w:id="1159"/>
    <w:bookmarkEnd w:id="1160"/>
    <w:p w14:paraId="567324E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合同当事人应及时向另一方当事人提交其已投保的各项保险的凭证和保险单复印件。</w:t>
      </w:r>
    </w:p>
    <w:p w14:paraId="46A55626">
      <w:pPr>
        <w:spacing w:before="120" w:after="120" w:line="360" w:lineRule="auto"/>
        <w:ind w:firstLine="480" w:firstLineChars="200"/>
        <w:rPr>
          <w:rFonts w:ascii="宋体" w:hAnsi="宋体" w:eastAsia="宋体" w:cs="宋体"/>
          <w:color w:val="000000"/>
          <w:sz w:val="24"/>
        </w:rPr>
      </w:pPr>
      <w:bookmarkStart w:id="1161" w:name="_Toc351203618"/>
      <w:bookmarkStart w:id="1162" w:name="_Toc337558833"/>
      <w:bookmarkStart w:id="1163" w:name="_Toc296346628"/>
      <w:bookmarkStart w:id="1164" w:name="_Toc296503127"/>
      <w:r>
        <w:rPr>
          <w:rFonts w:hint="eastAsia" w:ascii="宋体" w:hAnsi="宋体" w:eastAsia="宋体" w:cs="宋体"/>
          <w:color w:val="000000"/>
          <w:sz w:val="24"/>
        </w:rPr>
        <w:t>18.6 未按约定投保的补救</w:t>
      </w:r>
      <w:bookmarkEnd w:id="1161"/>
    </w:p>
    <w:bookmarkEnd w:id="1162"/>
    <w:bookmarkEnd w:id="1163"/>
    <w:bookmarkEnd w:id="1164"/>
    <w:p w14:paraId="25B7C84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18.6.1发包人未按合同约定办理保险，或未能使保险持续有效的，则承包人可代为办理，所需费用由发包人承担。发包人未按合同约定办理保险，导致未能得到足额赔偿的，由发包人负责补足。</w:t>
      </w:r>
    </w:p>
    <w:p w14:paraId="7C6730E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18.6.2承包人未按合同约定办理保险，或未能使保险持续有效的，则发包人可代为办理，所需费用由承包人承担。承包人未按合同约定办理保险，导致未能得到足额赔偿的，由承包人负责补足。</w:t>
      </w:r>
    </w:p>
    <w:p w14:paraId="53BE153C">
      <w:pPr>
        <w:spacing w:before="120" w:after="120" w:line="360" w:lineRule="auto"/>
        <w:ind w:firstLine="480" w:firstLineChars="200"/>
        <w:rPr>
          <w:rFonts w:ascii="宋体" w:hAnsi="宋体" w:eastAsia="宋体" w:cs="宋体"/>
          <w:color w:val="000000"/>
          <w:sz w:val="24"/>
        </w:rPr>
      </w:pPr>
      <w:bookmarkStart w:id="1165" w:name="_Toc351203619"/>
      <w:bookmarkStart w:id="1166" w:name="_Toc337558834"/>
      <w:r>
        <w:rPr>
          <w:rFonts w:hint="eastAsia" w:ascii="宋体" w:hAnsi="宋体" w:eastAsia="宋体" w:cs="宋体"/>
          <w:color w:val="000000"/>
          <w:sz w:val="24"/>
        </w:rPr>
        <w:t>18.7 通知义务</w:t>
      </w:r>
      <w:bookmarkEnd w:id="1165"/>
    </w:p>
    <w:bookmarkEnd w:id="1166"/>
    <w:p w14:paraId="2466456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除专用合同条款另有约定外，发包人变更除工伤保险之外的保险合同时，应事先征得承包人同意，并通知监理人；承包人变更除工伤保险之外的保险合同时，应事先征得发包人同意，并通知监理人。</w:t>
      </w:r>
    </w:p>
    <w:p w14:paraId="33563B0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保险事故发生时，投保人应按照保险合同规定的条件和期限及时向保险人报告。发包人和承包人应当在知道保险事故发生后及时通知对方。</w:t>
      </w:r>
    </w:p>
    <w:p w14:paraId="37E8A936">
      <w:pPr>
        <w:spacing w:before="120" w:after="120" w:line="360" w:lineRule="auto"/>
        <w:rPr>
          <w:rFonts w:ascii="宋体" w:hAnsi="宋体" w:eastAsia="宋体" w:cs="宋体"/>
          <w:color w:val="000000"/>
          <w:sz w:val="24"/>
        </w:rPr>
      </w:pPr>
      <w:bookmarkStart w:id="1167" w:name="_Toc351203620"/>
      <w:bookmarkStart w:id="1168" w:name="_Toc296503140"/>
      <w:bookmarkStart w:id="1169" w:name="_Toc337558835"/>
      <w:bookmarkStart w:id="1170" w:name="_Toc296346641"/>
      <w:r>
        <w:rPr>
          <w:rFonts w:hint="eastAsia" w:ascii="宋体" w:hAnsi="宋体" w:eastAsia="宋体" w:cs="宋体"/>
          <w:color w:val="000000"/>
          <w:sz w:val="24"/>
        </w:rPr>
        <w:t>19. 索赔</w:t>
      </w:r>
      <w:bookmarkEnd w:id="1167"/>
    </w:p>
    <w:bookmarkEnd w:id="1168"/>
    <w:bookmarkEnd w:id="1169"/>
    <w:bookmarkEnd w:id="1170"/>
    <w:p w14:paraId="097860C5">
      <w:pPr>
        <w:spacing w:before="120" w:after="120" w:line="360" w:lineRule="auto"/>
        <w:ind w:firstLine="480" w:firstLineChars="200"/>
        <w:rPr>
          <w:rFonts w:ascii="宋体" w:hAnsi="宋体" w:eastAsia="宋体" w:cs="宋体"/>
          <w:color w:val="000000"/>
          <w:sz w:val="24"/>
        </w:rPr>
      </w:pPr>
      <w:bookmarkStart w:id="1171" w:name="_Toc351203621"/>
      <w:bookmarkStart w:id="1172" w:name="_Toc337558836"/>
      <w:bookmarkStart w:id="1173" w:name="_Toc296503141"/>
      <w:bookmarkStart w:id="1174" w:name="_Toc296346642"/>
      <w:r>
        <w:rPr>
          <w:rFonts w:hint="eastAsia" w:ascii="宋体" w:hAnsi="宋体" w:eastAsia="宋体" w:cs="宋体"/>
          <w:color w:val="000000"/>
          <w:sz w:val="24"/>
        </w:rPr>
        <w:t>19.1承包人的索赔</w:t>
      </w:r>
      <w:bookmarkEnd w:id="1171"/>
    </w:p>
    <w:bookmarkEnd w:id="1172"/>
    <w:bookmarkEnd w:id="1173"/>
    <w:bookmarkEnd w:id="1174"/>
    <w:p w14:paraId="533794E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根据合同约定，承包人认为有权得到追加付款和（或）延长工期的，应按以下程序向发包人提出索赔：</w:t>
      </w:r>
    </w:p>
    <w:p w14:paraId="232560F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41A5EFA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（2）承包人应在发出索赔意向通知书后28天内，向监理人正式递交索赔报告；索赔报告应详细说明索赔理由以及要求追加的付款金额和（或）延长的工期，并附必要的记录和证明材料；</w:t>
      </w:r>
    </w:p>
    <w:p w14:paraId="504DD230">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（3）索赔事件具有持续影响的，承包人应按合理时间间隔继续递交延续索赔通知，说明持续影响的实际情况和记录，列出累计的追加付款金额和（或）工期延长天数；</w:t>
      </w:r>
    </w:p>
    <w:p w14:paraId="5671EE3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（4）在索赔事件影响结束后28天内，承包人应向监理人递交最终索赔报告，说明最终要求索赔的追加付款金额和（或）延长的工期，并附必要的记录和证明材料。</w:t>
      </w:r>
    </w:p>
    <w:p w14:paraId="6E21F1D7">
      <w:pPr>
        <w:spacing w:before="120" w:after="120" w:line="360" w:lineRule="auto"/>
        <w:ind w:firstLine="480" w:firstLineChars="200"/>
        <w:rPr>
          <w:rFonts w:ascii="宋体" w:hAnsi="宋体" w:eastAsia="宋体" w:cs="宋体"/>
          <w:color w:val="000000"/>
          <w:sz w:val="24"/>
        </w:rPr>
      </w:pPr>
      <w:bookmarkStart w:id="1175" w:name="_Toc351203622"/>
      <w:bookmarkStart w:id="1176" w:name="_Toc337558837"/>
      <w:bookmarkStart w:id="1177" w:name="_Toc296346643"/>
      <w:bookmarkStart w:id="1178" w:name="_Toc296503142"/>
      <w:r>
        <w:rPr>
          <w:rFonts w:hint="eastAsia" w:ascii="宋体" w:hAnsi="宋体" w:eastAsia="宋体" w:cs="宋体"/>
          <w:color w:val="000000"/>
          <w:sz w:val="24"/>
        </w:rPr>
        <w:t>19.2 对承包人索赔的处理</w:t>
      </w:r>
      <w:bookmarkEnd w:id="1175"/>
    </w:p>
    <w:bookmarkEnd w:id="1176"/>
    <w:bookmarkEnd w:id="1177"/>
    <w:bookmarkEnd w:id="1178"/>
    <w:p w14:paraId="23517B4D">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对承包人索赔的处理如下：</w:t>
      </w:r>
    </w:p>
    <w:p w14:paraId="7326FC2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（1）监理人应在收到索赔报告后14天内完成审查并报送发包人。监理人对索赔报告存在异议的，有权要求承包人提交全部原始记录副本；</w:t>
      </w:r>
    </w:p>
    <w:p w14:paraId="498C16B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（2）发包人应在监理人收到索赔报告或有关索赔的进一步证明材料后的28天内，由监理人向承包人出具经发包人签认的索赔处理结果。发包人逾期答复的，则视为认可承包人的索赔要求；</w:t>
      </w:r>
    </w:p>
    <w:p w14:paraId="14AFB4B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（3）承包人接受索赔处理结果的，索赔款项在当期进度款中进行支付；承包人不接受索赔处理结果的，按照第20条〔争议解决〕约定处理。</w:t>
      </w:r>
    </w:p>
    <w:p w14:paraId="58C60426">
      <w:pPr>
        <w:spacing w:before="120" w:after="120" w:line="360" w:lineRule="auto"/>
        <w:ind w:firstLine="480" w:firstLineChars="200"/>
        <w:rPr>
          <w:rFonts w:ascii="宋体" w:hAnsi="宋体" w:eastAsia="宋体" w:cs="宋体"/>
          <w:color w:val="000000"/>
          <w:sz w:val="24"/>
        </w:rPr>
      </w:pPr>
      <w:bookmarkStart w:id="1179" w:name="_Toc351203623"/>
      <w:bookmarkStart w:id="1180" w:name="_Toc296503143"/>
      <w:bookmarkStart w:id="1181" w:name="_Toc296346644"/>
      <w:bookmarkStart w:id="1182" w:name="_Toc337558838"/>
      <w:r>
        <w:rPr>
          <w:rFonts w:hint="eastAsia" w:ascii="宋体" w:hAnsi="宋体" w:eastAsia="宋体" w:cs="宋体"/>
          <w:color w:val="000000"/>
          <w:sz w:val="24"/>
        </w:rPr>
        <w:t>19.3发包人的索赔</w:t>
      </w:r>
      <w:bookmarkEnd w:id="1179"/>
    </w:p>
    <w:bookmarkEnd w:id="1180"/>
    <w:bookmarkEnd w:id="1181"/>
    <w:bookmarkEnd w:id="1182"/>
    <w:p w14:paraId="5E5D3E2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根据合同约定，发包人认为有权得到赔付金额和（或）延长缺陷责任期的，监理人应向承包人发出通知并附有详细的证明。</w:t>
      </w:r>
    </w:p>
    <w:p w14:paraId="2C72667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应在知道或应当知道索赔事件发生后28天内通过监理人向承包人提出索赔意向通知书，发包人未在前述28天内发出索赔意向通知书的，丧失要求赔付金额和（或）延长缺陷责任期的权利。发包人应在发出索赔意向通知书后28天内，通过监理人向承包人正式递交索赔报告。</w:t>
      </w:r>
    </w:p>
    <w:p w14:paraId="28E7CBF8">
      <w:pPr>
        <w:spacing w:before="120" w:after="120" w:line="360" w:lineRule="auto"/>
        <w:ind w:firstLine="480" w:firstLineChars="200"/>
        <w:rPr>
          <w:rFonts w:ascii="宋体" w:hAnsi="宋体" w:eastAsia="宋体" w:cs="宋体"/>
          <w:color w:val="000000"/>
          <w:sz w:val="24"/>
        </w:rPr>
      </w:pPr>
      <w:bookmarkStart w:id="1183" w:name="_Toc351203624"/>
      <w:bookmarkStart w:id="1184" w:name="_Toc296503144"/>
      <w:bookmarkStart w:id="1185" w:name="_Toc296346645"/>
      <w:bookmarkStart w:id="1186" w:name="_Toc337558839"/>
      <w:r>
        <w:rPr>
          <w:rFonts w:hint="eastAsia" w:ascii="宋体" w:hAnsi="宋体" w:eastAsia="宋体" w:cs="宋体"/>
          <w:color w:val="000000"/>
          <w:sz w:val="24"/>
        </w:rPr>
        <w:t>19.4 对发包人索赔的处理</w:t>
      </w:r>
      <w:bookmarkEnd w:id="1183"/>
    </w:p>
    <w:bookmarkEnd w:id="1184"/>
    <w:bookmarkEnd w:id="1185"/>
    <w:bookmarkEnd w:id="1186"/>
    <w:p w14:paraId="4C8E462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对发包人索赔的处理如下：</w:t>
      </w:r>
    </w:p>
    <w:p w14:paraId="6022EFA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（1）承包人收到发包人提交的索赔报告后，应及时审查索赔报告的内容、查验发包人证明材料；</w:t>
      </w:r>
    </w:p>
    <w:p w14:paraId="17354AD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（2）承包人应在收到索赔报告或有关索赔的进一步证明材料后28天内，将索赔处理结果答复发包人。如果承包人未在上述期限内作出答复的，则视为对发包人索赔要求的认可；</w:t>
      </w:r>
    </w:p>
    <w:p w14:paraId="15AC4E9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（3）承包人接受索赔处理结果的，发包人可从应支付给承包人的合同价款中扣除赔付的金额或延长缺陷责任期；发包人不接受索赔处理结果的，按第20条〔争议解决〕约定处理。</w:t>
      </w:r>
    </w:p>
    <w:p w14:paraId="794D7452">
      <w:pPr>
        <w:spacing w:before="120" w:after="120" w:line="360" w:lineRule="auto"/>
        <w:ind w:firstLine="480" w:firstLineChars="200"/>
        <w:rPr>
          <w:rFonts w:ascii="宋体" w:hAnsi="宋体" w:eastAsia="宋体" w:cs="宋体"/>
          <w:color w:val="000000"/>
          <w:sz w:val="24"/>
        </w:rPr>
      </w:pPr>
      <w:bookmarkStart w:id="1187" w:name="_Toc351203625"/>
      <w:r>
        <w:rPr>
          <w:rFonts w:hint="eastAsia" w:ascii="宋体" w:hAnsi="宋体" w:eastAsia="宋体" w:cs="宋体"/>
          <w:color w:val="000000"/>
          <w:sz w:val="24"/>
        </w:rPr>
        <w:t>19.5 提出索赔的期限</w:t>
      </w:r>
      <w:bookmarkEnd w:id="1187"/>
    </w:p>
    <w:p w14:paraId="37E55E7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（1）承包人按第14.2款〔竣工结算审核〕约定接收竣工付款证书后，应被视为已无权再提出在工程接收证书颁发前所发生的任何索赔。</w:t>
      </w:r>
    </w:p>
    <w:p w14:paraId="392EB0B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（2）承包人按第14.4款〔最终结清〕提交的最终结清申请单中，只限于提出工程接收证书颁发后发生的索赔。提出索赔的期限自接受最终结清证书时终止。</w:t>
      </w:r>
    </w:p>
    <w:p w14:paraId="49A66D0F">
      <w:pPr>
        <w:spacing w:before="120" w:after="120" w:line="360" w:lineRule="auto"/>
        <w:rPr>
          <w:rFonts w:ascii="宋体" w:hAnsi="宋体" w:eastAsia="宋体" w:cs="宋体"/>
          <w:color w:val="000000"/>
          <w:sz w:val="24"/>
        </w:rPr>
      </w:pPr>
      <w:bookmarkStart w:id="1188" w:name="_Toc351203626"/>
      <w:r>
        <w:rPr>
          <w:rFonts w:hint="eastAsia" w:ascii="宋体" w:hAnsi="宋体" w:eastAsia="宋体" w:cs="宋体"/>
          <w:color w:val="000000"/>
          <w:sz w:val="24"/>
        </w:rPr>
        <w:t>20</w:t>
      </w:r>
      <w:bookmarkStart w:id="1189" w:name="_Toc296346647"/>
      <w:bookmarkStart w:id="1190" w:name="_Toc337558840"/>
      <w:bookmarkStart w:id="1191" w:name="_Toc296503146"/>
      <w:r>
        <w:rPr>
          <w:rFonts w:hint="eastAsia" w:ascii="宋体" w:hAnsi="宋体" w:eastAsia="宋体" w:cs="宋体"/>
          <w:color w:val="000000"/>
          <w:sz w:val="24"/>
        </w:rPr>
        <w:t>. 争议解决</w:t>
      </w:r>
      <w:bookmarkEnd w:id="1188"/>
    </w:p>
    <w:bookmarkEnd w:id="1189"/>
    <w:bookmarkEnd w:id="1190"/>
    <w:bookmarkEnd w:id="1191"/>
    <w:p w14:paraId="1C6A1B53">
      <w:pPr>
        <w:spacing w:before="120" w:after="120" w:line="360" w:lineRule="auto"/>
        <w:ind w:firstLine="480" w:firstLineChars="200"/>
        <w:rPr>
          <w:rFonts w:ascii="宋体" w:hAnsi="宋体" w:eastAsia="宋体" w:cs="宋体"/>
          <w:color w:val="000000"/>
          <w:sz w:val="24"/>
        </w:rPr>
      </w:pPr>
      <w:bookmarkStart w:id="1192" w:name="_Toc351203627"/>
      <w:bookmarkStart w:id="1193" w:name="_Toc337558841"/>
      <w:bookmarkStart w:id="1194" w:name="_Toc296346648"/>
      <w:bookmarkStart w:id="1195" w:name="_Toc296503147"/>
      <w:r>
        <w:rPr>
          <w:rFonts w:hint="eastAsia" w:ascii="宋体" w:hAnsi="宋体" w:eastAsia="宋体" w:cs="宋体"/>
          <w:color w:val="000000"/>
          <w:sz w:val="24"/>
        </w:rPr>
        <w:t>20.1和解</w:t>
      </w:r>
      <w:bookmarkEnd w:id="1192"/>
    </w:p>
    <w:bookmarkEnd w:id="1193"/>
    <w:bookmarkEnd w:id="1194"/>
    <w:bookmarkEnd w:id="1195"/>
    <w:p w14:paraId="5E3987C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合同当事人可以就争议自行和解，自行和解达成协议的经双方签字并盖章后作为合同补充文件，双方均应遵照执行。</w:t>
      </w:r>
    </w:p>
    <w:p w14:paraId="4481EBEC">
      <w:pPr>
        <w:spacing w:before="120" w:after="120" w:line="360" w:lineRule="auto"/>
        <w:ind w:firstLine="480" w:firstLineChars="200"/>
        <w:rPr>
          <w:rFonts w:ascii="宋体" w:hAnsi="宋体" w:eastAsia="宋体" w:cs="宋体"/>
          <w:color w:val="000000"/>
          <w:sz w:val="24"/>
        </w:rPr>
      </w:pPr>
      <w:bookmarkStart w:id="1196" w:name="_Toc351203628"/>
      <w:r>
        <w:rPr>
          <w:rFonts w:hint="eastAsia" w:ascii="宋体" w:hAnsi="宋体" w:eastAsia="宋体" w:cs="宋体"/>
          <w:color w:val="000000"/>
          <w:sz w:val="24"/>
        </w:rPr>
        <w:t>20</w:t>
      </w:r>
      <w:bookmarkStart w:id="1197" w:name="_Toc337558842"/>
      <w:bookmarkStart w:id="1198" w:name="_Toc296503148"/>
      <w:bookmarkStart w:id="1199" w:name="_Toc296346649"/>
      <w:r>
        <w:rPr>
          <w:rFonts w:hint="eastAsia" w:ascii="宋体" w:hAnsi="宋体" w:eastAsia="宋体" w:cs="宋体"/>
          <w:color w:val="000000"/>
          <w:sz w:val="24"/>
        </w:rPr>
        <w:t>.2调解</w:t>
      </w:r>
      <w:bookmarkEnd w:id="1196"/>
    </w:p>
    <w:bookmarkEnd w:id="1197"/>
    <w:bookmarkEnd w:id="1198"/>
    <w:bookmarkEnd w:id="1199"/>
    <w:p w14:paraId="1FEF105E">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合同当事人可以就争议请求建设行政主管部门、行业协会或其他第三方进行调解，调解达成协议的，经双方签字并盖章后作为合同补充文件，双方均应遵照执行。</w:t>
      </w:r>
    </w:p>
    <w:p w14:paraId="30E66F94">
      <w:pPr>
        <w:spacing w:before="120" w:after="120" w:line="360" w:lineRule="auto"/>
        <w:ind w:firstLine="480" w:firstLineChars="200"/>
        <w:rPr>
          <w:rFonts w:ascii="宋体" w:hAnsi="宋体" w:eastAsia="宋体" w:cs="宋体"/>
          <w:color w:val="000000"/>
          <w:sz w:val="24"/>
        </w:rPr>
      </w:pPr>
      <w:bookmarkStart w:id="1200" w:name="_Toc351203629"/>
      <w:bookmarkStart w:id="1201" w:name="_Toc296346650"/>
      <w:bookmarkStart w:id="1202" w:name="_Toc296503149"/>
      <w:bookmarkStart w:id="1203" w:name="_Toc337558843"/>
      <w:r>
        <w:rPr>
          <w:rFonts w:hint="eastAsia" w:ascii="宋体" w:hAnsi="宋体" w:eastAsia="宋体" w:cs="宋体"/>
          <w:color w:val="000000"/>
          <w:sz w:val="24"/>
        </w:rPr>
        <w:t>20.3争议评审</w:t>
      </w:r>
      <w:bookmarkEnd w:id="1200"/>
    </w:p>
    <w:bookmarkEnd w:id="1201"/>
    <w:bookmarkEnd w:id="1202"/>
    <w:bookmarkEnd w:id="1203"/>
    <w:p w14:paraId="2CAAB29F">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合同当事人在专用合同条款中约定采取争议评审方式解决争议以及评审规则，并按下列约定执行： </w:t>
      </w:r>
    </w:p>
    <w:p w14:paraId="7E906F1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20.3.1 争议评审小组的确定</w:t>
      </w:r>
    </w:p>
    <w:p w14:paraId="4F3B32C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合同当事人可以共同选择一名或三名争议评审员，组成争议评审小组。除专用合同条款另有约定外，合同当事人应当自合同签订后28天内，或者争议发生后14天内，选定争议评审员。</w:t>
      </w:r>
    </w:p>
    <w:p w14:paraId="202574A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选择一名争议评审员的，由合同当事人共同确定；选择三名争议评审员的，各自选定一名，第三名成员为首席争议评审员，由合同当事人共同确定或由合同当事人委托已选定的争议评审员共同确定，或由专用合同条款约定的评审机构指定第三名首席争议评审员。 </w:t>
      </w:r>
    </w:p>
    <w:p w14:paraId="4076B7E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除专用合同条款另有约定外，评审员报酬由发包人和承包人各承担一半。</w:t>
      </w:r>
    </w:p>
    <w:p w14:paraId="6B669DD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20.3.2 争议评审小组的决定</w:t>
      </w:r>
    </w:p>
    <w:p w14:paraId="4DFCDB62">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可在任何时间将与合同有关的任何争议共同提请争议评审小组进行评审。争议评审小组应秉持客观、公正原则，充分听取合同当事人的意见，依据相关法律、规范、标准、案例经验及商业惯例等，自收到争议评审申请报告后14天内作出书面决定，并说明理由。合同当事人可以在专用合同条款中对本项事项另行约定。</w:t>
      </w:r>
    </w:p>
    <w:p w14:paraId="152EAC0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20.3.3 争议评审小组决定的效力</w:t>
      </w:r>
    </w:p>
    <w:p w14:paraId="493F3688">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争议评审小组作出的书面决定经合同当事人签字确认后，对双方具有约束力，双方应遵照执行。</w:t>
      </w:r>
    </w:p>
    <w:p w14:paraId="19F1718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任何一方当事人不接受争议评审小组决定或不履行争议评审小组决定的，双方可选择采用其他争议解决方式。</w:t>
      </w:r>
    </w:p>
    <w:p w14:paraId="39E7226F">
      <w:pPr>
        <w:spacing w:before="120" w:after="120" w:line="360" w:lineRule="auto"/>
        <w:ind w:firstLine="480" w:firstLineChars="200"/>
        <w:rPr>
          <w:rFonts w:ascii="宋体" w:hAnsi="宋体" w:eastAsia="宋体" w:cs="宋体"/>
          <w:color w:val="000000"/>
          <w:sz w:val="24"/>
        </w:rPr>
      </w:pPr>
      <w:bookmarkStart w:id="1204" w:name="_Toc351203630"/>
      <w:bookmarkStart w:id="1205" w:name="_Toc296503150"/>
      <w:bookmarkStart w:id="1206" w:name="_Toc337558844"/>
      <w:bookmarkStart w:id="1207" w:name="_Toc296346651"/>
      <w:r>
        <w:rPr>
          <w:rFonts w:hint="eastAsia" w:ascii="宋体" w:hAnsi="宋体" w:eastAsia="宋体" w:cs="宋体"/>
          <w:color w:val="000000"/>
          <w:sz w:val="24"/>
        </w:rPr>
        <w:t>20.4仲裁或诉讼</w:t>
      </w:r>
      <w:bookmarkEnd w:id="1204"/>
    </w:p>
    <w:bookmarkEnd w:id="1205"/>
    <w:bookmarkEnd w:id="1206"/>
    <w:bookmarkEnd w:id="1207"/>
    <w:p w14:paraId="62D001B6">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因合同及合同有关事项产生的争议，合同当事人可以在专用合同条款中约定以下一种方式解决争议：</w:t>
      </w:r>
    </w:p>
    <w:p w14:paraId="63CEF61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（1）向约定的仲裁委员会申请仲裁；</w:t>
      </w:r>
    </w:p>
    <w:p w14:paraId="7BAFBCC9">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（2）向有管辖权的人民法院起诉。</w:t>
      </w:r>
    </w:p>
    <w:p w14:paraId="0750BD4C">
      <w:pPr>
        <w:spacing w:before="120" w:after="120" w:line="360" w:lineRule="auto"/>
        <w:ind w:firstLine="480" w:firstLineChars="200"/>
        <w:rPr>
          <w:rFonts w:ascii="宋体" w:hAnsi="宋体" w:eastAsia="宋体" w:cs="宋体"/>
          <w:color w:val="000000"/>
          <w:sz w:val="24"/>
        </w:rPr>
      </w:pPr>
      <w:bookmarkStart w:id="1208" w:name="_Toc351203631"/>
      <w:bookmarkStart w:id="1209" w:name="_Toc296346653"/>
      <w:bookmarkStart w:id="1210" w:name="_Toc337558845"/>
      <w:bookmarkStart w:id="1211" w:name="_Toc296503152"/>
      <w:r>
        <w:rPr>
          <w:rFonts w:hint="eastAsia" w:ascii="宋体" w:hAnsi="宋体" w:eastAsia="宋体" w:cs="宋体"/>
          <w:color w:val="000000"/>
          <w:sz w:val="24"/>
        </w:rPr>
        <w:t>20.5争议解决条款效力</w:t>
      </w:r>
      <w:bookmarkEnd w:id="1208"/>
    </w:p>
    <w:bookmarkEnd w:id="1209"/>
    <w:bookmarkEnd w:id="1210"/>
    <w:bookmarkEnd w:id="1211"/>
    <w:p w14:paraId="653D15CA">
      <w:pPr>
        <w:rPr>
          <w:rFonts w:ascii="宋体" w:hAnsi="宋体" w:eastAsia="宋体" w:cs="宋体"/>
          <w:sz w:val="24"/>
        </w:rPr>
      </w:pPr>
      <w:r>
        <w:rPr>
          <w:rFonts w:hint="eastAsia" w:ascii="宋体" w:hAnsi="宋体" w:eastAsia="宋体" w:cs="宋体"/>
          <w:color w:val="000000"/>
          <w:sz w:val="24"/>
        </w:rPr>
        <w:t>合同有关争议解决的条款独立存在，合同的变更、解除、终止、无效或者被撤销均不影响其效力。</w:t>
      </w:r>
    </w:p>
    <w:p w14:paraId="0E95D7A4">
      <w:pPr>
        <w:rPr>
          <w:rFonts w:ascii="宋体" w:hAnsi="宋体" w:eastAsia="宋体" w:cs="宋体"/>
          <w:b/>
          <w:bCs/>
          <w:sz w:val="24"/>
        </w:rPr>
      </w:pPr>
    </w:p>
    <w:p w14:paraId="27E31A1C">
      <w:pPr>
        <w:rPr>
          <w:rFonts w:ascii="宋体" w:hAnsi="宋体" w:eastAsia="宋体" w:cs="宋体"/>
          <w:b/>
          <w:bCs/>
          <w:sz w:val="24"/>
        </w:rPr>
      </w:pPr>
      <w:bookmarkStart w:id="1212" w:name="_Toc13269_WPSOffice_Level2"/>
      <w:bookmarkStart w:id="1213" w:name="_Toc28989"/>
      <w:r>
        <w:rPr>
          <w:rFonts w:hint="eastAsia" w:ascii="宋体" w:hAnsi="宋体" w:eastAsia="宋体" w:cs="宋体"/>
          <w:b/>
          <w:bCs/>
          <w:sz w:val="24"/>
        </w:rPr>
        <w:br w:type="page"/>
      </w:r>
    </w:p>
    <w:p w14:paraId="2FB87E12">
      <w:pPr>
        <w:jc w:val="center"/>
        <w:rPr>
          <w:rFonts w:ascii="宋体" w:hAnsi="宋体" w:eastAsia="宋体" w:cs="宋体"/>
          <w:b/>
          <w:sz w:val="24"/>
        </w:rPr>
      </w:pPr>
      <w:r>
        <w:rPr>
          <w:rFonts w:hint="eastAsia" w:ascii="宋体" w:hAnsi="宋体" w:eastAsia="宋体" w:cs="宋体"/>
          <w:b/>
          <w:bCs/>
          <w:sz w:val="24"/>
        </w:rPr>
        <w:t xml:space="preserve"> </w:t>
      </w:r>
      <w:bookmarkEnd w:id="1212"/>
      <w:bookmarkStart w:id="1214" w:name="_Toc514163603"/>
      <w:bookmarkStart w:id="1215" w:name="_Toc514164528"/>
      <w:bookmarkStart w:id="1216" w:name="_Toc514163716"/>
      <w:r>
        <w:rPr>
          <w:rFonts w:hint="eastAsia" w:ascii="宋体" w:hAnsi="宋体" w:eastAsia="宋体" w:cs="宋体"/>
          <w:b/>
          <w:sz w:val="24"/>
        </w:rPr>
        <w:t>第三部分 专用合同条款</w:t>
      </w:r>
      <w:bookmarkEnd w:id="1213"/>
      <w:bookmarkEnd w:id="1214"/>
      <w:bookmarkEnd w:id="1215"/>
      <w:bookmarkEnd w:id="1216"/>
    </w:p>
    <w:p w14:paraId="6A002242">
      <w:pPr>
        <w:rPr>
          <w:rFonts w:ascii="宋体" w:hAnsi="宋体" w:eastAsia="宋体" w:cs="宋体"/>
          <w:b/>
          <w:sz w:val="24"/>
        </w:rPr>
      </w:pPr>
      <w:bookmarkStart w:id="1217" w:name="_Toc351203633"/>
      <w:r>
        <w:rPr>
          <w:rFonts w:hint="eastAsia" w:ascii="宋体" w:hAnsi="宋体" w:eastAsia="宋体" w:cs="宋体"/>
          <w:b/>
          <w:sz w:val="24"/>
        </w:rPr>
        <w:t>1</w:t>
      </w:r>
      <w:bookmarkStart w:id="1218" w:name="_Toc292559361"/>
      <w:bookmarkStart w:id="1219" w:name="_Toc297120456"/>
      <w:bookmarkStart w:id="1220" w:name="_Toc292559866"/>
      <w:bookmarkStart w:id="1221" w:name="_Toc296503156"/>
      <w:bookmarkStart w:id="1222" w:name="_Toc296346657"/>
      <w:bookmarkStart w:id="1223" w:name="_Toc296891196"/>
      <w:bookmarkStart w:id="1224" w:name="_Toc296944495"/>
      <w:bookmarkStart w:id="1225" w:name="_Toc297048342"/>
      <w:bookmarkStart w:id="1226" w:name="_Toc296890984"/>
      <w:bookmarkStart w:id="1227" w:name="_Toc296347155"/>
      <w:r>
        <w:rPr>
          <w:rFonts w:hint="eastAsia" w:ascii="宋体" w:hAnsi="宋体" w:eastAsia="宋体" w:cs="宋体"/>
          <w:b/>
          <w:sz w:val="24"/>
        </w:rPr>
        <w:t>. 一般约定</w:t>
      </w:r>
      <w:bookmarkEnd w:id="1217"/>
    </w:p>
    <w:bookmarkEnd w:id="1218"/>
    <w:bookmarkEnd w:id="1219"/>
    <w:bookmarkEnd w:id="1220"/>
    <w:bookmarkEnd w:id="1221"/>
    <w:bookmarkEnd w:id="1222"/>
    <w:bookmarkEnd w:id="1223"/>
    <w:bookmarkEnd w:id="1224"/>
    <w:bookmarkEnd w:id="1225"/>
    <w:bookmarkEnd w:id="1226"/>
    <w:bookmarkEnd w:id="1227"/>
    <w:p w14:paraId="7C114919">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 词语定义</w:t>
      </w:r>
    </w:p>
    <w:p w14:paraId="27CA36B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1.1.1合同</w:t>
      </w:r>
    </w:p>
    <w:p w14:paraId="26C52B83">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1.1.1.10其他合同文件包括：</w:t>
      </w:r>
      <w:r>
        <w:rPr>
          <w:rFonts w:hint="eastAsia" w:ascii="宋体" w:hAnsi="宋体" w:eastAsia="宋体" w:cs="宋体"/>
          <w:color w:val="000000"/>
          <w:sz w:val="24"/>
          <w:u w:val="single"/>
        </w:rPr>
        <w:t>协议书、合同补充协议、中标通知书、答疑纪要、招标文件、投标文件、有关技术标准规范、履行合同过程中双方单位管理者（或双方工地代表人）书面确认的对合同内容有实质性影响的会议纪要、签证、设计变更等资料。</w:t>
      </w:r>
    </w:p>
    <w:p w14:paraId="439EE5E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 合同当事人及其他相关方</w:t>
      </w:r>
    </w:p>
    <w:p w14:paraId="4E061C1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1.1.2.4监理人：</w:t>
      </w:r>
    </w:p>
    <w:p w14:paraId="7901835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4F15617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085C00D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5A7B88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30B7A6E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772ADB0D">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1.1.2.5 设计人：</w:t>
      </w:r>
    </w:p>
    <w:p w14:paraId="22179F4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名    称：</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36B04E0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资质类别和等级：</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62B059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xml:space="preserve">                   </w:t>
      </w:r>
      <w:r>
        <w:rPr>
          <w:rFonts w:hint="eastAsia" w:ascii="宋体" w:hAnsi="宋体" w:eastAsia="宋体" w:cs="宋体"/>
          <w:color w:val="000000"/>
          <w:sz w:val="24"/>
        </w:rPr>
        <w:t>；</w:t>
      </w:r>
    </w:p>
    <w:p w14:paraId="6B02058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633AFF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56903E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 工程和设备</w:t>
      </w:r>
    </w:p>
    <w:p w14:paraId="49569491">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1.1.3.7 作为施工现场组成部分的其他场所包括：</w:t>
      </w:r>
      <w:r>
        <w:rPr>
          <w:rFonts w:hint="eastAsia" w:ascii="宋体" w:hAnsi="宋体" w:eastAsia="宋体" w:cs="宋体"/>
          <w:color w:val="000000"/>
          <w:sz w:val="24"/>
          <w:u w:val="single"/>
        </w:rPr>
        <w:t>符合通用条款规定的发包方提供的施工场地  </w:t>
      </w:r>
      <w:r>
        <w:rPr>
          <w:rFonts w:hint="eastAsia" w:ascii="宋体" w:hAnsi="宋体" w:eastAsia="宋体" w:cs="宋体"/>
          <w:color w:val="000000"/>
          <w:sz w:val="24"/>
        </w:rPr>
        <w:t>。</w:t>
      </w:r>
    </w:p>
    <w:p w14:paraId="5D11120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1.1.3.9 永久占地包括：</w:t>
      </w:r>
      <w:r>
        <w:rPr>
          <w:rFonts w:hint="eastAsia" w:ascii="宋体" w:hAnsi="宋体" w:eastAsia="宋体" w:cs="宋体"/>
          <w:color w:val="000000"/>
          <w:sz w:val="24"/>
          <w:u w:val="single"/>
        </w:rPr>
        <w:t xml:space="preserve">  / 。</w:t>
      </w:r>
    </w:p>
    <w:p w14:paraId="7C89F94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1.1.3.10 临时占地包括：</w:t>
      </w:r>
      <w:r>
        <w:rPr>
          <w:rFonts w:hint="eastAsia" w:ascii="宋体" w:hAnsi="宋体" w:eastAsia="宋体" w:cs="宋体"/>
          <w:color w:val="000000"/>
          <w:sz w:val="24"/>
          <w:u w:val="single"/>
        </w:rPr>
        <w:t xml:space="preserve"> 双方在合同履行过程中确定</w:t>
      </w:r>
      <w:r>
        <w:rPr>
          <w:rFonts w:hint="eastAsia" w:ascii="宋体" w:hAnsi="宋体" w:eastAsia="宋体" w:cs="宋体"/>
          <w:color w:val="000000"/>
          <w:sz w:val="24"/>
        </w:rPr>
        <w:t>。</w:t>
      </w:r>
    </w:p>
    <w:p w14:paraId="1A6D722D">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1.3法律 </w:t>
      </w:r>
    </w:p>
    <w:p w14:paraId="3953DCC4">
      <w:pPr>
        <w:autoSpaceDE w:val="0"/>
        <w:autoSpaceDN w:val="0"/>
        <w:adjustRightInd w:val="0"/>
        <w:spacing w:line="360" w:lineRule="auto"/>
        <w:rPr>
          <w:rFonts w:ascii="宋体" w:hAnsi="宋体" w:eastAsia="宋体" w:cs="宋体"/>
          <w:color w:val="000000"/>
          <w:sz w:val="24"/>
        </w:rPr>
      </w:pPr>
      <w:r>
        <w:rPr>
          <w:rFonts w:hint="eastAsia" w:ascii="宋体" w:hAnsi="宋体" w:eastAsia="宋体" w:cs="宋体"/>
          <w:color w:val="000000"/>
          <w:sz w:val="24"/>
        </w:rPr>
        <w:t>适用于合同的其他规范性文件：</w:t>
      </w:r>
      <w:r>
        <w:rPr>
          <w:rFonts w:hint="eastAsia" w:ascii="宋体" w:hAnsi="宋体" w:eastAsia="宋体" w:cs="宋体"/>
          <w:color w:val="000000"/>
          <w:sz w:val="24"/>
          <w:u w:val="single"/>
        </w:rPr>
        <w:t>《中华人民共和国民法典》、《中华人民共和国建筑法》、《建筑工程保修法》及国家自治区颁布的现行法律、法规 。</w:t>
      </w:r>
    </w:p>
    <w:p w14:paraId="14A24A30">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 标准和规范</w:t>
      </w:r>
    </w:p>
    <w:p w14:paraId="658F5CF5">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1.4.1适用于工程的标准规范包括：</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6EA30F97">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1.4.2 发包人提供国外标准、规范的名称：</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5CC2AA6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发包人提供国外标准、规范的份数：</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4531CD7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发包人提供国外标准、规范的名称：</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p>
    <w:p w14:paraId="37E23CC1">
      <w:pPr>
        <w:spacing w:line="360" w:lineRule="auto"/>
        <w:rPr>
          <w:rFonts w:ascii="宋体" w:hAnsi="宋体" w:eastAsia="宋体" w:cs="宋体"/>
          <w:color w:val="000000"/>
          <w:sz w:val="24"/>
          <w:u w:val="single"/>
        </w:rPr>
      </w:pPr>
      <w:r>
        <w:rPr>
          <w:rFonts w:hint="eastAsia" w:ascii="宋体" w:hAnsi="宋体" w:eastAsia="宋体" w:cs="宋体"/>
          <w:color w:val="000000"/>
          <w:sz w:val="24"/>
        </w:rPr>
        <w:t>1.4.3发包人对工程的技术标准和功能要求的特殊要求：</w:t>
      </w:r>
      <w:r>
        <w:rPr>
          <w:rFonts w:hint="eastAsia" w:ascii="宋体" w:hAnsi="宋体" w:eastAsia="宋体" w:cs="宋体"/>
          <w:color w:val="000000"/>
          <w:sz w:val="24"/>
          <w:u w:val="single"/>
        </w:rPr>
        <w:t>执行现行国家、行业、地方标准。</w:t>
      </w:r>
    </w:p>
    <w:p w14:paraId="443080D7">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1.5 合同文件的优先顺序</w:t>
      </w:r>
    </w:p>
    <w:p w14:paraId="7A77F190">
      <w:pPr>
        <w:spacing w:line="360" w:lineRule="auto"/>
        <w:rPr>
          <w:rFonts w:ascii="宋体" w:hAnsi="宋体" w:eastAsia="宋体" w:cs="宋体"/>
          <w:color w:val="000000"/>
          <w:sz w:val="24"/>
          <w:u w:val="single"/>
        </w:rPr>
      </w:pPr>
      <w:r>
        <w:rPr>
          <w:rFonts w:hint="eastAsia" w:ascii="宋体" w:hAnsi="宋体" w:eastAsia="宋体" w:cs="宋体"/>
          <w:color w:val="000000"/>
          <w:sz w:val="24"/>
        </w:rPr>
        <w:t>合同文件组成及优先顺序为：</w:t>
      </w:r>
      <w:r>
        <w:rPr>
          <w:rFonts w:hint="eastAsia" w:ascii="宋体" w:hAnsi="宋体" w:eastAsia="宋体" w:cs="宋体"/>
          <w:color w:val="000000"/>
          <w:sz w:val="24"/>
          <w:u w:val="single"/>
        </w:rPr>
        <w:t>（1）本合同协议书；（2）中标通知书；（3）投标书及其附 件；（4）本合同通用条款；（5）本合同专用条款；（6）工程量清单；（7） 工程报价单或预算书（8）双方有关工程的洽商、变更等 书面协议或文件视为本合同的组成部分 。</w:t>
      </w:r>
    </w:p>
    <w:p w14:paraId="21322F9C">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 承包人文件</w:t>
      </w:r>
      <w:r>
        <w:rPr>
          <w:rFonts w:hint="eastAsia" w:ascii="宋体" w:hAnsi="宋体" w:eastAsia="宋体" w:cs="宋体"/>
          <w:color w:val="000000"/>
          <w:sz w:val="24"/>
        </w:rPr>
        <w:tab/>
      </w:r>
    </w:p>
    <w:p w14:paraId="6928C49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1.6.1 承包人文件</w:t>
      </w:r>
    </w:p>
    <w:p w14:paraId="1719844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需要由承包人提供的文件，包括：</w:t>
      </w:r>
      <w:r>
        <w:rPr>
          <w:rFonts w:hint="eastAsia" w:ascii="宋体" w:hAnsi="宋体" w:eastAsia="宋体" w:cs="宋体"/>
          <w:color w:val="000000"/>
          <w:sz w:val="24"/>
          <w:u w:val="single"/>
        </w:rPr>
        <w:t>施工组织设计方案、施工进度计划，安全生产 保证措施，文明施工保证措施，治安保卫措施，项目资金使用计划，应急处理预案，双方另行 确定的进度报表及有关现场的经济签证、会议纪要、设计变更等资料；</w:t>
      </w:r>
    </w:p>
    <w:p w14:paraId="303E8BA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承包人提供的文件的期限为：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施工单位中标后七日内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1CAB5A5">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承包人提供的文件的数量为：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一式三份</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88C6CE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承包人提供的文件的形式为：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书面加盖公章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BD519C7">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发包人审批承包人文件的期限：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自收到报送文件七日内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E9D59C9">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1.7 联络</w:t>
      </w:r>
    </w:p>
    <w:p w14:paraId="2F82B0C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1.7.1发包人和承包人应当在</w:t>
      </w:r>
      <w:r>
        <w:rPr>
          <w:rFonts w:hint="eastAsia" w:ascii="宋体" w:hAnsi="宋体" w:eastAsia="宋体" w:cs="宋体"/>
          <w:color w:val="000000"/>
          <w:sz w:val="24"/>
          <w:highlight w:val="none"/>
          <w:u w:val="single"/>
        </w:rPr>
        <w:t xml:space="preserve">7  </w:t>
      </w:r>
      <w:r>
        <w:rPr>
          <w:rFonts w:hint="eastAsia" w:ascii="宋体" w:hAnsi="宋体" w:eastAsia="宋体" w:cs="宋体"/>
          <w:color w:val="000000"/>
          <w:sz w:val="24"/>
          <w:highlight w:val="none"/>
        </w:rPr>
        <w:t>天内将与合同有关的通知、批准、证明、证书、指示、指令、要求、请求、同意、意见、确定和决定等书面函件送达对方当事人。</w:t>
      </w:r>
    </w:p>
    <w:p w14:paraId="31E10936">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1.7.2 发包人接收文件的地点：</w:t>
      </w:r>
      <w:r>
        <w:rPr>
          <w:rFonts w:hint="eastAsia" w:ascii="宋体" w:hAnsi="宋体" w:eastAsia="宋体" w:cs="宋体"/>
          <w:sz w:val="24"/>
          <w:highlight w:val="none"/>
          <w:u w:val="single"/>
        </w:rPr>
        <w:t>（包括电子传输方式）：施工现场</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8DE5F0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发包人指定的接收人为：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本工程发包人代表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8CA6B1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承包人接收文件的地点：</w:t>
      </w:r>
      <w:r>
        <w:rPr>
          <w:rFonts w:hint="eastAsia" w:ascii="宋体" w:hAnsi="宋体" w:eastAsia="宋体" w:cs="宋体"/>
          <w:color w:val="000000"/>
          <w:sz w:val="24"/>
          <w:highlight w:val="none"/>
          <w:u w:val="single"/>
        </w:rPr>
        <w:t></w:t>
      </w:r>
      <w:r>
        <w:rPr>
          <w:rFonts w:hint="eastAsia" w:ascii="宋体" w:hAnsi="宋体" w:cs="宋体"/>
          <w:sz w:val="24"/>
          <w:highlight w:val="none"/>
          <w:u w:val="single"/>
          <w:lang w:eastAsia="zh-CN"/>
        </w:rPr>
        <w:t>项目所在地承包人项目部</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10BC983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承包人指定的接收人为：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承包方项目经理</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3CF4857">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监理人接收文件的地点：</w:t>
      </w:r>
      <w:r>
        <w:rPr>
          <w:rFonts w:hint="eastAsia" w:ascii="宋体" w:hAnsi="宋体" w:cs="宋体"/>
          <w:sz w:val="24"/>
          <w:highlight w:val="none"/>
          <w:u w:val="single"/>
          <w:lang w:eastAsia="zh-CN"/>
        </w:rPr>
        <w:t>项目所在地监理人办公室</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A176DA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监理人指定的接收人为：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监理工程师</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2634B8D">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1.10 交通运输</w:t>
      </w:r>
    </w:p>
    <w:p w14:paraId="5C578A8A">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bookmarkStart w:id="1228" w:name="_Toc318581155"/>
      <w:bookmarkStart w:id="1229" w:name="_Toc304295521"/>
      <w:bookmarkStart w:id="1230" w:name="_Toc303539100"/>
      <w:bookmarkStart w:id="1231" w:name="_Toc312677986"/>
      <w:bookmarkStart w:id="1232" w:name="_Toc300934943"/>
      <w:r>
        <w:rPr>
          <w:rFonts w:hint="eastAsia" w:ascii="宋体" w:hAnsi="宋体" w:eastAsia="宋体" w:cs="宋体"/>
          <w:sz w:val="24"/>
          <w:highlight w:val="none"/>
        </w:rPr>
        <w:t>.10.1 出入现场的权利</w:t>
      </w:r>
    </w:p>
    <w:p w14:paraId="24905DC9">
      <w:pPr>
        <w:spacing w:line="360" w:lineRule="auto"/>
        <w:ind w:firstLine="420"/>
        <w:rPr>
          <w:rFonts w:ascii="宋体" w:hAnsi="宋体" w:eastAsia="宋体" w:cs="宋体"/>
          <w:sz w:val="24"/>
          <w:highlight w:val="none"/>
        </w:rPr>
      </w:pPr>
      <w:r>
        <w:rPr>
          <w:rFonts w:hint="eastAsia" w:ascii="宋体" w:hAnsi="宋体" w:eastAsia="宋体" w:cs="宋体"/>
          <w:sz w:val="24"/>
          <w:highlight w:val="none"/>
        </w:rPr>
        <w:t>关于出入现场的权利的约定：</w:t>
      </w:r>
      <w:r>
        <w:rPr>
          <w:rFonts w:hint="eastAsia" w:ascii="宋体" w:hAnsi="宋体" w:eastAsia="宋体" w:cs="宋体"/>
          <w:color w:val="000000"/>
          <w:sz w:val="24"/>
          <w:highlight w:val="none"/>
          <w:u w:val="single"/>
        </w:rPr>
        <w:t>发包人应根据施工需要，负责取得出入施工现场所需的批 准手续和全部权利，承包人协助发包人办理手续 。</w:t>
      </w:r>
    </w:p>
    <w:bookmarkEnd w:id="1228"/>
    <w:bookmarkEnd w:id="1229"/>
    <w:bookmarkEnd w:id="1230"/>
    <w:bookmarkEnd w:id="1231"/>
    <w:bookmarkEnd w:id="1232"/>
    <w:p w14:paraId="1ADA167F">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w:t>
      </w:r>
      <w:bookmarkStart w:id="1233" w:name="_Toc318581156"/>
      <w:bookmarkStart w:id="1234" w:name="_Toc312677987"/>
      <w:bookmarkStart w:id="1235" w:name="_Toc303539101"/>
      <w:bookmarkStart w:id="1236" w:name="_Toc304295522"/>
      <w:bookmarkStart w:id="1237" w:name="_Toc300934944"/>
      <w:r>
        <w:rPr>
          <w:rFonts w:hint="eastAsia" w:ascii="宋体" w:hAnsi="宋体" w:eastAsia="宋体" w:cs="宋体"/>
          <w:sz w:val="24"/>
          <w:highlight w:val="none"/>
        </w:rPr>
        <w:t>.10.3 场内交通</w:t>
      </w:r>
    </w:p>
    <w:p w14:paraId="54EB783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关于场外交通和场内交通的边界的约定：</w:t>
      </w:r>
      <w:r>
        <w:rPr>
          <w:rFonts w:hint="eastAsia" w:ascii="宋体" w:hAnsi="宋体" w:eastAsia="宋体" w:cs="宋体"/>
          <w:color w:val="000000"/>
          <w:sz w:val="24"/>
          <w:u w:val="single"/>
        </w:rPr>
        <w:t xml:space="preserve"> 双方合同当事人另行协商 </w:t>
      </w:r>
      <w:r>
        <w:rPr>
          <w:rFonts w:hint="eastAsia" w:ascii="宋体" w:hAnsi="宋体" w:eastAsia="宋体" w:cs="宋体"/>
          <w:sz w:val="24"/>
        </w:rPr>
        <w:t>。</w:t>
      </w:r>
    </w:p>
    <w:p w14:paraId="43ECC2B1">
      <w:pPr>
        <w:spacing w:line="360" w:lineRule="auto"/>
        <w:ind w:firstLine="480" w:firstLineChars="200"/>
        <w:rPr>
          <w:rFonts w:ascii="宋体" w:hAnsi="宋体" w:eastAsia="宋体" w:cs="宋体"/>
          <w:sz w:val="24"/>
        </w:rPr>
      </w:pPr>
      <w:r>
        <w:rPr>
          <w:rFonts w:hint="eastAsia" w:ascii="宋体" w:hAnsi="宋体" w:eastAsia="宋体" w:cs="宋体"/>
          <w:sz w:val="24"/>
        </w:rPr>
        <w:t>关于发包人向承包人免费提供满足工程施工需要的场内道路和交通设施的约定：</w:t>
      </w:r>
      <w:r>
        <w:rPr>
          <w:rFonts w:hint="eastAsia" w:ascii="宋体" w:hAnsi="宋体" w:eastAsia="宋体" w:cs="宋体"/>
          <w:color w:val="000000"/>
          <w:sz w:val="24"/>
          <w:u w:val="single"/>
        </w:rPr>
        <w:t xml:space="preserve">无    </w:t>
      </w:r>
      <w:r>
        <w:rPr>
          <w:rFonts w:hint="eastAsia" w:ascii="宋体" w:hAnsi="宋体" w:eastAsia="宋体" w:cs="宋体"/>
          <w:sz w:val="24"/>
        </w:rPr>
        <w:t>。</w:t>
      </w:r>
      <w:bookmarkEnd w:id="1233"/>
      <w:bookmarkEnd w:id="1234"/>
      <w:bookmarkEnd w:id="1235"/>
      <w:bookmarkEnd w:id="1236"/>
      <w:bookmarkEnd w:id="1237"/>
      <w:bookmarkStart w:id="1238" w:name="_Toc318581157"/>
    </w:p>
    <w:p w14:paraId="07B3E5D1">
      <w:pPr>
        <w:spacing w:line="360" w:lineRule="auto"/>
        <w:ind w:firstLine="480" w:firstLineChars="200"/>
        <w:rPr>
          <w:rFonts w:ascii="宋体" w:hAnsi="宋体" w:eastAsia="宋体" w:cs="宋体"/>
          <w:sz w:val="24"/>
        </w:rPr>
      </w:pPr>
      <w:r>
        <w:rPr>
          <w:rFonts w:hint="eastAsia" w:ascii="宋体" w:hAnsi="宋体" w:eastAsia="宋体" w:cs="宋体"/>
          <w:sz w:val="24"/>
        </w:rPr>
        <w:t>1.10.4超大件和超重件的运输</w:t>
      </w:r>
    </w:p>
    <w:p w14:paraId="03D0AA9D">
      <w:pPr>
        <w:spacing w:line="360" w:lineRule="auto"/>
        <w:ind w:firstLine="480" w:firstLineChars="200"/>
        <w:rPr>
          <w:rFonts w:ascii="宋体" w:hAnsi="宋体" w:eastAsia="宋体" w:cs="宋体"/>
          <w:sz w:val="24"/>
        </w:rPr>
      </w:pPr>
      <w:r>
        <w:rPr>
          <w:rFonts w:hint="eastAsia" w:ascii="宋体" w:hAnsi="宋体" w:eastAsia="宋体" w:cs="宋体"/>
          <w:sz w:val="24"/>
        </w:rPr>
        <w:t>运输超大件或超重件所需的道路和桥梁临时加固改造费用和其他有关费用由</w:t>
      </w:r>
      <w:r>
        <w:rPr>
          <w:rFonts w:hint="eastAsia" w:ascii="宋体" w:hAnsi="宋体" w:eastAsia="宋体" w:cs="宋体"/>
          <w:sz w:val="24"/>
          <w:u w:val="single"/>
        </w:rPr>
        <w:t xml:space="preserve">  承包人    </w:t>
      </w:r>
      <w:r>
        <w:rPr>
          <w:rFonts w:hint="eastAsia" w:ascii="宋体" w:hAnsi="宋体" w:eastAsia="宋体" w:cs="宋体"/>
          <w:sz w:val="24"/>
        </w:rPr>
        <w:t>承担。</w:t>
      </w:r>
    </w:p>
    <w:bookmarkEnd w:id="1238"/>
    <w:p w14:paraId="6117B4A8">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 知识产权</w:t>
      </w:r>
    </w:p>
    <w:p w14:paraId="2537966C">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1.11.1关于发包人提供给承包人的图纸、发包人为实施工程自行编制或委托编制的技术规范以及反映发包人关于合同要求或其他类似性质的文件的著作权的归属：</w:t>
      </w:r>
      <w:r>
        <w:rPr>
          <w:rFonts w:hint="eastAsia" w:ascii="宋体" w:hAnsi="宋体" w:eastAsia="宋体" w:cs="宋体"/>
          <w:color w:val="000000"/>
          <w:sz w:val="24"/>
          <w:u w:val="single"/>
        </w:rPr>
        <w:t> 著作权属于</w:t>
      </w:r>
      <w:r>
        <w:rPr>
          <w:rFonts w:hint="eastAsia" w:ascii="宋体" w:hAnsi="宋体" w:eastAsia="宋体" w:cs="宋体"/>
          <w:sz w:val="24"/>
          <w:u w:val="single"/>
        </w:rPr>
        <w:t>发包人</w:t>
      </w:r>
      <w:r>
        <w:rPr>
          <w:rFonts w:hint="eastAsia" w:ascii="宋体" w:hAnsi="宋体" w:eastAsia="宋体" w:cs="宋体"/>
          <w:color w:val="000000"/>
          <w:sz w:val="24"/>
          <w:u w:val="single"/>
        </w:rPr>
        <w:t></w:t>
      </w:r>
      <w:r>
        <w:rPr>
          <w:rFonts w:hint="eastAsia" w:ascii="宋体" w:hAnsi="宋体" w:eastAsia="宋体" w:cs="宋体"/>
          <w:color w:val="000000"/>
          <w:sz w:val="24"/>
        </w:rPr>
        <w:t>。</w:t>
      </w:r>
    </w:p>
    <w:p w14:paraId="441BC6D9">
      <w:pPr>
        <w:spacing w:line="360" w:lineRule="auto"/>
        <w:rPr>
          <w:rFonts w:ascii="宋体" w:hAnsi="宋体" w:eastAsia="宋体" w:cs="宋体"/>
          <w:color w:val="000000"/>
          <w:sz w:val="24"/>
          <w:u w:val="single"/>
        </w:rPr>
      </w:pPr>
      <w:r>
        <w:rPr>
          <w:rFonts w:hint="eastAsia" w:ascii="宋体" w:hAnsi="宋体" w:eastAsia="宋体" w:cs="宋体"/>
          <w:color w:val="000000"/>
          <w:sz w:val="24"/>
        </w:rPr>
        <w:t>关于发包人提供的上述文件的使用限制的要求：</w:t>
      </w:r>
      <w:r>
        <w:rPr>
          <w:rFonts w:hint="eastAsia" w:ascii="宋体" w:hAnsi="宋体" w:eastAsia="宋体" w:cs="宋体"/>
          <w:color w:val="000000"/>
          <w:sz w:val="24"/>
          <w:u w:val="single"/>
        </w:rPr>
        <w:t>承包人可以为实现合同目的而复制、使用 此类文件， 但不能用于与合同无关的其他事项。未经发包人书面同意，承包人不得为了合同 以外的目的而复制、使用上述文件或将之提供给任何第三方 。</w:t>
      </w:r>
    </w:p>
    <w:p w14:paraId="56D07E14">
      <w:pPr>
        <w:spacing w:line="360" w:lineRule="auto"/>
        <w:ind w:firstLine="425"/>
        <w:rPr>
          <w:rFonts w:ascii="宋体" w:hAnsi="宋体" w:eastAsia="宋体" w:cs="宋体"/>
          <w:color w:val="000000"/>
          <w:sz w:val="24"/>
          <w:u w:val="single"/>
        </w:rPr>
      </w:pPr>
      <w:r>
        <w:rPr>
          <w:rFonts w:hint="eastAsia" w:ascii="宋体" w:hAnsi="宋体" w:eastAsia="宋体" w:cs="宋体"/>
          <w:color w:val="000000"/>
          <w:sz w:val="24"/>
        </w:rPr>
        <w:t>1.11.2 关于承包人为实施工程所编制文件的著作权的归属：</w:t>
      </w:r>
      <w:r>
        <w:rPr>
          <w:rFonts w:hint="eastAsia" w:ascii="宋体" w:hAnsi="宋体" w:eastAsia="宋体" w:cs="宋体"/>
          <w:color w:val="000000"/>
          <w:sz w:val="24"/>
          <w:u w:val="single"/>
        </w:rPr>
        <w:t xml:space="preserve"> </w:t>
      </w:r>
      <w:r>
        <w:rPr>
          <w:rFonts w:hint="eastAsia" w:ascii="宋体" w:hAnsi="宋体" w:eastAsia="宋体" w:cs="宋体"/>
          <w:sz w:val="24"/>
          <w:u w:val="single"/>
        </w:rPr>
        <w:t>执行通用条款</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19A22B6">
      <w:pPr>
        <w:spacing w:line="360" w:lineRule="auto"/>
        <w:rPr>
          <w:rFonts w:ascii="宋体" w:hAnsi="宋体" w:eastAsia="宋体" w:cs="宋体"/>
          <w:color w:val="000000"/>
          <w:sz w:val="24"/>
          <w:u w:val="single"/>
        </w:rPr>
      </w:pPr>
      <w:r>
        <w:rPr>
          <w:rFonts w:hint="eastAsia" w:ascii="宋体" w:hAnsi="宋体" w:eastAsia="宋体" w:cs="宋体"/>
          <w:color w:val="000000"/>
          <w:sz w:val="24"/>
        </w:rPr>
        <w:t>关于承包人提供的上述文件的使用限制的要求：</w:t>
      </w:r>
      <w:r>
        <w:rPr>
          <w:rFonts w:hint="eastAsia" w:ascii="宋体" w:hAnsi="宋体" w:eastAsia="宋体" w:cs="宋体"/>
          <w:color w:val="000000"/>
          <w:sz w:val="24"/>
          <w:u w:val="single"/>
        </w:rPr>
        <w:t>承包人可因实施工程的运行、调试、维 修、改造等目的而复制、使用此类文件，但不能用于与合同无关的其他事项。未经发包人书面同意，承包人不得为了合同以外的目的而复制、使用上述文件或将之提供给任何第三方。</w:t>
      </w:r>
    </w:p>
    <w:p w14:paraId="1482117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1.11.4 承包人在施工过程中所采用的专利、专有技术、技术秘密的使用费的承担方式：</w:t>
      </w:r>
    </w:p>
    <w:p w14:paraId="1B286B1F">
      <w:pPr>
        <w:spacing w:line="360" w:lineRule="auto"/>
        <w:rPr>
          <w:rFonts w:ascii="宋体" w:hAnsi="宋体" w:eastAsia="宋体" w:cs="宋体"/>
          <w:color w:val="000000"/>
          <w:sz w:val="24"/>
        </w:rPr>
      </w:pPr>
      <w:r>
        <w:rPr>
          <w:rFonts w:hint="eastAsia" w:ascii="宋体" w:hAnsi="宋体" w:eastAsia="宋体" w:cs="宋体"/>
          <w:color w:val="000000"/>
          <w:sz w:val="24"/>
          <w:u w:val="single"/>
        </w:rPr>
        <w:t xml:space="preserve">执行通用条款      </w:t>
      </w:r>
      <w:r>
        <w:rPr>
          <w:rFonts w:hint="eastAsia" w:ascii="宋体" w:hAnsi="宋体" w:eastAsia="宋体" w:cs="宋体"/>
          <w:color w:val="000000"/>
          <w:sz w:val="24"/>
        </w:rPr>
        <w:t>。</w:t>
      </w:r>
    </w:p>
    <w:p w14:paraId="72E3FC8F">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1.13工程量清单错误的修正</w:t>
      </w:r>
    </w:p>
    <w:p w14:paraId="32E91D2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出现工程量清单错误时，是否调整合同价格：</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p>
    <w:p w14:paraId="7E90AC0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允许调整合同价格的工程量偏差范围：</w:t>
      </w:r>
      <w:r>
        <w:rPr>
          <w:rFonts w:hint="eastAsia" w:ascii="宋体" w:hAnsi="宋体" w:eastAsia="宋体" w:cs="宋体"/>
          <w:color w:val="000000"/>
          <w:sz w:val="24"/>
          <w:u w:val="single"/>
        </w:rPr>
        <w:t xml:space="preserve">  执行通用条款1.13          </w:t>
      </w:r>
      <w:r>
        <w:rPr>
          <w:rFonts w:hint="eastAsia" w:ascii="宋体" w:hAnsi="宋体" w:eastAsia="宋体" w:cs="宋体"/>
          <w:color w:val="000000"/>
          <w:sz w:val="24"/>
        </w:rPr>
        <w:t>。</w:t>
      </w:r>
    </w:p>
    <w:p w14:paraId="4A8C427D">
      <w:pPr>
        <w:rPr>
          <w:rFonts w:ascii="宋体" w:hAnsi="宋体" w:eastAsia="宋体" w:cs="宋体"/>
          <w:b/>
          <w:sz w:val="24"/>
        </w:rPr>
      </w:pPr>
      <w:bookmarkStart w:id="1239" w:name="_Toc351203634"/>
      <w:r>
        <w:rPr>
          <w:rFonts w:hint="eastAsia" w:ascii="宋体" w:hAnsi="宋体" w:eastAsia="宋体" w:cs="宋体"/>
          <w:b/>
          <w:sz w:val="24"/>
        </w:rPr>
        <w:t>2</w:t>
      </w:r>
      <w:bookmarkStart w:id="1240" w:name="_Toc296346658"/>
      <w:bookmarkStart w:id="1241" w:name="_Toc297120457"/>
      <w:bookmarkStart w:id="1242" w:name="_Toc296944496"/>
      <w:bookmarkStart w:id="1243" w:name="_Toc292559362"/>
      <w:bookmarkStart w:id="1244" w:name="_Toc296890985"/>
      <w:bookmarkStart w:id="1245" w:name="_Toc296347156"/>
      <w:bookmarkStart w:id="1246" w:name="_Toc296503157"/>
      <w:bookmarkStart w:id="1247" w:name="_Toc292559867"/>
      <w:bookmarkStart w:id="1248" w:name="_Toc296891197"/>
      <w:bookmarkStart w:id="1249" w:name="_Toc297048343"/>
      <w:r>
        <w:rPr>
          <w:rFonts w:hint="eastAsia" w:ascii="宋体" w:hAnsi="宋体" w:eastAsia="宋体" w:cs="宋体"/>
          <w:b/>
          <w:sz w:val="24"/>
        </w:rPr>
        <w:t>. 发包人</w:t>
      </w:r>
      <w:bookmarkEnd w:id="1239"/>
    </w:p>
    <w:bookmarkEnd w:id="1240"/>
    <w:bookmarkEnd w:id="1241"/>
    <w:bookmarkEnd w:id="1242"/>
    <w:bookmarkEnd w:id="1243"/>
    <w:bookmarkEnd w:id="1244"/>
    <w:bookmarkEnd w:id="1245"/>
    <w:bookmarkEnd w:id="1246"/>
    <w:bookmarkEnd w:id="1247"/>
    <w:bookmarkEnd w:id="1248"/>
    <w:bookmarkEnd w:id="1249"/>
    <w:p w14:paraId="05C800C2">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2.2 发包人代表</w:t>
      </w:r>
    </w:p>
    <w:p w14:paraId="47B2951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发包人代表：</w:t>
      </w:r>
    </w:p>
    <w:p w14:paraId="295F044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8676C9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身份证号：</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2D6A633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甲方代表       </w:t>
      </w:r>
      <w:r>
        <w:rPr>
          <w:rFonts w:hint="eastAsia" w:ascii="宋体" w:hAnsi="宋体" w:eastAsia="宋体" w:cs="宋体"/>
          <w:color w:val="000000"/>
          <w:sz w:val="24"/>
        </w:rPr>
        <w:t>；</w:t>
      </w:r>
    </w:p>
    <w:p w14:paraId="2504A36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  </w:t>
      </w:r>
      <w:r>
        <w:rPr>
          <w:rFonts w:hint="eastAsia" w:ascii="宋体" w:hAnsi="宋体" w:eastAsia="宋体" w:cs="宋体"/>
          <w:color w:val="000000"/>
          <w:sz w:val="24"/>
        </w:rPr>
        <w:t>；</w:t>
      </w:r>
    </w:p>
    <w:p w14:paraId="57537E1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  </w:t>
      </w:r>
      <w:r>
        <w:rPr>
          <w:rFonts w:hint="eastAsia" w:ascii="宋体" w:hAnsi="宋体" w:eastAsia="宋体" w:cs="宋体"/>
          <w:color w:val="000000"/>
          <w:sz w:val="24"/>
        </w:rPr>
        <w:t>；</w:t>
      </w:r>
    </w:p>
    <w:p w14:paraId="67DA737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 </w:t>
      </w:r>
      <w:r>
        <w:rPr>
          <w:rFonts w:hint="eastAsia" w:ascii="宋体" w:hAnsi="宋体" w:eastAsia="宋体" w:cs="宋体"/>
          <w:color w:val="000000"/>
          <w:sz w:val="24"/>
        </w:rPr>
        <w:t>。</w:t>
      </w:r>
    </w:p>
    <w:p w14:paraId="7C3E60C6">
      <w:pPr>
        <w:spacing w:line="360" w:lineRule="auto"/>
        <w:rPr>
          <w:rFonts w:ascii="宋体" w:hAnsi="宋体" w:eastAsia="宋体" w:cs="宋体"/>
          <w:b/>
          <w:color w:val="000000"/>
          <w:sz w:val="24"/>
        </w:rPr>
      </w:pPr>
      <w:r>
        <w:rPr>
          <w:rFonts w:hint="eastAsia" w:ascii="宋体" w:hAnsi="宋体" w:eastAsia="宋体" w:cs="宋体"/>
          <w:color w:val="000000"/>
          <w:sz w:val="24"/>
        </w:rPr>
        <w:t>发包人对发包人代表的授权范围如下：</w:t>
      </w:r>
      <w:r>
        <w:rPr>
          <w:rFonts w:hint="eastAsia" w:ascii="宋体" w:hAnsi="宋体" w:eastAsia="宋体" w:cs="宋体"/>
          <w:color w:val="000000"/>
          <w:sz w:val="24"/>
          <w:u w:val="single"/>
        </w:rPr>
        <w:t>负责处理合同履行过程中与本项目有关的具体事 宜，发包人代表在授权范围内的行为由发包人承担法律责任 。</w:t>
      </w:r>
    </w:p>
    <w:p w14:paraId="5D8C3794">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 施工现场、施工条件和基础资料的提供</w:t>
      </w:r>
    </w:p>
    <w:p w14:paraId="16D5860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2.4.1 提供施工现场</w:t>
      </w:r>
    </w:p>
    <w:p w14:paraId="0F66F15D">
      <w:pPr>
        <w:spacing w:line="360" w:lineRule="auto"/>
        <w:rPr>
          <w:rFonts w:ascii="宋体" w:hAnsi="宋体" w:eastAsia="宋体" w:cs="宋体"/>
          <w:color w:val="000000"/>
          <w:sz w:val="24"/>
        </w:rPr>
      </w:pPr>
      <w:r>
        <w:rPr>
          <w:rFonts w:hint="eastAsia" w:ascii="宋体" w:hAnsi="宋体" w:eastAsia="宋体" w:cs="宋体"/>
          <w:color w:val="000000"/>
          <w:sz w:val="24"/>
        </w:rPr>
        <w:t>关于发包人移交施工现场的期限要求：</w:t>
      </w:r>
      <w:r>
        <w:rPr>
          <w:rFonts w:hint="eastAsia" w:ascii="宋体" w:hAnsi="宋体" w:eastAsia="宋体" w:cs="宋体"/>
          <w:color w:val="000000"/>
          <w:sz w:val="24"/>
          <w:u w:val="single"/>
        </w:rPr>
        <w:t xml:space="preserve">由双方协定  </w:t>
      </w:r>
      <w:r>
        <w:rPr>
          <w:rFonts w:hint="eastAsia" w:ascii="宋体" w:hAnsi="宋体" w:eastAsia="宋体" w:cs="宋体"/>
          <w:color w:val="000000"/>
          <w:sz w:val="24"/>
        </w:rPr>
        <w:t>。</w:t>
      </w:r>
    </w:p>
    <w:p w14:paraId="6795F0C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2.4.2 提供施工条件</w:t>
      </w:r>
    </w:p>
    <w:p w14:paraId="7B24C42D">
      <w:pPr>
        <w:spacing w:line="360" w:lineRule="auto"/>
        <w:rPr>
          <w:rFonts w:ascii="宋体" w:hAnsi="宋体" w:eastAsia="宋体" w:cs="宋体"/>
          <w:color w:val="000000"/>
          <w:sz w:val="24"/>
          <w:u w:val="single"/>
        </w:rPr>
      </w:pPr>
      <w:r>
        <w:rPr>
          <w:rFonts w:hint="eastAsia" w:ascii="宋体" w:hAnsi="宋体" w:eastAsia="宋体" w:cs="宋体"/>
          <w:color w:val="000000"/>
          <w:sz w:val="24"/>
        </w:rPr>
        <w:t>关于发包人应负责提供施工所需要的条件，包括：</w:t>
      </w:r>
      <w:r>
        <w:rPr>
          <w:rFonts w:hint="eastAsia" w:ascii="宋体" w:hAnsi="宋体" w:eastAsia="宋体" w:cs="宋体"/>
          <w:color w:val="000000"/>
          <w:sz w:val="24"/>
          <w:u w:val="single"/>
        </w:rPr>
        <w:t>1.向承包人提供正常施工所需的进入施工现场的交通条件；2 提前告知施工现场周围地下管线，最大可能保护原有地下管线，经告知后，损坏原有地下管线，发生的费用由乙方承担；3.按照专用合同条款约定应提供的其他设施和条件 。</w:t>
      </w:r>
    </w:p>
    <w:p w14:paraId="2442E4BD">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2.5 资金来源证明及支付担保</w:t>
      </w:r>
    </w:p>
    <w:p w14:paraId="05472787">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发包人提供资金来源证明的期限要求：</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AD4B84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发包人是否提供支付担保：</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55100A1">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发包人提供支付担保的形式：</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22B54CD">
      <w:pPr>
        <w:rPr>
          <w:rFonts w:ascii="宋体" w:hAnsi="宋体" w:eastAsia="宋体" w:cs="宋体"/>
          <w:b/>
          <w:sz w:val="24"/>
        </w:rPr>
      </w:pPr>
      <w:bookmarkStart w:id="1250" w:name="_Toc351203635"/>
      <w:r>
        <w:rPr>
          <w:rFonts w:hint="eastAsia" w:ascii="宋体" w:hAnsi="宋体" w:eastAsia="宋体" w:cs="宋体"/>
          <w:b/>
          <w:sz w:val="24"/>
        </w:rPr>
        <w:t>3</w:t>
      </w:r>
      <w:bookmarkStart w:id="1251" w:name="_Toc296347157"/>
      <w:bookmarkStart w:id="1252" w:name="_Toc297048344"/>
      <w:bookmarkStart w:id="1253" w:name="_Toc296503158"/>
      <w:bookmarkStart w:id="1254" w:name="_Toc292559363"/>
      <w:bookmarkStart w:id="1255" w:name="_Toc292559868"/>
      <w:bookmarkStart w:id="1256" w:name="_Toc296346659"/>
      <w:bookmarkStart w:id="1257" w:name="_Toc296890986"/>
      <w:bookmarkStart w:id="1258" w:name="_Toc296944497"/>
      <w:bookmarkStart w:id="1259" w:name="_Toc296891198"/>
      <w:bookmarkStart w:id="1260" w:name="_Toc297120458"/>
      <w:r>
        <w:rPr>
          <w:rFonts w:hint="eastAsia" w:ascii="宋体" w:hAnsi="宋体" w:eastAsia="宋体" w:cs="宋体"/>
          <w:b/>
          <w:sz w:val="24"/>
        </w:rPr>
        <w:t>. 承包人</w:t>
      </w:r>
      <w:bookmarkEnd w:id="1250"/>
    </w:p>
    <w:bookmarkEnd w:id="1251"/>
    <w:bookmarkEnd w:id="1252"/>
    <w:bookmarkEnd w:id="1253"/>
    <w:bookmarkEnd w:id="1254"/>
    <w:bookmarkEnd w:id="1255"/>
    <w:bookmarkEnd w:id="1256"/>
    <w:bookmarkEnd w:id="1257"/>
    <w:bookmarkEnd w:id="1258"/>
    <w:bookmarkEnd w:id="1259"/>
    <w:bookmarkEnd w:id="1260"/>
    <w:p w14:paraId="6A8C68D6">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3.1 承包人的一般义务</w:t>
      </w:r>
    </w:p>
    <w:p w14:paraId="152E175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（1）承包人提交的竣工资料的内容：</w:t>
      </w:r>
      <w:r>
        <w:rPr>
          <w:rFonts w:hint="eastAsia" w:ascii="宋体" w:hAnsi="宋体" w:eastAsia="宋体" w:cs="宋体"/>
          <w:color w:val="000000"/>
          <w:sz w:val="24"/>
          <w:u w:val="single"/>
        </w:rPr>
        <w:t xml:space="preserve">  执行通用条款     </w:t>
      </w:r>
      <w:r>
        <w:rPr>
          <w:rFonts w:hint="eastAsia" w:ascii="宋体" w:hAnsi="宋体" w:eastAsia="宋体" w:cs="宋体"/>
          <w:color w:val="000000"/>
          <w:sz w:val="24"/>
        </w:rPr>
        <w:t>。</w:t>
      </w:r>
    </w:p>
    <w:p w14:paraId="6BCE4C1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     承包人需要提交的竣工资料套数：</w:t>
      </w:r>
      <w:r>
        <w:rPr>
          <w:rFonts w:hint="eastAsia" w:ascii="宋体" w:hAnsi="宋体" w:eastAsia="宋体" w:cs="宋体"/>
          <w:color w:val="000000"/>
          <w:sz w:val="24"/>
          <w:u w:val="single"/>
        </w:rPr>
        <w:t xml:space="preserve">   四套          </w:t>
      </w:r>
      <w:r>
        <w:rPr>
          <w:rFonts w:hint="eastAsia" w:ascii="宋体" w:hAnsi="宋体" w:eastAsia="宋体" w:cs="宋体"/>
          <w:color w:val="000000"/>
          <w:sz w:val="24"/>
        </w:rPr>
        <w:t>。</w:t>
      </w:r>
    </w:p>
    <w:p w14:paraId="1EEC27CA">
      <w:pPr>
        <w:spacing w:line="360" w:lineRule="auto"/>
        <w:ind w:firstLine="1080" w:firstLineChars="450"/>
        <w:rPr>
          <w:rFonts w:ascii="宋体" w:hAnsi="宋体" w:eastAsia="宋体" w:cs="宋体"/>
          <w:color w:val="000000"/>
          <w:sz w:val="24"/>
        </w:rPr>
      </w:pPr>
      <w:r>
        <w:rPr>
          <w:rFonts w:hint="eastAsia" w:ascii="宋体" w:hAnsi="宋体" w:eastAsia="宋体" w:cs="宋体"/>
          <w:color w:val="000000"/>
          <w:sz w:val="24"/>
        </w:rPr>
        <w:t>承包人提交的竣工资料的费用承担：</w:t>
      </w:r>
      <w:r>
        <w:rPr>
          <w:rFonts w:hint="eastAsia" w:ascii="宋体" w:hAnsi="宋体" w:eastAsia="宋体" w:cs="宋体"/>
          <w:color w:val="000000"/>
          <w:sz w:val="24"/>
          <w:u w:val="single"/>
        </w:rPr>
        <w:t xml:space="preserve">  由承包人承担       </w:t>
      </w:r>
      <w:r>
        <w:rPr>
          <w:rFonts w:hint="eastAsia" w:ascii="宋体" w:hAnsi="宋体" w:eastAsia="宋体" w:cs="宋体"/>
          <w:color w:val="000000"/>
          <w:sz w:val="24"/>
        </w:rPr>
        <w:t>。</w:t>
      </w:r>
    </w:p>
    <w:p w14:paraId="1631FBDA">
      <w:pPr>
        <w:spacing w:line="360" w:lineRule="auto"/>
        <w:ind w:firstLine="1080" w:firstLineChars="450"/>
        <w:rPr>
          <w:rFonts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承包人提交的竣工资料移交时间：</w:t>
      </w:r>
      <w:r>
        <w:rPr>
          <w:rFonts w:hint="eastAsia" w:ascii="宋体" w:hAnsi="宋体" w:eastAsia="宋体" w:cs="宋体"/>
          <w:color w:val="000000"/>
          <w:sz w:val="24"/>
          <w:highlight w:val="none"/>
          <w:u w:val="single"/>
        </w:rPr>
        <w:t xml:space="preserve">  竣工验收后30日内    </w:t>
      </w:r>
      <w:r>
        <w:rPr>
          <w:rFonts w:hint="eastAsia" w:ascii="宋体" w:hAnsi="宋体" w:eastAsia="宋体" w:cs="宋体"/>
          <w:color w:val="000000"/>
          <w:sz w:val="24"/>
          <w:highlight w:val="none"/>
        </w:rPr>
        <w:t>。</w:t>
      </w:r>
    </w:p>
    <w:p w14:paraId="080ECFE8">
      <w:pPr>
        <w:spacing w:line="360" w:lineRule="auto"/>
        <w:ind w:firstLine="1080" w:firstLineChars="450"/>
        <w:rPr>
          <w:rFonts w:ascii="宋体" w:hAnsi="宋体" w:eastAsia="宋体" w:cs="宋体"/>
          <w:color w:val="000000"/>
          <w:sz w:val="24"/>
          <w:highlight w:val="none"/>
        </w:rPr>
      </w:pPr>
      <w:r>
        <w:rPr>
          <w:rFonts w:hint="eastAsia" w:ascii="宋体" w:hAnsi="宋体" w:eastAsia="宋体" w:cs="宋体"/>
          <w:color w:val="000000"/>
          <w:sz w:val="24"/>
          <w:highlight w:val="none"/>
        </w:rPr>
        <w:t>承包人提交的竣工资料形式要求：</w:t>
      </w:r>
      <w:r>
        <w:rPr>
          <w:rFonts w:hint="eastAsia" w:ascii="宋体" w:hAnsi="宋体" w:eastAsia="宋体" w:cs="宋体"/>
          <w:color w:val="000000"/>
          <w:sz w:val="24"/>
          <w:highlight w:val="none"/>
          <w:u w:val="single"/>
        </w:rPr>
        <w:t xml:space="preserve">  书面及电子文档     </w:t>
      </w:r>
      <w:r>
        <w:rPr>
          <w:rFonts w:hint="eastAsia" w:ascii="宋体" w:hAnsi="宋体" w:eastAsia="宋体" w:cs="宋体"/>
          <w:color w:val="000000"/>
          <w:sz w:val="24"/>
          <w:highlight w:val="none"/>
        </w:rPr>
        <w:t>。</w:t>
      </w:r>
    </w:p>
    <w:p w14:paraId="4409EA7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（2）承包人应履行的其他义务：</w:t>
      </w:r>
      <w:r>
        <w:rPr>
          <w:rFonts w:hint="eastAsia" w:ascii="宋体" w:hAnsi="宋体" w:eastAsia="宋体" w:cs="宋体"/>
          <w:color w:val="000000"/>
          <w:sz w:val="24"/>
          <w:highlight w:val="none"/>
          <w:u w:val="single"/>
        </w:rPr>
        <w:t xml:space="preserve"> 1.配合完成发包人所有工程验收工作；2.施工完成向档案馆移交完整的建设资料；3.配合发包人办理不动产证等施工相关工作。 </w:t>
      </w:r>
    </w:p>
    <w:p w14:paraId="52C875EA">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3.2 项目经理</w:t>
      </w:r>
    </w:p>
    <w:p w14:paraId="400E3CC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3.2.1 项目经理：</w:t>
      </w:r>
    </w:p>
    <w:p w14:paraId="6D1C3C0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姓    名：</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1374545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身份证号：</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6B60D44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建造师执业资格等级：</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3AC9F36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建造师注册证书号：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34D8F8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建造师执业印章号：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5D82FDD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安全生产考核合格证书号：</w:t>
      </w:r>
      <w:r>
        <w:rPr>
          <w:rFonts w:hint="eastAsia" w:ascii="宋体" w:hAnsi="宋体" w:eastAsia="宋体" w:cs="宋体"/>
          <w:color w:val="000000"/>
          <w:sz w:val="24"/>
          <w:highlight w:val="none"/>
          <w:u w:val="single"/>
        </w:rPr>
        <w:t> </w:t>
      </w:r>
      <w:r>
        <w:rPr>
          <w:rFonts w:hint="eastAsia" w:ascii="宋体" w:hAnsi="宋体" w:eastAsia="宋体" w:cs="宋体"/>
          <w:color w:val="000000"/>
          <w:sz w:val="24"/>
          <w:highlight w:val="none"/>
        </w:rPr>
        <w:t>；</w:t>
      </w:r>
    </w:p>
    <w:p w14:paraId="15AAA2C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联系电话：</w:t>
      </w:r>
      <w:r>
        <w:rPr>
          <w:rFonts w:hint="eastAsia" w:ascii="宋体" w:hAnsi="宋体" w:eastAsia="宋体" w:cs="宋体"/>
          <w:color w:val="000000"/>
          <w:sz w:val="24"/>
          <w:highlight w:val="none"/>
          <w:u w:val="single"/>
        </w:rPr>
        <w:t>         </w:t>
      </w:r>
      <w:r>
        <w:rPr>
          <w:rFonts w:hint="eastAsia" w:ascii="宋体" w:hAnsi="宋体" w:eastAsia="宋体" w:cs="宋体"/>
          <w:color w:val="000000"/>
          <w:sz w:val="24"/>
          <w:highlight w:val="none"/>
        </w:rPr>
        <w:t>；</w:t>
      </w:r>
    </w:p>
    <w:p w14:paraId="4C0DF1A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电子信箱：</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7192236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通信地址：</w:t>
      </w:r>
      <w:r>
        <w:rPr>
          <w:rFonts w:hint="eastAsia" w:ascii="宋体" w:hAnsi="宋体" w:eastAsia="宋体" w:cs="宋体"/>
          <w:color w:val="000000"/>
          <w:sz w:val="24"/>
          <w:highlight w:val="none"/>
          <w:u w:val="single"/>
        </w:rPr>
        <w:t>         </w:t>
      </w:r>
      <w:r>
        <w:rPr>
          <w:rFonts w:hint="eastAsia" w:ascii="宋体" w:hAnsi="宋体" w:eastAsia="宋体" w:cs="宋体"/>
          <w:color w:val="000000"/>
          <w:sz w:val="24"/>
          <w:highlight w:val="none"/>
        </w:rPr>
        <w:t>；</w:t>
      </w:r>
    </w:p>
    <w:p w14:paraId="08F8F96E">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承包人对项目经理的授权范围如下：</w:t>
      </w:r>
      <w:r>
        <w:rPr>
          <w:rFonts w:hint="eastAsia" w:ascii="宋体" w:hAnsi="宋体" w:eastAsia="宋体" w:cs="宋体"/>
          <w:color w:val="000000"/>
          <w:sz w:val="24"/>
          <w:highlight w:val="none"/>
          <w:u w:val="single"/>
        </w:rPr>
        <w:t xml:space="preserve"> 负责处理合同履行过程中与本项目有关的全部事宜。</w:t>
      </w:r>
    </w:p>
    <w:p w14:paraId="2248743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关于项目经理每月在施工现场的时间要求：</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u w:val="single"/>
        </w:rPr>
        <w:t>必须是投标所使用的项目经理，并且随时在现场（每周五例会，项目经理无故缺席的一次处罚两千元）</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57D91B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承包人未提交劳动合同，以及没有为项目经理缴纳社会保险证明的违约责任：</w:t>
      </w:r>
      <w:r>
        <w:rPr>
          <w:rFonts w:hint="eastAsia" w:ascii="宋体" w:hAnsi="宋体" w:eastAsia="宋体" w:cs="宋体"/>
          <w:color w:val="000000"/>
          <w:sz w:val="24"/>
          <w:highlight w:val="none"/>
          <w:u w:val="single"/>
        </w:rPr>
        <w:t>承包 人未提交上述文件的，项目经理无权履行职责，发包人有权要求更换项目经理，由此增加的费用和（或）延误的工期责任由承包人承担 。</w:t>
      </w:r>
    </w:p>
    <w:p w14:paraId="78192E04">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项目经理未经批准，擅自离开施工现场的违约责任：</w:t>
      </w:r>
      <w:r>
        <w:rPr>
          <w:rFonts w:hint="eastAsia" w:ascii="宋体" w:hAnsi="宋体" w:eastAsia="宋体" w:cs="宋体"/>
          <w:color w:val="000000"/>
          <w:sz w:val="24"/>
          <w:highlight w:val="none"/>
          <w:u w:val="single"/>
        </w:rPr>
        <w:t>每发生一次，承包人应交纳违约金1000元，二次以上不参加工程例会的，承包人每次交纳违约金3000元。以上违约处理从月进度款中扣除。承包人承担上述违约给发包人造成的一切损失 。</w:t>
      </w:r>
    </w:p>
    <w:p w14:paraId="3C9AB8A6">
      <w:pPr>
        <w:wordWrap w:val="0"/>
        <w:spacing w:line="360" w:lineRule="auto"/>
        <w:ind w:firstLine="420"/>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rPr>
        <w:t>3.2.3 承包人擅自更换项目经理的违约责任：</w:t>
      </w:r>
      <w:r>
        <w:rPr>
          <w:rFonts w:hint="eastAsia" w:ascii="宋体" w:hAnsi="宋体" w:eastAsia="宋体" w:cs="宋体"/>
          <w:color w:val="000000"/>
          <w:sz w:val="24"/>
          <w:highlight w:val="none"/>
          <w:u w:val="single"/>
        </w:rPr>
        <w:t xml:space="preserve"> 须报发包人并经发包人审查通过同意方可更换，同时处以10000元每人次的违约金。如未报发包人审查并通过的，处以50000元每人的违约金，并承担上述违约给发包人造成的一切损失。工程施工过程中，如项目班子中有不能胜任本职工作的工作人员，发包人有权要求限期改正，直至撤换相关人员。</w:t>
      </w:r>
    </w:p>
    <w:p w14:paraId="240EBD5B">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rPr>
        <w:t>3.2.4 承包人无正当理由拒绝更换项目经理的违约责任：</w:t>
      </w:r>
      <w:r>
        <w:rPr>
          <w:rFonts w:hint="eastAsia" w:ascii="宋体" w:hAnsi="宋体" w:eastAsia="宋体" w:cs="宋体"/>
          <w:color w:val="000000"/>
          <w:sz w:val="24"/>
          <w:highlight w:val="none"/>
          <w:u w:val="single"/>
        </w:rPr>
        <w:t xml:space="preserve"> 发包人有权要求承包人承担100000元的违约金并有权解除合同且责令承包人退场，由此产生的一切责任及损失由承包人承担。 </w:t>
      </w:r>
    </w:p>
    <w:p w14:paraId="2BCFC9A3">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 承包人人员</w:t>
      </w:r>
    </w:p>
    <w:p w14:paraId="0F36F39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3.3.1 承包人提交项目管理机构及施工现场管理人员安排报告的期限：</w:t>
      </w:r>
      <w:r>
        <w:rPr>
          <w:rFonts w:hint="eastAsia" w:ascii="宋体" w:hAnsi="宋体" w:eastAsia="宋体" w:cs="宋体"/>
          <w:color w:val="000000"/>
          <w:sz w:val="24"/>
          <w:highlight w:val="none"/>
          <w:u w:val="single"/>
        </w:rPr>
        <w:t xml:space="preserve">   承包人接到开工通知后 7 日内 </w:t>
      </w:r>
      <w:r>
        <w:rPr>
          <w:rFonts w:hint="eastAsia" w:ascii="宋体" w:hAnsi="宋体" w:eastAsia="宋体" w:cs="宋体"/>
          <w:color w:val="000000"/>
          <w:sz w:val="24"/>
          <w:highlight w:val="none"/>
        </w:rPr>
        <w:t>。</w:t>
      </w:r>
    </w:p>
    <w:p w14:paraId="294BF4D5">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rPr>
        <w:t>3.3.2 承包人无正当理由拒绝撤换主要施工管理人员的违约责任：</w:t>
      </w:r>
      <w:r>
        <w:rPr>
          <w:rFonts w:hint="eastAsia" w:ascii="宋体" w:hAnsi="宋体" w:eastAsia="宋体" w:cs="宋体"/>
          <w:color w:val="000000"/>
          <w:sz w:val="24"/>
          <w:highlight w:val="none"/>
          <w:u w:val="single"/>
        </w:rPr>
        <w:t xml:space="preserve">                                       应向发包人支付每人每次50000元的违约金，承包人拒绝两次以上时，发包人有权要求解除合同并责令承包人退场，由此产生的一切责任及损失由承包人承担。 </w:t>
      </w:r>
    </w:p>
    <w:p w14:paraId="04F297E5">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rPr>
        <w:t>3.3.3 承包人主要施工管理人员离开施工现场的批准要求：</w:t>
      </w:r>
      <w:r>
        <w:rPr>
          <w:rFonts w:hint="eastAsia" w:ascii="宋体" w:hAnsi="宋体" w:eastAsia="宋体" w:cs="宋体"/>
          <w:color w:val="000000"/>
          <w:sz w:val="24"/>
          <w:highlight w:val="none"/>
          <w:u w:val="single"/>
        </w:rPr>
        <w:t xml:space="preserve"> 须征得发包人同意且有临时替换的施工管理人员，未经发包人同意的视为擅自离场，并处以5000元每人次的违约金。</w:t>
      </w:r>
    </w:p>
    <w:p w14:paraId="233C3A34">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3.3.4承包人擅自更换主要施工管理人员的违约责任：</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u w:val="single"/>
        </w:rPr>
        <w:t>承包人擅自更换关键人员的违约责任：视为承包人违约，可将缴纳的履约保证金扣除；同时，因为擅自更换工程总承包项目经理造成的一切损失（包括但不限于诉讼费、律师费、保全费、保全保险费、执行费等）需由承包人承担</w:t>
      </w:r>
      <w:r>
        <w:rPr>
          <w:rFonts w:hint="eastAsia" w:ascii="宋体" w:hAnsi="宋体" w:eastAsia="宋体" w:cs="宋体"/>
          <w:color w:val="000000"/>
          <w:sz w:val="24"/>
          <w:highlight w:val="none"/>
        </w:rPr>
        <w:t>。</w:t>
      </w:r>
    </w:p>
    <w:p w14:paraId="17E90E8C">
      <w:pPr>
        <w:spacing w:line="360" w:lineRule="auto"/>
        <w:ind w:firstLine="480" w:firstLineChars="200"/>
        <w:rPr>
          <w:rFonts w:ascii="宋体" w:hAnsi="宋体" w:eastAsia="宋体" w:cs="宋体"/>
          <w:color w:val="000000"/>
          <w:sz w:val="24"/>
        </w:rPr>
      </w:pPr>
      <w:r>
        <w:rPr>
          <w:rFonts w:hint="eastAsia" w:ascii="宋体" w:hAnsi="宋体" w:eastAsia="宋体" w:cs="宋体"/>
          <w:sz w:val="24"/>
          <w:highlight w:val="none"/>
        </w:rPr>
        <w:t>承包人无正当理由拒绝撤换关键人员的违约责任：</w:t>
      </w:r>
      <w:r>
        <w:rPr>
          <w:rFonts w:hint="eastAsia" w:ascii="宋体" w:hAnsi="宋体" w:eastAsia="宋体" w:cs="宋体"/>
          <w:sz w:val="24"/>
          <w:highlight w:val="none"/>
          <w:u w:val="single"/>
        </w:rPr>
        <w:t>视为承包人违约，可将缴纳的履约保证金扣除；同时，因为擅自更换工程总承包项目经理造成的一切损失</w:t>
      </w:r>
      <w:r>
        <w:rPr>
          <w:rFonts w:hint="eastAsia" w:ascii="宋体" w:hAnsi="宋体" w:eastAsia="宋体" w:cs="宋体"/>
          <w:sz w:val="24"/>
          <w:u w:val="single"/>
        </w:rPr>
        <w:t>（包括但不限于诉讼费、律师费、保全费、保全保险费、执行费等）需由承包人承担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717AF4F">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承包人主要施工管理人员擅自离开施工现场的违约责任：</w:t>
      </w:r>
      <w:r>
        <w:rPr>
          <w:rFonts w:hint="eastAsia" w:ascii="宋体" w:hAnsi="宋体" w:eastAsia="宋体" w:cs="宋体"/>
          <w:color w:val="000000"/>
          <w:sz w:val="24"/>
          <w:u w:val="single"/>
        </w:rPr>
        <w:t xml:space="preserve"> </w:t>
      </w:r>
      <w:r>
        <w:rPr>
          <w:rFonts w:hint="eastAsia" w:ascii="宋体" w:hAnsi="宋体" w:eastAsia="宋体" w:cs="宋体"/>
          <w:sz w:val="24"/>
          <w:u w:val="single"/>
        </w:rPr>
        <w:t>承包人现场管理关键人员离开施工现场的批准要求： 需由发包人同意后离开</w:t>
      </w:r>
      <w:r>
        <w:rPr>
          <w:rFonts w:hint="eastAsia" w:ascii="宋体" w:hAnsi="宋体" w:eastAsia="宋体" w:cs="宋体"/>
          <w:color w:val="000000"/>
          <w:sz w:val="24"/>
        </w:rPr>
        <w:t>。</w:t>
      </w:r>
    </w:p>
    <w:p w14:paraId="6E0799B4">
      <w:pPr>
        <w:spacing w:line="360" w:lineRule="auto"/>
        <w:ind w:firstLine="480" w:firstLineChars="200"/>
        <w:rPr>
          <w:rFonts w:ascii="宋体" w:hAnsi="宋体" w:eastAsia="宋体" w:cs="宋体"/>
          <w:color w:val="000000"/>
          <w:sz w:val="24"/>
          <w:u w:val="single"/>
        </w:rPr>
      </w:pPr>
      <w:r>
        <w:rPr>
          <w:rFonts w:hint="eastAsia" w:ascii="宋体" w:hAnsi="宋体" w:eastAsia="宋体" w:cs="宋体"/>
          <w:sz w:val="24"/>
        </w:rPr>
        <w:t>承包人现场管理关键人员擅自离开施工现场的违约责任：</w:t>
      </w:r>
      <w:r>
        <w:rPr>
          <w:rFonts w:hint="eastAsia" w:ascii="宋体" w:hAnsi="宋体" w:eastAsia="宋体" w:cs="宋体"/>
          <w:sz w:val="24"/>
          <w:u w:val="single"/>
        </w:rPr>
        <w:t>每次罚款5000元，上不封顶，以甲方出具的依据为准；甲方、监理等相关人员定时、不定时对现场管理关键人员（由发包方列明）进行考勤，考勤过程中如因相关人员不在场的，监理和现场的其他施工人员签字确认后即可作为处罚依据</w:t>
      </w:r>
    </w:p>
    <w:p w14:paraId="7ADF093A">
      <w:pPr>
        <w:spacing w:line="360" w:lineRule="auto"/>
        <w:ind w:firstLine="480" w:firstLineChars="200"/>
        <w:rPr>
          <w:rFonts w:ascii="宋体" w:hAnsi="宋体" w:eastAsia="宋体" w:cs="宋体"/>
          <w:color w:val="000000"/>
          <w:sz w:val="24"/>
        </w:rPr>
      </w:pPr>
      <w:r>
        <w:rPr>
          <w:rFonts w:hint="eastAsia" w:ascii="宋体" w:hAnsi="宋体" w:eastAsia="宋体" w:cs="宋体"/>
          <w:sz w:val="24"/>
        </w:rPr>
        <w:t>承包人现场管理关键人员或项目经理未经批准没有参加承包方组织的项目例会的违约责任：</w:t>
      </w:r>
      <w:r>
        <w:rPr>
          <w:rFonts w:hint="eastAsia" w:ascii="宋体" w:hAnsi="宋体" w:eastAsia="宋体" w:cs="宋体"/>
          <w:sz w:val="24"/>
          <w:u w:val="single"/>
        </w:rPr>
        <w:t>每次罚款2000元，上不封顶；会议需有发包方代表列席考勤，由与会人员签字后存档，以列席考勤记录（原件由承包方保存、发包人留存复印件，与原件有同等效力）为准</w:t>
      </w:r>
      <w:r>
        <w:rPr>
          <w:rFonts w:hint="eastAsia" w:ascii="宋体" w:hAnsi="宋体" w:eastAsia="宋体" w:cs="宋体"/>
          <w:color w:val="000000"/>
          <w:sz w:val="24"/>
          <w:u w:val="single"/>
        </w:rPr>
        <w:t>。</w:t>
      </w:r>
    </w:p>
    <w:p w14:paraId="4E700B49">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w:t>
      </w:r>
      <w:bookmarkStart w:id="1261" w:name="_Toc297216151"/>
      <w:bookmarkStart w:id="1262" w:name="_Toc292559869"/>
      <w:bookmarkStart w:id="1263" w:name="_Toc296346660"/>
      <w:bookmarkStart w:id="1264" w:name="_Toc312677988"/>
      <w:bookmarkStart w:id="1265" w:name="_Toc297048345"/>
      <w:bookmarkStart w:id="1266" w:name="_Toc296891199"/>
      <w:bookmarkStart w:id="1267" w:name="_Toc296890987"/>
      <w:bookmarkStart w:id="1268" w:name="_Toc296944498"/>
      <w:bookmarkStart w:id="1269" w:name="_Toc303539102"/>
      <w:bookmarkStart w:id="1270" w:name="_Toc292559364"/>
      <w:bookmarkStart w:id="1271" w:name="_Toc300934945"/>
      <w:bookmarkStart w:id="1272" w:name="_Toc297120459"/>
      <w:bookmarkStart w:id="1273" w:name="_Toc304295523"/>
      <w:bookmarkStart w:id="1274" w:name="_Toc296503159"/>
      <w:bookmarkStart w:id="1275" w:name="_Toc296347158"/>
      <w:bookmarkStart w:id="1276" w:name="_Toc297123492"/>
      <w:r>
        <w:rPr>
          <w:rFonts w:hint="eastAsia" w:ascii="宋体" w:hAnsi="宋体" w:eastAsia="宋体" w:cs="宋体"/>
          <w:color w:val="000000"/>
          <w:sz w:val="24"/>
        </w:rPr>
        <w:t>.5 分包</w:t>
      </w:r>
    </w:p>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p w14:paraId="44A778F1">
      <w:pPr>
        <w:spacing w:line="360" w:lineRule="auto"/>
        <w:ind w:firstLine="480" w:firstLineChars="200"/>
        <w:rPr>
          <w:rFonts w:ascii="宋体" w:hAnsi="宋体" w:eastAsia="宋体" w:cs="宋体"/>
          <w:sz w:val="24"/>
        </w:rPr>
      </w:pPr>
      <w:r>
        <w:rPr>
          <w:rFonts w:hint="eastAsia" w:ascii="宋体" w:hAnsi="宋体" w:eastAsia="宋体" w:cs="宋体"/>
          <w:sz w:val="24"/>
        </w:rPr>
        <w:t>3</w:t>
      </w:r>
      <w:bookmarkStart w:id="1277" w:name="_Toc296891200"/>
      <w:bookmarkStart w:id="1278" w:name="_Toc292559365"/>
      <w:bookmarkStart w:id="1279" w:name="_Toc296346661"/>
      <w:bookmarkStart w:id="1280" w:name="_Toc292559870"/>
      <w:bookmarkStart w:id="1281" w:name="_Toc296944499"/>
      <w:bookmarkStart w:id="1282" w:name="_Toc296347159"/>
      <w:bookmarkStart w:id="1283" w:name="_Toc297048346"/>
      <w:bookmarkStart w:id="1284" w:name="_Toc297123493"/>
      <w:bookmarkStart w:id="1285" w:name="_Toc304295524"/>
      <w:bookmarkStart w:id="1286" w:name="_Toc296890988"/>
      <w:bookmarkStart w:id="1287" w:name="_Toc297120460"/>
      <w:bookmarkStart w:id="1288" w:name="_Toc296503160"/>
      <w:bookmarkStart w:id="1289" w:name="_Toc303539103"/>
      <w:bookmarkStart w:id="1290" w:name="_Toc300934946"/>
      <w:bookmarkStart w:id="1291" w:name="_Toc297216152"/>
      <w:bookmarkStart w:id="1292" w:name="_Toc318581158"/>
      <w:bookmarkStart w:id="1293" w:name="_Toc312677989"/>
      <w:r>
        <w:rPr>
          <w:rFonts w:hint="eastAsia" w:ascii="宋体" w:hAnsi="宋体" w:eastAsia="宋体" w:cs="宋体"/>
          <w:sz w:val="24"/>
        </w:rPr>
        <w:t>.5.1 分包的一般约定</w:t>
      </w:r>
    </w:p>
    <w:p w14:paraId="3750A338">
      <w:pPr>
        <w:spacing w:line="360" w:lineRule="auto"/>
        <w:ind w:firstLine="480" w:firstLineChars="200"/>
        <w:rPr>
          <w:rFonts w:ascii="宋体" w:hAnsi="宋体" w:eastAsia="宋体" w:cs="宋体"/>
          <w:sz w:val="24"/>
        </w:rPr>
      </w:pPr>
      <w:r>
        <w:rPr>
          <w:rFonts w:hint="eastAsia" w:ascii="宋体" w:hAnsi="宋体" w:eastAsia="宋体" w:cs="宋体"/>
          <w:sz w:val="24"/>
        </w:rPr>
        <w:t>禁止分包的工程包括：</w:t>
      </w:r>
      <w:r>
        <w:rPr>
          <w:rFonts w:hint="eastAsia" w:ascii="宋体" w:hAnsi="宋体" w:eastAsia="宋体" w:cs="宋体"/>
          <w:color w:val="000000"/>
          <w:sz w:val="24"/>
          <w:u w:val="single"/>
        </w:rPr>
        <w:t xml:space="preserve"> </w:t>
      </w:r>
      <w:r>
        <w:rPr>
          <w:rFonts w:hint="eastAsia" w:ascii="宋体" w:hAnsi="宋体" w:eastAsia="宋体" w:cs="宋体"/>
          <w:sz w:val="24"/>
          <w:u w:val="single"/>
        </w:rPr>
        <w:t xml:space="preserve"> 不允许分包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5CC6B789">
      <w:pPr>
        <w:spacing w:line="360" w:lineRule="auto"/>
        <w:ind w:firstLine="480" w:firstLineChars="200"/>
        <w:rPr>
          <w:rFonts w:ascii="宋体" w:hAnsi="宋体" w:eastAsia="宋体" w:cs="宋体"/>
          <w:color w:val="000000"/>
          <w:sz w:val="24"/>
          <w:u w:val="single"/>
        </w:rPr>
      </w:pPr>
      <w:r>
        <w:rPr>
          <w:rFonts w:hint="eastAsia" w:ascii="宋体" w:hAnsi="宋体" w:eastAsia="宋体" w:cs="宋体"/>
          <w:sz w:val="24"/>
        </w:rPr>
        <w:t>主体结构、关键性工作的范围：</w:t>
      </w:r>
      <w:r>
        <w:rPr>
          <w:rFonts w:hint="eastAsia" w:ascii="宋体" w:hAnsi="宋体" w:eastAsia="宋体" w:cs="宋体"/>
          <w:color w:val="000000"/>
          <w:sz w:val="24"/>
          <w:u w:val="single"/>
        </w:rPr>
        <w:t xml:space="preserve">  无      </w:t>
      </w:r>
      <w:r>
        <w:rPr>
          <w:rFonts w:hint="eastAsia" w:ascii="宋体" w:hAnsi="宋体" w:eastAsia="宋体" w:cs="宋体"/>
          <w:color w:val="000000"/>
          <w:sz w:val="24"/>
        </w:rPr>
        <w:t>。</w:t>
      </w:r>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Start w:id="1294" w:name="_Toc297216153"/>
      <w:bookmarkStart w:id="1295" w:name="_Toc296347160"/>
      <w:bookmarkStart w:id="1296" w:name="_Toc304295525"/>
      <w:bookmarkStart w:id="1297" w:name="_Toc303539104"/>
      <w:bookmarkStart w:id="1298" w:name="_Toc300934947"/>
      <w:bookmarkStart w:id="1299" w:name="_Toc296503161"/>
      <w:bookmarkStart w:id="1300" w:name="_Toc297120461"/>
      <w:bookmarkStart w:id="1301" w:name="_Toc296891201"/>
      <w:bookmarkStart w:id="1302" w:name="_Toc297048347"/>
      <w:bookmarkStart w:id="1303" w:name="_Toc296944500"/>
      <w:bookmarkStart w:id="1304" w:name="_Toc296346662"/>
      <w:bookmarkStart w:id="1305" w:name="_Toc296890989"/>
      <w:bookmarkStart w:id="1306" w:name="_Toc297123494"/>
    </w:p>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p w14:paraId="43FDC4CA">
      <w:pPr>
        <w:spacing w:line="360" w:lineRule="auto"/>
        <w:ind w:firstLine="480" w:firstLineChars="200"/>
        <w:rPr>
          <w:rFonts w:ascii="宋体" w:hAnsi="宋体" w:eastAsia="宋体" w:cs="宋体"/>
          <w:sz w:val="24"/>
        </w:rPr>
      </w:pPr>
      <w:r>
        <w:rPr>
          <w:rFonts w:hint="eastAsia" w:ascii="宋体" w:hAnsi="宋体" w:eastAsia="宋体" w:cs="宋体"/>
          <w:sz w:val="24"/>
        </w:rPr>
        <w:t>3</w:t>
      </w:r>
      <w:bookmarkStart w:id="1307" w:name="_Toc318581159"/>
      <w:bookmarkStart w:id="1308" w:name="_Toc312677990"/>
      <w:r>
        <w:rPr>
          <w:rFonts w:hint="eastAsia" w:ascii="宋体" w:hAnsi="宋体" w:eastAsia="宋体" w:cs="宋体"/>
          <w:sz w:val="24"/>
        </w:rPr>
        <w:t>.5.2分包的确定</w:t>
      </w:r>
    </w:p>
    <w:p w14:paraId="03777664">
      <w:pPr>
        <w:spacing w:line="360" w:lineRule="auto"/>
        <w:ind w:firstLine="480" w:firstLineChars="200"/>
        <w:rPr>
          <w:rFonts w:ascii="宋体" w:hAnsi="宋体" w:eastAsia="宋体" w:cs="宋体"/>
          <w:color w:val="000000"/>
          <w:sz w:val="24"/>
          <w:u w:val="single"/>
        </w:rPr>
      </w:pPr>
      <w:r>
        <w:rPr>
          <w:rFonts w:hint="eastAsia" w:ascii="宋体" w:hAnsi="宋体" w:eastAsia="宋体" w:cs="宋体"/>
          <w:sz w:val="24"/>
        </w:rPr>
        <w:t>允许分包的专业工程包括：</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02022333">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其他关于分包的约定：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p w14:paraId="79B1D8D0">
      <w:pPr>
        <w:spacing w:line="360" w:lineRule="auto"/>
        <w:ind w:firstLine="480" w:firstLineChars="200"/>
        <w:rPr>
          <w:rFonts w:ascii="宋体" w:hAnsi="宋体" w:eastAsia="宋体" w:cs="宋体"/>
          <w:sz w:val="24"/>
        </w:rPr>
      </w:pPr>
      <w:r>
        <w:rPr>
          <w:rFonts w:hint="eastAsia" w:ascii="宋体" w:hAnsi="宋体" w:eastAsia="宋体" w:cs="宋体"/>
          <w:sz w:val="24"/>
        </w:rPr>
        <w:t>3.5.4 分包合同价款</w:t>
      </w:r>
    </w:p>
    <w:p w14:paraId="14A2D706">
      <w:pPr>
        <w:spacing w:line="360" w:lineRule="auto"/>
        <w:ind w:firstLine="480" w:firstLineChars="200"/>
        <w:rPr>
          <w:rFonts w:ascii="宋体" w:hAnsi="宋体" w:eastAsia="宋体" w:cs="宋体"/>
          <w:sz w:val="24"/>
        </w:rPr>
      </w:pPr>
      <w:r>
        <w:rPr>
          <w:rFonts w:hint="eastAsia" w:ascii="宋体" w:hAnsi="宋体" w:eastAsia="宋体" w:cs="宋体"/>
          <w:sz w:val="24"/>
        </w:rPr>
        <w:t>关于分包合同价款支付的约定：</w:t>
      </w:r>
      <w:r>
        <w:rPr>
          <w:rFonts w:hint="eastAsia" w:ascii="宋体" w:hAnsi="宋体" w:eastAsia="宋体" w:cs="宋体"/>
          <w:color w:val="000000"/>
          <w:sz w:val="24"/>
          <w:u w:val="single"/>
        </w:rPr>
        <w:t xml:space="preserve">   /   </w:t>
      </w:r>
      <w:r>
        <w:rPr>
          <w:rFonts w:hint="eastAsia" w:ascii="宋体" w:hAnsi="宋体" w:eastAsia="宋体" w:cs="宋体"/>
          <w:color w:val="000000"/>
          <w:sz w:val="24"/>
        </w:rPr>
        <w:t>。</w:t>
      </w:r>
    </w:p>
    <w:bookmarkEnd w:id="1307"/>
    <w:bookmarkEnd w:id="1308"/>
    <w:p w14:paraId="400BD1CB">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3.6 工程照管与成品、半成品保护</w:t>
      </w:r>
    </w:p>
    <w:p w14:paraId="6216F7B8">
      <w:pPr>
        <w:spacing w:before="120" w:after="120"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承包人负责照管工程及工程相关的材料、工程设备的起始时间：</w:t>
      </w:r>
      <w:r>
        <w:rPr>
          <w:rFonts w:hint="eastAsia" w:ascii="宋体" w:hAnsi="宋体" w:eastAsia="宋体" w:cs="宋体"/>
          <w:color w:val="000000"/>
          <w:sz w:val="24"/>
          <w:u w:val="single"/>
        </w:rPr>
        <w:t>设备、人员进场至验收交付使用前由承包人负责保修，无其它特殊要求的，费用由承包人承担。</w:t>
      </w:r>
    </w:p>
    <w:p w14:paraId="200D6407">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3.7 履约担保</w:t>
      </w:r>
    </w:p>
    <w:p w14:paraId="5FE56E10">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承包人是否提供履约担保：</w:t>
      </w:r>
      <w:r>
        <w:rPr>
          <w:rFonts w:hint="eastAsia" w:ascii="宋体" w:hAnsi="宋体" w:eastAsia="宋体" w:cs="宋体"/>
          <w:color w:val="000000"/>
          <w:sz w:val="24"/>
          <w:u w:val="single"/>
        </w:rPr>
        <w:t xml:space="preserve">  是      </w:t>
      </w:r>
      <w:r>
        <w:rPr>
          <w:rFonts w:hint="eastAsia" w:ascii="宋体" w:hAnsi="宋体" w:eastAsia="宋体" w:cs="宋体"/>
          <w:color w:val="000000"/>
          <w:sz w:val="24"/>
        </w:rPr>
        <w:t>。</w:t>
      </w:r>
    </w:p>
    <w:p w14:paraId="0C9D2B58">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承包人提供履约担保的形式、金额及期限的：</w:t>
      </w:r>
      <w:r>
        <w:rPr>
          <w:rFonts w:hint="eastAsia" w:ascii="宋体" w:hAnsi="宋体" w:eastAsia="宋体" w:cs="宋体"/>
          <w:color w:val="000000"/>
          <w:sz w:val="24"/>
          <w:u w:val="single"/>
        </w:rPr>
        <w:t xml:space="preserve"> 提供合同价款 </w:t>
      </w:r>
      <w:r>
        <w:rPr>
          <w:rFonts w:hint="eastAsia" w:ascii="宋体" w:hAnsi="宋体" w:cs="宋体"/>
          <w:color w:val="000000"/>
          <w:sz w:val="24"/>
          <w:u w:val="single"/>
          <w:lang w:val="en-US" w:eastAsia="zh-CN"/>
        </w:rPr>
        <w:t>10</w:t>
      </w:r>
      <w:r>
        <w:rPr>
          <w:rFonts w:hint="eastAsia" w:ascii="宋体" w:hAnsi="宋体" w:eastAsia="宋体" w:cs="宋体"/>
          <w:color w:val="000000"/>
          <w:sz w:val="24"/>
          <w:u w:val="single"/>
        </w:rPr>
        <w:t>%作为履约保证金，采用履约保函的形式提供</w:t>
      </w:r>
      <w:r>
        <w:rPr>
          <w:rFonts w:hint="eastAsia" w:ascii="宋体" w:hAnsi="宋体" w:cs="宋体"/>
          <w:color w:val="000000"/>
          <w:sz w:val="24"/>
          <w:u w:val="single"/>
          <w:lang w:eastAsia="zh-CN"/>
        </w:rPr>
        <w:t>，工程完工验收合格后履行手续退还</w:t>
      </w:r>
      <w:r>
        <w:rPr>
          <w:rFonts w:hint="eastAsia" w:ascii="宋体" w:hAnsi="宋体" w:eastAsia="宋体" w:cs="宋体"/>
          <w:color w:val="000000"/>
          <w:sz w:val="24"/>
        </w:rPr>
        <w:t>。</w:t>
      </w:r>
    </w:p>
    <w:p w14:paraId="7E23CE21">
      <w:pPr>
        <w:rPr>
          <w:rFonts w:ascii="宋体" w:hAnsi="宋体" w:eastAsia="宋体" w:cs="宋体"/>
          <w:b/>
          <w:sz w:val="24"/>
        </w:rPr>
      </w:pPr>
      <w:bookmarkStart w:id="1309" w:name="_Toc351203636"/>
      <w:r>
        <w:rPr>
          <w:rFonts w:hint="eastAsia" w:ascii="宋体" w:hAnsi="宋体" w:eastAsia="宋体" w:cs="宋体"/>
          <w:b/>
          <w:sz w:val="24"/>
        </w:rPr>
        <w:t>4</w:t>
      </w:r>
      <w:bookmarkStart w:id="1310" w:name="_Toc292559366"/>
      <w:bookmarkStart w:id="1311" w:name="_Toc292559871"/>
      <w:bookmarkStart w:id="1312" w:name="_Toc296891202"/>
      <w:bookmarkStart w:id="1313" w:name="_Toc296890990"/>
      <w:bookmarkStart w:id="1314" w:name="_Toc296346663"/>
      <w:bookmarkStart w:id="1315" w:name="_Toc297120462"/>
      <w:bookmarkStart w:id="1316" w:name="_Toc267251413"/>
      <w:bookmarkStart w:id="1317" w:name="_Toc296503162"/>
      <w:bookmarkStart w:id="1318" w:name="_Toc297048348"/>
      <w:bookmarkStart w:id="1319" w:name="_Toc296944501"/>
      <w:bookmarkStart w:id="1320" w:name="_Toc296347161"/>
      <w:r>
        <w:rPr>
          <w:rFonts w:hint="eastAsia" w:ascii="宋体" w:hAnsi="宋体" w:eastAsia="宋体" w:cs="宋体"/>
          <w:b/>
          <w:sz w:val="24"/>
        </w:rPr>
        <w:t>. 监</w:t>
      </w:r>
      <w:bookmarkEnd w:id="1310"/>
      <w:bookmarkEnd w:id="1311"/>
      <w:bookmarkEnd w:id="1312"/>
      <w:bookmarkEnd w:id="1313"/>
      <w:bookmarkEnd w:id="1314"/>
      <w:bookmarkEnd w:id="1315"/>
      <w:bookmarkEnd w:id="1316"/>
      <w:bookmarkEnd w:id="1317"/>
      <w:bookmarkEnd w:id="1318"/>
      <w:bookmarkEnd w:id="1319"/>
      <w:bookmarkEnd w:id="1320"/>
      <w:r>
        <w:rPr>
          <w:rFonts w:hint="eastAsia" w:ascii="宋体" w:hAnsi="宋体" w:eastAsia="宋体" w:cs="宋体"/>
          <w:b/>
          <w:sz w:val="24"/>
        </w:rPr>
        <w:t>理人</w:t>
      </w:r>
      <w:bookmarkEnd w:id="1309"/>
    </w:p>
    <w:p w14:paraId="73DB9316">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4.1监理人的一般规定</w:t>
      </w:r>
    </w:p>
    <w:p w14:paraId="45D8EFA1">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关于监理人的监理内容：</w:t>
      </w:r>
      <w:r>
        <w:rPr>
          <w:rFonts w:hint="eastAsia" w:ascii="宋体" w:hAnsi="宋体" w:eastAsia="宋体" w:cs="宋体"/>
          <w:color w:val="000000"/>
          <w:sz w:val="24"/>
          <w:u w:val="single"/>
        </w:rPr>
        <w:t xml:space="preserve"> 代表发包人对工程相关事项进行检查、查验、审核、验收；并签发相关指示 。 </w:t>
      </w:r>
    </w:p>
    <w:p w14:paraId="3257FD6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关于监理人的监理权限：</w:t>
      </w:r>
      <w:r>
        <w:rPr>
          <w:rFonts w:hint="eastAsia" w:ascii="宋体" w:hAnsi="宋体" w:eastAsia="宋体" w:cs="宋体"/>
          <w:color w:val="000000"/>
          <w:sz w:val="24"/>
          <w:u w:val="single"/>
        </w:rPr>
        <w:t xml:space="preserve">  代表发包人对工程相关事项进行检查、查验、审核、验收。并签发相关指示。但监理人无权修改合同。</w:t>
      </w:r>
      <w:r>
        <w:rPr>
          <w:rFonts w:hint="eastAsia" w:ascii="宋体" w:hAnsi="宋体" w:eastAsia="宋体" w:cs="宋体"/>
          <w:color w:val="000000"/>
          <w:sz w:val="24"/>
        </w:rPr>
        <w:t xml:space="preserve"> </w:t>
      </w:r>
    </w:p>
    <w:p w14:paraId="75160F65">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关于监理人在施工现场的办公场所、生活场所的提供和费用承担的约定：</w:t>
      </w:r>
      <w:r>
        <w:rPr>
          <w:rFonts w:hint="eastAsia" w:ascii="宋体" w:hAnsi="宋体" w:eastAsia="宋体" w:cs="宋体"/>
          <w:color w:val="000000"/>
          <w:sz w:val="24"/>
          <w:u w:val="single"/>
        </w:rPr>
        <w:t>由监理人自行承担。</w:t>
      </w:r>
    </w:p>
    <w:p w14:paraId="73DDCF66">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4.2 监理人员</w:t>
      </w:r>
    </w:p>
    <w:p w14:paraId="14095361">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总监理工程师：</w:t>
      </w:r>
    </w:p>
    <w:p w14:paraId="00D6824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姓    名：</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98DDD1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职    务：</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730A63A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监理工程师执业资格证书号：</w:t>
      </w:r>
      <w:r>
        <w:rPr>
          <w:rFonts w:hint="eastAsia" w:ascii="宋体" w:hAnsi="宋体" w:eastAsia="宋体" w:cs="宋体"/>
          <w:color w:val="000000"/>
          <w:sz w:val="24"/>
          <w:u w:val="single"/>
        </w:rPr>
        <w:t> </w:t>
      </w:r>
      <w:r>
        <w:rPr>
          <w:rFonts w:hint="eastAsia" w:ascii="宋体" w:hAnsi="宋体" w:eastAsia="宋体" w:cs="宋体"/>
          <w:color w:val="000000"/>
          <w:sz w:val="24"/>
        </w:rPr>
        <w:t>；</w:t>
      </w:r>
    </w:p>
    <w:p w14:paraId="0D17B72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联系电话：</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03E612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电子信箱：</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41F5818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通信地址：</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1A1147B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关于监理人的其他约定：</w:t>
      </w:r>
      <w:r>
        <w:rPr>
          <w:rFonts w:hint="eastAsia" w:ascii="宋体" w:hAnsi="宋体" w:eastAsia="宋体" w:cs="宋体"/>
          <w:color w:val="000000"/>
          <w:sz w:val="24"/>
          <w:u w:val="single"/>
        </w:rPr>
        <w:t>/      </w:t>
      </w:r>
      <w:r>
        <w:rPr>
          <w:rFonts w:hint="eastAsia" w:ascii="宋体" w:hAnsi="宋体" w:eastAsia="宋体" w:cs="宋体"/>
          <w:color w:val="000000"/>
          <w:sz w:val="24"/>
        </w:rPr>
        <w:t>。</w:t>
      </w:r>
    </w:p>
    <w:p w14:paraId="2879E03A">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4.4 商定或确定</w:t>
      </w:r>
    </w:p>
    <w:p w14:paraId="5F5633F0">
      <w:pPr>
        <w:spacing w:line="360" w:lineRule="auto"/>
        <w:ind w:firstLine="480" w:firstLineChars="200"/>
        <w:rPr>
          <w:rFonts w:ascii="宋体" w:hAnsi="宋体" w:eastAsia="宋体" w:cs="宋体"/>
          <w:color w:val="000000"/>
          <w:sz w:val="24"/>
        </w:rPr>
      </w:pPr>
      <w:bookmarkStart w:id="1321" w:name="_Toc267251418"/>
      <w:r>
        <w:rPr>
          <w:rFonts w:hint="eastAsia" w:ascii="宋体" w:hAnsi="宋体" w:eastAsia="宋体" w:cs="宋体"/>
          <w:color w:val="000000"/>
          <w:sz w:val="24"/>
        </w:rPr>
        <w:t>在发包人和承包人不能通过协商达成一致意见时，发包人授权监理人对以下事项进行确定：</w:t>
      </w:r>
    </w:p>
    <w:p w14:paraId="45860C84">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w:t>
      </w:r>
      <w:r>
        <w:rPr>
          <w:rFonts w:hint="eastAsia" w:ascii="宋体" w:hAnsi="宋体" w:eastAsia="宋体" w:cs="宋体"/>
          <w:color w:val="000000"/>
          <w:sz w:val="24"/>
          <w:u w:val="single"/>
        </w:rPr>
        <w:t>对承包人的施工进度、质量、安全、造价的监督权</w:t>
      </w:r>
      <w:r>
        <w:rPr>
          <w:rFonts w:hint="eastAsia" w:ascii="宋体" w:hAnsi="宋体" w:eastAsia="宋体" w:cs="宋体"/>
          <w:color w:val="000000"/>
          <w:sz w:val="24"/>
        </w:rPr>
        <w:t>；</w:t>
      </w:r>
    </w:p>
    <w:p w14:paraId="72BE64DC">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w:t>
      </w:r>
      <w:r>
        <w:rPr>
          <w:rFonts w:hint="eastAsia" w:ascii="宋体" w:hAnsi="宋体" w:eastAsia="宋体" w:cs="宋体"/>
          <w:color w:val="000000"/>
          <w:sz w:val="24"/>
          <w:u w:val="single"/>
        </w:rPr>
        <w:t xml:space="preserve"> 对发包人和设计单位的建议权 </w:t>
      </w:r>
      <w:r>
        <w:rPr>
          <w:rFonts w:hint="eastAsia" w:ascii="宋体" w:hAnsi="宋体" w:eastAsia="宋体" w:cs="宋体"/>
          <w:color w:val="000000"/>
          <w:sz w:val="24"/>
        </w:rPr>
        <w:t>；</w:t>
      </w:r>
    </w:p>
    <w:p w14:paraId="446E0A07">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（3）</w:t>
      </w:r>
      <w:r>
        <w:rPr>
          <w:rFonts w:hint="eastAsia" w:ascii="宋体" w:hAnsi="宋体" w:eastAsia="宋体" w:cs="宋体"/>
          <w:color w:val="000000"/>
          <w:sz w:val="24"/>
          <w:u w:val="single"/>
        </w:rPr>
        <w:t xml:space="preserve">处于独立地方的组织协调权  </w:t>
      </w:r>
      <w:r>
        <w:rPr>
          <w:rFonts w:hint="eastAsia" w:ascii="宋体" w:hAnsi="宋体" w:eastAsia="宋体" w:cs="宋体"/>
          <w:color w:val="000000"/>
          <w:sz w:val="24"/>
        </w:rPr>
        <w:t>。</w:t>
      </w:r>
    </w:p>
    <w:p w14:paraId="419C20AE">
      <w:pPr>
        <w:rPr>
          <w:rFonts w:ascii="宋体" w:hAnsi="宋体" w:eastAsia="宋体" w:cs="宋体"/>
          <w:b/>
          <w:sz w:val="24"/>
        </w:rPr>
      </w:pPr>
      <w:bookmarkStart w:id="1322" w:name="_Toc351203637"/>
      <w:r>
        <w:rPr>
          <w:rFonts w:hint="eastAsia" w:ascii="宋体" w:hAnsi="宋体" w:eastAsia="宋体" w:cs="宋体"/>
          <w:b/>
          <w:sz w:val="24"/>
        </w:rPr>
        <w:t>5</w:t>
      </w:r>
      <w:bookmarkEnd w:id="1321"/>
      <w:bookmarkStart w:id="1323" w:name="_Toc296347162"/>
      <w:bookmarkStart w:id="1324" w:name="_Toc296503163"/>
      <w:bookmarkStart w:id="1325" w:name="_Toc297048349"/>
      <w:bookmarkStart w:id="1326" w:name="_Toc292559872"/>
      <w:bookmarkStart w:id="1327" w:name="_Toc297120463"/>
      <w:bookmarkStart w:id="1328" w:name="_Toc292559367"/>
      <w:bookmarkStart w:id="1329" w:name="_Toc296891203"/>
      <w:bookmarkStart w:id="1330" w:name="_Toc296944502"/>
      <w:bookmarkStart w:id="1331" w:name="_Toc296890991"/>
      <w:bookmarkStart w:id="1332" w:name="_Toc296346664"/>
      <w:r>
        <w:rPr>
          <w:rFonts w:hint="eastAsia" w:ascii="宋体" w:hAnsi="宋体" w:eastAsia="宋体" w:cs="宋体"/>
          <w:b/>
          <w:sz w:val="24"/>
        </w:rPr>
        <w:t>. 工程质量</w:t>
      </w:r>
      <w:bookmarkEnd w:id="1322"/>
    </w:p>
    <w:p w14:paraId="0004FF6A">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5.1 质量要求</w:t>
      </w:r>
    </w:p>
    <w:p w14:paraId="0BA4C830">
      <w:pPr>
        <w:spacing w:line="360" w:lineRule="auto"/>
        <w:ind w:firstLine="480" w:firstLineChars="200"/>
        <w:rPr>
          <w:rFonts w:ascii="宋体" w:hAnsi="宋体" w:eastAsia="宋体" w:cs="宋体"/>
          <w:sz w:val="24"/>
          <w:u w:val="single"/>
        </w:rPr>
      </w:pPr>
      <w:r>
        <w:rPr>
          <w:rFonts w:hint="eastAsia" w:ascii="宋体" w:hAnsi="宋体" w:eastAsia="宋体" w:cs="宋体"/>
          <w:sz w:val="24"/>
        </w:rPr>
        <w:t>5</w:t>
      </w:r>
      <w:bookmarkStart w:id="1333" w:name="_Toc297216155"/>
      <w:bookmarkStart w:id="1334" w:name="_Toc304295527"/>
      <w:bookmarkStart w:id="1335" w:name="_Toc312677997"/>
      <w:bookmarkStart w:id="1336" w:name="_Toc303539106"/>
      <w:bookmarkStart w:id="1337" w:name="_Toc318581164"/>
      <w:bookmarkStart w:id="1338" w:name="_Toc297123496"/>
      <w:bookmarkStart w:id="1339" w:name="_Toc300934949"/>
      <w:r>
        <w:rPr>
          <w:rFonts w:hint="eastAsia" w:ascii="宋体" w:hAnsi="宋体" w:eastAsia="宋体" w:cs="宋体"/>
          <w:sz w:val="24"/>
        </w:rPr>
        <w:t>.1.1 特殊质量标准和要求：</w:t>
      </w:r>
      <w:r>
        <w:rPr>
          <w:rFonts w:hint="eastAsia" w:ascii="宋体" w:hAnsi="宋体" w:eastAsia="宋体" w:cs="宋体"/>
          <w:sz w:val="24"/>
          <w:u w:val="single"/>
        </w:rPr>
        <w:t xml:space="preserve"> </w:t>
      </w:r>
      <w:r>
        <w:rPr>
          <w:rFonts w:hint="eastAsia" w:ascii="宋体" w:hAnsi="宋体" w:eastAsia="宋体" w:cs="宋体"/>
          <w:color w:val="000000"/>
          <w:sz w:val="24"/>
          <w:u w:val="single"/>
        </w:rPr>
        <w:t>工程质量标准必须符合现行国家有关工程施工质量验收规范和标准要求，符合国家《建筑工程质量验收标准及建筑工程质量统一验收标准》的合格等级， 双方对工程质量存在争议的以当地建设部门验收和工程质量监督站为确定依据</w:t>
      </w:r>
      <w:r>
        <w:rPr>
          <w:rFonts w:hint="eastAsia" w:ascii="宋体" w:hAnsi="宋体" w:eastAsia="宋体" w:cs="宋体"/>
          <w:sz w:val="24"/>
          <w:u w:val="single"/>
        </w:rPr>
        <w:t>。</w:t>
      </w:r>
    </w:p>
    <w:p w14:paraId="1B3004EF">
      <w:pPr>
        <w:spacing w:line="360" w:lineRule="auto"/>
        <w:ind w:firstLine="480" w:firstLineChars="200"/>
        <w:rPr>
          <w:rFonts w:ascii="宋体" w:hAnsi="宋体" w:eastAsia="宋体" w:cs="宋体"/>
          <w:sz w:val="24"/>
          <w:u w:val="single"/>
        </w:rPr>
      </w:pPr>
      <w:r>
        <w:rPr>
          <w:rFonts w:hint="eastAsia" w:ascii="宋体" w:hAnsi="宋体" w:eastAsia="宋体" w:cs="宋体"/>
          <w:sz w:val="24"/>
        </w:rPr>
        <w:t>关于工程奖项的约定：</w:t>
      </w:r>
      <w:r>
        <w:rPr>
          <w:rFonts w:hint="eastAsia" w:ascii="宋体" w:hAnsi="宋体" w:eastAsia="宋体" w:cs="宋体"/>
          <w:sz w:val="24"/>
          <w:u w:val="single"/>
        </w:rPr>
        <w:t xml:space="preserve"> 无   </w:t>
      </w:r>
      <w:r>
        <w:rPr>
          <w:rFonts w:hint="eastAsia" w:ascii="宋体" w:hAnsi="宋体" w:eastAsia="宋体" w:cs="宋体"/>
          <w:sz w:val="24"/>
        </w:rPr>
        <w:t>。</w:t>
      </w:r>
    </w:p>
    <w:p w14:paraId="76BA1A43">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5.3 隐蔽工程检查</w:t>
      </w:r>
    </w:p>
    <w:p w14:paraId="4DD9A31C">
      <w:pPr>
        <w:spacing w:line="360" w:lineRule="auto"/>
        <w:ind w:firstLine="480" w:firstLineChars="200"/>
        <w:rPr>
          <w:rFonts w:ascii="宋体" w:hAnsi="宋体" w:eastAsia="宋体" w:cs="宋体"/>
          <w:sz w:val="24"/>
          <w:u w:val="single"/>
        </w:rPr>
      </w:pPr>
      <w:r>
        <w:rPr>
          <w:rFonts w:hint="eastAsia" w:ascii="宋体" w:hAnsi="宋体" w:eastAsia="宋体" w:cs="宋体"/>
          <w:sz w:val="24"/>
        </w:rPr>
        <w:t>5.3.2承包人提前通知监理人隐蔽工程检查的期限的约定：</w:t>
      </w:r>
      <w:r>
        <w:rPr>
          <w:rFonts w:hint="eastAsia" w:ascii="宋体" w:hAnsi="宋体" w:eastAsia="宋体" w:cs="宋体"/>
          <w:sz w:val="24"/>
          <w:u w:val="single"/>
        </w:rPr>
        <w:t xml:space="preserve"> </w:t>
      </w:r>
      <w:r>
        <w:rPr>
          <w:rFonts w:hint="eastAsia" w:ascii="宋体" w:hAnsi="宋体" w:eastAsia="宋体" w:cs="宋体"/>
          <w:color w:val="000000"/>
          <w:sz w:val="24"/>
          <w:u w:val="single"/>
        </w:rPr>
        <w:t>共同检查前 48 小时书面通知 监理人。监理人不能按时进行检查时，应提前 24 小时提交书面延期要求</w:t>
      </w:r>
      <w:r>
        <w:rPr>
          <w:rFonts w:hint="eastAsia" w:ascii="宋体" w:hAnsi="宋体" w:eastAsia="宋体" w:cs="宋体"/>
          <w:sz w:val="24"/>
          <w:u w:val="single"/>
        </w:rPr>
        <w:t>。</w:t>
      </w:r>
    </w:p>
    <w:p w14:paraId="3FD639E4">
      <w:pPr>
        <w:spacing w:line="360" w:lineRule="auto"/>
        <w:ind w:firstLine="480" w:firstLineChars="200"/>
        <w:rPr>
          <w:rFonts w:ascii="宋体" w:hAnsi="宋体" w:eastAsia="宋体" w:cs="宋体"/>
          <w:sz w:val="24"/>
        </w:rPr>
      </w:pPr>
      <w:r>
        <w:rPr>
          <w:rFonts w:hint="eastAsia" w:ascii="宋体" w:hAnsi="宋体" w:eastAsia="宋体" w:cs="宋体"/>
          <w:sz w:val="24"/>
        </w:rPr>
        <w:t>监理人不能按时进行检查时，应提前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7646C22E">
      <w:pPr>
        <w:spacing w:line="360" w:lineRule="auto"/>
        <w:ind w:firstLine="480" w:firstLineChars="200"/>
        <w:rPr>
          <w:rFonts w:ascii="宋体" w:hAnsi="宋体" w:eastAsia="宋体" w:cs="宋体"/>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48      </w:t>
      </w:r>
      <w:r>
        <w:rPr>
          <w:rFonts w:hint="eastAsia" w:ascii="宋体" w:hAnsi="宋体" w:eastAsia="宋体" w:cs="宋体"/>
          <w:sz w:val="24"/>
        </w:rPr>
        <w:t>小时。</w:t>
      </w:r>
    </w:p>
    <w:p w14:paraId="7C51B4CE">
      <w:pPr>
        <w:rPr>
          <w:rFonts w:ascii="宋体" w:hAnsi="宋体" w:eastAsia="宋体" w:cs="宋体"/>
          <w:b/>
          <w:sz w:val="24"/>
        </w:rPr>
      </w:pPr>
      <w:bookmarkStart w:id="1340" w:name="_Toc351203638"/>
      <w:r>
        <w:rPr>
          <w:rFonts w:hint="eastAsia" w:ascii="宋体" w:hAnsi="宋体" w:eastAsia="宋体" w:cs="宋体"/>
          <w:b/>
          <w:sz w:val="24"/>
        </w:rPr>
        <w:t>6. 安全文明施工与环境保护</w:t>
      </w:r>
      <w:bookmarkEnd w:id="1340"/>
    </w:p>
    <w:p w14:paraId="77E0386A">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6.1安全文明施工</w:t>
      </w:r>
    </w:p>
    <w:p w14:paraId="1057B3AE">
      <w:pPr>
        <w:spacing w:line="360" w:lineRule="auto"/>
        <w:ind w:firstLine="480" w:firstLineChars="200"/>
        <w:rPr>
          <w:rFonts w:ascii="宋体" w:hAnsi="宋体" w:eastAsia="宋体" w:cs="宋体"/>
          <w:sz w:val="24"/>
          <w:u w:val="single"/>
        </w:rPr>
      </w:pPr>
      <w:r>
        <w:rPr>
          <w:rFonts w:hint="eastAsia" w:ascii="宋体" w:hAnsi="宋体" w:eastAsia="宋体" w:cs="宋体"/>
          <w:sz w:val="24"/>
        </w:rPr>
        <w:t>6.1.1</w:t>
      </w:r>
      <w:r>
        <w:rPr>
          <w:rFonts w:hint="eastAsia" w:ascii="宋体" w:hAnsi="宋体" w:eastAsia="宋体" w:cs="宋体"/>
          <w:color w:val="000000"/>
          <w:sz w:val="24"/>
        </w:rPr>
        <w:t xml:space="preserve"> 项目安全生产的达标目标及相应事项的约定：</w:t>
      </w:r>
      <w:r>
        <w:rPr>
          <w:rFonts w:hint="eastAsia" w:ascii="宋体" w:hAnsi="宋体" w:eastAsia="宋体" w:cs="宋体"/>
          <w:color w:val="000000"/>
          <w:sz w:val="24"/>
          <w:u w:val="single"/>
        </w:rPr>
        <w:t xml:space="preserve"> 要求达到《建筑施工安全检查标准》 （JGJ59-2011）标准及《建设工程安全生产管理条例》要求</w:t>
      </w:r>
      <w:r>
        <w:rPr>
          <w:rFonts w:hint="eastAsia" w:ascii="宋体" w:hAnsi="宋体" w:eastAsia="宋体" w:cs="宋体"/>
          <w:sz w:val="24"/>
        </w:rPr>
        <w:t>。</w:t>
      </w:r>
    </w:p>
    <w:p w14:paraId="3AFF0651">
      <w:pPr>
        <w:spacing w:line="360" w:lineRule="auto"/>
        <w:ind w:firstLine="480" w:firstLineChars="200"/>
        <w:rPr>
          <w:rFonts w:ascii="宋体" w:hAnsi="宋体" w:eastAsia="宋体" w:cs="宋体"/>
          <w:sz w:val="24"/>
          <w:u w:val="single"/>
        </w:rPr>
      </w:pPr>
      <w:r>
        <w:rPr>
          <w:rFonts w:hint="eastAsia" w:ascii="宋体" w:hAnsi="宋体" w:eastAsia="宋体" w:cs="宋体"/>
          <w:sz w:val="24"/>
        </w:rPr>
        <w:t>6.1.4 关于治安保卫的特别约定：</w:t>
      </w:r>
      <w:r>
        <w:rPr>
          <w:rFonts w:hint="eastAsia" w:ascii="宋体" w:hAnsi="宋体" w:eastAsia="宋体" w:cs="宋体"/>
          <w:sz w:val="24"/>
          <w:u w:val="single"/>
        </w:rPr>
        <w:t xml:space="preserve"> </w:t>
      </w:r>
      <w:r>
        <w:rPr>
          <w:rFonts w:hint="eastAsia" w:ascii="宋体" w:hAnsi="宋体" w:eastAsia="宋体" w:cs="宋体"/>
          <w:color w:val="000000"/>
          <w:sz w:val="24"/>
          <w:u w:val="single"/>
        </w:rPr>
        <w:t>由承包人做好施工区及生活区治安保卫工作</w:t>
      </w:r>
      <w:r>
        <w:rPr>
          <w:rFonts w:hint="eastAsia" w:ascii="宋体" w:hAnsi="宋体" w:eastAsia="宋体" w:cs="宋体"/>
          <w:sz w:val="24"/>
        </w:rPr>
        <w:t>。</w:t>
      </w:r>
    </w:p>
    <w:p w14:paraId="7848D1BC">
      <w:pPr>
        <w:spacing w:line="360" w:lineRule="auto"/>
        <w:ind w:firstLine="480" w:firstLineChars="200"/>
        <w:rPr>
          <w:rFonts w:ascii="宋体" w:hAnsi="宋体" w:eastAsia="宋体" w:cs="宋体"/>
          <w:sz w:val="24"/>
          <w:u w:val="single"/>
        </w:rPr>
      </w:pPr>
      <w:r>
        <w:rPr>
          <w:rFonts w:hint="eastAsia" w:ascii="宋体" w:hAnsi="宋体" w:eastAsia="宋体" w:cs="宋体"/>
          <w:sz w:val="24"/>
        </w:rPr>
        <w:t>关于编制施工场地治安管理计划的约定：</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发包人、承包人应在工程开工后 7 日内共同编 制施工场地治安管理计划，并制定应对突发治安事件的紧急预案 </w:t>
      </w:r>
      <w:r>
        <w:rPr>
          <w:rFonts w:hint="eastAsia" w:ascii="宋体" w:hAnsi="宋体" w:eastAsia="宋体" w:cs="宋体"/>
          <w:sz w:val="24"/>
          <w:u w:val="single"/>
        </w:rPr>
        <w:t>。</w:t>
      </w:r>
    </w:p>
    <w:p w14:paraId="1653FF14">
      <w:pPr>
        <w:spacing w:line="360" w:lineRule="auto"/>
        <w:ind w:firstLine="480" w:firstLineChars="200"/>
        <w:rPr>
          <w:rFonts w:ascii="宋体" w:hAnsi="宋体" w:eastAsia="宋体" w:cs="宋体"/>
          <w:sz w:val="24"/>
        </w:rPr>
      </w:pPr>
      <w:r>
        <w:rPr>
          <w:rFonts w:hint="eastAsia" w:ascii="宋体" w:hAnsi="宋体" w:eastAsia="宋体" w:cs="宋体"/>
          <w:sz w:val="24"/>
        </w:rPr>
        <w:t>6.1.5 文明施工</w:t>
      </w:r>
    </w:p>
    <w:p w14:paraId="550D71AC">
      <w:pPr>
        <w:spacing w:line="360" w:lineRule="auto"/>
        <w:ind w:firstLine="480" w:firstLineChars="200"/>
        <w:rPr>
          <w:rFonts w:ascii="宋体" w:hAnsi="宋体" w:eastAsia="宋体" w:cs="宋体"/>
          <w:sz w:val="24"/>
        </w:rPr>
      </w:pPr>
      <w:r>
        <w:rPr>
          <w:rFonts w:hint="eastAsia" w:ascii="宋体" w:hAnsi="宋体" w:eastAsia="宋体" w:cs="宋体"/>
          <w:sz w:val="24"/>
        </w:rPr>
        <w:t>合同当事人对文明施工的要求：</w:t>
      </w:r>
      <w:r>
        <w:rPr>
          <w:rFonts w:hint="eastAsia" w:ascii="宋体" w:hAnsi="宋体" w:eastAsia="宋体" w:cs="宋体"/>
          <w:sz w:val="24"/>
          <w:u w:val="single"/>
        </w:rPr>
        <w:t xml:space="preserve">   执行通用条款      </w:t>
      </w:r>
      <w:r>
        <w:rPr>
          <w:rFonts w:hint="eastAsia" w:ascii="宋体" w:hAnsi="宋体" w:eastAsia="宋体" w:cs="宋体"/>
          <w:sz w:val="24"/>
        </w:rPr>
        <w:t>。</w:t>
      </w:r>
    </w:p>
    <w:p w14:paraId="5F1C503A">
      <w:pPr>
        <w:spacing w:line="360" w:lineRule="auto"/>
        <w:ind w:firstLine="480" w:firstLineChars="200"/>
        <w:rPr>
          <w:rFonts w:ascii="宋体" w:hAnsi="宋体" w:eastAsia="宋体" w:cs="宋体"/>
          <w:sz w:val="24"/>
          <w:u w:val="single"/>
        </w:rPr>
      </w:pPr>
      <w:r>
        <w:rPr>
          <w:rFonts w:hint="eastAsia" w:ascii="宋体" w:hAnsi="宋体" w:eastAsia="宋体" w:cs="宋体"/>
          <w:sz w:val="24"/>
        </w:rPr>
        <w:t>6.1.6 关于安全文明施工费支付比例和支付期限的约定：</w:t>
      </w:r>
      <w:r>
        <w:rPr>
          <w:rFonts w:hint="eastAsia" w:ascii="宋体" w:hAnsi="宋体" w:eastAsia="宋体" w:cs="宋体"/>
          <w:sz w:val="24"/>
          <w:u w:val="single"/>
        </w:rPr>
        <w:t xml:space="preserve"> </w:t>
      </w:r>
      <w:r>
        <w:rPr>
          <w:rFonts w:hint="eastAsia" w:ascii="宋体" w:hAnsi="宋体" w:eastAsia="宋体" w:cs="宋体"/>
          <w:color w:val="000000"/>
          <w:sz w:val="24"/>
          <w:u w:val="single"/>
        </w:rPr>
        <w:t>与工程进度款同期支付</w:t>
      </w:r>
      <w:r>
        <w:rPr>
          <w:rFonts w:hint="eastAsia" w:ascii="宋体" w:hAnsi="宋体" w:eastAsia="宋体" w:cs="宋体"/>
          <w:sz w:val="24"/>
          <w:u w:val="single"/>
        </w:rPr>
        <w:t>。</w:t>
      </w:r>
    </w:p>
    <w:bookmarkEnd w:id="1333"/>
    <w:bookmarkEnd w:id="1334"/>
    <w:bookmarkEnd w:id="1335"/>
    <w:bookmarkEnd w:id="1336"/>
    <w:bookmarkEnd w:id="1337"/>
    <w:bookmarkEnd w:id="1338"/>
    <w:bookmarkEnd w:id="1339"/>
    <w:p w14:paraId="4948F424">
      <w:pPr>
        <w:rPr>
          <w:rFonts w:ascii="宋体" w:hAnsi="宋体" w:eastAsia="宋体" w:cs="宋体"/>
          <w:b/>
          <w:sz w:val="24"/>
        </w:rPr>
      </w:pPr>
      <w:bookmarkStart w:id="1341" w:name="_Toc351203639"/>
      <w:r>
        <w:rPr>
          <w:rFonts w:hint="eastAsia" w:ascii="宋体" w:hAnsi="宋体" w:eastAsia="宋体" w:cs="宋体"/>
          <w:b/>
          <w:sz w:val="24"/>
        </w:rPr>
        <w:t>7. 工期和进度</w:t>
      </w:r>
      <w:bookmarkEnd w:id="1341"/>
    </w:p>
    <w:p w14:paraId="03F4991A">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7.1 施工组织设计</w:t>
      </w:r>
    </w:p>
    <w:p w14:paraId="73ACAF74">
      <w:pPr>
        <w:autoSpaceDE w:val="0"/>
        <w:autoSpaceDN w:val="0"/>
        <w:adjustRightInd w:val="0"/>
        <w:spacing w:line="360" w:lineRule="auto"/>
        <w:ind w:firstLine="480" w:firstLineChars="200"/>
        <w:rPr>
          <w:rFonts w:ascii="宋体" w:hAnsi="宋体" w:eastAsia="宋体" w:cs="宋体"/>
          <w:color w:val="000000"/>
          <w:sz w:val="24"/>
          <w:u w:val="single"/>
        </w:rPr>
      </w:pPr>
      <w:r>
        <w:rPr>
          <w:rFonts w:hint="eastAsia" w:ascii="宋体" w:hAnsi="宋体" w:eastAsia="宋体" w:cs="宋体"/>
          <w:sz w:val="24"/>
        </w:rPr>
        <w:t xml:space="preserve">7.1.1 </w:t>
      </w:r>
      <w:r>
        <w:rPr>
          <w:rFonts w:hint="eastAsia" w:ascii="宋体" w:hAnsi="宋体" w:eastAsia="宋体" w:cs="宋体"/>
          <w:color w:val="000000"/>
          <w:sz w:val="24"/>
        </w:rPr>
        <w:t>合同当事人约定的施工组织设计应包括的其他内容：</w:t>
      </w:r>
      <w:r>
        <w:rPr>
          <w:rFonts w:hint="eastAsia" w:ascii="宋体" w:hAnsi="宋体" w:eastAsia="宋体" w:cs="宋体"/>
          <w:color w:val="000000"/>
          <w:sz w:val="24"/>
          <w:u w:val="single"/>
        </w:rPr>
        <w:t xml:space="preserve"> 按招标文件约定，招标文件无约定的按通用条款或双方另行约定</w:t>
      </w:r>
      <w:r>
        <w:rPr>
          <w:rFonts w:hint="eastAsia" w:ascii="宋体" w:hAnsi="宋体" w:eastAsia="宋体" w:cs="宋体"/>
          <w:sz w:val="24"/>
          <w:u w:val="single"/>
        </w:rPr>
        <w:t>。</w:t>
      </w:r>
    </w:p>
    <w:p w14:paraId="3FC23FB5">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sz w:val="24"/>
        </w:rPr>
        <w:t>7.1.2</w:t>
      </w:r>
      <w:r>
        <w:rPr>
          <w:rFonts w:hint="eastAsia" w:ascii="宋体" w:hAnsi="宋体" w:eastAsia="宋体" w:cs="宋体"/>
          <w:color w:val="000000"/>
          <w:sz w:val="24"/>
        </w:rPr>
        <w:t xml:space="preserve"> 施工组织设计的提交和修改</w:t>
      </w:r>
    </w:p>
    <w:p w14:paraId="5D8D5862">
      <w:pPr>
        <w:autoSpaceDE w:val="0"/>
        <w:autoSpaceDN w:val="0"/>
        <w:adjustRightInd w:val="0"/>
        <w:spacing w:line="360" w:lineRule="auto"/>
        <w:ind w:firstLine="480" w:firstLineChars="200"/>
        <w:rPr>
          <w:rFonts w:ascii="宋体" w:hAnsi="宋体" w:eastAsia="宋体" w:cs="宋体"/>
          <w:sz w:val="24"/>
          <w:highlight w:val="none"/>
        </w:rPr>
      </w:pPr>
      <w:r>
        <w:rPr>
          <w:rFonts w:hint="eastAsia" w:ascii="宋体" w:hAnsi="宋体" w:eastAsia="宋体" w:cs="宋体"/>
          <w:color w:val="000000"/>
          <w:sz w:val="24"/>
          <w:highlight w:val="none"/>
        </w:rPr>
        <w:t>承包人提交详细施工组织设计的期限的约定：</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u w:val="single"/>
        </w:rPr>
        <w:t>合同签订后</w:t>
      </w:r>
      <w:r>
        <w:rPr>
          <w:rFonts w:hint="eastAsia" w:ascii="宋体" w:hAnsi="宋体" w:cs="宋体"/>
          <w:color w:val="000000"/>
          <w:sz w:val="24"/>
          <w:highlight w:val="none"/>
          <w:u w:val="single"/>
          <w:lang w:val="en-US" w:eastAsia="zh-CN"/>
        </w:rPr>
        <w:t>7</w:t>
      </w:r>
      <w:r>
        <w:rPr>
          <w:rFonts w:hint="eastAsia" w:ascii="宋体" w:hAnsi="宋体" w:eastAsia="宋体" w:cs="宋体"/>
          <w:color w:val="000000"/>
          <w:sz w:val="24"/>
          <w:highlight w:val="none"/>
          <w:u w:val="single"/>
        </w:rPr>
        <w:t xml:space="preserve">日内，向监理人提交详细的施工组织设计，并由监理人报送发包人 </w:t>
      </w:r>
      <w:r>
        <w:rPr>
          <w:rFonts w:hint="eastAsia" w:ascii="宋体" w:hAnsi="宋体" w:eastAsia="宋体" w:cs="宋体"/>
          <w:sz w:val="24"/>
          <w:highlight w:val="none"/>
          <w:u w:val="single"/>
        </w:rPr>
        <w:t xml:space="preserve"> 。</w:t>
      </w:r>
    </w:p>
    <w:p w14:paraId="04D168F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发包人和监理人在收到详细的施工组织设计后确认或提出修改意见的期限：</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收到后</w:t>
      </w:r>
      <w:r>
        <w:rPr>
          <w:rFonts w:hint="eastAsia" w:ascii="宋体" w:hAnsi="宋体" w:cs="宋体"/>
          <w:sz w:val="24"/>
          <w:highlight w:val="none"/>
          <w:u w:val="single"/>
          <w:lang w:val="en-US" w:eastAsia="zh-CN"/>
        </w:rPr>
        <w:t>7天内</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43539D5C">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7</w:t>
      </w:r>
      <w:bookmarkStart w:id="1342" w:name="_Toc297216173"/>
      <w:bookmarkStart w:id="1343" w:name="_Toc300934966"/>
      <w:bookmarkStart w:id="1344" w:name="_Toc312678005"/>
      <w:bookmarkStart w:id="1345" w:name="_Toc297123514"/>
      <w:bookmarkStart w:id="1346" w:name="_Toc303539123"/>
      <w:bookmarkStart w:id="1347" w:name="_Toc304295541"/>
      <w:bookmarkStart w:id="1348" w:name="_Toc312677479"/>
      <w:r>
        <w:rPr>
          <w:rFonts w:hint="eastAsia" w:ascii="宋体" w:hAnsi="宋体" w:eastAsia="宋体" w:cs="宋体"/>
          <w:color w:val="000000"/>
          <w:sz w:val="24"/>
          <w:highlight w:val="none"/>
        </w:rPr>
        <w:t>.2 施工进度计划</w:t>
      </w:r>
    </w:p>
    <w:p w14:paraId="6886E82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7.2.2 施工进度计划的修订</w:t>
      </w:r>
    </w:p>
    <w:p w14:paraId="4C1AB641">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发包人和监理人在收到修订的施工进度计划后确认或提出修改意见的期限：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 xml:space="preserve">在收到修订的施工进度计划后 7 日内 </w:t>
      </w:r>
      <w:r>
        <w:rPr>
          <w:rFonts w:hint="eastAsia" w:ascii="宋体" w:hAnsi="宋体" w:eastAsia="宋体" w:cs="宋体"/>
          <w:sz w:val="24"/>
          <w:u w:val="single"/>
        </w:rPr>
        <w:t xml:space="preserve"> 。</w:t>
      </w:r>
    </w:p>
    <w:p w14:paraId="5999ED40">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 开工</w:t>
      </w:r>
    </w:p>
    <w:p w14:paraId="5C621FD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7.3.1 开工准备</w:t>
      </w:r>
    </w:p>
    <w:p w14:paraId="5120509D">
      <w:pPr>
        <w:spacing w:line="360" w:lineRule="auto"/>
        <w:rPr>
          <w:rFonts w:ascii="宋体" w:hAnsi="宋体" w:eastAsia="宋体" w:cs="宋体"/>
          <w:sz w:val="24"/>
          <w:u w:val="single"/>
        </w:rPr>
      </w:pPr>
      <w:r>
        <w:rPr>
          <w:rFonts w:hint="eastAsia" w:ascii="宋体" w:hAnsi="宋体" w:eastAsia="宋体" w:cs="宋体"/>
          <w:color w:val="000000"/>
          <w:sz w:val="24"/>
        </w:rPr>
        <w:t>关于承包人提交工程开工报审表的期限：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合同签订后 7 日内</w:t>
      </w:r>
      <w:r>
        <w:rPr>
          <w:rFonts w:hint="eastAsia" w:ascii="宋体" w:hAnsi="宋体" w:eastAsia="宋体" w:cs="宋体"/>
          <w:sz w:val="24"/>
          <w:u w:val="single"/>
        </w:rPr>
        <w:t xml:space="preserve"> 。</w:t>
      </w:r>
    </w:p>
    <w:p w14:paraId="3934AA4C">
      <w:pPr>
        <w:spacing w:line="360" w:lineRule="auto"/>
        <w:rPr>
          <w:rFonts w:ascii="宋体" w:hAnsi="宋体" w:eastAsia="宋体" w:cs="宋体"/>
          <w:color w:val="000000"/>
          <w:sz w:val="24"/>
        </w:rPr>
      </w:pPr>
      <w:r>
        <w:rPr>
          <w:rFonts w:hint="eastAsia" w:ascii="宋体" w:hAnsi="宋体" w:eastAsia="宋体" w:cs="宋体"/>
          <w:color w:val="000000"/>
          <w:sz w:val="24"/>
        </w:rPr>
        <w:t>关于发包人应完成的其他开工准备工作及期限：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合同签订后 7 日内</w:t>
      </w:r>
      <w:r>
        <w:rPr>
          <w:rFonts w:hint="eastAsia" w:ascii="宋体" w:hAnsi="宋体" w:eastAsia="宋体" w:cs="宋体"/>
          <w:sz w:val="24"/>
          <w:u w:val="single"/>
        </w:rPr>
        <w:t xml:space="preserve"> 。</w:t>
      </w:r>
    </w:p>
    <w:p w14:paraId="15C4C41F">
      <w:pPr>
        <w:spacing w:line="360" w:lineRule="auto"/>
        <w:rPr>
          <w:rFonts w:ascii="宋体" w:hAnsi="宋体" w:eastAsia="宋体" w:cs="宋体"/>
          <w:color w:val="000000"/>
          <w:sz w:val="24"/>
        </w:rPr>
      </w:pPr>
      <w:r>
        <w:rPr>
          <w:rFonts w:hint="eastAsia" w:ascii="宋体" w:hAnsi="宋体" w:eastAsia="宋体" w:cs="宋体"/>
          <w:color w:val="000000"/>
          <w:sz w:val="24"/>
        </w:rPr>
        <w:t>关于承包人应完成的其他开工准备工作及期限：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合同签订后 7 日内</w:t>
      </w:r>
      <w:r>
        <w:rPr>
          <w:rFonts w:hint="eastAsia" w:ascii="宋体" w:hAnsi="宋体" w:eastAsia="宋体" w:cs="宋体"/>
          <w:sz w:val="24"/>
          <w:u w:val="single"/>
        </w:rPr>
        <w:t xml:space="preserve"> 。</w:t>
      </w:r>
      <w:r>
        <w:rPr>
          <w:rFonts w:hint="eastAsia" w:ascii="宋体" w:hAnsi="宋体" w:eastAsia="宋体" w:cs="宋体"/>
          <w:color w:val="000000"/>
          <w:sz w:val="24"/>
        </w:rPr>
        <w:t xml:space="preserve"> </w:t>
      </w:r>
    </w:p>
    <w:p w14:paraId="484C6AC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7.3.2开工通知</w:t>
      </w:r>
    </w:p>
    <w:p w14:paraId="28CE7FA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因发包人原因造成监理人未能在计划开工日期之日起</w:t>
      </w:r>
      <w:r>
        <w:rPr>
          <w:rFonts w:hint="eastAsia" w:ascii="宋体" w:hAnsi="宋体" w:eastAsia="宋体" w:cs="宋体"/>
          <w:sz w:val="24"/>
          <w:u w:val="single"/>
        </w:rPr>
        <w:t xml:space="preserve"> 30 </w:t>
      </w:r>
      <w:r>
        <w:rPr>
          <w:rFonts w:hint="eastAsia" w:ascii="宋体" w:hAnsi="宋体" w:eastAsia="宋体" w:cs="宋体"/>
          <w:color w:val="000000"/>
          <w:sz w:val="24"/>
        </w:rPr>
        <w:t>天内发出开工通知的，承包人有权提出价格调整要求，或者解除合同。</w:t>
      </w:r>
    </w:p>
    <w:bookmarkEnd w:id="1342"/>
    <w:bookmarkEnd w:id="1343"/>
    <w:bookmarkEnd w:id="1344"/>
    <w:bookmarkEnd w:id="1345"/>
    <w:bookmarkEnd w:id="1346"/>
    <w:bookmarkEnd w:id="1347"/>
    <w:bookmarkEnd w:id="1348"/>
    <w:p w14:paraId="21EBBC58">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7.4 测量放线</w:t>
      </w:r>
    </w:p>
    <w:p w14:paraId="545671D2">
      <w:pPr>
        <w:spacing w:line="360" w:lineRule="auto"/>
        <w:ind w:firstLine="480" w:firstLineChars="200"/>
        <w:rPr>
          <w:rFonts w:ascii="宋体" w:hAnsi="宋体" w:eastAsia="宋体" w:cs="宋体"/>
          <w:sz w:val="24"/>
          <w:u w:val="single"/>
        </w:rPr>
      </w:pPr>
      <w:r>
        <w:rPr>
          <w:rFonts w:hint="eastAsia" w:ascii="宋体" w:hAnsi="宋体" w:eastAsia="宋体" w:cs="宋体"/>
          <w:sz w:val="24"/>
        </w:rPr>
        <w:t>7.4.1发包人通过监理人向承包人提供测量基准点、基准线和水准点及其书面资料的期限：</w:t>
      </w:r>
      <w:r>
        <w:rPr>
          <w:rFonts w:hint="eastAsia" w:ascii="宋体" w:hAnsi="宋体" w:eastAsia="宋体" w:cs="宋体"/>
          <w:sz w:val="24"/>
          <w:u w:val="single"/>
        </w:rPr>
        <w:t xml:space="preserve"> 开工前7天   </w:t>
      </w:r>
      <w:r>
        <w:rPr>
          <w:rFonts w:hint="eastAsia" w:ascii="宋体" w:hAnsi="宋体" w:eastAsia="宋体" w:cs="宋体"/>
          <w:sz w:val="24"/>
        </w:rPr>
        <w:t>。</w:t>
      </w:r>
    </w:p>
    <w:p w14:paraId="1C9AB711">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w:t>
      </w:r>
      <w:bookmarkStart w:id="1349" w:name="_Toc312678010"/>
      <w:bookmarkStart w:id="1350" w:name="_Toc312677484"/>
      <w:bookmarkStart w:id="1351" w:name="_Toc297216175"/>
      <w:bookmarkStart w:id="1352" w:name="_Toc304295546"/>
      <w:bookmarkStart w:id="1353" w:name="_Toc303539125"/>
      <w:bookmarkStart w:id="1354" w:name="_Toc297123516"/>
      <w:bookmarkStart w:id="1355" w:name="_Toc300934968"/>
      <w:r>
        <w:rPr>
          <w:rFonts w:hint="eastAsia" w:ascii="宋体" w:hAnsi="宋体" w:eastAsia="宋体" w:cs="宋体"/>
          <w:color w:val="000000"/>
          <w:sz w:val="24"/>
        </w:rPr>
        <w:t>.5 工期延误</w:t>
      </w:r>
    </w:p>
    <w:bookmarkEnd w:id="1349"/>
    <w:bookmarkEnd w:id="1350"/>
    <w:bookmarkEnd w:id="1351"/>
    <w:bookmarkEnd w:id="1352"/>
    <w:bookmarkEnd w:id="1353"/>
    <w:bookmarkEnd w:id="1354"/>
    <w:bookmarkEnd w:id="1355"/>
    <w:p w14:paraId="2B3B4BD1">
      <w:pPr>
        <w:spacing w:line="360" w:lineRule="auto"/>
        <w:ind w:firstLine="480" w:firstLineChars="200"/>
        <w:rPr>
          <w:rFonts w:ascii="宋体" w:hAnsi="宋体" w:eastAsia="宋体" w:cs="宋体"/>
          <w:sz w:val="24"/>
        </w:rPr>
      </w:pPr>
      <w:r>
        <w:rPr>
          <w:rFonts w:hint="eastAsia" w:ascii="宋体" w:hAnsi="宋体" w:eastAsia="宋体" w:cs="宋体"/>
          <w:sz w:val="24"/>
        </w:rPr>
        <w:t>7.5.1 因发包人原因导致工期延误</w:t>
      </w:r>
    </w:p>
    <w:p w14:paraId="77263AF5">
      <w:pPr>
        <w:spacing w:line="360" w:lineRule="auto"/>
        <w:ind w:firstLine="480" w:firstLineChars="200"/>
        <w:rPr>
          <w:rFonts w:ascii="宋体" w:hAnsi="宋体" w:eastAsia="宋体" w:cs="宋体"/>
          <w:sz w:val="24"/>
          <w:u w:val="single"/>
        </w:rPr>
      </w:pPr>
      <w:r>
        <w:rPr>
          <w:rFonts w:hint="eastAsia" w:ascii="宋体" w:hAnsi="宋体" w:eastAsia="宋体" w:cs="宋体"/>
          <w:sz w:val="24"/>
        </w:rPr>
        <w:t>（7）因发包人原因导致工期延误的其他情形：</w:t>
      </w:r>
      <w:r>
        <w:rPr>
          <w:rFonts w:hint="eastAsia" w:ascii="宋体" w:hAnsi="宋体" w:eastAsia="宋体" w:cs="宋体"/>
          <w:sz w:val="24"/>
          <w:u w:val="single"/>
        </w:rPr>
        <w:t xml:space="preserve"> </w:t>
      </w:r>
      <w:r>
        <w:rPr>
          <w:rFonts w:hint="eastAsia" w:ascii="宋体" w:hAnsi="宋体" w:eastAsia="宋体" w:cs="宋体"/>
          <w:color w:val="000000"/>
          <w:sz w:val="24"/>
          <w:u w:val="single"/>
        </w:rPr>
        <w:t>不可抗拒的暴恐、天气等原因，工期相应顺延</w:t>
      </w:r>
      <w:r>
        <w:rPr>
          <w:rFonts w:hint="eastAsia" w:ascii="宋体" w:hAnsi="宋体" w:eastAsia="宋体" w:cs="宋体"/>
          <w:sz w:val="24"/>
          <w:u w:val="single"/>
        </w:rPr>
        <w:t xml:space="preserve"> 。</w:t>
      </w:r>
    </w:p>
    <w:p w14:paraId="45EAB5B1">
      <w:pPr>
        <w:spacing w:line="360" w:lineRule="auto"/>
        <w:ind w:firstLine="480" w:firstLineChars="200"/>
        <w:rPr>
          <w:rFonts w:ascii="宋体" w:hAnsi="宋体" w:eastAsia="宋体" w:cs="宋体"/>
          <w:sz w:val="24"/>
        </w:rPr>
      </w:pPr>
      <w:r>
        <w:rPr>
          <w:rFonts w:hint="eastAsia" w:ascii="宋体" w:hAnsi="宋体" w:eastAsia="宋体" w:cs="宋体"/>
          <w:sz w:val="24"/>
        </w:rPr>
        <w:t>7</w:t>
      </w:r>
      <w:bookmarkStart w:id="1356" w:name="_Toc318581169"/>
      <w:bookmarkStart w:id="1357" w:name="_Toc312677486"/>
      <w:bookmarkStart w:id="1358" w:name="_Toc312678012"/>
      <w:bookmarkStart w:id="1359" w:name="_Toc303539127"/>
      <w:bookmarkStart w:id="1360" w:name="_Toc297216177"/>
      <w:bookmarkStart w:id="1361" w:name="_Toc304295548"/>
      <w:bookmarkStart w:id="1362" w:name="_Toc297123518"/>
      <w:bookmarkStart w:id="1363" w:name="_Toc300934970"/>
      <w:r>
        <w:rPr>
          <w:rFonts w:hint="eastAsia" w:ascii="宋体" w:hAnsi="宋体" w:eastAsia="宋体" w:cs="宋体"/>
          <w:sz w:val="24"/>
        </w:rPr>
        <w:t>.5.2 因承包人原因导致工期延误</w:t>
      </w:r>
    </w:p>
    <w:bookmarkEnd w:id="1356"/>
    <w:bookmarkEnd w:id="1357"/>
    <w:bookmarkEnd w:id="1358"/>
    <w:p w14:paraId="66FFDA3F">
      <w:pPr>
        <w:spacing w:line="360" w:lineRule="auto"/>
        <w:ind w:firstLine="480" w:firstLineChars="200"/>
        <w:rPr>
          <w:rFonts w:ascii="宋体" w:hAnsi="宋体" w:eastAsia="宋体" w:cs="宋体"/>
          <w:sz w:val="24"/>
          <w:u w:val="single"/>
        </w:rPr>
      </w:pPr>
      <w:r>
        <w:rPr>
          <w:rFonts w:hint="eastAsia" w:ascii="宋体" w:hAnsi="宋体" w:eastAsia="宋体" w:cs="宋体"/>
          <w:sz w:val="24"/>
        </w:rPr>
        <w:t>因</w:t>
      </w:r>
      <w:bookmarkStart w:id="1364" w:name="_Toc318581170"/>
      <w:bookmarkStart w:id="1365" w:name="_Toc312677487"/>
      <w:bookmarkStart w:id="1366" w:name="_Toc312678013"/>
      <w:r>
        <w:rPr>
          <w:rFonts w:hint="eastAsia" w:ascii="宋体" w:hAnsi="宋体" w:eastAsia="宋体" w:cs="宋体"/>
          <w:sz w:val="24"/>
        </w:rPr>
        <w:t>承包人原因造成工期延误，逾期竣工违约金的计算方法为</w:t>
      </w:r>
      <w:bookmarkEnd w:id="1359"/>
      <w:bookmarkEnd w:id="1360"/>
      <w:bookmarkEnd w:id="1361"/>
      <w:bookmarkEnd w:id="1362"/>
      <w:bookmarkEnd w:id="1363"/>
      <w:bookmarkEnd w:id="1364"/>
      <w:bookmarkEnd w:id="1365"/>
      <w:bookmarkEnd w:id="1366"/>
      <w:r>
        <w:rPr>
          <w:rFonts w:hint="eastAsia" w:ascii="宋体" w:hAnsi="宋体" w:eastAsia="宋体" w:cs="宋体"/>
          <w:sz w:val="24"/>
        </w:rPr>
        <w:t>：</w:t>
      </w:r>
      <w:r>
        <w:rPr>
          <w:rFonts w:hint="eastAsia" w:ascii="宋体" w:hAnsi="宋体" w:eastAsia="宋体" w:cs="宋体"/>
          <w:sz w:val="24"/>
          <w:u w:val="single"/>
        </w:rPr>
        <w:t>逾期罚款1000元/天。</w:t>
      </w:r>
    </w:p>
    <w:p w14:paraId="37646A9D">
      <w:pPr>
        <w:spacing w:line="360" w:lineRule="auto"/>
        <w:ind w:firstLine="480" w:firstLineChars="200"/>
        <w:rPr>
          <w:rFonts w:ascii="宋体" w:hAnsi="宋体" w:eastAsia="宋体" w:cs="宋体"/>
          <w:sz w:val="24"/>
        </w:rPr>
      </w:pPr>
      <w:r>
        <w:rPr>
          <w:rFonts w:hint="eastAsia" w:ascii="宋体" w:hAnsi="宋体" w:eastAsia="宋体" w:cs="宋体"/>
          <w:sz w:val="24"/>
        </w:rPr>
        <w:t>因承包人原因造成工期延误，逾</w:t>
      </w:r>
      <w:bookmarkStart w:id="1367" w:name="_Toc312678014"/>
      <w:bookmarkStart w:id="1368" w:name="_Toc318581171"/>
      <w:r>
        <w:rPr>
          <w:rFonts w:hint="eastAsia" w:ascii="宋体" w:hAnsi="宋体" w:eastAsia="宋体" w:cs="宋体"/>
          <w:sz w:val="24"/>
        </w:rPr>
        <w:t>期竣工违约金的上限：</w:t>
      </w:r>
      <w:r>
        <w:rPr>
          <w:rFonts w:hint="eastAsia" w:ascii="宋体" w:hAnsi="宋体" w:eastAsia="宋体" w:cs="宋体"/>
          <w:sz w:val="24"/>
          <w:u w:val="single"/>
        </w:rPr>
        <w:t xml:space="preserve"> 总额不超过合同价款的10% </w:t>
      </w:r>
      <w:r>
        <w:rPr>
          <w:rFonts w:hint="eastAsia" w:ascii="宋体" w:hAnsi="宋体" w:eastAsia="宋体" w:cs="宋体"/>
          <w:sz w:val="24"/>
        </w:rPr>
        <w:t>。</w:t>
      </w:r>
    </w:p>
    <w:bookmarkEnd w:id="1367"/>
    <w:bookmarkEnd w:id="1368"/>
    <w:p w14:paraId="43B52D4F">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w:t>
      </w:r>
      <w:bookmarkStart w:id="1369" w:name="_Toc297123519"/>
      <w:bookmarkStart w:id="1370" w:name="_Toc303539128"/>
      <w:bookmarkStart w:id="1371" w:name="_Toc300934971"/>
      <w:bookmarkStart w:id="1372" w:name="_Toc297216178"/>
      <w:bookmarkStart w:id="1373" w:name="_Toc312678015"/>
      <w:bookmarkStart w:id="1374" w:name="_Toc304295549"/>
      <w:r>
        <w:rPr>
          <w:rFonts w:hint="eastAsia" w:ascii="宋体" w:hAnsi="宋体" w:eastAsia="宋体" w:cs="宋体"/>
          <w:color w:val="000000"/>
          <w:sz w:val="24"/>
        </w:rPr>
        <w:t>.6 不</w:t>
      </w:r>
      <w:bookmarkEnd w:id="1369"/>
      <w:bookmarkEnd w:id="1370"/>
      <w:bookmarkEnd w:id="1371"/>
      <w:bookmarkEnd w:id="1372"/>
      <w:bookmarkEnd w:id="1373"/>
      <w:bookmarkEnd w:id="1374"/>
      <w:r>
        <w:rPr>
          <w:rFonts w:hint="eastAsia" w:ascii="宋体" w:hAnsi="宋体" w:eastAsia="宋体" w:cs="宋体"/>
          <w:color w:val="000000"/>
          <w:sz w:val="24"/>
        </w:rPr>
        <w:t>利物质条件</w:t>
      </w:r>
    </w:p>
    <w:p w14:paraId="05CFF951">
      <w:pPr>
        <w:spacing w:line="360" w:lineRule="auto"/>
        <w:ind w:firstLine="480" w:firstLineChars="200"/>
        <w:rPr>
          <w:rFonts w:ascii="宋体" w:hAnsi="宋体" w:eastAsia="宋体" w:cs="宋体"/>
          <w:sz w:val="24"/>
        </w:rPr>
      </w:pPr>
      <w:bookmarkStart w:id="1375" w:name="_Toc304295550"/>
      <w:bookmarkStart w:id="1376" w:name="_Toc300934972"/>
      <w:bookmarkStart w:id="1377" w:name="_Toc297216179"/>
      <w:bookmarkStart w:id="1378" w:name="_Toc318581172"/>
      <w:bookmarkStart w:id="1379" w:name="_Toc297123520"/>
      <w:bookmarkStart w:id="1380" w:name="_Toc303539129"/>
      <w:bookmarkStart w:id="1381" w:name="_Toc312678016"/>
      <w:r>
        <w:rPr>
          <w:rFonts w:hint="eastAsia" w:ascii="宋体" w:hAnsi="宋体" w:eastAsia="宋体" w:cs="宋体"/>
          <w:sz w:val="24"/>
        </w:rPr>
        <w:t>不利物质条件的其他情形和有关约定：</w:t>
      </w:r>
      <w:r>
        <w:rPr>
          <w:rFonts w:hint="eastAsia" w:ascii="宋体" w:hAnsi="宋体" w:eastAsia="宋体" w:cs="宋体"/>
          <w:sz w:val="24"/>
          <w:u w:val="single"/>
        </w:rPr>
        <w:t xml:space="preserve"> 执行合同通用条款    </w:t>
      </w:r>
      <w:r>
        <w:rPr>
          <w:rFonts w:hint="eastAsia" w:ascii="宋体" w:hAnsi="宋体" w:eastAsia="宋体" w:cs="宋体"/>
          <w:sz w:val="24"/>
        </w:rPr>
        <w:t>。</w:t>
      </w:r>
    </w:p>
    <w:bookmarkEnd w:id="1375"/>
    <w:bookmarkEnd w:id="1376"/>
    <w:bookmarkEnd w:id="1377"/>
    <w:bookmarkEnd w:id="1378"/>
    <w:bookmarkEnd w:id="1379"/>
    <w:bookmarkEnd w:id="1380"/>
    <w:bookmarkEnd w:id="1381"/>
    <w:p w14:paraId="68104795">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w:t>
      </w:r>
      <w:bookmarkStart w:id="1382" w:name="_Toc297216180"/>
      <w:bookmarkStart w:id="1383" w:name="_Toc312678017"/>
      <w:bookmarkStart w:id="1384" w:name="_Toc297123521"/>
      <w:bookmarkStart w:id="1385" w:name="_Toc300934973"/>
      <w:bookmarkStart w:id="1386" w:name="_Toc303539130"/>
      <w:bookmarkStart w:id="1387" w:name="_Toc304295551"/>
      <w:r>
        <w:rPr>
          <w:rFonts w:hint="eastAsia" w:ascii="宋体" w:hAnsi="宋体" w:eastAsia="宋体" w:cs="宋体"/>
          <w:color w:val="000000"/>
          <w:sz w:val="24"/>
        </w:rPr>
        <w:t>.7异常恶劣的气候条件</w:t>
      </w:r>
    </w:p>
    <w:bookmarkEnd w:id="1382"/>
    <w:bookmarkEnd w:id="1383"/>
    <w:bookmarkEnd w:id="1384"/>
    <w:bookmarkEnd w:id="1385"/>
    <w:bookmarkEnd w:id="1386"/>
    <w:bookmarkEnd w:id="1387"/>
    <w:p w14:paraId="1711EA42">
      <w:pPr>
        <w:spacing w:line="360" w:lineRule="auto"/>
        <w:ind w:firstLine="480" w:firstLineChars="200"/>
        <w:rPr>
          <w:rFonts w:ascii="宋体" w:hAnsi="宋体" w:eastAsia="宋体" w:cs="宋体"/>
          <w:sz w:val="24"/>
        </w:rPr>
      </w:pPr>
      <w:r>
        <w:rPr>
          <w:rFonts w:hint="eastAsia" w:ascii="宋体" w:hAnsi="宋体" w:eastAsia="宋体" w:cs="宋体"/>
          <w:sz w:val="24"/>
        </w:rPr>
        <w:t>发包人和承包人同意以下情形视为异常恶劣的气候条件：</w:t>
      </w:r>
    </w:p>
    <w:p w14:paraId="3D75528E">
      <w:pPr>
        <w:spacing w:line="360" w:lineRule="auto"/>
        <w:ind w:firstLine="480" w:firstLineChars="200"/>
        <w:rPr>
          <w:rFonts w:ascii="宋体" w:hAnsi="宋体" w:eastAsia="宋体" w:cs="宋体"/>
          <w:sz w:val="24"/>
        </w:rPr>
      </w:pPr>
      <w:r>
        <w:rPr>
          <w:rFonts w:hint="eastAsia" w:ascii="宋体" w:hAnsi="宋体" w:eastAsia="宋体" w:cs="宋体"/>
          <w:sz w:val="24"/>
        </w:rPr>
        <w:t>（1）</w:t>
      </w:r>
      <w:r>
        <w:rPr>
          <w:rFonts w:hint="eastAsia" w:ascii="宋体" w:hAnsi="宋体" w:eastAsia="宋体" w:cs="宋体"/>
          <w:sz w:val="24"/>
          <w:u w:val="single"/>
        </w:rPr>
        <w:t xml:space="preserve"> 地震、沙尘、六级以上大风等，不可预见且不可抗力的因素  </w:t>
      </w:r>
      <w:r>
        <w:rPr>
          <w:rFonts w:hint="eastAsia" w:ascii="宋体" w:hAnsi="宋体" w:eastAsia="宋体" w:cs="宋体"/>
          <w:sz w:val="24"/>
        </w:rPr>
        <w:t>；</w:t>
      </w:r>
    </w:p>
    <w:p w14:paraId="496AF55D">
      <w:pPr>
        <w:spacing w:line="360" w:lineRule="auto"/>
        <w:ind w:firstLine="480" w:firstLineChars="200"/>
        <w:rPr>
          <w:rFonts w:ascii="宋体" w:hAnsi="宋体" w:eastAsia="宋体" w:cs="宋体"/>
          <w:sz w:val="24"/>
        </w:rPr>
      </w:pPr>
      <w:r>
        <w:rPr>
          <w:rFonts w:hint="eastAsia" w:ascii="宋体" w:hAnsi="宋体" w:eastAsia="宋体" w:cs="宋体"/>
          <w:sz w:val="24"/>
        </w:rPr>
        <w:t>（2）</w:t>
      </w:r>
      <w:r>
        <w:rPr>
          <w:rFonts w:hint="eastAsia" w:ascii="宋体" w:hAnsi="宋体" w:eastAsia="宋体" w:cs="宋体"/>
          <w:sz w:val="24"/>
          <w:u w:val="single"/>
        </w:rPr>
        <w:t xml:space="preserve"> 双方另行确定   </w:t>
      </w:r>
      <w:r>
        <w:rPr>
          <w:rFonts w:hint="eastAsia" w:ascii="宋体" w:hAnsi="宋体" w:eastAsia="宋体" w:cs="宋体"/>
          <w:sz w:val="24"/>
        </w:rPr>
        <w:t>；</w:t>
      </w:r>
    </w:p>
    <w:p w14:paraId="5AE73D1F">
      <w:pPr>
        <w:spacing w:line="360" w:lineRule="auto"/>
        <w:ind w:firstLine="480" w:firstLineChars="200"/>
        <w:rPr>
          <w:rFonts w:ascii="宋体" w:hAnsi="宋体" w:eastAsia="宋体" w:cs="宋体"/>
          <w:sz w:val="24"/>
        </w:rPr>
      </w:pPr>
      <w:r>
        <w:rPr>
          <w:rFonts w:hint="eastAsia" w:ascii="宋体" w:hAnsi="宋体" w:eastAsia="宋体" w:cs="宋体"/>
          <w:sz w:val="24"/>
        </w:rPr>
        <w:t>（3）</w:t>
      </w:r>
      <w:r>
        <w:rPr>
          <w:rFonts w:hint="eastAsia" w:ascii="宋体" w:hAnsi="宋体" w:eastAsia="宋体" w:cs="宋体"/>
          <w:sz w:val="24"/>
          <w:u w:val="single"/>
        </w:rPr>
        <w:t xml:space="preserve"> 双方另行确定   </w:t>
      </w:r>
      <w:r>
        <w:rPr>
          <w:rFonts w:hint="eastAsia" w:ascii="宋体" w:hAnsi="宋体" w:eastAsia="宋体" w:cs="宋体"/>
          <w:sz w:val="24"/>
        </w:rPr>
        <w:t>；</w:t>
      </w:r>
    </w:p>
    <w:p w14:paraId="35B4592E">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7.9 提前竣工的奖励</w:t>
      </w:r>
    </w:p>
    <w:p w14:paraId="69242494">
      <w:pPr>
        <w:spacing w:line="360" w:lineRule="auto"/>
        <w:ind w:firstLine="480" w:firstLineChars="200"/>
        <w:rPr>
          <w:rFonts w:ascii="宋体" w:hAnsi="宋体" w:eastAsia="宋体" w:cs="宋体"/>
          <w:sz w:val="24"/>
        </w:rPr>
      </w:pPr>
      <w:r>
        <w:rPr>
          <w:rFonts w:hint="eastAsia" w:ascii="宋体" w:hAnsi="宋体" w:eastAsia="宋体" w:cs="宋体"/>
          <w:sz w:val="24"/>
        </w:rPr>
        <w:t>7.9.2提前竣工的奖励：</w:t>
      </w:r>
      <w:r>
        <w:rPr>
          <w:rFonts w:hint="eastAsia" w:ascii="宋体" w:hAnsi="宋体" w:eastAsia="宋体" w:cs="宋体"/>
          <w:sz w:val="24"/>
          <w:u w:val="single"/>
        </w:rPr>
        <w:t xml:space="preserve"> 无   </w:t>
      </w:r>
      <w:r>
        <w:rPr>
          <w:rFonts w:hint="eastAsia" w:ascii="宋体" w:hAnsi="宋体" w:eastAsia="宋体" w:cs="宋体"/>
          <w:sz w:val="24"/>
        </w:rPr>
        <w:t>。</w:t>
      </w:r>
    </w:p>
    <w:p w14:paraId="65674413">
      <w:pPr>
        <w:rPr>
          <w:rFonts w:ascii="宋体" w:hAnsi="宋体" w:eastAsia="宋体" w:cs="宋体"/>
          <w:b/>
          <w:sz w:val="24"/>
        </w:rPr>
      </w:pPr>
      <w:bookmarkStart w:id="1388" w:name="_Toc351203640"/>
      <w:r>
        <w:rPr>
          <w:rFonts w:hint="eastAsia" w:ascii="宋体" w:hAnsi="宋体" w:eastAsia="宋体" w:cs="宋体"/>
          <w:b/>
          <w:sz w:val="24"/>
        </w:rPr>
        <w:t>8. 材料与设备</w:t>
      </w:r>
      <w:bookmarkEnd w:id="1388"/>
    </w:p>
    <w:bookmarkEnd w:id="1323"/>
    <w:bookmarkEnd w:id="1324"/>
    <w:bookmarkEnd w:id="1325"/>
    <w:bookmarkEnd w:id="1326"/>
    <w:bookmarkEnd w:id="1327"/>
    <w:bookmarkEnd w:id="1328"/>
    <w:bookmarkEnd w:id="1329"/>
    <w:bookmarkEnd w:id="1330"/>
    <w:bookmarkEnd w:id="1331"/>
    <w:bookmarkEnd w:id="1332"/>
    <w:p w14:paraId="3AD8A57D">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w:t>
      </w:r>
      <w:bookmarkStart w:id="1389" w:name="_Toc296944506"/>
      <w:bookmarkStart w:id="1390" w:name="_Toc297120467"/>
      <w:bookmarkStart w:id="1391" w:name="_Toc292559372"/>
      <w:bookmarkStart w:id="1392" w:name="_Toc296891207"/>
      <w:bookmarkStart w:id="1393" w:name="_Toc292559877"/>
      <w:bookmarkStart w:id="1394" w:name="_Toc300934979"/>
      <w:bookmarkStart w:id="1395" w:name="_Toc296346668"/>
      <w:bookmarkStart w:id="1396" w:name="_Toc297048353"/>
      <w:bookmarkStart w:id="1397" w:name="_Toc304295556"/>
      <w:bookmarkStart w:id="1398" w:name="_Toc297216186"/>
      <w:bookmarkStart w:id="1399" w:name="_Toc297123527"/>
      <w:bookmarkStart w:id="1400" w:name="_Toc296890995"/>
      <w:bookmarkStart w:id="1401" w:name="_Toc312678019"/>
      <w:bookmarkStart w:id="1402" w:name="_Toc296503167"/>
      <w:bookmarkStart w:id="1403" w:name="_Toc280868654"/>
      <w:bookmarkStart w:id="1404" w:name="_Toc303539136"/>
      <w:bookmarkStart w:id="1405" w:name="_Toc312677493"/>
      <w:bookmarkStart w:id="1406" w:name="_Toc296347166"/>
      <w:bookmarkStart w:id="1407" w:name="_Toc267251424"/>
      <w:bookmarkStart w:id="1408" w:name="_Toc280868655"/>
      <w:bookmarkStart w:id="1409" w:name="_Toc280868656"/>
      <w:r>
        <w:rPr>
          <w:rFonts w:hint="eastAsia" w:ascii="宋体" w:hAnsi="宋体" w:eastAsia="宋体" w:cs="宋体"/>
          <w:color w:val="000000"/>
          <w:sz w:val="24"/>
        </w:rPr>
        <w:t>.4材料与工程设备的保管与使用</w:t>
      </w:r>
    </w:p>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p w14:paraId="49367915">
      <w:pPr>
        <w:spacing w:line="360" w:lineRule="auto"/>
        <w:ind w:firstLine="480" w:firstLineChars="200"/>
        <w:rPr>
          <w:rFonts w:ascii="宋体" w:hAnsi="宋体" w:eastAsia="宋体" w:cs="宋体"/>
          <w:sz w:val="24"/>
        </w:rPr>
      </w:pPr>
      <w:r>
        <w:rPr>
          <w:rFonts w:hint="eastAsia" w:ascii="宋体" w:hAnsi="宋体" w:eastAsia="宋体" w:cs="宋体"/>
          <w:sz w:val="24"/>
        </w:rPr>
        <w:t>8</w:t>
      </w:r>
      <w:bookmarkStart w:id="1410" w:name="_Toc292559878"/>
      <w:bookmarkStart w:id="1411" w:name="_Toc292559373"/>
      <w:bookmarkStart w:id="1412" w:name="_Toc300934980"/>
      <w:bookmarkStart w:id="1413" w:name="_Toc318581173"/>
      <w:bookmarkStart w:id="1414" w:name="_Toc297123528"/>
      <w:bookmarkStart w:id="1415" w:name="_Toc296346669"/>
      <w:bookmarkStart w:id="1416" w:name="_Toc304295557"/>
      <w:bookmarkStart w:id="1417" w:name="_Toc312678020"/>
      <w:bookmarkStart w:id="1418" w:name="_Toc296891208"/>
      <w:bookmarkStart w:id="1419" w:name="_Toc296347167"/>
      <w:bookmarkStart w:id="1420" w:name="_Toc296890996"/>
      <w:bookmarkStart w:id="1421" w:name="_Toc296503168"/>
      <w:bookmarkStart w:id="1422" w:name="_Toc297216187"/>
      <w:bookmarkStart w:id="1423" w:name="_Toc312677494"/>
      <w:bookmarkStart w:id="1424" w:name="_Toc296944507"/>
      <w:bookmarkStart w:id="1425" w:name="_Toc297048354"/>
      <w:bookmarkStart w:id="1426" w:name="_Toc303539137"/>
      <w:bookmarkStart w:id="1427" w:name="_Toc297120468"/>
      <w:r>
        <w:rPr>
          <w:rFonts w:hint="eastAsia" w:ascii="宋体" w:hAnsi="宋体" w:eastAsia="宋体" w:cs="宋体"/>
          <w:sz w:val="24"/>
        </w:rPr>
        <w:t>.4.1发包人供应的材料设备的保管费用的承担：</w:t>
      </w:r>
      <w:r>
        <w:rPr>
          <w:rFonts w:hint="eastAsia" w:ascii="宋体" w:hAnsi="宋体" w:eastAsia="宋体" w:cs="宋体"/>
          <w:sz w:val="24"/>
          <w:u w:val="single"/>
        </w:rPr>
        <w:t xml:space="preserve"> 无  </w:t>
      </w:r>
      <w:r>
        <w:rPr>
          <w:rFonts w:hint="eastAsia" w:ascii="宋体" w:hAnsi="宋体" w:eastAsia="宋体" w:cs="宋体"/>
          <w:sz w:val="24"/>
        </w:rPr>
        <w:t>。</w:t>
      </w:r>
      <w:bookmarkEnd w:id="1410"/>
      <w:bookmarkEnd w:id="1411"/>
    </w:p>
    <w:p w14:paraId="5D43519D">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 样品</w:t>
      </w:r>
    </w:p>
    <w:p w14:paraId="5446E90A">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8.6.1 样品的报送与封存</w:t>
      </w:r>
    </w:p>
    <w:p w14:paraId="642FABB5">
      <w:pPr>
        <w:autoSpaceDE w:val="0"/>
        <w:autoSpaceDN w:val="0"/>
        <w:adjustRightInd w:val="0"/>
        <w:spacing w:line="360" w:lineRule="auto"/>
        <w:ind w:firstLine="420"/>
        <w:rPr>
          <w:rFonts w:ascii="宋体" w:hAnsi="宋体" w:eastAsia="宋体" w:cs="宋体"/>
          <w:sz w:val="24"/>
        </w:rPr>
      </w:pPr>
      <w:r>
        <w:rPr>
          <w:rFonts w:hint="eastAsia" w:ascii="宋体" w:hAnsi="宋体" w:eastAsia="宋体" w:cs="宋体"/>
          <w:color w:val="000000"/>
          <w:sz w:val="24"/>
        </w:rPr>
        <w:t>需要承包人报送样品的材料或工程设备，样品的种类、名称、规格、数量要求：</w:t>
      </w:r>
      <w:r>
        <w:rPr>
          <w:rFonts w:hint="eastAsia" w:ascii="宋体" w:hAnsi="宋体" w:eastAsia="宋体" w:cs="宋体"/>
          <w:color w:val="000000"/>
          <w:sz w:val="24"/>
          <w:u w:val="single"/>
        </w:rPr>
        <w:t>符合《中华人民共和国建筑法》、《建设工程质量管理条例》、《建设工程质量检测管理办法》及当地相关法规的要求。除发包人决定采购的重大设备材料外，均由承包方自行采购，所有进场 材料必须“三证”齐全，并应向项目管理单位提供有资质的检测机构出具检测报告，所有设备 材料进场时需由建设单位、施工单位共同验收合格后方可使用</w:t>
      </w:r>
      <w:r>
        <w:rPr>
          <w:rFonts w:hint="eastAsia" w:ascii="宋体" w:hAnsi="宋体" w:eastAsia="宋体" w:cs="宋体"/>
          <w:sz w:val="24"/>
          <w:u w:val="single"/>
        </w:rPr>
        <w:t>。</w:t>
      </w:r>
    </w:p>
    <w:p w14:paraId="6D5F281E">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8.8 施工设备和临时设施</w:t>
      </w:r>
    </w:p>
    <w:p w14:paraId="1EF79E9E">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8.8.1 承包人提供的施工设备和临时设施</w:t>
      </w:r>
    </w:p>
    <w:p w14:paraId="5E0BC9FB">
      <w:pPr>
        <w:autoSpaceDE w:val="0"/>
        <w:autoSpaceDN w:val="0"/>
        <w:adjustRightInd w:val="0"/>
        <w:spacing w:line="360" w:lineRule="auto"/>
        <w:ind w:firstLine="480" w:firstLineChars="200"/>
        <w:rPr>
          <w:rFonts w:ascii="宋体" w:hAnsi="宋体" w:eastAsia="宋体" w:cs="宋体"/>
          <w:sz w:val="24"/>
        </w:rPr>
      </w:pPr>
      <w:r>
        <w:rPr>
          <w:rFonts w:hint="eastAsia" w:ascii="宋体" w:hAnsi="宋体" w:eastAsia="宋体" w:cs="宋体"/>
          <w:sz w:val="24"/>
        </w:rPr>
        <w:t>关于修建临时设施费用承担的约定：</w:t>
      </w:r>
      <w:r>
        <w:rPr>
          <w:rFonts w:hint="eastAsia" w:ascii="宋体" w:hAnsi="宋体" w:eastAsia="宋体" w:cs="宋体"/>
          <w:sz w:val="24"/>
          <w:u w:val="single"/>
        </w:rPr>
        <w:t xml:space="preserve"> 由承包人承担  </w:t>
      </w:r>
      <w:r>
        <w:rPr>
          <w:rFonts w:hint="eastAsia" w:ascii="宋体" w:hAnsi="宋体" w:eastAsia="宋体" w:cs="宋体"/>
          <w:sz w:val="24"/>
        </w:rPr>
        <w:t>。</w:t>
      </w:r>
    </w:p>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p w14:paraId="3A77A1F5">
      <w:pPr>
        <w:rPr>
          <w:rFonts w:ascii="宋体" w:hAnsi="宋体" w:eastAsia="宋体" w:cs="宋体"/>
          <w:b/>
          <w:sz w:val="24"/>
        </w:rPr>
      </w:pPr>
      <w:bookmarkStart w:id="1428" w:name="_Toc351203641"/>
      <w:r>
        <w:rPr>
          <w:rFonts w:hint="eastAsia" w:ascii="宋体" w:hAnsi="宋体" w:eastAsia="宋体" w:cs="宋体"/>
          <w:b/>
          <w:sz w:val="24"/>
        </w:rPr>
        <w:t>9</w:t>
      </w:r>
      <w:bookmarkEnd w:id="1407"/>
      <w:bookmarkEnd w:id="1408"/>
      <w:bookmarkEnd w:id="1409"/>
      <w:bookmarkStart w:id="1429" w:name="_Toc297216192"/>
      <w:bookmarkStart w:id="1430" w:name="_Toc312677495"/>
      <w:bookmarkStart w:id="1431" w:name="_Toc300934982"/>
      <w:bookmarkStart w:id="1432" w:name="_Toc312678021"/>
      <w:bookmarkStart w:id="1433" w:name="_Toc304295559"/>
      <w:bookmarkStart w:id="1434" w:name="_Toc297123533"/>
      <w:bookmarkStart w:id="1435" w:name="_Toc303539139"/>
      <w:bookmarkStart w:id="1436" w:name="_Toc296346674"/>
      <w:bookmarkStart w:id="1437" w:name="_Toc296503173"/>
      <w:bookmarkStart w:id="1438" w:name="_Toc296891213"/>
      <w:bookmarkStart w:id="1439" w:name="_Toc297048359"/>
      <w:bookmarkStart w:id="1440" w:name="_Toc267251428"/>
      <w:bookmarkStart w:id="1441" w:name="_Toc267251427"/>
      <w:bookmarkStart w:id="1442" w:name="_Toc296944512"/>
      <w:bookmarkStart w:id="1443" w:name="_Toc292559883"/>
      <w:bookmarkStart w:id="1444" w:name="_Toc297120473"/>
      <w:bookmarkStart w:id="1445" w:name="_Toc296891001"/>
      <w:bookmarkStart w:id="1446" w:name="_Toc296347172"/>
      <w:bookmarkStart w:id="1447" w:name="_Toc292559378"/>
      <w:r>
        <w:rPr>
          <w:rFonts w:hint="eastAsia" w:ascii="宋体" w:hAnsi="宋体" w:eastAsia="宋体" w:cs="宋体"/>
          <w:b/>
          <w:sz w:val="24"/>
        </w:rPr>
        <w:t>. 试验与检验</w:t>
      </w:r>
      <w:bookmarkEnd w:id="1428"/>
    </w:p>
    <w:bookmarkEnd w:id="1429"/>
    <w:bookmarkEnd w:id="1430"/>
    <w:bookmarkEnd w:id="1431"/>
    <w:bookmarkEnd w:id="1432"/>
    <w:bookmarkEnd w:id="1433"/>
    <w:bookmarkEnd w:id="1434"/>
    <w:bookmarkEnd w:id="1435"/>
    <w:p w14:paraId="05374D4F">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9</w:t>
      </w:r>
      <w:bookmarkStart w:id="1448" w:name="_Toc303539140"/>
      <w:bookmarkStart w:id="1449" w:name="_Toc312678022"/>
      <w:bookmarkStart w:id="1450" w:name="_Toc300934983"/>
      <w:bookmarkStart w:id="1451" w:name="_Toc312677496"/>
      <w:bookmarkStart w:id="1452" w:name="_Toc304295560"/>
      <w:bookmarkStart w:id="1453" w:name="_Toc297216193"/>
      <w:bookmarkStart w:id="1454" w:name="_Toc297123534"/>
      <w:r>
        <w:rPr>
          <w:rFonts w:hint="eastAsia" w:ascii="宋体" w:hAnsi="宋体" w:eastAsia="宋体" w:cs="宋体"/>
          <w:color w:val="000000"/>
          <w:sz w:val="24"/>
        </w:rPr>
        <w:t>.1试验设备与试验人员</w:t>
      </w:r>
    </w:p>
    <w:bookmarkEnd w:id="1448"/>
    <w:bookmarkEnd w:id="1449"/>
    <w:bookmarkEnd w:id="1450"/>
    <w:bookmarkEnd w:id="1451"/>
    <w:bookmarkEnd w:id="1452"/>
    <w:bookmarkEnd w:id="1453"/>
    <w:bookmarkEnd w:id="1454"/>
    <w:p w14:paraId="6976AAB5">
      <w:pPr>
        <w:spacing w:line="360" w:lineRule="auto"/>
        <w:ind w:firstLine="480" w:firstLineChars="200"/>
        <w:rPr>
          <w:rFonts w:ascii="宋体" w:hAnsi="宋体" w:eastAsia="宋体" w:cs="宋体"/>
          <w:sz w:val="24"/>
        </w:rPr>
      </w:pPr>
      <w:r>
        <w:rPr>
          <w:rFonts w:hint="eastAsia" w:ascii="宋体" w:hAnsi="宋体" w:eastAsia="宋体" w:cs="宋体"/>
          <w:sz w:val="24"/>
        </w:rPr>
        <w:t>9</w:t>
      </w:r>
      <w:bookmarkStart w:id="1455" w:name="_Toc312677497"/>
      <w:bookmarkStart w:id="1456" w:name="_Toc297216194"/>
      <w:bookmarkStart w:id="1457" w:name="_Toc303539141"/>
      <w:bookmarkStart w:id="1458" w:name="_Toc304295561"/>
      <w:bookmarkStart w:id="1459" w:name="_Toc300934984"/>
      <w:bookmarkStart w:id="1460" w:name="_Toc297123535"/>
      <w:bookmarkStart w:id="1461" w:name="_Toc312678023"/>
      <w:bookmarkStart w:id="1462" w:name="_Toc318581174"/>
      <w:r>
        <w:rPr>
          <w:rFonts w:hint="eastAsia" w:ascii="宋体" w:hAnsi="宋体" w:eastAsia="宋体" w:cs="宋体"/>
          <w:sz w:val="24"/>
        </w:rPr>
        <w:t>.1.2 试验设备</w:t>
      </w:r>
    </w:p>
    <w:p w14:paraId="0FB5D06B">
      <w:pPr>
        <w:spacing w:line="360" w:lineRule="auto"/>
        <w:ind w:firstLine="420"/>
        <w:rPr>
          <w:rFonts w:ascii="宋体" w:hAnsi="宋体" w:eastAsia="宋体" w:cs="宋体"/>
          <w:sz w:val="24"/>
          <w:u w:val="single"/>
        </w:rPr>
      </w:pPr>
      <w:r>
        <w:rPr>
          <w:rFonts w:hint="eastAsia" w:ascii="宋体" w:hAnsi="宋体" w:eastAsia="宋体" w:cs="宋体"/>
          <w:sz w:val="24"/>
        </w:rPr>
        <w:t>施工现场需要配置的试验场所：</w:t>
      </w:r>
      <w:bookmarkEnd w:id="1455"/>
      <w:bookmarkEnd w:id="1456"/>
      <w:bookmarkEnd w:id="1457"/>
      <w:bookmarkEnd w:id="1458"/>
      <w:bookmarkEnd w:id="1459"/>
      <w:bookmarkEnd w:id="1460"/>
      <w:bookmarkEnd w:id="1461"/>
      <w:bookmarkStart w:id="1463" w:name="_Toc304295562"/>
      <w:bookmarkStart w:id="1464" w:name="_Toc303539142"/>
      <w:bookmarkStart w:id="1465" w:name="_Toc312678024"/>
      <w:bookmarkStart w:id="1466" w:name="_Toc297123536"/>
      <w:bookmarkStart w:id="1467" w:name="_Toc297216195"/>
      <w:bookmarkStart w:id="1468" w:name="_Toc312677498"/>
      <w:bookmarkStart w:id="1469" w:name="_Toc300934985"/>
      <w:r>
        <w:rPr>
          <w:rFonts w:hint="eastAsia" w:ascii="宋体" w:hAnsi="宋体" w:eastAsia="宋体" w:cs="宋体"/>
          <w:color w:val="000000"/>
          <w:sz w:val="24"/>
          <w:u w:val="single"/>
        </w:rPr>
        <w:t>承包人应根据工程实际情况组织建立相宜的实验场所。</w:t>
      </w:r>
    </w:p>
    <w:p w14:paraId="0F3B2CD6">
      <w:pPr>
        <w:spacing w:line="360" w:lineRule="auto"/>
        <w:ind w:firstLine="420"/>
        <w:rPr>
          <w:rFonts w:ascii="宋体" w:hAnsi="宋体" w:eastAsia="宋体" w:cs="宋体"/>
          <w:sz w:val="24"/>
          <w:u w:val="single"/>
        </w:rPr>
      </w:pPr>
      <w:r>
        <w:rPr>
          <w:rFonts w:hint="eastAsia" w:ascii="宋体" w:hAnsi="宋体" w:eastAsia="宋体" w:cs="宋体"/>
          <w:sz w:val="24"/>
        </w:rPr>
        <w:t>施工现场需要配备的试验设备：</w:t>
      </w:r>
      <w:r>
        <w:rPr>
          <w:rFonts w:hint="eastAsia" w:ascii="宋体" w:hAnsi="宋体" w:eastAsia="宋体" w:cs="宋体"/>
          <w:color w:val="000000"/>
          <w:sz w:val="24"/>
          <w:u w:val="single"/>
        </w:rPr>
        <w:t>承包人配置的实验设备要求符合相应实验规程并通过具有 资质的检测单位检查，并通过监理人和承办人共同校定</w:t>
      </w:r>
      <w:r>
        <w:rPr>
          <w:rFonts w:hint="eastAsia" w:ascii="宋体" w:hAnsi="宋体" w:eastAsia="宋体" w:cs="宋体"/>
          <w:sz w:val="24"/>
          <w:u w:val="single"/>
        </w:rPr>
        <w:t>。</w:t>
      </w:r>
    </w:p>
    <w:p w14:paraId="1BDA5856">
      <w:pPr>
        <w:spacing w:line="360" w:lineRule="auto"/>
        <w:ind w:firstLine="420"/>
        <w:rPr>
          <w:rFonts w:ascii="宋体" w:hAnsi="宋体" w:eastAsia="宋体" w:cs="宋体"/>
          <w:sz w:val="24"/>
          <w:u w:val="single"/>
        </w:rPr>
      </w:pPr>
      <w:r>
        <w:rPr>
          <w:rFonts w:hint="eastAsia" w:ascii="宋体" w:hAnsi="宋体" w:eastAsia="宋体" w:cs="宋体"/>
          <w:sz w:val="24"/>
        </w:rPr>
        <w:t>施工现场需要具备的其他试验条件：</w:t>
      </w:r>
      <w:r>
        <w:rPr>
          <w:rFonts w:hint="eastAsia" w:ascii="宋体" w:hAnsi="宋体" w:eastAsia="宋体" w:cs="宋体"/>
          <w:color w:val="000000"/>
          <w:sz w:val="24"/>
          <w:u w:val="single"/>
        </w:rPr>
        <w:t>制定施工现场试验管理制度、检测试验方案及计划等</w:t>
      </w:r>
      <w:r>
        <w:rPr>
          <w:rFonts w:hint="eastAsia" w:ascii="宋体" w:hAnsi="宋体" w:eastAsia="宋体" w:cs="宋体"/>
          <w:sz w:val="24"/>
          <w:u w:val="single"/>
        </w:rPr>
        <w:t>。</w:t>
      </w:r>
    </w:p>
    <w:p w14:paraId="6ED35576">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 xml:space="preserve">9.4 现场工艺试验 </w:t>
      </w:r>
    </w:p>
    <w:p w14:paraId="7B99AB61">
      <w:pPr>
        <w:spacing w:line="360" w:lineRule="auto"/>
        <w:ind w:firstLine="480" w:firstLineChars="200"/>
        <w:rPr>
          <w:rFonts w:ascii="宋体" w:hAnsi="宋体" w:eastAsia="宋体" w:cs="宋体"/>
          <w:sz w:val="24"/>
        </w:rPr>
      </w:pPr>
      <w:r>
        <w:rPr>
          <w:rFonts w:hint="eastAsia" w:ascii="宋体" w:hAnsi="宋体" w:eastAsia="宋体" w:cs="宋体"/>
          <w:sz w:val="24"/>
        </w:rPr>
        <w:t>现场工艺试验的有关约定：</w:t>
      </w:r>
      <w:r>
        <w:rPr>
          <w:rFonts w:hint="eastAsia" w:ascii="宋体" w:hAnsi="宋体" w:eastAsia="宋体" w:cs="宋体"/>
          <w:sz w:val="24"/>
          <w:u w:val="single"/>
        </w:rPr>
        <w:t xml:space="preserve"> 执行合同通用条款  </w:t>
      </w:r>
      <w:r>
        <w:rPr>
          <w:rFonts w:hint="eastAsia" w:ascii="宋体" w:hAnsi="宋体" w:eastAsia="宋体" w:cs="宋体"/>
          <w:sz w:val="24"/>
        </w:rPr>
        <w:t>。</w:t>
      </w:r>
    </w:p>
    <w:bookmarkEnd w:id="1462"/>
    <w:bookmarkEnd w:id="1463"/>
    <w:bookmarkEnd w:id="1464"/>
    <w:bookmarkEnd w:id="1465"/>
    <w:bookmarkEnd w:id="1466"/>
    <w:bookmarkEnd w:id="1467"/>
    <w:bookmarkEnd w:id="1468"/>
    <w:bookmarkEnd w:id="1469"/>
    <w:p w14:paraId="604014E5">
      <w:pPr>
        <w:rPr>
          <w:rFonts w:ascii="宋体" w:hAnsi="宋体" w:eastAsia="宋体" w:cs="宋体"/>
          <w:b/>
          <w:sz w:val="24"/>
        </w:rPr>
      </w:pPr>
      <w:bookmarkStart w:id="1470" w:name="_Toc351203642"/>
      <w:r>
        <w:rPr>
          <w:rFonts w:hint="eastAsia" w:ascii="宋体" w:hAnsi="宋体" w:eastAsia="宋体" w:cs="宋体"/>
          <w:b/>
          <w:sz w:val="24"/>
        </w:rPr>
        <w:t>1</w:t>
      </w:r>
      <w:bookmarkEnd w:id="1436"/>
      <w:bookmarkEnd w:id="1437"/>
      <w:bookmarkEnd w:id="1438"/>
      <w:bookmarkEnd w:id="1439"/>
      <w:bookmarkEnd w:id="1440"/>
      <w:bookmarkEnd w:id="1441"/>
      <w:bookmarkEnd w:id="1442"/>
      <w:bookmarkEnd w:id="1443"/>
      <w:bookmarkEnd w:id="1444"/>
      <w:bookmarkEnd w:id="1445"/>
      <w:bookmarkEnd w:id="1446"/>
      <w:bookmarkEnd w:id="1447"/>
      <w:bookmarkStart w:id="1471" w:name="_Toc304295566"/>
      <w:bookmarkStart w:id="1472" w:name="_Toc296944532"/>
      <w:bookmarkStart w:id="1473" w:name="_Toc297216199"/>
      <w:bookmarkStart w:id="1474" w:name="_Toc296347192"/>
      <w:bookmarkStart w:id="1475" w:name="_Toc296346694"/>
      <w:bookmarkStart w:id="1476" w:name="_Toc297123540"/>
      <w:bookmarkStart w:id="1477" w:name="_Toc297120493"/>
      <w:bookmarkStart w:id="1478" w:name="_Toc300934989"/>
      <w:bookmarkStart w:id="1479" w:name="_Toc303539146"/>
      <w:bookmarkStart w:id="1480" w:name="_Toc296503193"/>
      <w:bookmarkStart w:id="1481" w:name="_Toc292559398"/>
      <w:bookmarkStart w:id="1482" w:name="_Toc292559903"/>
      <w:bookmarkStart w:id="1483" w:name="_Toc297048379"/>
      <w:bookmarkStart w:id="1484" w:name="_Toc296891021"/>
      <w:bookmarkStart w:id="1485" w:name="_Toc296891233"/>
      <w:bookmarkStart w:id="1486" w:name="_Toc312678025"/>
      <w:bookmarkStart w:id="1487" w:name="_Toc312677499"/>
      <w:bookmarkStart w:id="1488" w:name="_Toc267251441"/>
      <w:bookmarkStart w:id="1489" w:name="_Toc267251433"/>
      <w:bookmarkStart w:id="1490" w:name="_Toc267251437"/>
      <w:bookmarkStart w:id="1491" w:name="_Toc267251435"/>
      <w:bookmarkStart w:id="1492" w:name="_Toc267251439"/>
      <w:bookmarkStart w:id="1493" w:name="_Toc267251440"/>
      <w:bookmarkStart w:id="1494" w:name="_Toc267251442"/>
      <w:r>
        <w:rPr>
          <w:rFonts w:hint="eastAsia" w:ascii="宋体" w:hAnsi="宋体" w:eastAsia="宋体" w:cs="宋体"/>
          <w:b/>
          <w:sz w:val="24"/>
        </w:rPr>
        <w:t>0. 变更</w:t>
      </w:r>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p>
    <w:bookmarkEnd w:id="1486"/>
    <w:bookmarkEnd w:id="1487"/>
    <w:p w14:paraId="4224986F">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w:t>
      </w:r>
      <w:bookmarkStart w:id="1495" w:name="_Toc297123541"/>
      <w:bookmarkStart w:id="1496" w:name="_Toc296346695"/>
      <w:bookmarkStart w:id="1497" w:name="_Toc296891234"/>
      <w:bookmarkStart w:id="1498" w:name="_Toc297048380"/>
      <w:bookmarkStart w:id="1499" w:name="_Toc300934990"/>
      <w:bookmarkStart w:id="1500" w:name="_Toc296891022"/>
      <w:bookmarkStart w:id="1501" w:name="_Toc297216200"/>
      <w:bookmarkStart w:id="1502" w:name="_Toc296503194"/>
      <w:bookmarkStart w:id="1503" w:name="_Toc296944533"/>
      <w:bookmarkStart w:id="1504" w:name="_Toc296347193"/>
      <w:bookmarkStart w:id="1505" w:name="_Toc312678026"/>
      <w:bookmarkStart w:id="1506" w:name="_Toc292559399"/>
      <w:bookmarkStart w:id="1507" w:name="_Toc304295567"/>
      <w:bookmarkStart w:id="1508" w:name="_Toc292559904"/>
      <w:bookmarkStart w:id="1509" w:name="_Toc312677500"/>
      <w:bookmarkStart w:id="1510" w:name="_Toc297120494"/>
      <w:bookmarkStart w:id="1511" w:name="_Toc303539147"/>
      <w:r>
        <w:rPr>
          <w:rFonts w:hint="eastAsia" w:ascii="宋体" w:hAnsi="宋体" w:eastAsia="宋体" w:cs="宋体"/>
          <w:color w:val="000000"/>
          <w:sz w:val="24"/>
        </w:rPr>
        <w:t>0.1变更的范围</w:t>
      </w:r>
    </w:p>
    <w:p w14:paraId="5DE2AF7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关于变更的范围的约定：</w:t>
      </w:r>
      <w:r>
        <w:rPr>
          <w:rFonts w:hint="eastAsia" w:ascii="宋体" w:hAnsi="宋体" w:eastAsia="宋体" w:cs="宋体"/>
          <w:sz w:val="24"/>
          <w:u w:val="single"/>
        </w:rPr>
        <w:t xml:space="preserve"> 执行合同通用条款  </w:t>
      </w:r>
      <w:r>
        <w:rPr>
          <w:rFonts w:hint="eastAsia" w:ascii="宋体" w:hAnsi="宋体" w:eastAsia="宋体" w:cs="宋体"/>
          <w:sz w:val="24"/>
        </w:rPr>
        <w:t>。</w:t>
      </w:r>
    </w:p>
    <w:p w14:paraId="04827848">
      <w:pPr>
        <w:spacing w:after="120" w:line="360" w:lineRule="auto"/>
        <w:ind w:firstLine="484" w:firstLineChars="202"/>
        <w:rPr>
          <w:rFonts w:ascii="宋体" w:hAnsi="宋体" w:eastAsia="宋体" w:cs="宋体"/>
          <w:color w:val="000000"/>
          <w:sz w:val="24"/>
        </w:rPr>
      </w:pPr>
      <w:r>
        <w:rPr>
          <w:rFonts w:hint="eastAsia" w:ascii="宋体" w:hAnsi="宋体" w:eastAsia="宋体" w:cs="宋体"/>
          <w:color w:val="000000"/>
          <w:sz w:val="24"/>
        </w:rPr>
        <w:t>10.4 变更估价</w:t>
      </w:r>
    </w:p>
    <w:p w14:paraId="2893D7D3">
      <w:pPr>
        <w:spacing w:line="360" w:lineRule="auto"/>
        <w:ind w:firstLine="480" w:firstLineChars="200"/>
        <w:rPr>
          <w:rFonts w:ascii="宋体" w:hAnsi="宋体" w:eastAsia="宋体" w:cs="宋体"/>
          <w:sz w:val="24"/>
        </w:rPr>
      </w:pPr>
      <w:r>
        <w:rPr>
          <w:rFonts w:hint="eastAsia" w:ascii="宋体" w:hAnsi="宋体" w:eastAsia="宋体" w:cs="宋体"/>
          <w:sz w:val="24"/>
        </w:rPr>
        <w:t>10.4.1 变更估价原则</w:t>
      </w:r>
    </w:p>
    <w:p w14:paraId="14DC4B69">
      <w:pPr>
        <w:spacing w:line="360" w:lineRule="auto"/>
        <w:ind w:firstLine="420"/>
        <w:rPr>
          <w:rFonts w:ascii="宋体" w:hAnsi="宋体" w:eastAsia="宋体" w:cs="宋体"/>
          <w:color w:val="000000"/>
          <w:sz w:val="24"/>
          <w:u w:val="single"/>
        </w:rPr>
      </w:pPr>
      <w:r>
        <w:rPr>
          <w:rFonts w:hint="eastAsia" w:ascii="宋体" w:hAnsi="宋体" w:eastAsia="宋体" w:cs="宋体"/>
          <w:color w:val="000000"/>
          <w:sz w:val="24"/>
        </w:rPr>
        <w:t>关于变更估价的约定：</w:t>
      </w:r>
      <w:r>
        <w:rPr>
          <w:rFonts w:hint="eastAsia" w:ascii="宋体" w:hAnsi="宋体" w:eastAsia="宋体" w:cs="宋体"/>
          <w:color w:val="000000"/>
          <w:sz w:val="24"/>
          <w:u w:val="single"/>
        </w:rPr>
        <w:t>①合同中有相同或类似工程项目单价的，可以参照合同中相同或类 似项目的综合单价计算确定。②合同中没有类似工程项目综合单价的，由承包人根据合同中约定的组价原则或参考“计价依据”提出适当的单价，经发包人或其委托的工程造价咨询单位审 定后，作为结算的依据。③由于清单项目中项目特征或工程内容发生部分变更的，原综合单价为基础，仅就变更部分相应定额子目调整综合单价。</w:t>
      </w:r>
    </w:p>
    <w:p w14:paraId="4AA44AA1">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w:t>
      </w:r>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Start w:id="1512" w:name="_Toc297216203"/>
      <w:bookmarkStart w:id="1513" w:name="_Toc296891025"/>
      <w:bookmarkStart w:id="1514" w:name="_Toc292559402"/>
      <w:bookmarkStart w:id="1515" w:name="_Toc300934993"/>
      <w:bookmarkStart w:id="1516" w:name="_Toc297120497"/>
      <w:bookmarkStart w:id="1517" w:name="_Toc297123544"/>
      <w:bookmarkStart w:id="1518" w:name="_Toc296944536"/>
      <w:bookmarkStart w:id="1519" w:name="_Toc296346698"/>
      <w:bookmarkStart w:id="1520" w:name="_Toc296503197"/>
      <w:bookmarkStart w:id="1521" w:name="_Toc296347196"/>
      <w:bookmarkStart w:id="1522" w:name="_Toc297048383"/>
      <w:bookmarkStart w:id="1523" w:name="_Toc303539150"/>
      <w:bookmarkStart w:id="1524" w:name="_Toc296891237"/>
      <w:bookmarkStart w:id="1525" w:name="_Toc292559907"/>
      <w:bookmarkStart w:id="1526" w:name="_Toc312677503"/>
      <w:bookmarkStart w:id="1527" w:name="_Toc312678029"/>
      <w:bookmarkStart w:id="1528" w:name="_Toc304295570"/>
      <w:r>
        <w:rPr>
          <w:rFonts w:hint="eastAsia" w:ascii="宋体" w:hAnsi="宋体" w:eastAsia="宋体" w:cs="宋体"/>
          <w:color w:val="000000"/>
          <w:sz w:val="24"/>
        </w:rPr>
        <w:t>0.5承</w:t>
      </w:r>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Start w:id="1529" w:name="_Toc292559913"/>
      <w:bookmarkStart w:id="1530" w:name="_Toc296347202"/>
      <w:bookmarkStart w:id="1531" w:name="_Toc297048389"/>
      <w:bookmarkStart w:id="1532" w:name="_Toc296944542"/>
      <w:bookmarkStart w:id="1533" w:name="_Toc296346704"/>
      <w:bookmarkStart w:id="1534" w:name="_Toc303539151"/>
      <w:bookmarkStart w:id="1535" w:name="_Toc297120503"/>
      <w:bookmarkStart w:id="1536" w:name="_Toc296891243"/>
      <w:bookmarkStart w:id="1537" w:name="_Toc297123545"/>
      <w:bookmarkStart w:id="1538" w:name="_Toc292559408"/>
      <w:bookmarkStart w:id="1539" w:name="_Toc297216204"/>
      <w:bookmarkStart w:id="1540" w:name="_Toc296891031"/>
      <w:bookmarkStart w:id="1541" w:name="_Toc296503203"/>
      <w:bookmarkStart w:id="1542" w:name="_Toc300934994"/>
      <w:r>
        <w:rPr>
          <w:rFonts w:hint="eastAsia" w:ascii="宋体" w:hAnsi="宋体" w:eastAsia="宋体" w:cs="宋体"/>
          <w:color w:val="000000"/>
          <w:sz w:val="24"/>
        </w:rPr>
        <w:t>包人的合理化建议</w:t>
      </w:r>
    </w:p>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p w14:paraId="1D655A31">
      <w:pPr>
        <w:spacing w:line="360" w:lineRule="auto"/>
        <w:ind w:firstLine="480" w:firstLineChars="200"/>
        <w:rPr>
          <w:rFonts w:ascii="宋体" w:hAnsi="宋体" w:eastAsia="宋体" w:cs="宋体"/>
          <w:sz w:val="24"/>
        </w:rPr>
      </w:pPr>
      <w:r>
        <w:rPr>
          <w:rFonts w:hint="eastAsia" w:ascii="宋体" w:hAnsi="宋体" w:eastAsia="宋体" w:cs="宋体"/>
          <w:sz w:val="24"/>
        </w:rPr>
        <w:t>监理人审查承包人合理化建议的期限：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7 日内审查完毕并报送发包人</w:t>
      </w:r>
      <w:r>
        <w:rPr>
          <w:rFonts w:hint="eastAsia" w:ascii="宋体" w:hAnsi="宋体" w:eastAsia="宋体" w:cs="宋体"/>
          <w:sz w:val="24"/>
          <w:u w:val="single"/>
        </w:rPr>
        <w:t xml:space="preserve">  。</w:t>
      </w:r>
    </w:p>
    <w:p w14:paraId="0F04C130">
      <w:pPr>
        <w:spacing w:line="360" w:lineRule="auto"/>
        <w:ind w:firstLine="480" w:firstLineChars="200"/>
        <w:rPr>
          <w:rFonts w:ascii="宋体" w:hAnsi="宋体" w:eastAsia="宋体" w:cs="宋体"/>
          <w:sz w:val="24"/>
        </w:rPr>
      </w:pPr>
      <w:r>
        <w:rPr>
          <w:rFonts w:hint="eastAsia" w:ascii="宋体" w:hAnsi="宋体" w:eastAsia="宋体" w:cs="宋体"/>
          <w:sz w:val="24"/>
        </w:rPr>
        <w:t>发包人审批承包人合理化建议的期限：</w:t>
      </w:r>
      <w:r>
        <w:rPr>
          <w:rFonts w:hint="eastAsia" w:ascii="宋体" w:hAnsi="宋体" w:eastAsia="宋体" w:cs="宋体"/>
          <w:sz w:val="24"/>
          <w:u w:val="single"/>
        </w:rPr>
        <w:t xml:space="preserve">  </w:t>
      </w:r>
      <w:r>
        <w:rPr>
          <w:rFonts w:hint="eastAsia" w:ascii="宋体" w:hAnsi="宋体" w:eastAsia="宋体" w:cs="宋体"/>
          <w:color w:val="000000"/>
          <w:sz w:val="24"/>
          <w:u w:val="single"/>
        </w:rPr>
        <w:t>7 日内审查完毕</w:t>
      </w:r>
      <w:r>
        <w:rPr>
          <w:rFonts w:hint="eastAsia" w:ascii="宋体" w:hAnsi="宋体" w:eastAsia="宋体" w:cs="宋体"/>
          <w:sz w:val="24"/>
          <w:u w:val="single"/>
        </w:rPr>
        <w:t xml:space="preserve"> </w:t>
      </w:r>
      <w:r>
        <w:rPr>
          <w:rFonts w:hint="eastAsia" w:ascii="宋体" w:hAnsi="宋体" w:eastAsia="宋体" w:cs="宋体"/>
          <w:sz w:val="24"/>
        </w:rPr>
        <w:t>。</w:t>
      </w:r>
    </w:p>
    <w:p w14:paraId="7EFC77F4">
      <w:pPr>
        <w:spacing w:line="360" w:lineRule="auto"/>
        <w:ind w:firstLine="480" w:firstLineChars="200"/>
        <w:rPr>
          <w:rFonts w:ascii="宋体" w:hAnsi="宋体" w:eastAsia="宋体" w:cs="宋体"/>
          <w:sz w:val="24"/>
          <w:u w:val="single"/>
        </w:rPr>
      </w:pPr>
      <w:r>
        <w:rPr>
          <w:rFonts w:hint="eastAsia" w:ascii="宋体" w:hAnsi="宋体" w:eastAsia="宋体" w:cs="宋体"/>
          <w:sz w:val="24"/>
        </w:rPr>
        <w:t>承</w:t>
      </w:r>
      <w:bookmarkStart w:id="1543" w:name="_Toc296347203"/>
      <w:bookmarkStart w:id="1544" w:name="_Toc303539152"/>
      <w:bookmarkStart w:id="1545" w:name="_Toc297048390"/>
      <w:bookmarkStart w:id="1546" w:name="_Toc296944543"/>
      <w:bookmarkStart w:id="1547" w:name="_Toc292559914"/>
      <w:bookmarkStart w:id="1548" w:name="_Toc292559409"/>
      <w:bookmarkStart w:id="1549" w:name="_Toc312677504"/>
      <w:bookmarkStart w:id="1550" w:name="_Toc312678030"/>
      <w:bookmarkStart w:id="1551" w:name="_Toc296503204"/>
      <w:bookmarkStart w:id="1552" w:name="_Toc297123546"/>
      <w:bookmarkStart w:id="1553" w:name="_Toc300934995"/>
      <w:bookmarkStart w:id="1554" w:name="_Toc297120504"/>
      <w:bookmarkStart w:id="1555" w:name="_Toc296891244"/>
      <w:bookmarkStart w:id="1556" w:name="_Toc296891032"/>
      <w:bookmarkStart w:id="1557" w:name="_Toc304295571"/>
      <w:bookmarkStart w:id="1558" w:name="_Toc297216205"/>
      <w:bookmarkStart w:id="1559" w:name="_Toc296346705"/>
      <w:bookmarkStart w:id="1560" w:name="_Toc318581175"/>
      <w:r>
        <w:rPr>
          <w:rFonts w:hint="eastAsia" w:ascii="宋体" w:hAnsi="宋体" w:eastAsia="宋体" w:cs="宋体"/>
          <w:sz w:val="24"/>
        </w:rPr>
        <w:t>包人提出的合理化建议降低了合同价格或者提高了工程经济效益的奖励的方法和金额为：</w:t>
      </w: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sz w:val="24"/>
          <w:u w:val="single"/>
        </w:rPr>
        <w:t xml:space="preserve">  </w:t>
      </w:r>
      <w:r>
        <w:rPr>
          <w:rFonts w:hint="eastAsia" w:ascii="宋体" w:hAnsi="宋体" w:eastAsia="宋体" w:cs="宋体"/>
          <w:sz w:val="24"/>
        </w:rPr>
        <w:t>。</w:t>
      </w:r>
    </w:p>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p w14:paraId="261D1227">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w:t>
      </w:r>
      <w:bookmarkStart w:id="1561" w:name="_Toc297048385"/>
      <w:bookmarkStart w:id="1562" w:name="_Toc296346700"/>
      <w:bookmarkStart w:id="1563" w:name="_Toc312677507"/>
      <w:bookmarkStart w:id="1564" w:name="_Toc296503199"/>
      <w:bookmarkStart w:id="1565" w:name="_Toc296891027"/>
      <w:bookmarkStart w:id="1566" w:name="_Toc304295574"/>
      <w:bookmarkStart w:id="1567" w:name="_Toc292559404"/>
      <w:bookmarkStart w:id="1568" w:name="_Toc296347198"/>
      <w:bookmarkStart w:id="1569" w:name="_Toc296944538"/>
      <w:bookmarkStart w:id="1570" w:name="_Toc297216207"/>
      <w:bookmarkStart w:id="1571" w:name="_Toc292559909"/>
      <w:bookmarkStart w:id="1572" w:name="_Toc312678033"/>
      <w:bookmarkStart w:id="1573" w:name="_Toc296891239"/>
      <w:bookmarkStart w:id="1574" w:name="_Toc297120499"/>
      <w:bookmarkStart w:id="1575" w:name="_Toc300934997"/>
      <w:bookmarkStart w:id="1576" w:name="_Toc303539154"/>
      <w:bookmarkStart w:id="1577" w:name="_Toc297123548"/>
      <w:r>
        <w:rPr>
          <w:rFonts w:hint="eastAsia" w:ascii="宋体" w:hAnsi="宋体" w:eastAsia="宋体" w:cs="宋体"/>
          <w:color w:val="000000"/>
          <w:sz w:val="24"/>
        </w:rPr>
        <w:t>0.7 暂估价</w:t>
      </w:r>
    </w:p>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p w14:paraId="69BB484B">
      <w:pPr>
        <w:spacing w:line="360" w:lineRule="auto"/>
        <w:ind w:firstLine="480" w:firstLineChars="200"/>
        <w:rPr>
          <w:rFonts w:ascii="宋体" w:hAnsi="宋体" w:eastAsia="宋体" w:cs="宋体"/>
          <w:sz w:val="24"/>
        </w:rPr>
      </w:pPr>
      <w:r>
        <w:rPr>
          <w:rFonts w:hint="eastAsia" w:ascii="宋体" w:hAnsi="宋体" w:eastAsia="宋体" w:cs="宋体"/>
          <w:sz w:val="24"/>
        </w:rPr>
        <w:t>暂</w:t>
      </w:r>
      <w:bookmarkStart w:id="1578" w:name="_Toc312677508"/>
      <w:bookmarkStart w:id="1579" w:name="_Toc312678034"/>
      <w:bookmarkStart w:id="1580" w:name="_Toc318581176"/>
      <w:r>
        <w:rPr>
          <w:rFonts w:hint="eastAsia" w:ascii="宋体" w:hAnsi="宋体" w:eastAsia="宋体" w:cs="宋体"/>
          <w:sz w:val="24"/>
        </w:rPr>
        <w:t>估价材料和工程设备的明细详见附件11：《</w:t>
      </w:r>
      <w:r>
        <w:rPr>
          <w:rFonts w:hint="eastAsia" w:ascii="宋体" w:hAnsi="宋体" w:eastAsia="宋体" w:cs="宋体"/>
          <w:color w:val="000000"/>
          <w:sz w:val="24"/>
        </w:rPr>
        <w:t>暂估价一览表》</w:t>
      </w:r>
      <w:r>
        <w:rPr>
          <w:rFonts w:hint="eastAsia" w:ascii="宋体" w:hAnsi="宋体" w:eastAsia="宋体" w:cs="宋体"/>
          <w:sz w:val="24"/>
        </w:rPr>
        <w:t>。</w:t>
      </w:r>
    </w:p>
    <w:bookmarkEnd w:id="1578"/>
    <w:bookmarkEnd w:id="1579"/>
    <w:bookmarkEnd w:id="1580"/>
    <w:p w14:paraId="19C6BC89">
      <w:pPr>
        <w:spacing w:line="360" w:lineRule="auto"/>
        <w:ind w:firstLine="480" w:firstLineChars="200"/>
        <w:rPr>
          <w:rFonts w:ascii="宋体" w:hAnsi="宋体" w:eastAsia="宋体" w:cs="宋体"/>
          <w:sz w:val="24"/>
        </w:rPr>
      </w:pPr>
      <w:r>
        <w:rPr>
          <w:rFonts w:hint="eastAsia" w:ascii="宋体" w:hAnsi="宋体" w:eastAsia="宋体" w:cs="宋体"/>
          <w:sz w:val="24"/>
        </w:rPr>
        <w:t>1</w:t>
      </w:r>
      <w:bookmarkStart w:id="1581" w:name="_Toc312678035"/>
      <w:bookmarkStart w:id="1582" w:name="_Toc312677509"/>
      <w:bookmarkStart w:id="1583" w:name="_Toc318581177"/>
      <w:r>
        <w:rPr>
          <w:rFonts w:hint="eastAsia" w:ascii="宋体" w:hAnsi="宋体" w:eastAsia="宋体" w:cs="宋体"/>
          <w:sz w:val="24"/>
        </w:rPr>
        <w:t>0.7.1 依法必须招标的暂估价项目</w:t>
      </w:r>
    </w:p>
    <w:bookmarkEnd w:id="1581"/>
    <w:bookmarkEnd w:id="1582"/>
    <w:bookmarkEnd w:id="1583"/>
    <w:p w14:paraId="0131C637">
      <w:pPr>
        <w:spacing w:line="360" w:lineRule="auto"/>
        <w:ind w:firstLine="480" w:firstLineChars="200"/>
        <w:rPr>
          <w:rFonts w:ascii="宋体" w:hAnsi="宋体" w:eastAsia="宋体" w:cs="宋体"/>
          <w:sz w:val="24"/>
        </w:rPr>
      </w:pPr>
      <w:r>
        <w:rPr>
          <w:rFonts w:hint="eastAsia" w:ascii="宋体" w:hAnsi="宋体" w:eastAsia="宋体" w:cs="宋体"/>
          <w:sz w:val="24"/>
        </w:rPr>
        <w:t>对于依法必须招标的暂估价项目的确认和批准采取第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68D5801A">
      <w:pPr>
        <w:spacing w:line="360" w:lineRule="auto"/>
        <w:ind w:firstLine="480" w:firstLineChars="200"/>
        <w:rPr>
          <w:rFonts w:ascii="宋体" w:hAnsi="宋体" w:eastAsia="宋体" w:cs="宋体"/>
          <w:sz w:val="24"/>
        </w:rPr>
      </w:pPr>
      <w:r>
        <w:rPr>
          <w:rFonts w:hint="eastAsia" w:ascii="宋体" w:hAnsi="宋体" w:eastAsia="宋体" w:cs="宋体"/>
          <w:sz w:val="24"/>
        </w:rPr>
        <w:t>10.7.2 不属于依法必须招标的暂估价项目</w:t>
      </w:r>
    </w:p>
    <w:p w14:paraId="41DF4EF6">
      <w:pPr>
        <w:spacing w:line="360" w:lineRule="auto"/>
        <w:ind w:firstLine="480" w:firstLineChars="200"/>
        <w:rPr>
          <w:rFonts w:ascii="宋体" w:hAnsi="宋体" w:eastAsia="宋体" w:cs="宋体"/>
          <w:sz w:val="24"/>
        </w:rPr>
      </w:pPr>
      <w:r>
        <w:rPr>
          <w:rFonts w:hint="eastAsia" w:ascii="宋体" w:hAnsi="宋体" w:eastAsia="宋体" w:cs="宋体"/>
          <w:sz w:val="24"/>
        </w:rPr>
        <w:t>对于不属于依法必须招标的暂估价项目的确认和批准采取第</w:t>
      </w:r>
      <w:r>
        <w:rPr>
          <w:rFonts w:hint="eastAsia" w:ascii="宋体" w:hAnsi="宋体" w:eastAsia="宋体" w:cs="宋体"/>
          <w:sz w:val="24"/>
          <w:u w:val="single"/>
        </w:rPr>
        <w:t xml:space="preserve">  /  </w:t>
      </w:r>
      <w:r>
        <w:rPr>
          <w:rFonts w:hint="eastAsia" w:ascii="宋体" w:hAnsi="宋体" w:eastAsia="宋体" w:cs="宋体"/>
          <w:sz w:val="24"/>
        </w:rPr>
        <w:t>种方式确定。</w:t>
      </w:r>
    </w:p>
    <w:p w14:paraId="78EED29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第3种方式：承包人直接实施的暂估价项目</w:t>
      </w:r>
    </w:p>
    <w:p w14:paraId="6A6D6CBC">
      <w:pPr>
        <w:spacing w:line="360" w:lineRule="auto"/>
        <w:ind w:firstLine="480" w:firstLineChars="200"/>
        <w:rPr>
          <w:rFonts w:ascii="宋体" w:hAnsi="宋体" w:eastAsia="宋体" w:cs="宋体"/>
          <w:sz w:val="24"/>
        </w:rPr>
      </w:pPr>
      <w:r>
        <w:rPr>
          <w:rFonts w:hint="eastAsia" w:ascii="宋体" w:hAnsi="宋体" w:eastAsia="宋体" w:cs="宋体"/>
          <w:sz w:val="24"/>
        </w:rPr>
        <w:t>承包人直接实施的暂估价项目的约定：</w:t>
      </w:r>
      <w:r>
        <w:rPr>
          <w:rFonts w:hint="eastAsia" w:ascii="宋体" w:hAnsi="宋体" w:eastAsia="宋体" w:cs="宋体"/>
          <w:sz w:val="24"/>
          <w:u w:val="single"/>
        </w:rPr>
        <w:t xml:space="preserve">    无        </w:t>
      </w:r>
      <w:r>
        <w:rPr>
          <w:rFonts w:hint="eastAsia" w:ascii="宋体" w:hAnsi="宋体" w:eastAsia="宋体" w:cs="宋体"/>
          <w:sz w:val="24"/>
        </w:rPr>
        <w:t>。</w:t>
      </w:r>
    </w:p>
    <w:p w14:paraId="03D825AC">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10.8 暂列金额</w:t>
      </w:r>
    </w:p>
    <w:p w14:paraId="33683799">
      <w:pPr>
        <w:autoSpaceDE w:val="0"/>
        <w:autoSpaceDN w:val="0"/>
        <w:adjustRightInd w:val="0"/>
        <w:spacing w:line="360" w:lineRule="auto"/>
        <w:ind w:firstLine="480" w:firstLineChars="200"/>
        <w:rPr>
          <w:rFonts w:ascii="宋体" w:hAnsi="宋体" w:eastAsia="宋体" w:cs="宋体"/>
          <w:sz w:val="24"/>
          <w:u w:val="single"/>
        </w:rPr>
      </w:pPr>
      <w:r>
        <w:rPr>
          <w:rFonts w:hint="eastAsia" w:ascii="宋体" w:hAnsi="宋体" w:eastAsia="宋体" w:cs="宋体"/>
          <w:color w:val="000000"/>
          <w:sz w:val="24"/>
        </w:rPr>
        <w:t>合同当事人关于暂列金额使用的约定：</w:t>
      </w:r>
    </w:p>
    <w:p w14:paraId="096712CB">
      <w:pPr>
        <w:autoSpaceDE w:val="0"/>
        <w:autoSpaceDN w:val="0"/>
        <w:adjustRightInd w:val="0"/>
        <w:spacing w:line="360" w:lineRule="auto"/>
        <w:ind w:firstLine="420"/>
        <w:rPr>
          <w:rFonts w:ascii="宋体" w:hAnsi="宋体" w:eastAsia="宋体" w:cs="宋体"/>
          <w:color w:val="000000"/>
          <w:sz w:val="24"/>
        </w:rPr>
      </w:pPr>
      <w:r>
        <w:rPr>
          <w:rFonts w:hint="eastAsia" w:ascii="宋体" w:hAnsi="宋体" w:eastAsia="宋体" w:cs="宋体"/>
          <w:sz w:val="24"/>
          <w:u w:val="single"/>
        </w:rPr>
        <w:t xml:space="preserve">          </w:t>
      </w:r>
      <w:r>
        <w:rPr>
          <w:rFonts w:hint="eastAsia" w:ascii="宋体" w:hAnsi="宋体" w:cs="宋体"/>
          <w:sz w:val="24"/>
          <w:u w:val="single"/>
          <w:lang w:val="en-US" w:eastAsia="zh-CN"/>
        </w:rPr>
        <w:t>//</w:t>
      </w:r>
      <w:r>
        <w:rPr>
          <w:rFonts w:hint="eastAsia" w:ascii="宋体" w:hAnsi="宋体" w:eastAsia="宋体" w:cs="宋体"/>
          <w:sz w:val="24"/>
          <w:u w:val="single"/>
        </w:rPr>
        <w:t xml:space="preserve">                                               </w:t>
      </w:r>
      <w:r>
        <w:rPr>
          <w:rFonts w:hint="eastAsia" w:ascii="宋体" w:hAnsi="宋体" w:eastAsia="宋体" w:cs="宋体"/>
          <w:color w:val="000000"/>
          <w:sz w:val="24"/>
        </w:rPr>
        <w:t>。</w:t>
      </w:r>
    </w:p>
    <w:p w14:paraId="1AAA05E5">
      <w:pPr>
        <w:rPr>
          <w:rFonts w:ascii="宋体" w:hAnsi="宋体" w:eastAsia="宋体" w:cs="宋体"/>
          <w:b/>
          <w:sz w:val="24"/>
        </w:rPr>
      </w:pPr>
      <w:bookmarkStart w:id="1584" w:name="_Toc351203643"/>
      <w:r>
        <w:rPr>
          <w:rFonts w:hint="eastAsia" w:ascii="宋体" w:hAnsi="宋体" w:eastAsia="宋体" w:cs="宋体"/>
          <w:b/>
          <w:sz w:val="24"/>
        </w:rPr>
        <w:t>11. 价格调整</w:t>
      </w:r>
      <w:bookmarkEnd w:id="1584"/>
      <w:r>
        <w:rPr>
          <w:rFonts w:hint="eastAsia" w:ascii="宋体" w:hAnsi="宋体" w:eastAsia="宋体" w:cs="宋体"/>
          <w:sz w:val="24"/>
        </w:rPr>
        <w:t>（本项目价格不调整）</w:t>
      </w:r>
    </w:p>
    <w:p w14:paraId="155BD5E7">
      <w:pPr>
        <w:spacing w:after="120" w:line="360" w:lineRule="auto"/>
        <w:ind w:firstLine="480" w:firstLineChars="200"/>
        <w:rPr>
          <w:rFonts w:ascii="宋体" w:hAnsi="宋体" w:eastAsia="宋体" w:cs="宋体"/>
          <w:color w:val="000000"/>
          <w:sz w:val="24"/>
          <w:highlight w:val="none"/>
        </w:rPr>
      </w:pPr>
      <w:bookmarkStart w:id="1585" w:name="_Toc312678039"/>
      <w:bookmarkStart w:id="1586" w:name="_Toc300935000"/>
      <w:bookmarkStart w:id="1587" w:name="_Toc296346702"/>
      <w:bookmarkStart w:id="1588" w:name="_Toc292559406"/>
      <w:bookmarkStart w:id="1589" w:name="_Toc296891029"/>
      <w:bookmarkStart w:id="1590" w:name="_Toc297216209"/>
      <w:bookmarkStart w:id="1591" w:name="_Toc292559911"/>
      <w:bookmarkStart w:id="1592" w:name="_Toc296347200"/>
      <w:bookmarkStart w:id="1593" w:name="_Toc297123550"/>
      <w:bookmarkStart w:id="1594" w:name="_Toc304295577"/>
      <w:bookmarkStart w:id="1595" w:name="_Toc303539157"/>
      <w:bookmarkStart w:id="1596" w:name="_Toc296944540"/>
      <w:bookmarkStart w:id="1597" w:name="_Toc296503201"/>
      <w:bookmarkStart w:id="1598" w:name="_Toc296891241"/>
      <w:bookmarkStart w:id="1599" w:name="_Toc297120501"/>
      <w:bookmarkStart w:id="1600" w:name="_Toc297048387"/>
      <w:r>
        <w:rPr>
          <w:rFonts w:hint="eastAsia" w:ascii="宋体" w:hAnsi="宋体" w:eastAsia="宋体" w:cs="宋体"/>
          <w:color w:val="000000"/>
          <w:sz w:val="24"/>
          <w:highlight w:val="none"/>
        </w:rPr>
        <w:t>11.1 市场价格波动引起的调整</w:t>
      </w:r>
    </w:p>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p w14:paraId="329E51B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市场价格波动是否调整合同价格的约定：</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eastAsia="zh-CN"/>
        </w:rPr>
        <w:t>不调整</w:t>
      </w:r>
      <w:r>
        <w:rPr>
          <w:rFonts w:hint="eastAsia" w:ascii="宋体" w:hAnsi="宋体" w:eastAsia="宋体" w:cs="宋体"/>
          <w:sz w:val="24"/>
          <w:highlight w:val="none"/>
          <w:u w:val="single"/>
        </w:rPr>
        <w:t xml:space="preserve">   </w:t>
      </w:r>
      <w:r>
        <w:rPr>
          <w:rFonts w:hint="eastAsia" w:ascii="宋体" w:hAnsi="宋体" w:eastAsia="宋体" w:cs="宋体"/>
          <w:sz w:val="24"/>
          <w:highlight w:val="none"/>
        </w:rPr>
        <w:t>。</w:t>
      </w:r>
    </w:p>
    <w:p w14:paraId="3E0E8B7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因市场价格波动调整合同价格，采用以下</w:t>
      </w:r>
      <w:r>
        <w:rPr>
          <w:rFonts w:hint="eastAsia" w:ascii="宋体" w:hAnsi="宋体" w:eastAsia="宋体" w:cs="宋体"/>
          <w:sz w:val="24"/>
          <w:highlight w:val="none"/>
        </w:rPr>
        <w:t>第</w:t>
      </w:r>
      <w:r>
        <w:rPr>
          <w:rFonts w:hint="eastAsia" w:ascii="宋体" w:hAnsi="宋体" w:eastAsia="宋体" w:cs="宋体"/>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rPr>
        <w:t>种方式对合同价格进行调整：</w:t>
      </w:r>
    </w:p>
    <w:p w14:paraId="512A244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第1种方式：采用价格指数进行价格调整。</w:t>
      </w:r>
    </w:p>
    <w:p w14:paraId="403B131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关于各可调因子、定值和变值权重，以及基本价格指数及其来源的约定：</w:t>
      </w:r>
    </w:p>
    <w:p w14:paraId="5D2BE8FB">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 xml:space="preserve">；  </w:t>
      </w:r>
    </w:p>
    <w:p w14:paraId="706A551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第2种方式：采用造价信息进行价格调整。</w:t>
      </w:r>
    </w:p>
    <w:p w14:paraId="01A4A95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（2）关于基准价格的约定：</w:t>
      </w:r>
      <w:r>
        <w:rPr>
          <w:rFonts w:hint="eastAsia" w:ascii="宋体" w:hAnsi="宋体" w:eastAsia="宋体" w:cs="宋体"/>
          <w:sz w:val="24"/>
          <w:highlight w:val="none"/>
          <w:u w:val="single"/>
        </w:rPr>
        <w:t xml:space="preserve"> </w:t>
      </w:r>
      <w:r>
        <w:rPr>
          <w:rFonts w:hint="eastAsia" w:ascii="宋体" w:hAnsi="宋体" w:eastAsia="宋体" w:cs="宋体"/>
          <w:color w:val="000000"/>
          <w:sz w:val="24"/>
          <w:highlight w:val="none"/>
          <w:u w:val="single"/>
        </w:rPr>
        <w:t>以本工程施工期行业建设主管部门或其授权的工程造价管理 机构发布的信息价为基准价。</w:t>
      </w:r>
    </w:p>
    <w:p w14:paraId="18D73E7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专用合同条款①承包人在已标价工程量清单或预算书中载明的材料单价低于基准价格的：专用合同条款合同履行期间材料单价涨幅以基准价格为基础超过</w:t>
      </w:r>
      <w:r>
        <w:rPr>
          <w:rFonts w:hint="eastAsia" w:ascii="宋体" w:hAnsi="宋体" w:eastAsia="宋体" w:cs="宋体"/>
          <w:color w:val="000000"/>
          <w:sz w:val="24"/>
          <w:highlight w:val="none"/>
          <w:u w:val="single"/>
        </w:rPr>
        <w:t xml:space="preserve">  5   </w:t>
      </w:r>
      <w:r>
        <w:rPr>
          <w:rFonts w:hint="eastAsia" w:ascii="宋体" w:hAnsi="宋体" w:eastAsia="宋体" w:cs="宋体"/>
          <w:color w:val="000000"/>
          <w:sz w:val="24"/>
          <w:highlight w:val="none"/>
        </w:rPr>
        <w:t>%时，或材料单价跌幅以已标价工程量清单或预算书中载明材料单价为基础超过</w:t>
      </w:r>
      <w:r>
        <w:rPr>
          <w:rFonts w:hint="eastAsia" w:ascii="宋体" w:hAnsi="宋体" w:eastAsia="宋体" w:cs="宋体"/>
          <w:color w:val="000000"/>
          <w:sz w:val="24"/>
          <w:highlight w:val="none"/>
          <w:u w:val="single"/>
        </w:rPr>
        <w:t xml:space="preserve">   5  </w:t>
      </w:r>
      <w:r>
        <w:rPr>
          <w:rFonts w:hint="eastAsia" w:ascii="宋体" w:hAnsi="宋体" w:eastAsia="宋体" w:cs="宋体"/>
          <w:color w:val="000000"/>
          <w:sz w:val="24"/>
          <w:highlight w:val="none"/>
        </w:rPr>
        <w:t>%时，其超过部分据实调整。</w:t>
      </w:r>
    </w:p>
    <w:p w14:paraId="63B8FE4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②承包人在已标价工程量清单或预算书中载明的材料单价高于基准价格的：专用合同条款合同履行期间材料单价跌幅以基准价格为基础超过</w:t>
      </w:r>
      <w:r>
        <w:rPr>
          <w:rFonts w:hint="eastAsia" w:ascii="宋体" w:hAnsi="宋体" w:eastAsia="宋体" w:cs="宋体"/>
          <w:color w:val="000000"/>
          <w:sz w:val="24"/>
          <w:highlight w:val="none"/>
          <w:u w:val="single"/>
        </w:rPr>
        <w:t xml:space="preserve">  5   </w:t>
      </w:r>
      <w:r>
        <w:rPr>
          <w:rFonts w:hint="eastAsia" w:ascii="宋体" w:hAnsi="宋体" w:eastAsia="宋体" w:cs="宋体"/>
          <w:color w:val="000000"/>
          <w:sz w:val="24"/>
          <w:highlight w:val="none"/>
        </w:rPr>
        <w:t>%时，材料单价涨幅以已标价工程量清单或预算书中载明材料单价为基础超过</w:t>
      </w:r>
      <w:r>
        <w:rPr>
          <w:rFonts w:hint="eastAsia" w:ascii="宋体" w:hAnsi="宋体" w:eastAsia="宋体" w:cs="宋体"/>
          <w:color w:val="000000"/>
          <w:sz w:val="24"/>
          <w:highlight w:val="none"/>
          <w:u w:val="single"/>
        </w:rPr>
        <w:t xml:space="preserve">  5   </w:t>
      </w:r>
      <w:r>
        <w:rPr>
          <w:rFonts w:hint="eastAsia" w:ascii="宋体" w:hAnsi="宋体" w:eastAsia="宋体" w:cs="宋体"/>
          <w:color w:val="000000"/>
          <w:sz w:val="24"/>
          <w:highlight w:val="none"/>
        </w:rPr>
        <w:t>%时，其超过部分据实调整。</w:t>
      </w:r>
    </w:p>
    <w:p w14:paraId="4629215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③承包人在已标价工程量清单或预算书中载明的材料单价等于基准单价的：专用合同条款合同履行期间材料单价涨跌幅以基准单价为基础超过±</w:t>
      </w:r>
      <w:r>
        <w:rPr>
          <w:rFonts w:hint="eastAsia" w:ascii="宋体" w:hAnsi="宋体" w:eastAsia="宋体" w:cs="宋体"/>
          <w:color w:val="000000"/>
          <w:sz w:val="24"/>
          <w:highlight w:val="none"/>
          <w:u w:val="single"/>
        </w:rPr>
        <w:t xml:space="preserve">  5     </w:t>
      </w:r>
      <w:r>
        <w:rPr>
          <w:rFonts w:hint="eastAsia" w:ascii="宋体" w:hAnsi="宋体" w:eastAsia="宋体" w:cs="宋体"/>
          <w:color w:val="000000"/>
          <w:sz w:val="24"/>
          <w:highlight w:val="none"/>
        </w:rPr>
        <w:t>%时，其超过部分据实调整。</w:t>
      </w:r>
    </w:p>
    <w:p w14:paraId="69FE0A12">
      <w:pPr>
        <w:spacing w:line="360" w:lineRule="auto"/>
        <w:ind w:firstLine="645"/>
        <w:rPr>
          <w:rFonts w:ascii="宋体" w:hAnsi="宋体" w:eastAsia="宋体" w:cs="宋体"/>
          <w:color w:val="000000"/>
          <w:sz w:val="24"/>
          <w:highlight w:val="none"/>
          <w:u w:val="single"/>
        </w:rPr>
      </w:pPr>
      <w:r>
        <w:rPr>
          <w:rFonts w:hint="eastAsia" w:ascii="宋体" w:hAnsi="宋体" w:eastAsia="宋体" w:cs="宋体"/>
          <w:color w:val="000000"/>
          <w:sz w:val="24"/>
          <w:highlight w:val="none"/>
        </w:rPr>
        <w:t>第3种方式：其他价格调整方式：</w:t>
      </w:r>
    </w:p>
    <w:p w14:paraId="5F790B01">
      <w:pPr>
        <w:spacing w:line="360" w:lineRule="auto"/>
        <w:ind w:firstLine="645"/>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1488"/>
    <w:bookmarkEnd w:id="1489"/>
    <w:bookmarkEnd w:id="1490"/>
    <w:bookmarkEnd w:id="1491"/>
    <w:bookmarkEnd w:id="1492"/>
    <w:bookmarkEnd w:id="1493"/>
    <w:p w14:paraId="61CFD7B2">
      <w:pPr>
        <w:rPr>
          <w:rFonts w:ascii="宋体" w:hAnsi="宋体" w:eastAsia="宋体" w:cs="宋体"/>
          <w:b/>
          <w:sz w:val="24"/>
          <w:highlight w:val="none"/>
        </w:rPr>
      </w:pPr>
      <w:bookmarkStart w:id="1601" w:name="_Toc296944544"/>
      <w:bookmarkStart w:id="1602" w:name="_Toc292559410"/>
      <w:bookmarkStart w:id="1603" w:name="_Toc296347204"/>
      <w:bookmarkStart w:id="1604" w:name="_Toc297048391"/>
      <w:bookmarkStart w:id="1605" w:name="_Toc296346706"/>
      <w:bookmarkStart w:id="1606" w:name="_Toc297120505"/>
      <w:bookmarkStart w:id="1607" w:name="_Toc292559915"/>
      <w:bookmarkStart w:id="1608" w:name="_Toc296503205"/>
      <w:bookmarkStart w:id="1609" w:name="_Toc296891033"/>
      <w:bookmarkStart w:id="1610" w:name="_Toc296891245"/>
      <w:bookmarkStart w:id="1611" w:name="_Toc351203644"/>
      <w:bookmarkStart w:id="1612" w:name="_Toc297216211"/>
      <w:bookmarkStart w:id="1613" w:name="_Toc297123552"/>
      <w:bookmarkStart w:id="1614" w:name="_Toc312678040"/>
      <w:bookmarkStart w:id="1615" w:name="_Toc303539159"/>
      <w:bookmarkStart w:id="1616" w:name="_Toc300935002"/>
      <w:bookmarkStart w:id="1617" w:name="_Toc304295579"/>
      <w:r>
        <w:rPr>
          <w:rFonts w:hint="eastAsia" w:ascii="宋体" w:hAnsi="宋体" w:eastAsia="宋体" w:cs="宋体"/>
          <w:b/>
          <w:sz w:val="24"/>
          <w:highlight w:val="none"/>
        </w:rPr>
        <w:t xml:space="preserve">12. </w:t>
      </w:r>
      <w:bookmarkEnd w:id="1601"/>
      <w:bookmarkEnd w:id="1602"/>
      <w:bookmarkEnd w:id="1603"/>
      <w:bookmarkEnd w:id="1604"/>
      <w:bookmarkEnd w:id="1605"/>
      <w:bookmarkEnd w:id="1606"/>
      <w:bookmarkEnd w:id="1607"/>
      <w:bookmarkEnd w:id="1608"/>
      <w:bookmarkEnd w:id="1609"/>
      <w:bookmarkEnd w:id="1610"/>
      <w:r>
        <w:rPr>
          <w:rFonts w:hint="eastAsia" w:ascii="宋体" w:hAnsi="宋体" w:eastAsia="宋体" w:cs="宋体"/>
          <w:b/>
          <w:sz w:val="24"/>
          <w:highlight w:val="none"/>
        </w:rPr>
        <w:t>合同价格、计量与支付</w:t>
      </w:r>
      <w:bookmarkEnd w:id="1611"/>
    </w:p>
    <w:bookmarkEnd w:id="1612"/>
    <w:bookmarkEnd w:id="1613"/>
    <w:bookmarkEnd w:id="1614"/>
    <w:bookmarkEnd w:id="1615"/>
    <w:bookmarkEnd w:id="1616"/>
    <w:bookmarkEnd w:id="1617"/>
    <w:p w14:paraId="26034381">
      <w:pPr>
        <w:spacing w:after="120" w:line="360" w:lineRule="auto"/>
        <w:ind w:firstLine="480" w:firstLineChars="200"/>
        <w:rPr>
          <w:rFonts w:ascii="宋体" w:hAnsi="宋体" w:eastAsia="宋体" w:cs="宋体"/>
          <w:color w:val="000000"/>
          <w:sz w:val="24"/>
          <w:highlight w:val="none"/>
        </w:rPr>
      </w:pPr>
      <w:bookmarkStart w:id="1618" w:name="_Toc267251461"/>
      <w:bookmarkStart w:id="1619" w:name="_Toc292559411"/>
      <w:bookmarkStart w:id="1620" w:name="_Toc292559916"/>
      <w:bookmarkStart w:id="1621" w:name="_Toc297120506"/>
      <w:bookmarkStart w:id="1622" w:name="_Toc296944545"/>
      <w:bookmarkStart w:id="1623" w:name="_Toc296891034"/>
      <w:bookmarkStart w:id="1624" w:name="_Toc296503206"/>
      <w:bookmarkStart w:id="1625" w:name="_Toc296891246"/>
      <w:bookmarkStart w:id="1626" w:name="_Toc296347205"/>
      <w:bookmarkStart w:id="1627" w:name="_Toc297048392"/>
      <w:bookmarkStart w:id="1628" w:name="_Toc296346707"/>
      <w:bookmarkStart w:id="1629" w:name="_Toc304295580"/>
      <w:bookmarkStart w:id="1630" w:name="_Toc303539160"/>
      <w:bookmarkStart w:id="1631" w:name="_Toc297123553"/>
      <w:bookmarkStart w:id="1632" w:name="_Toc312678041"/>
      <w:bookmarkStart w:id="1633" w:name="_Toc297216212"/>
      <w:bookmarkStart w:id="1634" w:name="_Toc300935003"/>
      <w:r>
        <w:rPr>
          <w:rFonts w:hint="eastAsia" w:ascii="宋体" w:hAnsi="宋体" w:eastAsia="宋体" w:cs="宋体"/>
          <w:color w:val="000000"/>
          <w:sz w:val="24"/>
          <w:highlight w:val="none"/>
        </w:rPr>
        <w:t>12.1 合</w:t>
      </w:r>
      <w:bookmarkEnd w:id="1618"/>
      <w:bookmarkEnd w:id="1619"/>
      <w:bookmarkEnd w:id="1620"/>
      <w:r>
        <w:rPr>
          <w:rFonts w:hint="eastAsia" w:ascii="宋体" w:hAnsi="宋体" w:eastAsia="宋体" w:cs="宋体"/>
          <w:color w:val="000000"/>
          <w:sz w:val="24"/>
          <w:highlight w:val="none"/>
        </w:rPr>
        <w:t>同价</w:t>
      </w:r>
      <w:bookmarkEnd w:id="1621"/>
      <w:bookmarkEnd w:id="1622"/>
      <w:bookmarkEnd w:id="1623"/>
      <w:bookmarkEnd w:id="1624"/>
      <w:bookmarkEnd w:id="1625"/>
      <w:bookmarkEnd w:id="1626"/>
      <w:bookmarkEnd w:id="1627"/>
      <w:bookmarkEnd w:id="1628"/>
      <w:r>
        <w:rPr>
          <w:rFonts w:hint="eastAsia" w:ascii="宋体" w:hAnsi="宋体" w:eastAsia="宋体" w:cs="宋体"/>
          <w:color w:val="000000"/>
          <w:sz w:val="24"/>
          <w:highlight w:val="none"/>
        </w:rPr>
        <w:t>格形式</w:t>
      </w:r>
    </w:p>
    <w:bookmarkEnd w:id="1629"/>
    <w:bookmarkEnd w:id="1630"/>
    <w:bookmarkEnd w:id="1631"/>
    <w:bookmarkEnd w:id="1632"/>
    <w:bookmarkEnd w:id="1633"/>
    <w:bookmarkEnd w:id="1634"/>
    <w:p w14:paraId="6CA6B91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1、单价合同。</w:t>
      </w:r>
    </w:p>
    <w:p w14:paraId="67D86E1C">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综合单价包含的风险范围：</w:t>
      </w:r>
      <w:r>
        <w:rPr>
          <w:rFonts w:hint="eastAsia" w:ascii="宋体" w:hAnsi="宋体" w:eastAsia="宋体" w:cs="宋体"/>
          <w:color w:val="000000"/>
          <w:sz w:val="24"/>
          <w:highlight w:val="none"/>
          <w:u w:val="single"/>
        </w:rPr>
        <w:t xml:space="preserve"> 各种因素引起的材料价格（11.1 价格波动比例以内）、施工机 械使用费、管理费、利润等变化及风险因素。</w:t>
      </w:r>
    </w:p>
    <w:p w14:paraId="31982870">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p>
    <w:p w14:paraId="360A4BFE">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4651B3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p>
    <w:p w14:paraId="044DD6E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FB3472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2、总价合同。</w:t>
      </w:r>
    </w:p>
    <w:p w14:paraId="714A1059">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总价包含的风险范围：</w:t>
      </w:r>
    </w:p>
    <w:p w14:paraId="788846FA">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F678751">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风险费用的计算方法：</w:t>
      </w:r>
    </w:p>
    <w:p w14:paraId="5F20C2B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69C49E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风险范围以外合同价格的调整方法：</w:t>
      </w:r>
    </w:p>
    <w:p w14:paraId="03D734F8">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1E95F5D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3、其他价格方式：</w:t>
      </w:r>
    </w:p>
    <w:p w14:paraId="1509935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FD7F1BD">
      <w:pPr>
        <w:spacing w:after="120" w:line="360" w:lineRule="auto"/>
        <w:ind w:firstLine="480" w:firstLineChars="200"/>
        <w:rPr>
          <w:rFonts w:ascii="宋体" w:hAnsi="宋体" w:eastAsia="宋体" w:cs="宋体"/>
          <w:color w:val="000000"/>
          <w:sz w:val="24"/>
          <w:highlight w:val="none"/>
        </w:rPr>
      </w:pPr>
      <w:bookmarkStart w:id="1635" w:name="_Toc303539161"/>
      <w:bookmarkStart w:id="1636" w:name="_Toc304295581"/>
      <w:bookmarkStart w:id="1637" w:name="_Toc297216213"/>
      <w:bookmarkStart w:id="1638" w:name="_Toc312678042"/>
      <w:bookmarkStart w:id="1639" w:name="_Toc300935004"/>
      <w:bookmarkStart w:id="1640" w:name="_Toc297123554"/>
      <w:bookmarkStart w:id="1641" w:name="_Toc296503207"/>
      <w:bookmarkStart w:id="1642" w:name="_Toc292559917"/>
      <w:bookmarkStart w:id="1643" w:name="_Toc296347206"/>
      <w:bookmarkStart w:id="1644" w:name="_Toc296891247"/>
      <w:bookmarkStart w:id="1645" w:name="_Toc296944546"/>
      <w:bookmarkStart w:id="1646" w:name="_Toc292559412"/>
      <w:bookmarkStart w:id="1647" w:name="_Toc297120507"/>
      <w:bookmarkStart w:id="1648" w:name="_Toc296891035"/>
      <w:bookmarkStart w:id="1649" w:name="_Toc297048393"/>
      <w:bookmarkStart w:id="1650" w:name="_Toc296346708"/>
      <w:r>
        <w:rPr>
          <w:rFonts w:hint="eastAsia" w:ascii="宋体" w:hAnsi="宋体" w:eastAsia="宋体" w:cs="宋体"/>
          <w:color w:val="000000"/>
          <w:sz w:val="24"/>
          <w:highlight w:val="none"/>
        </w:rPr>
        <w:t>12.2 预付款</w:t>
      </w:r>
    </w:p>
    <w:bookmarkEnd w:id="1635"/>
    <w:bookmarkEnd w:id="1636"/>
    <w:bookmarkEnd w:id="1637"/>
    <w:bookmarkEnd w:id="1638"/>
    <w:bookmarkEnd w:id="1639"/>
    <w:bookmarkEnd w:id="1640"/>
    <w:p w14:paraId="50746716">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12.2.1 预付款的支付</w:t>
      </w:r>
    </w:p>
    <w:p w14:paraId="1E27CE15">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预付款支付比例或金额：</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430CEB9">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预付款支付期限：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AB6B3B9">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预付款扣回的方式：</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9D946A5">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12.2.2 预付款担保</w:t>
      </w:r>
    </w:p>
    <w:p w14:paraId="00DC8C5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承包人提交预付款担保的期限：</w:t>
      </w:r>
      <w:r>
        <w:rPr>
          <w:rFonts w:hint="eastAsia" w:ascii="宋体" w:hAnsi="宋体" w:eastAsia="宋体" w:cs="宋体"/>
          <w:color w:val="000000"/>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A7DA5F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预付款担保的形式为：</w:t>
      </w:r>
      <w:r>
        <w:rPr>
          <w:rFonts w:hint="eastAsia" w:ascii="宋体" w:hAnsi="宋体" w:eastAsia="宋体" w:cs="宋体"/>
          <w:color w:val="000000"/>
          <w:sz w:val="24"/>
          <w:highlight w:val="none"/>
          <w:u w:val="single"/>
        </w:rPr>
        <w:t xml:space="preserve">     </w:t>
      </w:r>
      <w:r>
        <w:rPr>
          <w:rFonts w:hint="eastAsia" w:ascii="宋体" w:hAnsi="宋体" w:cs="宋体"/>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1641"/>
    <w:bookmarkEnd w:id="1642"/>
    <w:bookmarkEnd w:id="1643"/>
    <w:bookmarkEnd w:id="1644"/>
    <w:bookmarkEnd w:id="1645"/>
    <w:bookmarkEnd w:id="1646"/>
    <w:bookmarkEnd w:id="1647"/>
    <w:bookmarkEnd w:id="1648"/>
    <w:bookmarkEnd w:id="1649"/>
    <w:bookmarkEnd w:id="1650"/>
    <w:p w14:paraId="66BE78AB">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 计量</w:t>
      </w:r>
    </w:p>
    <w:p w14:paraId="7DACE50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12.3.1 计量原则</w:t>
      </w:r>
    </w:p>
    <w:p w14:paraId="580C1605">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工程量计算规则：</w:t>
      </w:r>
      <w:r>
        <w:rPr>
          <w:rFonts w:hint="eastAsia" w:ascii="宋体" w:hAnsi="宋体" w:eastAsia="宋体" w:cs="宋体"/>
          <w:color w:val="000000"/>
          <w:sz w:val="24"/>
          <w:highlight w:val="none"/>
          <w:u w:val="single"/>
        </w:rPr>
        <w:t xml:space="preserve"> 以实际发生的工程量为准 </w:t>
      </w:r>
      <w:r>
        <w:rPr>
          <w:rFonts w:hint="eastAsia" w:ascii="宋体" w:hAnsi="宋体" w:eastAsia="宋体" w:cs="宋体"/>
          <w:color w:val="000000"/>
          <w:sz w:val="24"/>
          <w:highlight w:val="none"/>
        </w:rPr>
        <w:t>。</w:t>
      </w:r>
    </w:p>
    <w:p w14:paraId="53DC1B8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12.3.2 计量周期</w:t>
      </w:r>
    </w:p>
    <w:p w14:paraId="76EFE64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关于计量周期的约定：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按月计量</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F4479B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12.3.3 单价合同的计量</w:t>
      </w:r>
    </w:p>
    <w:p w14:paraId="659F2D42">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关于单价合同计量的约定：</w:t>
      </w:r>
      <w:r>
        <w:rPr>
          <w:rFonts w:hint="eastAsia" w:ascii="宋体" w:hAnsi="宋体" w:eastAsia="宋体" w:cs="宋体"/>
          <w:color w:val="000000"/>
          <w:sz w:val="24"/>
          <w:highlight w:val="none"/>
          <w:u w:val="single"/>
        </w:rPr>
        <w:t xml:space="preserve"> 执行本合同通用条款第 12.3.3 条 。</w:t>
      </w:r>
    </w:p>
    <w:p w14:paraId="6A873C70">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12.3.4 总价合同的计量</w:t>
      </w:r>
    </w:p>
    <w:p w14:paraId="5950C93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关于总价合同计量的约定：</w:t>
      </w:r>
      <w:r>
        <w:rPr>
          <w:rFonts w:hint="eastAsia" w:ascii="宋体" w:hAnsi="宋体" w:eastAsia="宋体" w:cs="宋体"/>
          <w:color w:val="000000"/>
          <w:sz w:val="24"/>
          <w:highlight w:val="none"/>
          <w:u w:val="single"/>
        </w:rPr>
        <w:t xml:space="preserve">   无   </w:t>
      </w:r>
      <w:r>
        <w:rPr>
          <w:rFonts w:hint="eastAsia" w:ascii="宋体" w:hAnsi="宋体" w:eastAsia="宋体" w:cs="宋体"/>
          <w:color w:val="000000"/>
          <w:sz w:val="24"/>
          <w:highlight w:val="none"/>
        </w:rPr>
        <w:t>。</w:t>
      </w:r>
    </w:p>
    <w:p w14:paraId="61A393A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12.3.5总价合同采用支付分解表计量支付的，是否适用第12.3.4 项〔总价合同的计量〕约定进行计量：</w:t>
      </w:r>
      <w:r>
        <w:rPr>
          <w:rFonts w:hint="eastAsia" w:ascii="宋体" w:hAnsi="宋体" w:eastAsia="宋体" w:cs="宋体"/>
          <w:color w:val="000000"/>
          <w:sz w:val="24"/>
          <w:highlight w:val="none"/>
          <w:u w:val="single"/>
        </w:rPr>
        <w:t xml:space="preserve">   无   </w:t>
      </w:r>
      <w:r>
        <w:rPr>
          <w:rFonts w:hint="eastAsia" w:ascii="宋体" w:hAnsi="宋体" w:eastAsia="宋体" w:cs="宋体"/>
          <w:color w:val="000000"/>
          <w:sz w:val="24"/>
          <w:highlight w:val="none"/>
        </w:rPr>
        <w:t>。</w:t>
      </w:r>
    </w:p>
    <w:p w14:paraId="799CC52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12.3.6 其他价格形式合同的计量</w:t>
      </w:r>
    </w:p>
    <w:p w14:paraId="10B107A3">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其他价格形式的计量方式和程序：</w:t>
      </w:r>
    </w:p>
    <w:p w14:paraId="0F20B633">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6230AE7">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12.4 工程进度款支付</w:t>
      </w:r>
    </w:p>
    <w:p w14:paraId="342C365C">
      <w:pPr>
        <w:spacing w:line="360" w:lineRule="auto"/>
        <w:ind w:firstLine="480" w:firstLineChars="200"/>
        <w:rPr>
          <w:rFonts w:ascii="宋体" w:hAnsi="宋体" w:eastAsia="宋体" w:cs="宋体"/>
          <w:color w:val="000000"/>
          <w:sz w:val="24"/>
          <w:highlight w:val="none"/>
          <w:u w:val="single"/>
        </w:rPr>
      </w:pPr>
      <w:bookmarkStart w:id="1651" w:name="_Toc292559416"/>
      <w:bookmarkStart w:id="1652" w:name="_Toc300935006"/>
      <w:bookmarkStart w:id="1653" w:name="_Toc296891251"/>
      <w:bookmarkStart w:id="1654" w:name="_Toc297123556"/>
      <w:bookmarkStart w:id="1655" w:name="_Toc296346712"/>
      <w:bookmarkStart w:id="1656" w:name="_Toc296503211"/>
      <w:bookmarkStart w:id="1657" w:name="_Toc296347210"/>
      <w:bookmarkStart w:id="1658" w:name="_Toc297216215"/>
      <w:bookmarkStart w:id="1659" w:name="_Toc292559921"/>
      <w:bookmarkStart w:id="1660" w:name="_Toc296944550"/>
      <w:bookmarkStart w:id="1661" w:name="_Toc303539163"/>
      <w:bookmarkStart w:id="1662" w:name="_Toc296891039"/>
      <w:bookmarkStart w:id="1663" w:name="_Toc297120511"/>
      <w:bookmarkStart w:id="1664" w:name="_Toc297048397"/>
      <w:r>
        <w:rPr>
          <w:rFonts w:hint="eastAsia" w:ascii="宋体" w:hAnsi="宋体" w:eastAsia="宋体" w:cs="宋体"/>
          <w:color w:val="000000"/>
          <w:sz w:val="24"/>
          <w:highlight w:val="none"/>
        </w:rPr>
        <w:t>12.4.1 双方约定的工程（进度款）支付的方式和时间：</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乙方</w:t>
      </w:r>
      <w:r>
        <w:rPr>
          <w:rFonts w:hint="eastAsia" w:ascii="宋体" w:hAnsi="宋体" w:eastAsia="宋体" w:cs="宋体"/>
          <w:color w:val="000000"/>
          <w:sz w:val="24"/>
          <w:highlight w:val="none"/>
          <w:u w:val="single"/>
        </w:rPr>
        <w:t>在签订合同前</w:t>
      </w:r>
      <w:r>
        <w:rPr>
          <w:rFonts w:hint="eastAsia" w:ascii="宋体" w:hAnsi="宋体" w:cs="宋体"/>
          <w:color w:val="000000"/>
          <w:sz w:val="24"/>
          <w:highlight w:val="none"/>
          <w:u w:val="single"/>
          <w:lang w:val="en-US" w:eastAsia="zh-CN"/>
        </w:rPr>
        <w:t>缴纳</w:t>
      </w:r>
      <w:r>
        <w:rPr>
          <w:rFonts w:hint="eastAsia" w:ascii="宋体" w:hAnsi="宋体" w:eastAsia="宋体" w:cs="宋体"/>
          <w:color w:val="000000"/>
          <w:sz w:val="24"/>
          <w:highlight w:val="none"/>
          <w:u w:val="single"/>
        </w:rPr>
        <w:t>中标金额10%的</w:t>
      </w:r>
      <w:r>
        <w:rPr>
          <w:rFonts w:hint="eastAsia" w:ascii="宋体" w:hAnsi="宋体" w:cs="宋体"/>
          <w:color w:val="000000"/>
          <w:sz w:val="24"/>
          <w:highlight w:val="none"/>
          <w:u w:val="single"/>
          <w:lang w:val="en-US" w:eastAsia="zh-CN"/>
        </w:rPr>
        <w:t>履约保证金或提供</w:t>
      </w:r>
      <w:r>
        <w:rPr>
          <w:rFonts w:hint="eastAsia" w:ascii="宋体" w:hAnsi="宋体" w:eastAsia="宋体" w:cs="宋体"/>
          <w:color w:val="000000"/>
          <w:sz w:val="24"/>
          <w:highlight w:val="none"/>
          <w:u w:val="single"/>
        </w:rPr>
        <w:t>履约</w:t>
      </w:r>
      <w:r>
        <w:rPr>
          <w:rFonts w:hint="eastAsia" w:ascii="宋体" w:hAnsi="宋体" w:cs="宋体"/>
          <w:color w:val="000000"/>
          <w:sz w:val="24"/>
          <w:highlight w:val="none"/>
          <w:u w:val="single"/>
          <w:lang w:eastAsia="zh-CN"/>
        </w:rPr>
        <w:t>保函，</w:t>
      </w:r>
      <w:r>
        <w:rPr>
          <w:rFonts w:hint="eastAsia" w:ascii="宋体" w:hAnsi="宋体" w:eastAsia="宋体" w:cs="宋体"/>
          <w:color w:val="000000"/>
          <w:sz w:val="24"/>
          <w:highlight w:val="none"/>
          <w:u w:val="single"/>
        </w:rPr>
        <w:t>项目竣工完毕并验收合格后支付至合同价80%，甲方委托第三方公司进行工程结算审查,且</w:t>
      </w:r>
      <w:r>
        <w:rPr>
          <w:rFonts w:hint="eastAsia" w:ascii="宋体" w:hAnsi="宋体" w:cs="宋体"/>
          <w:color w:val="000000"/>
          <w:sz w:val="24"/>
          <w:highlight w:val="none"/>
          <w:u w:val="single"/>
          <w:lang w:eastAsia="zh-CN"/>
        </w:rPr>
        <w:t>乙方</w:t>
      </w:r>
      <w:r>
        <w:rPr>
          <w:rFonts w:hint="eastAsia" w:ascii="宋体" w:hAnsi="宋体" w:eastAsia="宋体" w:cs="宋体"/>
          <w:color w:val="000000"/>
          <w:sz w:val="24"/>
          <w:highlight w:val="none"/>
          <w:u w:val="single"/>
        </w:rPr>
        <w:t>无民工工资纠纷现象，并完成工程资料备案及移交时付至结算金额的100%，同时</w:t>
      </w:r>
      <w:r>
        <w:rPr>
          <w:rFonts w:hint="eastAsia" w:ascii="宋体" w:hAnsi="宋体" w:cs="宋体"/>
          <w:color w:val="000000"/>
          <w:sz w:val="24"/>
          <w:highlight w:val="none"/>
          <w:u w:val="single"/>
          <w:lang w:eastAsia="zh-CN"/>
        </w:rPr>
        <w:t>乙方</w:t>
      </w:r>
      <w:r>
        <w:rPr>
          <w:rFonts w:hint="eastAsia" w:ascii="宋体" w:hAnsi="宋体" w:eastAsia="宋体" w:cs="宋体"/>
          <w:color w:val="000000"/>
          <w:sz w:val="24"/>
          <w:highlight w:val="none"/>
          <w:u w:val="single"/>
        </w:rPr>
        <w:t>须提供结算价3%的质量保函。</w:t>
      </w:r>
    </w:p>
    <w:p w14:paraId="1C2892E1">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12.4.2 进度付款申请单的编制</w:t>
      </w:r>
    </w:p>
    <w:p w14:paraId="16D412DE">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关于进度付款申请单编制的约定：</w:t>
      </w:r>
    </w:p>
    <w:p w14:paraId="3592186E">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1、每月底按完成工程量并经监理签证确认；2、工程进度支付比例双方另行约定（实际工程量低于合同价的，由双方另行协定支付）。农民工工资保障金按有关文件规定执行 。</w:t>
      </w:r>
    </w:p>
    <w:p w14:paraId="2791F17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w:t>
      </w:r>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r>
        <w:rPr>
          <w:rFonts w:hint="eastAsia" w:ascii="宋体" w:hAnsi="宋体" w:eastAsia="宋体" w:cs="宋体"/>
          <w:color w:val="000000"/>
          <w:sz w:val="24"/>
          <w:highlight w:val="none"/>
        </w:rPr>
        <w:t>2.4.3 进度付款申请单的提交</w:t>
      </w:r>
    </w:p>
    <w:p w14:paraId="1E1A808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（1）单价合同进度付款申请单提交的约定：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按月提交</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2AA69B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（2）总价合同进度付款申请单提交的约定：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1D15FAA">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（3）其他价格形式合同进度付款申请单提交的约定：</w:t>
      </w:r>
    </w:p>
    <w:p w14:paraId="5FEBE293">
      <w:pPr>
        <w:spacing w:line="360" w:lineRule="auto"/>
        <w:ind w:firstLine="420"/>
        <w:rPr>
          <w:rFonts w:ascii="宋体" w:hAnsi="宋体" w:eastAsia="宋体" w:cs="宋体"/>
          <w:color w:val="000000"/>
          <w:sz w:val="24"/>
          <w:highlight w:val="non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5432AE3">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12.4.4 进度款审核和支付</w:t>
      </w:r>
    </w:p>
    <w:p w14:paraId="195547ED">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（1）监理人审查并报送发包人的期限：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收到申请</w:t>
      </w:r>
      <w:r>
        <w:rPr>
          <w:rFonts w:hint="eastAsia" w:ascii="宋体" w:hAnsi="宋体" w:cs="宋体"/>
          <w:color w:val="000000"/>
          <w:sz w:val="24"/>
          <w:highlight w:val="none"/>
          <w:u w:val="single"/>
          <w:lang w:val="en-US" w:eastAsia="zh-CN"/>
        </w:rPr>
        <w:t>7天内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19547347">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发包人完成审批并签发进度款支付证书的期限：</w:t>
      </w:r>
    </w:p>
    <w:p w14:paraId="0F36C8BC">
      <w:pPr>
        <w:spacing w:line="360" w:lineRule="auto"/>
        <w:ind w:firstLine="420"/>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7天内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E33D07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（2）发包人支付进度款的期限：</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30天内</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04E654E9">
      <w:pPr>
        <w:spacing w:line="360" w:lineRule="auto"/>
        <w:ind w:firstLine="600" w:firstLineChars="250"/>
        <w:rPr>
          <w:rFonts w:ascii="宋体" w:hAnsi="宋体" w:eastAsia="宋体" w:cs="宋体"/>
          <w:color w:val="000000"/>
          <w:sz w:val="24"/>
          <w:u w:val="single"/>
        </w:rPr>
      </w:pPr>
      <w:r>
        <w:rPr>
          <w:rFonts w:hint="eastAsia" w:ascii="宋体" w:hAnsi="宋体" w:eastAsia="宋体" w:cs="宋体"/>
          <w:color w:val="000000"/>
          <w:sz w:val="24"/>
        </w:rPr>
        <w:t>发包人逾期支付进度款的违约金的计算方式：</w:t>
      </w:r>
    </w:p>
    <w:p w14:paraId="6F5CD19A">
      <w:pPr>
        <w:spacing w:line="360" w:lineRule="auto"/>
        <w:rPr>
          <w:rFonts w:ascii="宋体" w:hAnsi="宋体" w:eastAsia="宋体" w:cs="宋体"/>
          <w:color w:val="000000"/>
          <w:sz w:val="24"/>
          <w:u w:val="single"/>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5D032CA">
      <w:pPr>
        <w:numPr>
          <w:ilvl w:val="2"/>
          <w:numId w:val="4"/>
        </w:numPr>
        <w:spacing w:line="360" w:lineRule="auto"/>
        <w:ind w:left="1140" w:hanging="720"/>
        <w:rPr>
          <w:rFonts w:ascii="宋体" w:hAnsi="宋体" w:eastAsia="宋体" w:cs="宋体"/>
          <w:color w:val="000000"/>
          <w:sz w:val="24"/>
        </w:rPr>
      </w:pPr>
      <w:r>
        <w:rPr>
          <w:rFonts w:hint="eastAsia" w:ascii="宋体" w:hAnsi="宋体" w:eastAsia="宋体" w:cs="宋体"/>
          <w:color w:val="000000"/>
          <w:sz w:val="24"/>
        </w:rPr>
        <w:t>支付分解表的编制</w:t>
      </w:r>
    </w:p>
    <w:p w14:paraId="5E213EA7">
      <w:pPr>
        <w:spacing w:line="360" w:lineRule="auto"/>
        <w:ind w:left="1500" w:hanging="360"/>
        <w:rPr>
          <w:rFonts w:ascii="宋体" w:hAnsi="宋体" w:eastAsia="宋体" w:cs="宋体"/>
          <w:color w:val="000000"/>
          <w:sz w:val="24"/>
        </w:rPr>
      </w:pPr>
      <w:r>
        <w:rPr>
          <w:rFonts w:ascii="宋体" w:hAnsi="宋体" w:eastAsia="宋体" w:cs="宋体"/>
          <w:color w:val="000000"/>
          <w:sz w:val="24"/>
        </w:rPr>
        <w:t>1、</w:t>
      </w:r>
      <w:r>
        <w:rPr>
          <w:rFonts w:hint="eastAsia" w:ascii="宋体" w:hAnsi="宋体" w:eastAsia="宋体" w:cs="宋体"/>
          <w:color w:val="000000"/>
          <w:sz w:val="24"/>
        </w:rPr>
        <w:t>总价合同支付分解表的编制与审批：</w:t>
      </w:r>
    </w:p>
    <w:p w14:paraId="16AB5459">
      <w:pPr>
        <w:spacing w:line="360" w:lineRule="auto"/>
        <w:ind w:left="1140"/>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1A90480">
      <w:pPr>
        <w:spacing w:line="360" w:lineRule="auto"/>
        <w:ind w:left="1500" w:hanging="360"/>
        <w:rPr>
          <w:rFonts w:ascii="宋体" w:hAnsi="宋体" w:eastAsia="宋体" w:cs="宋体"/>
          <w:color w:val="000000"/>
          <w:sz w:val="24"/>
        </w:rPr>
      </w:pPr>
      <w:r>
        <w:rPr>
          <w:rFonts w:ascii="宋体" w:hAnsi="宋体" w:eastAsia="宋体" w:cs="宋体"/>
          <w:color w:val="000000"/>
          <w:sz w:val="24"/>
        </w:rPr>
        <w:t>2、</w:t>
      </w:r>
      <w:r>
        <w:rPr>
          <w:rFonts w:hint="eastAsia" w:ascii="宋体" w:hAnsi="宋体" w:eastAsia="宋体" w:cs="宋体"/>
          <w:color w:val="000000"/>
          <w:sz w:val="24"/>
        </w:rPr>
        <w:t>单价合同的总价项目支付分解表的编制与审批：</w:t>
      </w:r>
    </w:p>
    <w:p w14:paraId="138E20AC">
      <w:pPr>
        <w:spacing w:line="360" w:lineRule="auto"/>
        <w:ind w:left="1140"/>
        <w:rPr>
          <w:rFonts w:ascii="宋体" w:hAnsi="宋体" w:eastAsia="宋体" w:cs="宋体"/>
          <w:color w:val="000000"/>
          <w:sz w:val="24"/>
        </w:rPr>
      </w:pP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bookmarkEnd w:id="1494"/>
    <w:p w14:paraId="46FF574F">
      <w:pPr>
        <w:rPr>
          <w:rFonts w:ascii="宋体" w:hAnsi="宋体" w:eastAsia="宋体" w:cs="宋体"/>
          <w:b/>
          <w:sz w:val="24"/>
        </w:rPr>
      </w:pPr>
      <w:bookmarkStart w:id="1665" w:name="_Toc351203645"/>
      <w:bookmarkStart w:id="1666" w:name="_Toc312678053"/>
      <w:bookmarkStart w:id="1667" w:name="_Toc297048405"/>
      <w:bookmarkStart w:id="1668" w:name="_Toc296944558"/>
      <w:bookmarkStart w:id="1669" w:name="_Toc304295593"/>
      <w:bookmarkStart w:id="1670" w:name="_Toc300935015"/>
      <w:bookmarkStart w:id="1671" w:name="_Toc303539172"/>
      <w:bookmarkStart w:id="1672" w:name="_Toc292559424"/>
      <w:bookmarkStart w:id="1673" w:name="_Toc297123564"/>
      <w:bookmarkStart w:id="1674" w:name="_Toc296347218"/>
      <w:bookmarkStart w:id="1675" w:name="_Toc292559929"/>
      <w:bookmarkStart w:id="1676" w:name="_Toc297120519"/>
      <w:bookmarkStart w:id="1677" w:name="_Toc296891259"/>
      <w:bookmarkStart w:id="1678" w:name="_Toc296346720"/>
      <w:bookmarkStart w:id="1679" w:name="_Toc296503219"/>
      <w:bookmarkStart w:id="1680" w:name="_Toc296891047"/>
      <w:bookmarkStart w:id="1681" w:name="_Toc297216223"/>
      <w:r>
        <w:rPr>
          <w:rFonts w:hint="eastAsia" w:ascii="宋体" w:hAnsi="宋体" w:eastAsia="宋体" w:cs="宋体"/>
          <w:b/>
          <w:sz w:val="24"/>
        </w:rPr>
        <w:t>13. 验收和工程试车</w:t>
      </w:r>
      <w:bookmarkEnd w:id="1665"/>
    </w:p>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p w14:paraId="4CFE6E49">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13.1 分部分项工程验收</w:t>
      </w:r>
    </w:p>
    <w:p w14:paraId="08A41A66">
      <w:pPr>
        <w:spacing w:line="360" w:lineRule="auto"/>
        <w:ind w:firstLine="480" w:firstLineChars="200"/>
        <w:rPr>
          <w:rFonts w:ascii="宋体" w:hAnsi="宋体" w:eastAsia="宋体" w:cs="宋体"/>
          <w:sz w:val="24"/>
        </w:rPr>
      </w:pPr>
      <w:r>
        <w:rPr>
          <w:rFonts w:hint="eastAsia" w:ascii="宋体" w:hAnsi="宋体" w:eastAsia="宋体" w:cs="宋体"/>
          <w:sz w:val="24"/>
        </w:rPr>
        <w:t>13.1.2监理人不能按时进行验收时，应提前</w:t>
      </w:r>
      <w:r>
        <w:rPr>
          <w:rFonts w:hint="eastAsia" w:ascii="宋体" w:hAnsi="宋体" w:eastAsia="宋体" w:cs="宋体"/>
          <w:sz w:val="24"/>
          <w:u w:val="single"/>
        </w:rPr>
        <w:t xml:space="preserve">  24  </w:t>
      </w:r>
      <w:r>
        <w:rPr>
          <w:rFonts w:hint="eastAsia" w:ascii="宋体" w:hAnsi="宋体" w:eastAsia="宋体" w:cs="宋体"/>
          <w:sz w:val="24"/>
        </w:rPr>
        <w:t>小时提交书面延期要求。</w:t>
      </w:r>
    </w:p>
    <w:p w14:paraId="0CB41392">
      <w:pPr>
        <w:spacing w:line="360" w:lineRule="auto"/>
        <w:ind w:firstLine="480" w:firstLineChars="200"/>
        <w:rPr>
          <w:rFonts w:ascii="宋体" w:hAnsi="宋体" w:eastAsia="宋体" w:cs="宋体"/>
          <w:b/>
          <w:color w:val="000000"/>
          <w:sz w:val="24"/>
        </w:rPr>
      </w:pPr>
      <w:r>
        <w:rPr>
          <w:rFonts w:hint="eastAsia" w:ascii="宋体" w:hAnsi="宋体" w:eastAsia="宋体" w:cs="宋体"/>
          <w:sz w:val="24"/>
        </w:rPr>
        <w:t>关于延期最长不得超过：</w:t>
      </w:r>
      <w:r>
        <w:rPr>
          <w:rFonts w:hint="eastAsia" w:ascii="宋体" w:hAnsi="宋体" w:eastAsia="宋体" w:cs="宋体"/>
          <w:sz w:val="24"/>
          <w:u w:val="single"/>
        </w:rPr>
        <w:t xml:space="preserve">  24   </w:t>
      </w:r>
      <w:r>
        <w:rPr>
          <w:rFonts w:hint="eastAsia" w:ascii="宋体" w:hAnsi="宋体" w:eastAsia="宋体" w:cs="宋体"/>
          <w:sz w:val="24"/>
        </w:rPr>
        <w:t>小时。</w:t>
      </w:r>
    </w:p>
    <w:p w14:paraId="55464883">
      <w:pPr>
        <w:spacing w:after="120" w:line="360" w:lineRule="auto"/>
        <w:ind w:firstLine="480" w:firstLineChars="200"/>
        <w:rPr>
          <w:rFonts w:ascii="宋体" w:hAnsi="宋体" w:eastAsia="宋体" w:cs="宋体"/>
          <w:color w:val="000000"/>
          <w:sz w:val="24"/>
        </w:rPr>
      </w:pPr>
      <w:bookmarkStart w:id="1682" w:name="_Toc296347222"/>
      <w:bookmarkStart w:id="1683" w:name="_Toc312678056"/>
      <w:bookmarkStart w:id="1684" w:name="_Toc296891263"/>
      <w:bookmarkStart w:id="1685" w:name="_Toc292559933"/>
      <w:bookmarkStart w:id="1686" w:name="_Toc303539173"/>
      <w:bookmarkStart w:id="1687" w:name="_Toc297216224"/>
      <w:bookmarkStart w:id="1688" w:name="_Toc292559428"/>
      <w:bookmarkStart w:id="1689" w:name="_Toc297048409"/>
      <w:bookmarkStart w:id="1690" w:name="_Toc297120523"/>
      <w:bookmarkStart w:id="1691" w:name="_Toc300935016"/>
      <w:bookmarkStart w:id="1692" w:name="_Toc296944562"/>
      <w:bookmarkStart w:id="1693" w:name="_Toc297123565"/>
      <w:bookmarkStart w:id="1694" w:name="_Toc296346724"/>
      <w:bookmarkStart w:id="1695" w:name="_Toc296891051"/>
      <w:bookmarkStart w:id="1696" w:name="_Toc296503223"/>
      <w:bookmarkStart w:id="1697" w:name="_Toc304295596"/>
      <w:bookmarkStart w:id="1698" w:name="_Toc267251476"/>
      <w:bookmarkStart w:id="1699" w:name="_Toc267251475"/>
      <w:bookmarkStart w:id="1700" w:name="_Toc267251472"/>
      <w:bookmarkStart w:id="1701" w:name="_Toc267251474"/>
      <w:bookmarkStart w:id="1702" w:name="_Toc267251470"/>
      <w:bookmarkStart w:id="1703" w:name="_Toc267251471"/>
      <w:bookmarkStart w:id="1704" w:name="_Toc267251473"/>
      <w:r>
        <w:rPr>
          <w:rFonts w:hint="eastAsia" w:ascii="宋体" w:hAnsi="宋体" w:eastAsia="宋体" w:cs="宋体"/>
          <w:color w:val="000000"/>
          <w:sz w:val="24"/>
        </w:rPr>
        <w:t>13.2 竣工验收</w:t>
      </w:r>
    </w:p>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p w14:paraId="5FB41969">
      <w:pPr>
        <w:spacing w:line="360" w:lineRule="auto"/>
        <w:ind w:firstLine="480" w:firstLineChars="200"/>
        <w:rPr>
          <w:rFonts w:ascii="宋体" w:hAnsi="宋体" w:eastAsia="宋体" w:cs="宋体"/>
          <w:color w:val="000000"/>
          <w:sz w:val="24"/>
        </w:rPr>
      </w:pPr>
      <w:bookmarkStart w:id="1705" w:name="_Toc280868704"/>
      <w:bookmarkStart w:id="1706" w:name="_Toc280868705"/>
      <w:bookmarkStart w:id="1707" w:name="_Toc280868706"/>
      <w:bookmarkStart w:id="1708" w:name="_Toc280868707"/>
      <w:bookmarkStart w:id="1709" w:name="_Toc280868708"/>
      <w:bookmarkStart w:id="1710" w:name="_Toc280868709"/>
      <w:r>
        <w:rPr>
          <w:rFonts w:hint="eastAsia" w:ascii="宋体" w:hAnsi="宋体" w:eastAsia="宋体" w:cs="宋体"/>
          <w:color w:val="000000"/>
          <w:sz w:val="24"/>
        </w:rPr>
        <w:t>13.2.2竣工验收程序</w:t>
      </w:r>
    </w:p>
    <w:bookmarkEnd w:id="1705"/>
    <w:p w14:paraId="61E0B130">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关于竣工验收程序的约定：</w:t>
      </w:r>
      <w:r>
        <w:rPr>
          <w:rFonts w:hint="eastAsia" w:ascii="宋体" w:hAnsi="宋体" w:eastAsia="宋体" w:cs="宋体"/>
          <w:color w:val="000000"/>
          <w:sz w:val="24"/>
          <w:u w:val="single"/>
        </w:rPr>
        <w:t xml:space="preserve"> </w:t>
      </w:r>
      <w:r>
        <w:rPr>
          <w:rFonts w:hint="eastAsia" w:ascii="宋体" w:hAnsi="宋体" w:eastAsia="宋体" w:cs="宋体"/>
          <w:sz w:val="24"/>
          <w:u w:val="single"/>
        </w:rPr>
        <w:t>承包人完工后、正式竣工验收前，需向发包人发送书面材料；需要试验的，由发包人向承包人提出书面意见；试验结束并试验合格的，视为正式竣工，承包人正式提交竣工验收报告。</w:t>
      </w:r>
    </w:p>
    <w:p w14:paraId="30272A3E">
      <w:pPr>
        <w:spacing w:line="360" w:lineRule="auto"/>
        <w:ind w:firstLine="480" w:firstLineChars="200"/>
        <w:rPr>
          <w:rFonts w:ascii="宋体" w:hAnsi="宋体" w:eastAsia="宋体" w:cs="宋体"/>
          <w:color w:val="000000"/>
          <w:sz w:val="24"/>
          <w:u w:val="single"/>
        </w:rPr>
      </w:pPr>
      <w:r>
        <w:rPr>
          <w:rFonts w:hint="eastAsia" w:ascii="宋体" w:hAnsi="宋体" w:eastAsia="宋体" w:cs="宋体"/>
          <w:sz w:val="24"/>
          <w:u w:val="single"/>
        </w:rPr>
        <w:t xml:space="preserve">竣工试验的操作要求：具体操作按照国家相关规定执行，无相关规定的，由发包人指定操作依据，承包人认为指定造作依据有安全隐患或者有损工程质量安全的，由承包人拿出可行方案  </w:t>
      </w:r>
      <w:r>
        <w:rPr>
          <w:rFonts w:hint="eastAsia" w:ascii="宋体" w:hAnsi="宋体" w:eastAsia="宋体" w:cs="宋体"/>
          <w:color w:val="000000"/>
          <w:sz w:val="24"/>
        </w:rPr>
        <w:t>。</w:t>
      </w:r>
    </w:p>
    <w:p w14:paraId="07DCFAAE">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rPr>
        <w:t>发包人不按照本项约定组织竣工验收、颁发工程接收证书的违约金的计算方</w:t>
      </w:r>
      <w:r>
        <w:rPr>
          <w:rFonts w:hint="eastAsia" w:ascii="宋体" w:hAnsi="宋体" w:eastAsia="宋体" w:cs="宋体"/>
          <w:color w:val="000000"/>
          <w:sz w:val="24"/>
          <w:highlight w:val="none"/>
        </w:rPr>
        <w:t>法：</w:t>
      </w:r>
      <w:bookmarkEnd w:id="1706"/>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按通用条款执行</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3F34B3B">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13.2.5移交、接收全部与部分工程</w:t>
      </w:r>
    </w:p>
    <w:bookmarkEnd w:id="1707"/>
    <w:p w14:paraId="3DB1A91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承包人向发包人移交工程的期限：</w:t>
      </w:r>
      <w:r>
        <w:rPr>
          <w:rFonts w:hint="eastAsia" w:ascii="宋体" w:hAnsi="宋体" w:eastAsia="宋体" w:cs="宋体"/>
          <w:color w:val="000000"/>
          <w:sz w:val="24"/>
          <w:highlight w:val="none"/>
          <w:u w:val="single"/>
        </w:rPr>
        <w:t xml:space="preserve"> 颁发工程接收证书后 7 天内。</w:t>
      </w:r>
    </w:p>
    <w:p w14:paraId="2F326347">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发包人未按本合同约定接收全部或部分工程的，违约金的计算方法为：</w:t>
      </w:r>
    </w:p>
    <w:bookmarkEnd w:id="1708"/>
    <w:p w14:paraId="4C36F7F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71E9AD8">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承包人未按时移交工程的，违约金的计算方法为：</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每延误一天按签约合同总价金额千分之一支付违约金</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05FCCF8">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13.3 工程试车</w:t>
      </w:r>
    </w:p>
    <w:bookmarkEnd w:id="1709"/>
    <w:p w14:paraId="132350FE">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13.3.1 试车程序</w:t>
      </w:r>
    </w:p>
    <w:p w14:paraId="69C7A368">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工程试车内容：</w:t>
      </w:r>
      <w:r>
        <w:rPr>
          <w:rFonts w:hint="eastAsia" w:ascii="宋体" w:hAnsi="宋体" w:eastAsia="宋体" w:cs="宋体"/>
          <w:color w:val="000000"/>
          <w:sz w:val="24"/>
          <w:highlight w:val="none"/>
          <w:u w:val="single"/>
        </w:rPr>
        <w:t xml:space="preserve">  按合同通用条款   </w:t>
      </w:r>
      <w:r>
        <w:rPr>
          <w:rFonts w:hint="eastAsia" w:ascii="宋体" w:hAnsi="宋体" w:eastAsia="宋体" w:cs="宋体"/>
          <w:color w:val="000000"/>
          <w:sz w:val="24"/>
          <w:highlight w:val="none"/>
        </w:rPr>
        <w:t>。</w:t>
      </w:r>
    </w:p>
    <w:p w14:paraId="5F7842AA">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（1）单机无负荷试车费用由</w:t>
      </w:r>
      <w:r>
        <w:rPr>
          <w:rFonts w:hint="eastAsia" w:ascii="宋体" w:hAnsi="宋体" w:eastAsia="宋体" w:cs="宋体"/>
          <w:color w:val="000000"/>
          <w:sz w:val="24"/>
          <w:u w:val="single"/>
        </w:rPr>
        <w:t xml:space="preserve">     承包人                </w:t>
      </w:r>
      <w:r>
        <w:rPr>
          <w:rFonts w:hint="eastAsia" w:ascii="宋体" w:hAnsi="宋体" w:eastAsia="宋体" w:cs="宋体"/>
          <w:color w:val="000000"/>
          <w:sz w:val="24"/>
        </w:rPr>
        <w:t>承担；</w:t>
      </w:r>
    </w:p>
    <w:p w14:paraId="0F538C76">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（2）无负荷联动试车费用由</w:t>
      </w:r>
      <w:r>
        <w:rPr>
          <w:rFonts w:hint="eastAsia" w:ascii="宋体" w:hAnsi="宋体" w:eastAsia="宋体" w:cs="宋体"/>
          <w:color w:val="000000"/>
          <w:sz w:val="24"/>
          <w:u w:val="single"/>
        </w:rPr>
        <w:t xml:space="preserve">     承包人                </w:t>
      </w:r>
      <w:r>
        <w:rPr>
          <w:rFonts w:hint="eastAsia" w:ascii="宋体" w:hAnsi="宋体" w:eastAsia="宋体" w:cs="宋体"/>
          <w:color w:val="000000"/>
          <w:sz w:val="24"/>
        </w:rPr>
        <w:t>承担。</w:t>
      </w:r>
    </w:p>
    <w:p w14:paraId="2D52FB64">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13.3.3 投料试车</w:t>
      </w:r>
    </w:p>
    <w:p w14:paraId="2017BE16">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关于投料试车相关事项的约定：</w:t>
      </w:r>
      <w:r>
        <w:rPr>
          <w:rFonts w:hint="eastAsia" w:ascii="宋体" w:hAnsi="宋体" w:eastAsia="宋体" w:cs="宋体"/>
          <w:color w:val="000000"/>
          <w:sz w:val="24"/>
          <w:u w:val="single"/>
        </w:rPr>
        <w:t xml:space="preserve">  按合同通用条款   </w:t>
      </w:r>
      <w:r>
        <w:rPr>
          <w:rFonts w:hint="eastAsia" w:ascii="宋体" w:hAnsi="宋体" w:eastAsia="宋体" w:cs="宋体"/>
          <w:color w:val="000000"/>
          <w:sz w:val="24"/>
        </w:rPr>
        <w:t>。</w:t>
      </w:r>
    </w:p>
    <w:p w14:paraId="75F1A4DD">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13.6 竣工退场</w:t>
      </w:r>
    </w:p>
    <w:p w14:paraId="3D1A6BB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13.6.1 竣工退场</w:t>
      </w:r>
    </w:p>
    <w:p w14:paraId="46F58052">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承包人完成竣工退场的期限：</w:t>
      </w:r>
      <w:r>
        <w:rPr>
          <w:rFonts w:hint="eastAsia" w:ascii="宋体" w:hAnsi="宋体" w:eastAsia="宋体" w:cs="宋体"/>
          <w:color w:val="000000"/>
          <w:sz w:val="24"/>
          <w:u w:val="single"/>
        </w:rPr>
        <w:t xml:space="preserve">  7日内    </w:t>
      </w:r>
      <w:r>
        <w:rPr>
          <w:rFonts w:hint="eastAsia" w:ascii="宋体" w:hAnsi="宋体" w:eastAsia="宋体" w:cs="宋体"/>
          <w:color w:val="000000"/>
          <w:sz w:val="24"/>
        </w:rPr>
        <w:t>。</w:t>
      </w:r>
    </w:p>
    <w:p w14:paraId="1783A741">
      <w:pPr>
        <w:rPr>
          <w:rFonts w:ascii="宋体" w:hAnsi="宋体" w:eastAsia="宋体" w:cs="宋体"/>
          <w:b/>
          <w:sz w:val="24"/>
        </w:rPr>
      </w:pPr>
      <w:bookmarkStart w:id="1711" w:name="_Toc351203646"/>
      <w:r>
        <w:rPr>
          <w:rFonts w:hint="eastAsia" w:ascii="宋体" w:hAnsi="宋体" w:eastAsia="宋体" w:cs="宋体"/>
          <w:b/>
          <w:sz w:val="24"/>
        </w:rPr>
        <w:t>14. 竣工结算</w:t>
      </w:r>
      <w:bookmarkEnd w:id="1711"/>
    </w:p>
    <w:p w14:paraId="46B31F68">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14.1 竣工付款申请</w:t>
      </w:r>
    </w:p>
    <w:p w14:paraId="761A16CC">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承包人提交竣工付款申请单的期限：</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2805A08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竣工结算申请的资料清单和份数：</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5C62B958">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竣工付款申请单应包括的内容：</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040A7CB4">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14.2 竣工结算审核</w:t>
      </w:r>
    </w:p>
    <w:p w14:paraId="5888F956">
      <w:pPr>
        <w:spacing w:line="360" w:lineRule="auto"/>
        <w:ind w:firstLine="480" w:firstLineChars="200"/>
        <w:rPr>
          <w:rFonts w:ascii="宋体" w:hAnsi="宋体" w:eastAsia="宋体" w:cs="宋体"/>
          <w:sz w:val="24"/>
        </w:rPr>
      </w:pPr>
      <w:r>
        <w:rPr>
          <w:rFonts w:hint="eastAsia" w:ascii="宋体" w:hAnsi="宋体" w:eastAsia="宋体" w:cs="宋体"/>
          <w:sz w:val="24"/>
        </w:rPr>
        <w:t>发包人审批竣工付款申请单的期限：</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19319E43">
      <w:pPr>
        <w:spacing w:line="360" w:lineRule="auto"/>
        <w:ind w:firstLine="480" w:firstLineChars="200"/>
        <w:rPr>
          <w:rFonts w:ascii="宋体" w:hAnsi="宋体" w:eastAsia="宋体" w:cs="宋体"/>
          <w:color w:val="000000"/>
          <w:sz w:val="24"/>
        </w:rPr>
      </w:pPr>
      <w:r>
        <w:rPr>
          <w:rFonts w:hint="eastAsia" w:ascii="宋体" w:hAnsi="宋体" w:eastAsia="宋体" w:cs="宋体"/>
          <w:sz w:val="24"/>
        </w:rPr>
        <w:t>发包人完成竣工付款的期限：</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70F635D4">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关于竣工付款证书异议部分复核的方式和程序：</w:t>
      </w:r>
      <w:r>
        <w:rPr>
          <w:rFonts w:hint="eastAsia" w:ascii="宋体" w:hAnsi="宋体" w:eastAsia="宋体" w:cs="宋体"/>
          <w:color w:val="000000"/>
          <w:sz w:val="24"/>
          <w:u w:val="single"/>
        </w:rPr>
        <w:t xml:space="preserve">  执行合同通用条款   </w:t>
      </w:r>
      <w:r>
        <w:rPr>
          <w:rFonts w:hint="eastAsia" w:ascii="宋体" w:hAnsi="宋体" w:eastAsia="宋体" w:cs="宋体"/>
          <w:color w:val="000000"/>
          <w:sz w:val="24"/>
        </w:rPr>
        <w:t>。</w:t>
      </w:r>
    </w:p>
    <w:p w14:paraId="1D68012E">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14.4 最终结清</w:t>
      </w:r>
    </w:p>
    <w:p w14:paraId="74AA72B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14.4.1 最终结清申请单</w:t>
      </w:r>
    </w:p>
    <w:p w14:paraId="6042D0D9">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承包人提交最终结清申请单的份数：</w:t>
      </w:r>
      <w:r>
        <w:rPr>
          <w:rFonts w:hint="eastAsia" w:ascii="宋体" w:hAnsi="宋体" w:eastAsia="宋体" w:cs="宋体"/>
          <w:color w:val="000000"/>
          <w:sz w:val="24"/>
          <w:highlight w:val="none"/>
          <w:u w:val="single"/>
        </w:rPr>
        <w:t xml:space="preserve">  四份      </w:t>
      </w:r>
      <w:r>
        <w:rPr>
          <w:rFonts w:hint="eastAsia" w:ascii="宋体" w:hAnsi="宋体" w:eastAsia="宋体" w:cs="宋体"/>
          <w:color w:val="000000"/>
          <w:sz w:val="24"/>
          <w:highlight w:val="none"/>
        </w:rPr>
        <w:t>。</w:t>
      </w:r>
    </w:p>
    <w:p w14:paraId="3E984A35">
      <w:pPr>
        <w:spacing w:line="360" w:lineRule="auto"/>
        <w:ind w:firstLine="480" w:firstLineChars="200"/>
        <w:rPr>
          <w:rFonts w:ascii="宋体" w:hAnsi="宋体" w:eastAsia="宋体" w:cs="宋体"/>
          <w:sz w:val="24"/>
          <w:highlight w:val="none"/>
        </w:rPr>
      </w:pPr>
      <w:r>
        <w:rPr>
          <w:rFonts w:hint="eastAsia" w:ascii="宋体" w:hAnsi="宋体" w:eastAsia="宋体" w:cs="宋体"/>
          <w:color w:val="000000"/>
          <w:sz w:val="24"/>
          <w:highlight w:val="none"/>
        </w:rPr>
        <w:t>承包人提交最终结算申请单的期限：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缺陷期满后工程竣工投产两年后</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r>
        <w:rPr>
          <w:rFonts w:hint="eastAsia" w:ascii="宋体" w:hAnsi="宋体" w:eastAsia="宋体" w:cs="宋体"/>
          <w:sz w:val="24"/>
          <w:highlight w:val="none"/>
        </w:rPr>
        <w:t xml:space="preserve"> </w:t>
      </w:r>
    </w:p>
    <w:p w14:paraId="24605956">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14.4.2 最终结清证书和支付</w:t>
      </w:r>
    </w:p>
    <w:p w14:paraId="581C5C1B">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sz w:val="24"/>
          <w:highlight w:val="none"/>
        </w:rPr>
        <w:t>（1）发包人完成最终结清申请单的审批并颁发最终结清证书的期限</w:t>
      </w:r>
      <w:r>
        <w:rPr>
          <w:rFonts w:hint="eastAsia" w:ascii="宋体" w:hAnsi="宋体" w:cs="宋体"/>
          <w:sz w:val="24"/>
          <w:highlight w:val="none"/>
          <w:lang w:eastAsia="zh-CN"/>
        </w:rPr>
        <w:t>：</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收到申请</w:t>
      </w:r>
      <w:r>
        <w:rPr>
          <w:rFonts w:hint="eastAsia" w:ascii="宋体" w:hAnsi="宋体" w:cs="宋体"/>
          <w:color w:val="000000"/>
          <w:sz w:val="24"/>
          <w:highlight w:val="none"/>
          <w:u w:val="single"/>
          <w:lang w:val="en-US" w:eastAsia="zh-CN"/>
        </w:rPr>
        <w:t>28天内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A44782D">
      <w:pPr>
        <w:spacing w:line="360" w:lineRule="auto"/>
        <w:ind w:firstLine="480" w:firstLineChars="200"/>
        <w:rPr>
          <w:rFonts w:ascii="宋体" w:hAnsi="宋体" w:eastAsia="宋体" w:cs="宋体"/>
          <w:sz w:val="24"/>
          <w:highlight w:val="none"/>
        </w:rPr>
      </w:pPr>
      <w:r>
        <w:rPr>
          <w:rFonts w:hint="eastAsia" w:ascii="宋体" w:hAnsi="宋体" w:eastAsia="宋体" w:cs="宋体"/>
          <w:sz w:val="24"/>
          <w:highlight w:val="none"/>
        </w:rPr>
        <w:t>（2）发包人完成支付的期限：</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申请签发后</w:t>
      </w:r>
      <w:r>
        <w:rPr>
          <w:rFonts w:hint="eastAsia" w:ascii="宋体" w:hAnsi="宋体" w:cs="宋体"/>
          <w:color w:val="000000"/>
          <w:sz w:val="24"/>
          <w:highlight w:val="none"/>
          <w:u w:val="single"/>
          <w:lang w:val="en-US" w:eastAsia="zh-CN"/>
        </w:rPr>
        <w:t>28天内</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bookmarkEnd w:id="1698"/>
    <w:bookmarkEnd w:id="1699"/>
    <w:bookmarkEnd w:id="1700"/>
    <w:bookmarkEnd w:id="1701"/>
    <w:bookmarkEnd w:id="1702"/>
    <w:bookmarkEnd w:id="1703"/>
    <w:bookmarkEnd w:id="1704"/>
    <w:bookmarkEnd w:id="1710"/>
    <w:p w14:paraId="2B929CEF">
      <w:pPr>
        <w:rPr>
          <w:rFonts w:ascii="宋体" w:hAnsi="宋体" w:eastAsia="宋体" w:cs="宋体"/>
          <w:b/>
          <w:sz w:val="24"/>
          <w:highlight w:val="none"/>
        </w:rPr>
      </w:pPr>
      <w:bookmarkStart w:id="1712" w:name="_Toc351203647"/>
      <w:bookmarkStart w:id="1713" w:name="_Toc267251483"/>
      <w:bookmarkStart w:id="1714" w:name="_Toc267251482"/>
      <w:bookmarkStart w:id="1715" w:name="_Toc267251484"/>
      <w:bookmarkStart w:id="1716" w:name="_Toc267251485"/>
      <w:bookmarkStart w:id="1717" w:name="_Toc267251490"/>
      <w:bookmarkStart w:id="1718" w:name="_Toc267251486"/>
      <w:bookmarkStart w:id="1719" w:name="_Toc267251488"/>
      <w:bookmarkStart w:id="1720" w:name="_Toc267251489"/>
      <w:bookmarkStart w:id="1721" w:name="_Toc267251497"/>
      <w:bookmarkStart w:id="1722" w:name="_Toc267251503"/>
      <w:bookmarkStart w:id="1723" w:name="_Toc267251499"/>
      <w:bookmarkStart w:id="1724" w:name="_Toc267251492"/>
      <w:bookmarkStart w:id="1725" w:name="_Toc267251502"/>
      <w:bookmarkStart w:id="1726" w:name="_Toc267251496"/>
      <w:bookmarkStart w:id="1727" w:name="_Toc267251491"/>
      <w:bookmarkStart w:id="1728" w:name="_Toc267251501"/>
      <w:bookmarkStart w:id="1729" w:name="_Toc267251498"/>
      <w:bookmarkStart w:id="1730" w:name="_Toc267251494"/>
      <w:bookmarkStart w:id="1731" w:name="_Toc267251495"/>
      <w:bookmarkStart w:id="1732" w:name="_Toc267251493"/>
      <w:bookmarkStart w:id="1733" w:name="_Toc267251506"/>
      <w:bookmarkStart w:id="1734" w:name="_Toc267251504"/>
      <w:bookmarkStart w:id="1735" w:name="_Toc267251507"/>
      <w:bookmarkStart w:id="1736" w:name="_Toc267251508"/>
      <w:bookmarkStart w:id="1737" w:name="_Toc267251515"/>
      <w:bookmarkStart w:id="1738" w:name="_Toc267251511"/>
      <w:bookmarkStart w:id="1739" w:name="_Toc267251509"/>
      <w:bookmarkStart w:id="1740" w:name="_Toc267251510"/>
      <w:bookmarkStart w:id="1741" w:name="_Toc267251513"/>
      <w:bookmarkStart w:id="1742" w:name="_Toc267251514"/>
      <w:r>
        <w:rPr>
          <w:rFonts w:hint="eastAsia" w:ascii="宋体" w:hAnsi="宋体" w:eastAsia="宋体" w:cs="宋体"/>
          <w:b/>
          <w:sz w:val="24"/>
          <w:highlight w:val="none"/>
        </w:rPr>
        <w:t>15. 缺陷责任期与保修</w:t>
      </w:r>
      <w:bookmarkEnd w:id="1712"/>
    </w:p>
    <w:p w14:paraId="556F4042">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15.2缺陷责任期</w:t>
      </w:r>
      <w:bookmarkEnd w:id="1713"/>
    </w:p>
    <w:p w14:paraId="77E36F6D">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缺陷责任期的具体期限：</w:t>
      </w:r>
      <w:r>
        <w:rPr>
          <w:rFonts w:hint="eastAsia" w:ascii="宋体" w:hAnsi="宋体" w:eastAsia="宋体" w:cs="宋体"/>
          <w:color w:val="000000"/>
          <w:sz w:val="24"/>
          <w:highlight w:val="none"/>
          <w:u w:val="single"/>
        </w:rPr>
        <w:t xml:space="preserve"> 24个月</w:t>
      </w:r>
      <w:r>
        <w:rPr>
          <w:rFonts w:hint="eastAsia" w:ascii="宋体" w:hAnsi="宋体" w:cs="宋体"/>
          <w:color w:val="000000"/>
          <w:sz w:val="24"/>
          <w:highlight w:val="none"/>
          <w:u w:val="single"/>
          <w:lang w:eastAsia="zh-CN"/>
        </w:rPr>
        <w:t>，自工程竣工验收合格之日起计算</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CA6A124">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15.3 质量保证金</w:t>
      </w:r>
    </w:p>
    <w:p w14:paraId="09A94209">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关于是否扣留质量保证金的约定：</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乙方提供结算价</w:t>
      </w:r>
      <w:r>
        <w:rPr>
          <w:rFonts w:hint="eastAsia" w:ascii="宋体" w:hAnsi="宋体" w:eastAsia="宋体" w:cs="宋体"/>
          <w:color w:val="000000"/>
          <w:sz w:val="24"/>
          <w:highlight w:val="none"/>
          <w:u w:val="single"/>
        </w:rPr>
        <w:t>3%的</w:t>
      </w:r>
      <w:r>
        <w:rPr>
          <w:rFonts w:hint="eastAsia" w:ascii="宋体" w:hAnsi="宋体" w:cs="宋体"/>
          <w:color w:val="000000"/>
          <w:sz w:val="24"/>
          <w:highlight w:val="none"/>
          <w:u w:val="single"/>
          <w:lang w:eastAsia="zh-CN"/>
        </w:rPr>
        <w:t>质量保函</w:t>
      </w:r>
      <w:r>
        <w:rPr>
          <w:rFonts w:hint="eastAsia" w:ascii="宋体" w:hAnsi="宋体" w:eastAsia="宋体" w:cs="宋体"/>
          <w:color w:val="000000"/>
          <w:sz w:val="24"/>
          <w:highlight w:val="none"/>
        </w:rPr>
        <w:t>。</w:t>
      </w:r>
    </w:p>
    <w:p w14:paraId="514746A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15.3.1 承包人提供质量保证金的方式</w:t>
      </w:r>
    </w:p>
    <w:p w14:paraId="4F0435C4">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质量保证金采用以下第</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3</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14:paraId="5CC9B393">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（1）质量保证金保函，保证金额为：</w:t>
      </w:r>
      <w:r>
        <w:rPr>
          <w:rFonts w:hint="eastAsia" w:ascii="宋体" w:hAnsi="宋体" w:eastAsia="宋体" w:cs="宋体"/>
          <w:color w:val="000000"/>
          <w:sz w:val="24"/>
          <w:highlight w:val="none"/>
          <w:u w:val="single"/>
        </w:rPr>
        <w:t xml:space="preserve">    /    </w:t>
      </w:r>
      <w:r>
        <w:rPr>
          <w:rFonts w:hint="eastAsia" w:ascii="宋体" w:hAnsi="宋体" w:eastAsia="宋体" w:cs="宋体"/>
          <w:color w:val="000000"/>
          <w:sz w:val="24"/>
          <w:highlight w:val="none"/>
        </w:rPr>
        <w:t>；</w:t>
      </w:r>
    </w:p>
    <w:p w14:paraId="1B305516">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（2）金额为合同协议书约定的合同价格的</w:t>
      </w:r>
      <w:r>
        <w:rPr>
          <w:rFonts w:hint="eastAsia" w:ascii="宋体" w:hAnsi="宋体" w:eastAsia="宋体" w:cs="宋体"/>
          <w:color w:val="000000"/>
          <w:sz w:val="24"/>
          <w:highlight w:val="none"/>
          <w:u w:val="single"/>
        </w:rPr>
        <w:t xml:space="preserve"> </w:t>
      </w:r>
      <w:r>
        <w:rPr>
          <w:rFonts w:hint="eastAsia" w:ascii="宋体" w:hAnsi="宋体" w:eastAsia="宋体" w:cs="宋体"/>
          <w:sz w:val="24"/>
          <w:highlight w:val="none"/>
          <w:u w:val="single"/>
        </w:rPr>
        <w:t xml:space="preserve">3% </w:t>
      </w:r>
      <w:r>
        <w:rPr>
          <w:rFonts w:hint="eastAsia" w:ascii="宋体" w:hAnsi="宋体" w:eastAsia="宋体" w:cs="宋体"/>
          <w:color w:val="000000"/>
          <w:sz w:val="24"/>
          <w:highlight w:val="none"/>
        </w:rPr>
        <w:t>；</w:t>
      </w:r>
    </w:p>
    <w:p w14:paraId="73ECB4D2">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（3）其他方式:</w:t>
      </w:r>
    </w:p>
    <w:p w14:paraId="091E69EC">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质保金按工程结算审定价的3%计算，承包人提供</w:t>
      </w:r>
      <w:r>
        <w:rPr>
          <w:rFonts w:hint="eastAsia" w:ascii="宋体" w:hAnsi="宋体" w:cs="宋体"/>
          <w:color w:val="000000"/>
          <w:sz w:val="24"/>
          <w:highlight w:val="none"/>
          <w:u w:val="single"/>
          <w:lang w:eastAsia="zh-CN"/>
        </w:rPr>
        <w:t>质量</w:t>
      </w:r>
      <w:r>
        <w:rPr>
          <w:rFonts w:hint="eastAsia" w:ascii="宋体" w:hAnsi="宋体" w:eastAsia="宋体" w:cs="宋体"/>
          <w:color w:val="000000"/>
          <w:sz w:val="24"/>
          <w:highlight w:val="none"/>
          <w:u w:val="single"/>
        </w:rPr>
        <w:t>保函。</w:t>
      </w:r>
    </w:p>
    <w:p w14:paraId="3DFF2655">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15.3.2 质量保证金的扣留 </w:t>
      </w:r>
    </w:p>
    <w:p w14:paraId="3E34250D">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质量保证金的扣留采取以下第</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种方式：</w:t>
      </w:r>
    </w:p>
    <w:p w14:paraId="76EC5E2A">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（1）在支付工程进度款时逐次扣留，在此情形下，质量保证金的计算基数不包括预付款的支付、扣回以及价格调整的金额；</w:t>
      </w:r>
    </w:p>
    <w:p w14:paraId="2E2429D4">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w:t>
      </w:r>
      <w:r>
        <w:rPr>
          <w:rFonts w:hint="eastAsia" w:ascii="宋体" w:hAnsi="宋体" w:eastAsia="宋体" w:cs="宋体"/>
          <w:sz w:val="24"/>
          <w:highlight w:val="none"/>
          <w:u w:val="single"/>
        </w:rPr>
        <w:t>工程竣工结算时一次性预留专用合同条件第14.6.1项第(2)目约定的工程款预留比例的质量保证金</w:t>
      </w:r>
      <w:r>
        <w:rPr>
          <w:rFonts w:hint="eastAsia" w:ascii="宋体" w:hAnsi="宋体" w:eastAsia="宋体" w:cs="宋体"/>
          <w:color w:val="000000"/>
          <w:sz w:val="24"/>
          <w:highlight w:val="none"/>
        </w:rPr>
        <w:t>；</w:t>
      </w:r>
    </w:p>
    <w:p w14:paraId="6E0AC342">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（3）其他扣留方式:</w:t>
      </w:r>
    </w:p>
    <w:p w14:paraId="3881CC9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1DAE523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关于质量保证金的补充约定：</w:t>
      </w:r>
    </w:p>
    <w:bookmarkEnd w:id="1714"/>
    <w:bookmarkEnd w:id="1715"/>
    <w:p w14:paraId="749D786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承包人未尽保修（含持续保修）责任或其接到发包人通知之日起7日内未进行保修工作的，发包人有权自行选择合格单位完成保修，且该等费用或款额从承包人提供的质量保证金保函中等额索赔，由此造成的保修费用无需承包人确认。如有任何不足之差额，由承包人等额赔偿给发包人。发包人有权按照通用条款及质量保修书等相关规定从质量保证金保函中索赔按合同约定索赔有关保修费用及其他违约金、损害赔偿金等费用，该费用无需承包人认可，发包人有权按造价咨询单位的审核值直接索赔。 </w:t>
      </w:r>
      <w:r>
        <w:rPr>
          <w:rFonts w:hint="eastAsia" w:ascii="宋体" w:hAnsi="宋体" w:eastAsia="宋体" w:cs="宋体"/>
          <w:color w:val="000000"/>
          <w:sz w:val="24"/>
          <w:highlight w:val="none"/>
        </w:rPr>
        <w:t>。</w:t>
      </w:r>
    </w:p>
    <w:p w14:paraId="4F085AA3">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15.4保修</w:t>
      </w:r>
    </w:p>
    <w:bookmarkEnd w:id="1716"/>
    <w:p w14:paraId="70408476">
      <w:pPr>
        <w:spacing w:line="360" w:lineRule="auto"/>
        <w:ind w:firstLine="468" w:firstLineChars="195"/>
        <w:rPr>
          <w:rFonts w:ascii="宋体" w:hAnsi="宋体" w:eastAsia="宋体" w:cs="宋体"/>
          <w:color w:val="000000"/>
          <w:sz w:val="24"/>
          <w:highlight w:val="none"/>
        </w:rPr>
      </w:pPr>
      <w:r>
        <w:rPr>
          <w:rFonts w:hint="eastAsia" w:ascii="宋体" w:hAnsi="宋体" w:eastAsia="宋体" w:cs="宋体"/>
          <w:color w:val="000000"/>
          <w:sz w:val="24"/>
          <w:highlight w:val="none"/>
        </w:rPr>
        <w:t>15.4.1 保修责任</w:t>
      </w:r>
    </w:p>
    <w:p w14:paraId="3EBC7AB0">
      <w:pPr>
        <w:spacing w:line="360" w:lineRule="auto"/>
        <w:ind w:firstLine="468" w:firstLineChars="195"/>
        <w:rPr>
          <w:rFonts w:ascii="宋体" w:hAnsi="宋体" w:eastAsia="宋体" w:cs="宋体"/>
          <w:color w:val="000000"/>
          <w:sz w:val="24"/>
          <w:highlight w:val="none"/>
          <w:u w:val="single"/>
        </w:rPr>
      </w:pPr>
      <w:r>
        <w:rPr>
          <w:rFonts w:hint="eastAsia" w:ascii="宋体" w:hAnsi="宋体" w:eastAsia="宋体" w:cs="宋体"/>
          <w:color w:val="000000"/>
          <w:sz w:val="24"/>
          <w:highlight w:val="none"/>
        </w:rPr>
        <w:t>工程保修期为：</w:t>
      </w:r>
      <w:r>
        <w:rPr>
          <w:rFonts w:hint="eastAsia" w:ascii="宋体" w:hAnsi="宋体" w:cs="宋体"/>
          <w:color w:val="000000"/>
          <w:sz w:val="24"/>
          <w:highlight w:val="none"/>
          <w:u w:val="single"/>
          <w:lang w:val="en-US" w:eastAsia="zh-CN"/>
        </w:rPr>
        <w:t>24个月</w:t>
      </w:r>
      <w:r>
        <w:rPr>
          <w:rFonts w:hint="eastAsia" w:ascii="宋体" w:hAnsi="宋体" w:eastAsia="宋体" w:cs="宋体"/>
          <w:color w:val="000000"/>
          <w:sz w:val="24"/>
          <w:highlight w:val="none"/>
          <w:u w:val="single"/>
        </w:rPr>
        <w:t xml:space="preserve"> ；</w:t>
      </w:r>
    </w:p>
    <w:p w14:paraId="3FFB085E">
      <w:pPr>
        <w:spacing w:line="360" w:lineRule="auto"/>
        <w:ind w:firstLine="468" w:firstLineChars="195"/>
        <w:rPr>
          <w:rFonts w:ascii="宋体" w:hAnsi="宋体" w:eastAsia="宋体" w:cs="宋体"/>
          <w:color w:val="000000"/>
          <w:sz w:val="24"/>
          <w:highlight w:val="none"/>
        </w:rPr>
      </w:pPr>
      <w:r>
        <w:rPr>
          <w:rFonts w:hint="eastAsia" w:ascii="宋体" w:hAnsi="宋体" w:eastAsia="宋体" w:cs="宋体"/>
          <w:color w:val="000000"/>
          <w:sz w:val="24"/>
          <w:highlight w:val="none"/>
        </w:rPr>
        <w:t>15.4.3 修复通知</w:t>
      </w:r>
    </w:p>
    <w:p w14:paraId="39211662">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承包人收到保修通知并到达工程现场的合理时间：</w:t>
      </w:r>
      <w:bookmarkEnd w:id="1717"/>
      <w:bookmarkEnd w:id="1718"/>
      <w:bookmarkEnd w:id="1719"/>
      <w:bookmarkEnd w:id="1720"/>
      <w:bookmarkStart w:id="1743" w:name="_Toc351203648"/>
      <w:bookmarkStart w:id="1744" w:name="_Toc280868717"/>
      <w:bookmarkStart w:id="1745" w:name="_Toc280868718"/>
      <w:r>
        <w:rPr>
          <w:rFonts w:hint="eastAsia" w:ascii="宋体" w:hAnsi="宋体" w:eastAsia="宋体" w:cs="宋体"/>
          <w:color w:val="000000"/>
          <w:sz w:val="24"/>
          <w:highlight w:val="none"/>
          <w:u w:val="single"/>
        </w:rPr>
        <w:t xml:space="preserve"> 承包人应 24 小时内到达工程现场并开展修复工作。</w:t>
      </w:r>
    </w:p>
    <w:p w14:paraId="68CB7212">
      <w:pPr>
        <w:rPr>
          <w:rFonts w:ascii="宋体" w:hAnsi="宋体" w:eastAsia="宋体" w:cs="宋体"/>
          <w:b/>
          <w:sz w:val="24"/>
          <w:highlight w:val="none"/>
        </w:rPr>
      </w:pPr>
      <w:r>
        <w:rPr>
          <w:rFonts w:hint="eastAsia" w:ascii="宋体" w:hAnsi="宋体" w:eastAsia="宋体" w:cs="宋体"/>
          <w:b/>
          <w:sz w:val="24"/>
          <w:highlight w:val="none"/>
        </w:rPr>
        <w:t>16. 违约</w:t>
      </w:r>
      <w:bookmarkEnd w:id="1743"/>
    </w:p>
    <w:p w14:paraId="750DE337">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16.1 发包人违约</w:t>
      </w:r>
    </w:p>
    <w:p w14:paraId="0B57D5D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16.1.1发包人违约的情形</w:t>
      </w:r>
    </w:p>
    <w:p w14:paraId="5D33F63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发包人违约的其他情形：</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w:t>
      </w:r>
    </w:p>
    <w:p w14:paraId="4ECF594C">
      <w:pPr>
        <w:numPr>
          <w:ilvl w:val="2"/>
          <w:numId w:val="5"/>
        </w:numPr>
        <w:spacing w:line="360" w:lineRule="auto"/>
        <w:ind w:left="1140" w:hanging="720"/>
        <w:rPr>
          <w:rFonts w:ascii="宋体" w:hAnsi="宋体" w:eastAsia="宋体" w:cs="宋体"/>
          <w:color w:val="000000"/>
          <w:sz w:val="24"/>
          <w:highlight w:val="none"/>
        </w:rPr>
      </w:pPr>
      <w:r>
        <w:rPr>
          <w:rFonts w:hint="eastAsia" w:ascii="宋体" w:hAnsi="宋体" w:eastAsia="宋体" w:cs="宋体"/>
          <w:color w:val="000000"/>
          <w:sz w:val="24"/>
          <w:highlight w:val="none"/>
        </w:rPr>
        <w:t>发包人违约的责任</w:t>
      </w:r>
    </w:p>
    <w:p w14:paraId="47DEB09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发包人违约责任的承担方式和计算方法：</w:t>
      </w:r>
    </w:p>
    <w:p w14:paraId="21627BD9">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（1）因发包人原因未能在计划开工日期前7天内下达开工通知的违约责任：</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rPr>
        <w:t>。</w:t>
      </w:r>
    </w:p>
    <w:p w14:paraId="4638747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（2）因发包人原因未能按合同约定支付合同价款的违约责任：</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07A70AB9">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（3）发包人违反第10.1款〔变更的范围〕第（2）项约定，自行实施被取消的工作或转由他人实施的违约责任：</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53AFAA7E">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（4）发包人提供的材料、工程设备的规格、数量或质量不符合合同约定，或因发包人原因导致交货日期延误或交货地点变更等情况的违约责任：</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3D3B4656">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（5）因发包人违反合同约定造成暂停施工的违约责任：</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49237FB0">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（6）发包人无正当理由没有在约定期限内发出复工指示，导致承包人无法复工的违约责任：</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65AB401D">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（7）其他：</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0C1AB50">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16.1.3 因发包人违约解除合同</w:t>
      </w:r>
    </w:p>
    <w:p w14:paraId="0BBDBF0A">
      <w:pPr>
        <w:autoSpaceDE w:val="0"/>
        <w:autoSpaceDN w:val="0"/>
        <w:adjustRightInd w:val="0"/>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承包人按16.1.1项〔发包人违约的情形〕约定暂停施工满</w:t>
      </w:r>
      <w:r>
        <w:rPr>
          <w:rFonts w:hint="eastAsia" w:ascii="宋体" w:hAnsi="宋体" w:eastAsia="宋体" w:cs="宋体"/>
          <w:color w:val="000000"/>
          <w:sz w:val="24"/>
          <w:highlight w:val="none"/>
          <w:u w:val="single"/>
        </w:rPr>
        <w:t xml:space="preserve"> 60   </w:t>
      </w:r>
      <w:r>
        <w:rPr>
          <w:rFonts w:hint="eastAsia" w:ascii="宋体" w:hAnsi="宋体" w:eastAsia="宋体" w:cs="宋体"/>
          <w:color w:val="000000"/>
          <w:sz w:val="24"/>
          <w:highlight w:val="none"/>
        </w:rPr>
        <w:t>天后发包人仍不纠正其违约行为并致使合同目的不能实现的，承包人有权解除合同。</w:t>
      </w:r>
    </w:p>
    <w:p w14:paraId="143BCF4D">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16.2 承包人违约</w:t>
      </w:r>
    </w:p>
    <w:p w14:paraId="6155A492">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16.2.1 承包人违约的情形</w:t>
      </w:r>
    </w:p>
    <w:p w14:paraId="545F0A8A">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承包人违约的其他情形：</w:t>
      </w:r>
      <w:r>
        <w:rPr>
          <w:rFonts w:hint="eastAsia" w:ascii="宋体" w:hAnsi="宋体" w:cs="宋体"/>
          <w:color w:val="000000"/>
          <w:sz w:val="24"/>
          <w:highlight w:val="none"/>
          <w:u w:val="single"/>
          <w:lang w:eastAsia="zh-CN"/>
        </w:rPr>
        <w:t>执行通用条款</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77CBF72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16.2.2承包人违约的责任</w:t>
      </w:r>
    </w:p>
    <w:p w14:paraId="06E5E5BA">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承包人违约责任的承担方式和计算方法：</w:t>
      </w:r>
      <w:r>
        <w:rPr>
          <w:rFonts w:hint="eastAsia" w:ascii="宋体" w:hAnsi="宋体" w:eastAsia="宋体" w:cs="宋体"/>
          <w:color w:val="000000"/>
          <w:sz w:val="24"/>
          <w:highlight w:val="none"/>
          <w:u w:val="single"/>
        </w:rPr>
        <w:t xml:space="preserve"> 由承包人承担全部费用并承担相关法律责任 。 </w:t>
      </w:r>
    </w:p>
    <w:p w14:paraId="7B3732CC">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16.2.3 因承包人违约解除合同</w:t>
      </w:r>
    </w:p>
    <w:p w14:paraId="0E009047">
      <w:pPr>
        <w:spacing w:before="120" w:after="120"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关于承包人违约解除合同的特别约定：</w:t>
      </w:r>
      <w:r>
        <w:rPr>
          <w:rFonts w:hint="eastAsia" w:ascii="宋体" w:hAnsi="宋体" w:eastAsia="宋体" w:cs="宋体"/>
          <w:color w:val="000000"/>
          <w:sz w:val="24"/>
          <w:highlight w:val="none"/>
          <w:u w:val="single"/>
        </w:rPr>
        <w:t xml:space="preserve"> 承包人应当严格按照合同约定的工期执行，如需延期，须经双方协商并以书面方式确认。施工进度或竣工日期延期超过30日的，拖欠工程人员劳动报酬超过5人或超过30天或超过10万元的，拒绝提供施工资料超过10日的，出现工程量缺陷，以及其他导致承包人违约解除合同的情形，出现上述任一情形，发包人均有权解除,解除后执行通用条款16.2.4。</w:t>
      </w:r>
    </w:p>
    <w:p w14:paraId="443278D3">
      <w:pPr>
        <w:spacing w:before="120"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发包人继续使用承包人在施工现场的材料、设备、临时工程、承包人文件和由承包人或以其名义编制的其他文件的费用承担方式：</w:t>
      </w:r>
      <w:r>
        <w:rPr>
          <w:rFonts w:hint="eastAsia" w:ascii="宋体" w:hAnsi="宋体" w:eastAsia="宋体" w:cs="宋体"/>
          <w:color w:val="000000"/>
          <w:sz w:val="24"/>
          <w:highlight w:val="none"/>
          <w:u w:val="single"/>
        </w:rPr>
        <w:t xml:space="preserve"> 承包人在施工现场的材料、设备、临时工程无偿使用；发包人不承担承包人文件或由承包人或以其名义编制的其他文件的费用，但有权无偿使用和取得该等文件。    </w:t>
      </w:r>
      <w:r>
        <w:rPr>
          <w:rFonts w:hint="eastAsia" w:ascii="宋体" w:hAnsi="宋体" w:eastAsia="宋体" w:cs="宋体"/>
          <w:color w:val="000000"/>
          <w:sz w:val="24"/>
          <w:highlight w:val="none"/>
        </w:rPr>
        <w:t>。</w:t>
      </w:r>
    </w:p>
    <w:p w14:paraId="56A130CC">
      <w:pPr>
        <w:spacing w:before="120" w:after="120" w:line="360" w:lineRule="auto"/>
        <w:ind w:firstLine="480" w:firstLineChars="200"/>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名义编制的其他文件的费用承担方式：</w:t>
      </w:r>
      <w:bookmarkStart w:id="1746" w:name="_Toc351203649"/>
    </w:p>
    <w:p w14:paraId="789402F2">
      <w:pPr>
        <w:spacing w:before="120" w:after="120" w:line="360" w:lineRule="auto"/>
        <w:ind w:firstLine="482" w:firstLineChars="200"/>
        <w:rPr>
          <w:rFonts w:ascii="宋体" w:hAnsi="宋体" w:eastAsia="宋体" w:cs="宋体"/>
          <w:b/>
          <w:sz w:val="24"/>
          <w:highlight w:val="none"/>
        </w:rPr>
      </w:pPr>
      <w:r>
        <w:rPr>
          <w:rFonts w:hint="eastAsia" w:ascii="宋体" w:hAnsi="宋体" w:eastAsia="宋体" w:cs="宋体"/>
          <w:b/>
          <w:sz w:val="24"/>
          <w:highlight w:val="none"/>
        </w:rPr>
        <w:t>17. 不可抗力</w:t>
      </w:r>
      <w:bookmarkEnd w:id="1746"/>
      <w:r>
        <w:rPr>
          <w:rFonts w:hint="eastAsia" w:ascii="宋体" w:hAnsi="宋体" w:eastAsia="宋体" w:cs="宋体"/>
          <w:b/>
          <w:sz w:val="24"/>
          <w:highlight w:val="none"/>
        </w:rPr>
        <w:t xml:space="preserve"> </w:t>
      </w:r>
      <w:bookmarkEnd w:id="1744"/>
    </w:p>
    <w:p w14:paraId="16C88F88">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17.1 不可抗力的确认</w:t>
      </w:r>
    </w:p>
    <w:p w14:paraId="1B5F165F">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 xml:space="preserve">除通用合同条款约定的不可抗力事件之外，视为不可抗力的其他情形： </w:t>
      </w:r>
    </w:p>
    <w:p w14:paraId="68C3AB57">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eastAsia="zh-CN"/>
        </w:rPr>
        <w:t>政策性调整因素</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w:t>
      </w:r>
    </w:p>
    <w:p w14:paraId="2B92DFF3">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17.4 因不可抗力解除合同</w:t>
      </w:r>
    </w:p>
    <w:p w14:paraId="0DC4A87A">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合同解除后，发包人应在商定或确定发包人应支付款项后</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60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天内完成款项的支付。</w:t>
      </w:r>
    </w:p>
    <w:p w14:paraId="5BA5CA59">
      <w:pPr>
        <w:rPr>
          <w:rFonts w:ascii="宋体" w:hAnsi="宋体" w:eastAsia="宋体" w:cs="宋体"/>
          <w:b/>
          <w:sz w:val="24"/>
          <w:highlight w:val="none"/>
        </w:rPr>
      </w:pPr>
      <w:bookmarkStart w:id="1747" w:name="_Toc351203650"/>
      <w:r>
        <w:rPr>
          <w:rFonts w:hint="eastAsia" w:ascii="宋体" w:hAnsi="宋体" w:eastAsia="宋体" w:cs="宋体"/>
          <w:b/>
          <w:sz w:val="24"/>
          <w:highlight w:val="none"/>
        </w:rPr>
        <w:t>18. 保险</w:t>
      </w:r>
      <w:bookmarkEnd w:id="1747"/>
    </w:p>
    <w:bookmarkEnd w:id="1745"/>
    <w:p w14:paraId="14253225">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18.1 工程保险</w:t>
      </w:r>
    </w:p>
    <w:p w14:paraId="394B03CC">
      <w:pPr>
        <w:spacing w:line="360" w:lineRule="auto"/>
        <w:ind w:firstLine="480" w:firstLineChars="200"/>
        <w:rPr>
          <w:rFonts w:hint="eastAsia" w:ascii="宋体" w:hAnsi="宋体" w:eastAsia="宋体" w:cs="宋体"/>
          <w:color w:val="000000"/>
          <w:sz w:val="24"/>
          <w:highlight w:val="none"/>
          <w:u w:val="single"/>
        </w:rPr>
      </w:pPr>
      <w:r>
        <w:rPr>
          <w:rFonts w:hint="eastAsia" w:ascii="宋体" w:hAnsi="宋体" w:eastAsia="宋体" w:cs="宋体"/>
          <w:color w:val="000000"/>
          <w:sz w:val="24"/>
          <w:highlight w:val="none"/>
        </w:rPr>
        <w:t>关于工程保险的特别约定：</w:t>
      </w:r>
      <w:r>
        <w:rPr>
          <w:rFonts w:hint="eastAsia" w:ascii="宋体" w:hAnsi="宋体" w:eastAsia="宋体" w:cs="宋体"/>
          <w:color w:val="000000"/>
          <w:sz w:val="24"/>
          <w:highlight w:val="none"/>
          <w:u w:val="single"/>
        </w:rPr>
        <w:t xml:space="preserve"> 由承包人负责通用条款18.1工程保险有关内容并为施工场地内自有人员办理意外伤害险。</w:t>
      </w:r>
    </w:p>
    <w:p w14:paraId="7C3D3855">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18.3 其他保险</w:t>
      </w:r>
    </w:p>
    <w:p w14:paraId="7E6CE710">
      <w:pPr>
        <w:spacing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关于其他保险的约定：</w:t>
      </w:r>
      <w:r>
        <w:rPr>
          <w:rFonts w:hint="eastAsia" w:ascii="宋体" w:hAnsi="宋体" w:eastAsia="宋体" w:cs="宋体"/>
          <w:color w:val="000000"/>
          <w:sz w:val="24"/>
          <w:highlight w:val="none"/>
          <w:u w:val="single"/>
        </w:rPr>
        <w:t xml:space="preserve"> 职工意外保险。承包人在施工期间发生的人员自身财产及施工现场内的自身员工的人身伤害及财产，从事高空危险作业员工的意外伤害，由承包人承担包括但不限于侵权赔偿，员工赔偿，行政处罚等全部法律责任，道义与诚信责任。  </w:t>
      </w:r>
    </w:p>
    <w:p w14:paraId="415A750F">
      <w:pPr>
        <w:spacing w:line="360" w:lineRule="auto"/>
        <w:ind w:firstLine="480" w:firstLineChars="200"/>
        <w:rPr>
          <w:rFonts w:ascii="宋体" w:hAnsi="宋体" w:eastAsia="宋体" w:cs="宋体"/>
          <w:color w:val="000000"/>
          <w:sz w:val="24"/>
          <w:highlight w:val="none"/>
          <w:u w:val="single"/>
        </w:rPr>
      </w:pPr>
      <w:r>
        <w:rPr>
          <w:rFonts w:hint="eastAsia" w:ascii="宋体" w:hAnsi="宋体" w:eastAsia="宋体" w:cs="宋体"/>
          <w:color w:val="000000"/>
          <w:sz w:val="24"/>
          <w:highlight w:val="none"/>
        </w:rPr>
        <w:t>承包人是否应为其施工设备等办理财产保险：</w:t>
      </w:r>
      <w:r>
        <w:rPr>
          <w:rFonts w:hint="eastAsia" w:ascii="宋体" w:hAnsi="宋体" w:eastAsia="宋体" w:cs="宋体"/>
          <w:color w:val="000000"/>
          <w:sz w:val="24"/>
          <w:highlight w:val="none"/>
          <w:u w:val="single"/>
        </w:rPr>
        <w:t xml:space="preserve"> 按通用条款执行    </w:t>
      </w:r>
      <w:r>
        <w:rPr>
          <w:rFonts w:hint="eastAsia" w:ascii="宋体" w:hAnsi="宋体" w:eastAsia="宋体" w:cs="宋体"/>
          <w:color w:val="000000"/>
          <w:sz w:val="24"/>
          <w:highlight w:val="none"/>
        </w:rPr>
        <w:t>。</w:t>
      </w:r>
    </w:p>
    <w:p w14:paraId="6F04BD33">
      <w:pPr>
        <w:spacing w:after="120" w:line="360" w:lineRule="auto"/>
        <w:ind w:firstLine="480" w:firstLineChars="200"/>
        <w:rPr>
          <w:rFonts w:ascii="宋体" w:hAnsi="宋体" w:eastAsia="宋体" w:cs="宋体"/>
          <w:color w:val="000000"/>
          <w:sz w:val="24"/>
          <w:highlight w:val="none"/>
        </w:rPr>
      </w:pPr>
      <w:r>
        <w:rPr>
          <w:rFonts w:hint="eastAsia" w:ascii="宋体" w:hAnsi="宋体" w:eastAsia="宋体" w:cs="宋体"/>
          <w:color w:val="000000"/>
          <w:sz w:val="24"/>
          <w:highlight w:val="none"/>
        </w:rPr>
        <w:t>18.7 通知义务</w:t>
      </w:r>
    </w:p>
    <w:p w14:paraId="2137716F">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关于变更保险合同时的通知义务的约定：</w:t>
      </w:r>
      <w:r>
        <w:rPr>
          <w:rFonts w:hint="eastAsia" w:ascii="宋体" w:hAnsi="宋体" w:eastAsia="宋体" w:cs="宋体"/>
          <w:color w:val="000000"/>
          <w:sz w:val="24"/>
          <w:u w:val="single"/>
        </w:rPr>
        <w:t xml:space="preserve"> 按通用条款执行    </w:t>
      </w:r>
      <w:r>
        <w:rPr>
          <w:rFonts w:hint="eastAsia" w:ascii="宋体" w:hAnsi="宋体" w:eastAsia="宋体" w:cs="宋体"/>
          <w:color w:val="000000"/>
          <w:sz w:val="24"/>
        </w:rPr>
        <w:t>。</w:t>
      </w:r>
    </w:p>
    <w:bookmarkEnd w:id="1721"/>
    <w:bookmarkEnd w:id="1722"/>
    <w:bookmarkEnd w:id="1723"/>
    <w:bookmarkEnd w:id="1724"/>
    <w:bookmarkEnd w:id="1725"/>
    <w:bookmarkEnd w:id="1726"/>
    <w:bookmarkEnd w:id="1727"/>
    <w:bookmarkEnd w:id="1728"/>
    <w:bookmarkEnd w:id="1729"/>
    <w:bookmarkEnd w:id="1730"/>
    <w:bookmarkEnd w:id="1731"/>
    <w:bookmarkEnd w:id="1732"/>
    <w:p w14:paraId="3A869B6E">
      <w:pPr>
        <w:rPr>
          <w:rFonts w:ascii="宋体" w:hAnsi="宋体" w:eastAsia="宋体" w:cs="宋体"/>
          <w:b/>
          <w:sz w:val="24"/>
        </w:rPr>
      </w:pPr>
      <w:bookmarkStart w:id="1748" w:name="_Toc351203651"/>
      <w:r>
        <w:rPr>
          <w:rFonts w:hint="eastAsia" w:ascii="宋体" w:hAnsi="宋体" w:eastAsia="宋体" w:cs="宋体"/>
          <w:b/>
          <w:sz w:val="24"/>
        </w:rPr>
        <w:t>20. 争议解决</w:t>
      </w:r>
      <w:bookmarkEnd w:id="1748"/>
    </w:p>
    <w:bookmarkEnd w:id="1733"/>
    <w:bookmarkEnd w:id="1734"/>
    <w:p w14:paraId="180C98D9">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 争</w:t>
      </w:r>
      <w:bookmarkEnd w:id="1735"/>
      <w:r>
        <w:rPr>
          <w:rFonts w:hint="eastAsia" w:ascii="宋体" w:hAnsi="宋体" w:eastAsia="宋体" w:cs="宋体"/>
          <w:color w:val="000000"/>
          <w:sz w:val="24"/>
        </w:rPr>
        <w:t>议评审</w:t>
      </w:r>
    </w:p>
    <w:p w14:paraId="0BB2C4D6">
      <w:pPr>
        <w:spacing w:line="360" w:lineRule="auto"/>
        <w:ind w:left="149" w:leftChars="71" w:firstLine="360" w:firstLineChars="150"/>
        <w:rPr>
          <w:rFonts w:ascii="宋体" w:hAnsi="宋体" w:eastAsia="宋体" w:cs="宋体"/>
          <w:color w:val="000000"/>
          <w:sz w:val="24"/>
          <w:u w:val="single"/>
        </w:rPr>
      </w:pPr>
      <w:r>
        <w:rPr>
          <w:rFonts w:hint="eastAsia" w:ascii="宋体" w:hAnsi="宋体" w:eastAsia="宋体" w:cs="宋体"/>
          <w:color w:val="000000"/>
          <w:sz w:val="24"/>
        </w:rPr>
        <w:t>合同当事人是否同意将工程争议提交争议评审小组决定：</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 xml:space="preserve">。 </w:t>
      </w:r>
    </w:p>
    <w:p w14:paraId="496852FB">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20.3.1 争议评审小组的确定</w:t>
      </w:r>
    </w:p>
    <w:p w14:paraId="5A194C7B">
      <w:pPr>
        <w:spacing w:line="360" w:lineRule="auto"/>
        <w:ind w:firstLine="480" w:firstLineChars="200"/>
        <w:rPr>
          <w:rFonts w:ascii="宋体" w:hAnsi="宋体" w:eastAsia="宋体" w:cs="宋体"/>
          <w:color w:val="000000"/>
          <w:sz w:val="24"/>
          <w:u w:val="single"/>
        </w:rPr>
      </w:pPr>
      <w:r>
        <w:rPr>
          <w:rFonts w:hint="eastAsia" w:ascii="宋体" w:hAnsi="宋体" w:eastAsia="宋体" w:cs="宋体"/>
          <w:color w:val="000000"/>
          <w:sz w:val="24"/>
        </w:rPr>
        <w:t>争议评审小组成员的确定：</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30325B4E">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选定争议评审员的期限：</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685A10E8">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争议评审小组成员的报酬承担方式：</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4EAEE443">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其他事项的约定：</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76BBEAA3">
      <w:pPr>
        <w:autoSpaceDE w:val="0"/>
        <w:autoSpaceDN w:val="0"/>
        <w:adjustRightInd w:val="0"/>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20.3.2 争议评审小组的决定</w:t>
      </w:r>
    </w:p>
    <w:p w14:paraId="4019BC9F">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合同当事人关于本项的约定：</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w:t>
      </w:r>
    </w:p>
    <w:p w14:paraId="22D68A88">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20.4仲裁或诉讼</w:t>
      </w:r>
      <w:bookmarkEnd w:id="1736"/>
    </w:p>
    <w:p w14:paraId="74193A24">
      <w:pPr>
        <w:spacing w:after="120"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因合同及合同有关事项发生的争议，按下列第</w:t>
      </w:r>
      <w:r>
        <w:rPr>
          <w:rFonts w:hint="eastAsia" w:ascii="宋体" w:hAnsi="宋体" w:eastAsia="宋体" w:cs="宋体"/>
          <w:color w:val="000000"/>
          <w:sz w:val="24"/>
          <w:u w:val="single"/>
        </w:rPr>
        <w:t xml:space="preserve">  2   </w:t>
      </w:r>
      <w:r>
        <w:rPr>
          <w:rFonts w:hint="eastAsia" w:ascii="宋体" w:hAnsi="宋体" w:eastAsia="宋体" w:cs="宋体"/>
          <w:color w:val="000000"/>
          <w:sz w:val="24"/>
        </w:rPr>
        <w:t>种方式解决：</w:t>
      </w:r>
    </w:p>
    <w:p w14:paraId="7233BA55">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（1）向</w:t>
      </w:r>
      <w:r>
        <w:rPr>
          <w:rFonts w:hint="eastAsia" w:ascii="宋体" w:hAnsi="宋体" w:eastAsia="宋体" w:cs="宋体"/>
          <w:color w:val="000000"/>
          <w:sz w:val="24"/>
          <w:u w:val="single"/>
        </w:rPr>
        <w:t xml:space="preserve">         </w:t>
      </w:r>
      <w:r>
        <w:rPr>
          <w:rFonts w:hint="eastAsia" w:ascii="宋体" w:hAnsi="宋体" w:cs="宋体"/>
          <w:color w:val="000000"/>
          <w:sz w:val="24"/>
          <w:u w:val="single"/>
          <w:lang w:val="en-US" w:eastAsia="zh-CN"/>
        </w:rPr>
        <w:t>/</w:t>
      </w:r>
      <w:r>
        <w:rPr>
          <w:rFonts w:hint="eastAsia" w:ascii="宋体" w:hAnsi="宋体" w:eastAsia="宋体" w:cs="宋体"/>
          <w:color w:val="000000"/>
          <w:sz w:val="24"/>
          <w:u w:val="single"/>
        </w:rPr>
        <w:t xml:space="preserve">            </w:t>
      </w:r>
      <w:r>
        <w:rPr>
          <w:rFonts w:hint="eastAsia" w:ascii="宋体" w:hAnsi="宋体" w:eastAsia="宋体" w:cs="宋体"/>
          <w:color w:val="000000"/>
          <w:sz w:val="24"/>
        </w:rPr>
        <w:t>仲裁委员会申请仲裁；</w:t>
      </w:r>
    </w:p>
    <w:p w14:paraId="32999F59">
      <w:pPr>
        <w:spacing w:line="360" w:lineRule="auto"/>
        <w:ind w:firstLine="480" w:firstLineChars="200"/>
        <w:rPr>
          <w:rFonts w:ascii="宋体" w:hAnsi="宋体" w:eastAsia="宋体" w:cs="宋体"/>
          <w:color w:val="000000"/>
          <w:sz w:val="24"/>
        </w:rPr>
      </w:pPr>
      <w:r>
        <w:rPr>
          <w:rFonts w:hint="eastAsia" w:ascii="宋体" w:hAnsi="宋体" w:eastAsia="宋体" w:cs="宋体"/>
          <w:color w:val="000000"/>
          <w:sz w:val="24"/>
        </w:rPr>
        <w:t>（2）向</w:t>
      </w:r>
      <w:r>
        <w:rPr>
          <w:rFonts w:hint="eastAsia" w:ascii="宋体" w:hAnsi="宋体" w:eastAsia="宋体" w:cs="宋体"/>
          <w:color w:val="000000"/>
          <w:sz w:val="24"/>
          <w:u w:val="single"/>
        </w:rPr>
        <w:t xml:space="preserve">    项目所在地    </w:t>
      </w:r>
      <w:r>
        <w:rPr>
          <w:rFonts w:hint="eastAsia" w:ascii="宋体" w:hAnsi="宋体" w:eastAsia="宋体" w:cs="宋体"/>
          <w:color w:val="000000"/>
          <w:sz w:val="24"/>
        </w:rPr>
        <w:t>人民法院起诉。</w:t>
      </w:r>
      <w:bookmarkEnd w:id="1737"/>
      <w:bookmarkEnd w:id="1738"/>
      <w:bookmarkEnd w:id="1739"/>
      <w:bookmarkEnd w:id="1740"/>
      <w:bookmarkEnd w:id="1741"/>
      <w:bookmarkEnd w:id="1742"/>
    </w:p>
    <w:p w14:paraId="15B87C72">
      <w:pPr>
        <w:rPr>
          <w:rFonts w:ascii="宋体" w:hAnsi="宋体" w:eastAsia="宋体" w:cs="宋体"/>
          <w:sz w:val="24"/>
        </w:rPr>
      </w:pPr>
      <w:r>
        <w:rPr>
          <w:rFonts w:hint="eastAsia" w:ascii="宋体" w:hAnsi="宋体" w:eastAsia="宋体" w:cs="宋体"/>
          <w:sz w:val="24"/>
        </w:rPr>
        <w:br w:type="page"/>
      </w:r>
      <w:bookmarkStart w:id="1749" w:name="_Toc351203652"/>
      <w:r>
        <w:rPr>
          <w:rFonts w:hint="eastAsia" w:ascii="宋体" w:hAnsi="宋体" w:eastAsia="宋体" w:cs="宋体"/>
          <w:b/>
          <w:sz w:val="24"/>
        </w:rPr>
        <w:t>附件</w:t>
      </w:r>
      <w:bookmarkEnd w:id="1749"/>
    </w:p>
    <w:p w14:paraId="044914EA">
      <w:pPr>
        <w:spacing w:line="360" w:lineRule="auto"/>
        <w:rPr>
          <w:rFonts w:ascii="宋体" w:hAnsi="宋体" w:eastAsia="宋体" w:cs="宋体"/>
          <w:color w:val="000000"/>
          <w:sz w:val="24"/>
        </w:rPr>
      </w:pPr>
      <w:r>
        <w:rPr>
          <w:rFonts w:hint="eastAsia" w:ascii="宋体" w:hAnsi="宋体" w:eastAsia="宋体" w:cs="宋体"/>
          <w:color w:val="000000"/>
          <w:sz w:val="24"/>
        </w:rPr>
        <w:t>协议书附件：</w:t>
      </w:r>
    </w:p>
    <w:p w14:paraId="1A3F1A65">
      <w:pPr>
        <w:spacing w:line="360" w:lineRule="auto"/>
        <w:rPr>
          <w:rFonts w:ascii="宋体" w:hAnsi="宋体" w:eastAsia="宋体" w:cs="宋体"/>
          <w:color w:val="000000"/>
          <w:sz w:val="24"/>
        </w:rPr>
      </w:pPr>
      <w:r>
        <w:rPr>
          <w:rFonts w:hint="eastAsia" w:ascii="宋体" w:hAnsi="宋体" w:eastAsia="宋体" w:cs="宋体"/>
          <w:color w:val="000000"/>
          <w:sz w:val="24"/>
        </w:rPr>
        <w:t>附件1：承包人承揽工程项目一览表</w:t>
      </w:r>
    </w:p>
    <w:p w14:paraId="17D48371">
      <w:pPr>
        <w:spacing w:line="360" w:lineRule="auto"/>
        <w:rPr>
          <w:rFonts w:ascii="宋体" w:hAnsi="宋体" w:eastAsia="宋体" w:cs="宋体"/>
          <w:color w:val="000000"/>
          <w:sz w:val="24"/>
        </w:rPr>
      </w:pPr>
      <w:r>
        <w:rPr>
          <w:rFonts w:hint="eastAsia" w:ascii="宋体" w:hAnsi="宋体" w:eastAsia="宋体" w:cs="宋体"/>
          <w:color w:val="000000"/>
          <w:sz w:val="24"/>
        </w:rPr>
        <w:t>专用合同条款附件：</w:t>
      </w:r>
    </w:p>
    <w:p w14:paraId="4A025DEE">
      <w:pPr>
        <w:spacing w:line="360" w:lineRule="auto"/>
        <w:rPr>
          <w:rFonts w:ascii="宋体" w:hAnsi="宋体" w:eastAsia="宋体" w:cs="宋体"/>
          <w:color w:val="000000"/>
          <w:sz w:val="24"/>
        </w:rPr>
      </w:pPr>
      <w:r>
        <w:rPr>
          <w:rFonts w:hint="eastAsia" w:ascii="宋体" w:hAnsi="宋体" w:eastAsia="宋体" w:cs="宋体"/>
          <w:color w:val="000000"/>
          <w:sz w:val="24"/>
        </w:rPr>
        <w:t>附件2：发包人供应材料设备一览表</w:t>
      </w:r>
    </w:p>
    <w:p w14:paraId="31B232E6">
      <w:pPr>
        <w:spacing w:line="360" w:lineRule="auto"/>
        <w:rPr>
          <w:rFonts w:ascii="宋体" w:hAnsi="宋体" w:eastAsia="宋体" w:cs="宋体"/>
          <w:color w:val="000000"/>
          <w:sz w:val="24"/>
        </w:rPr>
      </w:pPr>
      <w:r>
        <w:rPr>
          <w:rFonts w:hint="eastAsia" w:ascii="宋体" w:hAnsi="宋体" w:eastAsia="宋体" w:cs="宋体"/>
          <w:color w:val="000000"/>
          <w:sz w:val="24"/>
        </w:rPr>
        <w:t>附件3：工程质量保修书</w:t>
      </w:r>
    </w:p>
    <w:p w14:paraId="23E940E6">
      <w:pPr>
        <w:spacing w:line="360" w:lineRule="auto"/>
        <w:rPr>
          <w:rFonts w:ascii="宋体" w:hAnsi="宋体" w:eastAsia="宋体" w:cs="宋体"/>
          <w:color w:val="000000"/>
          <w:sz w:val="24"/>
        </w:rPr>
      </w:pPr>
      <w:r>
        <w:rPr>
          <w:rFonts w:hint="eastAsia" w:ascii="宋体" w:hAnsi="宋体" w:eastAsia="宋体" w:cs="宋体"/>
          <w:color w:val="000000"/>
          <w:sz w:val="24"/>
        </w:rPr>
        <w:t>附件4：主要建设工程文件目录</w:t>
      </w:r>
    </w:p>
    <w:p w14:paraId="3E0FB5FE">
      <w:pPr>
        <w:spacing w:line="360" w:lineRule="auto"/>
        <w:rPr>
          <w:rFonts w:ascii="宋体" w:hAnsi="宋体" w:eastAsia="宋体" w:cs="宋体"/>
          <w:color w:val="000000"/>
          <w:sz w:val="24"/>
        </w:rPr>
      </w:pPr>
      <w:r>
        <w:rPr>
          <w:rFonts w:hint="eastAsia" w:ascii="宋体" w:hAnsi="宋体" w:eastAsia="宋体" w:cs="宋体"/>
          <w:color w:val="000000"/>
          <w:sz w:val="24"/>
        </w:rPr>
        <w:t>附件5：承包人用于本工程施工的机械设备表</w:t>
      </w:r>
    </w:p>
    <w:p w14:paraId="29921C36">
      <w:pPr>
        <w:spacing w:line="360" w:lineRule="auto"/>
        <w:rPr>
          <w:rFonts w:ascii="宋体" w:hAnsi="宋体" w:eastAsia="宋体" w:cs="宋体"/>
          <w:color w:val="000000"/>
          <w:sz w:val="24"/>
        </w:rPr>
      </w:pPr>
      <w:r>
        <w:rPr>
          <w:rFonts w:hint="eastAsia" w:ascii="宋体" w:hAnsi="宋体" w:eastAsia="宋体" w:cs="宋体"/>
          <w:color w:val="000000"/>
          <w:sz w:val="24"/>
        </w:rPr>
        <w:t>附件6：承包人主要施工管理人员表</w:t>
      </w:r>
    </w:p>
    <w:p w14:paraId="6293DCB6">
      <w:pPr>
        <w:spacing w:line="360" w:lineRule="auto"/>
        <w:rPr>
          <w:rFonts w:ascii="宋体" w:hAnsi="宋体" w:eastAsia="宋体" w:cs="宋体"/>
          <w:color w:val="000000"/>
          <w:sz w:val="24"/>
        </w:rPr>
      </w:pPr>
      <w:r>
        <w:rPr>
          <w:rFonts w:hint="eastAsia" w:ascii="宋体" w:hAnsi="宋体" w:eastAsia="宋体" w:cs="宋体"/>
          <w:color w:val="000000"/>
          <w:sz w:val="24"/>
        </w:rPr>
        <w:t>附件7：分包人主要施工管理人员表</w:t>
      </w:r>
    </w:p>
    <w:p w14:paraId="056B78D0">
      <w:pPr>
        <w:spacing w:line="360" w:lineRule="auto"/>
        <w:rPr>
          <w:rFonts w:ascii="宋体" w:hAnsi="宋体" w:eastAsia="宋体" w:cs="宋体"/>
          <w:color w:val="000000"/>
          <w:sz w:val="24"/>
        </w:rPr>
      </w:pPr>
      <w:r>
        <w:rPr>
          <w:rFonts w:hint="eastAsia" w:ascii="宋体" w:hAnsi="宋体" w:eastAsia="宋体" w:cs="宋体"/>
          <w:color w:val="000000"/>
          <w:sz w:val="24"/>
        </w:rPr>
        <w:t>附件8：履约担保格式</w:t>
      </w:r>
    </w:p>
    <w:p w14:paraId="41983A08">
      <w:pPr>
        <w:spacing w:line="360" w:lineRule="auto"/>
        <w:rPr>
          <w:rFonts w:ascii="宋体" w:hAnsi="宋体" w:eastAsia="宋体" w:cs="宋体"/>
          <w:color w:val="000000"/>
          <w:sz w:val="24"/>
        </w:rPr>
      </w:pPr>
      <w:r>
        <w:rPr>
          <w:rFonts w:hint="eastAsia" w:ascii="宋体" w:hAnsi="宋体" w:eastAsia="宋体" w:cs="宋体"/>
          <w:color w:val="000000"/>
          <w:sz w:val="24"/>
        </w:rPr>
        <w:t>附件9：预付款担保格式</w:t>
      </w:r>
    </w:p>
    <w:p w14:paraId="3B3986BD">
      <w:pPr>
        <w:spacing w:line="360" w:lineRule="auto"/>
        <w:rPr>
          <w:rFonts w:ascii="宋体" w:hAnsi="宋体" w:eastAsia="宋体" w:cs="宋体"/>
          <w:color w:val="000000"/>
          <w:sz w:val="24"/>
        </w:rPr>
      </w:pPr>
      <w:r>
        <w:rPr>
          <w:rFonts w:hint="eastAsia" w:ascii="宋体" w:hAnsi="宋体" w:eastAsia="宋体" w:cs="宋体"/>
          <w:color w:val="000000"/>
          <w:sz w:val="24"/>
        </w:rPr>
        <w:t>附件10：支付担保格式</w:t>
      </w:r>
    </w:p>
    <w:p w14:paraId="4A0CF902">
      <w:pPr>
        <w:spacing w:line="360" w:lineRule="auto"/>
        <w:rPr>
          <w:rFonts w:ascii="宋体" w:hAnsi="宋体" w:eastAsia="宋体" w:cs="宋体"/>
          <w:color w:val="000000"/>
          <w:sz w:val="24"/>
        </w:rPr>
      </w:pPr>
      <w:r>
        <w:rPr>
          <w:rFonts w:hint="eastAsia" w:ascii="宋体" w:hAnsi="宋体" w:eastAsia="宋体" w:cs="宋体"/>
          <w:color w:val="000000"/>
          <w:sz w:val="24"/>
        </w:rPr>
        <w:t>附件11：暂估价一览表</w:t>
      </w:r>
    </w:p>
    <w:p w14:paraId="43D5070F">
      <w:pPr>
        <w:spacing w:line="360" w:lineRule="auto"/>
        <w:rPr>
          <w:rFonts w:ascii="宋体" w:hAnsi="宋体" w:eastAsia="宋体" w:cs="宋体"/>
          <w:color w:val="000000"/>
          <w:sz w:val="24"/>
        </w:rPr>
      </w:pPr>
    </w:p>
    <w:p w14:paraId="4382C47A">
      <w:pPr>
        <w:spacing w:line="360" w:lineRule="auto"/>
        <w:rPr>
          <w:rFonts w:ascii="宋体" w:hAnsi="宋体" w:eastAsia="宋体" w:cs="宋体"/>
        </w:rPr>
      </w:pPr>
      <w:r>
        <w:rPr>
          <w:rFonts w:hint="eastAsia" w:ascii="宋体" w:hAnsi="宋体" w:eastAsia="宋体" w:cs="宋体"/>
          <w:color w:val="000000"/>
          <w:sz w:val="24"/>
        </w:rPr>
        <w:br w:type="page"/>
      </w:r>
      <w:r>
        <w:rPr>
          <w:rFonts w:hint="eastAsia" w:ascii="宋体" w:hAnsi="宋体" w:eastAsia="宋体" w:cs="宋体"/>
        </w:rPr>
        <w:t>附件1：</w:t>
      </w:r>
    </w:p>
    <w:p w14:paraId="2C543B33">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承包人承揽工程项目一览表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29"/>
        <w:gridCol w:w="715"/>
        <w:gridCol w:w="1195"/>
        <w:gridCol w:w="715"/>
        <w:gridCol w:w="498"/>
        <w:gridCol w:w="714"/>
        <w:gridCol w:w="928"/>
        <w:gridCol w:w="1241"/>
        <w:gridCol w:w="714"/>
        <w:gridCol w:w="714"/>
      </w:tblGrid>
      <w:tr w14:paraId="109245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910" w:hRule="atLeast"/>
          <w:jc w:val="center"/>
        </w:trPr>
        <w:tc>
          <w:tcPr>
            <w:tcW w:w="929" w:type="dxa"/>
            <w:vAlign w:val="center"/>
          </w:tcPr>
          <w:p w14:paraId="1E311F6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单位工程名称</w:t>
            </w:r>
          </w:p>
        </w:tc>
        <w:tc>
          <w:tcPr>
            <w:tcW w:w="715" w:type="dxa"/>
            <w:vAlign w:val="center"/>
          </w:tcPr>
          <w:p w14:paraId="226E17B8">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建设规模</w:t>
            </w:r>
          </w:p>
        </w:tc>
        <w:tc>
          <w:tcPr>
            <w:tcW w:w="1195" w:type="dxa"/>
            <w:vAlign w:val="center"/>
          </w:tcPr>
          <w:p w14:paraId="0F7EE79F">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建筑面积(平方米)</w:t>
            </w:r>
          </w:p>
        </w:tc>
        <w:tc>
          <w:tcPr>
            <w:tcW w:w="715" w:type="dxa"/>
            <w:vAlign w:val="center"/>
          </w:tcPr>
          <w:p w14:paraId="6C14DE7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结构形式</w:t>
            </w:r>
          </w:p>
        </w:tc>
        <w:tc>
          <w:tcPr>
            <w:tcW w:w="498" w:type="dxa"/>
            <w:vAlign w:val="center"/>
          </w:tcPr>
          <w:p w14:paraId="3360766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层数</w:t>
            </w:r>
          </w:p>
        </w:tc>
        <w:tc>
          <w:tcPr>
            <w:tcW w:w="714" w:type="dxa"/>
            <w:vAlign w:val="center"/>
          </w:tcPr>
          <w:p w14:paraId="1DDE5519">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生产能力</w:t>
            </w:r>
          </w:p>
        </w:tc>
        <w:tc>
          <w:tcPr>
            <w:tcW w:w="928" w:type="dxa"/>
            <w:vAlign w:val="center"/>
          </w:tcPr>
          <w:p w14:paraId="0AE2D5E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设备安装内容</w:t>
            </w:r>
          </w:p>
        </w:tc>
        <w:tc>
          <w:tcPr>
            <w:tcW w:w="1241" w:type="dxa"/>
            <w:vAlign w:val="center"/>
          </w:tcPr>
          <w:p w14:paraId="2A02C302">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合同价格（元）</w:t>
            </w:r>
          </w:p>
        </w:tc>
        <w:tc>
          <w:tcPr>
            <w:tcW w:w="714" w:type="dxa"/>
            <w:vAlign w:val="center"/>
          </w:tcPr>
          <w:p w14:paraId="1F84F004">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开工日期</w:t>
            </w:r>
          </w:p>
        </w:tc>
        <w:tc>
          <w:tcPr>
            <w:tcW w:w="714" w:type="dxa"/>
            <w:vAlign w:val="center"/>
          </w:tcPr>
          <w:p w14:paraId="76DA3A98">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竣工日期</w:t>
            </w:r>
          </w:p>
        </w:tc>
      </w:tr>
      <w:tr w14:paraId="11DBA5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726F2E0D">
            <w:pPr>
              <w:keepNext/>
              <w:spacing w:line="360" w:lineRule="auto"/>
              <w:ind w:left="63" w:right="63"/>
              <w:rPr>
                <w:rFonts w:ascii="宋体" w:hAnsi="宋体" w:eastAsia="宋体" w:cs="宋体"/>
                <w:color w:val="000000"/>
                <w:szCs w:val="21"/>
              </w:rPr>
            </w:pPr>
          </w:p>
        </w:tc>
        <w:tc>
          <w:tcPr>
            <w:tcW w:w="715" w:type="dxa"/>
            <w:vAlign w:val="center"/>
          </w:tcPr>
          <w:p w14:paraId="7B7DF629">
            <w:pPr>
              <w:keepNext/>
              <w:spacing w:line="360" w:lineRule="auto"/>
              <w:ind w:left="63" w:right="63"/>
              <w:rPr>
                <w:rFonts w:ascii="宋体" w:hAnsi="宋体" w:eastAsia="宋体" w:cs="宋体"/>
                <w:color w:val="000000"/>
                <w:szCs w:val="21"/>
              </w:rPr>
            </w:pPr>
          </w:p>
        </w:tc>
        <w:tc>
          <w:tcPr>
            <w:tcW w:w="1195" w:type="dxa"/>
            <w:vAlign w:val="center"/>
          </w:tcPr>
          <w:p w14:paraId="1BD7AB49">
            <w:pPr>
              <w:keepNext/>
              <w:spacing w:line="360" w:lineRule="auto"/>
              <w:ind w:left="63" w:right="63"/>
              <w:rPr>
                <w:rFonts w:ascii="宋体" w:hAnsi="宋体" w:eastAsia="宋体" w:cs="宋体"/>
                <w:color w:val="000000"/>
                <w:szCs w:val="21"/>
              </w:rPr>
            </w:pPr>
          </w:p>
        </w:tc>
        <w:tc>
          <w:tcPr>
            <w:tcW w:w="715" w:type="dxa"/>
            <w:vAlign w:val="center"/>
          </w:tcPr>
          <w:p w14:paraId="4882A055">
            <w:pPr>
              <w:keepNext/>
              <w:spacing w:line="360" w:lineRule="auto"/>
              <w:ind w:left="63" w:right="63"/>
              <w:rPr>
                <w:rFonts w:ascii="宋体" w:hAnsi="宋体" w:eastAsia="宋体" w:cs="宋体"/>
                <w:color w:val="000000"/>
                <w:szCs w:val="21"/>
              </w:rPr>
            </w:pPr>
          </w:p>
        </w:tc>
        <w:tc>
          <w:tcPr>
            <w:tcW w:w="498" w:type="dxa"/>
            <w:vAlign w:val="center"/>
          </w:tcPr>
          <w:p w14:paraId="69810633">
            <w:pPr>
              <w:keepNext/>
              <w:spacing w:line="360" w:lineRule="auto"/>
              <w:ind w:left="63" w:right="63"/>
              <w:rPr>
                <w:rFonts w:ascii="宋体" w:hAnsi="宋体" w:eastAsia="宋体" w:cs="宋体"/>
                <w:color w:val="000000"/>
                <w:szCs w:val="21"/>
              </w:rPr>
            </w:pPr>
          </w:p>
        </w:tc>
        <w:tc>
          <w:tcPr>
            <w:tcW w:w="714" w:type="dxa"/>
            <w:vAlign w:val="center"/>
          </w:tcPr>
          <w:p w14:paraId="6DE1533F">
            <w:pPr>
              <w:keepNext/>
              <w:spacing w:line="360" w:lineRule="auto"/>
              <w:ind w:left="63" w:right="63"/>
              <w:rPr>
                <w:rFonts w:ascii="宋体" w:hAnsi="宋体" w:eastAsia="宋体" w:cs="宋体"/>
                <w:color w:val="000000"/>
                <w:szCs w:val="21"/>
              </w:rPr>
            </w:pPr>
          </w:p>
        </w:tc>
        <w:tc>
          <w:tcPr>
            <w:tcW w:w="928" w:type="dxa"/>
            <w:vAlign w:val="center"/>
          </w:tcPr>
          <w:p w14:paraId="2CBDD86F">
            <w:pPr>
              <w:keepNext/>
              <w:spacing w:line="360" w:lineRule="auto"/>
              <w:ind w:left="63" w:right="63"/>
              <w:rPr>
                <w:rFonts w:ascii="宋体" w:hAnsi="宋体" w:eastAsia="宋体" w:cs="宋体"/>
                <w:color w:val="000000"/>
                <w:szCs w:val="21"/>
              </w:rPr>
            </w:pPr>
          </w:p>
        </w:tc>
        <w:tc>
          <w:tcPr>
            <w:tcW w:w="1241" w:type="dxa"/>
            <w:vAlign w:val="center"/>
          </w:tcPr>
          <w:p w14:paraId="72D29537">
            <w:pPr>
              <w:keepNext/>
              <w:spacing w:line="360" w:lineRule="auto"/>
              <w:ind w:left="63" w:right="63"/>
              <w:rPr>
                <w:rFonts w:ascii="宋体" w:hAnsi="宋体" w:eastAsia="宋体" w:cs="宋体"/>
                <w:color w:val="000000"/>
                <w:szCs w:val="21"/>
              </w:rPr>
            </w:pPr>
          </w:p>
        </w:tc>
        <w:tc>
          <w:tcPr>
            <w:tcW w:w="714" w:type="dxa"/>
            <w:vAlign w:val="center"/>
          </w:tcPr>
          <w:p w14:paraId="222680D7">
            <w:pPr>
              <w:keepNext/>
              <w:spacing w:line="360" w:lineRule="auto"/>
              <w:ind w:left="63" w:right="63"/>
              <w:rPr>
                <w:rFonts w:ascii="宋体" w:hAnsi="宋体" w:eastAsia="宋体" w:cs="宋体"/>
                <w:color w:val="000000"/>
                <w:szCs w:val="21"/>
              </w:rPr>
            </w:pPr>
          </w:p>
        </w:tc>
        <w:tc>
          <w:tcPr>
            <w:tcW w:w="714" w:type="dxa"/>
            <w:vAlign w:val="center"/>
          </w:tcPr>
          <w:p w14:paraId="51D48843">
            <w:pPr>
              <w:keepNext/>
              <w:spacing w:line="360" w:lineRule="auto"/>
              <w:ind w:left="63" w:right="63"/>
              <w:rPr>
                <w:rFonts w:ascii="宋体" w:hAnsi="宋体" w:eastAsia="宋体" w:cs="宋体"/>
                <w:color w:val="000000"/>
                <w:szCs w:val="21"/>
              </w:rPr>
            </w:pPr>
          </w:p>
        </w:tc>
      </w:tr>
      <w:tr w14:paraId="7C6CB81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323C2FFE">
            <w:pPr>
              <w:keepNext/>
              <w:spacing w:line="360" w:lineRule="auto"/>
              <w:ind w:left="63" w:right="63"/>
              <w:rPr>
                <w:rFonts w:ascii="宋体" w:hAnsi="宋体" w:eastAsia="宋体" w:cs="宋体"/>
                <w:color w:val="000000"/>
                <w:szCs w:val="21"/>
              </w:rPr>
            </w:pPr>
          </w:p>
        </w:tc>
        <w:tc>
          <w:tcPr>
            <w:tcW w:w="715" w:type="dxa"/>
            <w:vAlign w:val="center"/>
          </w:tcPr>
          <w:p w14:paraId="43E0233F">
            <w:pPr>
              <w:keepNext/>
              <w:spacing w:line="360" w:lineRule="auto"/>
              <w:ind w:left="63" w:right="63"/>
              <w:rPr>
                <w:rFonts w:ascii="宋体" w:hAnsi="宋体" w:eastAsia="宋体" w:cs="宋体"/>
                <w:color w:val="000000"/>
                <w:szCs w:val="21"/>
              </w:rPr>
            </w:pPr>
          </w:p>
        </w:tc>
        <w:tc>
          <w:tcPr>
            <w:tcW w:w="1195" w:type="dxa"/>
            <w:vAlign w:val="center"/>
          </w:tcPr>
          <w:p w14:paraId="716C8365">
            <w:pPr>
              <w:keepNext/>
              <w:spacing w:line="360" w:lineRule="auto"/>
              <w:ind w:left="63" w:right="63"/>
              <w:rPr>
                <w:rFonts w:ascii="宋体" w:hAnsi="宋体" w:eastAsia="宋体" w:cs="宋体"/>
                <w:color w:val="000000"/>
                <w:szCs w:val="21"/>
              </w:rPr>
            </w:pPr>
          </w:p>
        </w:tc>
        <w:tc>
          <w:tcPr>
            <w:tcW w:w="715" w:type="dxa"/>
            <w:vAlign w:val="center"/>
          </w:tcPr>
          <w:p w14:paraId="64F34E33">
            <w:pPr>
              <w:keepNext/>
              <w:spacing w:line="360" w:lineRule="auto"/>
              <w:ind w:left="63" w:right="63"/>
              <w:rPr>
                <w:rFonts w:ascii="宋体" w:hAnsi="宋体" w:eastAsia="宋体" w:cs="宋体"/>
                <w:color w:val="000000"/>
                <w:szCs w:val="21"/>
              </w:rPr>
            </w:pPr>
          </w:p>
        </w:tc>
        <w:tc>
          <w:tcPr>
            <w:tcW w:w="498" w:type="dxa"/>
            <w:vAlign w:val="center"/>
          </w:tcPr>
          <w:p w14:paraId="7E1F05D1">
            <w:pPr>
              <w:keepNext/>
              <w:spacing w:line="360" w:lineRule="auto"/>
              <w:ind w:left="63" w:right="63"/>
              <w:rPr>
                <w:rFonts w:ascii="宋体" w:hAnsi="宋体" w:eastAsia="宋体" w:cs="宋体"/>
                <w:color w:val="000000"/>
                <w:szCs w:val="21"/>
              </w:rPr>
            </w:pPr>
          </w:p>
        </w:tc>
        <w:tc>
          <w:tcPr>
            <w:tcW w:w="714" w:type="dxa"/>
            <w:vAlign w:val="center"/>
          </w:tcPr>
          <w:p w14:paraId="2260009B">
            <w:pPr>
              <w:keepNext/>
              <w:spacing w:line="360" w:lineRule="auto"/>
              <w:ind w:left="63" w:right="63"/>
              <w:rPr>
                <w:rFonts w:ascii="宋体" w:hAnsi="宋体" w:eastAsia="宋体" w:cs="宋体"/>
                <w:color w:val="000000"/>
                <w:szCs w:val="21"/>
              </w:rPr>
            </w:pPr>
          </w:p>
        </w:tc>
        <w:tc>
          <w:tcPr>
            <w:tcW w:w="928" w:type="dxa"/>
            <w:vAlign w:val="center"/>
          </w:tcPr>
          <w:p w14:paraId="01E3BD1C">
            <w:pPr>
              <w:keepNext/>
              <w:spacing w:line="360" w:lineRule="auto"/>
              <w:ind w:left="63" w:right="63"/>
              <w:rPr>
                <w:rFonts w:ascii="宋体" w:hAnsi="宋体" w:eastAsia="宋体" w:cs="宋体"/>
                <w:color w:val="000000"/>
                <w:szCs w:val="21"/>
              </w:rPr>
            </w:pPr>
          </w:p>
        </w:tc>
        <w:tc>
          <w:tcPr>
            <w:tcW w:w="1241" w:type="dxa"/>
            <w:vAlign w:val="center"/>
          </w:tcPr>
          <w:p w14:paraId="46D4B976">
            <w:pPr>
              <w:keepNext/>
              <w:spacing w:line="360" w:lineRule="auto"/>
              <w:ind w:left="63" w:right="63"/>
              <w:rPr>
                <w:rFonts w:ascii="宋体" w:hAnsi="宋体" w:eastAsia="宋体" w:cs="宋体"/>
                <w:color w:val="000000"/>
                <w:szCs w:val="21"/>
              </w:rPr>
            </w:pPr>
          </w:p>
        </w:tc>
        <w:tc>
          <w:tcPr>
            <w:tcW w:w="714" w:type="dxa"/>
            <w:vAlign w:val="center"/>
          </w:tcPr>
          <w:p w14:paraId="6117982A">
            <w:pPr>
              <w:keepNext/>
              <w:spacing w:line="360" w:lineRule="auto"/>
              <w:ind w:left="63" w:right="63"/>
              <w:rPr>
                <w:rFonts w:ascii="宋体" w:hAnsi="宋体" w:eastAsia="宋体" w:cs="宋体"/>
                <w:color w:val="000000"/>
                <w:szCs w:val="21"/>
              </w:rPr>
            </w:pPr>
          </w:p>
        </w:tc>
        <w:tc>
          <w:tcPr>
            <w:tcW w:w="714" w:type="dxa"/>
            <w:vAlign w:val="center"/>
          </w:tcPr>
          <w:p w14:paraId="13510C84">
            <w:pPr>
              <w:keepNext/>
              <w:spacing w:line="360" w:lineRule="auto"/>
              <w:ind w:left="63" w:right="63"/>
              <w:rPr>
                <w:rFonts w:ascii="宋体" w:hAnsi="宋体" w:eastAsia="宋体" w:cs="宋体"/>
                <w:color w:val="000000"/>
                <w:szCs w:val="21"/>
              </w:rPr>
            </w:pPr>
          </w:p>
        </w:tc>
      </w:tr>
      <w:tr w14:paraId="51CF7C9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15603F26">
            <w:pPr>
              <w:keepNext/>
              <w:spacing w:line="360" w:lineRule="auto"/>
              <w:ind w:left="63" w:right="63"/>
              <w:rPr>
                <w:rFonts w:ascii="宋体" w:hAnsi="宋体" w:eastAsia="宋体" w:cs="宋体"/>
                <w:color w:val="000000"/>
                <w:szCs w:val="21"/>
              </w:rPr>
            </w:pPr>
          </w:p>
        </w:tc>
        <w:tc>
          <w:tcPr>
            <w:tcW w:w="715" w:type="dxa"/>
            <w:vAlign w:val="center"/>
          </w:tcPr>
          <w:p w14:paraId="1B13AA28">
            <w:pPr>
              <w:keepNext/>
              <w:spacing w:line="360" w:lineRule="auto"/>
              <w:ind w:left="63" w:right="63"/>
              <w:rPr>
                <w:rFonts w:ascii="宋体" w:hAnsi="宋体" w:eastAsia="宋体" w:cs="宋体"/>
                <w:color w:val="000000"/>
                <w:szCs w:val="21"/>
              </w:rPr>
            </w:pPr>
          </w:p>
        </w:tc>
        <w:tc>
          <w:tcPr>
            <w:tcW w:w="1195" w:type="dxa"/>
            <w:vAlign w:val="center"/>
          </w:tcPr>
          <w:p w14:paraId="12577B03">
            <w:pPr>
              <w:keepNext/>
              <w:spacing w:line="360" w:lineRule="auto"/>
              <w:ind w:left="63" w:right="63"/>
              <w:rPr>
                <w:rFonts w:ascii="宋体" w:hAnsi="宋体" w:eastAsia="宋体" w:cs="宋体"/>
                <w:color w:val="000000"/>
                <w:szCs w:val="21"/>
              </w:rPr>
            </w:pPr>
          </w:p>
        </w:tc>
        <w:tc>
          <w:tcPr>
            <w:tcW w:w="715" w:type="dxa"/>
            <w:vAlign w:val="center"/>
          </w:tcPr>
          <w:p w14:paraId="1C85E38B">
            <w:pPr>
              <w:keepNext/>
              <w:spacing w:line="360" w:lineRule="auto"/>
              <w:ind w:left="63" w:right="63"/>
              <w:rPr>
                <w:rFonts w:ascii="宋体" w:hAnsi="宋体" w:eastAsia="宋体" w:cs="宋体"/>
                <w:color w:val="000000"/>
                <w:szCs w:val="21"/>
              </w:rPr>
            </w:pPr>
          </w:p>
        </w:tc>
        <w:tc>
          <w:tcPr>
            <w:tcW w:w="498" w:type="dxa"/>
            <w:vAlign w:val="center"/>
          </w:tcPr>
          <w:p w14:paraId="4ED4010D">
            <w:pPr>
              <w:keepNext/>
              <w:spacing w:line="360" w:lineRule="auto"/>
              <w:ind w:left="63" w:right="63"/>
              <w:rPr>
                <w:rFonts w:ascii="宋体" w:hAnsi="宋体" w:eastAsia="宋体" w:cs="宋体"/>
                <w:color w:val="000000"/>
                <w:szCs w:val="21"/>
              </w:rPr>
            </w:pPr>
          </w:p>
        </w:tc>
        <w:tc>
          <w:tcPr>
            <w:tcW w:w="714" w:type="dxa"/>
            <w:vAlign w:val="center"/>
          </w:tcPr>
          <w:p w14:paraId="35DC09A7">
            <w:pPr>
              <w:keepNext/>
              <w:spacing w:line="360" w:lineRule="auto"/>
              <w:ind w:left="63" w:right="63"/>
              <w:rPr>
                <w:rFonts w:ascii="宋体" w:hAnsi="宋体" w:eastAsia="宋体" w:cs="宋体"/>
                <w:color w:val="000000"/>
                <w:szCs w:val="21"/>
              </w:rPr>
            </w:pPr>
          </w:p>
        </w:tc>
        <w:tc>
          <w:tcPr>
            <w:tcW w:w="928" w:type="dxa"/>
            <w:vAlign w:val="center"/>
          </w:tcPr>
          <w:p w14:paraId="7F04E565">
            <w:pPr>
              <w:keepNext/>
              <w:spacing w:line="360" w:lineRule="auto"/>
              <w:ind w:left="63" w:right="63"/>
              <w:rPr>
                <w:rFonts w:ascii="宋体" w:hAnsi="宋体" w:eastAsia="宋体" w:cs="宋体"/>
                <w:color w:val="000000"/>
                <w:szCs w:val="21"/>
              </w:rPr>
            </w:pPr>
          </w:p>
        </w:tc>
        <w:tc>
          <w:tcPr>
            <w:tcW w:w="1241" w:type="dxa"/>
            <w:vAlign w:val="center"/>
          </w:tcPr>
          <w:p w14:paraId="2FDD6804">
            <w:pPr>
              <w:keepNext/>
              <w:spacing w:line="360" w:lineRule="auto"/>
              <w:ind w:left="63" w:right="63"/>
              <w:rPr>
                <w:rFonts w:ascii="宋体" w:hAnsi="宋体" w:eastAsia="宋体" w:cs="宋体"/>
                <w:color w:val="000000"/>
                <w:szCs w:val="21"/>
              </w:rPr>
            </w:pPr>
          </w:p>
        </w:tc>
        <w:tc>
          <w:tcPr>
            <w:tcW w:w="714" w:type="dxa"/>
            <w:vAlign w:val="center"/>
          </w:tcPr>
          <w:p w14:paraId="64FF66E3">
            <w:pPr>
              <w:keepNext/>
              <w:spacing w:line="360" w:lineRule="auto"/>
              <w:ind w:left="63" w:right="63"/>
              <w:rPr>
                <w:rFonts w:ascii="宋体" w:hAnsi="宋体" w:eastAsia="宋体" w:cs="宋体"/>
                <w:color w:val="000000"/>
                <w:szCs w:val="21"/>
              </w:rPr>
            </w:pPr>
          </w:p>
        </w:tc>
        <w:tc>
          <w:tcPr>
            <w:tcW w:w="714" w:type="dxa"/>
            <w:vAlign w:val="center"/>
          </w:tcPr>
          <w:p w14:paraId="071C06D5">
            <w:pPr>
              <w:keepNext/>
              <w:spacing w:line="360" w:lineRule="auto"/>
              <w:ind w:left="63" w:right="63"/>
              <w:rPr>
                <w:rFonts w:ascii="宋体" w:hAnsi="宋体" w:eastAsia="宋体" w:cs="宋体"/>
                <w:color w:val="000000"/>
                <w:szCs w:val="21"/>
              </w:rPr>
            </w:pPr>
          </w:p>
        </w:tc>
      </w:tr>
      <w:tr w14:paraId="0728A9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3C7BB1E5">
            <w:pPr>
              <w:keepNext/>
              <w:spacing w:line="360" w:lineRule="auto"/>
              <w:ind w:left="63" w:right="63"/>
              <w:rPr>
                <w:rFonts w:ascii="宋体" w:hAnsi="宋体" w:eastAsia="宋体" w:cs="宋体"/>
                <w:color w:val="000000"/>
                <w:szCs w:val="21"/>
              </w:rPr>
            </w:pPr>
          </w:p>
        </w:tc>
        <w:tc>
          <w:tcPr>
            <w:tcW w:w="715" w:type="dxa"/>
            <w:vAlign w:val="center"/>
          </w:tcPr>
          <w:p w14:paraId="1FF0ABA6">
            <w:pPr>
              <w:keepNext/>
              <w:spacing w:line="360" w:lineRule="auto"/>
              <w:ind w:left="63" w:right="63"/>
              <w:rPr>
                <w:rFonts w:ascii="宋体" w:hAnsi="宋体" w:eastAsia="宋体" w:cs="宋体"/>
                <w:color w:val="000000"/>
                <w:szCs w:val="21"/>
              </w:rPr>
            </w:pPr>
          </w:p>
        </w:tc>
        <w:tc>
          <w:tcPr>
            <w:tcW w:w="1195" w:type="dxa"/>
            <w:vAlign w:val="center"/>
          </w:tcPr>
          <w:p w14:paraId="4A43F923">
            <w:pPr>
              <w:keepNext/>
              <w:spacing w:line="360" w:lineRule="auto"/>
              <w:ind w:left="63" w:right="63"/>
              <w:rPr>
                <w:rFonts w:ascii="宋体" w:hAnsi="宋体" w:eastAsia="宋体" w:cs="宋体"/>
                <w:color w:val="000000"/>
                <w:szCs w:val="21"/>
              </w:rPr>
            </w:pPr>
          </w:p>
        </w:tc>
        <w:tc>
          <w:tcPr>
            <w:tcW w:w="715" w:type="dxa"/>
            <w:vAlign w:val="center"/>
          </w:tcPr>
          <w:p w14:paraId="2F3B61BE">
            <w:pPr>
              <w:keepNext/>
              <w:spacing w:line="360" w:lineRule="auto"/>
              <w:ind w:left="63" w:right="63"/>
              <w:rPr>
                <w:rFonts w:ascii="宋体" w:hAnsi="宋体" w:eastAsia="宋体" w:cs="宋体"/>
                <w:color w:val="000000"/>
                <w:szCs w:val="21"/>
              </w:rPr>
            </w:pPr>
          </w:p>
        </w:tc>
        <w:tc>
          <w:tcPr>
            <w:tcW w:w="498" w:type="dxa"/>
            <w:vAlign w:val="center"/>
          </w:tcPr>
          <w:p w14:paraId="766E89D3">
            <w:pPr>
              <w:keepNext/>
              <w:spacing w:line="360" w:lineRule="auto"/>
              <w:ind w:left="63" w:right="63"/>
              <w:rPr>
                <w:rFonts w:ascii="宋体" w:hAnsi="宋体" w:eastAsia="宋体" w:cs="宋体"/>
                <w:color w:val="000000"/>
                <w:szCs w:val="21"/>
              </w:rPr>
            </w:pPr>
          </w:p>
        </w:tc>
        <w:tc>
          <w:tcPr>
            <w:tcW w:w="714" w:type="dxa"/>
            <w:vAlign w:val="center"/>
          </w:tcPr>
          <w:p w14:paraId="73032BB4">
            <w:pPr>
              <w:keepNext/>
              <w:spacing w:line="360" w:lineRule="auto"/>
              <w:ind w:left="63" w:right="63"/>
              <w:rPr>
                <w:rFonts w:ascii="宋体" w:hAnsi="宋体" w:eastAsia="宋体" w:cs="宋体"/>
                <w:color w:val="000000"/>
                <w:szCs w:val="21"/>
              </w:rPr>
            </w:pPr>
          </w:p>
        </w:tc>
        <w:tc>
          <w:tcPr>
            <w:tcW w:w="928" w:type="dxa"/>
            <w:vAlign w:val="center"/>
          </w:tcPr>
          <w:p w14:paraId="08A973BE">
            <w:pPr>
              <w:keepNext/>
              <w:spacing w:line="360" w:lineRule="auto"/>
              <w:ind w:left="63" w:right="63"/>
              <w:rPr>
                <w:rFonts w:ascii="宋体" w:hAnsi="宋体" w:eastAsia="宋体" w:cs="宋体"/>
                <w:color w:val="000000"/>
                <w:szCs w:val="21"/>
              </w:rPr>
            </w:pPr>
          </w:p>
        </w:tc>
        <w:tc>
          <w:tcPr>
            <w:tcW w:w="1241" w:type="dxa"/>
            <w:vAlign w:val="center"/>
          </w:tcPr>
          <w:p w14:paraId="06635CAC">
            <w:pPr>
              <w:keepNext/>
              <w:spacing w:line="360" w:lineRule="auto"/>
              <w:ind w:left="63" w:right="63"/>
              <w:rPr>
                <w:rFonts w:ascii="宋体" w:hAnsi="宋体" w:eastAsia="宋体" w:cs="宋体"/>
                <w:color w:val="000000"/>
                <w:szCs w:val="21"/>
              </w:rPr>
            </w:pPr>
          </w:p>
        </w:tc>
        <w:tc>
          <w:tcPr>
            <w:tcW w:w="714" w:type="dxa"/>
            <w:vAlign w:val="center"/>
          </w:tcPr>
          <w:p w14:paraId="44F16AB9">
            <w:pPr>
              <w:keepNext/>
              <w:spacing w:line="360" w:lineRule="auto"/>
              <w:ind w:left="63" w:right="63"/>
              <w:rPr>
                <w:rFonts w:ascii="宋体" w:hAnsi="宋体" w:eastAsia="宋体" w:cs="宋体"/>
                <w:color w:val="000000"/>
                <w:szCs w:val="21"/>
              </w:rPr>
            </w:pPr>
          </w:p>
        </w:tc>
        <w:tc>
          <w:tcPr>
            <w:tcW w:w="714" w:type="dxa"/>
            <w:vAlign w:val="center"/>
          </w:tcPr>
          <w:p w14:paraId="4092D745">
            <w:pPr>
              <w:keepNext/>
              <w:spacing w:line="360" w:lineRule="auto"/>
              <w:ind w:left="63" w:right="63"/>
              <w:rPr>
                <w:rFonts w:ascii="宋体" w:hAnsi="宋体" w:eastAsia="宋体" w:cs="宋体"/>
                <w:color w:val="000000"/>
                <w:szCs w:val="21"/>
              </w:rPr>
            </w:pPr>
          </w:p>
        </w:tc>
      </w:tr>
      <w:tr w14:paraId="0FAF44D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5123DBAC">
            <w:pPr>
              <w:keepNext/>
              <w:spacing w:line="360" w:lineRule="auto"/>
              <w:ind w:left="63" w:right="63"/>
              <w:rPr>
                <w:rFonts w:ascii="宋体" w:hAnsi="宋体" w:eastAsia="宋体" w:cs="宋体"/>
                <w:color w:val="000000"/>
                <w:szCs w:val="21"/>
              </w:rPr>
            </w:pPr>
          </w:p>
        </w:tc>
        <w:tc>
          <w:tcPr>
            <w:tcW w:w="715" w:type="dxa"/>
            <w:vAlign w:val="center"/>
          </w:tcPr>
          <w:p w14:paraId="3C5463A5">
            <w:pPr>
              <w:keepNext/>
              <w:spacing w:line="360" w:lineRule="auto"/>
              <w:ind w:left="63" w:right="63"/>
              <w:rPr>
                <w:rFonts w:ascii="宋体" w:hAnsi="宋体" w:eastAsia="宋体" w:cs="宋体"/>
                <w:color w:val="000000"/>
                <w:szCs w:val="21"/>
              </w:rPr>
            </w:pPr>
          </w:p>
        </w:tc>
        <w:tc>
          <w:tcPr>
            <w:tcW w:w="1195" w:type="dxa"/>
            <w:vAlign w:val="center"/>
          </w:tcPr>
          <w:p w14:paraId="4427631D">
            <w:pPr>
              <w:keepNext/>
              <w:spacing w:line="360" w:lineRule="auto"/>
              <w:ind w:left="63" w:right="63"/>
              <w:rPr>
                <w:rFonts w:ascii="宋体" w:hAnsi="宋体" w:eastAsia="宋体" w:cs="宋体"/>
                <w:color w:val="000000"/>
                <w:szCs w:val="21"/>
              </w:rPr>
            </w:pPr>
          </w:p>
        </w:tc>
        <w:tc>
          <w:tcPr>
            <w:tcW w:w="715" w:type="dxa"/>
            <w:vAlign w:val="center"/>
          </w:tcPr>
          <w:p w14:paraId="3128BD25">
            <w:pPr>
              <w:keepNext/>
              <w:spacing w:line="360" w:lineRule="auto"/>
              <w:ind w:left="63" w:right="63"/>
              <w:rPr>
                <w:rFonts w:ascii="宋体" w:hAnsi="宋体" w:eastAsia="宋体" w:cs="宋体"/>
                <w:color w:val="000000"/>
                <w:szCs w:val="21"/>
              </w:rPr>
            </w:pPr>
          </w:p>
        </w:tc>
        <w:tc>
          <w:tcPr>
            <w:tcW w:w="498" w:type="dxa"/>
            <w:vAlign w:val="center"/>
          </w:tcPr>
          <w:p w14:paraId="33B54D6A">
            <w:pPr>
              <w:keepNext/>
              <w:spacing w:line="360" w:lineRule="auto"/>
              <w:ind w:left="63" w:right="63"/>
              <w:rPr>
                <w:rFonts w:ascii="宋体" w:hAnsi="宋体" w:eastAsia="宋体" w:cs="宋体"/>
                <w:color w:val="000000"/>
                <w:szCs w:val="21"/>
              </w:rPr>
            </w:pPr>
          </w:p>
        </w:tc>
        <w:tc>
          <w:tcPr>
            <w:tcW w:w="714" w:type="dxa"/>
            <w:vAlign w:val="center"/>
          </w:tcPr>
          <w:p w14:paraId="3A3F8C76">
            <w:pPr>
              <w:keepNext/>
              <w:spacing w:line="360" w:lineRule="auto"/>
              <w:ind w:left="63" w:right="63"/>
              <w:rPr>
                <w:rFonts w:ascii="宋体" w:hAnsi="宋体" w:eastAsia="宋体" w:cs="宋体"/>
                <w:color w:val="000000"/>
                <w:szCs w:val="21"/>
              </w:rPr>
            </w:pPr>
          </w:p>
        </w:tc>
        <w:tc>
          <w:tcPr>
            <w:tcW w:w="928" w:type="dxa"/>
            <w:vAlign w:val="center"/>
          </w:tcPr>
          <w:p w14:paraId="6DE05BAB">
            <w:pPr>
              <w:keepNext/>
              <w:spacing w:line="360" w:lineRule="auto"/>
              <w:ind w:left="63" w:right="63"/>
              <w:rPr>
                <w:rFonts w:ascii="宋体" w:hAnsi="宋体" w:eastAsia="宋体" w:cs="宋体"/>
                <w:color w:val="000000"/>
                <w:szCs w:val="21"/>
              </w:rPr>
            </w:pPr>
          </w:p>
        </w:tc>
        <w:tc>
          <w:tcPr>
            <w:tcW w:w="1241" w:type="dxa"/>
            <w:vAlign w:val="center"/>
          </w:tcPr>
          <w:p w14:paraId="25175B69">
            <w:pPr>
              <w:keepNext/>
              <w:spacing w:line="360" w:lineRule="auto"/>
              <w:ind w:left="63" w:right="63"/>
              <w:rPr>
                <w:rFonts w:ascii="宋体" w:hAnsi="宋体" w:eastAsia="宋体" w:cs="宋体"/>
                <w:color w:val="000000"/>
                <w:szCs w:val="21"/>
              </w:rPr>
            </w:pPr>
          </w:p>
        </w:tc>
        <w:tc>
          <w:tcPr>
            <w:tcW w:w="714" w:type="dxa"/>
            <w:vAlign w:val="center"/>
          </w:tcPr>
          <w:p w14:paraId="607B5324">
            <w:pPr>
              <w:keepNext/>
              <w:spacing w:line="360" w:lineRule="auto"/>
              <w:ind w:left="63" w:right="63"/>
              <w:rPr>
                <w:rFonts w:ascii="宋体" w:hAnsi="宋体" w:eastAsia="宋体" w:cs="宋体"/>
                <w:color w:val="000000"/>
                <w:szCs w:val="21"/>
              </w:rPr>
            </w:pPr>
          </w:p>
        </w:tc>
        <w:tc>
          <w:tcPr>
            <w:tcW w:w="714" w:type="dxa"/>
            <w:vAlign w:val="center"/>
          </w:tcPr>
          <w:p w14:paraId="58CDB306">
            <w:pPr>
              <w:keepNext/>
              <w:spacing w:line="360" w:lineRule="auto"/>
              <w:ind w:left="63" w:right="63"/>
              <w:rPr>
                <w:rFonts w:ascii="宋体" w:hAnsi="宋体" w:eastAsia="宋体" w:cs="宋体"/>
                <w:color w:val="000000"/>
                <w:szCs w:val="21"/>
              </w:rPr>
            </w:pPr>
          </w:p>
        </w:tc>
      </w:tr>
      <w:tr w14:paraId="2876B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4765BEBD">
            <w:pPr>
              <w:keepNext/>
              <w:spacing w:line="360" w:lineRule="auto"/>
              <w:ind w:left="63" w:right="63"/>
              <w:rPr>
                <w:rFonts w:ascii="宋体" w:hAnsi="宋体" w:eastAsia="宋体" w:cs="宋体"/>
                <w:color w:val="000000"/>
                <w:szCs w:val="21"/>
              </w:rPr>
            </w:pPr>
          </w:p>
        </w:tc>
        <w:tc>
          <w:tcPr>
            <w:tcW w:w="715" w:type="dxa"/>
            <w:vAlign w:val="center"/>
          </w:tcPr>
          <w:p w14:paraId="7F1D4953">
            <w:pPr>
              <w:keepNext/>
              <w:spacing w:line="360" w:lineRule="auto"/>
              <w:ind w:left="63" w:right="63"/>
              <w:rPr>
                <w:rFonts w:ascii="宋体" w:hAnsi="宋体" w:eastAsia="宋体" w:cs="宋体"/>
                <w:color w:val="000000"/>
                <w:szCs w:val="21"/>
              </w:rPr>
            </w:pPr>
          </w:p>
        </w:tc>
        <w:tc>
          <w:tcPr>
            <w:tcW w:w="1195" w:type="dxa"/>
            <w:vAlign w:val="center"/>
          </w:tcPr>
          <w:p w14:paraId="76FE6397">
            <w:pPr>
              <w:keepNext/>
              <w:spacing w:line="360" w:lineRule="auto"/>
              <w:ind w:left="63" w:right="63"/>
              <w:rPr>
                <w:rFonts w:ascii="宋体" w:hAnsi="宋体" w:eastAsia="宋体" w:cs="宋体"/>
                <w:color w:val="000000"/>
                <w:szCs w:val="21"/>
              </w:rPr>
            </w:pPr>
          </w:p>
        </w:tc>
        <w:tc>
          <w:tcPr>
            <w:tcW w:w="715" w:type="dxa"/>
            <w:vAlign w:val="center"/>
          </w:tcPr>
          <w:p w14:paraId="7DE69048">
            <w:pPr>
              <w:keepNext/>
              <w:spacing w:line="360" w:lineRule="auto"/>
              <w:ind w:left="63" w:right="63"/>
              <w:rPr>
                <w:rFonts w:ascii="宋体" w:hAnsi="宋体" w:eastAsia="宋体" w:cs="宋体"/>
                <w:color w:val="000000"/>
                <w:szCs w:val="21"/>
              </w:rPr>
            </w:pPr>
          </w:p>
        </w:tc>
        <w:tc>
          <w:tcPr>
            <w:tcW w:w="498" w:type="dxa"/>
            <w:vAlign w:val="center"/>
          </w:tcPr>
          <w:p w14:paraId="00BA2F0D">
            <w:pPr>
              <w:keepNext/>
              <w:spacing w:line="360" w:lineRule="auto"/>
              <w:ind w:left="63" w:right="63"/>
              <w:rPr>
                <w:rFonts w:ascii="宋体" w:hAnsi="宋体" w:eastAsia="宋体" w:cs="宋体"/>
                <w:color w:val="000000"/>
                <w:szCs w:val="21"/>
              </w:rPr>
            </w:pPr>
          </w:p>
        </w:tc>
        <w:tc>
          <w:tcPr>
            <w:tcW w:w="714" w:type="dxa"/>
            <w:vAlign w:val="center"/>
          </w:tcPr>
          <w:p w14:paraId="6E922786">
            <w:pPr>
              <w:keepNext/>
              <w:spacing w:line="360" w:lineRule="auto"/>
              <w:ind w:left="63" w:right="63"/>
              <w:rPr>
                <w:rFonts w:ascii="宋体" w:hAnsi="宋体" w:eastAsia="宋体" w:cs="宋体"/>
                <w:color w:val="000000"/>
                <w:szCs w:val="21"/>
              </w:rPr>
            </w:pPr>
          </w:p>
        </w:tc>
        <w:tc>
          <w:tcPr>
            <w:tcW w:w="928" w:type="dxa"/>
            <w:vAlign w:val="center"/>
          </w:tcPr>
          <w:p w14:paraId="6B008F55">
            <w:pPr>
              <w:keepNext/>
              <w:spacing w:line="360" w:lineRule="auto"/>
              <w:ind w:left="63" w:right="63"/>
              <w:rPr>
                <w:rFonts w:ascii="宋体" w:hAnsi="宋体" w:eastAsia="宋体" w:cs="宋体"/>
                <w:color w:val="000000"/>
                <w:szCs w:val="21"/>
              </w:rPr>
            </w:pPr>
          </w:p>
        </w:tc>
        <w:tc>
          <w:tcPr>
            <w:tcW w:w="1241" w:type="dxa"/>
            <w:vAlign w:val="center"/>
          </w:tcPr>
          <w:p w14:paraId="26FC1776">
            <w:pPr>
              <w:keepNext/>
              <w:spacing w:line="360" w:lineRule="auto"/>
              <w:ind w:left="63" w:right="63"/>
              <w:rPr>
                <w:rFonts w:ascii="宋体" w:hAnsi="宋体" w:eastAsia="宋体" w:cs="宋体"/>
                <w:color w:val="000000"/>
                <w:szCs w:val="21"/>
              </w:rPr>
            </w:pPr>
          </w:p>
        </w:tc>
        <w:tc>
          <w:tcPr>
            <w:tcW w:w="714" w:type="dxa"/>
            <w:vAlign w:val="center"/>
          </w:tcPr>
          <w:p w14:paraId="233A00E6">
            <w:pPr>
              <w:keepNext/>
              <w:spacing w:line="360" w:lineRule="auto"/>
              <w:ind w:left="63" w:right="63"/>
              <w:rPr>
                <w:rFonts w:ascii="宋体" w:hAnsi="宋体" w:eastAsia="宋体" w:cs="宋体"/>
                <w:color w:val="000000"/>
                <w:szCs w:val="21"/>
              </w:rPr>
            </w:pPr>
          </w:p>
        </w:tc>
        <w:tc>
          <w:tcPr>
            <w:tcW w:w="714" w:type="dxa"/>
            <w:vAlign w:val="center"/>
          </w:tcPr>
          <w:p w14:paraId="08BF19F2">
            <w:pPr>
              <w:keepNext/>
              <w:spacing w:line="360" w:lineRule="auto"/>
              <w:ind w:left="63" w:right="63"/>
              <w:rPr>
                <w:rFonts w:ascii="宋体" w:hAnsi="宋体" w:eastAsia="宋体" w:cs="宋体"/>
                <w:color w:val="000000"/>
                <w:szCs w:val="21"/>
              </w:rPr>
            </w:pPr>
          </w:p>
        </w:tc>
      </w:tr>
      <w:tr w14:paraId="3083634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50699A7E">
            <w:pPr>
              <w:keepNext/>
              <w:spacing w:line="360" w:lineRule="auto"/>
              <w:ind w:left="63" w:right="63"/>
              <w:rPr>
                <w:rFonts w:ascii="宋体" w:hAnsi="宋体" w:eastAsia="宋体" w:cs="宋体"/>
                <w:color w:val="000000"/>
                <w:szCs w:val="21"/>
              </w:rPr>
            </w:pPr>
          </w:p>
        </w:tc>
        <w:tc>
          <w:tcPr>
            <w:tcW w:w="715" w:type="dxa"/>
            <w:vAlign w:val="center"/>
          </w:tcPr>
          <w:p w14:paraId="07F81D89">
            <w:pPr>
              <w:keepNext/>
              <w:spacing w:line="360" w:lineRule="auto"/>
              <w:ind w:left="63" w:right="63"/>
              <w:rPr>
                <w:rFonts w:ascii="宋体" w:hAnsi="宋体" w:eastAsia="宋体" w:cs="宋体"/>
                <w:color w:val="000000"/>
                <w:szCs w:val="21"/>
              </w:rPr>
            </w:pPr>
          </w:p>
        </w:tc>
        <w:tc>
          <w:tcPr>
            <w:tcW w:w="1195" w:type="dxa"/>
            <w:vAlign w:val="center"/>
          </w:tcPr>
          <w:p w14:paraId="237443BF">
            <w:pPr>
              <w:keepNext/>
              <w:spacing w:line="360" w:lineRule="auto"/>
              <w:ind w:left="63" w:right="63"/>
              <w:rPr>
                <w:rFonts w:ascii="宋体" w:hAnsi="宋体" w:eastAsia="宋体" w:cs="宋体"/>
                <w:color w:val="000000"/>
                <w:szCs w:val="21"/>
              </w:rPr>
            </w:pPr>
          </w:p>
        </w:tc>
        <w:tc>
          <w:tcPr>
            <w:tcW w:w="715" w:type="dxa"/>
            <w:vAlign w:val="center"/>
          </w:tcPr>
          <w:p w14:paraId="43413ADF">
            <w:pPr>
              <w:keepNext/>
              <w:spacing w:line="360" w:lineRule="auto"/>
              <w:ind w:left="63" w:right="63"/>
              <w:rPr>
                <w:rFonts w:ascii="宋体" w:hAnsi="宋体" w:eastAsia="宋体" w:cs="宋体"/>
                <w:color w:val="000000"/>
                <w:szCs w:val="21"/>
              </w:rPr>
            </w:pPr>
          </w:p>
        </w:tc>
        <w:tc>
          <w:tcPr>
            <w:tcW w:w="498" w:type="dxa"/>
            <w:vAlign w:val="center"/>
          </w:tcPr>
          <w:p w14:paraId="1B020420">
            <w:pPr>
              <w:keepNext/>
              <w:spacing w:line="360" w:lineRule="auto"/>
              <w:ind w:left="63" w:right="63"/>
              <w:rPr>
                <w:rFonts w:ascii="宋体" w:hAnsi="宋体" w:eastAsia="宋体" w:cs="宋体"/>
                <w:color w:val="000000"/>
                <w:szCs w:val="21"/>
              </w:rPr>
            </w:pPr>
          </w:p>
        </w:tc>
        <w:tc>
          <w:tcPr>
            <w:tcW w:w="714" w:type="dxa"/>
            <w:vAlign w:val="center"/>
          </w:tcPr>
          <w:p w14:paraId="33E060E7">
            <w:pPr>
              <w:keepNext/>
              <w:spacing w:line="360" w:lineRule="auto"/>
              <w:ind w:left="63" w:right="63"/>
              <w:rPr>
                <w:rFonts w:ascii="宋体" w:hAnsi="宋体" w:eastAsia="宋体" w:cs="宋体"/>
                <w:color w:val="000000"/>
                <w:szCs w:val="21"/>
              </w:rPr>
            </w:pPr>
          </w:p>
        </w:tc>
        <w:tc>
          <w:tcPr>
            <w:tcW w:w="928" w:type="dxa"/>
            <w:vAlign w:val="center"/>
          </w:tcPr>
          <w:p w14:paraId="560ED9F5">
            <w:pPr>
              <w:keepNext/>
              <w:spacing w:line="360" w:lineRule="auto"/>
              <w:ind w:left="63" w:right="63"/>
              <w:rPr>
                <w:rFonts w:ascii="宋体" w:hAnsi="宋体" w:eastAsia="宋体" w:cs="宋体"/>
                <w:color w:val="000000"/>
                <w:szCs w:val="21"/>
              </w:rPr>
            </w:pPr>
          </w:p>
        </w:tc>
        <w:tc>
          <w:tcPr>
            <w:tcW w:w="1241" w:type="dxa"/>
            <w:vAlign w:val="center"/>
          </w:tcPr>
          <w:p w14:paraId="257BA7E3">
            <w:pPr>
              <w:keepNext/>
              <w:spacing w:line="360" w:lineRule="auto"/>
              <w:ind w:left="63" w:right="63"/>
              <w:rPr>
                <w:rFonts w:ascii="宋体" w:hAnsi="宋体" w:eastAsia="宋体" w:cs="宋体"/>
                <w:color w:val="000000"/>
                <w:szCs w:val="21"/>
              </w:rPr>
            </w:pPr>
          </w:p>
        </w:tc>
        <w:tc>
          <w:tcPr>
            <w:tcW w:w="714" w:type="dxa"/>
            <w:vAlign w:val="center"/>
          </w:tcPr>
          <w:p w14:paraId="2F2B13A7">
            <w:pPr>
              <w:keepNext/>
              <w:spacing w:line="360" w:lineRule="auto"/>
              <w:ind w:left="63" w:right="63"/>
              <w:rPr>
                <w:rFonts w:ascii="宋体" w:hAnsi="宋体" w:eastAsia="宋体" w:cs="宋体"/>
                <w:color w:val="000000"/>
                <w:szCs w:val="21"/>
              </w:rPr>
            </w:pPr>
          </w:p>
        </w:tc>
        <w:tc>
          <w:tcPr>
            <w:tcW w:w="714" w:type="dxa"/>
            <w:vAlign w:val="center"/>
          </w:tcPr>
          <w:p w14:paraId="65BC72F5">
            <w:pPr>
              <w:keepNext/>
              <w:spacing w:line="360" w:lineRule="auto"/>
              <w:ind w:left="63" w:right="63"/>
              <w:rPr>
                <w:rFonts w:ascii="宋体" w:hAnsi="宋体" w:eastAsia="宋体" w:cs="宋体"/>
                <w:color w:val="000000"/>
                <w:szCs w:val="21"/>
              </w:rPr>
            </w:pPr>
          </w:p>
        </w:tc>
      </w:tr>
      <w:tr w14:paraId="3198A4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526FAFB6">
            <w:pPr>
              <w:keepNext/>
              <w:spacing w:line="360" w:lineRule="auto"/>
              <w:ind w:left="63" w:right="63"/>
              <w:rPr>
                <w:rFonts w:ascii="宋体" w:hAnsi="宋体" w:eastAsia="宋体" w:cs="宋体"/>
                <w:color w:val="000000"/>
                <w:szCs w:val="21"/>
              </w:rPr>
            </w:pPr>
          </w:p>
        </w:tc>
        <w:tc>
          <w:tcPr>
            <w:tcW w:w="715" w:type="dxa"/>
            <w:vAlign w:val="center"/>
          </w:tcPr>
          <w:p w14:paraId="6045420F">
            <w:pPr>
              <w:keepNext/>
              <w:spacing w:line="360" w:lineRule="auto"/>
              <w:ind w:left="63" w:right="63"/>
              <w:rPr>
                <w:rFonts w:ascii="宋体" w:hAnsi="宋体" w:eastAsia="宋体" w:cs="宋体"/>
                <w:color w:val="000000"/>
                <w:szCs w:val="21"/>
              </w:rPr>
            </w:pPr>
          </w:p>
        </w:tc>
        <w:tc>
          <w:tcPr>
            <w:tcW w:w="1195" w:type="dxa"/>
            <w:vAlign w:val="center"/>
          </w:tcPr>
          <w:p w14:paraId="3E551781">
            <w:pPr>
              <w:keepNext/>
              <w:spacing w:line="360" w:lineRule="auto"/>
              <w:ind w:left="63" w:right="63"/>
              <w:rPr>
                <w:rFonts w:ascii="宋体" w:hAnsi="宋体" w:eastAsia="宋体" w:cs="宋体"/>
                <w:color w:val="000000"/>
                <w:szCs w:val="21"/>
              </w:rPr>
            </w:pPr>
          </w:p>
        </w:tc>
        <w:tc>
          <w:tcPr>
            <w:tcW w:w="715" w:type="dxa"/>
            <w:vAlign w:val="center"/>
          </w:tcPr>
          <w:p w14:paraId="6718F3BA">
            <w:pPr>
              <w:keepNext/>
              <w:spacing w:line="360" w:lineRule="auto"/>
              <w:ind w:left="63" w:right="63"/>
              <w:rPr>
                <w:rFonts w:ascii="宋体" w:hAnsi="宋体" w:eastAsia="宋体" w:cs="宋体"/>
                <w:color w:val="000000"/>
                <w:szCs w:val="21"/>
              </w:rPr>
            </w:pPr>
          </w:p>
        </w:tc>
        <w:tc>
          <w:tcPr>
            <w:tcW w:w="498" w:type="dxa"/>
            <w:vAlign w:val="center"/>
          </w:tcPr>
          <w:p w14:paraId="1EE2D0EB">
            <w:pPr>
              <w:keepNext/>
              <w:spacing w:line="360" w:lineRule="auto"/>
              <w:ind w:left="63" w:right="63"/>
              <w:rPr>
                <w:rFonts w:ascii="宋体" w:hAnsi="宋体" w:eastAsia="宋体" w:cs="宋体"/>
                <w:color w:val="000000"/>
                <w:szCs w:val="21"/>
              </w:rPr>
            </w:pPr>
          </w:p>
        </w:tc>
        <w:tc>
          <w:tcPr>
            <w:tcW w:w="714" w:type="dxa"/>
            <w:vAlign w:val="center"/>
          </w:tcPr>
          <w:p w14:paraId="4159EFBD">
            <w:pPr>
              <w:keepNext/>
              <w:spacing w:line="360" w:lineRule="auto"/>
              <w:ind w:left="63" w:right="63"/>
              <w:rPr>
                <w:rFonts w:ascii="宋体" w:hAnsi="宋体" w:eastAsia="宋体" w:cs="宋体"/>
                <w:color w:val="000000"/>
                <w:szCs w:val="21"/>
              </w:rPr>
            </w:pPr>
          </w:p>
        </w:tc>
        <w:tc>
          <w:tcPr>
            <w:tcW w:w="928" w:type="dxa"/>
            <w:vAlign w:val="center"/>
          </w:tcPr>
          <w:p w14:paraId="642D989C">
            <w:pPr>
              <w:keepNext/>
              <w:spacing w:line="360" w:lineRule="auto"/>
              <w:ind w:left="63" w:right="63"/>
              <w:rPr>
                <w:rFonts w:ascii="宋体" w:hAnsi="宋体" w:eastAsia="宋体" w:cs="宋体"/>
                <w:color w:val="000000"/>
                <w:szCs w:val="21"/>
              </w:rPr>
            </w:pPr>
          </w:p>
        </w:tc>
        <w:tc>
          <w:tcPr>
            <w:tcW w:w="1241" w:type="dxa"/>
            <w:vAlign w:val="center"/>
          </w:tcPr>
          <w:p w14:paraId="15BDFF94">
            <w:pPr>
              <w:keepNext/>
              <w:spacing w:line="360" w:lineRule="auto"/>
              <w:ind w:left="63" w:right="63"/>
              <w:rPr>
                <w:rFonts w:ascii="宋体" w:hAnsi="宋体" w:eastAsia="宋体" w:cs="宋体"/>
                <w:color w:val="000000"/>
                <w:szCs w:val="21"/>
              </w:rPr>
            </w:pPr>
          </w:p>
        </w:tc>
        <w:tc>
          <w:tcPr>
            <w:tcW w:w="714" w:type="dxa"/>
            <w:vAlign w:val="center"/>
          </w:tcPr>
          <w:p w14:paraId="776602BE">
            <w:pPr>
              <w:keepNext/>
              <w:spacing w:line="360" w:lineRule="auto"/>
              <w:ind w:left="63" w:right="63"/>
              <w:rPr>
                <w:rFonts w:ascii="宋体" w:hAnsi="宋体" w:eastAsia="宋体" w:cs="宋体"/>
                <w:color w:val="000000"/>
                <w:szCs w:val="21"/>
              </w:rPr>
            </w:pPr>
          </w:p>
        </w:tc>
        <w:tc>
          <w:tcPr>
            <w:tcW w:w="714" w:type="dxa"/>
            <w:vAlign w:val="center"/>
          </w:tcPr>
          <w:p w14:paraId="73B18450">
            <w:pPr>
              <w:keepNext/>
              <w:spacing w:line="360" w:lineRule="auto"/>
              <w:ind w:left="63" w:right="63"/>
              <w:rPr>
                <w:rFonts w:ascii="宋体" w:hAnsi="宋体" w:eastAsia="宋体" w:cs="宋体"/>
                <w:color w:val="000000"/>
                <w:szCs w:val="21"/>
              </w:rPr>
            </w:pPr>
          </w:p>
        </w:tc>
      </w:tr>
      <w:tr w14:paraId="7EBDBC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650CD913">
            <w:pPr>
              <w:keepNext/>
              <w:spacing w:line="360" w:lineRule="auto"/>
              <w:ind w:left="63" w:right="63"/>
              <w:rPr>
                <w:rFonts w:ascii="宋体" w:hAnsi="宋体" w:eastAsia="宋体" w:cs="宋体"/>
                <w:color w:val="000000"/>
                <w:szCs w:val="21"/>
              </w:rPr>
            </w:pPr>
          </w:p>
        </w:tc>
        <w:tc>
          <w:tcPr>
            <w:tcW w:w="715" w:type="dxa"/>
            <w:vAlign w:val="center"/>
          </w:tcPr>
          <w:p w14:paraId="1C923179">
            <w:pPr>
              <w:keepNext/>
              <w:spacing w:line="360" w:lineRule="auto"/>
              <w:ind w:left="63" w:right="63"/>
              <w:rPr>
                <w:rFonts w:ascii="宋体" w:hAnsi="宋体" w:eastAsia="宋体" w:cs="宋体"/>
                <w:color w:val="000000"/>
                <w:szCs w:val="21"/>
              </w:rPr>
            </w:pPr>
          </w:p>
        </w:tc>
        <w:tc>
          <w:tcPr>
            <w:tcW w:w="1195" w:type="dxa"/>
            <w:vAlign w:val="center"/>
          </w:tcPr>
          <w:p w14:paraId="3D7CBF4B">
            <w:pPr>
              <w:keepNext/>
              <w:spacing w:line="360" w:lineRule="auto"/>
              <w:ind w:left="63" w:right="63"/>
              <w:rPr>
                <w:rFonts w:ascii="宋体" w:hAnsi="宋体" w:eastAsia="宋体" w:cs="宋体"/>
                <w:color w:val="000000"/>
                <w:szCs w:val="21"/>
              </w:rPr>
            </w:pPr>
          </w:p>
        </w:tc>
        <w:tc>
          <w:tcPr>
            <w:tcW w:w="715" w:type="dxa"/>
            <w:vAlign w:val="center"/>
          </w:tcPr>
          <w:p w14:paraId="15BC8E18">
            <w:pPr>
              <w:keepNext/>
              <w:spacing w:line="360" w:lineRule="auto"/>
              <w:ind w:left="63" w:right="63"/>
              <w:rPr>
                <w:rFonts w:ascii="宋体" w:hAnsi="宋体" w:eastAsia="宋体" w:cs="宋体"/>
                <w:color w:val="000000"/>
                <w:szCs w:val="21"/>
              </w:rPr>
            </w:pPr>
          </w:p>
        </w:tc>
        <w:tc>
          <w:tcPr>
            <w:tcW w:w="498" w:type="dxa"/>
            <w:vAlign w:val="center"/>
          </w:tcPr>
          <w:p w14:paraId="70ACF0F9">
            <w:pPr>
              <w:keepNext/>
              <w:spacing w:line="360" w:lineRule="auto"/>
              <w:ind w:left="63" w:right="63"/>
              <w:rPr>
                <w:rFonts w:ascii="宋体" w:hAnsi="宋体" w:eastAsia="宋体" w:cs="宋体"/>
                <w:color w:val="000000"/>
                <w:szCs w:val="21"/>
              </w:rPr>
            </w:pPr>
          </w:p>
        </w:tc>
        <w:tc>
          <w:tcPr>
            <w:tcW w:w="714" w:type="dxa"/>
            <w:vAlign w:val="center"/>
          </w:tcPr>
          <w:p w14:paraId="2936C36D">
            <w:pPr>
              <w:keepNext/>
              <w:spacing w:line="360" w:lineRule="auto"/>
              <w:ind w:left="63" w:right="63"/>
              <w:rPr>
                <w:rFonts w:ascii="宋体" w:hAnsi="宋体" w:eastAsia="宋体" w:cs="宋体"/>
                <w:color w:val="000000"/>
                <w:szCs w:val="21"/>
              </w:rPr>
            </w:pPr>
          </w:p>
        </w:tc>
        <w:tc>
          <w:tcPr>
            <w:tcW w:w="928" w:type="dxa"/>
            <w:vAlign w:val="center"/>
          </w:tcPr>
          <w:p w14:paraId="5DD1C5B6">
            <w:pPr>
              <w:keepNext/>
              <w:spacing w:line="360" w:lineRule="auto"/>
              <w:ind w:left="63" w:right="63"/>
              <w:rPr>
                <w:rFonts w:ascii="宋体" w:hAnsi="宋体" w:eastAsia="宋体" w:cs="宋体"/>
                <w:color w:val="000000"/>
                <w:szCs w:val="21"/>
              </w:rPr>
            </w:pPr>
          </w:p>
        </w:tc>
        <w:tc>
          <w:tcPr>
            <w:tcW w:w="1241" w:type="dxa"/>
            <w:vAlign w:val="center"/>
          </w:tcPr>
          <w:p w14:paraId="7F7CAA75">
            <w:pPr>
              <w:keepNext/>
              <w:spacing w:line="360" w:lineRule="auto"/>
              <w:ind w:left="63" w:right="63"/>
              <w:rPr>
                <w:rFonts w:ascii="宋体" w:hAnsi="宋体" w:eastAsia="宋体" w:cs="宋体"/>
                <w:color w:val="000000"/>
                <w:szCs w:val="21"/>
              </w:rPr>
            </w:pPr>
          </w:p>
        </w:tc>
        <w:tc>
          <w:tcPr>
            <w:tcW w:w="714" w:type="dxa"/>
            <w:vAlign w:val="center"/>
          </w:tcPr>
          <w:p w14:paraId="03FECC32">
            <w:pPr>
              <w:keepNext/>
              <w:spacing w:line="360" w:lineRule="auto"/>
              <w:ind w:left="63" w:right="63"/>
              <w:rPr>
                <w:rFonts w:ascii="宋体" w:hAnsi="宋体" w:eastAsia="宋体" w:cs="宋体"/>
                <w:color w:val="000000"/>
                <w:szCs w:val="21"/>
              </w:rPr>
            </w:pPr>
          </w:p>
        </w:tc>
        <w:tc>
          <w:tcPr>
            <w:tcW w:w="714" w:type="dxa"/>
            <w:vAlign w:val="center"/>
          </w:tcPr>
          <w:p w14:paraId="68FF9E9D">
            <w:pPr>
              <w:keepNext/>
              <w:spacing w:line="360" w:lineRule="auto"/>
              <w:ind w:left="63" w:right="63"/>
              <w:rPr>
                <w:rFonts w:ascii="宋体" w:hAnsi="宋体" w:eastAsia="宋体" w:cs="宋体"/>
                <w:color w:val="000000"/>
                <w:szCs w:val="21"/>
              </w:rPr>
            </w:pPr>
          </w:p>
        </w:tc>
      </w:tr>
      <w:tr w14:paraId="6BF19B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102C3FEA">
            <w:pPr>
              <w:keepNext/>
              <w:spacing w:line="360" w:lineRule="auto"/>
              <w:ind w:left="63" w:right="63"/>
              <w:rPr>
                <w:rFonts w:ascii="宋体" w:hAnsi="宋体" w:eastAsia="宋体" w:cs="宋体"/>
                <w:color w:val="000000"/>
                <w:szCs w:val="21"/>
              </w:rPr>
            </w:pPr>
          </w:p>
        </w:tc>
        <w:tc>
          <w:tcPr>
            <w:tcW w:w="715" w:type="dxa"/>
            <w:vAlign w:val="center"/>
          </w:tcPr>
          <w:p w14:paraId="62A85DEF">
            <w:pPr>
              <w:keepNext/>
              <w:spacing w:line="360" w:lineRule="auto"/>
              <w:ind w:left="63" w:right="63"/>
              <w:rPr>
                <w:rFonts w:ascii="宋体" w:hAnsi="宋体" w:eastAsia="宋体" w:cs="宋体"/>
                <w:color w:val="000000"/>
                <w:szCs w:val="21"/>
              </w:rPr>
            </w:pPr>
          </w:p>
        </w:tc>
        <w:tc>
          <w:tcPr>
            <w:tcW w:w="1195" w:type="dxa"/>
            <w:vAlign w:val="center"/>
          </w:tcPr>
          <w:p w14:paraId="7CF10BF0">
            <w:pPr>
              <w:keepNext/>
              <w:spacing w:line="360" w:lineRule="auto"/>
              <w:ind w:left="63" w:right="63"/>
              <w:rPr>
                <w:rFonts w:ascii="宋体" w:hAnsi="宋体" w:eastAsia="宋体" w:cs="宋体"/>
                <w:color w:val="000000"/>
                <w:szCs w:val="21"/>
              </w:rPr>
            </w:pPr>
          </w:p>
        </w:tc>
        <w:tc>
          <w:tcPr>
            <w:tcW w:w="715" w:type="dxa"/>
            <w:vAlign w:val="center"/>
          </w:tcPr>
          <w:p w14:paraId="1B29DC2E">
            <w:pPr>
              <w:keepNext/>
              <w:spacing w:line="360" w:lineRule="auto"/>
              <w:ind w:left="63" w:right="63"/>
              <w:rPr>
                <w:rFonts w:ascii="宋体" w:hAnsi="宋体" w:eastAsia="宋体" w:cs="宋体"/>
                <w:color w:val="000000"/>
                <w:szCs w:val="21"/>
              </w:rPr>
            </w:pPr>
          </w:p>
        </w:tc>
        <w:tc>
          <w:tcPr>
            <w:tcW w:w="498" w:type="dxa"/>
            <w:vAlign w:val="center"/>
          </w:tcPr>
          <w:p w14:paraId="6EF1D125">
            <w:pPr>
              <w:keepNext/>
              <w:spacing w:line="360" w:lineRule="auto"/>
              <w:ind w:left="63" w:right="63"/>
              <w:rPr>
                <w:rFonts w:ascii="宋体" w:hAnsi="宋体" w:eastAsia="宋体" w:cs="宋体"/>
                <w:color w:val="000000"/>
                <w:szCs w:val="21"/>
              </w:rPr>
            </w:pPr>
          </w:p>
        </w:tc>
        <w:tc>
          <w:tcPr>
            <w:tcW w:w="714" w:type="dxa"/>
            <w:vAlign w:val="center"/>
          </w:tcPr>
          <w:p w14:paraId="3BE7253D">
            <w:pPr>
              <w:keepNext/>
              <w:spacing w:line="360" w:lineRule="auto"/>
              <w:ind w:left="63" w:right="63"/>
              <w:rPr>
                <w:rFonts w:ascii="宋体" w:hAnsi="宋体" w:eastAsia="宋体" w:cs="宋体"/>
                <w:color w:val="000000"/>
                <w:szCs w:val="21"/>
              </w:rPr>
            </w:pPr>
          </w:p>
        </w:tc>
        <w:tc>
          <w:tcPr>
            <w:tcW w:w="928" w:type="dxa"/>
            <w:vAlign w:val="center"/>
          </w:tcPr>
          <w:p w14:paraId="0AF4FFED">
            <w:pPr>
              <w:keepNext/>
              <w:spacing w:line="360" w:lineRule="auto"/>
              <w:ind w:left="63" w:right="63"/>
              <w:rPr>
                <w:rFonts w:ascii="宋体" w:hAnsi="宋体" w:eastAsia="宋体" w:cs="宋体"/>
                <w:color w:val="000000"/>
                <w:szCs w:val="21"/>
              </w:rPr>
            </w:pPr>
          </w:p>
        </w:tc>
        <w:tc>
          <w:tcPr>
            <w:tcW w:w="1241" w:type="dxa"/>
            <w:vAlign w:val="center"/>
          </w:tcPr>
          <w:p w14:paraId="0548AABB">
            <w:pPr>
              <w:keepNext/>
              <w:spacing w:line="360" w:lineRule="auto"/>
              <w:ind w:left="63" w:right="63"/>
              <w:rPr>
                <w:rFonts w:ascii="宋体" w:hAnsi="宋体" w:eastAsia="宋体" w:cs="宋体"/>
                <w:color w:val="000000"/>
                <w:szCs w:val="21"/>
              </w:rPr>
            </w:pPr>
          </w:p>
        </w:tc>
        <w:tc>
          <w:tcPr>
            <w:tcW w:w="714" w:type="dxa"/>
            <w:vAlign w:val="center"/>
          </w:tcPr>
          <w:p w14:paraId="18A92A01">
            <w:pPr>
              <w:keepNext/>
              <w:spacing w:line="360" w:lineRule="auto"/>
              <w:ind w:left="63" w:right="63"/>
              <w:rPr>
                <w:rFonts w:ascii="宋体" w:hAnsi="宋体" w:eastAsia="宋体" w:cs="宋体"/>
                <w:color w:val="000000"/>
                <w:szCs w:val="21"/>
              </w:rPr>
            </w:pPr>
          </w:p>
        </w:tc>
        <w:tc>
          <w:tcPr>
            <w:tcW w:w="714" w:type="dxa"/>
            <w:vAlign w:val="center"/>
          </w:tcPr>
          <w:p w14:paraId="26BD6A7B">
            <w:pPr>
              <w:keepNext/>
              <w:spacing w:line="360" w:lineRule="auto"/>
              <w:ind w:left="63" w:right="63"/>
              <w:rPr>
                <w:rFonts w:ascii="宋体" w:hAnsi="宋体" w:eastAsia="宋体" w:cs="宋体"/>
                <w:color w:val="000000"/>
                <w:szCs w:val="21"/>
              </w:rPr>
            </w:pPr>
          </w:p>
        </w:tc>
      </w:tr>
      <w:tr w14:paraId="144FBF7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929" w:type="dxa"/>
            <w:vAlign w:val="center"/>
          </w:tcPr>
          <w:p w14:paraId="06E018F7">
            <w:pPr>
              <w:keepNext/>
              <w:spacing w:line="360" w:lineRule="auto"/>
              <w:ind w:left="63" w:right="63"/>
              <w:rPr>
                <w:rFonts w:ascii="宋体" w:hAnsi="宋体" w:eastAsia="宋体" w:cs="宋体"/>
                <w:color w:val="000000"/>
                <w:szCs w:val="21"/>
              </w:rPr>
            </w:pPr>
          </w:p>
        </w:tc>
        <w:tc>
          <w:tcPr>
            <w:tcW w:w="715" w:type="dxa"/>
            <w:vAlign w:val="center"/>
          </w:tcPr>
          <w:p w14:paraId="7C93C678">
            <w:pPr>
              <w:keepNext/>
              <w:spacing w:line="360" w:lineRule="auto"/>
              <w:ind w:left="63" w:right="63"/>
              <w:rPr>
                <w:rFonts w:ascii="宋体" w:hAnsi="宋体" w:eastAsia="宋体" w:cs="宋体"/>
                <w:color w:val="000000"/>
                <w:szCs w:val="21"/>
              </w:rPr>
            </w:pPr>
          </w:p>
        </w:tc>
        <w:tc>
          <w:tcPr>
            <w:tcW w:w="1195" w:type="dxa"/>
            <w:vAlign w:val="center"/>
          </w:tcPr>
          <w:p w14:paraId="04434145">
            <w:pPr>
              <w:keepNext/>
              <w:spacing w:line="360" w:lineRule="auto"/>
              <w:ind w:left="63" w:right="63"/>
              <w:rPr>
                <w:rFonts w:ascii="宋体" w:hAnsi="宋体" w:eastAsia="宋体" w:cs="宋体"/>
                <w:color w:val="000000"/>
                <w:szCs w:val="21"/>
              </w:rPr>
            </w:pPr>
          </w:p>
        </w:tc>
        <w:tc>
          <w:tcPr>
            <w:tcW w:w="715" w:type="dxa"/>
            <w:vAlign w:val="center"/>
          </w:tcPr>
          <w:p w14:paraId="74E6B853">
            <w:pPr>
              <w:keepNext/>
              <w:spacing w:line="360" w:lineRule="auto"/>
              <w:ind w:left="63" w:right="63"/>
              <w:rPr>
                <w:rFonts w:ascii="宋体" w:hAnsi="宋体" w:eastAsia="宋体" w:cs="宋体"/>
                <w:color w:val="000000"/>
                <w:szCs w:val="21"/>
              </w:rPr>
            </w:pPr>
          </w:p>
        </w:tc>
        <w:tc>
          <w:tcPr>
            <w:tcW w:w="498" w:type="dxa"/>
            <w:vAlign w:val="center"/>
          </w:tcPr>
          <w:p w14:paraId="0547EF93">
            <w:pPr>
              <w:keepNext/>
              <w:spacing w:line="360" w:lineRule="auto"/>
              <w:ind w:left="63" w:right="63"/>
              <w:rPr>
                <w:rFonts w:ascii="宋体" w:hAnsi="宋体" w:eastAsia="宋体" w:cs="宋体"/>
                <w:color w:val="000000"/>
                <w:szCs w:val="21"/>
              </w:rPr>
            </w:pPr>
          </w:p>
        </w:tc>
        <w:tc>
          <w:tcPr>
            <w:tcW w:w="714" w:type="dxa"/>
            <w:vAlign w:val="center"/>
          </w:tcPr>
          <w:p w14:paraId="4FA9BB0D">
            <w:pPr>
              <w:keepNext/>
              <w:spacing w:line="360" w:lineRule="auto"/>
              <w:ind w:left="63" w:right="63"/>
              <w:rPr>
                <w:rFonts w:ascii="宋体" w:hAnsi="宋体" w:eastAsia="宋体" w:cs="宋体"/>
                <w:color w:val="000000"/>
                <w:szCs w:val="21"/>
              </w:rPr>
            </w:pPr>
          </w:p>
        </w:tc>
        <w:tc>
          <w:tcPr>
            <w:tcW w:w="928" w:type="dxa"/>
            <w:vAlign w:val="center"/>
          </w:tcPr>
          <w:p w14:paraId="45E52F38">
            <w:pPr>
              <w:keepNext/>
              <w:spacing w:line="360" w:lineRule="auto"/>
              <w:ind w:left="63" w:right="63"/>
              <w:rPr>
                <w:rFonts w:ascii="宋体" w:hAnsi="宋体" w:eastAsia="宋体" w:cs="宋体"/>
                <w:color w:val="000000"/>
                <w:szCs w:val="21"/>
              </w:rPr>
            </w:pPr>
          </w:p>
        </w:tc>
        <w:tc>
          <w:tcPr>
            <w:tcW w:w="1241" w:type="dxa"/>
            <w:vAlign w:val="center"/>
          </w:tcPr>
          <w:p w14:paraId="4D09B5B9">
            <w:pPr>
              <w:keepNext/>
              <w:spacing w:line="360" w:lineRule="auto"/>
              <w:ind w:left="63" w:right="63"/>
              <w:rPr>
                <w:rFonts w:ascii="宋体" w:hAnsi="宋体" w:eastAsia="宋体" w:cs="宋体"/>
                <w:color w:val="000000"/>
                <w:szCs w:val="21"/>
              </w:rPr>
            </w:pPr>
          </w:p>
        </w:tc>
        <w:tc>
          <w:tcPr>
            <w:tcW w:w="714" w:type="dxa"/>
            <w:vAlign w:val="center"/>
          </w:tcPr>
          <w:p w14:paraId="70C632E7">
            <w:pPr>
              <w:keepNext/>
              <w:spacing w:line="360" w:lineRule="auto"/>
              <w:ind w:left="63" w:right="63"/>
              <w:rPr>
                <w:rFonts w:ascii="宋体" w:hAnsi="宋体" w:eastAsia="宋体" w:cs="宋体"/>
                <w:color w:val="000000"/>
                <w:szCs w:val="21"/>
              </w:rPr>
            </w:pPr>
          </w:p>
        </w:tc>
        <w:tc>
          <w:tcPr>
            <w:tcW w:w="714" w:type="dxa"/>
            <w:vAlign w:val="center"/>
          </w:tcPr>
          <w:p w14:paraId="5AB6D0D1">
            <w:pPr>
              <w:keepNext/>
              <w:spacing w:line="360" w:lineRule="auto"/>
              <w:ind w:left="63" w:right="63"/>
              <w:rPr>
                <w:rFonts w:ascii="宋体" w:hAnsi="宋体" w:eastAsia="宋体" w:cs="宋体"/>
                <w:color w:val="000000"/>
                <w:szCs w:val="21"/>
              </w:rPr>
            </w:pPr>
          </w:p>
        </w:tc>
      </w:tr>
    </w:tbl>
    <w:p w14:paraId="541E3F53">
      <w:pPr>
        <w:spacing w:before="120" w:beforeLines="50" w:after="120" w:afterLines="50" w:line="360" w:lineRule="auto"/>
        <w:rPr>
          <w:rFonts w:ascii="宋体" w:hAnsi="宋体" w:eastAsia="宋体" w:cs="宋体"/>
          <w:color w:val="000000"/>
          <w:szCs w:val="21"/>
        </w:rPr>
      </w:pPr>
    </w:p>
    <w:p w14:paraId="4214BAF8">
      <w:pPr>
        <w:spacing w:before="120" w:beforeLines="50" w:after="120" w:afterLines="50"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50" w:name="_Toc296891265"/>
      <w:bookmarkStart w:id="1751" w:name="_Toc267261692"/>
      <w:bookmarkStart w:id="1752" w:name="_Toc296346726"/>
      <w:bookmarkStart w:id="1753" w:name="_Toc296503225"/>
      <w:bookmarkStart w:id="1754" w:name="_Toc296891053"/>
      <w:bookmarkStart w:id="1755" w:name="_Toc296944564"/>
      <w:bookmarkStart w:id="1756" w:name="_Toc296347224"/>
      <w:r>
        <w:rPr>
          <w:rFonts w:hint="eastAsia" w:ascii="宋体" w:hAnsi="宋体" w:eastAsia="宋体" w:cs="宋体"/>
          <w:color w:val="000000"/>
          <w:szCs w:val="21"/>
        </w:rPr>
        <w:t>件2：</w:t>
      </w:r>
    </w:p>
    <w:bookmarkEnd w:id="1750"/>
    <w:bookmarkEnd w:id="1751"/>
    <w:bookmarkEnd w:id="1752"/>
    <w:bookmarkEnd w:id="1753"/>
    <w:bookmarkEnd w:id="1754"/>
    <w:bookmarkEnd w:id="1755"/>
    <w:bookmarkEnd w:id="1756"/>
    <w:p w14:paraId="5829B057">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发包人供应材料设备一览表</w:t>
      </w:r>
    </w:p>
    <w:tbl>
      <w:tblPr>
        <w:tblStyle w:val="28"/>
        <w:tblW w:w="8363"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582"/>
        <w:gridCol w:w="970"/>
        <w:gridCol w:w="708"/>
        <w:gridCol w:w="993"/>
        <w:gridCol w:w="850"/>
        <w:gridCol w:w="992"/>
        <w:gridCol w:w="757"/>
        <w:gridCol w:w="803"/>
        <w:gridCol w:w="992"/>
        <w:gridCol w:w="716"/>
      </w:tblGrid>
      <w:tr w14:paraId="63C3772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582" w:type="dxa"/>
            <w:vAlign w:val="center"/>
          </w:tcPr>
          <w:p w14:paraId="4554D2FE">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序号</w:t>
            </w:r>
          </w:p>
        </w:tc>
        <w:tc>
          <w:tcPr>
            <w:tcW w:w="970" w:type="dxa"/>
            <w:vAlign w:val="center"/>
          </w:tcPr>
          <w:p w14:paraId="1F88B072">
            <w:pPr>
              <w:keepNext/>
              <w:spacing w:line="360" w:lineRule="auto"/>
              <w:ind w:right="63"/>
              <w:rPr>
                <w:rFonts w:ascii="宋体" w:hAnsi="宋体" w:eastAsia="宋体" w:cs="宋体"/>
                <w:color w:val="000000"/>
                <w:szCs w:val="21"/>
              </w:rPr>
            </w:pPr>
            <w:r>
              <w:rPr>
                <w:rFonts w:hint="eastAsia" w:ascii="宋体" w:hAnsi="宋体" w:eastAsia="宋体" w:cs="宋体"/>
                <w:color w:val="000000"/>
                <w:szCs w:val="21"/>
              </w:rPr>
              <w:t>材料、设备品种</w:t>
            </w:r>
          </w:p>
        </w:tc>
        <w:tc>
          <w:tcPr>
            <w:tcW w:w="708" w:type="dxa"/>
            <w:vAlign w:val="center"/>
          </w:tcPr>
          <w:p w14:paraId="00088448">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规格型号</w:t>
            </w:r>
          </w:p>
        </w:tc>
        <w:tc>
          <w:tcPr>
            <w:tcW w:w="993" w:type="dxa"/>
            <w:vAlign w:val="center"/>
          </w:tcPr>
          <w:p w14:paraId="56C4E0CD">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单位</w:t>
            </w:r>
          </w:p>
        </w:tc>
        <w:tc>
          <w:tcPr>
            <w:tcW w:w="850" w:type="dxa"/>
            <w:vAlign w:val="center"/>
          </w:tcPr>
          <w:p w14:paraId="371D3FA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数量</w:t>
            </w:r>
          </w:p>
        </w:tc>
        <w:tc>
          <w:tcPr>
            <w:tcW w:w="992" w:type="dxa"/>
            <w:vAlign w:val="center"/>
          </w:tcPr>
          <w:p w14:paraId="37A50648">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单价（元）</w:t>
            </w:r>
          </w:p>
        </w:tc>
        <w:tc>
          <w:tcPr>
            <w:tcW w:w="757" w:type="dxa"/>
            <w:vAlign w:val="center"/>
          </w:tcPr>
          <w:p w14:paraId="243F24A7">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质量等级</w:t>
            </w:r>
          </w:p>
        </w:tc>
        <w:tc>
          <w:tcPr>
            <w:tcW w:w="803" w:type="dxa"/>
            <w:vAlign w:val="center"/>
          </w:tcPr>
          <w:p w14:paraId="01B66408">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供应时间</w:t>
            </w:r>
          </w:p>
        </w:tc>
        <w:tc>
          <w:tcPr>
            <w:tcW w:w="992" w:type="dxa"/>
            <w:vAlign w:val="center"/>
          </w:tcPr>
          <w:p w14:paraId="226C434C">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送达地点</w:t>
            </w:r>
          </w:p>
        </w:tc>
        <w:tc>
          <w:tcPr>
            <w:tcW w:w="716" w:type="dxa"/>
            <w:vAlign w:val="center"/>
          </w:tcPr>
          <w:p w14:paraId="4BDD56DE">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备注</w:t>
            </w:r>
          </w:p>
        </w:tc>
      </w:tr>
      <w:tr w14:paraId="2CCB636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BB6E656">
            <w:pPr>
              <w:keepNext/>
              <w:spacing w:line="360" w:lineRule="auto"/>
              <w:ind w:left="63" w:right="63"/>
              <w:rPr>
                <w:rFonts w:ascii="宋体" w:hAnsi="宋体" w:eastAsia="宋体" w:cs="宋体"/>
                <w:color w:val="000000"/>
                <w:szCs w:val="21"/>
              </w:rPr>
            </w:pPr>
          </w:p>
        </w:tc>
        <w:tc>
          <w:tcPr>
            <w:tcW w:w="970" w:type="dxa"/>
            <w:vAlign w:val="center"/>
          </w:tcPr>
          <w:p w14:paraId="6BF0D5FA">
            <w:pPr>
              <w:keepNext/>
              <w:spacing w:line="360" w:lineRule="auto"/>
              <w:ind w:left="63" w:right="63"/>
              <w:rPr>
                <w:rFonts w:ascii="宋体" w:hAnsi="宋体" w:eastAsia="宋体" w:cs="宋体"/>
                <w:color w:val="000000"/>
                <w:szCs w:val="21"/>
              </w:rPr>
            </w:pPr>
          </w:p>
        </w:tc>
        <w:tc>
          <w:tcPr>
            <w:tcW w:w="708" w:type="dxa"/>
            <w:vAlign w:val="center"/>
          </w:tcPr>
          <w:p w14:paraId="5BB9E395">
            <w:pPr>
              <w:keepNext/>
              <w:spacing w:line="360" w:lineRule="auto"/>
              <w:ind w:left="63" w:right="63"/>
              <w:rPr>
                <w:rFonts w:ascii="宋体" w:hAnsi="宋体" w:eastAsia="宋体" w:cs="宋体"/>
                <w:color w:val="000000"/>
                <w:szCs w:val="21"/>
              </w:rPr>
            </w:pPr>
          </w:p>
        </w:tc>
        <w:tc>
          <w:tcPr>
            <w:tcW w:w="993" w:type="dxa"/>
            <w:vAlign w:val="center"/>
          </w:tcPr>
          <w:p w14:paraId="44078801">
            <w:pPr>
              <w:keepNext/>
              <w:spacing w:line="360" w:lineRule="auto"/>
              <w:ind w:left="63" w:right="63"/>
              <w:rPr>
                <w:rFonts w:ascii="宋体" w:hAnsi="宋体" w:eastAsia="宋体" w:cs="宋体"/>
                <w:color w:val="000000"/>
                <w:szCs w:val="21"/>
              </w:rPr>
            </w:pPr>
          </w:p>
        </w:tc>
        <w:tc>
          <w:tcPr>
            <w:tcW w:w="850" w:type="dxa"/>
            <w:vAlign w:val="center"/>
          </w:tcPr>
          <w:p w14:paraId="0B9B04E5">
            <w:pPr>
              <w:keepNext/>
              <w:spacing w:line="360" w:lineRule="auto"/>
              <w:ind w:left="63" w:right="63"/>
              <w:rPr>
                <w:rFonts w:ascii="宋体" w:hAnsi="宋体" w:eastAsia="宋体" w:cs="宋体"/>
                <w:color w:val="000000"/>
                <w:szCs w:val="21"/>
              </w:rPr>
            </w:pPr>
          </w:p>
        </w:tc>
        <w:tc>
          <w:tcPr>
            <w:tcW w:w="992" w:type="dxa"/>
            <w:vAlign w:val="center"/>
          </w:tcPr>
          <w:p w14:paraId="77AEE130">
            <w:pPr>
              <w:keepNext/>
              <w:spacing w:line="360" w:lineRule="auto"/>
              <w:ind w:left="63" w:right="63"/>
              <w:rPr>
                <w:rFonts w:ascii="宋体" w:hAnsi="宋体" w:eastAsia="宋体" w:cs="宋体"/>
                <w:color w:val="000000"/>
                <w:szCs w:val="21"/>
              </w:rPr>
            </w:pPr>
          </w:p>
        </w:tc>
        <w:tc>
          <w:tcPr>
            <w:tcW w:w="757" w:type="dxa"/>
            <w:vAlign w:val="center"/>
          </w:tcPr>
          <w:p w14:paraId="2A0CB9AD">
            <w:pPr>
              <w:keepNext/>
              <w:spacing w:line="360" w:lineRule="auto"/>
              <w:ind w:left="63" w:right="63"/>
              <w:rPr>
                <w:rFonts w:ascii="宋体" w:hAnsi="宋体" w:eastAsia="宋体" w:cs="宋体"/>
                <w:color w:val="000000"/>
                <w:szCs w:val="21"/>
              </w:rPr>
            </w:pPr>
          </w:p>
        </w:tc>
        <w:tc>
          <w:tcPr>
            <w:tcW w:w="803" w:type="dxa"/>
            <w:vAlign w:val="center"/>
          </w:tcPr>
          <w:p w14:paraId="4026403E">
            <w:pPr>
              <w:keepNext/>
              <w:spacing w:line="360" w:lineRule="auto"/>
              <w:ind w:left="63" w:right="63"/>
              <w:rPr>
                <w:rFonts w:ascii="宋体" w:hAnsi="宋体" w:eastAsia="宋体" w:cs="宋体"/>
                <w:color w:val="000000"/>
                <w:szCs w:val="21"/>
              </w:rPr>
            </w:pPr>
          </w:p>
        </w:tc>
        <w:tc>
          <w:tcPr>
            <w:tcW w:w="992" w:type="dxa"/>
            <w:vAlign w:val="center"/>
          </w:tcPr>
          <w:p w14:paraId="28AC545B">
            <w:pPr>
              <w:keepNext/>
              <w:spacing w:line="360" w:lineRule="auto"/>
              <w:ind w:left="63" w:right="63"/>
              <w:rPr>
                <w:rFonts w:ascii="宋体" w:hAnsi="宋体" w:eastAsia="宋体" w:cs="宋体"/>
                <w:color w:val="000000"/>
                <w:szCs w:val="21"/>
              </w:rPr>
            </w:pPr>
          </w:p>
        </w:tc>
        <w:tc>
          <w:tcPr>
            <w:tcW w:w="716" w:type="dxa"/>
            <w:vAlign w:val="center"/>
          </w:tcPr>
          <w:p w14:paraId="51B93E24">
            <w:pPr>
              <w:keepNext/>
              <w:spacing w:line="360" w:lineRule="auto"/>
              <w:ind w:left="63" w:right="63"/>
              <w:rPr>
                <w:rFonts w:ascii="宋体" w:hAnsi="宋体" w:eastAsia="宋体" w:cs="宋体"/>
                <w:color w:val="000000"/>
                <w:szCs w:val="21"/>
              </w:rPr>
            </w:pPr>
          </w:p>
        </w:tc>
      </w:tr>
      <w:tr w14:paraId="3DC6F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6AF88D98">
            <w:pPr>
              <w:keepNext/>
              <w:spacing w:line="360" w:lineRule="auto"/>
              <w:ind w:left="63" w:right="63"/>
              <w:rPr>
                <w:rFonts w:ascii="宋体" w:hAnsi="宋体" w:eastAsia="宋体" w:cs="宋体"/>
                <w:color w:val="000000"/>
                <w:szCs w:val="21"/>
              </w:rPr>
            </w:pPr>
          </w:p>
        </w:tc>
        <w:tc>
          <w:tcPr>
            <w:tcW w:w="970" w:type="dxa"/>
            <w:vAlign w:val="center"/>
          </w:tcPr>
          <w:p w14:paraId="425A09D3">
            <w:pPr>
              <w:keepNext/>
              <w:spacing w:line="360" w:lineRule="auto"/>
              <w:ind w:left="63" w:right="63"/>
              <w:rPr>
                <w:rFonts w:ascii="宋体" w:hAnsi="宋体" w:eastAsia="宋体" w:cs="宋体"/>
                <w:color w:val="000000"/>
                <w:szCs w:val="21"/>
              </w:rPr>
            </w:pPr>
          </w:p>
        </w:tc>
        <w:tc>
          <w:tcPr>
            <w:tcW w:w="708" w:type="dxa"/>
            <w:vAlign w:val="center"/>
          </w:tcPr>
          <w:p w14:paraId="08C172AD">
            <w:pPr>
              <w:keepNext/>
              <w:spacing w:line="360" w:lineRule="auto"/>
              <w:ind w:left="63" w:right="63"/>
              <w:rPr>
                <w:rFonts w:ascii="宋体" w:hAnsi="宋体" w:eastAsia="宋体" w:cs="宋体"/>
                <w:color w:val="000000"/>
                <w:szCs w:val="21"/>
              </w:rPr>
            </w:pPr>
          </w:p>
        </w:tc>
        <w:tc>
          <w:tcPr>
            <w:tcW w:w="993" w:type="dxa"/>
            <w:vAlign w:val="center"/>
          </w:tcPr>
          <w:p w14:paraId="1BE343B9">
            <w:pPr>
              <w:keepNext/>
              <w:spacing w:line="360" w:lineRule="auto"/>
              <w:ind w:left="63" w:right="63"/>
              <w:rPr>
                <w:rFonts w:ascii="宋体" w:hAnsi="宋体" w:eastAsia="宋体" w:cs="宋体"/>
                <w:color w:val="000000"/>
                <w:szCs w:val="21"/>
              </w:rPr>
            </w:pPr>
          </w:p>
        </w:tc>
        <w:tc>
          <w:tcPr>
            <w:tcW w:w="850" w:type="dxa"/>
            <w:vAlign w:val="center"/>
          </w:tcPr>
          <w:p w14:paraId="337238FF">
            <w:pPr>
              <w:keepNext/>
              <w:spacing w:line="360" w:lineRule="auto"/>
              <w:ind w:left="63" w:right="63"/>
              <w:rPr>
                <w:rFonts w:ascii="宋体" w:hAnsi="宋体" w:eastAsia="宋体" w:cs="宋体"/>
                <w:color w:val="000000"/>
                <w:szCs w:val="21"/>
              </w:rPr>
            </w:pPr>
          </w:p>
        </w:tc>
        <w:tc>
          <w:tcPr>
            <w:tcW w:w="992" w:type="dxa"/>
            <w:vAlign w:val="center"/>
          </w:tcPr>
          <w:p w14:paraId="1EDA8EB3">
            <w:pPr>
              <w:keepNext/>
              <w:spacing w:line="360" w:lineRule="auto"/>
              <w:ind w:left="63" w:right="63"/>
              <w:rPr>
                <w:rFonts w:ascii="宋体" w:hAnsi="宋体" w:eastAsia="宋体" w:cs="宋体"/>
                <w:color w:val="000000"/>
                <w:szCs w:val="21"/>
              </w:rPr>
            </w:pPr>
          </w:p>
        </w:tc>
        <w:tc>
          <w:tcPr>
            <w:tcW w:w="757" w:type="dxa"/>
            <w:vAlign w:val="center"/>
          </w:tcPr>
          <w:p w14:paraId="74FB7EB0">
            <w:pPr>
              <w:keepNext/>
              <w:spacing w:line="360" w:lineRule="auto"/>
              <w:ind w:left="63" w:right="63"/>
              <w:rPr>
                <w:rFonts w:ascii="宋体" w:hAnsi="宋体" w:eastAsia="宋体" w:cs="宋体"/>
                <w:color w:val="000000"/>
                <w:szCs w:val="21"/>
              </w:rPr>
            </w:pPr>
          </w:p>
        </w:tc>
        <w:tc>
          <w:tcPr>
            <w:tcW w:w="803" w:type="dxa"/>
            <w:vAlign w:val="center"/>
          </w:tcPr>
          <w:p w14:paraId="48C80478">
            <w:pPr>
              <w:keepNext/>
              <w:spacing w:line="360" w:lineRule="auto"/>
              <w:ind w:left="63" w:right="63"/>
              <w:rPr>
                <w:rFonts w:ascii="宋体" w:hAnsi="宋体" w:eastAsia="宋体" w:cs="宋体"/>
                <w:color w:val="000000"/>
                <w:szCs w:val="21"/>
              </w:rPr>
            </w:pPr>
          </w:p>
        </w:tc>
        <w:tc>
          <w:tcPr>
            <w:tcW w:w="992" w:type="dxa"/>
            <w:vAlign w:val="center"/>
          </w:tcPr>
          <w:p w14:paraId="32E0432A">
            <w:pPr>
              <w:keepNext/>
              <w:spacing w:line="360" w:lineRule="auto"/>
              <w:ind w:left="63" w:right="63"/>
              <w:rPr>
                <w:rFonts w:ascii="宋体" w:hAnsi="宋体" w:eastAsia="宋体" w:cs="宋体"/>
                <w:color w:val="000000"/>
                <w:szCs w:val="21"/>
              </w:rPr>
            </w:pPr>
          </w:p>
        </w:tc>
        <w:tc>
          <w:tcPr>
            <w:tcW w:w="716" w:type="dxa"/>
            <w:vAlign w:val="center"/>
          </w:tcPr>
          <w:p w14:paraId="213D584B">
            <w:pPr>
              <w:keepNext/>
              <w:spacing w:line="360" w:lineRule="auto"/>
              <w:ind w:left="63" w:right="63"/>
              <w:rPr>
                <w:rFonts w:ascii="宋体" w:hAnsi="宋体" w:eastAsia="宋体" w:cs="宋体"/>
                <w:color w:val="000000"/>
                <w:szCs w:val="21"/>
              </w:rPr>
            </w:pPr>
          </w:p>
        </w:tc>
      </w:tr>
      <w:tr w14:paraId="3D62081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285232F">
            <w:pPr>
              <w:keepNext/>
              <w:spacing w:line="360" w:lineRule="auto"/>
              <w:ind w:left="63" w:right="63"/>
              <w:rPr>
                <w:rFonts w:ascii="宋体" w:hAnsi="宋体" w:eastAsia="宋体" w:cs="宋体"/>
                <w:color w:val="000000"/>
                <w:szCs w:val="21"/>
              </w:rPr>
            </w:pPr>
          </w:p>
        </w:tc>
        <w:tc>
          <w:tcPr>
            <w:tcW w:w="970" w:type="dxa"/>
            <w:vAlign w:val="center"/>
          </w:tcPr>
          <w:p w14:paraId="6C418C93">
            <w:pPr>
              <w:keepNext/>
              <w:spacing w:line="360" w:lineRule="auto"/>
              <w:ind w:left="63" w:right="63"/>
              <w:rPr>
                <w:rFonts w:ascii="宋体" w:hAnsi="宋体" w:eastAsia="宋体" w:cs="宋体"/>
                <w:color w:val="000000"/>
                <w:szCs w:val="21"/>
              </w:rPr>
            </w:pPr>
          </w:p>
        </w:tc>
        <w:tc>
          <w:tcPr>
            <w:tcW w:w="708" w:type="dxa"/>
            <w:vAlign w:val="center"/>
          </w:tcPr>
          <w:p w14:paraId="75393ED0">
            <w:pPr>
              <w:keepNext/>
              <w:spacing w:line="360" w:lineRule="auto"/>
              <w:ind w:left="63" w:right="63"/>
              <w:rPr>
                <w:rFonts w:ascii="宋体" w:hAnsi="宋体" w:eastAsia="宋体" w:cs="宋体"/>
                <w:color w:val="000000"/>
                <w:szCs w:val="21"/>
              </w:rPr>
            </w:pPr>
          </w:p>
        </w:tc>
        <w:tc>
          <w:tcPr>
            <w:tcW w:w="993" w:type="dxa"/>
            <w:vAlign w:val="center"/>
          </w:tcPr>
          <w:p w14:paraId="70B33FE7">
            <w:pPr>
              <w:keepNext/>
              <w:spacing w:line="360" w:lineRule="auto"/>
              <w:ind w:left="63" w:right="63"/>
              <w:rPr>
                <w:rFonts w:ascii="宋体" w:hAnsi="宋体" w:eastAsia="宋体" w:cs="宋体"/>
                <w:color w:val="000000"/>
                <w:szCs w:val="21"/>
              </w:rPr>
            </w:pPr>
          </w:p>
        </w:tc>
        <w:tc>
          <w:tcPr>
            <w:tcW w:w="850" w:type="dxa"/>
            <w:vAlign w:val="center"/>
          </w:tcPr>
          <w:p w14:paraId="4C74A8CD">
            <w:pPr>
              <w:keepNext/>
              <w:spacing w:line="360" w:lineRule="auto"/>
              <w:ind w:left="63" w:right="63"/>
              <w:rPr>
                <w:rFonts w:ascii="宋体" w:hAnsi="宋体" w:eastAsia="宋体" w:cs="宋体"/>
                <w:color w:val="000000"/>
                <w:szCs w:val="21"/>
              </w:rPr>
            </w:pPr>
          </w:p>
        </w:tc>
        <w:tc>
          <w:tcPr>
            <w:tcW w:w="992" w:type="dxa"/>
            <w:vAlign w:val="center"/>
          </w:tcPr>
          <w:p w14:paraId="326D7C2F">
            <w:pPr>
              <w:keepNext/>
              <w:spacing w:line="360" w:lineRule="auto"/>
              <w:ind w:left="63" w:right="63"/>
              <w:rPr>
                <w:rFonts w:ascii="宋体" w:hAnsi="宋体" w:eastAsia="宋体" w:cs="宋体"/>
                <w:color w:val="000000"/>
                <w:szCs w:val="21"/>
              </w:rPr>
            </w:pPr>
          </w:p>
        </w:tc>
        <w:tc>
          <w:tcPr>
            <w:tcW w:w="757" w:type="dxa"/>
            <w:vAlign w:val="center"/>
          </w:tcPr>
          <w:p w14:paraId="39E97464">
            <w:pPr>
              <w:keepNext/>
              <w:spacing w:line="360" w:lineRule="auto"/>
              <w:ind w:left="63" w:right="63"/>
              <w:rPr>
                <w:rFonts w:ascii="宋体" w:hAnsi="宋体" w:eastAsia="宋体" w:cs="宋体"/>
                <w:color w:val="000000"/>
                <w:szCs w:val="21"/>
              </w:rPr>
            </w:pPr>
          </w:p>
        </w:tc>
        <w:tc>
          <w:tcPr>
            <w:tcW w:w="803" w:type="dxa"/>
            <w:vAlign w:val="center"/>
          </w:tcPr>
          <w:p w14:paraId="5E628A60">
            <w:pPr>
              <w:keepNext/>
              <w:spacing w:line="360" w:lineRule="auto"/>
              <w:ind w:left="63" w:right="63"/>
              <w:rPr>
                <w:rFonts w:ascii="宋体" w:hAnsi="宋体" w:eastAsia="宋体" w:cs="宋体"/>
                <w:color w:val="000000"/>
                <w:szCs w:val="21"/>
              </w:rPr>
            </w:pPr>
          </w:p>
        </w:tc>
        <w:tc>
          <w:tcPr>
            <w:tcW w:w="992" w:type="dxa"/>
            <w:vAlign w:val="center"/>
          </w:tcPr>
          <w:p w14:paraId="5A3493CA">
            <w:pPr>
              <w:keepNext/>
              <w:spacing w:line="360" w:lineRule="auto"/>
              <w:ind w:left="63" w:right="63"/>
              <w:rPr>
                <w:rFonts w:ascii="宋体" w:hAnsi="宋体" w:eastAsia="宋体" w:cs="宋体"/>
                <w:color w:val="000000"/>
                <w:szCs w:val="21"/>
              </w:rPr>
            </w:pPr>
          </w:p>
        </w:tc>
        <w:tc>
          <w:tcPr>
            <w:tcW w:w="716" w:type="dxa"/>
            <w:vAlign w:val="center"/>
          </w:tcPr>
          <w:p w14:paraId="41DB5CD0">
            <w:pPr>
              <w:keepNext/>
              <w:spacing w:line="360" w:lineRule="auto"/>
              <w:ind w:left="63" w:right="63"/>
              <w:rPr>
                <w:rFonts w:ascii="宋体" w:hAnsi="宋体" w:eastAsia="宋体" w:cs="宋体"/>
                <w:color w:val="000000"/>
                <w:szCs w:val="21"/>
              </w:rPr>
            </w:pPr>
          </w:p>
        </w:tc>
      </w:tr>
      <w:tr w14:paraId="5ADFA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7AC06EA">
            <w:pPr>
              <w:keepNext/>
              <w:spacing w:line="360" w:lineRule="auto"/>
              <w:ind w:left="63" w:right="63"/>
              <w:rPr>
                <w:rFonts w:ascii="宋体" w:hAnsi="宋体" w:eastAsia="宋体" w:cs="宋体"/>
                <w:color w:val="000000"/>
                <w:szCs w:val="21"/>
              </w:rPr>
            </w:pPr>
          </w:p>
        </w:tc>
        <w:tc>
          <w:tcPr>
            <w:tcW w:w="970" w:type="dxa"/>
            <w:vAlign w:val="center"/>
          </w:tcPr>
          <w:p w14:paraId="3ACA4422">
            <w:pPr>
              <w:keepNext/>
              <w:spacing w:line="360" w:lineRule="auto"/>
              <w:ind w:left="63" w:right="63"/>
              <w:rPr>
                <w:rFonts w:ascii="宋体" w:hAnsi="宋体" w:eastAsia="宋体" w:cs="宋体"/>
                <w:color w:val="000000"/>
                <w:szCs w:val="21"/>
              </w:rPr>
            </w:pPr>
          </w:p>
        </w:tc>
        <w:tc>
          <w:tcPr>
            <w:tcW w:w="708" w:type="dxa"/>
            <w:vAlign w:val="center"/>
          </w:tcPr>
          <w:p w14:paraId="2799D454">
            <w:pPr>
              <w:keepNext/>
              <w:spacing w:line="360" w:lineRule="auto"/>
              <w:ind w:left="63" w:right="63"/>
              <w:rPr>
                <w:rFonts w:ascii="宋体" w:hAnsi="宋体" w:eastAsia="宋体" w:cs="宋体"/>
                <w:color w:val="000000"/>
                <w:szCs w:val="21"/>
              </w:rPr>
            </w:pPr>
          </w:p>
        </w:tc>
        <w:tc>
          <w:tcPr>
            <w:tcW w:w="993" w:type="dxa"/>
            <w:vAlign w:val="center"/>
          </w:tcPr>
          <w:p w14:paraId="55A2A53E">
            <w:pPr>
              <w:keepNext/>
              <w:spacing w:line="360" w:lineRule="auto"/>
              <w:ind w:left="63" w:right="63"/>
              <w:rPr>
                <w:rFonts w:ascii="宋体" w:hAnsi="宋体" w:eastAsia="宋体" w:cs="宋体"/>
                <w:color w:val="000000"/>
                <w:szCs w:val="21"/>
              </w:rPr>
            </w:pPr>
          </w:p>
        </w:tc>
        <w:tc>
          <w:tcPr>
            <w:tcW w:w="850" w:type="dxa"/>
            <w:vAlign w:val="center"/>
          </w:tcPr>
          <w:p w14:paraId="23D5342F">
            <w:pPr>
              <w:keepNext/>
              <w:spacing w:line="360" w:lineRule="auto"/>
              <w:ind w:left="63" w:right="63"/>
              <w:rPr>
                <w:rFonts w:ascii="宋体" w:hAnsi="宋体" w:eastAsia="宋体" w:cs="宋体"/>
                <w:color w:val="000000"/>
                <w:szCs w:val="21"/>
              </w:rPr>
            </w:pPr>
          </w:p>
        </w:tc>
        <w:tc>
          <w:tcPr>
            <w:tcW w:w="992" w:type="dxa"/>
            <w:vAlign w:val="center"/>
          </w:tcPr>
          <w:p w14:paraId="6BFDE984">
            <w:pPr>
              <w:keepNext/>
              <w:spacing w:line="360" w:lineRule="auto"/>
              <w:ind w:left="63" w:right="63"/>
              <w:rPr>
                <w:rFonts w:ascii="宋体" w:hAnsi="宋体" w:eastAsia="宋体" w:cs="宋体"/>
                <w:color w:val="000000"/>
                <w:szCs w:val="21"/>
              </w:rPr>
            </w:pPr>
          </w:p>
        </w:tc>
        <w:tc>
          <w:tcPr>
            <w:tcW w:w="757" w:type="dxa"/>
            <w:vAlign w:val="center"/>
          </w:tcPr>
          <w:p w14:paraId="04F844C8">
            <w:pPr>
              <w:keepNext/>
              <w:spacing w:line="360" w:lineRule="auto"/>
              <w:ind w:left="63" w:right="63"/>
              <w:rPr>
                <w:rFonts w:ascii="宋体" w:hAnsi="宋体" w:eastAsia="宋体" w:cs="宋体"/>
                <w:color w:val="000000"/>
                <w:szCs w:val="21"/>
              </w:rPr>
            </w:pPr>
          </w:p>
        </w:tc>
        <w:tc>
          <w:tcPr>
            <w:tcW w:w="803" w:type="dxa"/>
            <w:vAlign w:val="center"/>
          </w:tcPr>
          <w:p w14:paraId="2E358573">
            <w:pPr>
              <w:keepNext/>
              <w:spacing w:line="360" w:lineRule="auto"/>
              <w:ind w:left="63" w:right="63"/>
              <w:rPr>
                <w:rFonts w:ascii="宋体" w:hAnsi="宋体" w:eastAsia="宋体" w:cs="宋体"/>
                <w:color w:val="000000"/>
                <w:szCs w:val="21"/>
              </w:rPr>
            </w:pPr>
          </w:p>
        </w:tc>
        <w:tc>
          <w:tcPr>
            <w:tcW w:w="992" w:type="dxa"/>
            <w:vAlign w:val="center"/>
          </w:tcPr>
          <w:p w14:paraId="67437D1F">
            <w:pPr>
              <w:keepNext/>
              <w:spacing w:line="360" w:lineRule="auto"/>
              <w:ind w:left="63" w:right="63"/>
              <w:rPr>
                <w:rFonts w:ascii="宋体" w:hAnsi="宋体" w:eastAsia="宋体" w:cs="宋体"/>
                <w:color w:val="000000"/>
                <w:szCs w:val="21"/>
              </w:rPr>
            </w:pPr>
          </w:p>
        </w:tc>
        <w:tc>
          <w:tcPr>
            <w:tcW w:w="716" w:type="dxa"/>
            <w:vAlign w:val="center"/>
          </w:tcPr>
          <w:p w14:paraId="2FAA84DE">
            <w:pPr>
              <w:keepNext/>
              <w:spacing w:line="360" w:lineRule="auto"/>
              <w:ind w:left="63" w:right="63"/>
              <w:rPr>
                <w:rFonts w:ascii="宋体" w:hAnsi="宋体" w:eastAsia="宋体" w:cs="宋体"/>
                <w:color w:val="000000"/>
                <w:szCs w:val="21"/>
              </w:rPr>
            </w:pPr>
          </w:p>
        </w:tc>
      </w:tr>
      <w:tr w14:paraId="005B8D2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47449746">
            <w:pPr>
              <w:keepNext/>
              <w:spacing w:line="360" w:lineRule="auto"/>
              <w:ind w:left="63" w:right="63"/>
              <w:rPr>
                <w:rFonts w:ascii="宋体" w:hAnsi="宋体" w:eastAsia="宋体" w:cs="宋体"/>
                <w:color w:val="000000"/>
                <w:szCs w:val="21"/>
              </w:rPr>
            </w:pPr>
          </w:p>
        </w:tc>
        <w:tc>
          <w:tcPr>
            <w:tcW w:w="970" w:type="dxa"/>
            <w:vAlign w:val="center"/>
          </w:tcPr>
          <w:p w14:paraId="7256E1F0">
            <w:pPr>
              <w:keepNext/>
              <w:spacing w:line="360" w:lineRule="auto"/>
              <w:ind w:left="63" w:right="63"/>
              <w:rPr>
                <w:rFonts w:ascii="宋体" w:hAnsi="宋体" w:eastAsia="宋体" w:cs="宋体"/>
                <w:color w:val="000000"/>
                <w:szCs w:val="21"/>
              </w:rPr>
            </w:pPr>
          </w:p>
        </w:tc>
        <w:tc>
          <w:tcPr>
            <w:tcW w:w="708" w:type="dxa"/>
            <w:vAlign w:val="center"/>
          </w:tcPr>
          <w:p w14:paraId="1AFEA2CE">
            <w:pPr>
              <w:keepNext/>
              <w:spacing w:line="360" w:lineRule="auto"/>
              <w:ind w:left="63" w:right="63"/>
              <w:rPr>
                <w:rFonts w:ascii="宋体" w:hAnsi="宋体" w:eastAsia="宋体" w:cs="宋体"/>
                <w:color w:val="000000"/>
                <w:szCs w:val="21"/>
              </w:rPr>
            </w:pPr>
          </w:p>
        </w:tc>
        <w:tc>
          <w:tcPr>
            <w:tcW w:w="993" w:type="dxa"/>
            <w:vAlign w:val="center"/>
          </w:tcPr>
          <w:p w14:paraId="23B0C008">
            <w:pPr>
              <w:keepNext/>
              <w:spacing w:line="360" w:lineRule="auto"/>
              <w:ind w:left="63" w:right="63"/>
              <w:rPr>
                <w:rFonts w:ascii="宋体" w:hAnsi="宋体" w:eastAsia="宋体" w:cs="宋体"/>
                <w:color w:val="000000"/>
                <w:szCs w:val="21"/>
              </w:rPr>
            </w:pPr>
          </w:p>
        </w:tc>
        <w:tc>
          <w:tcPr>
            <w:tcW w:w="850" w:type="dxa"/>
            <w:vAlign w:val="center"/>
          </w:tcPr>
          <w:p w14:paraId="593A86BF">
            <w:pPr>
              <w:keepNext/>
              <w:spacing w:line="360" w:lineRule="auto"/>
              <w:ind w:left="63" w:right="63"/>
              <w:rPr>
                <w:rFonts w:ascii="宋体" w:hAnsi="宋体" w:eastAsia="宋体" w:cs="宋体"/>
                <w:color w:val="000000"/>
                <w:szCs w:val="21"/>
              </w:rPr>
            </w:pPr>
          </w:p>
        </w:tc>
        <w:tc>
          <w:tcPr>
            <w:tcW w:w="992" w:type="dxa"/>
            <w:vAlign w:val="center"/>
          </w:tcPr>
          <w:p w14:paraId="251601FD">
            <w:pPr>
              <w:keepNext/>
              <w:spacing w:line="360" w:lineRule="auto"/>
              <w:ind w:left="63" w:right="63"/>
              <w:rPr>
                <w:rFonts w:ascii="宋体" w:hAnsi="宋体" w:eastAsia="宋体" w:cs="宋体"/>
                <w:color w:val="000000"/>
                <w:szCs w:val="21"/>
              </w:rPr>
            </w:pPr>
          </w:p>
        </w:tc>
        <w:tc>
          <w:tcPr>
            <w:tcW w:w="757" w:type="dxa"/>
            <w:vAlign w:val="center"/>
          </w:tcPr>
          <w:p w14:paraId="58D8E7F6">
            <w:pPr>
              <w:keepNext/>
              <w:spacing w:line="360" w:lineRule="auto"/>
              <w:ind w:left="63" w:right="63"/>
              <w:rPr>
                <w:rFonts w:ascii="宋体" w:hAnsi="宋体" w:eastAsia="宋体" w:cs="宋体"/>
                <w:color w:val="000000"/>
                <w:szCs w:val="21"/>
              </w:rPr>
            </w:pPr>
          </w:p>
        </w:tc>
        <w:tc>
          <w:tcPr>
            <w:tcW w:w="803" w:type="dxa"/>
            <w:vAlign w:val="center"/>
          </w:tcPr>
          <w:p w14:paraId="3CE71D03">
            <w:pPr>
              <w:keepNext/>
              <w:spacing w:line="360" w:lineRule="auto"/>
              <w:ind w:left="63" w:right="63"/>
              <w:rPr>
                <w:rFonts w:ascii="宋体" w:hAnsi="宋体" w:eastAsia="宋体" w:cs="宋体"/>
                <w:color w:val="000000"/>
                <w:szCs w:val="21"/>
              </w:rPr>
            </w:pPr>
          </w:p>
        </w:tc>
        <w:tc>
          <w:tcPr>
            <w:tcW w:w="992" w:type="dxa"/>
            <w:vAlign w:val="center"/>
          </w:tcPr>
          <w:p w14:paraId="1794025D">
            <w:pPr>
              <w:keepNext/>
              <w:spacing w:line="360" w:lineRule="auto"/>
              <w:ind w:left="63" w:right="63"/>
              <w:rPr>
                <w:rFonts w:ascii="宋体" w:hAnsi="宋体" w:eastAsia="宋体" w:cs="宋体"/>
                <w:color w:val="000000"/>
                <w:szCs w:val="21"/>
              </w:rPr>
            </w:pPr>
          </w:p>
        </w:tc>
        <w:tc>
          <w:tcPr>
            <w:tcW w:w="716" w:type="dxa"/>
            <w:vAlign w:val="center"/>
          </w:tcPr>
          <w:p w14:paraId="6372003B">
            <w:pPr>
              <w:keepNext/>
              <w:spacing w:line="360" w:lineRule="auto"/>
              <w:ind w:left="63" w:right="63"/>
              <w:rPr>
                <w:rFonts w:ascii="宋体" w:hAnsi="宋体" w:eastAsia="宋体" w:cs="宋体"/>
                <w:color w:val="000000"/>
                <w:szCs w:val="21"/>
              </w:rPr>
            </w:pPr>
          </w:p>
        </w:tc>
      </w:tr>
      <w:tr w14:paraId="69A6AB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59ABB864">
            <w:pPr>
              <w:keepNext/>
              <w:spacing w:line="360" w:lineRule="auto"/>
              <w:ind w:left="63" w:right="63"/>
              <w:rPr>
                <w:rFonts w:ascii="宋体" w:hAnsi="宋体" w:eastAsia="宋体" w:cs="宋体"/>
                <w:color w:val="000000"/>
                <w:szCs w:val="21"/>
              </w:rPr>
            </w:pPr>
          </w:p>
        </w:tc>
        <w:tc>
          <w:tcPr>
            <w:tcW w:w="970" w:type="dxa"/>
            <w:vAlign w:val="center"/>
          </w:tcPr>
          <w:p w14:paraId="0118303B">
            <w:pPr>
              <w:keepNext/>
              <w:spacing w:line="360" w:lineRule="auto"/>
              <w:ind w:left="63" w:right="63"/>
              <w:rPr>
                <w:rFonts w:ascii="宋体" w:hAnsi="宋体" w:eastAsia="宋体" w:cs="宋体"/>
                <w:color w:val="000000"/>
                <w:szCs w:val="21"/>
              </w:rPr>
            </w:pPr>
          </w:p>
        </w:tc>
        <w:tc>
          <w:tcPr>
            <w:tcW w:w="708" w:type="dxa"/>
            <w:vAlign w:val="center"/>
          </w:tcPr>
          <w:p w14:paraId="4EB1AE1B">
            <w:pPr>
              <w:keepNext/>
              <w:spacing w:line="360" w:lineRule="auto"/>
              <w:ind w:left="63" w:right="63"/>
              <w:rPr>
                <w:rFonts w:ascii="宋体" w:hAnsi="宋体" w:eastAsia="宋体" w:cs="宋体"/>
                <w:color w:val="000000"/>
                <w:szCs w:val="21"/>
              </w:rPr>
            </w:pPr>
          </w:p>
        </w:tc>
        <w:tc>
          <w:tcPr>
            <w:tcW w:w="993" w:type="dxa"/>
            <w:vAlign w:val="center"/>
          </w:tcPr>
          <w:p w14:paraId="3F693A3D">
            <w:pPr>
              <w:keepNext/>
              <w:spacing w:line="360" w:lineRule="auto"/>
              <w:ind w:left="63" w:right="63"/>
              <w:rPr>
                <w:rFonts w:ascii="宋体" w:hAnsi="宋体" w:eastAsia="宋体" w:cs="宋体"/>
                <w:color w:val="000000"/>
                <w:szCs w:val="21"/>
              </w:rPr>
            </w:pPr>
          </w:p>
        </w:tc>
        <w:tc>
          <w:tcPr>
            <w:tcW w:w="850" w:type="dxa"/>
            <w:vAlign w:val="center"/>
          </w:tcPr>
          <w:p w14:paraId="1C1ABD3A">
            <w:pPr>
              <w:keepNext/>
              <w:spacing w:line="360" w:lineRule="auto"/>
              <w:ind w:left="63" w:right="63"/>
              <w:rPr>
                <w:rFonts w:ascii="宋体" w:hAnsi="宋体" w:eastAsia="宋体" w:cs="宋体"/>
                <w:color w:val="000000"/>
                <w:szCs w:val="21"/>
              </w:rPr>
            </w:pPr>
          </w:p>
        </w:tc>
        <w:tc>
          <w:tcPr>
            <w:tcW w:w="992" w:type="dxa"/>
            <w:vAlign w:val="center"/>
          </w:tcPr>
          <w:p w14:paraId="5BD296C8">
            <w:pPr>
              <w:keepNext/>
              <w:spacing w:line="360" w:lineRule="auto"/>
              <w:ind w:left="63" w:right="63"/>
              <w:rPr>
                <w:rFonts w:ascii="宋体" w:hAnsi="宋体" w:eastAsia="宋体" w:cs="宋体"/>
                <w:color w:val="000000"/>
                <w:szCs w:val="21"/>
              </w:rPr>
            </w:pPr>
          </w:p>
        </w:tc>
        <w:tc>
          <w:tcPr>
            <w:tcW w:w="757" w:type="dxa"/>
            <w:vAlign w:val="center"/>
          </w:tcPr>
          <w:p w14:paraId="36684103">
            <w:pPr>
              <w:keepNext/>
              <w:spacing w:line="360" w:lineRule="auto"/>
              <w:ind w:left="63" w:right="63"/>
              <w:rPr>
                <w:rFonts w:ascii="宋体" w:hAnsi="宋体" w:eastAsia="宋体" w:cs="宋体"/>
                <w:color w:val="000000"/>
                <w:szCs w:val="21"/>
              </w:rPr>
            </w:pPr>
          </w:p>
        </w:tc>
        <w:tc>
          <w:tcPr>
            <w:tcW w:w="803" w:type="dxa"/>
            <w:vAlign w:val="center"/>
          </w:tcPr>
          <w:p w14:paraId="45941031">
            <w:pPr>
              <w:keepNext/>
              <w:spacing w:line="360" w:lineRule="auto"/>
              <w:ind w:left="63" w:right="63"/>
              <w:rPr>
                <w:rFonts w:ascii="宋体" w:hAnsi="宋体" w:eastAsia="宋体" w:cs="宋体"/>
                <w:color w:val="000000"/>
                <w:szCs w:val="21"/>
              </w:rPr>
            </w:pPr>
          </w:p>
        </w:tc>
        <w:tc>
          <w:tcPr>
            <w:tcW w:w="992" w:type="dxa"/>
            <w:vAlign w:val="center"/>
          </w:tcPr>
          <w:p w14:paraId="5E5E4608">
            <w:pPr>
              <w:keepNext/>
              <w:spacing w:line="360" w:lineRule="auto"/>
              <w:ind w:left="63" w:right="63"/>
              <w:rPr>
                <w:rFonts w:ascii="宋体" w:hAnsi="宋体" w:eastAsia="宋体" w:cs="宋体"/>
                <w:color w:val="000000"/>
                <w:szCs w:val="21"/>
              </w:rPr>
            </w:pPr>
          </w:p>
        </w:tc>
        <w:tc>
          <w:tcPr>
            <w:tcW w:w="716" w:type="dxa"/>
            <w:vAlign w:val="center"/>
          </w:tcPr>
          <w:p w14:paraId="35A988A4">
            <w:pPr>
              <w:keepNext/>
              <w:spacing w:line="360" w:lineRule="auto"/>
              <w:ind w:left="63" w:right="63"/>
              <w:rPr>
                <w:rFonts w:ascii="宋体" w:hAnsi="宋体" w:eastAsia="宋体" w:cs="宋体"/>
                <w:color w:val="000000"/>
                <w:szCs w:val="21"/>
              </w:rPr>
            </w:pPr>
          </w:p>
        </w:tc>
      </w:tr>
      <w:tr w14:paraId="505D931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29EA1D60">
            <w:pPr>
              <w:keepNext/>
              <w:spacing w:line="360" w:lineRule="auto"/>
              <w:ind w:left="63" w:right="63"/>
              <w:rPr>
                <w:rFonts w:ascii="宋体" w:hAnsi="宋体" w:eastAsia="宋体" w:cs="宋体"/>
                <w:color w:val="000000"/>
                <w:szCs w:val="21"/>
              </w:rPr>
            </w:pPr>
          </w:p>
        </w:tc>
        <w:tc>
          <w:tcPr>
            <w:tcW w:w="970" w:type="dxa"/>
            <w:vAlign w:val="center"/>
          </w:tcPr>
          <w:p w14:paraId="4A6CE173">
            <w:pPr>
              <w:keepNext/>
              <w:spacing w:line="360" w:lineRule="auto"/>
              <w:ind w:left="63" w:right="63"/>
              <w:rPr>
                <w:rFonts w:ascii="宋体" w:hAnsi="宋体" w:eastAsia="宋体" w:cs="宋体"/>
                <w:color w:val="000000"/>
                <w:szCs w:val="21"/>
              </w:rPr>
            </w:pPr>
          </w:p>
        </w:tc>
        <w:tc>
          <w:tcPr>
            <w:tcW w:w="708" w:type="dxa"/>
            <w:vAlign w:val="center"/>
          </w:tcPr>
          <w:p w14:paraId="49A367C1">
            <w:pPr>
              <w:keepNext/>
              <w:spacing w:line="360" w:lineRule="auto"/>
              <w:ind w:left="63" w:right="63"/>
              <w:rPr>
                <w:rFonts w:ascii="宋体" w:hAnsi="宋体" w:eastAsia="宋体" w:cs="宋体"/>
                <w:color w:val="000000"/>
                <w:szCs w:val="21"/>
              </w:rPr>
            </w:pPr>
          </w:p>
        </w:tc>
        <w:tc>
          <w:tcPr>
            <w:tcW w:w="993" w:type="dxa"/>
            <w:vAlign w:val="center"/>
          </w:tcPr>
          <w:p w14:paraId="582DA234">
            <w:pPr>
              <w:keepNext/>
              <w:spacing w:line="360" w:lineRule="auto"/>
              <w:ind w:left="63" w:right="63"/>
              <w:rPr>
                <w:rFonts w:ascii="宋体" w:hAnsi="宋体" w:eastAsia="宋体" w:cs="宋体"/>
                <w:color w:val="000000"/>
                <w:szCs w:val="21"/>
              </w:rPr>
            </w:pPr>
          </w:p>
        </w:tc>
        <w:tc>
          <w:tcPr>
            <w:tcW w:w="850" w:type="dxa"/>
            <w:vAlign w:val="center"/>
          </w:tcPr>
          <w:p w14:paraId="56887D52">
            <w:pPr>
              <w:keepNext/>
              <w:spacing w:line="360" w:lineRule="auto"/>
              <w:ind w:left="63" w:right="63"/>
              <w:rPr>
                <w:rFonts w:ascii="宋体" w:hAnsi="宋体" w:eastAsia="宋体" w:cs="宋体"/>
                <w:color w:val="000000"/>
                <w:szCs w:val="21"/>
              </w:rPr>
            </w:pPr>
          </w:p>
        </w:tc>
        <w:tc>
          <w:tcPr>
            <w:tcW w:w="992" w:type="dxa"/>
            <w:vAlign w:val="center"/>
          </w:tcPr>
          <w:p w14:paraId="0A2915B0">
            <w:pPr>
              <w:keepNext/>
              <w:spacing w:line="360" w:lineRule="auto"/>
              <w:ind w:left="63" w:right="63"/>
              <w:rPr>
                <w:rFonts w:ascii="宋体" w:hAnsi="宋体" w:eastAsia="宋体" w:cs="宋体"/>
                <w:color w:val="000000"/>
                <w:szCs w:val="21"/>
              </w:rPr>
            </w:pPr>
          </w:p>
        </w:tc>
        <w:tc>
          <w:tcPr>
            <w:tcW w:w="757" w:type="dxa"/>
            <w:vAlign w:val="center"/>
          </w:tcPr>
          <w:p w14:paraId="3BBEDC69">
            <w:pPr>
              <w:keepNext/>
              <w:spacing w:line="360" w:lineRule="auto"/>
              <w:ind w:left="63" w:right="63"/>
              <w:rPr>
                <w:rFonts w:ascii="宋体" w:hAnsi="宋体" w:eastAsia="宋体" w:cs="宋体"/>
                <w:color w:val="000000"/>
                <w:szCs w:val="21"/>
              </w:rPr>
            </w:pPr>
          </w:p>
        </w:tc>
        <w:tc>
          <w:tcPr>
            <w:tcW w:w="803" w:type="dxa"/>
            <w:vAlign w:val="center"/>
          </w:tcPr>
          <w:p w14:paraId="13B792B4">
            <w:pPr>
              <w:keepNext/>
              <w:spacing w:line="360" w:lineRule="auto"/>
              <w:ind w:left="63" w:right="63"/>
              <w:rPr>
                <w:rFonts w:ascii="宋体" w:hAnsi="宋体" w:eastAsia="宋体" w:cs="宋体"/>
                <w:color w:val="000000"/>
                <w:szCs w:val="21"/>
              </w:rPr>
            </w:pPr>
          </w:p>
        </w:tc>
        <w:tc>
          <w:tcPr>
            <w:tcW w:w="992" w:type="dxa"/>
            <w:vAlign w:val="center"/>
          </w:tcPr>
          <w:p w14:paraId="0CB5CA31">
            <w:pPr>
              <w:keepNext/>
              <w:spacing w:line="360" w:lineRule="auto"/>
              <w:ind w:left="63" w:right="63"/>
              <w:rPr>
                <w:rFonts w:ascii="宋体" w:hAnsi="宋体" w:eastAsia="宋体" w:cs="宋体"/>
                <w:color w:val="000000"/>
                <w:szCs w:val="21"/>
              </w:rPr>
            </w:pPr>
          </w:p>
        </w:tc>
        <w:tc>
          <w:tcPr>
            <w:tcW w:w="716" w:type="dxa"/>
            <w:vAlign w:val="center"/>
          </w:tcPr>
          <w:p w14:paraId="7964C053">
            <w:pPr>
              <w:keepNext/>
              <w:spacing w:line="360" w:lineRule="auto"/>
              <w:ind w:left="63" w:right="63"/>
              <w:rPr>
                <w:rFonts w:ascii="宋体" w:hAnsi="宋体" w:eastAsia="宋体" w:cs="宋体"/>
                <w:color w:val="000000"/>
                <w:szCs w:val="21"/>
              </w:rPr>
            </w:pPr>
          </w:p>
        </w:tc>
      </w:tr>
      <w:tr w14:paraId="04DC134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40C33C80">
            <w:pPr>
              <w:spacing w:line="360" w:lineRule="auto"/>
              <w:jc w:val="center"/>
              <w:rPr>
                <w:rFonts w:ascii="宋体" w:hAnsi="宋体" w:eastAsia="宋体" w:cs="宋体"/>
                <w:color w:val="000000"/>
                <w:szCs w:val="21"/>
              </w:rPr>
            </w:pPr>
          </w:p>
        </w:tc>
        <w:tc>
          <w:tcPr>
            <w:tcW w:w="970" w:type="dxa"/>
            <w:vAlign w:val="center"/>
          </w:tcPr>
          <w:p w14:paraId="02CDC221">
            <w:pPr>
              <w:spacing w:line="360" w:lineRule="auto"/>
              <w:jc w:val="center"/>
              <w:rPr>
                <w:rFonts w:ascii="宋体" w:hAnsi="宋体" w:eastAsia="宋体" w:cs="宋体"/>
                <w:color w:val="000000"/>
                <w:szCs w:val="21"/>
              </w:rPr>
            </w:pPr>
          </w:p>
        </w:tc>
        <w:tc>
          <w:tcPr>
            <w:tcW w:w="708" w:type="dxa"/>
            <w:vAlign w:val="center"/>
          </w:tcPr>
          <w:p w14:paraId="4119823C">
            <w:pPr>
              <w:spacing w:line="360" w:lineRule="auto"/>
              <w:jc w:val="center"/>
              <w:rPr>
                <w:rFonts w:ascii="宋体" w:hAnsi="宋体" w:eastAsia="宋体" w:cs="宋体"/>
                <w:color w:val="000000"/>
                <w:szCs w:val="21"/>
              </w:rPr>
            </w:pPr>
          </w:p>
        </w:tc>
        <w:tc>
          <w:tcPr>
            <w:tcW w:w="993" w:type="dxa"/>
            <w:vAlign w:val="center"/>
          </w:tcPr>
          <w:p w14:paraId="691AC55A">
            <w:pPr>
              <w:spacing w:line="360" w:lineRule="auto"/>
              <w:jc w:val="center"/>
              <w:rPr>
                <w:rFonts w:ascii="宋体" w:hAnsi="宋体" w:eastAsia="宋体" w:cs="宋体"/>
                <w:color w:val="000000"/>
                <w:szCs w:val="21"/>
              </w:rPr>
            </w:pPr>
          </w:p>
        </w:tc>
        <w:tc>
          <w:tcPr>
            <w:tcW w:w="850" w:type="dxa"/>
            <w:vAlign w:val="center"/>
          </w:tcPr>
          <w:p w14:paraId="0133E52E">
            <w:pPr>
              <w:spacing w:line="360" w:lineRule="auto"/>
              <w:jc w:val="center"/>
              <w:rPr>
                <w:rFonts w:ascii="宋体" w:hAnsi="宋体" w:eastAsia="宋体" w:cs="宋体"/>
                <w:color w:val="000000"/>
                <w:szCs w:val="21"/>
              </w:rPr>
            </w:pPr>
          </w:p>
        </w:tc>
        <w:tc>
          <w:tcPr>
            <w:tcW w:w="992" w:type="dxa"/>
            <w:vAlign w:val="center"/>
          </w:tcPr>
          <w:p w14:paraId="29DC6ADD">
            <w:pPr>
              <w:spacing w:line="360" w:lineRule="auto"/>
              <w:jc w:val="center"/>
              <w:rPr>
                <w:rFonts w:ascii="宋体" w:hAnsi="宋体" w:eastAsia="宋体" w:cs="宋体"/>
                <w:color w:val="000000"/>
                <w:szCs w:val="21"/>
              </w:rPr>
            </w:pPr>
          </w:p>
        </w:tc>
        <w:tc>
          <w:tcPr>
            <w:tcW w:w="757" w:type="dxa"/>
            <w:vAlign w:val="center"/>
          </w:tcPr>
          <w:p w14:paraId="7EABE553">
            <w:pPr>
              <w:spacing w:line="360" w:lineRule="auto"/>
              <w:jc w:val="center"/>
              <w:rPr>
                <w:rFonts w:ascii="宋体" w:hAnsi="宋体" w:eastAsia="宋体" w:cs="宋体"/>
                <w:color w:val="000000"/>
                <w:szCs w:val="21"/>
              </w:rPr>
            </w:pPr>
          </w:p>
        </w:tc>
        <w:tc>
          <w:tcPr>
            <w:tcW w:w="803" w:type="dxa"/>
            <w:vAlign w:val="center"/>
          </w:tcPr>
          <w:p w14:paraId="62D524C4">
            <w:pPr>
              <w:spacing w:line="360" w:lineRule="auto"/>
              <w:jc w:val="center"/>
              <w:rPr>
                <w:rFonts w:ascii="宋体" w:hAnsi="宋体" w:eastAsia="宋体" w:cs="宋体"/>
                <w:color w:val="000000"/>
                <w:szCs w:val="21"/>
              </w:rPr>
            </w:pPr>
          </w:p>
        </w:tc>
        <w:tc>
          <w:tcPr>
            <w:tcW w:w="992" w:type="dxa"/>
            <w:vAlign w:val="center"/>
          </w:tcPr>
          <w:p w14:paraId="2E00B0DE">
            <w:pPr>
              <w:spacing w:line="360" w:lineRule="auto"/>
              <w:jc w:val="center"/>
              <w:rPr>
                <w:rFonts w:ascii="宋体" w:hAnsi="宋体" w:eastAsia="宋体" w:cs="宋体"/>
                <w:color w:val="000000"/>
                <w:szCs w:val="21"/>
              </w:rPr>
            </w:pPr>
          </w:p>
        </w:tc>
        <w:tc>
          <w:tcPr>
            <w:tcW w:w="716" w:type="dxa"/>
            <w:vAlign w:val="center"/>
          </w:tcPr>
          <w:p w14:paraId="071AE1A8">
            <w:pPr>
              <w:spacing w:line="360" w:lineRule="auto"/>
              <w:jc w:val="center"/>
              <w:rPr>
                <w:rFonts w:ascii="宋体" w:hAnsi="宋体" w:eastAsia="宋体" w:cs="宋体"/>
                <w:color w:val="000000"/>
                <w:szCs w:val="21"/>
              </w:rPr>
            </w:pPr>
          </w:p>
        </w:tc>
      </w:tr>
      <w:tr w14:paraId="60CDAA7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08830903">
            <w:pPr>
              <w:spacing w:line="360" w:lineRule="auto"/>
              <w:jc w:val="center"/>
              <w:rPr>
                <w:rFonts w:ascii="宋体" w:hAnsi="宋体" w:eastAsia="宋体" w:cs="宋体"/>
                <w:color w:val="000000"/>
                <w:szCs w:val="21"/>
              </w:rPr>
            </w:pPr>
          </w:p>
        </w:tc>
        <w:tc>
          <w:tcPr>
            <w:tcW w:w="970" w:type="dxa"/>
            <w:vAlign w:val="center"/>
          </w:tcPr>
          <w:p w14:paraId="6191DA48">
            <w:pPr>
              <w:spacing w:line="360" w:lineRule="auto"/>
              <w:jc w:val="center"/>
              <w:rPr>
                <w:rFonts w:ascii="宋体" w:hAnsi="宋体" w:eastAsia="宋体" w:cs="宋体"/>
                <w:color w:val="000000"/>
                <w:szCs w:val="21"/>
              </w:rPr>
            </w:pPr>
          </w:p>
        </w:tc>
        <w:tc>
          <w:tcPr>
            <w:tcW w:w="708" w:type="dxa"/>
            <w:vAlign w:val="center"/>
          </w:tcPr>
          <w:p w14:paraId="279F5228">
            <w:pPr>
              <w:spacing w:line="360" w:lineRule="auto"/>
              <w:jc w:val="center"/>
              <w:rPr>
                <w:rFonts w:ascii="宋体" w:hAnsi="宋体" w:eastAsia="宋体" w:cs="宋体"/>
                <w:color w:val="000000"/>
                <w:szCs w:val="21"/>
              </w:rPr>
            </w:pPr>
          </w:p>
        </w:tc>
        <w:tc>
          <w:tcPr>
            <w:tcW w:w="993" w:type="dxa"/>
            <w:vAlign w:val="center"/>
          </w:tcPr>
          <w:p w14:paraId="07FD5A44">
            <w:pPr>
              <w:spacing w:line="360" w:lineRule="auto"/>
              <w:jc w:val="center"/>
              <w:rPr>
                <w:rFonts w:ascii="宋体" w:hAnsi="宋体" w:eastAsia="宋体" w:cs="宋体"/>
                <w:color w:val="000000"/>
                <w:szCs w:val="21"/>
              </w:rPr>
            </w:pPr>
          </w:p>
        </w:tc>
        <w:tc>
          <w:tcPr>
            <w:tcW w:w="850" w:type="dxa"/>
            <w:vAlign w:val="center"/>
          </w:tcPr>
          <w:p w14:paraId="031096CF">
            <w:pPr>
              <w:spacing w:line="360" w:lineRule="auto"/>
              <w:jc w:val="center"/>
              <w:rPr>
                <w:rFonts w:ascii="宋体" w:hAnsi="宋体" w:eastAsia="宋体" w:cs="宋体"/>
                <w:color w:val="000000"/>
                <w:szCs w:val="21"/>
              </w:rPr>
            </w:pPr>
          </w:p>
        </w:tc>
        <w:tc>
          <w:tcPr>
            <w:tcW w:w="992" w:type="dxa"/>
            <w:vAlign w:val="center"/>
          </w:tcPr>
          <w:p w14:paraId="0BB8E0BE">
            <w:pPr>
              <w:spacing w:line="360" w:lineRule="auto"/>
              <w:jc w:val="center"/>
              <w:rPr>
                <w:rFonts w:ascii="宋体" w:hAnsi="宋体" w:eastAsia="宋体" w:cs="宋体"/>
                <w:color w:val="000000"/>
                <w:szCs w:val="21"/>
              </w:rPr>
            </w:pPr>
          </w:p>
        </w:tc>
        <w:tc>
          <w:tcPr>
            <w:tcW w:w="757" w:type="dxa"/>
            <w:vAlign w:val="center"/>
          </w:tcPr>
          <w:p w14:paraId="22A1345B">
            <w:pPr>
              <w:spacing w:line="360" w:lineRule="auto"/>
              <w:jc w:val="center"/>
              <w:rPr>
                <w:rFonts w:ascii="宋体" w:hAnsi="宋体" w:eastAsia="宋体" w:cs="宋体"/>
                <w:color w:val="000000"/>
                <w:szCs w:val="21"/>
              </w:rPr>
            </w:pPr>
          </w:p>
        </w:tc>
        <w:tc>
          <w:tcPr>
            <w:tcW w:w="803" w:type="dxa"/>
            <w:vAlign w:val="center"/>
          </w:tcPr>
          <w:p w14:paraId="28675AEC">
            <w:pPr>
              <w:spacing w:line="360" w:lineRule="auto"/>
              <w:jc w:val="center"/>
              <w:rPr>
                <w:rFonts w:ascii="宋体" w:hAnsi="宋体" w:eastAsia="宋体" w:cs="宋体"/>
                <w:color w:val="000000"/>
                <w:szCs w:val="21"/>
              </w:rPr>
            </w:pPr>
          </w:p>
        </w:tc>
        <w:tc>
          <w:tcPr>
            <w:tcW w:w="992" w:type="dxa"/>
            <w:vAlign w:val="center"/>
          </w:tcPr>
          <w:p w14:paraId="7B5F1649">
            <w:pPr>
              <w:spacing w:line="360" w:lineRule="auto"/>
              <w:jc w:val="center"/>
              <w:rPr>
                <w:rFonts w:ascii="宋体" w:hAnsi="宋体" w:eastAsia="宋体" w:cs="宋体"/>
                <w:color w:val="000000"/>
                <w:szCs w:val="21"/>
              </w:rPr>
            </w:pPr>
          </w:p>
        </w:tc>
        <w:tc>
          <w:tcPr>
            <w:tcW w:w="716" w:type="dxa"/>
            <w:vAlign w:val="center"/>
          </w:tcPr>
          <w:p w14:paraId="2FEB27DE">
            <w:pPr>
              <w:spacing w:line="360" w:lineRule="auto"/>
              <w:jc w:val="center"/>
              <w:rPr>
                <w:rFonts w:ascii="宋体" w:hAnsi="宋体" w:eastAsia="宋体" w:cs="宋体"/>
                <w:color w:val="000000"/>
                <w:szCs w:val="21"/>
              </w:rPr>
            </w:pPr>
          </w:p>
        </w:tc>
      </w:tr>
      <w:tr w14:paraId="66ABBF7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12DA18B">
            <w:pPr>
              <w:spacing w:line="360" w:lineRule="auto"/>
              <w:jc w:val="center"/>
              <w:rPr>
                <w:rFonts w:ascii="宋体" w:hAnsi="宋体" w:eastAsia="宋体" w:cs="宋体"/>
                <w:color w:val="000000"/>
                <w:szCs w:val="21"/>
              </w:rPr>
            </w:pPr>
          </w:p>
        </w:tc>
        <w:tc>
          <w:tcPr>
            <w:tcW w:w="970" w:type="dxa"/>
            <w:vAlign w:val="center"/>
          </w:tcPr>
          <w:p w14:paraId="791DF5C6">
            <w:pPr>
              <w:spacing w:line="360" w:lineRule="auto"/>
              <w:jc w:val="center"/>
              <w:rPr>
                <w:rFonts w:ascii="宋体" w:hAnsi="宋体" w:eastAsia="宋体" w:cs="宋体"/>
                <w:color w:val="000000"/>
                <w:szCs w:val="21"/>
              </w:rPr>
            </w:pPr>
          </w:p>
        </w:tc>
        <w:tc>
          <w:tcPr>
            <w:tcW w:w="708" w:type="dxa"/>
            <w:vAlign w:val="center"/>
          </w:tcPr>
          <w:p w14:paraId="5BF5D9E8">
            <w:pPr>
              <w:spacing w:line="360" w:lineRule="auto"/>
              <w:jc w:val="center"/>
              <w:rPr>
                <w:rFonts w:ascii="宋体" w:hAnsi="宋体" w:eastAsia="宋体" w:cs="宋体"/>
                <w:color w:val="000000"/>
                <w:szCs w:val="21"/>
              </w:rPr>
            </w:pPr>
          </w:p>
        </w:tc>
        <w:tc>
          <w:tcPr>
            <w:tcW w:w="993" w:type="dxa"/>
            <w:vAlign w:val="center"/>
          </w:tcPr>
          <w:p w14:paraId="64CB8220">
            <w:pPr>
              <w:spacing w:line="360" w:lineRule="auto"/>
              <w:jc w:val="center"/>
              <w:rPr>
                <w:rFonts w:ascii="宋体" w:hAnsi="宋体" w:eastAsia="宋体" w:cs="宋体"/>
                <w:color w:val="000000"/>
                <w:szCs w:val="21"/>
              </w:rPr>
            </w:pPr>
          </w:p>
        </w:tc>
        <w:tc>
          <w:tcPr>
            <w:tcW w:w="850" w:type="dxa"/>
            <w:vAlign w:val="center"/>
          </w:tcPr>
          <w:p w14:paraId="12C7B32D">
            <w:pPr>
              <w:spacing w:line="360" w:lineRule="auto"/>
              <w:jc w:val="center"/>
              <w:rPr>
                <w:rFonts w:ascii="宋体" w:hAnsi="宋体" w:eastAsia="宋体" w:cs="宋体"/>
                <w:color w:val="000000"/>
                <w:szCs w:val="21"/>
              </w:rPr>
            </w:pPr>
          </w:p>
        </w:tc>
        <w:tc>
          <w:tcPr>
            <w:tcW w:w="992" w:type="dxa"/>
            <w:vAlign w:val="center"/>
          </w:tcPr>
          <w:p w14:paraId="3E3DFBE6">
            <w:pPr>
              <w:spacing w:line="360" w:lineRule="auto"/>
              <w:jc w:val="center"/>
              <w:rPr>
                <w:rFonts w:ascii="宋体" w:hAnsi="宋体" w:eastAsia="宋体" w:cs="宋体"/>
                <w:color w:val="000000"/>
                <w:szCs w:val="21"/>
              </w:rPr>
            </w:pPr>
          </w:p>
        </w:tc>
        <w:tc>
          <w:tcPr>
            <w:tcW w:w="757" w:type="dxa"/>
            <w:vAlign w:val="center"/>
          </w:tcPr>
          <w:p w14:paraId="1DB298D6">
            <w:pPr>
              <w:spacing w:line="360" w:lineRule="auto"/>
              <w:jc w:val="center"/>
              <w:rPr>
                <w:rFonts w:ascii="宋体" w:hAnsi="宋体" w:eastAsia="宋体" w:cs="宋体"/>
                <w:color w:val="000000"/>
                <w:szCs w:val="21"/>
              </w:rPr>
            </w:pPr>
          </w:p>
        </w:tc>
        <w:tc>
          <w:tcPr>
            <w:tcW w:w="803" w:type="dxa"/>
            <w:vAlign w:val="center"/>
          </w:tcPr>
          <w:p w14:paraId="43CAE62B">
            <w:pPr>
              <w:spacing w:line="360" w:lineRule="auto"/>
              <w:jc w:val="center"/>
              <w:rPr>
                <w:rFonts w:ascii="宋体" w:hAnsi="宋体" w:eastAsia="宋体" w:cs="宋体"/>
                <w:color w:val="000000"/>
                <w:szCs w:val="21"/>
              </w:rPr>
            </w:pPr>
          </w:p>
        </w:tc>
        <w:tc>
          <w:tcPr>
            <w:tcW w:w="992" w:type="dxa"/>
            <w:vAlign w:val="center"/>
          </w:tcPr>
          <w:p w14:paraId="5F4FC201">
            <w:pPr>
              <w:spacing w:line="360" w:lineRule="auto"/>
              <w:jc w:val="center"/>
              <w:rPr>
                <w:rFonts w:ascii="宋体" w:hAnsi="宋体" w:eastAsia="宋体" w:cs="宋体"/>
                <w:color w:val="000000"/>
                <w:szCs w:val="21"/>
              </w:rPr>
            </w:pPr>
          </w:p>
        </w:tc>
        <w:tc>
          <w:tcPr>
            <w:tcW w:w="716" w:type="dxa"/>
            <w:vAlign w:val="center"/>
          </w:tcPr>
          <w:p w14:paraId="7F504DE7">
            <w:pPr>
              <w:spacing w:line="360" w:lineRule="auto"/>
              <w:jc w:val="center"/>
              <w:rPr>
                <w:rFonts w:ascii="宋体" w:hAnsi="宋体" w:eastAsia="宋体" w:cs="宋体"/>
                <w:color w:val="000000"/>
                <w:szCs w:val="21"/>
              </w:rPr>
            </w:pPr>
          </w:p>
        </w:tc>
      </w:tr>
      <w:tr w14:paraId="4B3F51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EBA4810">
            <w:pPr>
              <w:spacing w:line="360" w:lineRule="auto"/>
              <w:jc w:val="center"/>
              <w:rPr>
                <w:rFonts w:ascii="宋体" w:hAnsi="宋体" w:eastAsia="宋体" w:cs="宋体"/>
                <w:color w:val="000000"/>
                <w:szCs w:val="21"/>
              </w:rPr>
            </w:pPr>
          </w:p>
        </w:tc>
        <w:tc>
          <w:tcPr>
            <w:tcW w:w="970" w:type="dxa"/>
            <w:vAlign w:val="center"/>
          </w:tcPr>
          <w:p w14:paraId="14761B4F">
            <w:pPr>
              <w:spacing w:line="360" w:lineRule="auto"/>
              <w:jc w:val="center"/>
              <w:rPr>
                <w:rFonts w:ascii="宋体" w:hAnsi="宋体" w:eastAsia="宋体" w:cs="宋体"/>
                <w:color w:val="000000"/>
                <w:szCs w:val="21"/>
              </w:rPr>
            </w:pPr>
          </w:p>
        </w:tc>
        <w:tc>
          <w:tcPr>
            <w:tcW w:w="708" w:type="dxa"/>
            <w:vAlign w:val="center"/>
          </w:tcPr>
          <w:p w14:paraId="283785C3">
            <w:pPr>
              <w:spacing w:line="360" w:lineRule="auto"/>
              <w:jc w:val="center"/>
              <w:rPr>
                <w:rFonts w:ascii="宋体" w:hAnsi="宋体" w:eastAsia="宋体" w:cs="宋体"/>
                <w:color w:val="000000"/>
                <w:szCs w:val="21"/>
              </w:rPr>
            </w:pPr>
          </w:p>
        </w:tc>
        <w:tc>
          <w:tcPr>
            <w:tcW w:w="993" w:type="dxa"/>
            <w:vAlign w:val="center"/>
          </w:tcPr>
          <w:p w14:paraId="1B490519">
            <w:pPr>
              <w:spacing w:line="360" w:lineRule="auto"/>
              <w:jc w:val="center"/>
              <w:rPr>
                <w:rFonts w:ascii="宋体" w:hAnsi="宋体" w:eastAsia="宋体" w:cs="宋体"/>
                <w:color w:val="000000"/>
                <w:szCs w:val="21"/>
              </w:rPr>
            </w:pPr>
          </w:p>
        </w:tc>
        <w:tc>
          <w:tcPr>
            <w:tcW w:w="850" w:type="dxa"/>
            <w:vAlign w:val="center"/>
          </w:tcPr>
          <w:p w14:paraId="7FB5E4B5">
            <w:pPr>
              <w:spacing w:line="360" w:lineRule="auto"/>
              <w:jc w:val="center"/>
              <w:rPr>
                <w:rFonts w:ascii="宋体" w:hAnsi="宋体" w:eastAsia="宋体" w:cs="宋体"/>
                <w:color w:val="000000"/>
                <w:szCs w:val="21"/>
              </w:rPr>
            </w:pPr>
          </w:p>
        </w:tc>
        <w:tc>
          <w:tcPr>
            <w:tcW w:w="992" w:type="dxa"/>
            <w:vAlign w:val="center"/>
          </w:tcPr>
          <w:p w14:paraId="314BCA84">
            <w:pPr>
              <w:spacing w:line="360" w:lineRule="auto"/>
              <w:jc w:val="center"/>
              <w:rPr>
                <w:rFonts w:ascii="宋体" w:hAnsi="宋体" w:eastAsia="宋体" w:cs="宋体"/>
                <w:color w:val="000000"/>
                <w:szCs w:val="21"/>
              </w:rPr>
            </w:pPr>
          </w:p>
        </w:tc>
        <w:tc>
          <w:tcPr>
            <w:tcW w:w="757" w:type="dxa"/>
            <w:vAlign w:val="center"/>
          </w:tcPr>
          <w:p w14:paraId="3317F044">
            <w:pPr>
              <w:spacing w:line="360" w:lineRule="auto"/>
              <w:jc w:val="center"/>
              <w:rPr>
                <w:rFonts w:ascii="宋体" w:hAnsi="宋体" w:eastAsia="宋体" w:cs="宋体"/>
                <w:color w:val="000000"/>
                <w:szCs w:val="21"/>
              </w:rPr>
            </w:pPr>
          </w:p>
        </w:tc>
        <w:tc>
          <w:tcPr>
            <w:tcW w:w="803" w:type="dxa"/>
            <w:vAlign w:val="center"/>
          </w:tcPr>
          <w:p w14:paraId="58ADE426">
            <w:pPr>
              <w:spacing w:line="360" w:lineRule="auto"/>
              <w:jc w:val="center"/>
              <w:rPr>
                <w:rFonts w:ascii="宋体" w:hAnsi="宋体" w:eastAsia="宋体" w:cs="宋体"/>
                <w:color w:val="000000"/>
                <w:szCs w:val="21"/>
              </w:rPr>
            </w:pPr>
          </w:p>
        </w:tc>
        <w:tc>
          <w:tcPr>
            <w:tcW w:w="992" w:type="dxa"/>
            <w:vAlign w:val="center"/>
          </w:tcPr>
          <w:p w14:paraId="7D775922">
            <w:pPr>
              <w:spacing w:line="360" w:lineRule="auto"/>
              <w:jc w:val="center"/>
              <w:rPr>
                <w:rFonts w:ascii="宋体" w:hAnsi="宋体" w:eastAsia="宋体" w:cs="宋体"/>
                <w:color w:val="000000"/>
                <w:szCs w:val="21"/>
              </w:rPr>
            </w:pPr>
          </w:p>
        </w:tc>
        <w:tc>
          <w:tcPr>
            <w:tcW w:w="716" w:type="dxa"/>
            <w:vAlign w:val="center"/>
          </w:tcPr>
          <w:p w14:paraId="573DB7AB">
            <w:pPr>
              <w:spacing w:line="360" w:lineRule="auto"/>
              <w:jc w:val="center"/>
              <w:rPr>
                <w:rFonts w:ascii="宋体" w:hAnsi="宋体" w:eastAsia="宋体" w:cs="宋体"/>
                <w:color w:val="000000"/>
                <w:szCs w:val="21"/>
              </w:rPr>
            </w:pPr>
          </w:p>
        </w:tc>
      </w:tr>
      <w:tr w14:paraId="340805A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48CEF68E">
            <w:pPr>
              <w:spacing w:line="360" w:lineRule="auto"/>
              <w:jc w:val="center"/>
              <w:rPr>
                <w:rFonts w:ascii="宋体" w:hAnsi="宋体" w:eastAsia="宋体" w:cs="宋体"/>
                <w:color w:val="000000"/>
                <w:szCs w:val="21"/>
              </w:rPr>
            </w:pPr>
          </w:p>
        </w:tc>
        <w:tc>
          <w:tcPr>
            <w:tcW w:w="970" w:type="dxa"/>
            <w:vAlign w:val="center"/>
          </w:tcPr>
          <w:p w14:paraId="693C0B91">
            <w:pPr>
              <w:spacing w:line="360" w:lineRule="auto"/>
              <w:jc w:val="center"/>
              <w:rPr>
                <w:rFonts w:ascii="宋体" w:hAnsi="宋体" w:eastAsia="宋体" w:cs="宋体"/>
                <w:color w:val="000000"/>
                <w:szCs w:val="21"/>
              </w:rPr>
            </w:pPr>
          </w:p>
        </w:tc>
        <w:tc>
          <w:tcPr>
            <w:tcW w:w="708" w:type="dxa"/>
            <w:vAlign w:val="center"/>
          </w:tcPr>
          <w:p w14:paraId="3CF74584">
            <w:pPr>
              <w:spacing w:line="360" w:lineRule="auto"/>
              <w:jc w:val="center"/>
              <w:rPr>
                <w:rFonts w:ascii="宋体" w:hAnsi="宋体" w:eastAsia="宋体" w:cs="宋体"/>
                <w:color w:val="000000"/>
                <w:szCs w:val="21"/>
              </w:rPr>
            </w:pPr>
          </w:p>
        </w:tc>
        <w:tc>
          <w:tcPr>
            <w:tcW w:w="993" w:type="dxa"/>
            <w:vAlign w:val="center"/>
          </w:tcPr>
          <w:p w14:paraId="20CC44DB">
            <w:pPr>
              <w:spacing w:line="360" w:lineRule="auto"/>
              <w:jc w:val="center"/>
              <w:rPr>
                <w:rFonts w:ascii="宋体" w:hAnsi="宋体" w:eastAsia="宋体" w:cs="宋体"/>
                <w:color w:val="000000"/>
                <w:szCs w:val="21"/>
              </w:rPr>
            </w:pPr>
          </w:p>
        </w:tc>
        <w:tc>
          <w:tcPr>
            <w:tcW w:w="850" w:type="dxa"/>
            <w:vAlign w:val="center"/>
          </w:tcPr>
          <w:p w14:paraId="64D00D1C">
            <w:pPr>
              <w:spacing w:line="360" w:lineRule="auto"/>
              <w:jc w:val="center"/>
              <w:rPr>
                <w:rFonts w:ascii="宋体" w:hAnsi="宋体" w:eastAsia="宋体" w:cs="宋体"/>
                <w:color w:val="000000"/>
                <w:szCs w:val="21"/>
              </w:rPr>
            </w:pPr>
          </w:p>
        </w:tc>
        <w:tc>
          <w:tcPr>
            <w:tcW w:w="992" w:type="dxa"/>
            <w:vAlign w:val="center"/>
          </w:tcPr>
          <w:p w14:paraId="76A1A8B4">
            <w:pPr>
              <w:spacing w:line="360" w:lineRule="auto"/>
              <w:jc w:val="center"/>
              <w:rPr>
                <w:rFonts w:ascii="宋体" w:hAnsi="宋体" w:eastAsia="宋体" w:cs="宋体"/>
                <w:color w:val="000000"/>
                <w:szCs w:val="21"/>
              </w:rPr>
            </w:pPr>
          </w:p>
        </w:tc>
        <w:tc>
          <w:tcPr>
            <w:tcW w:w="757" w:type="dxa"/>
            <w:vAlign w:val="center"/>
          </w:tcPr>
          <w:p w14:paraId="0078B55D">
            <w:pPr>
              <w:spacing w:line="360" w:lineRule="auto"/>
              <w:jc w:val="center"/>
              <w:rPr>
                <w:rFonts w:ascii="宋体" w:hAnsi="宋体" w:eastAsia="宋体" w:cs="宋体"/>
                <w:color w:val="000000"/>
                <w:szCs w:val="21"/>
              </w:rPr>
            </w:pPr>
          </w:p>
        </w:tc>
        <w:tc>
          <w:tcPr>
            <w:tcW w:w="803" w:type="dxa"/>
            <w:vAlign w:val="center"/>
          </w:tcPr>
          <w:p w14:paraId="7615413D">
            <w:pPr>
              <w:spacing w:line="360" w:lineRule="auto"/>
              <w:jc w:val="center"/>
              <w:rPr>
                <w:rFonts w:ascii="宋体" w:hAnsi="宋体" w:eastAsia="宋体" w:cs="宋体"/>
                <w:color w:val="000000"/>
                <w:szCs w:val="21"/>
              </w:rPr>
            </w:pPr>
          </w:p>
        </w:tc>
        <w:tc>
          <w:tcPr>
            <w:tcW w:w="992" w:type="dxa"/>
            <w:vAlign w:val="center"/>
          </w:tcPr>
          <w:p w14:paraId="0C6F116F">
            <w:pPr>
              <w:spacing w:line="360" w:lineRule="auto"/>
              <w:jc w:val="center"/>
              <w:rPr>
                <w:rFonts w:ascii="宋体" w:hAnsi="宋体" w:eastAsia="宋体" w:cs="宋体"/>
                <w:color w:val="000000"/>
                <w:szCs w:val="21"/>
              </w:rPr>
            </w:pPr>
          </w:p>
        </w:tc>
        <w:tc>
          <w:tcPr>
            <w:tcW w:w="716" w:type="dxa"/>
            <w:vAlign w:val="center"/>
          </w:tcPr>
          <w:p w14:paraId="543F6BFF">
            <w:pPr>
              <w:spacing w:line="360" w:lineRule="auto"/>
              <w:jc w:val="center"/>
              <w:rPr>
                <w:rFonts w:ascii="宋体" w:hAnsi="宋体" w:eastAsia="宋体" w:cs="宋体"/>
                <w:color w:val="000000"/>
                <w:szCs w:val="21"/>
              </w:rPr>
            </w:pPr>
          </w:p>
        </w:tc>
      </w:tr>
      <w:tr w14:paraId="4056B5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45A09485">
            <w:pPr>
              <w:spacing w:line="360" w:lineRule="auto"/>
              <w:jc w:val="center"/>
              <w:rPr>
                <w:rFonts w:ascii="宋体" w:hAnsi="宋体" w:eastAsia="宋体" w:cs="宋体"/>
                <w:color w:val="000000"/>
                <w:szCs w:val="21"/>
              </w:rPr>
            </w:pPr>
          </w:p>
        </w:tc>
        <w:tc>
          <w:tcPr>
            <w:tcW w:w="970" w:type="dxa"/>
            <w:vAlign w:val="center"/>
          </w:tcPr>
          <w:p w14:paraId="7B44C2EF">
            <w:pPr>
              <w:spacing w:line="360" w:lineRule="auto"/>
              <w:jc w:val="center"/>
              <w:rPr>
                <w:rFonts w:ascii="宋体" w:hAnsi="宋体" w:eastAsia="宋体" w:cs="宋体"/>
                <w:color w:val="000000"/>
                <w:szCs w:val="21"/>
              </w:rPr>
            </w:pPr>
          </w:p>
        </w:tc>
        <w:tc>
          <w:tcPr>
            <w:tcW w:w="708" w:type="dxa"/>
            <w:vAlign w:val="center"/>
          </w:tcPr>
          <w:p w14:paraId="72F9023C">
            <w:pPr>
              <w:spacing w:line="360" w:lineRule="auto"/>
              <w:jc w:val="center"/>
              <w:rPr>
                <w:rFonts w:ascii="宋体" w:hAnsi="宋体" w:eastAsia="宋体" w:cs="宋体"/>
                <w:color w:val="000000"/>
                <w:szCs w:val="21"/>
              </w:rPr>
            </w:pPr>
          </w:p>
        </w:tc>
        <w:tc>
          <w:tcPr>
            <w:tcW w:w="993" w:type="dxa"/>
            <w:vAlign w:val="center"/>
          </w:tcPr>
          <w:p w14:paraId="7A01BDE8">
            <w:pPr>
              <w:spacing w:line="360" w:lineRule="auto"/>
              <w:jc w:val="center"/>
              <w:rPr>
                <w:rFonts w:ascii="宋体" w:hAnsi="宋体" w:eastAsia="宋体" w:cs="宋体"/>
                <w:color w:val="000000"/>
                <w:szCs w:val="21"/>
              </w:rPr>
            </w:pPr>
          </w:p>
        </w:tc>
        <w:tc>
          <w:tcPr>
            <w:tcW w:w="850" w:type="dxa"/>
            <w:vAlign w:val="center"/>
          </w:tcPr>
          <w:p w14:paraId="7D7715A8">
            <w:pPr>
              <w:spacing w:line="360" w:lineRule="auto"/>
              <w:jc w:val="center"/>
              <w:rPr>
                <w:rFonts w:ascii="宋体" w:hAnsi="宋体" w:eastAsia="宋体" w:cs="宋体"/>
                <w:color w:val="000000"/>
                <w:szCs w:val="21"/>
              </w:rPr>
            </w:pPr>
          </w:p>
        </w:tc>
        <w:tc>
          <w:tcPr>
            <w:tcW w:w="992" w:type="dxa"/>
            <w:vAlign w:val="center"/>
          </w:tcPr>
          <w:p w14:paraId="2318E632">
            <w:pPr>
              <w:spacing w:line="360" w:lineRule="auto"/>
              <w:jc w:val="center"/>
              <w:rPr>
                <w:rFonts w:ascii="宋体" w:hAnsi="宋体" w:eastAsia="宋体" w:cs="宋体"/>
                <w:color w:val="000000"/>
                <w:szCs w:val="21"/>
              </w:rPr>
            </w:pPr>
          </w:p>
        </w:tc>
        <w:tc>
          <w:tcPr>
            <w:tcW w:w="757" w:type="dxa"/>
            <w:vAlign w:val="center"/>
          </w:tcPr>
          <w:p w14:paraId="4831C1A1">
            <w:pPr>
              <w:spacing w:line="360" w:lineRule="auto"/>
              <w:jc w:val="center"/>
              <w:rPr>
                <w:rFonts w:ascii="宋体" w:hAnsi="宋体" w:eastAsia="宋体" w:cs="宋体"/>
                <w:color w:val="000000"/>
                <w:szCs w:val="21"/>
              </w:rPr>
            </w:pPr>
          </w:p>
        </w:tc>
        <w:tc>
          <w:tcPr>
            <w:tcW w:w="803" w:type="dxa"/>
            <w:vAlign w:val="center"/>
          </w:tcPr>
          <w:p w14:paraId="60CF8928">
            <w:pPr>
              <w:spacing w:line="360" w:lineRule="auto"/>
              <w:jc w:val="center"/>
              <w:rPr>
                <w:rFonts w:ascii="宋体" w:hAnsi="宋体" w:eastAsia="宋体" w:cs="宋体"/>
                <w:color w:val="000000"/>
                <w:szCs w:val="21"/>
              </w:rPr>
            </w:pPr>
          </w:p>
        </w:tc>
        <w:tc>
          <w:tcPr>
            <w:tcW w:w="992" w:type="dxa"/>
            <w:vAlign w:val="center"/>
          </w:tcPr>
          <w:p w14:paraId="6FDCC3A9">
            <w:pPr>
              <w:spacing w:line="360" w:lineRule="auto"/>
              <w:jc w:val="center"/>
              <w:rPr>
                <w:rFonts w:ascii="宋体" w:hAnsi="宋体" w:eastAsia="宋体" w:cs="宋体"/>
                <w:color w:val="000000"/>
                <w:szCs w:val="21"/>
              </w:rPr>
            </w:pPr>
          </w:p>
        </w:tc>
        <w:tc>
          <w:tcPr>
            <w:tcW w:w="716" w:type="dxa"/>
            <w:vAlign w:val="center"/>
          </w:tcPr>
          <w:p w14:paraId="075CA155">
            <w:pPr>
              <w:spacing w:line="360" w:lineRule="auto"/>
              <w:jc w:val="center"/>
              <w:rPr>
                <w:rFonts w:ascii="宋体" w:hAnsi="宋体" w:eastAsia="宋体" w:cs="宋体"/>
                <w:color w:val="000000"/>
                <w:szCs w:val="21"/>
              </w:rPr>
            </w:pPr>
          </w:p>
        </w:tc>
      </w:tr>
      <w:tr w14:paraId="6AAA3A2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31D30462">
            <w:pPr>
              <w:spacing w:line="360" w:lineRule="auto"/>
              <w:jc w:val="center"/>
              <w:rPr>
                <w:rFonts w:ascii="宋体" w:hAnsi="宋体" w:eastAsia="宋体" w:cs="宋体"/>
                <w:color w:val="000000"/>
                <w:szCs w:val="21"/>
              </w:rPr>
            </w:pPr>
          </w:p>
        </w:tc>
        <w:tc>
          <w:tcPr>
            <w:tcW w:w="970" w:type="dxa"/>
            <w:vAlign w:val="center"/>
          </w:tcPr>
          <w:p w14:paraId="14B39D49">
            <w:pPr>
              <w:spacing w:line="360" w:lineRule="auto"/>
              <w:jc w:val="center"/>
              <w:rPr>
                <w:rFonts w:ascii="宋体" w:hAnsi="宋体" w:eastAsia="宋体" w:cs="宋体"/>
                <w:color w:val="000000"/>
                <w:szCs w:val="21"/>
              </w:rPr>
            </w:pPr>
          </w:p>
        </w:tc>
        <w:tc>
          <w:tcPr>
            <w:tcW w:w="708" w:type="dxa"/>
            <w:vAlign w:val="center"/>
          </w:tcPr>
          <w:p w14:paraId="7EEA7886">
            <w:pPr>
              <w:spacing w:line="360" w:lineRule="auto"/>
              <w:jc w:val="center"/>
              <w:rPr>
                <w:rFonts w:ascii="宋体" w:hAnsi="宋体" w:eastAsia="宋体" w:cs="宋体"/>
                <w:color w:val="000000"/>
                <w:szCs w:val="21"/>
              </w:rPr>
            </w:pPr>
          </w:p>
        </w:tc>
        <w:tc>
          <w:tcPr>
            <w:tcW w:w="993" w:type="dxa"/>
            <w:vAlign w:val="center"/>
          </w:tcPr>
          <w:p w14:paraId="55EA3ECC">
            <w:pPr>
              <w:spacing w:line="360" w:lineRule="auto"/>
              <w:jc w:val="center"/>
              <w:rPr>
                <w:rFonts w:ascii="宋体" w:hAnsi="宋体" w:eastAsia="宋体" w:cs="宋体"/>
                <w:color w:val="000000"/>
                <w:szCs w:val="21"/>
              </w:rPr>
            </w:pPr>
          </w:p>
        </w:tc>
        <w:tc>
          <w:tcPr>
            <w:tcW w:w="850" w:type="dxa"/>
            <w:vAlign w:val="center"/>
          </w:tcPr>
          <w:p w14:paraId="0522114C">
            <w:pPr>
              <w:spacing w:line="360" w:lineRule="auto"/>
              <w:jc w:val="center"/>
              <w:rPr>
                <w:rFonts w:ascii="宋体" w:hAnsi="宋体" w:eastAsia="宋体" w:cs="宋体"/>
                <w:color w:val="000000"/>
                <w:szCs w:val="21"/>
              </w:rPr>
            </w:pPr>
          </w:p>
        </w:tc>
        <w:tc>
          <w:tcPr>
            <w:tcW w:w="992" w:type="dxa"/>
            <w:vAlign w:val="center"/>
          </w:tcPr>
          <w:p w14:paraId="28B4559D">
            <w:pPr>
              <w:spacing w:line="360" w:lineRule="auto"/>
              <w:jc w:val="center"/>
              <w:rPr>
                <w:rFonts w:ascii="宋体" w:hAnsi="宋体" w:eastAsia="宋体" w:cs="宋体"/>
                <w:color w:val="000000"/>
                <w:szCs w:val="21"/>
              </w:rPr>
            </w:pPr>
          </w:p>
        </w:tc>
        <w:tc>
          <w:tcPr>
            <w:tcW w:w="757" w:type="dxa"/>
            <w:vAlign w:val="center"/>
          </w:tcPr>
          <w:p w14:paraId="74A623EB">
            <w:pPr>
              <w:spacing w:line="360" w:lineRule="auto"/>
              <w:jc w:val="center"/>
              <w:rPr>
                <w:rFonts w:ascii="宋体" w:hAnsi="宋体" w:eastAsia="宋体" w:cs="宋体"/>
                <w:color w:val="000000"/>
                <w:szCs w:val="21"/>
              </w:rPr>
            </w:pPr>
          </w:p>
        </w:tc>
        <w:tc>
          <w:tcPr>
            <w:tcW w:w="803" w:type="dxa"/>
            <w:vAlign w:val="center"/>
          </w:tcPr>
          <w:p w14:paraId="77856186">
            <w:pPr>
              <w:spacing w:line="360" w:lineRule="auto"/>
              <w:jc w:val="center"/>
              <w:rPr>
                <w:rFonts w:ascii="宋体" w:hAnsi="宋体" w:eastAsia="宋体" w:cs="宋体"/>
                <w:color w:val="000000"/>
                <w:szCs w:val="21"/>
              </w:rPr>
            </w:pPr>
          </w:p>
        </w:tc>
        <w:tc>
          <w:tcPr>
            <w:tcW w:w="992" w:type="dxa"/>
            <w:vAlign w:val="center"/>
          </w:tcPr>
          <w:p w14:paraId="1AD09965">
            <w:pPr>
              <w:spacing w:line="360" w:lineRule="auto"/>
              <w:jc w:val="center"/>
              <w:rPr>
                <w:rFonts w:ascii="宋体" w:hAnsi="宋体" w:eastAsia="宋体" w:cs="宋体"/>
                <w:color w:val="000000"/>
                <w:szCs w:val="21"/>
              </w:rPr>
            </w:pPr>
          </w:p>
        </w:tc>
        <w:tc>
          <w:tcPr>
            <w:tcW w:w="716" w:type="dxa"/>
            <w:vAlign w:val="center"/>
          </w:tcPr>
          <w:p w14:paraId="32AA4AEA">
            <w:pPr>
              <w:spacing w:line="360" w:lineRule="auto"/>
              <w:jc w:val="center"/>
              <w:rPr>
                <w:rFonts w:ascii="宋体" w:hAnsi="宋体" w:eastAsia="宋体" w:cs="宋体"/>
                <w:color w:val="000000"/>
                <w:szCs w:val="21"/>
              </w:rPr>
            </w:pPr>
          </w:p>
        </w:tc>
      </w:tr>
      <w:tr w14:paraId="7D2E874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582" w:type="dxa"/>
            <w:vAlign w:val="center"/>
          </w:tcPr>
          <w:p w14:paraId="10D0B0DA">
            <w:pPr>
              <w:spacing w:line="360" w:lineRule="auto"/>
              <w:jc w:val="center"/>
              <w:rPr>
                <w:rFonts w:ascii="宋体" w:hAnsi="宋体" w:eastAsia="宋体" w:cs="宋体"/>
                <w:color w:val="000000"/>
                <w:szCs w:val="21"/>
              </w:rPr>
            </w:pPr>
          </w:p>
        </w:tc>
        <w:tc>
          <w:tcPr>
            <w:tcW w:w="970" w:type="dxa"/>
            <w:vAlign w:val="center"/>
          </w:tcPr>
          <w:p w14:paraId="61831619">
            <w:pPr>
              <w:spacing w:line="360" w:lineRule="auto"/>
              <w:jc w:val="center"/>
              <w:rPr>
                <w:rFonts w:ascii="宋体" w:hAnsi="宋体" w:eastAsia="宋体" w:cs="宋体"/>
                <w:color w:val="000000"/>
                <w:szCs w:val="21"/>
              </w:rPr>
            </w:pPr>
          </w:p>
        </w:tc>
        <w:tc>
          <w:tcPr>
            <w:tcW w:w="708" w:type="dxa"/>
            <w:vAlign w:val="center"/>
          </w:tcPr>
          <w:p w14:paraId="5537BAB7">
            <w:pPr>
              <w:spacing w:line="360" w:lineRule="auto"/>
              <w:jc w:val="center"/>
              <w:rPr>
                <w:rFonts w:ascii="宋体" w:hAnsi="宋体" w:eastAsia="宋体" w:cs="宋体"/>
                <w:color w:val="000000"/>
                <w:szCs w:val="21"/>
              </w:rPr>
            </w:pPr>
          </w:p>
        </w:tc>
        <w:tc>
          <w:tcPr>
            <w:tcW w:w="993" w:type="dxa"/>
            <w:vAlign w:val="center"/>
          </w:tcPr>
          <w:p w14:paraId="1F93852A">
            <w:pPr>
              <w:spacing w:line="360" w:lineRule="auto"/>
              <w:jc w:val="center"/>
              <w:rPr>
                <w:rFonts w:ascii="宋体" w:hAnsi="宋体" w:eastAsia="宋体" w:cs="宋体"/>
                <w:color w:val="000000"/>
                <w:szCs w:val="21"/>
              </w:rPr>
            </w:pPr>
          </w:p>
        </w:tc>
        <w:tc>
          <w:tcPr>
            <w:tcW w:w="850" w:type="dxa"/>
            <w:vAlign w:val="center"/>
          </w:tcPr>
          <w:p w14:paraId="0E0389D7">
            <w:pPr>
              <w:spacing w:line="360" w:lineRule="auto"/>
              <w:jc w:val="center"/>
              <w:rPr>
                <w:rFonts w:ascii="宋体" w:hAnsi="宋体" w:eastAsia="宋体" w:cs="宋体"/>
                <w:color w:val="000000"/>
                <w:szCs w:val="21"/>
              </w:rPr>
            </w:pPr>
          </w:p>
        </w:tc>
        <w:tc>
          <w:tcPr>
            <w:tcW w:w="992" w:type="dxa"/>
            <w:vAlign w:val="center"/>
          </w:tcPr>
          <w:p w14:paraId="76D677D0">
            <w:pPr>
              <w:spacing w:line="360" w:lineRule="auto"/>
              <w:jc w:val="center"/>
              <w:rPr>
                <w:rFonts w:ascii="宋体" w:hAnsi="宋体" w:eastAsia="宋体" w:cs="宋体"/>
                <w:color w:val="000000"/>
                <w:szCs w:val="21"/>
              </w:rPr>
            </w:pPr>
          </w:p>
        </w:tc>
        <w:tc>
          <w:tcPr>
            <w:tcW w:w="757" w:type="dxa"/>
            <w:vAlign w:val="center"/>
          </w:tcPr>
          <w:p w14:paraId="7A36EF5A">
            <w:pPr>
              <w:spacing w:line="360" w:lineRule="auto"/>
              <w:jc w:val="center"/>
              <w:rPr>
                <w:rFonts w:ascii="宋体" w:hAnsi="宋体" w:eastAsia="宋体" w:cs="宋体"/>
                <w:color w:val="000000"/>
                <w:szCs w:val="21"/>
              </w:rPr>
            </w:pPr>
          </w:p>
        </w:tc>
        <w:tc>
          <w:tcPr>
            <w:tcW w:w="803" w:type="dxa"/>
            <w:vAlign w:val="center"/>
          </w:tcPr>
          <w:p w14:paraId="0971242F">
            <w:pPr>
              <w:spacing w:line="360" w:lineRule="auto"/>
              <w:jc w:val="center"/>
              <w:rPr>
                <w:rFonts w:ascii="宋体" w:hAnsi="宋体" w:eastAsia="宋体" w:cs="宋体"/>
                <w:color w:val="000000"/>
                <w:szCs w:val="21"/>
              </w:rPr>
            </w:pPr>
          </w:p>
        </w:tc>
        <w:tc>
          <w:tcPr>
            <w:tcW w:w="992" w:type="dxa"/>
            <w:vAlign w:val="center"/>
          </w:tcPr>
          <w:p w14:paraId="74DB2B8A">
            <w:pPr>
              <w:spacing w:line="360" w:lineRule="auto"/>
              <w:jc w:val="center"/>
              <w:rPr>
                <w:rFonts w:ascii="宋体" w:hAnsi="宋体" w:eastAsia="宋体" w:cs="宋体"/>
                <w:color w:val="000000"/>
                <w:szCs w:val="21"/>
              </w:rPr>
            </w:pPr>
          </w:p>
        </w:tc>
        <w:tc>
          <w:tcPr>
            <w:tcW w:w="716" w:type="dxa"/>
            <w:vAlign w:val="center"/>
          </w:tcPr>
          <w:p w14:paraId="6C05178B">
            <w:pPr>
              <w:spacing w:line="360" w:lineRule="auto"/>
              <w:jc w:val="center"/>
              <w:rPr>
                <w:rFonts w:ascii="宋体" w:hAnsi="宋体" w:eastAsia="宋体" w:cs="宋体"/>
                <w:color w:val="000000"/>
                <w:szCs w:val="21"/>
              </w:rPr>
            </w:pPr>
          </w:p>
        </w:tc>
      </w:tr>
    </w:tbl>
    <w:p w14:paraId="26DE7DB0">
      <w:pPr>
        <w:spacing w:line="360" w:lineRule="auto"/>
        <w:rPr>
          <w:rFonts w:ascii="宋体" w:hAnsi="宋体" w:eastAsia="宋体" w:cs="宋体"/>
          <w:color w:val="000000"/>
          <w:szCs w:val="21"/>
        </w:rPr>
      </w:pPr>
    </w:p>
    <w:p w14:paraId="286522D4">
      <w:pPr>
        <w:spacing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57" w:name="_Toc296891266"/>
      <w:bookmarkStart w:id="1758" w:name="_Toc296347225"/>
      <w:bookmarkStart w:id="1759" w:name="_Toc267261693"/>
      <w:bookmarkStart w:id="1760" w:name="_Toc296346727"/>
      <w:bookmarkStart w:id="1761" w:name="_Toc296944565"/>
      <w:bookmarkStart w:id="1762" w:name="_Toc296891054"/>
      <w:bookmarkStart w:id="1763" w:name="_Toc296503226"/>
      <w:r>
        <w:rPr>
          <w:rFonts w:hint="eastAsia" w:ascii="宋体" w:hAnsi="宋体" w:eastAsia="宋体" w:cs="宋体"/>
          <w:color w:val="000000"/>
          <w:szCs w:val="21"/>
        </w:rPr>
        <w:t>件3：</w:t>
      </w:r>
      <w:bookmarkEnd w:id="1757"/>
      <w:bookmarkEnd w:id="1758"/>
      <w:bookmarkEnd w:id="1759"/>
      <w:bookmarkEnd w:id="1760"/>
      <w:bookmarkEnd w:id="1761"/>
      <w:bookmarkEnd w:id="1762"/>
      <w:bookmarkEnd w:id="1763"/>
      <w:r>
        <w:rPr>
          <w:rFonts w:hint="eastAsia" w:ascii="宋体" w:hAnsi="宋体" w:eastAsia="宋体" w:cs="宋体"/>
          <w:color w:val="000000"/>
          <w:szCs w:val="21"/>
        </w:rPr>
        <w:t xml:space="preserve">    </w:t>
      </w:r>
    </w:p>
    <w:p w14:paraId="2BB0EC8C">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工程质量保修书</w:t>
      </w:r>
    </w:p>
    <w:p w14:paraId="1EA38D8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 xml:space="preserve">发包人（全称）：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w:t>
      </w:r>
    </w:p>
    <w:p w14:paraId="7EB772C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承包人（全称）：</w:t>
      </w:r>
      <w:r>
        <w:rPr>
          <w:rFonts w:hint="eastAsia" w:ascii="宋体" w:hAnsi="宋体" w:eastAsia="宋体" w:cs="宋体"/>
          <w:color w:val="000000"/>
          <w:szCs w:val="21"/>
          <w:u w:val="single"/>
        </w:rPr>
        <w:t xml:space="preserve">                </w:t>
      </w:r>
    </w:p>
    <w:p w14:paraId="6EFFA17B">
      <w:pPr>
        <w:spacing w:line="360" w:lineRule="auto"/>
        <w:rPr>
          <w:rFonts w:ascii="宋体" w:hAnsi="宋体" w:eastAsia="宋体" w:cs="宋体"/>
          <w:color w:val="000000"/>
          <w:szCs w:val="21"/>
        </w:rPr>
      </w:pPr>
    </w:p>
    <w:p w14:paraId="5BC22466">
      <w:pPr>
        <w:spacing w:line="360" w:lineRule="auto"/>
        <w:rPr>
          <w:rFonts w:ascii="宋体" w:hAnsi="宋体" w:eastAsia="宋体" w:cs="宋体"/>
          <w:color w:val="000000"/>
          <w:szCs w:val="21"/>
        </w:rPr>
      </w:pPr>
      <w:r>
        <w:rPr>
          <w:rFonts w:hint="eastAsia" w:ascii="宋体" w:hAnsi="宋体" w:eastAsia="宋体" w:cs="宋体"/>
          <w:color w:val="000000"/>
          <w:szCs w:val="21"/>
        </w:rPr>
        <w:t>　　发包人和承包人根据《中华人民共和国建筑法》和《建设工程质量管理条例》，经协商一致就</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（工程全称）签订工程质量保修书。</w:t>
      </w:r>
    </w:p>
    <w:p w14:paraId="1AAFA4F0">
      <w:pPr>
        <w:spacing w:line="360" w:lineRule="auto"/>
        <w:rPr>
          <w:rFonts w:ascii="宋体" w:hAnsi="宋体" w:eastAsia="宋体" w:cs="宋体"/>
          <w:color w:val="000000"/>
          <w:szCs w:val="21"/>
        </w:rPr>
      </w:pPr>
      <w:r>
        <w:rPr>
          <w:rFonts w:hint="eastAsia" w:ascii="宋体" w:hAnsi="宋体" w:eastAsia="宋体" w:cs="宋体"/>
          <w:color w:val="000000"/>
          <w:szCs w:val="21"/>
        </w:rPr>
        <w:t>　　一、工程质量保修范围和内容</w:t>
      </w:r>
    </w:p>
    <w:p w14:paraId="624064AE">
      <w:pPr>
        <w:spacing w:line="360" w:lineRule="auto"/>
        <w:rPr>
          <w:rFonts w:ascii="宋体" w:hAnsi="宋体" w:eastAsia="宋体" w:cs="宋体"/>
          <w:color w:val="000000"/>
          <w:szCs w:val="21"/>
        </w:rPr>
      </w:pPr>
      <w:r>
        <w:rPr>
          <w:rFonts w:hint="eastAsia" w:ascii="宋体" w:hAnsi="宋体" w:eastAsia="宋体" w:cs="宋体"/>
          <w:color w:val="000000"/>
          <w:szCs w:val="21"/>
        </w:rPr>
        <w:t>　　承包人在质量保修期内，按照有关法律规定和合同约定，承担工程质量保修责任。</w:t>
      </w:r>
    </w:p>
    <w:p w14:paraId="665F7847">
      <w:pPr>
        <w:spacing w:line="360" w:lineRule="auto"/>
        <w:rPr>
          <w:rFonts w:ascii="宋体" w:hAnsi="宋体" w:eastAsia="宋体" w:cs="宋体"/>
          <w:color w:val="000000"/>
          <w:szCs w:val="21"/>
        </w:rPr>
      </w:pPr>
      <w:r>
        <w:rPr>
          <w:rFonts w:hint="eastAsia" w:ascii="宋体" w:hAnsi="宋体" w:eastAsia="宋体" w:cs="宋体"/>
          <w:color w:val="000000"/>
          <w:szCs w:val="21"/>
        </w:rPr>
        <w:t>　　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71A60194">
      <w:pPr>
        <w:spacing w:line="360" w:lineRule="auto"/>
        <w:rPr>
          <w:rFonts w:ascii="宋体" w:hAnsi="宋体" w:eastAsia="宋体" w:cs="宋体"/>
          <w:color w:val="000000"/>
          <w:szCs w:val="21"/>
          <w:u w:val="single"/>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056F2664">
      <w:pPr>
        <w:spacing w:line="360" w:lineRule="auto"/>
        <w:rPr>
          <w:rFonts w:ascii="宋体" w:hAnsi="宋体" w:eastAsia="宋体" w:cs="宋体"/>
          <w:color w:val="000000"/>
          <w:szCs w:val="21"/>
        </w:rPr>
      </w:pPr>
      <w:r>
        <w:rPr>
          <w:rFonts w:hint="eastAsia" w:ascii="宋体" w:hAnsi="宋体" w:eastAsia="宋体" w:cs="宋体"/>
          <w:b/>
          <w:color w:val="000000"/>
          <w:szCs w:val="21"/>
        </w:rPr>
        <w:t>　　</w:t>
      </w:r>
      <w:r>
        <w:rPr>
          <w:rFonts w:hint="eastAsia" w:ascii="宋体" w:hAnsi="宋体" w:eastAsia="宋体" w:cs="宋体"/>
          <w:color w:val="000000"/>
          <w:szCs w:val="21"/>
        </w:rPr>
        <w:t>二、质量保修期</w:t>
      </w:r>
    </w:p>
    <w:p w14:paraId="77A49D8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根据《建设工程质量管理条例》及有关规定，工程的质量保修期如下：</w:t>
      </w:r>
    </w:p>
    <w:p w14:paraId="5FDC9993">
      <w:pPr>
        <w:spacing w:line="360" w:lineRule="auto"/>
        <w:ind w:firstLine="420" w:firstLineChars="200"/>
        <w:rPr>
          <w:rFonts w:ascii="宋体" w:hAnsi="宋体" w:eastAsia="宋体" w:cs="宋体"/>
          <w:szCs w:val="21"/>
        </w:rPr>
      </w:pPr>
      <w:r>
        <w:rPr>
          <w:rFonts w:hint="eastAsia" w:ascii="宋体" w:hAnsi="宋体" w:eastAsia="宋体" w:cs="宋体"/>
          <w:szCs w:val="21"/>
        </w:rPr>
        <w:t>1</w:t>
      </w:r>
      <w:r>
        <w:rPr>
          <w:rFonts w:hint="eastAsia" w:ascii="宋体" w:hAnsi="宋体" w:eastAsia="宋体" w:cs="宋体"/>
          <w:color w:val="000000"/>
          <w:szCs w:val="21"/>
        </w:rPr>
        <w:t>．</w:t>
      </w:r>
      <w:r>
        <w:rPr>
          <w:rFonts w:hint="eastAsia" w:ascii="宋体" w:hAnsi="宋体" w:eastAsia="宋体" w:cs="宋体"/>
          <w:szCs w:val="21"/>
        </w:rPr>
        <w:t>地基基础工程和主体结构工程为设计文件规定的工程合理使用年限；</w:t>
      </w:r>
    </w:p>
    <w:p w14:paraId="2027D92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szCs w:val="21"/>
        </w:rPr>
        <w:t>．</w:t>
      </w:r>
      <w:r>
        <w:rPr>
          <w:rFonts w:hint="eastAsia" w:ascii="宋体" w:hAnsi="宋体" w:eastAsia="宋体" w:cs="宋体"/>
          <w:color w:val="000000"/>
          <w:szCs w:val="21"/>
        </w:rPr>
        <w:t>屋面防水工程、有防水要求的卫生间、房间和外墙面的防渗为</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5</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p>
    <w:p w14:paraId="596CB3E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szCs w:val="21"/>
        </w:rPr>
        <w:t>．</w:t>
      </w:r>
      <w:r>
        <w:rPr>
          <w:rFonts w:hint="eastAsia" w:ascii="宋体" w:hAnsi="宋体" w:eastAsia="宋体" w:cs="宋体"/>
          <w:color w:val="000000"/>
          <w:szCs w:val="21"/>
        </w:rPr>
        <w:t>装修工程为</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p>
    <w:p w14:paraId="2B58952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szCs w:val="21"/>
        </w:rPr>
        <w:t>．</w:t>
      </w:r>
      <w:r>
        <w:rPr>
          <w:rFonts w:hint="eastAsia" w:ascii="宋体" w:hAnsi="宋体" w:eastAsia="宋体" w:cs="宋体"/>
          <w:color w:val="000000"/>
          <w:szCs w:val="21"/>
        </w:rPr>
        <w:t>电气管线、给排水管道、设备安装工程为</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p>
    <w:p w14:paraId="0902974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w:t>
      </w:r>
      <w:r>
        <w:rPr>
          <w:rFonts w:hint="eastAsia" w:ascii="宋体" w:hAnsi="宋体" w:eastAsia="宋体" w:cs="宋体"/>
          <w:szCs w:val="21"/>
        </w:rPr>
        <w:t>．</w:t>
      </w:r>
      <w:r>
        <w:rPr>
          <w:rFonts w:hint="eastAsia" w:ascii="宋体" w:hAnsi="宋体" w:eastAsia="宋体" w:cs="宋体"/>
          <w:color w:val="000000"/>
          <w:szCs w:val="21"/>
        </w:rPr>
        <w:t>供热与供冷系统为</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eastAsia="宋体" w:cs="宋体"/>
          <w:color w:val="000000"/>
          <w:szCs w:val="21"/>
        </w:rPr>
        <w:t>个采暖期、供冷期；</w:t>
      </w:r>
    </w:p>
    <w:p w14:paraId="07E90DA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w:t>
      </w:r>
      <w:r>
        <w:rPr>
          <w:rFonts w:hint="eastAsia" w:ascii="宋体" w:hAnsi="宋体" w:eastAsia="宋体" w:cs="宋体"/>
          <w:szCs w:val="21"/>
        </w:rPr>
        <w:t>．</w:t>
      </w:r>
      <w:r>
        <w:rPr>
          <w:rFonts w:hint="eastAsia" w:ascii="宋体" w:hAnsi="宋体" w:eastAsia="宋体" w:cs="宋体"/>
          <w:color w:val="000000"/>
          <w:szCs w:val="21"/>
        </w:rPr>
        <w:t>住宅小区内的给排水设施、道路等配套工程为</w:t>
      </w:r>
      <w:r>
        <w:rPr>
          <w:rFonts w:hint="eastAsia" w:ascii="宋体" w:hAnsi="宋体" w:eastAsia="宋体" w:cs="宋体"/>
          <w:color w:val="000000"/>
          <w:szCs w:val="21"/>
          <w:u w:val="single"/>
        </w:rPr>
        <w:t xml:space="preserve"> </w:t>
      </w:r>
      <w:r>
        <w:rPr>
          <w:rFonts w:hint="eastAsia" w:ascii="宋体" w:hAnsi="宋体" w:cs="宋体"/>
          <w:color w:val="000000"/>
          <w:szCs w:val="21"/>
          <w:u w:val="single"/>
          <w:lang w:val="en-US" w:eastAsia="zh-CN"/>
        </w:rPr>
        <w:t>2</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p>
    <w:p w14:paraId="11029EA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7</w:t>
      </w:r>
      <w:r>
        <w:rPr>
          <w:rFonts w:hint="eastAsia" w:ascii="宋体" w:hAnsi="宋体" w:eastAsia="宋体" w:cs="宋体"/>
          <w:szCs w:val="21"/>
        </w:rPr>
        <w:t>．</w:t>
      </w:r>
      <w:r>
        <w:rPr>
          <w:rFonts w:hint="eastAsia" w:ascii="宋体" w:hAnsi="宋体" w:eastAsia="宋体" w:cs="宋体"/>
          <w:color w:val="000000"/>
          <w:szCs w:val="21"/>
        </w:rPr>
        <w:t>其他项目保修期限约定如下：</w:t>
      </w:r>
    </w:p>
    <w:p w14:paraId="75D725A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7EBAA995">
      <w:pPr>
        <w:spacing w:line="360" w:lineRule="auto"/>
        <w:rPr>
          <w:rFonts w:ascii="宋体" w:hAnsi="宋体" w:eastAsia="宋体" w:cs="宋体"/>
          <w:color w:val="000000"/>
          <w:szCs w:val="21"/>
        </w:rPr>
      </w:pPr>
      <w:r>
        <w:rPr>
          <w:rFonts w:hint="eastAsia" w:ascii="宋体" w:hAnsi="宋体" w:eastAsia="宋体" w:cs="宋体"/>
          <w:color w:val="000000"/>
          <w:szCs w:val="21"/>
        </w:rPr>
        <w:t>　　质量保修期自工程竣工验收合格之日起计算。</w:t>
      </w:r>
    </w:p>
    <w:p w14:paraId="6DFA205E">
      <w:pPr>
        <w:spacing w:line="360" w:lineRule="auto"/>
        <w:ind w:firstLine="779" w:firstLineChars="371"/>
        <w:rPr>
          <w:rFonts w:ascii="宋体" w:hAnsi="宋体" w:eastAsia="宋体" w:cs="宋体"/>
          <w:color w:val="000000"/>
          <w:szCs w:val="21"/>
        </w:rPr>
      </w:pPr>
      <w:r>
        <w:rPr>
          <w:rFonts w:hint="eastAsia" w:ascii="宋体" w:hAnsi="宋体" w:eastAsia="宋体" w:cs="宋体"/>
          <w:color w:val="000000"/>
          <w:szCs w:val="21"/>
        </w:rPr>
        <w:t>三、缺陷责任期</w:t>
      </w:r>
    </w:p>
    <w:p w14:paraId="5157240C">
      <w:pPr>
        <w:spacing w:line="360" w:lineRule="auto"/>
        <w:ind w:firstLine="735" w:firstLineChars="350"/>
        <w:rPr>
          <w:rFonts w:ascii="宋体" w:hAnsi="宋体" w:eastAsia="宋体" w:cs="宋体"/>
          <w:color w:val="000000"/>
          <w:szCs w:val="21"/>
        </w:rPr>
      </w:pPr>
      <w:r>
        <w:rPr>
          <w:rFonts w:hint="eastAsia" w:ascii="宋体" w:hAnsi="宋体" w:eastAsia="宋体" w:cs="宋体"/>
          <w:color w:val="000000"/>
          <w:szCs w:val="21"/>
        </w:rPr>
        <w:t>工程缺陷责任期为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个月，缺陷责任期自工程竣工验收合格之日起计算。单位工程先于全部工程进行验收，单位工程缺陷责任期自单位工程验收合格之日起算。</w:t>
      </w:r>
    </w:p>
    <w:p w14:paraId="474998E2">
      <w:pPr>
        <w:spacing w:line="360" w:lineRule="auto"/>
        <w:ind w:firstLine="735" w:firstLineChars="350"/>
        <w:rPr>
          <w:rFonts w:ascii="宋体" w:hAnsi="宋体" w:eastAsia="宋体" w:cs="宋体"/>
          <w:color w:val="000000"/>
          <w:szCs w:val="21"/>
        </w:rPr>
      </w:pPr>
      <w:r>
        <w:rPr>
          <w:rFonts w:hint="eastAsia" w:ascii="宋体" w:hAnsi="宋体" w:eastAsia="宋体" w:cs="宋体"/>
          <w:color w:val="000000"/>
          <w:szCs w:val="21"/>
        </w:rPr>
        <w:t>缺陷责任期终止后，发包人应退还剩余的质量保证金。</w:t>
      </w:r>
    </w:p>
    <w:p w14:paraId="1F0E8B8D">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四、质量保修责任</w:t>
      </w:r>
    </w:p>
    <w:p w14:paraId="0612BE44">
      <w:pPr>
        <w:spacing w:line="360" w:lineRule="auto"/>
        <w:ind w:left="105" w:leftChars="50" w:firstLine="430" w:firstLineChars="205"/>
        <w:rPr>
          <w:rFonts w:ascii="宋体" w:hAnsi="宋体" w:eastAsia="宋体" w:cs="宋体"/>
          <w:color w:val="000000"/>
          <w:szCs w:val="21"/>
        </w:rPr>
      </w:pPr>
      <w:r>
        <w:rPr>
          <w:rFonts w:hint="eastAsia" w:ascii="宋体" w:hAnsi="宋体" w:eastAsia="宋体" w:cs="宋体"/>
          <w:color w:val="000000"/>
          <w:szCs w:val="21"/>
        </w:rPr>
        <w:t>1</w:t>
      </w:r>
      <w:r>
        <w:rPr>
          <w:rFonts w:hint="eastAsia" w:ascii="宋体" w:hAnsi="宋体" w:eastAsia="宋体" w:cs="宋体"/>
          <w:szCs w:val="21"/>
        </w:rPr>
        <w:t>．</w:t>
      </w:r>
      <w:r>
        <w:rPr>
          <w:rFonts w:hint="eastAsia" w:ascii="宋体" w:hAnsi="宋体" w:eastAsia="宋体" w:cs="宋体"/>
          <w:color w:val="000000"/>
          <w:szCs w:val="21"/>
        </w:rPr>
        <w:t>属于保修范围、内容的项目，承包人应当在接到保修通知之日起7天内派人保修。承包人不在约定期限内派人保修的，发包人可以委托他人修理。</w:t>
      </w:r>
    </w:p>
    <w:p w14:paraId="20BE6570">
      <w:pPr>
        <w:spacing w:line="360" w:lineRule="auto"/>
        <w:ind w:left="105" w:leftChars="50" w:firstLine="430" w:firstLineChars="205"/>
        <w:rPr>
          <w:rFonts w:ascii="宋体" w:hAnsi="宋体" w:eastAsia="宋体" w:cs="宋体"/>
          <w:color w:val="000000"/>
          <w:szCs w:val="21"/>
        </w:rPr>
      </w:pPr>
      <w:r>
        <w:rPr>
          <w:rFonts w:hint="eastAsia" w:ascii="宋体" w:hAnsi="宋体" w:eastAsia="宋体" w:cs="宋体"/>
          <w:color w:val="000000"/>
          <w:szCs w:val="21"/>
        </w:rPr>
        <w:t>2</w:t>
      </w:r>
      <w:r>
        <w:rPr>
          <w:rFonts w:hint="eastAsia" w:ascii="宋体" w:hAnsi="宋体" w:eastAsia="宋体" w:cs="宋体"/>
          <w:szCs w:val="21"/>
        </w:rPr>
        <w:t>．</w:t>
      </w:r>
      <w:r>
        <w:rPr>
          <w:rFonts w:hint="eastAsia" w:ascii="宋体" w:hAnsi="宋体" w:eastAsia="宋体" w:cs="宋体"/>
          <w:color w:val="000000"/>
          <w:szCs w:val="21"/>
        </w:rPr>
        <w:t>发生紧急事故需抢修的，承包人在接到事故通知后，应当立即到达事故现场抢修。</w:t>
      </w:r>
    </w:p>
    <w:p w14:paraId="3C308CED">
      <w:pPr>
        <w:spacing w:line="360" w:lineRule="auto"/>
        <w:ind w:left="105" w:leftChars="50" w:firstLine="430" w:firstLineChars="205"/>
        <w:rPr>
          <w:rFonts w:ascii="宋体" w:hAnsi="宋体" w:eastAsia="宋体" w:cs="宋体"/>
          <w:color w:val="000000"/>
          <w:szCs w:val="21"/>
        </w:rPr>
      </w:pPr>
      <w:r>
        <w:rPr>
          <w:rFonts w:hint="eastAsia" w:ascii="宋体" w:hAnsi="宋体" w:eastAsia="宋体" w:cs="宋体"/>
          <w:color w:val="000000"/>
          <w:szCs w:val="21"/>
        </w:rPr>
        <w:t>3</w:t>
      </w:r>
      <w:r>
        <w:rPr>
          <w:rFonts w:hint="eastAsia" w:ascii="宋体" w:hAnsi="宋体" w:eastAsia="宋体" w:cs="宋体"/>
          <w:szCs w:val="21"/>
        </w:rPr>
        <w:t>．</w:t>
      </w:r>
      <w:r>
        <w:rPr>
          <w:rFonts w:hint="eastAsia" w:ascii="宋体" w:hAnsi="宋体" w:eastAsia="宋体" w:cs="宋体"/>
          <w:color w:val="000000"/>
          <w:szCs w:val="21"/>
        </w:rPr>
        <w:t>对于涉及结构安全的质量问题，应当按照《建设工程质量管理条例》的规定，立即向当地建设行政主管部门和有关部门报告，采取安全防范措施，并由原设计人或者具有相应资质等级的设计人提出保修方案，承包人实施保修。</w:t>
      </w:r>
    </w:p>
    <w:p w14:paraId="7FBC0426">
      <w:pPr>
        <w:spacing w:line="360" w:lineRule="auto"/>
        <w:ind w:left="420" w:leftChars="200" w:firstLine="105" w:firstLineChars="50"/>
        <w:rPr>
          <w:rFonts w:ascii="宋体" w:hAnsi="宋体" w:eastAsia="宋体" w:cs="宋体"/>
          <w:color w:val="000000"/>
          <w:szCs w:val="21"/>
        </w:rPr>
      </w:pPr>
      <w:r>
        <w:rPr>
          <w:rFonts w:hint="eastAsia" w:ascii="宋体" w:hAnsi="宋体" w:eastAsia="宋体" w:cs="宋体"/>
          <w:color w:val="000000"/>
          <w:szCs w:val="21"/>
        </w:rPr>
        <w:t>4</w:t>
      </w:r>
      <w:r>
        <w:rPr>
          <w:rFonts w:hint="eastAsia" w:ascii="宋体" w:hAnsi="宋体" w:eastAsia="宋体" w:cs="宋体"/>
          <w:szCs w:val="21"/>
        </w:rPr>
        <w:t>．</w:t>
      </w:r>
      <w:r>
        <w:rPr>
          <w:rFonts w:hint="eastAsia" w:ascii="宋体" w:hAnsi="宋体" w:eastAsia="宋体" w:cs="宋体"/>
          <w:color w:val="000000"/>
          <w:szCs w:val="21"/>
        </w:rPr>
        <w:t>质量保修完成后，由发包人组织验收。</w:t>
      </w:r>
    </w:p>
    <w:p w14:paraId="575F2DBF">
      <w:pPr>
        <w:spacing w:line="360" w:lineRule="auto"/>
        <w:rPr>
          <w:rFonts w:ascii="宋体" w:hAnsi="宋体" w:eastAsia="宋体" w:cs="宋体"/>
          <w:color w:val="000000"/>
          <w:szCs w:val="21"/>
        </w:rPr>
      </w:pPr>
      <w:r>
        <w:rPr>
          <w:rFonts w:hint="eastAsia" w:ascii="宋体" w:hAnsi="宋体" w:eastAsia="宋体" w:cs="宋体"/>
          <w:color w:val="000000"/>
          <w:szCs w:val="21"/>
        </w:rPr>
        <w:t>　　五、保修费用</w:t>
      </w:r>
    </w:p>
    <w:p w14:paraId="5FE77BE0">
      <w:pPr>
        <w:spacing w:line="360" w:lineRule="auto"/>
        <w:rPr>
          <w:rFonts w:ascii="宋体" w:hAnsi="宋体" w:eastAsia="宋体" w:cs="宋体"/>
          <w:color w:val="000000"/>
          <w:szCs w:val="21"/>
        </w:rPr>
      </w:pPr>
      <w:r>
        <w:rPr>
          <w:rFonts w:hint="eastAsia" w:ascii="宋体" w:hAnsi="宋体" w:eastAsia="宋体" w:cs="宋体"/>
          <w:color w:val="000000"/>
          <w:szCs w:val="21"/>
        </w:rPr>
        <w:t>　　保修费用由造成质量缺陷的责任方承担。</w:t>
      </w:r>
    </w:p>
    <w:p w14:paraId="31824615">
      <w:pPr>
        <w:spacing w:line="360" w:lineRule="auto"/>
        <w:ind w:firstLine="735" w:firstLineChars="350"/>
        <w:rPr>
          <w:rFonts w:ascii="宋体" w:hAnsi="宋体" w:eastAsia="宋体" w:cs="宋体"/>
          <w:color w:val="000000"/>
          <w:szCs w:val="21"/>
          <w:u w:val="single"/>
        </w:rPr>
      </w:pPr>
      <w:r>
        <w:rPr>
          <w:rFonts w:hint="eastAsia" w:ascii="宋体" w:hAnsi="宋体" w:eastAsia="宋体" w:cs="宋体"/>
          <w:bCs/>
          <w:color w:val="000000"/>
          <w:szCs w:val="21"/>
        </w:rPr>
        <w:t>六、</w:t>
      </w:r>
      <w:r>
        <w:rPr>
          <w:rFonts w:hint="eastAsia" w:ascii="宋体" w:hAnsi="宋体" w:eastAsia="宋体" w:cs="宋体"/>
          <w:color w:val="000000"/>
          <w:szCs w:val="21"/>
        </w:rPr>
        <w:t>双方约定的其他工程质量保修事项：</w:t>
      </w:r>
    </w:p>
    <w:p w14:paraId="2D00D9D4">
      <w:pPr>
        <w:spacing w:line="360" w:lineRule="auto"/>
        <w:ind w:firstLine="420"/>
        <w:rPr>
          <w:rFonts w:ascii="宋体" w:hAnsi="宋体" w:eastAsia="宋体" w:cs="宋体"/>
          <w:color w:val="000000"/>
          <w:szCs w:val="21"/>
          <w:u w:val="single"/>
        </w:rPr>
      </w:pPr>
      <w:r>
        <w:rPr>
          <w:rFonts w:hint="eastAsia" w:ascii="宋体" w:hAnsi="宋体" w:eastAsia="宋体" w:cs="宋体"/>
          <w:color w:val="000000"/>
          <w:szCs w:val="21"/>
          <w:u w:val="single"/>
        </w:rPr>
        <w:t xml:space="preserve">   工程质量出现问题时，承包人在接到发包人通知6小时内派人组织维修，并承担因此引起的损失。在保修期内，所属保修范围的事项工程交工两年内保修完时付清全部保修款，法律法规规定的保修期仍然有效。 </w:t>
      </w:r>
    </w:p>
    <w:p w14:paraId="57202401">
      <w:pPr>
        <w:spacing w:line="360" w:lineRule="auto"/>
        <w:ind w:firstLine="399" w:firstLineChars="190"/>
        <w:rPr>
          <w:rFonts w:ascii="宋体" w:hAnsi="宋体" w:eastAsia="宋体" w:cs="宋体"/>
          <w:color w:val="000000"/>
          <w:szCs w:val="21"/>
        </w:rPr>
      </w:pPr>
      <w:r>
        <w:rPr>
          <w:rFonts w:hint="eastAsia" w:ascii="宋体" w:hAnsi="宋体" w:eastAsia="宋体" w:cs="宋体"/>
          <w:color w:val="000000"/>
          <w:szCs w:val="21"/>
        </w:rPr>
        <w:t>工程质量保修书由发包人、承包人在工程竣工验收前共同签署，作为施工合同附件，其有效期限至保修期满。</w:t>
      </w:r>
    </w:p>
    <w:p w14:paraId="72845312">
      <w:pPr>
        <w:spacing w:after="120"/>
        <w:ind w:left="420" w:leftChars="200" w:firstLine="420" w:firstLineChars="200"/>
        <w:rPr>
          <w:rFonts w:ascii="宋体" w:hAnsi="宋体" w:eastAsia="宋体" w:cs="宋体"/>
          <w:color w:val="000000"/>
          <w:szCs w:val="21"/>
        </w:rPr>
      </w:pPr>
    </w:p>
    <w:p w14:paraId="7AB13252">
      <w:pPr>
        <w:widowControl/>
        <w:ind w:firstLine="420"/>
        <w:jc w:val="left"/>
        <w:rPr>
          <w:rFonts w:ascii="宋体" w:hAnsi="宋体" w:eastAsia="宋体" w:cs="宋体"/>
          <w:kern w:val="0"/>
          <w:sz w:val="20"/>
          <w:szCs w:val="20"/>
        </w:rPr>
      </w:pPr>
    </w:p>
    <w:tbl>
      <w:tblPr>
        <w:tblStyle w:val="28"/>
        <w:tblW w:w="0" w:type="auto"/>
        <w:tblInd w:w="534" w:type="dxa"/>
        <w:tblLayout w:type="fixed"/>
        <w:tblCellMar>
          <w:top w:w="0" w:type="dxa"/>
          <w:left w:w="108" w:type="dxa"/>
          <w:bottom w:w="0" w:type="dxa"/>
          <w:right w:w="108" w:type="dxa"/>
        </w:tblCellMar>
      </w:tblPr>
      <w:tblGrid>
        <w:gridCol w:w="3727"/>
        <w:gridCol w:w="3785"/>
      </w:tblGrid>
      <w:tr w14:paraId="65DFE774">
        <w:tblPrEx>
          <w:tblCellMar>
            <w:top w:w="0" w:type="dxa"/>
            <w:left w:w="108" w:type="dxa"/>
            <w:bottom w:w="0" w:type="dxa"/>
            <w:right w:w="108" w:type="dxa"/>
          </w:tblCellMar>
        </w:tblPrEx>
        <w:tc>
          <w:tcPr>
            <w:tcW w:w="3727" w:type="dxa"/>
          </w:tcPr>
          <w:p w14:paraId="34C2125B">
            <w:pPr>
              <w:spacing w:line="360" w:lineRule="auto"/>
              <w:rPr>
                <w:rFonts w:ascii="宋体" w:hAnsi="宋体" w:eastAsia="宋体" w:cs="宋体"/>
                <w:color w:val="000000"/>
                <w:szCs w:val="21"/>
              </w:rPr>
            </w:pPr>
            <w:r>
              <w:rPr>
                <w:rFonts w:hint="eastAsia" w:ascii="宋体" w:hAnsi="宋体" w:eastAsia="宋体" w:cs="宋体"/>
                <w:color w:val="000000"/>
                <w:szCs w:val="21"/>
              </w:rPr>
              <w:t>发包人(公章)：</w:t>
            </w:r>
          </w:p>
        </w:tc>
        <w:tc>
          <w:tcPr>
            <w:tcW w:w="3785" w:type="dxa"/>
          </w:tcPr>
          <w:p w14:paraId="301739B3">
            <w:pPr>
              <w:spacing w:line="360" w:lineRule="auto"/>
              <w:rPr>
                <w:rFonts w:ascii="宋体" w:hAnsi="宋体" w:eastAsia="宋体" w:cs="宋体"/>
                <w:color w:val="000000"/>
                <w:szCs w:val="21"/>
              </w:rPr>
            </w:pPr>
            <w:r>
              <w:rPr>
                <w:rFonts w:hint="eastAsia" w:ascii="宋体" w:hAnsi="宋体" w:eastAsia="宋体" w:cs="宋体"/>
                <w:color w:val="000000"/>
                <w:szCs w:val="21"/>
              </w:rPr>
              <w:t>承包人(公章)：</w:t>
            </w:r>
          </w:p>
        </w:tc>
      </w:tr>
      <w:tr w14:paraId="2B7113D2">
        <w:tblPrEx>
          <w:tblCellMar>
            <w:top w:w="0" w:type="dxa"/>
            <w:left w:w="108" w:type="dxa"/>
            <w:bottom w:w="0" w:type="dxa"/>
            <w:right w:w="108" w:type="dxa"/>
          </w:tblCellMar>
        </w:tblPrEx>
        <w:tc>
          <w:tcPr>
            <w:tcW w:w="3727" w:type="dxa"/>
          </w:tcPr>
          <w:p w14:paraId="69637690">
            <w:pPr>
              <w:spacing w:line="360" w:lineRule="auto"/>
              <w:rPr>
                <w:rFonts w:ascii="宋体" w:hAnsi="宋体" w:eastAsia="宋体" w:cs="宋体"/>
                <w:color w:val="000000"/>
                <w:szCs w:val="21"/>
              </w:rPr>
            </w:pPr>
            <w:r>
              <w:rPr>
                <w:rFonts w:hint="eastAsia" w:ascii="宋体" w:hAnsi="宋体" w:eastAsia="宋体" w:cs="宋体"/>
                <w:color w:val="000000"/>
                <w:szCs w:val="21"/>
              </w:rPr>
              <w:t>地  址：</w:t>
            </w:r>
          </w:p>
        </w:tc>
        <w:tc>
          <w:tcPr>
            <w:tcW w:w="3785" w:type="dxa"/>
          </w:tcPr>
          <w:p w14:paraId="7C7814FE">
            <w:pPr>
              <w:spacing w:line="360" w:lineRule="auto"/>
              <w:rPr>
                <w:rFonts w:ascii="宋体" w:hAnsi="宋体" w:eastAsia="宋体" w:cs="宋体"/>
                <w:color w:val="000000"/>
                <w:szCs w:val="21"/>
              </w:rPr>
            </w:pPr>
            <w:r>
              <w:rPr>
                <w:rFonts w:hint="eastAsia" w:ascii="宋体" w:hAnsi="宋体" w:eastAsia="宋体" w:cs="宋体"/>
                <w:color w:val="000000"/>
                <w:szCs w:val="21"/>
              </w:rPr>
              <w:t>地  址：</w:t>
            </w:r>
          </w:p>
        </w:tc>
      </w:tr>
      <w:tr w14:paraId="0DC4E6ED">
        <w:tblPrEx>
          <w:tblCellMar>
            <w:top w:w="0" w:type="dxa"/>
            <w:left w:w="108" w:type="dxa"/>
            <w:bottom w:w="0" w:type="dxa"/>
            <w:right w:w="108" w:type="dxa"/>
          </w:tblCellMar>
        </w:tblPrEx>
        <w:tc>
          <w:tcPr>
            <w:tcW w:w="3727" w:type="dxa"/>
          </w:tcPr>
          <w:p w14:paraId="27EF1BE0">
            <w:pPr>
              <w:spacing w:line="360" w:lineRule="auto"/>
              <w:rPr>
                <w:rFonts w:ascii="宋体" w:hAnsi="宋体" w:eastAsia="宋体" w:cs="宋体"/>
                <w:color w:val="000000"/>
                <w:szCs w:val="21"/>
              </w:rPr>
            </w:pPr>
            <w:r>
              <w:rPr>
                <w:rFonts w:hint="eastAsia" w:ascii="宋体" w:hAnsi="宋体" w:eastAsia="宋体" w:cs="宋体"/>
                <w:color w:val="000000"/>
                <w:szCs w:val="21"/>
              </w:rPr>
              <w:t>法定代表人(签字)：</w:t>
            </w:r>
          </w:p>
        </w:tc>
        <w:tc>
          <w:tcPr>
            <w:tcW w:w="3785" w:type="dxa"/>
          </w:tcPr>
          <w:p w14:paraId="5A24F386">
            <w:pPr>
              <w:spacing w:line="360" w:lineRule="auto"/>
              <w:rPr>
                <w:rFonts w:ascii="宋体" w:hAnsi="宋体" w:eastAsia="宋体" w:cs="宋体"/>
                <w:color w:val="000000"/>
                <w:szCs w:val="21"/>
              </w:rPr>
            </w:pPr>
            <w:r>
              <w:rPr>
                <w:rFonts w:hint="eastAsia" w:ascii="宋体" w:hAnsi="宋体" w:eastAsia="宋体" w:cs="宋体"/>
                <w:color w:val="000000"/>
                <w:szCs w:val="21"/>
              </w:rPr>
              <w:t>法定代表人(签字)：</w:t>
            </w:r>
          </w:p>
        </w:tc>
      </w:tr>
      <w:tr w14:paraId="2ADF03A3">
        <w:tblPrEx>
          <w:tblCellMar>
            <w:top w:w="0" w:type="dxa"/>
            <w:left w:w="108" w:type="dxa"/>
            <w:bottom w:w="0" w:type="dxa"/>
            <w:right w:w="108" w:type="dxa"/>
          </w:tblCellMar>
        </w:tblPrEx>
        <w:tc>
          <w:tcPr>
            <w:tcW w:w="3727" w:type="dxa"/>
          </w:tcPr>
          <w:p w14:paraId="1A5BE2B2">
            <w:pPr>
              <w:spacing w:line="360" w:lineRule="auto"/>
              <w:rPr>
                <w:rFonts w:ascii="宋体" w:hAnsi="宋体" w:eastAsia="宋体" w:cs="宋体"/>
                <w:color w:val="000000"/>
                <w:szCs w:val="21"/>
              </w:rPr>
            </w:pPr>
            <w:r>
              <w:rPr>
                <w:rFonts w:hint="eastAsia" w:ascii="宋体" w:hAnsi="宋体" w:eastAsia="宋体" w:cs="宋体"/>
                <w:color w:val="000000"/>
                <w:szCs w:val="21"/>
              </w:rPr>
              <w:t>委托代理人(签字)：</w:t>
            </w:r>
          </w:p>
        </w:tc>
        <w:tc>
          <w:tcPr>
            <w:tcW w:w="3785" w:type="dxa"/>
          </w:tcPr>
          <w:p w14:paraId="23588091">
            <w:pPr>
              <w:spacing w:line="360" w:lineRule="auto"/>
              <w:rPr>
                <w:rFonts w:ascii="宋体" w:hAnsi="宋体" w:eastAsia="宋体" w:cs="宋体"/>
                <w:color w:val="000000"/>
                <w:szCs w:val="21"/>
              </w:rPr>
            </w:pPr>
            <w:r>
              <w:rPr>
                <w:rFonts w:hint="eastAsia" w:ascii="宋体" w:hAnsi="宋体" w:eastAsia="宋体" w:cs="宋体"/>
                <w:color w:val="000000"/>
                <w:szCs w:val="21"/>
              </w:rPr>
              <w:t>委托代理人(签字)：</w:t>
            </w:r>
          </w:p>
        </w:tc>
      </w:tr>
      <w:tr w14:paraId="531462CE">
        <w:tblPrEx>
          <w:tblCellMar>
            <w:top w:w="0" w:type="dxa"/>
            <w:left w:w="108" w:type="dxa"/>
            <w:bottom w:w="0" w:type="dxa"/>
            <w:right w:w="108" w:type="dxa"/>
          </w:tblCellMar>
        </w:tblPrEx>
        <w:tc>
          <w:tcPr>
            <w:tcW w:w="3727" w:type="dxa"/>
          </w:tcPr>
          <w:p w14:paraId="66E0AF5D">
            <w:pPr>
              <w:spacing w:line="360" w:lineRule="auto"/>
              <w:rPr>
                <w:rFonts w:ascii="宋体" w:hAnsi="宋体" w:eastAsia="宋体" w:cs="宋体"/>
                <w:color w:val="000000"/>
                <w:szCs w:val="21"/>
              </w:rPr>
            </w:pPr>
            <w:r>
              <w:rPr>
                <w:rFonts w:hint="eastAsia" w:ascii="宋体" w:hAnsi="宋体" w:eastAsia="宋体" w:cs="宋体"/>
                <w:color w:val="000000"/>
                <w:szCs w:val="21"/>
              </w:rPr>
              <w:t>电  话：</w:t>
            </w:r>
          </w:p>
        </w:tc>
        <w:tc>
          <w:tcPr>
            <w:tcW w:w="3785" w:type="dxa"/>
          </w:tcPr>
          <w:p w14:paraId="4B7BFA84">
            <w:pPr>
              <w:spacing w:line="360" w:lineRule="auto"/>
              <w:rPr>
                <w:rFonts w:ascii="宋体" w:hAnsi="宋体" w:eastAsia="宋体" w:cs="宋体"/>
                <w:color w:val="000000"/>
                <w:szCs w:val="21"/>
              </w:rPr>
            </w:pPr>
            <w:r>
              <w:rPr>
                <w:rFonts w:hint="eastAsia" w:ascii="宋体" w:hAnsi="宋体" w:eastAsia="宋体" w:cs="宋体"/>
                <w:color w:val="000000"/>
                <w:szCs w:val="21"/>
              </w:rPr>
              <w:t>电  话：</w:t>
            </w:r>
          </w:p>
        </w:tc>
      </w:tr>
      <w:tr w14:paraId="126EEB36">
        <w:tblPrEx>
          <w:tblCellMar>
            <w:top w:w="0" w:type="dxa"/>
            <w:left w:w="108" w:type="dxa"/>
            <w:bottom w:w="0" w:type="dxa"/>
            <w:right w:w="108" w:type="dxa"/>
          </w:tblCellMar>
        </w:tblPrEx>
        <w:tc>
          <w:tcPr>
            <w:tcW w:w="3727" w:type="dxa"/>
          </w:tcPr>
          <w:p w14:paraId="28C07982">
            <w:pPr>
              <w:spacing w:line="360" w:lineRule="auto"/>
              <w:rPr>
                <w:rFonts w:ascii="宋体" w:hAnsi="宋体" w:eastAsia="宋体" w:cs="宋体"/>
                <w:color w:val="000000"/>
                <w:szCs w:val="21"/>
              </w:rPr>
            </w:pPr>
            <w:r>
              <w:rPr>
                <w:rFonts w:hint="eastAsia" w:ascii="宋体" w:hAnsi="宋体" w:eastAsia="宋体" w:cs="宋体"/>
                <w:color w:val="000000"/>
                <w:szCs w:val="21"/>
              </w:rPr>
              <w:t>传  真：</w:t>
            </w:r>
          </w:p>
        </w:tc>
        <w:tc>
          <w:tcPr>
            <w:tcW w:w="3785" w:type="dxa"/>
          </w:tcPr>
          <w:p w14:paraId="61A47FC0">
            <w:pPr>
              <w:spacing w:line="360" w:lineRule="auto"/>
              <w:rPr>
                <w:rFonts w:ascii="宋体" w:hAnsi="宋体" w:eastAsia="宋体" w:cs="宋体"/>
                <w:color w:val="000000"/>
                <w:szCs w:val="21"/>
              </w:rPr>
            </w:pPr>
            <w:r>
              <w:rPr>
                <w:rFonts w:hint="eastAsia" w:ascii="宋体" w:hAnsi="宋体" w:eastAsia="宋体" w:cs="宋体"/>
                <w:color w:val="000000"/>
                <w:szCs w:val="21"/>
              </w:rPr>
              <w:t>传  真：</w:t>
            </w:r>
          </w:p>
        </w:tc>
      </w:tr>
      <w:tr w14:paraId="77721EF6">
        <w:tblPrEx>
          <w:tblCellMar>
            <w:top w:w="0" w:type="dxa"/>
            <w:left w:w="108" w:type="dxa"/>
            <w:bottom w:w="0" w:type="dxa"/>
            <w:right w:w="108" w:type="dxa"/>
          </w:tblCellMar>
        </w:tblPrEx>
        <w:tc>
          <w:tcPr>
            <w:tcW w:w="3727" w:type="dxa"/>
          </w:tcPr>
          <w:p w14:paraId="6AD7C922">
            <w:pPr>
              <w:spacing w:line="360" w:lineRule="auto"/>
              <w:rPr>
                <w:rFonts w:ascii="宋体" w:hAnsi="宋体" w:eastAsia="宋体" w:cs="宋体"/>
                <w:color w:val="000000"/>
                <w:szCs w:val="21"/>
              </w:rPr>
            </w:pPr>
            <w:r>
              <w:rPr>
                <w:rFonts w:hint="eastAsia" w:ascii="宋体" w:hAnsi="宋体" w:eastAsia="宋体" w:cs="宋体"/>
                <w:color w:val="000000"/>
                <w:szCs w:val="21"/>
              </w:rPr>
              <w:t>开户银行：</w:t>
            </w:r>
          </w:p>
        </w:tc>
        <w:tc>
          <w:tcPr>
            <w:tcW w:w="3785" w:type="dxa"/>
          </w:tcPr>
          <w:p w14:paraId="0AB19BB3">
            <w:pPr>
              <w:spacing w:line="360" w:lineRule="auto"/>
              <w:rPr>
                <w:rFonts w:ascii="宋体" w:hAnsi="宋体" w:eastAsia="宋体" w:cs="宋体"/>
                <w:color w:val="000000"/>
                <w:szCs w:val="21"/>
              </w:rPr>
            </w:pPr>
            <w:r>
              <w:rPr>
                <w:rFonts w:hint="eastAsia" w:ascii="宋体" w:hAnsi="宋体" w:eastAsia="宋体" w:cs="宋体"/>
                <w:color w:val="000000"/>
                <w:szCs w:val="21"/>
              </w:rPr>
              <w:t>开户银行：</w:t>
            </w:r>
          </w:p>
        </w:tc>
      </w:tr>
      <w:tr w14:paraId="351C6B8D">
        <w:tblPrEx>
          <w:tblCellMar>
            <w:top w:w="0" w:type="dxa"/>
            <w:left w:w="108" w:type="dxa"/>
            <w:bottom w:w="0" w:type="dxa"/>
            <w:right w:w="108" w:type="dxa"/>
          </w:tblCellMar>
        </w:tblPrEx>
        <w:tc>
          <w:tcPr>
            <w:tcW w:w="3727" w:type="dxa"/>
          </w:tcPr>
          <w:p w14:paraId="09CF4EFE">
            <w:pPr>
              <w:spacing w:line="360" w:lineRule="auto"/>
              <w:rPr>
                <w:rFonts w:ascii="宋体" w:hAnsi="宋体" w:eastAsia="宋体" w:cs="宋体"/>
                <w:color w:val="000000"/>
                <w:szCs w:val="21"/>
              </w:rPr>
            </w:pPr>
            <w:r>
              <w:rPr>
                <w:rFonts w:hint="eastAsia" w:ascii="宋体" w:hAnsi="宋体" w:eastAsia="宋体" w:cs="宋体"/>
                <w:color w:val="000000"/>
                <w:szCs w:val="21"/>
              </w:rPr>
              <w:t>账  号：</w:t>
            </w:r>
          </w:p>
        </w:tc>
        <w:tc>
          <w:tcPr>
            <w:tcW w:w="3785" w:type="dxa"/>
          </w:tcPr>
          <w:p w14:paraId="2F4B136D">
            <w:pPr>
              <w:spacing w:line="360" w:lineRule="auto"/>
              <w:rPr>
                <w:rFonts w:ascii="宋体" w:hAnsi="宋体" w:eastAsia="宋体" w:cs="宋体"/>
                <w:color w:val="000000"/>
                <w:szCs w:val="21"/>
              </w:rPr>
            </w:pPr>
            <w:r>
              <w:rPr>
                <w:rFonts w:hint="eastAsia" w:ascii="宋体" w:hAnsi="宋体" w:eastAsia="宋体" w:cs="宋体"/>
                <w:color w:val="000000"/>
                <w:szCs w:val="21"/>
              </w:rPr>
              <w:t>账  号：</w:t>
            </w:r>
          </w:p>
        </w:tc>
      </w:tr>
      <w:tr w14:paraId="073CE26A">
        <w:tblPrEx>
          <w:tblCellMar>
            <w:top w:w="0" w:type="dxa"/>
            <w:left w:w="108" w:type="dxa"/>
            <w:bottom w:w="0" w:type="dxa"/>
            <w:right w:w="108" w:type="dxa"/>
          </w:tblCellMar>
        </w:tblPrEx>
        <w:tc>
          <w:tcPr>
            <w:tcW w:w="3727" w:type="dxa"/>
          </w:tcPr>
          <w:p w14:paraId="0CDB60CE">
            <w:pPr>
              <w:spacing w:line="360" w:lineRule="auto"/>
              <w:rPr>
                <w:rFonts w:ascii="宋体" w:hAnsi="宋体" w:eastAsia="宋体" w:cs="宋体"/>
                <w:color w:val="000000"/>
                <w:szCs w:val="21"/>
              </w:rPr>
            </w:pPr>
            <w:r>
              <w:rPr>
                <w:rFonts w:hint="eastAsia" w:ascii="宋体" w:hAnsi="宋体" w:eastAsia="宋体" w:cs="宋体"/>
                <w:color w:val="000000"/>
                <w:szCs w:val="21"/>
              </w:rPr>
              <w:t>邮政编码：</w:t>
            </w:r>
          </w:p>
        </w:tc>
        <w:tc>
          <w:tcPr>
            <w:tcW w:w="3785" w:type="dxa"/>
          </w:tcPr>
          <w:p w14:paraId="3836EE79">
            <w:pPr>
              <w:spacing w:line="360" w:lineRule="auto"/>
              <w:rPr>
                <w:rFonts w:ascii="宋体" w:hAnsi="宋体" w:eastAsia="宋体" w:cs="宋体"/>
                <w:color w:val="000000"/>
                <w:szCs w:val="21"/>
              </w:rPr>
            </w:pPr>
            <w:r>
              <w:rPr>
                <w:rFonts w:hint="eastAsia" w:ascii="宋体" w:hAnsi="宋体" w:eastAsia="宋体" w:cs="宋体"/>
                <w:color w:val="000000"/>
                <w:szCs w:val="21"/>
              </w:rPr>
              <w:t>邮政编码：</w:t>
            </w:r>
          </w:p>
        </w:tc>
      </w:tr>
    </w:tbl>
    <w:p w14:paraId="0B8CC079">
      <w:pPr>
        <w:spacing w:line="360" w:lineRule="auto"/>
        <w:rPr>
          <w:rFonts w:ascii="宋体" w:hAnsi="宋体" w:eastAsia="宋体" w:cs="宋体"/>
          <w:color w:val="000000"/>
          <w:szCs w:val="21"/>
        </w:rPr>
      </w:pPr>
    </w:p>
    <w:p w14:paraId="58ED7827">
      <w:pPr>
        <w:spacing w:line="360" w:lineRule="auto"/>
        <w:rPr>
          <w:rFonts w:ascii="宋体" w:hAnsi="宋体" w:eastAsia="宋体" w:cs="宋体"/>
          <w:color w:val="000000"/>
          <w:szCs w:val="21"/>
        </w:rPr>
      </w:pPr>
      <w:r>
        <w:rPr>
          <w:rFonts w:hint="eastAsia" w:ascii="宋体" w:hAnsi="宋体" w:eastAsia="宋体" w:cs="宋体"/>
          <w:b/>
          <w:color w:val="000000"/>
          <w:szCs w:val="21"/>
        </w:rPr>
        <w:br w:type="page"/>
      </w:r>
      <w:r>
        <w:rPr>
          <w:rFonts w:hint="eastAsia" w:ascii="宋体" w:hAnsi="宋体" w:eastAsia="宋体" w:cs="宋体"/>
          <w:color w:val="000000"/>
          <w:szCs w:val="21"/>
        </w:rPr>
        <w:t>附件4：</w:t>
      </w:r>
    </w:p>
    <w:p w14:paraId="5684F074">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主要建设工程文件目录</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695"/>
        <w:gridCol w:w="999"/>
        <w:gridCol w:w="2044"/>
        <w:gridCol w:w="999"/>
        <w:gridCol w:w="1487"/>
        <w:gridCol w:w="1139"/>
      </w:tblGrid>
      <w:tr w14:paraId="4B82309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695" w:type="dxa"/>
            <w:vAlign w:val="center"/>
          </w:tcPr>
          <w:p w14:paraId="2A54A1A2">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文件名称</w:t>
            </w:r>
          </w:p>
        </w:tc>
        <w:tc>
          <w:tcPr>
            <w:tcW w:w="999" w:type="dxa"/>
            <w:vAlign w:val="center"/>
          </w:tcPr>
          <w:p w14:paraId="2D1EF2CD">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套数</w:t>
            </w:r>
          </w:p>
        </w:tc>
        <w:tc>
          <w:tcPr>
            <w:tcW w:w="2044" w:type="dxa"/>
            <w:vAlign w:val="center"/>
          </w:tcPr>
          <w:p w14:paraId="57B1D7CD">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费用（元）</w:t>
            </w:r>
          </w:p>
        </w:tc>
        <w:tc>
          <w:tcPr>
            <w:tcW w:w="999" w:type="dxa"/>
            <w:vAlign w:val="center"/>
          </w:tcPr>
          <w:p w14:paraId="328F77E8">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质量</w:t>
            </w:r>
          </w:p>
        </w:tc>
        <w:tc>
          <w:tcPr>
            <w:tcW w:w="1487" w:type="dxa"/>
          </w:tcPr>
          <w:p w14:paraId="04CB5CB2">
            <w:pPr>
              <w:spacing w:line="360" w:lineRule="auto"/>
              <w:jc w:val="center"/>
              <w:rPr>
                <w:rFonts w:ascii="宋体" w:hAnsi="宋体" w:eastAsia="宋体" w:cs="宋体"/>
                <w:color w:val="000000"/>
                <w:szCs w:val="21"/>
              </w:rPr>
            </w:pPr>
            <w:r>
              <w:rPr>
                <w:rFonts w:hint="eastAsia" w:ascii="宋体" w:hAnsi="宋体" w:eastAsia="宋体" w:cs="宋体"/>
                <w:color w:val="000000"/>
                <w:szCs w:val="21"/>
              </w:rPr>
              <w:t>移交时间</w:t>
            </w:r>
          </w:p>
        </w:tc>
        <w:tc>
          <w:tcPr>
            <w:tcW w:w="1139" w:type="dxa"/>
          </w:tcPr>
          <w:p w14:paraId="1C0697DF">
            <w:pPr>
              <w:spacing w:line="360" w:lineRule="auto"/>
              <w:jc w:val="center"/>
              <w:rPr>
                <w:rFonts w:ascii="宋体" w:hAnsi="宋体" w:eastAsia="宋体" w:cs="宋体"/>
                <w:color w:val="000000"/>
                <w:szCs w:val="21"/>
              </w:rPr>
            </w:pPr>
            <w:r>
              <w:rPr>
                <w:rFonts w:hint="eastAsia" w:ascii="宋体" w:hAnsi="宋体" w:eastAsia="宋体" w:cs="宋体"/>
                <w:color w:val="000000"/>
                <w:szCs w:val="21"/>
              </w:rPr>
              <w:t>责任人</w:t>
            </w:r>
          </w:p>
        </w:tc>
      </w:tr>
      <w:tr w14:paraId="7E02C5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64A90695">
            <w:pPr>
              <w:keepNext/>
              <w:spacing w:line="360" w:lineRule="auto"/>
              <w:ind w:left="63" w:right="63"/>
              <w:rPr>
                <w:rFonts w:ascii="宋体" w:hAnsi="宋体" w:eastAsia="宋体" w:cs="宋体"/>
                <w:color w:val="000000"/>
                <w:szCs w:val="21"/>
              </w:rPr>
            </w:pPr>
          </w:p>
        </w:tc>
        <w:tc>
          <w:tcPr>
            <w:tcW w:w="999" w:type="dxa"/>
            <w:vAlign w:val="center"/>
          </w:tcPr>
          <w:p w14:paraId="4FCB4B74">
            <w:pPr>
              <w:keepNext/>
              <w:spacing w:line="360" w:lineRule="auto"/>
              <w:ind w:left="63" w:right="63"/>
              <w:rPr>
                <w:rFonts w:ascii="宋体" w:hAnsi="宋体" w:eastAsia="宋体" w:cs="宋体"/>
                <w:color w:val="000000"/>
                <w:szCs w:val="21"/>
              </w:rPr>
            </w:pPr>
          </w:p>
        </w:tc>
        <w:tc>
          <w:tcPr>
            <w:tcW w:w="2044" w:type="dxa"/>
            <w:vAlign w:val="center"/>
          </w:tcPr>
          <w:p w14:paraId="59882323">
            <w:pPr>
              <w:keepNext/>
              <w:spacing w:line="360" w:lineRule="auto"/>
              <w:ind w:left="63" w:right="63"/>
              <w:rPr>
                <w:rFonts w:ascii="宋体" w:hAnsi="宋体" w:eastAsia="宋体" w:cs="宋体"/>
                <w:color w:val="000000"/>
                <w:szCs w:val="21"/>
              </w:rPr>
            </w:pPr>
          </w:p>
        </w:tc>
        <w:tc>
          <w:tcPr>
            <w:tcW w:w="999" w:type="dxa"/>
            <w:vAlign w:val="center"/>
          </w:tcPr>
          <w:p w14:paraId="535F4646">
            <w:pPr>
              <w:keepNext/>
              <w:spacing w:line="360" w:lineRule="auto"/>
              <w:ind w:left="63" w:right="63"/>
              <w:rPr>
                <w:rFonts w:ascii="宋体" w:hAnsi="宋体" w:eastAsia="宋体" w:cs="宋体"/>
                <w:color w:val="000000"/>
                <w:szCs w:val="21"/>
              </w:rPr>
            </w:pPr>
          </w:p>
        </w:tc>
        <w:tc>
          <w:tcPr>
            <w:tcW w:w="1487" w:type="dxa"/>
            <w:vAlign w:val="center"/>
          </w:tcPr>
          <w:p w14:paraId="4B181AD3">
            <w:pPr>
              <w:keepNext/>
              <w:spacing w:line="360" w:lineRule="auto"/>
              <w:ind w:left="63" w:right="63"/>
              <w:rPr>
                <w:rFonts w:ascii="宋体" w:hAnsi="宋体" w:eastAsia="宋体" w:cs="宋体"/>
                <w:color w:val="000000"/>
                <w:szCs w:val="21"/>
              </w:rPr>
            </w:pPr>
          </w:p>
        </w:tc>
        <w:tc>
          <w:tcPr>
            <w:tcW w:w="1139" w:type="dxa"/>
            <w:vAlign w:val="center"/>
          </w:tcPr>
          <w:p w14:paraId="339D750F">
            <w:pPr>
              <w:keepNext/>
              <w:spacing w:line="360" w:lineRule="auto"/>
              <w:ind w:left="63" w:right="63"/>
              <w:rPr>
                <w:rFonts w:ascii="宋体" w:hAnsi="宋体" w:eastAsia="宋体" w:cs="宋体"/>
                <w:color w:val="000000"/>
                <w:szCs w:val="21"/>
              </w:rPr>
            </w:pPr>
          </w:p>
        </w:tc>
      </w:tr>
      <w:tr w14:paraId="232AA15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0945C05F">
            <w:pPr>
              <w:keepNext/>
              <w:spacing w:line="360" w:lineRule="auto"/>
              <w:ind w:left="63" w:right="63"/>
              <w:rPr>
                <w:rFonts w:ascii="宋体" w:hAnsi="宋体" w:eastAsia="宋体" w:cs="宋体"/>
                <w:color w:val="000000"/>
                <w:szCs w:val="21"/>
              </w:rPr>
            </w:pPr>
          </w:p>
        </w:tc>
        <w:tc>
          <w:tcPr>
            <w:tcW w:w="999" w:type="dxa"/>
            <w:vAlign w:val="center"/>
          </w:tcPr>
          <w:p w14:paraId="531BAF0D">
            <w:pPr>
              <w:keepNext/>
              <w:spacing w:line="360" w:lineRule="auto"/>
              <w:ind w:left="63" w:right="63"/>
              <w:rPr>
                <w:rFonts w:ascii="宋体" w:hAnsi="宋体" w:eastAsia="宋体" w:cs="宋体"/>
                <w:color w:val="000000"/>
                <w:szCs w:val="21"/>
              </w:rPr>
            </w:pPr>
          </w:p>
        </w:tc>
        <w:tc>
          <w:tcPr>
            <w:tcW w:w="2044" w:type="dxa"/>
            <w:vAlign w:val="center"/>
          </w:tcPr>
          <w:p w14:paraId="41AAEE6F">
            <w:pPr>
              <w:keepNext/>
              <w:spacing w:line="360" w:lineRule="auto"/>
              <w:ind w:left="63" w:right="63"/>
              <w:rPr>
                <w:rFonts w:ascii="宋体" w:hAnsi="宋体" w:eastAsia="宋体" w:cs="宋体"/>
                <w:color w:val="000000"/>
                <w:szCs w:val="21"/>
              </w:rPr>
            </w:pPr>
          </w:p>
        </w:tc>
        <w:tc>
          <w:tcPr>
            <w:tcW w:w="999" w:type="dxa"/>
            <w:vAlign w:val="center"/>
          </w:tcPr>
          <w:p w14:paraId="17B938CC">
            <w:pPr>
              <w:keepNext/>
              <w:spacing w:line="360" w:lineRule="auto"/>
              <w:ind w:left="63" w:right="63"/>
              <w:rPr>
                <w:rFonts w:ascii="宋体" w:hAnsi="宋体" w:eastAsia="宋体" w:cs="宋体"/>
                <w:color w:val="000000"/>
                <w:szCs w:val="21"/>
              </w:rPr>
            </w:pPr>
          </w:p>
        </w:tc>
        <w:tc>
          <w:tcPr>
            <w:tcW w:w="1487" w:type="dxa"/>
            <w:vAlign w:val="center"/>
          </w:tcPr>
          <w:p w14:paraId="4B2F400B">
            <w:pPr>
              <w:keepNext/>
              <w:spacing w:line="360" w:lineRule="auto"/>
              <w:ind w:left="63" w:right="63"/>
              <w:rPr>
                <w:rFonts w:ascii="宋体" w:hAnsi="宋体" w:eastAsia="宋体" w:cs="宋体"/>
                <w:color w:val="000000"/>
                <w:szCs w:val="21"/>
              </w:rPr>
            </w:pPr>
          </w:p>
        </w:tc>
        <w:tc>
          <w:tcPr>
            <w:tcW w:w="1139" w:type="dxa"/>
            <w:vAlign w:val="center"/>
          </w:tcPr>
          <w:p w14:paraId="6162EC39">
            <w:pPr>
              <w:keepNext/>
              <w:spacing w:line="360" w:lineRule="auto"/>
              <w:ind w:left="63" w:right="63"/>
              <w:rPr>
                <w:rFonts w:ascii="宋体" w:hAnsi="宋体" w:eastAsia="宋体" w:cs="宋体"/>
                <w:color w:val="000000"/>
                <w:szCs w:val="21"/>
              </w:rPr>
            </w:pPr>
          </w:p>
        </w:tc>
      </w:tr>
      <w:tr w14:paraId="6537FDE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614014D3">
            <w:pPr>
              <w:keepNext/>
              <w:spacing w:line="360" w:lineRule="auto"/>
              <w:ind w:left="63" w:right="63"/>
              <w:rPr>
                <w:rFonts w:ascii="宋体" w:hAnsi="宋体" w:eastAsia="宋体" w:cs="宋体"/>
                <w:color w:val="000000"/>
                <w:szCs w:val="21"/>
              </w:rPr>
            </w:pPr>
          </w:p>
        </w:tc>
        <w:tc>
          <w:tcPr>
            <w:tcW w:w="999" w:type="dxa"/>
            <w:vAlign w:val="center"/>
          </w:tcPr>
          <w:p w14:paraId="3EC61445">
            <w:pPr>
              <w:keepNext/>
              <w:spacing w:line="360" w:lineRule="auto"/>
              <w:ind w:left="63" w:right="63"/>
              <w:rPr>
                <w:rFonts w:ascii="宋体" w:hAnsi="宋体" w:eastAsia="宋体" w:cs="宋体"/>
                <w:color w:val="000000"/>
                <w:szCs w:val="21"/>
              </w:rPr>
            </w:pPr>
          </w:p>
        </w:tc>
        <w:tc>
          <w:tcPr>
            <w:tcW w:w="2044" w:type="dxa"/>
            <w:vAlign w:val="center"/>
          </w:tcPr>
          <w:p w14:paraId="2DCEC2BA">
            <w:pPr>
              <w:keepNext/>
              <w:spacing w:line="360" w:lineRule="auto"/>
              <w:ind w:left="63" w:right="63"/>
              <w:rPr>
                <w:rFonts w:ascii="宋体" w:hAnsi="宋体" w:eastAsia="宋体" w:cs="宋体"/>
                <w:color w:val="000000"/>
                <w:szCs w:val="21"/>
              </w:rPr>
            </w:pPr>
          </w:p>
        </w:tc>
        <w:tc>
          <w:tcPr>
            <w:tcW w:w="999" w:type="dxa"/>
            <w:vAlign w:val="center"/>
          </w:tcPr>
          <w:p w14:paraId="6C365F3E">
            <w:pPr>
              <w:keepNext/>
              <w:spacing w:line="360" w:lineRule="auto"/>
              <w:ind w:left="63" w:right="63"/>
              <w:rPr>
                <w:rFonts w:ascii="宋体" w:hAnsi="宋体" w:eastAsia="宋体" w:cs="宋体"/>
                <w:color w:val="000000"/>
                <w:szCs w:val="21"/>
              </w:rPr>
            </w:pPr>
          </w:p>
        </w:tc>
        <w:tc>
          <w:tcPr>
            <w:tcW w:w="1487" w:type="dxa"/>
            <w:vAlign w:val="center"/>
          </w:tcPr>
          <w:p w14:paraId="3389FD11">
            <w:pPr>
              <w:keepNext/>
              <w:spacing w:line="360" w:lineRule="auto"/>
              <w:ind w:left="63" w:right="63"/>
              <w:rPr>
                <w:rFonts w:ascii="宋体" w:hAnsi="宋体" w:eastAsia="宋体" w:cs="宋体"/>
                <w:color w:val="000000"/>
                <w:szCs w:val="21"/>
              </w:rPr>
            </w:pPr>
          </w:p>
        </w:tc>
        <w:tc>
          <w:tcPr>
            <w:tcW w:w="1139" w:type="dxa"/>
            <w:vAlign w:val="center"/>
          </w:tcPr>
          <w:p w14:paraId="2705F3DF">
            <w:pPr>
              <w:keepNext/>
              <w:spacing w:line="360" w:lineRule="auto"/>
              <w:ind w:left="63" w:right="63"/>
              <w:rPr>
                <w:rFonts w:ascii="宋体" w:hAnsi="宋体" w:eastAsia="宋体" w:cs="宋体"/>
                <w:color w:val="000000"/>
                <w:szCs w:val="21"/>
              </w:rPr>
            </w:pPr>
          </w:p>
        </w:tc>
      </w:tr>
      <w:tr w14:paraId="155072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34954287">
            <w:pPr>
              <w:keepNext/>
              <w:spacing w:line="360" w:lineRule="auto"/>
              <w:ind w:left="63" w:right="63"/>
              <w:rPr>
                <w:rFonts w:ascii="宋体" w:hAnsi="宋体" w:eastAsia="宋体" w:cs="宋体"/>
                <w:color w:val="000000"/>
                <w:szCs w:val="21"/>
              </w:rPr>
            </w:pPr>
          </w:p>
        </w:tc>
        <w:tc>
          <w:tcPr>
            <w:tcW w:w="999" w:type="dxa"/>
            <w:vAlign w:val="center"/>
          </w:tcPr>
          <w:p w14:paraId="6FB95761">
            <w:pPr>
              <w:keepNext/>
              <w:spacing w:line="360" w:lineRule="auto"/>
              <w:ind w:left="63" w:right="63"/>
              <w:rPr>
                <w:rFonts w:ascii="宋体" w:hAnsi="宋体" w:eastAsia="宋体" w:cs="宋体"/>
                <w:color w:val="000000"/>
                <w:szCs w:val="21"/>
              </w:rPr>
            </w:pPr>
          </w:p>
        </w:tc>
        <w:tc>
          <w:tcPr>
            <w:tcW w:w="2044" w:type="dxa"/>
            <w:vAlign w:val="center"/>
          </w:tcPr>
          <w:p w14:paraId="1974080B">
            <w:pPr>
              <w:keepNext/>
              <w:spacing w:line="360" w:lineRule="auto"/>
              <w:ind w:left="63" w:right="63"/>
              <w:rPr>
                <w:rFonts w:ascii="宋体" w:hAnsi="宋体" w:eastAsia="宋体" w:cs="宋体"/>
                <w:color w:val="000000"/>
                <w:szCs w:val="21"/>
              </w:rPr>
            </w:pPr>
          </w:p>
        </w:tc>
        <w:tc>
          <w:tcPr>
            <w:tcW w:w="999" w:type="dxa"/>
            <w:vAlign w:val="center"/>
          </w:tcPr>
          <w:p w14:paraId="51D84A75">
            <w:pPr>
              <w:keepNext/>
              <w:spacing w:line="360" w:lineRule="auto"/>
              <w:ind w:left="63" w:right="63"/>
              <w:rPr>
                <w:rFonts w:ascii="宋体" w:hAnsi="宋体" w:eastAsia="宋体" w:cs="宋体"/>
                <w:color w:val="000000"/>
                <w:szCs w:val="21"/>
              </w:rPr>
            </w:pPr>
          </w:p>
        </w:tc>
        <w:tc>
          <w:tcPr>
            <w:tcW w:w="1487" w:type="dxa"/>
            <w:vAlign w:val="center"/>
          </w:tcPr>
          <w:p w14:paraId="0A4230B8">
            <w:pPr>
              <w:keepNext/>
              <w:spacing w:line="360" w:lineRule="auto"/>
              <w:ind w:left="63" w:right="63"/>
              <w:rPr>
                <w:rFonts w:ascii="宋体" w:hAnsi="宋体" w:eastAsia="宋体" w:cs="宋体"/>
                <w:color w:val="000000"/>
                <w:szCs w:val="21"/>
              </w:rPr>
            </w:pPr>
          </w:p>
        </w:tc>
        <w:tc>
          <w:tcPr>
            <w:tcW w:w="1139" w:type="dxa"/>
            <w:vAlign w:val="center"/>
          </w:tcPr>
          <w:p w14:paraId="1E944D36">
            <w:pPr>
              <w:keepNext/>
              <w:spacing w:line="360" w:lineRule="auto"/>
              <w:ind w:left="63" w:right="63"/>
              <w:rPr>
                <w:rFonts w:ascii="宋体" w:hAnsi="宋体" w:eastAsia="宋体" w:cs="宋体"/>
                <w:color w:val="000000"/>
                <w:szCs w:val="21"/>
              </w:rPr>
            </w:pPr>
          </w:p>
        </w:tc>
      </w:tr>
      <w:tr w14:paraId="03AF76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2BBC71B3">
            <w:pPr>
              <w:spacing w:line="360" w:lineRule="auto"/>
              <w:rPr>
                <w:rFonts w:ascii="宋体" w:hAnsi="宋体" w:eastAsia="宋体" w:cs="宋体"/>
                <w:color w:val="000000"/>
                <w:szCs w:val="21"/>
              </w:rPr>
            </w:pPr>
          </w:p>
        </w:tc>
        <w:tc>
          <w:tcPr>
            <w:tcW w:w="999" w:type="dxa"/>
          </w:tcPr>
          <w:p w14:paraId="1B011AF9">
            <w:pPr>
              <w:spacing w:line="360" w:lineRule="auto"/>
              <w:rPr>
                <w:rFonts w:ascii="宋体" w:hAnsi="宋体" w:eastAsia="宋体" w:cs="宋体"/>
                <w:color w:val="000000"/>
                <w:szCs w:val="21"/>
              </w:rPr>
            </w:pPr>
          </w:p>
        </w:tc>
        <w:tc>
          <w:tcPr>
            <w:tcW w:w="2044" w:type="dxa"/>
          </w:tcPr>
          <w:p w14:paraId="5EFE5584">
            <w:pPr>
              <w:spacing w:line="360" w:lineRule="auto"/>
              <w:rPr>
                <w:rFonts w:ascii="宋体" w:hAnsi="宋体" w:eastAsia="宋体" w:cs="宋体"/>
                <w:color w:val="000000"/>
                <w:szCs w:val="21"/>
              </w:rPr>
            </w:pPr>
          </w:p>
        </w:tc>
        <w:tc>
          <w:tcPr>
            <w:tcW w:w="999" w:type="dxa"/>
          </w:tcPr>
          <w:p w14:paraId="595A76BD">
            <w:pPr>
              <w:spacing w:line="360" w:lineRule="auto"/>
              <w:rPr>
                <w:rFonts w:ascii="宋体" w:hAnsi="宋体" w:eastAsia="宋体" w:cs="宋体"/>
                <w:color w:val="000000"/>
                <w:szCs w:val="21"/>
              </w:rPr>
            </w:pPr>
          </w:p>
        </w:tc>
        <w:tc>
          <w:tcPr>
            <w:tcW w:w="1487" w:type="dxa"/>
          </w:tcPr>
          <w:p w14:paraId="1FCC5B2F">
            <w:pPr>
              <w:spacing w:line="360" w:lineRule="auto"/>
              <w:rPr>
                <w:rFonts w:ascii="宋体" w:hAnsi="宋体" w:eastAsia="宋体" w:cs="宋体"/>
                <w:color w:val="000000"/>
                <w:szCs w:val="21"/>
              </w:rPr>
            </w:pPr>
          </w:p>
        </w:tc>
        <w:tc>
          <w:tcPr>
            <w:tcW w:w="1139" w:type="dxa"/>
          </w:tcPr>
          <w:p w14:paraId="60545BBC">
            <w:pPr>
              <w:spacing w:line="360" w:lineRule="auto"/>
              <w:rPr>
                <w:rFonts w:ascii="宋体" w:hAnsi="宋体" w:eastAsia="宋体" w:cs="宋体"/>
                <w:color w:val="000000"/>
                <w:szCs w:val="21"/>
              </w:rPr>
            </w:pPr>
          </w:p>
        </w:tc>
      </w:tr>
      <w:tr w14:paraId="6125F11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vAlign w:val="center"/>
          </w:tcPr>
          <w:p w14:paraId="27663500">
            <w:pPr>
              <w:keepNext/>
              <w:spacing w:line="360" w:lineRule="auto"/>
              <w:ind w:left="63" w:right="63"/>
              <w:rPr>
                <w:rFonts w:ascii="宋体" w:hAnsi="宋体" w:eastAsia="宋体" w:cs="宋体"/>
                <w:color w:val="000000"/>
                <w:szCs w:val="21"/>
              </w:rPr>
            </w:pPr>
          </w:p>
        </w:tc>
        <w:tc>
          <w:tcPr>
            <w:tcW w:w="999" w:type="dxa"/>
            <w:vAlign w:val="center"/>
          </w:tcPr>
          <w:p w14:paraId="4B3E18DD">
            <w:pPr>
              <w:keepNext/>
              <w:spacing w:line="360" w:lineRule="auto"/>
              <w:ind w:left="63" w:right="63"/>
              <w:rPr>
                <w:rFonts w:ascii="宋体" w:hAnsi="宋体" w:eastAsia="宋体" w:cs="宋体"/>
                <w:color w:val="000000"/>
                <w:szCs w:val="21"/>
              </w:rPr>
            </w:pPr>
          </w:p>
        </w:tc>
        <w:tc>
          <w:tcPr>
            <w:tcW w:w="2044" w:type="dxa"/>
            <w:vAlign w:val="center"/>
          </w:tcPr>
          <w:p w14:paraId="037A6639">
            <w:pPr>
              <w:keepNext/>
              <w:spacing w:line="360" w:lineRule="auto"/>
              <w:ind w:left="63" w:right="63"/>
              <w:rPr>
                <w:rFonts w:ascii="宋体" w:hAnsi="宋体" w:eastAsia="宋体" w:cs="宋体"/>
                <w:color w:val="000000"/>
                <w:szCs w:val="21"/>
              </w:rPr>
            </w:pPr>
          </w:p>
        </w:tc>
        <w:tc>
          <w:tcPr>
            <w:tcW w:w="999" w:type="dxa"/>
            <w:vAlign w:val="center"/>
          </w:tcPr>
          <w:p w14:paraId="709C51A3">
            <w:pPr>
              <w:keepNext/>
              <w:spacing w:line="360" w:lineRule="auto"/>
              <w:ind w:left="63" w:right="63"/>
              <w:rPr>
                <w:rFonts w:ascii="宋体" w:hAnsi="宋体" w:eastAsia="宋体" w:cs="宋体"/>
                <w:color w:val="000000"/>
                <w:szCs w:val="21"/>
              </w:rPr>
            </w:pPr>
          </w:p>
        </w:tc>
        <w:tc>
          <w:tcPr>
            <w:tcW w:w="1487" w:type="dxa"/>
            <w:vAlign w:val="center"/>
          </w:tcPr>
          <w:p w14:paraId="4EE0AE91">
            <w:pPr>
              <w:keepNext/>
              <w:spacing w:line="360" w:lineRule="auto"/>
              <w:ind w:left="63" w:right="63"/>
              <w:rPr>
                <w:rFonts w:ascii="宋体" w:hAnsi="宋体" w:eastAsia="宋体" w:cs="宋体"/>
                <w:color w:val="000000"/>
                <w:szCs w:val="21"/>
              </w:rPr>
            </w:pPr>
          </w:p>
        </w:tc>
        <w:tc>
          <w:tcPr>
            <w:tcW w:w="1139" w:type="dxa"/>
            <w:vAlign w:val="center"/>
          </w:tcPr>
          <w:p w14:paraId="7D7214B2">
            <w:pPr>
              <w:keepNext/>
              <w:spacing w:line="360" w:lineRule="auto"/>
              <w:ind w:left="63" w:right="63"/>
              <w:rPr>
                <w:rFonts w:ascii="宋体" w:hAnsi="宋体" w:eastAsia="宋体" w:cs="宋体"/>
                <w:color w:val="000000"/>
                <w:szCs w:val="21"/>
              </w:rPr>
            </w:pPr>
          </w:p>
        </w:tc>
      </w:tr>
      <w:tr w14:paraId="54F703C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27F5810">
            <w:pPr>
              <w:spacing w:line="360" w:lineRule="auto"/>
              <w:rPr>
                <w:rFonts w:ascii="宋体" w:hAnsi="宋体" w:eastAsia="宋体" w:cs="宋体"/>
                <w:color w:val="000000"/>
                <w:szCs w:val="21"/>
              </w:rPr>
            </w:pPr>
          </w:p>
        </w:tc>
        <w:tc>
          <w:tcPr>
            <w:tcW w:w="999" w:type="dxa"/>
          </w:tcPr>
          <w:p w14:paraId="6D6E9FF8">
            <w:pPr>
              <w:spacing w:line="360" w:lineRule="auto"/>
              <w:rPr>
                <w:rFonts w:ascii="宋体" w:hAnsi="宋体" w:eastAsia="宋体" w:cs="宋体"/>
                <w:color w:val="000000"/>
                <w:szCs w:val="21"/>
              </w:rPr>
            </w:pPr>
          </w:p>
        </w:tc>
        <w:tc>
          <w:tcPr>
            <w:tcW w:w="2044" w:type="dxa"/>
          </w:tcPr>
          <w:p w14:paraId="01622539">
            <w:pPr>
              <w:spacing w:line="360" w:lineRule="auto"/>
              <w:rPr>
                <w:rFonts w:ascii="宋体" w:hAnsi="宋体" w:eastAsia="宋体" w:cs="宋体"/>
                <w:color w:val="000000"/>
                <w:szCs w:val="21"/>
              </w:rPr>
            </w:pPr>
          </w:p>
        </w:tc>
        <w:tc>
          <w:tcPr>
            <w:tcW w:w="999" w:type="dxa"/>
          </w:tcPr>
          <w:p w14:paraId="2B3A54BF">
            <w:pPr>
              <w:spacing w:line="360" w:lineRule="auto"/>
              <w:rPr>
                <w:rFonts w:ascii="宋体" w:hAnsi="宋体" w:eastAsia="宋体" w:cs="宋体"/>
                <w:color w:val="000000"/>
                <w:szCs w:val="21"/>
              </w:rPr>
            </w:pPr>
          </w:p>
        </w:tc>
        <w:tc>
          <w:tcPr>
            <w:tcW w:w="1487" w:type="dxa"/>
          </w:tcPr>
          <w:p w14:paraId="31E9B316">
            <w:pPr>
              <w:spacing w:line="360" w:lineRule="auto"/>
              <w:rPr>
                <w:rFonts w:ascii="宋体" w:hAnsi="宋体" w:eastAsia="宋体" w:cs="宋体"/>
                <w:color w:val="000000"/>
                <w:szCs w:val="21"/>
              </w:rPr>
            </w:pPr>
          </w:p>
        </w:tc>
        <w:tc>
          <w:tcPr>
            <w:tcW w:w="1139" w:type="dxa"/>
          </w:tcPr>
          <w:p w14:paraId="76F52079">
            <w:pPr>
              <w:spacing w:line="360" w:lineRule="auto"/>
              <w:rPr>
                <w:rFonts w:ascii="宋体" w:hAnsi="宋体" w:eastAsia="宋体" w:cs="宋体"/>
                <w:color w:val="000000"/>
                <w:szCs w:val="21"/>
              </w:rPr>
            </w:pPr>
          </w:p>
        </w:tc>
      </w:tr>
      <w:tr w14:paraId="685919A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0806B21">
            <w:pPr>
              <w:spacing w:line="360" w:lineRule="auto"/>
              <w:rPr>
                <w:rFonts w:ascii="宋体" w:hAnsi="宋体" w:eastAsia="宋体" w:cs="宋体"/>
                <w:color w:val="000000"/>
                <w:szCs w:val="21"/>
              </w:rPr>
            </w:pPr>
          </w:p>
        </w:tc>
        <w:tc>
          <w:tcPr>
            <w:tcW w:w="999" w:type="dxa"/>
          </w:tcPr>
          <w:p w14:paraId="584A2173">
            <w:pPr>
              <w:spacing w:line="360" w:lineRule="auto"/>
              <w:rPr>
                <w:rFonts w:ascii="宋体" w:hAnsi="宋体" w:eastAsia="宋体" w:cs="宋体"/>
                <w:color w:val="000000"/>
                <w:szCs w:val="21"/>
              </w:rPr>
            </w:pPr>
          </w:p>
        </w:tc>
        <w:tc>
          <w:tcPr>
            <w:tcW w:w="2044" w:type="dxa"/>
          </w:tcPr>
          <w:p w14:paraId="1C0077FE">
            <w:pPr>
              <w:spacing w:line="360" w:lineRule="auto"/>
              <w:rPr>
                <w:rFonts w:ascii="宋体" w:hAnsi="宋体" w:eastAsia="宋体" w:cs="宋体"/>
                <w:color w:val="000000"/>
                <w:szCs w:val="21"/>
              </w:rPr>
            </w:pPr>
          </w:p>
        </w:tc>
        <w:tc>
          <w:tcPr>
            <w:tcW w:w="999" w:type="dxa"/>
          </w:tcPr>
          <w:p w14:paraId="7300ED9A">
            <w:pPr>
              <w:spacing w:line="360" w:lineRule="auto"/>
              <w:rPr>
                <w:rFonts w:ascii="宋体" w:hAnsi="宋体" w:eastAsia="宋体" w:cs="宋体"/>
                <w:color w:val="000000"/>
                <w:szCs w:val="21"/>
              </w:rPr>
            </w:pPr>
          </w:p>
        </w:tc>
        <w:tc>
          <w:tcPr>
            <w:tcW w:w="1487" w:type="dxa"/>
          </w:tcPr>
          <w:p w14:paraId="353B2105">
            <w:pPr>
              <w:spacing w:line="360" w:lineRule="auto"/>
              <w:rPr>
                <w:rFonts w:ascii="宋体" w:hAnsi="宋体" w:eastAsia="宋体" w:cs="宋体"/>
                <w:color w:val="000000"/>
                <w:szCs w:val="21"/>
              </w:rPr>
            </w:pPr>
          </w:p>
        </w:tc>
        <w:tc>
          <w:tcPr>
            <w:tcW w:w="1139" w:type="dxa"/>
          </w:tcPr>
          <w:p w14:paraId="457635FF">
            <w:pPr>
              <w:spacing w:line="360" w:lineRule="auto"/>
              <w:rPr>
                <w:rFonts w:ascii="宋体" w:hAnsi="宋体" w:eastAsia="宋体" w:cs="宋体"/>
                <w:color w:val="000000"/>
                <w:szCs w:val="21"/>
              </w:rPr>
            </w:pPr>
          </w:p>
        </w:tc>
      </w:tr>
      <w:tr w14:paraId="753F05D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6E0D3E38">
            <w:pPr>
              <w:spacing w:line="360" w:lineRule="auto"/>
              <w:rPr>
                <w:rFonts w:ascii="宋体" w:hAnsi="宋体" w:eastAsia="宋体" w:cs="宋体"/>
                <w:color w:val="000000"/>
                <w:szCs w:val="21"/>
              </w:rPr>
            </w:pPr>
          </w:p>
        </w:tc>
        <w:tc>
          <w:tcPr>
            <w:tcW w:w="999" w:type="dxa"/>
          </w:tcPr>
          <w:p w14:paraId="31FA80B9">
            <w:pPr>
              <w:spacing w:line="360" w:lineRule="auto"/>
              <w:rPr>
                <w:rFonts w:ascii="宋体" w:hAnsi="宋体" w:eastAsia="宋体" w:cs="宋体"/>
                <w:color w:val="000000"/>
                <w:szCs w:val="21"/>
              </w:rPr>
            </w:pPr>
          </w:p>
        </w:tc>
        <w:tc>
          <w:tcPr>
            <w:tcW w:w="2044" w:type="dxa"/>
          </w:tcPr>
          <w:p w14:paraId="5CD18218">
            <w:pPr>
              <w:spacing w:line="360" w:lineRule="auto"/>
              <w:rPr>
                <w:rFonts w:ascii="宋体" w:hAnsi="宋体" w:eastAsia="宋体" w:cs="宋体"/>
                <w:color w:val="000000"/>
                <w:szCs w:val="21"/>
              </w:rPr>
            </w:pPr>
          </w:p>
        </w:tc>
        <w:tc>
          <w:tcPr>
            <w:tcW w:w="999" w:type="dxa"/>
          </w:tcPr>
          <w:p w14:paraId="1A554D8A">
            <w:pPr>
              <w:spacing w:line="360" w:lineRule="auto"/>
              <w:rPr>
                <w:rFonts w:ascii="宋体" w:hAnsi="宋体" w:eastAsia="宋体" w:cs="宋体"/>
                <w:color w:val="000000"/>
                <w:szCs w:val="21"/>
              </w:rPr>
            </w:pPr>
          </w:p>
        </w:tc>
        <w:tc>
          <w:tcPr>
            <w:tcW w:w="1487" w:type="dxa"/>
          </w:tcPr>
          <w:p w14:paraId="5DBE6D53">
            <w:pPr>
              <w:spacing w:line="360" w:lineRule="auto"/>
              <w:rPr>
                <w:rFonts w:ascii="宋体" w:hAnsi="宋体" w:eastAsia="宋体" w:cs="宋体"/>
                <w:color w:val="000000"/>
                <w:szCs w:val="21"/>
              </w:rPr>
            </w:pPr>
          </w:p>
        </w:tc>
        <w:tc>
          <w:tcPr>
            <w:tcW w:w="1139" w:type="dxa"/>
          </w:tcPr>
          <w:p w14:paraId="12F369E2">
            <w:pPr>
              <w:spacing w:line="360" w:lineRule="auto"/>
              <w:rPr>
                <w:rFonts w:ascii="宋体" w:hAnsi="宋体" w:eastAsia="宋体" w:cs="宋体"/>
                <w:color w:val="000000"/>
                <w:szCs w:val="21"/>
              </w:rPr>
            </w:pPr>
          </w:p>
        </w:tc>
      </w:tr>
      <w:tr w14:paraId="3D3DAE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52736D06">
            <w:pPr>
              <w:spacing w:line="360" w:lineRule="auto"/>
              <w:rPr>
                <w:rFonts w:ascii="宋体" w:hAnsi="宋体" w:eastAsia="宋体" w:cs="宋体"/>
                <w:color w:val="000000"/>
                <w:szCs w:val="21"/>
              </w:rPr>
            </w:pPr>
          </w:p>
        </w:tc>
        <w:tc>
          <w:tcPr>
            <w:tcW w:w="999" w:type="dxa"/>
          </w:tcPr>
          <w:p w14:paraId="28CD93D1">
            <w:pPr>
              <w:spacing w:line="360" w:lineRule="auto"/>
              <w:rPr>
                <w:rFonts w:ascii="宋体" w:hAnsi="宋体" w:eastAsia="宋体" w:cs="宋体"/>
                <w:color w:val="000000"/>
                <w:szCs w:val="21"/>
              </w:rPr>
            </w:pPr>
          </w:p>
        </w:tc>
        <w:tc>
          <w:tcPr>
            <w:tcW w:w="2044" w:type="dxa"/>
          </w:tcPr>
          <w:p w14:paraId="56F870C1">
            <w:pPr>
              <w:spacing w:line="360" w:lineRule="auto"/>
              <w:rPr>
                <w:rFonts w:ascii="宋体" w:hAnsi="宋体" w:eastAsia="宋体" w:cs="宋体"/>
                <w:color w:val="000000"/>
                <w:szCs w:val="21"/>
              </w:rPr>
            </w:pPr>
          </w:p>
        </w:tc>
        <w:tc>
          <w:tcPr>
            <w:tcW w:w="999" w:type="dxa"/>
          </w:tcPr>
          <w:p w14:paraId="13F7A9B2">
            <w:pPr>
              <w:spacing w:line="360" w:lineRule="auto"/>
              <w:rPr>
                <w:rFonts w:ascii="宋体" w:hAnsi="宋体" w:eastAsia="宋体" w:cs="宋体"/>
                <w:color w:val="000000"/>
                <w:szCs w:val="21"/>
              </w:rPr>
            </w:pPr>
          </w:p>
        </w:tc>
        <w:tc>
          <w:tcPr>
            <w:tcW w:w="1487" w:type="dxa"/>
          </w:tcPr>
          <w:p w14:paraId="768C7A30">
            <w:pPr>
              <w:spacing w:line="360" w:lineRule="auto"/>
              <w:rPr>
                <w:rFonts w:ascii="宋体" w:hAnsi="宋体" w:eastAsia="宋体" w:cs="宋体"/>
                <w:color w:val="000000"/>
                <w:szCs w:val="21"/>
              </w:rPr>
            </w:pPr>
          </w:p>
        </w:tc>
        <w:tc>
          <w:tcPr>
            <w:tcW w:w="1139" w:type="dxa"/>
          </w:tcPr>
          <w:p w14:paraId="72B40E90">
            <w:pPr>
              <w:spacing w:line="360" w:lineRule="auto"/>
              <w:rPr>
                <w:rFonts w:ascii="宋体" w:hAnsi="宋体" w:eastAsia="宋体" w:cs="宋体"/>
                <w:color w:val="000000"/>
                <w:szCs w:val="21"/>
              </w:rPr>
            </w:pPr>
          </w:p>
        </w:tc>
      </w:tr>
      <w:tr w14:paraId="6BBE83B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0503A0C7">
            <w:pPr>
              <w:spacing w:line="360" w:lineRule="auto"/>
              <w:rPr>
                <w:rFonts w:ascii="宋体" w:hAnsi="宋体" w:eastAsia="宋体" w:cs="宋体"/>
                <w:color w:val="000000"/>
                <w:szCs w:val="21"/>
              </w:rPr>
            </w:pPr>
          </w:p>
        </w:tc>
        <w:tc>
          <w:tcPr>
            <w:tcW w:w="999" w:type="dxa"/>
          </w:tcPr>
          <w:p w14:paraId="44D348DB">
            <w:pPr>
              <w:spacing w:line="360" w:lineRule="auto"/>
              <w:rPr>
                <w:rFonts w:ascii="宋体" w:hAnsi="宋体" w:eastAsia="宋体" w:cs="宋体"/>
                <w:color w:val="000000"/>
                <w:szCs w:val="21"/>
              </w:rPr>
            </w:pPr>
          </w:p>
        </w:tc>
        <w:tc>
          <w:tcPr>
            <w:tcW w:w="2044" w:type="dxa"/>
          </w:tcPr>
          <w:p w14:paraId="1FD84B77">
            <w:pPr>
              <w:spacing w:line="360" w:lineRule="auto"/>
              <w:rPr>
                <w:rFonts w:ascii="宋体" w:hAnsi="宋体" w:eastAsia="宋体" w:cs="宋体"/>
                <w:color w:val="000000"/>
                <w:szCs w:val="21"/>
              </w:rPr>
            </w:pPr>
          </w:p>
        </w:tc>
        <w:tc>
          <w:tcPr>
            <w:tcW w:w="999" w:type="dxa"/>
          </w:tcPr>
          <w:p w14:paraId="47827072">
            <w:pPr>
              <w:spacing w:line="360" w:lineRule="auto"/>
              <w:rPr>
                <w:rFonts w:ascii="宋体" w:hAnsi="宋体" w:eastAsia="宋体" w:cs="宋体"/>
                <w:color w:val="000000"/>
                <w:szCs w:val="21"/>
              </w:rPr>
            </w:pPr>
          </w:p>
        </w:tc>
        <w:tc>
          <w:tcPr>
            <w:tcW w:w="1487" w:type="dxa"/>
          </w:tcPr>
          <w:p w14:paraId="48131D40">
            <w:pPr>
              <w:spacing w:line="360" w:lineRule="auto"/>
              <w:rPr>
                <w:rFonts w:ascii="宋体" w:hAnsi="宋体" w:eastAsia="宋体" w:cs="宋体"/>
                <w:color w:val="000000"/>
                <w:szCs w:val="21"/>
              </w:rPr>
            </w:pPr>
          </w:p>
        </w:tc>
        <w:tc>
          <w:tcPr>
            <w:tcW w:w="1139" w:type="dxa"/>
          </w:tcPr>
          <w:p w14:paraId="61F25C05">
            <w:pPr>
              <w:spacing w:line="360" w:lineRule="auto"/>
              <w:rPr>
                <w:rFonts w:ascii="宋体" w:hAnsi="宋体" w:eastAsia="宋体" w:cs="宋体"/>
                <w:color w:val="000000"/>
                <w:szCs w:val="21"/>
              </w:rPr>
            </w:pPr>
          </w:p>
        </w:tc>
      </w:tr>
      <w:tr w14:paraId="2BAC7EE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4332B1FA">
            <w:pPr>
              <w:spacing w:line="360" w:lineRule="auto"/>
              <w:rPr>
                <w:rFonts w:ascii="宋体" w:hAnsi="宋体" w:eastAsia="宋体" w:cs="宋体"/>
                <w:color w:val="000000"/>
                <w:szCs w:val="21"/>
              </w:rPr>
            </w:pPr>
          </w:p>
        </w:tc>
        <w:tc>
          <w:tcPr>
            <w:tcW w:w="999" w:type="dxa"/>
          </w:tcPr>
          <w:p w14:paraId="451A18E5">
            <w:pPr>
              <w:spacing w:line="360" w:lineRule="auto"/>
              <w:rPr>
                <w:rFonts w:ascii="宋体" w:hAnsi="宋体" w:eastAsia="宋体" w:cs="宋体"/>
                <w:color w:val="000000"/>
                <w:szCs w:val="21"/>
              </w:rPr>
            </w:pPr>
          </w:p>
        </w:tc>
        <w:tc>
          <w:tcPr>
            <w:tcW w:w="2044" w:type="dxa"/>
          </w:tcPr>
          <w:p w14:paraId="76143DB4">
            <w:pPr>
              <w:spacing w:line="360" w:lineRule="auto"/>
              <w:rPr>
                <w:rFonts w:ascii="宋体" w:hAnsi="宋体" w:eastAsia="宋体" w:cs="宋体"/>
                <w:color w:val="000000"/>
                <w:szCs w:val="21"/>
              </w:rPr>
            </w:pPr>
          </w:p>
        </w:tc>
        <w:tc>
          <w:tcPr>
            <w:tcW w:w="999" w:type="dxa"/>
          </w:tcPr>
          <w:p w14:paraId="079DC102">
            <w:pPr>
              <w:spacing w:line="360" w:lineRule="auto"/>
              <w:rPr>
                <w:rFonts w:ascii="宋体" w:hAnsi="宋体" w:eastAsia="宋体" w:cs="宋体"/>
                <w:color w:val="000000"/>
                <w:szCs w:val="21"/>
              </w:rPr>
            </w:pPr>
          </w:p>
        </w:tc>
        <w:tc>
          <w:tcPr>
            <w:tcW w:w="1487" w:type="dxa"/>
          </w:tcPr>
          <w:p w14:paraId="22A5E965">
            <w:pPr>
              <w:spacing w:line="360" w:lineRule="auto"/>
              <w:rPr>
                <w:rFonts w:ascii="宋体" w:hAnsi="宋体" w:eastAsia="宋体" w:cs="宋体"/>
                <w:color w:val="000000"/>
                <w:szCs w:val="21"/>
              </w:rPr>
            </w:pPr>
          </w:p>
        </w:tc>
        <w:tc>
          <w:tcPr>
            <w:tcW w:w="1139" w:type="dxa"/>
          </w:tcPr>
          <w:p w14:paraId="4B3995E2">
            <w:pPr>
              <w:spacing w:line="360" w:lineRule="auto"/>
              <w:rPr>
                <w:rFonts w:ascii="宋体" w:hAnsi="宋体" w:eastAsia="宋体" w:cs="宋体"/>
                <w:color w:val="000000"/>
                <w:szCs w:val="21"/>
              </w:rPr>
            </w:pPr>
          </w:p>
        </w:tc>
      </w:tr>
      <w:tr w14:paraId="5B563AC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5DC4108B">
            <w:pPr>
              <w:spacing w:line="360" w:lineRule="auto"/>
              <w:rPr>
                <w:rFonts w:ascii="宋体" w:hAnsi="宋体" w:eastAsia="宋体" w:cs="宋体"/>
                <w:color w:val="000000"/>
                <w:szCs w:val="21"/>
              </w:rPr>
            </w:pPr>
          </w:p>
        </w:tc>
        <w:tc>
          <w:tcPr>
            <w:tcW w:w="999" w:type="dxa"/>
          </w:tcPr>
          <w:p w14:paraId="467980C6">
            <w:pPr>
              <w:spacing w:line="360" w:lineRule="auto"/>
              <w:rPr>
                <w:rFonts w:ascii="宋体" w:hAnsi="宋体" w:eastAsia="宋体" w:cs="宋体"/>
                <w:color w:val="000000"/>
                <w:szCs w:val="21"/>
              </w:rPr>
            </w:pPr>
          </w:p>
        </w:tc>
        <w:tc>
          <w:tcPr>
            <w:tcW w:w="2044" w:type="dxa"/>
          </w:tcPr>
          <w:p w14:paraId="53584B5F">
            <w:pPr>
              <w:spacing w:line="360" w:lineRule="auto"/>
              <w:rPr>
                <w:rFonts w:ascii="宋体" w:hAnsi="宋体" w:eastAsia="宋体" w:cs="宋体"/>
                <w:color w:val="000000"/>
                <w:szCs w:val="21"/>
              </w:rPr>
            </w:pPr>
          </w:p>
        </w:tc>
        <w:tc>
          <w:tcPr>
            <w:tcW w:w="999" w:type="dxa"/>
          </w:tcPr>
          <w:p w14:paraId="11947496">
            <w:pPr>
              <w:spacing w:line="360" w:lineRule="auto"/>
              <w:rPr>
                <w:rFonts w:ascii="宋体" w:hAnsi="宋体" w:eastAsia="宋体" w:cs="宋体"/>
                <w:color w:val="000000"/>
                <w:szCs w:val="21"/>
              </w:rPr>
            </w:pPr>
          </w:p>
        </w:tc>
        <w:tc>
          <w:tcPr>
            <w:tcW w:w="1487" w:type="dxa"/>
          </w:tcPr>
          <w:p w14:paraId="55845249">
            <w:pPr>
              <w:spacing w:line="360" w:lineRule="auto"/>
              <w:rPr>
                <w:rFonts w:ascii="宋体" w:hAnsi="宋体" w:eastAsia="宋体" w:cs="宋体"/>
                <w:color w:val="000000"/>
                <w:szCs w:val="21"/>
              </w:rPr>
            </w:pPr>
          </w:p>
        </w:tc>
        <w:tc>
          <w:tcPr>
            <w:tcW w:w="1139" w:type="dxa"/>
          </w:tcPr>
          <w:p w14:paraId="3468FE5F">
            <w:pPr>
              <w:spacing w:line="360" w:lineRule="auto"/>
              <w:rPr>
                <w:rFonts w:ascii="宋体" w:hAnsi="宋体" w:eastAsia="宋体" w:cs="宋体"/>
                <w:color w:val="000000"/>
                <w:szCs w:val="21"/>
              </w:rPr>
            </w:pPr>
          </w:p>
        </w:tc>
      </w:tr>
      <w:tr w14:paraId="10BEB5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55070B93">
            <w:pPr>
              <w:spacing w:line="360" w:lineRule="auto"/>
              <w:rPr>
                <w:rFonts w:ascii="宋体" w:hAnsi="宋体" w:eastAsia="宋体" w:cs="宋体"/>
                <w:color w:val="000000"/>
                <w:szCs w:val="21"/>
              </w:rPr>
            </w:pPr>
          </w:p>
        </w:tc>
        <w:tc>
          <w:tcPr>
            <w:tcW w:w="999" w:type="dxa"/>
          </w:tcPr>
          <w:p w14:paraId="37D59AE1">
            <w:pPr>
              <w:spacing w:line="360" w:lineRule="auto"/>
              <w:rPr>
                <w:rFonts w:ascii="宋体" w:hAnsi="宋体" w:eastAsia="宋体" w:cs="宋体"/>
                <w:color w:val="000000"/>
                <w:szCs w:val="21"/>
              </w:rPr>
            </w:pPr>
          </w:p>
        </w:tc>
        <w:tc>
          <w:tcPr>
            <w:tcW w:w="2044" w:type="dxa"/>
          </w:tcPr>
          <w:p w14:paraId="3725C525">
            <w:pPr>
              <w:spacing w:line="360" w:lineRule="auto"/>
              <w:rPr>
                <w:rFonts w:ascii="宋体" w:hAnsi="宋体" w:eastAsia="宋体" w:cs="宋体"/>
                <w:color w:val="000000"/>
                <w:szCs w:val="21"/>
              </w:rPr>
            </w:pPr>
          </w:p>
        </w:tc>
        <w:tc>
          <w:tcPr>
            <w:tcW w:w="999" w:type="dxa"/>
          </w:tcPr>
          <w:p w14:paraId="309D8834">
            <w:pPr>
              <w:spacing w:line="360" w:lineRule="auto"/>
              <w:rPr>
                <w:rFonts w:ascii="宋体" w:hAnsi="宋体" w:eastAsia="宋体" w:cs="宋体"/>
                <w:color w:val="000000"/>
                <w:szCs w:val="21"/>
              </w:rPr>
            </w:pPr>
          </w:p>
        </w:tc>
        <w:tc>
          <w:tcPr>
            <w:tcW w:w="1487" w:type="dxa"/>
          </w:tcPr>
          <w:p w14:paraId="3C46F8AB">
            <w:pPr>
              <w:spacing w:line="360" w:lineRule="auto"/>
              <w:rPr>
                <w:rFonts w:ascii="宋体" w:hAnsi="宋体" w:eastAsia="宋体" w:cs="宋体"/>
                <w:color w:val="000000"/>
                <w:szCs w:val="21"/>
              </w:rPr>
            </w:pPr>
          </w:p>
        </w:tc>
        <w:tc>
          <w:tcPr>
            <w:tcW w:w="1139" w:type="dxa"/>
          </w:tcPr>
          <w:p w14:paraId="378EC58D">
            <w:pPr>
              <w:spacing w:line="360" w:lineRule="auto"/>
              <w:rPr>
                <w:rFonts w:ascii="宋体" w:hAnsi="宋体" w:eastAsia="宋体" w:cs="宋体"/>
                <w:color w:val="000000"/>
                <w:szCs w:val="21"/>
              </w:rPr>
            </w:pPr>
          </w:p>
        </w:tc>
      </w:tr>
      <w:tr w14:paraId="79DFA26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1695" w:type="dxa"/>
          </w:tcPr>
          <w:p w14:paraId="730B455C">
            <w:pPr>
              <w:spacing w:line="360" w:lineRule="auto"/>
              <w:rPr>
                <w:rFonts w:ascii="宋体" w:hAnsi="宋体" w:eastAsia="宋体" w:cs="宋体"/>
                <w:color w:val="000000"/>
                <w:szCs w:val="21"/>
              </w:rPr>
            </w:pPr>
          </w:p>
        </w:tc>
        <w:tc>
          <w:tcPr>
            <w:tcW w:w="999" w:type="dxa"/>
          </w:tcPr>
          <w:p w14:paraId="67DE3F26">
            <w:pPr>
              <w:spacing w:line="360" w:lineRule="auto"/>
              <w:rPr>
                <w:rFonts w:ascii="宋体" w:hAnsi="宋体" w:eastAsia="宋体" w:cs="宋体"/>
                <w:color w:val="000000"/>
                <w:szCs w:val="21"/>
              </w:rPr>
            </w:pPr>
          </w:p>
        </w:tc>
        <w:tc>
          <w:tcPr>
            <w:tcW w:w="2044" w:type="dxa"/>
          </w:tcPr>
          <w:p w14:paraId="4200B566">
            <w:pPr>
              <w:spacing w:line="360" w:lineRule="auto"/>
              <w:rPr>
                <w:rFonts w:ascii="宋体" w:hAnsi="宋体" w:eastAsia="宋体" w:cs="宋体"/>
                <w:color w:val="000000"/>
                <w:szCs w:val="21"/>
              </w:rPr>
            </w:pPr>
          </w:p>
        </w:tc>
        <w:tc>
          <w:tcPr>
            <w:tcW w:w="999" w:type="dxa"/>
          </w:tcPr>
          <w:p w14:paraId="563E333D">
            <w:pPr>
              <w:spacing w:line="360" w:lineRule="auto"/>
              <w:rPr>
                <w:rFonts w:ascii="宋体" w:hAnsi="宋体" w:eastAsia="宋体" w:cs="宋体"/>
                <w:color w:val="000000"/>
                <w:szCs w:val="21"/>
              </w:rPr>
            </w:pPr>
          </w:p>
        </w:tc>
        <w:tc>
          <w:tcPr>
            <w:tcW w:w="1487" w:type="dxa"/>
          </w:tcPr>
          <w:p w14:paraId="79AFF832">
            <w:pPr>
              <w:spacing w:line="360" w:lineRule="auto"/>
              <w:rPr>
                <w:rFonts w:ascii="宋体" w:hAnsi="宋体" w:eastAsia="宋体" w:cs="宋体"/>
                <w:color w:val="000000"/>
                <w:szCs w:val="21"/>
              </w:rPr>
            </w:pPr>
          </w:p>
        </w:tc>
        <w:tc>
          <w:tcPr>
            <w:tcW w:w="1139" w:type="dxa"/>
          </w:tcPr>
          <w:p w14:paraId="06804735">
            <w:pPr>
              <w:spacing w:line="360" w:lineRule="auto"/>
              <w:rPr>
                <w:rFonts w:ascii="宋体" w:hAnsi="宋体" w:eastAsia="宋体" w:cs="宋体"/>
                <w:color w:val="000000"/>
                <w:szCs w:val="21"/>
              </w:rPr>
            </w:pPr>
          </w:p>
        </w:tc>
      </w:tr>
    </w:tbl>
    <w:p w14:paraId="5DB04425">
      <w:pPr>
        <w:spacing w:line="360" w:lineRule="auto"/>
        <w:rPr>
          <w:rFonts w:ascii="宋体" w:hAnsi="宋体" w:eastAsia="宋体" w:cs="宋体"/>
          <w:color w:val="000000"/>
          <w:szCs w:val="21"/>
        </w:rPr>
      </w:pPr>
    </w:p>
    <w:p w14:paraId="746465C4">
      <w:pPr>
        <w:spacing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64" w:name="_Toc296891055"/>
      <w:bookmarkStart w:id="1765" w:name="_Toc296891267"/>
      <w:bookmarkStart w:id="1766" w:name="_Toc296503227"/>
      <w:bookmarkStart w:id="1767" w:name="_Toc296347226"/>
      <w:bookmarkStart w:id="1768" w:name="_Toc296346728"/>
      <w:bookmarkStart w:id="1769" w:name="_Toc267261698"/>
      <w:bookmarkStart w:id="1770" w:name="_Toc296944566"/>
      <w:r>
        <w:rPr>
          <w:rFonts w:hint="eastAsia" w:ascii="宋体" w:hAnsi="宋体" w:eastAsia="宋体" w:cs="宋体"/>
          <w:color w:val="000000"/>
          <w:szCs w:val="21"/>
        </w:rPr>
        <w:t>件5：</w:t>
      </w:r>
    </w:p>
    <w:bookmarkEnd w:id="1764"/>
    <w:bookmarkEnd w:id="1765"/>
    <w:bookmarkEnd w:id="1766"/>
    <w:bookmarkEnd w:id="1767"/>
    <w:bookmarkEnd w:id="1768"/>
    <w:bookmarkEnd w:id="1769"/>
    <w:bookmarkEnd w:id="1770"/>
    <w:p w14:paraId="11EA6F3F">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承包人用于本工程施工的机械设备表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673"/>
        <w:gridCol w:w="1429"/>
        <w:gridCol w:w="928"/>
        <w:gridCol w:w="682"/>
        <w:gridCol w:w="661"/>
        <w:gridCol w:w="1075"/>
        <w:gridCol w:w="1261"/>
        <w:gridCol w:w="987"/>
        <w:gridCol w:w="667"/>
      </w:tblGrid>
      <w:tr w14:paraId="7E8F3D1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673" w:type="dxa"/>
            <w:vAlign w:val="center"/>
          </w:tcPr>
          <w:p w14:paraId="77D0E01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序号</w:t>
            </w:r>
          </w:p>
        </w:tc>
        <w:tc>
          <w:tcPr>
            <w:tcW w:w="1429" w:type="dxa"/>
            <w:vAlign w:val="center"/>
          </w:tcPr>
          <w:p w14:paraId="6AA02AD4">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机械或设备名称</w:t>
            </w:r>
          </w:p>
        </w:tc>
        <w:tc>
          <w:tcPr>
            <w:tcW w:w="928" w:type="dxa"/>
            <w:vAlign w:val="center"/>
          </w:tcPr>
          <w:p w14:paraId="0200FF8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规格型号</w:t>
            </w:r>
          </w:p>
        </w:tc>
        <w:tc>
          <w:tcPr>
            <w:tcW w:w="682" w:type="dxa"/>
            <w:vAlign w:val="center"/>
          </w:tcPr>
          <w:p w14:paraId="6415540E">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数量</w:t>
            </w:r>
          </w:p>
        </w:tc>
        <w:tc>
          <w:tcPr>
            <w:tcW w:w="661" w:type="dxa"/>
            <w:vAlign w:val="center"/>
          </w:tcPr>
          <w:p w14:paraId="5D480A5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产地</w:t>
            </w:r>
          </w:p>
        </w:tc>
        <w:tc>
          <w:tcPr>
            <w:tcW w:w="1075" w:type="dxa"/>
            <w:vAlign w:val="center"/>
          </w:tcPr>
          <w:p w14:paraId="5A15E3E1">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制造年份</w:t>
            </w:r>
          </w:p>
        </w:tc>
        <w:tc>
          <w:tcPr>
            <w:tcW w:w="1261" w:type="dxa"/>
            <w:vAlign w:val="center"/>
          </w:tcPr>
          <w:p w14:paraId="3E964F7D">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额定功率(kW)</w:t>
            </w:r>
          </w:p>
        </w:tc>
        <w:tc>
          <w:tcPr>
            <w:tcW w:w="987" w:type="dxa"/>
            <w:vAlign w:val="center"/>
          </w:tcPr>
          <w:p w14:paraId="4D7DC20D">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生产能力</w:t>
            </w:r>
          </w:p>
        </w:tc>
        <w:tc>
          <w:tcPr>
            <w:tcW w:w="667" w:type="dxa"/>
            <w:vAlign w:val="center"/>
          </w:tcPr>
          <w:p w14:paraId="2DC2B784">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备注</w:t>
            </w:r>
          </w:p>
        </w:tc>
      </w:tr>
      <w:tr w14:paraId="55D8021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69496423">
            <w:pPr>
              <w:keepNext/>
              <w:spacing w:line="360" w:lineRule="auto"/>
              <w:ind w:left="63" w:right="63"/>
              <w:rPr>
                <w:rFonts w:ascii="宋体" w:hAnsi="宋体" w:eastAsia="宋体" w:cs="宋体"/>
                <w:color w:val="000000"/>
                <w:szCs w:val="21"/>
              </w:rPr>
            </w:pPr>
          </w:p>
        </w:tc>
        <w:tc>
          <w:tcPr>
            <w:tcW w:w="1429" w:type="dxa"/>
            <w:vAlign w:val="center"/>
          </w:tcPr>
          <w:p w14:paraId="61505DE0">
            <w:pPr>
              <w:keepNext/>
              <w:spacing w:line="360" w:lineRule="auto"/>
              <w:ind w:left="63" w:right="63"/>
              <w:rPr>
                <w:rFonts w:ascii="宋体" w:hAnsi="宋体" w:eastAsia="宋体" w:cs="宋体"/>
                <w:color w:val="000000"/>
                <w:szCs w:val="21"/>
              </w:rPr>
            </w:pPr>
          </w:p>
        </w:tc>
        <w:tc>
          <w:tcPr>
            <w:tcW w:w="928" w:type="dxa"/>
            <w:vAlign w:val="center"/>
          </w:tcPr>
          <w:p w14:paraId="5BBDABDA">
            <w:pPr>
              <w:keepNext/>
              <w:spacing w:line="360" w:lineRule="auto"/>
              <w:ind w:left="63" w:right="63"/>
              <w:rPr>
                <w:rFonts w:ascii="宋体" w:hAnsi="宋体" w:eastAsia="宋体" w:cs="宋体"/>
                <w:color w:val="000000"/>
                <w:szCs w:val="21"/>
              </w:rPr>
            </w:pPr>
          </w:p>
        </w:tc>
        <w:tc>
          <w:tcPr>
            <w:tcW w:w="682" w:type="dxa"/>
            <w:vAlign w:val="center"/>
          </w:tcPr>
          <w:p w14:paraId="5B5B17BF">
            <w:pPr>
              <w:keepNext/>
              <w:spacing w:line="360" w:lineRule="auto"/>
              <w:ind w:left="63" w:right="63"/>
              <w:rPr>
                <w:rFonts w:ascii="宋体" w:hAnsi="宋体" w:eastAsia="宋体" w:cs="宋体"/>
                <w:color w:val="000000"/>
                <w:szCs w:val="21"/>
              </w:rPr>
            </w:pPr>
          </w:p>
        </w:tc>
        <w:tc>
          <w:tcPr>
            <w:tcW w:w="661" w:type="dxa"/>
            <w:vAlign w:val="center"/>
          </w:tcPr>
          <w:p w14:paraId="18BFB5D7">
            <w:pPr>
              <w:keepNext/>
              <w:spacing w:line="360" w:lineRule="auto"/>
              <w:ind w:left="63" w:right="63"/>
              <w:rPr>
                <w:rFonts w:ascii="宋体" w:hAnsi="宋体" w:eastAsia="宋体" w:cs="宋体"/>
                <w:color w:val="000000"/>
                <w:szCs w:val="21"/>
              </w:rPr>
            </w:pPr>
          </w:p>
        </w:tc>
        <w:tc>
          <w:tcPr>
            <w:tcW w:w="1075" w:type="dxa"/>
            <w:vAlign w:val="center"/>
          </w:tcPr>
          <w:p w14:paraId="059FC52C">
            <w:pPr>
              <w:keepNext/>
              <w:spacing w:line="360" w:lineRule="auto"/>
              <w:ind w:left="63" w:right="63"/>
              <w:rPr>
                <w:rFonts w:ascii="宋体" w:hAnsi="宋体" w:eastAsia="宋体" w:cs="宋体"/>
                <w:color w:val="000000"/>
                <w:szCs w:val="21"/>
              </w:rPr>
            </w:pPr>
          </w:p>
        </w:tc>
        <w:tc>
          <w:tcPr>
            <w:tcW w:w="1261" w:type="dxa"/>
            <w:vAlign w:val="center"/>
          </w:tcPr>
          <w:p w14:paraId="1C38E0AB">
            <w:pPr>
              <w:keepNext/>
              <w:spacing w:line="360" w:lineRule="auto"/>
              <w:ind w:left="63" w:right="63"/>
              <w:rPr>
                <w:rFonts w:ascii="宋体" w:hAnsi="宋体" w:eastAsia="宋体" w:cs="宋体"/>
                <w:color w:val="000000"/>
                <w:szCs w:val="21"/>
              </w:rPr>
            </w:pPr>
          </w:p>
        </w:tc>
        <w:tc>
          <w:tcPr>
            <w:tcW w:w="987" w:type="dxa"/>
            <w:vAlign w:val="center"/>
          </w:tcPr>
          <w:p w14:paraId="1711F742">
            <w:pPr>
              <w:keepNext/>
              <w:spacing w:line="360" w:lineRule="auto"/>
              <w:ind w:left="63" w:right="63"/>
              <w:rPr>
                <w:rFonts w:ascii="宋体" w:hAnsi="宋体" w:eastAsia="宋体" w:cs="宋体"/>
                <w:color w:val="000000"/>
                <w:szCs w:val="21"/>
              </w:rPr>
            </w:pPr>
          </w:p>
        </w:tc>
        <w:tc>
          <w:tcPr>
            <w:tcW w:w="667" w:type="dxa"/>
            <w:vAlign w:val="center"/>
          </w:tcPr>
          <w:p w14:paraId="5A5CBBFC">
            <w:pPr>
              <w:keepNext/>
              <w:spacing w:line="360" w:lineRule="auto"/>
              <w:ind w:left="63" w:right="63"/>
              <w:rPr>
                <w:rFonts w:ascii="宋体" w:hAnsi="宋体" w:eastAsia="宋体" w:cs="宋体"/>
                <w:color w:val="000000"/>
                <w:szCs w:val="21"/>
              </w:rPr>
            </w:pPr>
          </w:p>
        </w:tc>
      </w:tr>
      <w:tr w14:paraId="21611F5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0646D71">
            <w:pPr>
              <w:keepNext/>
              <w:spacing w:line="360" w:lineRule="auto"/>
              <w:ind w:left="63" w:right="63"/>
              <w:rPr>
                <w:rFonts w:ascii="宋体" w:hAnsi="宋体" w:eastAsia="宋体" w:cs="宋体"/>
                <w:color w:val="000000"/>
                <w:szCs w:val="21"/>
              </w:rPr>
            </w:pPr>
          </w:p>
        </w:tc>
        <w:tc>
          <w:tcPr>
            <w:tcW w:w="1429" w:type="dxa"/>
            <w:vAlign w:val="center"/>
          </w:tcPr>
          <w:p w14:paraId="0FC4F1AC">
            <w:pPr>
              <w:keepNext/>
              <w:spacing w:line="360" w:lineRule="auto"/>
              <w:ind w:left="63" w:right="63"/>
              <w:rPr>
                <w:rFonts w:ascii="宋体" w:hAnsi="宋体" w:eastAsia="宋体" w:cs="宋体"/>
                <w:color w:val="000000"/>
                <w:szCs w:val="21"/>
              </w:rPr>
            </w:pPr>
          </w:p>
        </w:tc>
        <w:tc>
          <w:tcPr>
            <w:tcW w:w="928" w:type="dxa"/>
            <w:vAlign w:val="center"/>
          </w:tcPr>
          <w:p w14:paraId="6F4F4658">
            <w:pPr>
              <w:keepNext/>
              <w:spacing w:line="360" w:lineRule="auto"/>
              <w:ind w:left="63" w:right="63"/>
              <w:rPr>
                <w:rFonts w:ascii="宋体" w:hAnsi="宋体" w:eastAsia="宋体" w:cs="宋体"/>
                <w:color w:val="000000"/>
                <w:szCs w:val="21"/>
              </w:rPr>
            </w:pPr>
          </w:p>
        </w:tc>
        <w:tc>
          <w:tcPr>
            <w:tcW w:w="682" w:type="dxa"/>
            <w:vAlign w:val="center"/>
          </w:tcPr>
          <w:p w14:paraId="07405895">
            <w:pPr>
              <w:keepNext/>
              <w:spacing w:line="360" w:lineRule="auto"/>
              <w:ind w:left="63" w:right="63"/>
              <w:rPr>
                <w:rFonts w:ascii="宋体" w:hAnsi="宋体" w:eastAsia="宋体" w:cs="宋体"/>
                <w:color w:val="000000"/>
                <w:szCs w:val="21"/>
              </w:rPr>
            </w:pPr>
          </w:p>
        </w:tc>
        <w:tc>
          <w:tcPr>
            <w:tcW w:w="661" w:type="dxa"/>
            <w:vAlign w:val="center"/>
          </w:tcPr>
          <w:p w14:paraId="4FD970D0">
            <w:pPr>
              <w:keepNext/>
              <w:spacing w:line="360" w:lineRule="auto"/>
              <w:ind w:left="63" w:right="63"/>
              <w:rPr>
                <w:rFonts w:ascii="宋体" w:hAnsi="宋体" w:eastAsia="宋体" w:cs="宋体"/>
                <w:color w:val="000000"/>
                <w:szCs w:val="21"/>
              </w:rPr>
            </w:pPr>
          </w:p>
        </w:tc>
        <w:tc>
          <w:tcPr>
            <w:tcW w:w="1075" w:type="dxa"/>
            <w:vAlign w:val="center"/>
          </w:tcPr>
          <w:p w14:paraId="767A1D8B">
            <w:pPr>
              <w:keepNext/>
              <w:spacing w:line="360" w:lineRule="auto"/>
              <w:ind w:left="63" w:right="63"/>
              <w:rPr>
                <w:rFonts w:ascii="宋体" w:hAnsi="宋体" w:eastAsia="宋体" w:cs="宋体"/>
                <w:color w:val="000000"/>
                <w:szCs w:val="21"/>
              </w:rPr>
            </w:pPr>
          </w:p>
        </w:tc>
        <w:tc>
          <w:tcPr>
            <w:tcW w:w="1261" w:type="dxa"/>
            <w:vAlign w:val="center"/>
          </w:tcPr>
          <w:p w14:paraId="12CB99E8">
            <w:pPr>
              <w:keepNext/>
              <w:spacing w:line="360" w:lineRule="auto"/>
              <w:ind w:left="63" w:right="63"/>
              <w:rPr>
                <w:rFonts w:ascii="宋体" w:hAnsi="宋体" w:eastAsia="宋体" w:cs="宋体"/>
                <w:color w:val="000000"/>
                <w:szCs w:val="21"/>
              </w:rPr>
            </w:pPr>
          </w:p>
        </w:tc>
        <w:tc>
          <w:tcPr>
            <w:tcW w:w="987" w:type="dxa"/>
            <w:vAlign w:val="center"/>
          </w:tcPr>
          <w:p w14:paraId="6998152B">
            <w:pPr>
              <w:keepNext/>
              <w:spacing w:line="360" w:lineRule="auto"/>
              <w:ind w:left="63" w:right="63"/>
              <w:rPr>
                <w:rFonts w:ascii="宋体" w:hAnsi="宋体" w:eastAsia="宋体" w:cs="宋体"/>
                <w:color w:val="000000"/>
                <w:szCs w:val="21"/>
              </w:rPr>
            </w:pPr>
          </w:p>
        </w:tc>
        <w:tc>
          <w:tcPr>
            <w:tcW w:w="667" w:type="dxa"/>
            <w:vAlign w:val="center"/>
          </w:tcPr>
          <w:p w14:paraId="7031A152">
            <w:pPr>
              <w:keepNext/>
              <w:spacing w:line="360" w:lineRule="auto"/>
              <w:ind w:left="63" w:right="63"/>
              <w:rPr>
                <w:rFonts w:ascii="宋体" w:hAnsi="宋体" w:eastAsia="宋体" w:cs="宋体"/>
                <w:color w:val="000000"/>
                <w:szCs w:val="21"/>
              </w:rPr>
            </w:pPr>
          </w:p>
        </w:tc>
      </w:tr>
      <w:tr w14:paraId="5A8F2B3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3924802">
            <w:pPr>
              <w:keepNext/>
              <w:spacing w:line="360" w:lineRule="auto"/>
              <w:ind w:left="63" w:right="63"/>
              <w:rPr>
                <w:rFonts w:ascii="宋体" w:hAnsi="宋体" w:eastAsia="宋体" w:cs="宋体"/>
                <w:color w:val="000000"/>
                <w:szCs w:val="21"/>
              </w:rPr>
            </w:pPr>
          </w:p>
        </w:tc>
        <w:tc>
          <w:tcPr>
            <w:tcW w:w="1429" w:type="dxa"/>
            <w:vAlign w:val="center"/>
          </w:tcPr>
          <w:p w14:paraId="4350EB07">
            <w:pPr>
              <w:keepNext/>
              <w:spacing w:line="360" w:lineRule="auto"/>
              <w:ind w:left="63" w:right="63"/>
              <w:rPr>
                <w:rFonts w:ascii="宋体" w:hAnsi="宋体" w:eastAsia="宋体" w:cs="宋体"/>
                <w:color w:val="000000"/>
                <w:szCs w:val="21"/>
              </w:rPr>
            </w:pPr>
          </w:p>
        </w:tc>
        <w:tc>
          <w:tcPr>
            <w:tcW w:w="928" w:type="dxa"/>
            <w:vAlign w:val="center"/>
          </w:tcPr>
          <w:p w14:paraId="348AAFC6">
            <w:pPr>
              <w:keepNext/>
              <w:spacing w:line="360" w:lineRule="auto"/>
              <w:ind w:left="63" w:right="63"/>
              <w:rPr>
                <w:rFonts w:ascii="宋体" w:hAnsi="宋体" w:eastAsia="宋体" w:cs="宋体"/>
                <w:color w:val="000000"/>
                <w:szCs w:val="21"/>
              </w:rPr>
            </w:pPr>
          </w:p>
        </w:tc>
        <w:tc>
          <w:tcPr>
            <w:tcW w:w="682" w:type="dxa"/>
            <w:vAlign w:val="center"/>
          </w:tcPr>
          <w:p w14:paraId="43503848">
            <w:pPr>
              <w:keepNext/>
              <w:spacing w:line="360" w:lineRule="auto"/>
              <w:ind w:left="63" w:right="63"/>
              <w:rPr>
                <w:rFonts w:ascii="宋体" w:hAnsi="宋体" w:eastAsia="宋体" w:cs="宋体"/>
                <w:color w:val="000000"/>
                <w:szCs w:val="21"/>
              </w:rPr>
            </w:pPr>
          </w:p>
        </w:tc>
        <w:tc>
          <w:tcPr>
            <w:tcW w:w="661" w:type="dxa"/>
            <w:vAlign w:val="center"/>
          </w:tcPr>
          <w:p w14:paraId="35CEB9ED">
            <w:pPr>
              <w:keepNext/>
              <w:spacing w:line="360" w:lineRule="auto"/>
              <w:ind w:left="63" w:right="63"/>
              <w:rPr>
                <w:rFonts w:ascii="宋体" w:hAnsi="宋体" w:eastAsia="宋体" w:cs="宋体"/>
                <w:color w:val="000000"/>
                <w:szCs w:val="21"/>
              </w:rPr>
            </w:pPr>
          </w:p>
        </w:tc>
        <w:tc>
          <w:tcPr>
            <w:tcW w:w="1075" w:type="dxa"/>
            <w:vAlign w:val="center"/>
          </w:tcPr>
          <w:p w14:paraId="485F0520">
            <w:pPr>
              <w:keepNext/>
              <w:spacing w:line="360" w:lineRule="auto"/>
              <w:ind w:left="63" w:right="63"/>
              <w:rPr>
                <w:rFonts w:ascii="宋体" w:hAnsi="宋体" w:eastAsia="宋体" w:cs="宋体"/>
                <w:color w:val="000000"/>
                <w:szCs w:val="21"/>
              </w:rPr>
            </w:pPr>
          </w:p>
        </w:tc>
        <w:tc>
          <w:tcPr>
            <w:tcW w:w="1261" w:type="dxa"/>
            <w:vAlign w:val="center"/>
          </w:tcPr>
          <w:p w14:paraId="7EDB5F95">
            <w:pPr>
              <w:keepNext/>
              <w:spacing w:line="360" w:lineRule="auto"/>
              <w:ind w:left="63" w:right="63"/>
              <w:rPr>
                <w:rFonts w:ascii="宋体" w:hAnsi="宋体" w:eastAsia="宋体" w:cs="宋体"/>
                <w:color w:val="000000"/>
                <w:szCs w:val="21"/>
              </w:rPr>
            </w:pPr>
          </w:p>
        </w:tc>
        <w:tc>
          <w:tcPr>
            <w:tcW w:w="987" w:type="dxa"/>
            <w:vAlign w:val="center"/>
          </w:tcPr>
          <w:p w14:paraId="453E0FD7">
            <w:pPr>
              <w:keepNext/>
              <w:spacing w:line="360" w:lineRule="auto"/>
              <w:ind w:left="63" w:right="63"/>
              <w:rPr>
                <w:rFonts w:ascii="宋体" w:hAnsi="宋体" w:eastAsia="宋体" w:cs="宋体"/>
                <w:color w:val="000000"/>
                <w:szCs w:val="21"/>
              </w:rPr>
            </w:pPr>
          </w:p>
        </w:tc>
        <w:tc>
          <w:tcPr>
            <w:tcW w:w="667" w:type="dxa"/>
            <w:vAlign w:val="center"/>
          </w:tcPr>
          <w:p w14:paraId="4C2B3FDB">
            <w:pPr>
              <w:keepNext/>
              <w:spacing w:line="360" w:lineRule="auto"/>
              <w:ind w:left="63" w:right="63"/>
              <w:rPr>
                <w:rFonts w:ascii="宋体" w:hAnsi="宋体" w:eastAsia="宋体" w:cs="宋体"/>
                <w:color w:val="000000"/>
                <w:szCs w:val="21"/>
              </w:rPr>
            </w:pPr>
          </w:p>
        </w:tc>
      </w:tr>
      <w:tr w14:paraId="51878F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68C3944A">
            <w:pPr>
              <w:keepNext/>
              <w:spacing w:line="360" w:lineRule="auto"/>
              <w:ind w:left="63" w:right="63"/>
              <w:rPr>
                <w:rFonts w:ascii="宋体" w:hAnsi="宋体" w:eastAsia="宋体" w:cs="宋体"/>
                <w:color w:val="000000"/>
                <w:szCs w:val="21"/>
              </w:rPr>
            </w:pPr>
          </w:p>
        </w:tc>
        <w:tc>
          <w:tcPr>
            <w:tcW w:w="1429" w:type="dxa"/>
            <w:vAlign w:val="center"/>
          </w:tcPr>
          <w:p w14:paraId="28570748">
            <w:pPr>
              <w:keepNext/>
              <w:spacing w:line="360" w:lineRule="auto"/>
              <w:ind w:left="63" w:right="63"/>
              <w:rPr>
                <w:rFonts w:ascii="宋体" w:hAnsi="宋体" w:eastAsia="宋体" w:cs="宋体"/>
                <w:color w:val="000000"/>
                <w:szCs w:val="21"/>
              </w:rPr>
            </w:pPr>
          </w:p>
        </w:tc>
        <w:tc>
          <w:tcPr>
            <w:tcW w:w="928" w:type="dxa"/>
            <w:vAlign w:val="center"/>
          </w:tcPr>
          <w:p w14:paraId="5C6D1CE0">
            <w:pPr>
              <w:keepNext/>
              <w:spacing w:line="360" w:lineRule="auto"/>
              <w:ind w:left="63" w:right="63"/>
              <w:rPr>
                <w:rFonts w:ascii="宋体" w:hAnsi="宋体" w:eastAsia="宋体" w:cs="宋体"/>
                <w:color w:val="000000"/>
                <w:szCs w:val="21"/>
              </w:rPr>
            </w:pPr>
          </w:p>
        </w:tc>
        <w:tc>
          <w:tcPr>
            <w:tcW w:w="682" w:type="dxa"/>
            <w:vAlign w:val="center"/>
          </w:tcPr>
          <w:p w14:paraId="085A4881">
            <w:pPr>
              <w:keepNext/>
              <w:spacing w:line="360" w:lineRule="auto"/>
              <w:ind w:left="63" w:right="63"/>
              <w:rPr>
                <w:rFonts w:ascii="宋体" w:hAnsi="宋体" w:eastAsia="宋体" w:cs="宋体"/>
                <w:color w:val="000000"/>
                <w:szCs w:val="21"/>
              </w:rPr>
            </w:pPr>
          </w:p>
        </w:tc>
        <w:tc>
          <w:tcPr>
            <w:tcW w:w="661" w:type="dxa"/>
            <w:vAlign w:val="center"/>
          </w:tcPr>
          <w:p w14:paraId="31B5FCE2">
            <w:pPr>
              <w:keepNext/>
              <w:spacing w:line="360" w:lineRule="auto"/>
              <w:ind w:left="63" w:right="63"/>
              <w:rPr>
                <w:rFonts w:ascii="宋体" w:hAnsi="宋体" w:eastAsia="宋体" w:cs="宋体"/>
                <w:color w:val="000000"/>
                <w:szCs w:val="21"/>
              </w:rPr>
            </w:pPr>
          </w:p>
        </w:tc>
        <w:tc>
          <w:tcPr>
            <w:tcW w:w="1075" w:type="dxa"/>
            <w:vAlign w:val="center"/>
          </w:tcPr>
          <w:p w14:paraId="37B7DCFA">
            <w:pPr>
              <w:keepNext/>
              <w:spacing w:line="360" w:lineRule="auto"/>
              <w:ind w:left="63" w:right="63"/>
              <w:rPr>
                <w:rFonts w:ascii="宋体" w:hAnsi="宋体" w:eastAsia="宋体" w:cs="宋体"/>
                <w:color w:val="000000"/>
                <w:szCs w:val="21"/>
              </w:rPr>
            </w:pPr>
          </w:p>
        </w:tc>
        <w:tc>
          <w:tcPr>
            <w:tcW w:w="1261" w:type="dxa"/>
            <w:vAlign w:val="center"/>
          </w:tcPr>
          <w:p w14:paraId="11BA0101">
            <w:pPr>
              <w:keepNext/>
              <w:spacing w:line="360" w:lineRule="auto"/>
              <w:ind w:left="63" w:right="63"/>
              <w:rPr>
                <w:rFonts w:ascii="宋体" w:hAnsi="宋体" w:eastAsia="宋体" w:cs="宋体"/>
                <w:color w:val="000000"/>
                <w:szCs w:val="21"/>
              </w:rPr>
            </w:pPr>
          </w:p>
        </w:tc>
        <w:tc>
          <w:tcPr>
            <w:tcW w:w="987" w:type="dxa"/>
            <w:vAlign w:val="center"/>
          </w:tcPr>
          <w:p w14:paraId="359A733D">
            <w:pPr>
              <w:keepNext/>
              <w:spacing w:line="360" w:lineRule="auto"/>
              <w:ind w:left="63" w:right="63"/>
              <w:rPr>
                <w:rFonts w:ascii="宋体" w:hAnsi="宋体" w:eastAsia="宋体" w:cs="宋体"/>
                <w:color w:val="000000"/>
                <w:szCs w:val="21"/>
              </w:rPr>
            </w:pPr>
          </w:p>
        </w:tc>
        <w:tc>
          <w:tcPr>
            <w:tcW w:w="667" w:type="dxa"/>
            <w:vAlign w:val="center"/>
          </w:tcPr>
          <w:p w14:paraId="76D51CE6">
            <w:pPr>
              <w:keepNext/>
              <w:spacing w:line="360" w:lineRule="auto"/>
              <w:ind w:left="63" w:right="63"/>
              <w:rPr>
                <w:rFonts w:ascii="宋体" w:hAnsi="宋体" w:eastAsia="宋体" w:cs="宋体"/>
                <w:color w:val="000000"/>
                <w:szCs w:val="21"/>
              </w:rPr>
            </w:pPr>
          </w:p>
        </w:tc>
      </w:tr>
      <w:tr w14:paraId="1C062F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0D57D72F">
            <w:pPr>
              <w:keepNext/>
              <w:spacing w:line="360" w:lineRule="auto"/>
              <w:ind w:left="63" w:right="63"/>
              <w:rPr>
                <w:rFonts w:ascii="宋体" w:hAnsi="宋体" w:eastAsia="宋体" w:cs="宋体"/>
                <w:color w:val="000000"/>
                <w:szCs w:val="21"/>
              </w:rPr>
            </w:pPr>
          </w:p>
        </w:tc>
        <w:tc>
          <w:tcPr>
            <w:tcW w:w="1429" w:type="dxa"/>
            <w:vAlign w:val="center"/>
          </w:tcPr>
          <w:p w14:paraId="3E40A3B2">
            <w:pPr>
              <w:keepNext/>
              <w:spacing w:line="360" w:lineRule="auto"/>
              <w:ind w:left="63" w:right="63"/>
              <w:rPr>
                <w:rFonts w:ascii="宋体" w:hAnsi="宋体" w:eastAsia="宋体" w:cs="宋体"/>
                <w:color w:val="000000"/>
                <w:szCs w:val="21"/>
              </w:rPr>
            </w:pPr>
          </w:p>
        </w:tc>
        <w:tc>
          <w:tcPr>
            <w:tcW w:w="928" w:type="dxa"/>
            <w:vAlign w:val="center"/>
          </w:tcPr>
          <w:p w14:paraId="3548B36D">
            <w:pPr>
              <w:keepNext/>
              <w:spacing w:line="360" w:lineRule="auto"/>
              <w:ind w:left="63" w:right="63"/>
              <w:rPr>
                <w:rFonts w:ascii="宋体" w:hAnsi="宋体" w:eastAsia="宋体" w:cs="宋体"/>
                <w:color w:val="000000"/>
                <w:szCs w:val="21"/>
              </w:rPr>
            </w:pPr>
          </w:p>
        </w:tc>
        <w:tc>
          <w:tcPr>
            <w:tcW w:w="682" w:type="dxa"/>
            <w:vAlign w:val="center"/>
          </w:tcPr>
          <w:p w14:paraId="2E7120C8">
            <w:pPr>
              <w:keepNext/>
              <w:spacing w:line="360" w:lineRule="auto"/>
              <w:ind w:left="63" w:right="63"/>
              <w:rPr>
                <w:rFonts w:ascii="宋体" w:hAnsi="宋体" w:eastAsia="宋体" w:cs="宋体"/>
                <w:color w:val="000000"/>
                <w:szCs w:val="21"/>
              </w:rPr>
            </w:pPr>
          </w:p>
        </w:tc>
        <w:tc>
          <w:tcPr>
            <w:tcW w:w="661" w:type="dxa"/>
            <w:vAlign w:val="center"/>
          </w:tcPr>
          <w:p w14:paraId="3A574C57">
            <w:pPr>
              <w:keepNext/>
              <w:spacing w:line="360" w:lineRule="auto"/>
              <w:ind w:left="63" w:right="63"/>
              <w:rPr>
                <w:rFonts w:ascii="宋体" w:hAnsi="宋体" w:eastAsia="宋体" w:cs="宋体"/>
                <w:color w:val="000000"/>
                <w:szCs w:val="21"/>
              </w:rPr>
            </w:pPr>
          </w:p>
        </w:tc>
        <w:tc>
          <w:tcPr>
            <w:tcW w:w="1075" w:type="dxa"/>
            <w:vAlign w:val="center"/>
          </w:tcPr>
          <w:p w14:paraId="69AF19AA">
            <w:pPr>
              <w:keepNext/>
              <w:spacing w:line="360" w:lineRule="auto"/>
              <w:ind w:left="63" w:right="63"/>
              <w:rPr>
                <w:rFonts w:ascii="宋体" w:hAnsi="宋体" w:eastAsia="宋体" w:cs="宋体"/>
                <w:color w:val="000000"/>
                <w:szCs w:val="21"/>
              </w:rPr>
            </w:pPr>
          </w:p>
        </w:tc>
        <w:tc>
          <w:tcPr>
            <w:tcW w:w="1261" w:type="dxa"/>
            <w:vAlign w:val="center"/>
          </w:tcPr>
          <w:p w14:paraId="7EAB822F">
            <w:pPr>
              <w:keepNext/>
              <w:spacing w:line="360" w:lineRule="auto"/>
              <w:ind w:left="63" w:right="63"/>
              <w:rPr>
                <w:rFonts w:ascii="宋体" w:hAnsi="宋体" w:eastAsia="宋体" w:cs="宋体"/>
                <w:color w:val="000000"/>
                <w:szCs w:val="21"/>
              </w:rPr>
            </w:pPr>
          </w:p>
        </w:tc>
        <w:tc>
          <w:tcPr>
            <w:tcW w:w="987" w:type="dxa"/>
            <w:vAlign w:val="center"/>
          </w:tcPr>
          <w:p w14:paraId="394F2D32">
            <w:pPr>
              <w:keepNext/>
              <w:spacing w:line="360" w:lineRule="auto"/>
              <w:ind w:left="63" w:right="63"/>
              <w:rPr>
                <w:rFonts w:ascii="宋体" w:hAnsi="宋体" w:eastAsia="宋体" w:cs="宋体"/>
                <w:color w:val="000000"/>
                <w:szCs w:val="21"/>
              </w:rPr>
            </w:pPr>
          </w:p>
        </w:tc>
        <w:tc>
          <w:tcPr>
            <w:tcW w:w="667" w:type="dxa"/>
            <w:vAlign w:val="center"/>
          </w:tcPr>
          <w:p w14:paraId="4DC6D6B9">
            <w:pPr>
              <w:keepNext/>
              <w:spacing w:line="360" w:lineRule="auto"/>
              <w:ind w:left="63" w:right="63"/>
              <w:rPr>
                <w:rFonts w:ascii="宋体" w:hAnsi="宋体" w:eastAsia="宋体" w:cs="宋体"/>
                <w:color w:val="000000"/>
                <w:szCs w:val="21"/>
              </w:rPr>
            </w:pPr>
          </w:p>
        </w:tc>
      </w:tr>
      <w:tr w14:paraId="704F0C7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vAlign w:val="center"/>
          </w:tcPr>
          <w:p w14:paraId="46095BB8">
            <w:pPr>
              <w:keepNext/>
              <w:spacing w:line="360" w:lineRule="auto"/>
              <w:ind w:left="63" w:right="63"/>
              <w:rPr>
                <w:rFonts w:ascii="宋体" w:hAnsi="宋体" w:eastAsia="宋体" w:cs="宋体"/>
                <w:color w:val="000000"/>
                <w:szCs w:val="21"/>
              </w:rPr>
            </w:pPr>
          </w:p>
        </w:tc>
        <w:tc>
          <w:tcPr>
            <w:tcW w:w="1429" w:type="dxa"/>
            <w:vAlign w:val="center"/>
          </w:tcPr>
          <w:p w14:paraId="39196ED7">
            <w:pPr>
              <w:keepNext/>
              <w:spacing w:line="360" w:lineRule="auto"/>
              <w:ind w:left="63" w:right="63"/>
              <w:rPr>
                <w:rFonts w:ascii="宋体" w:hAnsi="宋体" w:eastAsia="宋体" w:cs="宋体"/>
                <w:color w:val="000000"/>
                <w:szCs w:val="21"/>
              </w:rPr>
            </w:pPr>
          </w:p>
        </w:tc>
        <w:tc>
          <w:tcPr>
            <w:tcW w:w="928" w:type="dxa"/>
            <w:vAlign w:val="center"/>
          </w:tcPr>
          <w:p w14:paraId="0E986066">
            <w:pPr>
              <w:keepNext/>
              <w:spacing w:line="360" w:lineRule="auto"/>
              <w:ind w:left="63" w:right="63"/>
              <w:rPr>
                <w:rFonts w:ascii="宋体" w:hAnsi="宋体" w:eastAsia="宋体" w:cs="宋体"/>
                <w:color w:val="000000"/>
                <w:szCs w:val="21"/>
              </w:rPr>
            </w:pPr>
          </w:p>
        </w:tc>
        <w:tc>
          <w:tcPr>
            <w:tcW w:w="682" w:type="dxa"/>
            <w:vAlign w:val="center"/>
          </w:tcPr>
          <w:p w14:paraId="2E90D491">
            <w:pPr>
              <w:keepNext/>
              <w:spacing w:line="360" w:lineRule="auto"/>
              <w:ind w:left="63" w:right="63"/>
              <w:rPr>
                <w:rFonts w:ascii="宋体" w:hAnsi="宋体" w:eastAsia="宋体" w:cs="宋体"/>
                <w:color w:val="000000"/>
                <w:szCs w:val="21"/>
              </w:rPr>
            </w:pPr>
          </w:p>
        </w:tc>
        <w:tc>
          <w:tcPr>
            <w:tcW w:w="661" w:type="dxa"/>
            <w:vAlign w:val="center"/>
          </w:tcPr>
          <w:p w14:paraId="6A9278FF">
            <w:pPr>
              <w:keepNext/>
              <w:spacing w:line="360" w:lineRule="auto"/>
              <w:ind w:left="63" w:right="63"/>
              <w:rPr>
                <w:rFonts w:ascii="宋体" w:hAnsi="宋体" w:eastAsia="宋体" w:cs="宋体"/>
                <w:color w:val="000000"/>
                <w:szCs w:val="21"/>
              </w:rPr>
            </w:pPr>
          </w:p>
        </w:tc>
        <w:tc>
          <w:tcPr>
            <w:tcW w:w="1075" w:type="dxa"/>
            <w:vAlign w:val="center"/>
          </w:tcPr>
          <w:p w14:paraId="25C35CE5">
            <w:pPr>
              <w:keepNext/>
              <w:spacing w:line="360" w:lineRule="auto"/>
              <w:ind w:left="63" w:right="63"/>
              <w:rPr>
                <w:rFonts w:ascii="宋体" w:hAnsi="宋体" w:eastAsia="宋体" w:cs="宋体"/>
                <w:color w:val="000000"/>
                <w:szCs w:val="21"/>
              </w:rPr>
            </w:pPr>
          </w:p>
        </w:tc>
        <w:tc>
          <w:tcPr>
            <w:tcW w:w="1261" w:type="dxa"/>
            <w:vAlign w:val="center"/>
          </w:tcPr>
          <w:p w14:paraId="356B2513">
            <w:pPr>
              <w:keepNext/>
              <w:spacing w:line="360" w:lineRule="auto"/>
              <w:ind w:left="63" w:right="63"/>
              <w:rPr>
                <w:rFonts w:ascii="宋体" w:hAnsi="宋体" w:eastAsia="宋体" w:cs="宋体"/>
                <w:color w:val="000000"/>
                <w:szCs w:val="21"/>
              </w:rPr>
            </w:pPr>
          </w:p>
        </w:tc>
        <w:tc>
          <w:tcPr>
            <w:tcW w:w="987" w:type="dxa"/>
            <w:vAlign w:val="center"/>
          </w:tcPr>
          <w:p w14:paraId="58964526">
            <w:pPr>
              <w:keepNext/>
              <w:spacing w:line="360" w:lineRule="auto"/>
              <w:ind w:left="63" w:right="63"/>
              <w:rPr>
                <w:rFonts w:ascii="宋体" w:hAnsi="宋体" w:eastAsia="宋体" w:cs="宋体"/>
                <w:color w:val="000000"/>
                <w:szCs w:val="21"/>
              </w:rPr>
            </w:pPr>
          </w:p>
        </w:tc>
        <w:tc>
          <w:tcPr>
            <w:tcW w:w="667" w:type="dxa"/>
            <w:vAlign w:val="center"/>
          </w:tcPr>
          <w:p w14:paraId="6C3BE95E">
            <w:pPr>
              <w:keepNext/>
              <w:spacing w:line="360" w:lineRule="auto"/>
              <w:ind w:left="63" w:right="63"/>
              <w:rPr>
                <w:rFonts w:ascii="宋体" w:hAnsi="宋体" w:eastAsia="宋体" w:cs="宋体"/>
                <w:color w:val="000000"/>
                <w:szCs w:val="21"/>
              </w:rPr>
            </w:pPr>
          </w:p>
        </w:tc>
      </w:tr>
      <w:tr w14:paraId="57CB0ED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63227F39">
            <w:pPr>
              <w:spacing w:line="360" w:lineRule="auto"/>
              <w:rPr>
                <w:rFonts w:ascii="宋体" w:hAnsi="宋体" w:eastAsia="宋体" w:cs="宋体"/>
                <w:color w:val="000000"/>
                <w:szCs w:val="21"/>
              </w:rPr>
            </w:pPr>
          </w:p>
        </w:tc>
        <w:tc>
          <w:tcPr>
            <w:tcW w:w="1429" w:type="dxa"/>
          </w:tcPr>
          <w:p w14:paraId="536BD764">
            <w:pPr>
              <w:spacing w:line="360" w:lineRule="auto"/>
              <w:rPr>
                <w:rFonts w:ascii="宋体" w:hAnsi="宋体" w:eastAsia="宋体" w:cs="宋体"/>
                <w:color w:val="000000"/>
                <w:szCs w:val="21"/>
              </w:rPr>
            </w:pPr>
          </w:p>
        </w:tc>
        <w:tc>
          <w:tcPr>
            <w:tcW w:w="928" w:type="dxa"/>
          </w:tcPr>
          <w:p w14:paraId="0D1B751E">
            <w:pPr>
              <w:spacing w:line="360" w:lineRule="auto"/>
              <w:rPr>
                <w:rFonts w:ascii="宋体" w:hAnsi="宋体" w:eastAsia="宋体" w:cs="宋体"/>
                <w:color w:val="000000"/>
                <w:szCs w:val="21"/>
              </w:rPr>
            </w:pPr>
          </w:p>
        </w:tc>
        <w:tc>
          <w:tcPr>
            <w:tcW w:w="682" w:type="dxa"/>
          </w:tcPr>
          <w:p w14:paraId="36E658EF">
            <w:pPr>
              <w:spacing w:line="360" w:lineRule="auto"/>
              <w:rPr>
                <w:rFonts w:ascii="宋体" w:hAnsi="宋体" w:eastAsia="宋体" w:cs="宋体"/>
                <w:color w:val="000000"/>
                <w:szCs w:val="21"/>
              </w:rPr>
            </w:pPr>
          </w:p>
        </w:tc>
        <w:tc>
          <w:tcPr>
            <w:tcW w:w="661" w:type="dxa"/>
          </w:tcPr>
          <w:p w14:paraId="125294C2">
            <w:pPr>
              <w:spacing w:line="360" w:lineRule="auto"/>
              <w:rPr>
                <w:rFonts w:ascii="宋体" w:hAnsi="宋体" w:eastAsia="宋体" w:cs="宋体"/>
                <w:color w:val="000000"/>
                <w:szCs w:val="21"/>
              </w:rPr>
            </w:pPr>
          </w:p>
        </w:tc>
        <w:tc>
          <w:tcPr>
            <w:tcW w:w="1075" w:type="dxa"/>
          </w:tcPr>
          <w:p w14:paraId="5D3A4804">
            <w:pPr>
              <w:spacing w:line="360" w:lineRule="auto"/>
              <w:rPr>
                <w:rFonts w:ascii="宋体" w:hAnsi="宋体" w:eastAsia="宋体" w:cs="宋体"/>
                <w:color w:val="000000"/>
                <w:szCs w:val="21"/>
              </w:rPr>
            </w:pPr>
          </w:p>
        </w:tc>
        <w:tc>
          <w:tcPr>
            <w:tcW w:w="1261" w:type="dxa"/>
          </w:tcPr>
          <w:p w14:paraId="35A26B58">
            <w:pPr>
              <w:spacing w:line="360" w:lineRule="auto"/>
              <w:rPr>
                <w:rFonts w:ascii="宋体" w:hAnsi="宋体" w:eastAsia="宋体" w:cs="宋体"/>
                <w:color w:val="000000"/>
                <w:szCs w:val="21"/>
              </w:rPr>
            </w:pPr>
          </w:p>
        </w:tc>
        <w:tc>
          <w:tcPr>
            <w:tcW w:w="987" w:type="dxa"/>
          </w:tcPr>
          <w:p w14:paraId="3F6EC90A">
            <w:pPr>
              <w:spacing w:line="360" w:lineRule="auto"/>
              <w:rPr>
                <w:rFonts w:ascii="宋体" w:hAnsi="宋体" w:eastAsia="宋体" w:cs="宋体"/>
                <w:color w:val="000000"/>
                <w:szCs w:val="21"/>
              </w:rPr>
            </w:pPr>
          </w:p>
        </w:tc>
        <w:tc>
          <w:tcPr>
            <w:tcW w:w="667" w:type="dxa"/>
          </w:tcPr>
          <w:p w14:paraId="5CE7A400">
            <w:pPr>
              <w:spacing w:line="360" w:lineRule="auto"/>
              <w:rPr>
                <w:rFonts w:ascii="宋体" w:hAnsi="宋体" w:eastAsia="宋体" w:cs="宋体"/>
                <w:color w:val="000000"/>
                <w:szCs w:val="21"/>
              </w:rPr>
            </w:pPr>
          </w:p>
        </w:tc>
      </w:tr>
      <w:tr w14:paraId="2E05A96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7C36D496">
            <w:pPr>
              <w:spacing w:line="360" w:lineRule="auto"/>
              <w:rPr>
                <w:rFonts w:ascii="宋体" w:hAnsi="宋体" w:eastAsia="宋体" w:cs="宋体"/>
                <w:color w:val="000000"/>
                <w:szCs w:val="21"/>
              </w:rPr>
            </w:pPr>
          </w:p>
        </w:tc>
        <w:tc>
          <w:tcPr>
            <w:tcW w:w="1429" w:type="dxa"/>
          </w:tcPr>
          <w:p w14:paraId="6DF88B9C">
            <w:pPr>
              <w:spacing w:line="360" w:lineRule="auto"/>
              <w:rPr>
                <w:rFonts w:ascii="宋体" w:hAnsi="宋体" w:eastAsia="宋体" w:cs="宋体"/>
                <w:color w:val="000000"/>
                <w:szCs w:val="21"/>
              </w:rPr>
            </w:pPr>
          </w:p>
        </w:tc>
        <w:tc>
          <w:tcPr>
            <w:tcW w:w="928" w:type="dxa"/>
          </w:tcPr>
          <w:p w14:paraId="4B3811BC">
            <w:pPr>
              <w:spacing w:line="360" w:lineRule="auto"/>
              <w:rPr>
                <w:rFonts w:ascii="宋体" w:hAnsi="宋体" w:eastAsia="宋体" w:cs="宋体"/>
                <w:color w:val="000000"/>
                <w:szCs w:val="21"/>
              </w:rPr>
            </w:pPr>
          </w:p>
        </w:tc>
        <w:tc>
          <w:tcPr>
            <w:tcW w:w="682" w:type="dxa"/>
          </w:tcPr>
          <w:p w14:paraId="4F140F9A">
            <w:pPr>
              <w:spacing w:line="360" w:lineRule="auto"/>
              <w:rPr>
                <w:rFonts w:ascii="宋体" w:hAnsi="宋体" w:eastAsia="宋体" w:cs="宋体"/>
                <w:color w:val="000000"/>
                <w:szCs w:val="21"/>
              </w:rPr>
            </w:pPr>
          </w:p>
        </w:tc>
        <w:tc>
          <w:tcPr>
            <w:tcW w:w="661" w:type="dxa"/>
          </w:tcPr>
          <w:p w14:paraId="23A2325E">
            <w:pPr>
              <w:spacing w:line="360" w:lineRule="auto"/>
              <w:rPr>
                <w:rFonts w:ascii="宋体" w:hAnsi="宋体" w:eastAsia="宋体" w:cs="宋体"/>
                <w:color w:val="000000"/>
                <w:szCs w:val="21"/>
              </w:rPr>
            </w:pPr>
          </w:p>
        </w:tc>
        <w:tc>
          <w:tcPr>
            <w:tcW w:w="1075" w:type="dxa"/>
          </w:tcPr>
          <w:p w14:paraId="592FF1B5">
            <w:pPr>
              <w:spacing w:line="360" w:lineRule="auto"/>
              <w:rPr>
                <w:rFonts w:ascii="宋体" w:hAnsi="宋体" w:eastAsia="宋体" w:cs="宋体"/>
                <w:color w:val="000000"/>
                <w:szCs w:val="21"/>
              </w:rPr>
            </w:pPr>
          </w:p>
        </w:tc>
        <w:tc>
          <w:tcPr>
            <w:tcW w:w="1261" w:type="dxa"/>
          </w:tcPr>
          <w:p w14:paraId="467425F7">
            <w:pPr>
              <w:spacing w:line="360" w:lineRule="auto"/>
              <w:rPr>
                <w:rFonts w:ascii="宋体" w:hAnsi="宋体" w:eastAsia="宋体" w:cs="宋体"/>
                <w:color w:val="000000"/>
                <w:szCs w:val="21"/>
              </w:rPr>
            </w:pPr>
          </w:p>
        </w:tc>
        <w:tc>
          <w:tcPr>
            <w:tcW w:w="987" w:type="dxa"/>
          </w:tcPr>
          <w:p w14:paraId="20115481">
            <w:pPr>
              <w:spacing w:line="360" w:lineRule="auto"/>
              <w:rPr>
                <w:rFonts w:ascii="宋体" w:hAnsi="宋体" w:eastAsia="宋体" w:cs="宋体"/>
                <w:color w:val="000000"/>
                <w:szCs w:val="21"/>
              </w:rPr>
            </w:pPr>
          </w:p>
        </w:tc>
        <w:tc>
          <w:tcPr>
            <w:tcW w:w="667" w:type="dxa"/>
          </w:tcPr>
          <w:p w14:paraId="3173B2B4">
            <w:pPr>
              <w:spacing w:line="360" w:lineRule="auto"/>
              <w:rPr>
                <w:rFonts w:ascii="宋体" w:hAnsi="宋体" w:eastAsia="宋体" w:cs="宋体"/>
                <w:color w:val="000000"/>
                <w:szCs w:val="21"/>
              </w:rPr>
            </w:pPr>
          </w:p>
        </w:tc>
      </w:tr>
      <w:tr w14:paraId="395D29E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2380EB4A">
            <w:pPr>
              <w:spacing w:line="360" w:lineRule="auto"/>
              <w:rPr>
                <w:rFonts w:ascii="宋体" w:hAnsi="宋体" w:eastAsia="宋体" w:cs="宋体"/>
                <w:color w:val="000000"/>
                <w:szCs w:val="21"/>
              </w:rPr>
            </w:pPr>
          </w:p>
        </w:tc>
        <w:tc>
          <w:tcPr>
            <w:tcW w:w="1429" w:type="dxa"/>
          </w:tcPr>
          <w:p w14:paraId="3732A408">
            <w:pPr>
              <w:spacing w:line="360" w:lineRule="auto"/>
              <w:rPr>
                <w:rFonts w:ascii="宋体" w:hAnsi="宋体" w:eastAsia="宋体" w:cs="宋体"/>
                <w:color w:val="000000"/>
                <w:szCs w:val="21"/>
              </w:rPr>
            </w:pPr>
          </w:p>
        </w:tc>
        <w:tc>
          <w:tcPr>
            <w:tcW w:w="928" w:type="dxa"/>
          </w:tcPr>
          <w:p w14:paraId="4246E53B">
            <w:pPr>
              <w:spacing w:line="360" w:lineRule="auto"/>
              <w:rPr>
                <w:rFonts w:ascii="宋体" w:hAnsi="宋体" w:eastAsia="宋体" w:cs="宋体"/>
                <w:color w:val="000000"/>
                <w:szCs w:val="21"/>
              </w:rPr>
            </w:pPr>
          </w:p>
        </w:tc>
        <w:tc>
          <w:tcPr>
            <w:tcW w:w="682" w:type="dxa"/>
          </w:tcPr>
          <w:p w14:paraId="19F26A5D">
            <w:pPr>
              <w:spacing w:line="360" w:lineRule="auto"/>
              <w:rPr>
                <w:rFonts w:ascii="宋体" w:hAnsi="宋体" w:eastAsia="宋体" w:cs="宋体"/>
                <w:color w:val="000000"/>
                <w:szCs w:val="21"/>
              </w:rPr>
            </w:pPr>
          </w:p>
        </w:tc>
        <w:tc>
          <w:tcPr>
            <w:tcW w:w="661" w:type="dxa"/>
          </w:tcPr>
          <w:p w14:paraId="058A540E">
            <w:pPr>
              <w:spacing w:line="360" w:lineRule="auto"/>
              <w:rPr>
                <w:rFonts w:ascii="宋体" w:hAnsi="宋体" w:eastAsia="宋体" w:cs="宋体"/>
                <w:color w:val="000000"/>
                <w:szCs w:val="21"/>
              </w:rPr>
            </w:pPr>
          </w:p>
        </w:tc>
        <w:tc>
          <w:tcPr>
            <w:tcW w:w="1075" w:type="dxa"/>
          </w:tcPr>
          <w:p w14:paraId="7BD411CE">
            <w:pPr>
              <w:spacing w:line="360" w:lineRule="auto"/>
              <w:rPr>
                <w:rFonts w:ascii="宋体" w:hAnsi="宋体" w:eastAsia="宋体" w:cs="宋体"/>
                <w:color w:val="000000"/>
                <w:szCs w:val="21"/>
              </w:rPr>
            </w:pPr>
          </w:p>
        </w:tc>
        <w:tc>
          <w:tcPr>
            <w:tcW w:w="1261" w:type="dxa"/>
          </w:tcPr>
          <w:p w14:paraId="3624B600">
            <w:pPr>
              <w:spacing w:line="360" w:lineRule="auto"/>
              <w:rPr>
                <w:rFonts w:ascii="宋体" w:hAnsi="宋体" w:eastAsia="宋体" w:cs="宋体"/>
                <w:color w:val="000000"/>
                <w:szCs w:val="21"/>
              </w:rPr>
            </w:pPr>
          </w:p>
        </w:tc>
        <w:tc>
          <w:tcPr>
            <w:tcW w:w="987" w:type="dxa"/>
          </w:tcPr>
          <w:p w14:paraId="4F61EAEE">
            <w:pPr>
              <w:spacing w:line="360" w:lineRule="auto"/>
              <w:rPr>
                <w:rFonts w:ascii="宋体" w:hAnsi="宋体" w:eastAsia="宋体" w:cs="宋体"/>
                <w:color w:val="000000"/>
                <w:szCs w:val="21"/>
              </w:rPr>
            </w:pPr>
          </w:p>
        </w:tc>
        <w:tc>
          <w:tcPr>
            <w:tcW w:w="667" w:type="dxa"/>
          </w:tcPr>
          <w:p w14:paraId="611891A1">
            <w:pPr>
              <w:spacing w:line="360" w:lineRule="auto"/>
              <w:rPr>
                <w:rFonts w:ascii="宋体" w:hAnsi="宋体" w:eastAsia="宋体" w:cs="宋体"/>
                <w:color w:val="000000"/>
                <w:szCs w:val="21"/>
              </w:rPr>
            </w:pPr>
          </w:p>
        </w:tc>
      </w:tr>
      <w:tr w14:paraId="08C8B97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1F06F598">
            <w:pPr>
              <w:spacing w:line="360" w:lineRule="auto"/>
              <w:rPr>
                <w:rFonts w:ascii="宋体" w:hAnsi="宋体" w:eastAsia="宋体" w:cs="宋体"/>
                <w:color w:val="000000"/>
                <w:szCs w:val="21"/>
              </w:rPr>
            </w:pPr>
          </w:p>
        </w:tc>
        <w:tc>
          <w:tcPr>
            <w:tcW w:w="1429" w:type="dxa"/>
          </w:tcPr>
          <w:p w14:paraId="66930C57">
            <w:pPr>
              <w:spacing w:line="360" w:lineRule="auto"/>
              <w:rPr>
                <w:rFonts w:ascii="宋体" w:hAnsi="宋体" w:eastAsia="宋体" w:cs="宋体"/>
                <w:color w:val="000000"/>
                <w:szCs w:val="21"/>
              </w:rPr>
            </w:pPr>
          </w:p>
        </w:tc>
        <w:tc>
          <w:tcPr>
            <w:tcW w:w="928" w:type="dxa"/>
          </w:tcPr>
          <w:p w14:paraId="7D004403">
            <w:pPr>
              <w:spacing w:line="360" w:lineRule="auto"/>
              <w:rPr>
                <w:rFonts w:ascii="宋体" w:hAnsi="宋体" w:eastAsia="宋体" w:cs="宋体"/>
                <w:color w:val="000000"/>
                <w:szCs w:val="21"/>
              </w:rPr>
            </w:pPr>
          </w:p>
        </w:tc>
        <w:tc>
          <w:tcPr>
            <w:tcW w:w="682" w:type="dxa"/>
          </w:tcPr>
          <w:p w14:paraId="4BA7B2C4">
            <w:pPr>
              <w:spacing w:line="360" w:lineRule="auto"/>
              <w:rPr>
                <w:rFonts w:ascii="宋体" w:hAnsi="宋体" w:eastAsia="宋体" w:cs="宋体"/>
                <w:color w:val="000000"/>
                <w:szCs w:val="21"/>
              </w:rPr>
            </w:pPr>
          </w:p>
        </w:tc>
        <w:tc>
          <w:tcPr>
            <w:tcW w:w="661" w:type="dxa"/>
          </w:tcPr>
          <w:p w14:paraId="391A8055">
            <w:pPr>
              <w:spacing w:line="360" w:lineRule="auto"/>
              <w:rPr>
                <w:rFonts w:ascii="宋体" w:hAnsi="宋体" w:eastAsia="宋体" w:cs="宋体"/>
                <w:color w:val="000000"/>
                <w:szCs w:val="21"/>
              </w:rPr>
            </w:pPr>
          </w:p>
        </w:tc>
        <w:tc>
          <w:tcPr>
            <w:tcW w:w="1075" w:type="dxa"/>
          </w:tcPr>
          <w:p w14:paraId="3E9E140A">
            <w:pPr>
              <w:spacing w:line="360" w:lineRule="auto"/>
              <w:rPr>
                <w:rFonts w:ascii="宋体" w:hAnsi="宋体" w:eastAsia="宋体" w:cs="宋体"/>
                <w:color w:val="000000"/>
                <w:szCs w:val="21"/>
              </w:rPr>
            </w:pPr>
          </w:p>
        </w:tc>
        <w:tc>
          <w:tcPr>
            <w:tcW w:w="1261" w:type="dxa"/>
          </w:tcPr>
          <w:p w14:paraId="65F6B57A">
            <w:pPr>
              <w:spacing w:line="360" w:lineRule="auto"/>
              <w:rPr>
                <w:rFonts w:ascii="宋体" w:hAnsi="宋体" w:eastAsia="宋体" w:cs="宋体"/>
                <w:color w:val="000000"/>
                <w:szCs w:val="21"/>
              </w:rPr>
            </w:pPr>
          </w:p>
        </w:tc>
        <w:tc>
          <w:tcPr>
            <w:tcW w:w="987" w:type="dxa"/>
          </w:tcPr>
          <w:p w14:paraId="75AB0A4C">
            <w:pPr>
              <w:spacing w:line="360" w:lineRule="auto"/>
              <w:rPr>
                <w:rFonts w:ascii="宋体" w:hAnsi="宋体" w:eastAsia="宋体" w:cs="宋体"/>
                <w:color w:val="000000"/>
                <w:szCs w:val="21"/>
              </w:rPr>
            </w:pPr>
          </w:p>
        </w:tc>
        <w:tc>
          <w:tcPr>
            <w:tcW w:w="667" w:type="dxa"/>
          </w:tcPr>
          <w:p w14:paraId="641FF536">
            <w:pPr>
              <w:spacing w:line="360" w:lineRule="auto"/>
              <w:rPr>
                <w:rFonts w:ascii="宋体" w:hAnsi="宋体" w:eastAsia="宋体" w:cs="宋体"/>
                <w:color w:val="000000"/>
                <w:szCs w:val="21"/>
              </w:rPr>
            </w:pPr>
          </w:p>
        </w:tc>
      </w:tr>
      <w:tr w14:paraId="0C786BC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16F0EA45">
            <w:pPr>
              <w:spacing w:line="360" w:lineRule="auto"/>
              <w:rPr>
                <w:rFonts w:ascii="宋体" w:hAnsi="宋体" w:eastAsia="宋体" w:cs="宋体"/>
                <w:color w:val="000000"/>
                <w:szCs w:val="21"/>
              </w:rPr>
            </w:pPr>
          </w:p>
        </w:tc>
        <w:tc>
          <w:tcPr>
            <w:tcW w:w="1429" w:type="dxa"/>
          </w:tcPr>
          <w:p w14:paraId="790B149C">
            <w:pPr>
              <w:spacing w:line="360" w:lineRule="auto"/>
              <w:rPr>
                <w:rFonts w:ascii="宋体" w:hAnsi="宋体" w:eastAsia="宋体" w:cs="宋体"/>
                <w:color w:val="000000"/>
                <w:szCs w:val="21"/>
              </w:rPr>
            </w:pPr>
          </w:p>
        </w:tc>
        <w:tc>
          <w:tcPr>
            <w:tcW w:w="928" w:type="dxa"/>
          </w:tcPr>
          <w:p w14:paraId="0E42B07D">
            <w:pPr>
              <w:spacing w:line="360" w:lineRule="auto"/>
              <w:rPr>
                <w:rFonts w:ascii="宋体" w:hAnsi="宋体" w:eastAsia="宋体" w:cs="宋体"/>
                <w:color w:val="000000"/>
                <w:szCs w:val="21"/>
              </w:rPr>
            </w:pPr>
          </w:p>
        </w:tc>
        <w:tc>
          <w:tcPr>
            <w:tcW w:w="682" w:type="dxa"/>
          </w:tcPr>
          <w:p w14:paraId="1FFF6D02">
            <w:pPr>
              <w:spacing w:line="360" w:lineRule="auto"/>
              <w:rPr>
                <w:rFonts w:ascii="宋体" w:hAnsi="宋体" w:eastAsia="宋体" w:cs="宋体"/>
                <w:color w:val="000000"/>
                <w:szCs w:val="21"/>
              </w:rPr>
            </w:pPr>
          </w:p>
        </w:tc>
        <w:tc>
          <w:tcPr>
            <w:tcW w:w="661" w:type="dxa"/>
          </w:tcPr>
          <w:p w14:paraId="0B7F0766">
            <w:pPr>
              <w:spacing w:line="360" w:lineRule="auto"/>
              <w:rPr>
                <w:rFonts w:ascii="宋体" w:hAnsi="宋体" w:eastAsia="宋体" w:cs="宋体"/>
                <w:color w:val="000000"/>
                <w:szCs w:val="21"/>
              </w:rPr>
            </w:pPr>
          </w:p>
        </w:tc>
        <w:tc>
          <w:tcPr>
            <w:tcW w:w="1075" w:type="dxa"/>
          </w:tcPr>
          <w:p w14:paraId="513986CF">
            <w:pPr>
              <w:spacing w:line="360" w:lineRule="auto"/>
              <w:rPr>
                <w:rFonts w:ascii="宋体" w:hAnsi="宋体" w:eastAsia="宋体" w:cs="宋体"/>
                <w:color w:val="000000"/>
                <w:szCs w:val="21"/>
              </w:rPr>
            </w:pPr>
          </w:p>
        </w:tc>
        <w:tc>
          <w:tcPr>
            <w:tcW w:w="1261" w:type="dxa"/>
          </w:tcPr>
          <w:p w14:paraId="503ADA31">
            <w:pPr>
              <w:spacing w:line="360" w:lineRule="auto"/>
              <w:rPr>
                <w:rFonts w:ascii="宋体" w:hAnsi="宋体" w:eastAsia="宋体" w:cs="宋体"/>
                <w:color w:val="000000"/>
                <w:szCs w:val="21"/>
              </w:rPr>
            </w:pPr>
          </w:p>
        </w:tc>
        <w:tc>
          <w:tcPr>
            <w:tcW w:w="987" w:type="dxa"/>
          </w:tcPr>
          <w:p w14:paraId="439AF16A">
            <w:pPr>
              <w:spacing w:line="360" w:lineRule="auto"/>
              <w:rPr>
                <w:rFonts w:ascii="宋体" w:hAnsi="宋体" w:eastAsia="宋体" w:cs="宋体"/>
                <w:color w:val="000000"/>
                <w:szCs w:val="21"/>
              </w:rPr>
            </w:pPr>
          </w:p>
        </w:tc>
        <w:tc>
          <w:tcPr>
            <w:tcW w:w="667" w:type="dxa"/>
          </w:tcPr>
          <w:p w14:paraId="7344FE25">
            <w:pPr>
              <w:spacing w:line="360" w:lineRule="auto"/>
              <w:rPr>
                <w:rFonts w:ascii="宋体" w:hAnsi="宋体" w:eastAsia="宋体" w:cs="宋体"/>
                <w:color w:val="000000"/>
                <w:szCs w:val="21"/>
              </w:rPr>
            </w:pPr>
          </w:p>
        </w:tc>
      </w:tr>
      <w:tr w14:paraId="609F12E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059029A1">
            <w:pPr>
              <w:spacing w:line="360" w:lineRule="auto"/>
              <w:rPr>
                <w:rFonts w:ascii="宋体" w:hAnsi="宋体" w:eastAsia="宋体" w:cs="宋体"/>
                <w:color w:val="000000"/>
                <w:szCs w:val="21"/>
              </w:rPr>
            </w:pPr>
          </w:p>
        </w:tc>
        <w:tc>
          <w:tcPr>
            <w:tcW w:w="1429" w:type="dxa"/>
          </w:tcPr>
          <w:p w14:paraId="3AED3D1C">
            <w:pPr>
              <w:spacing w:line="360" w:lineRule="auto"/>
              <w:rPr>
                <w:rFonts w:ascii="宋体" w:hAnsi="宋体" w:eastAsia="宋体" w:cs="宋体"/>
                <w:color w:val="000000"/>
                <w:szCs w:val="21"/>
              </w:rPr>
            </w:pPr>
          </w:p>
        </w:tc>
        <w:tc>
          <w:tcPr>
            <w:tcW w:w="928" w:type="dxa"/>
          </w:tcPr>
          <w:p w14:paraId="2636DDED">
            <w:pPr>
              <w:spacing w:line="360" w:lineRule="auto"/>
              <w:rPr>
                <w:rFonts w:ascii="宋体" w:hAnsi="宋体" w:eastAsia="宋体" w:cs="宋体"/>
                <w:color w:val="000000"/>
                <w:szCs w:val="21"/>
              </w:rPr>
            </w:pPr>
          </w:p>
        </w:tc>
        <w:tc>
          <w:tcPr>
            <w:tcW w:w="682" w:type="dxa"/>
          </w:tcPr>
          <w:p w14:paraId="6DBCECE8">
            <w:pPr>
              <w:spacing w:line="360" w:lineRule="auto"/>
              <w:rPr>
                <w:rFonts w:ascii="宋体" w:hAnsi="宋体" w:eastAsia="宋体" w:cs="宋体"/>
                <w:color w:val="000000"/>
                <w:szCs w:val="21"/>
              </w:rPr>
            </w:pPr>
          </w:p>
        </w:tc>
        <w:tc>
          <w:tcPr>
            <w:tcW w:w="661" w:type="dxa"/>
          </w:tcPr>
          <w:p w14:paraId="60110DFB">
            <w:pPr>
              <w:spacing w:line="360" w:lineRule="auto"/>
              <w:rPr>
                <w:rFonts w:ascii="宋体" w:hAnsi="宋体" w:eastAsia="宋体" w:cs="宋体"/>
                <w:color w:val="000000"/>
                <w:szCs w:val="21"/>
              </w:rPr>
            </w:pPr>
          </w:p>
        </w:tc>
        <w:tc>
          <w:tcPr>
            <w:tcW w:w="1075" w:type="dxa"/>
          </w:tcPr>
          <w:p w14:paraId="5C7F4160">
            <w:pPr>
              <w:spacing w:line="360" w:lineRule="auto"/>
              <w:rPr>
                <w:rFonts w:ascii="宋体" w:hAnsi="宋体" w:eastAsia="宋体" w:cs="宋体"/>
                <w:color w:val="000000"/>
                <w:szCs w:val="21"/>
              </w:rPr>
            </w:pPr>
          </w:p>
        </w:tc>
        <w:tc>
          <w:tcPr>
            <w:tcW w:w="1261" w:type="dxa"/>
          </w:tcPr>
          <w:p w14:paraId="2017CD3A">
            <w:pPr>
              <w:spacing w:line="360" w:lineRule="auto"/>
              <w:rPr>
                <w:rFonts w:ascii="宋体" w:hAnsi="宋体" w:eastAsia="宋体" w:cs="宋体"/>
                <w:color w:val="000000"/>
                <w:szCs w:val="21"/>
              </w:rPr>
            </w:pPr>
          </w:p>
        </w:tc>
        <w:tc>
          <w:tcPr>
            <w:tcW w:w="987" w:type="dxa"/>
          </w:tcPr>
          <w:p w14:paraId="51EA1057">
            <w:pPr>
              <w:spacing w:line="360" w:lineRule="auto"/>
              <w:rPr>
                <w:rFonts w:ascii="宋体" w:hAnsi="宋体" w:eastAsia="宋体" w:cs="宋体"/>
                <w:color w:val="000000"/>
                <w:szCs w:val="21"/>
              </w:rPr>
            </w:pPr>
          </w:p>
        </w:tc>
        <w:tc>
          <w:tcPr>
            <w:tcW w:w="667" w:type="dxa"/>
          </w:tcPr>
          <w:p w14:paraId="5957C534">
            <w:pPr>
              <w:spacing w:line="360" w:lineRule="auto"/>
              <w:rPr>
                <w:rFonts w:ascii="宋体" w:hAnsi="宋体" w:eastAsia="宋体" w:cs="宋体"/>
                <w:color w:val="000000"/>
                <w:szCs w:val="21"/>
              </w:rPr>
            </w:pPr>
          </w:p>
        </w:tc>
      </w:tr>
      <w:tr w14:paraId="2FB1369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0D02D07D">
            <w:pPr>
              <w:spacing w:line="360" w:lineRule="auto"/>
              <w:rPr>
                <w:rFonts w:ascii="宋体" w:hAnsi="宋体" w:eastAsia="宋体" w:cs="宋体"/>
                <w:color w:val="000000"/>
                <w:szCs w:val="21"/>
              </w:rPr>
            </w:pPr>
          </w:p>
        </w:tc>
        <w:tc>
          <w:tcPr>
            <w:tcW w:w="1429" w:type="dxa"/>
          </w:tcPr>
          <w:p w14:paraId="7D695930">
            <w:pPr>
              <w:spacing w:line="360" w:lineRule="auto"/>
              <w:rPr>
                <w:rFonts w:ascii="宋体" w:hAnsi="宋体" w:eastAsia="宋体" w:cs="宋体"/>
                <w:color w:val="000000"/>
                <w:szCs w:val="21"/>
              </w:rPr>
            </w:pPr>
          </w:p>
        </w:tc>
        <w:tc>
          <w:tcPr>
            <w:tcW w:w="928" w:type="dxa"/>
          </w:tcPr>
          <w:p w14:paraId="0E6A114E">
            <w:pPr>
              <w:spacing w:line="360" w:lineRule="auto"/>
              <w:rPr>
                <w:rFonts w:ascii="宋体" w:hAnsi="宋体" w:eastAsia="宋体" w:cs="宋体"/>
                <w:color w:val="000000"/>
                <w:szCs w:val="21"/>
              </w:rPr>
            </w:pPr>
          </w:p>
        </w:tc>
        <w:tc>
          <w:tcPr>
            <w:tcW w:w="682" w:type="dxa"/>
          </w:tcPr>
          <w:p w14:paraId="74F3439E">
            <w:pPr>
              <w:spacing w:line="360" w:lineRule="auto"/>
              <w:rPr>
                <w:rFonts w:ascii="宋体" w:hAnsi="宋体" w:eastAsia="宋体" w:cs="宋体"/>
                <w:color w:val="000000"/>
                <w:szCs w:val="21"/>
              </w:rPr>
            </w:pPr>
          </w:p>
        </w:tc>
        <w:tc>
          <w:tcPr>
            <w:tcW w:w="661" w:type="dxa"/>
          </w:tcPr>
          <w:p w14:paraId="7E19A81C">
            <w:pPr>
              <w:spacing w:line="360" w:lineRule="auto"/>
              <w:rPr>
                <w:rFonts w:ascii="宋体" w:hAnsi="宋体" w:eastAsia="宋体" w:cs="宋体"/>
                <w:color w:val="000000"/>
                <w:szCs w:val="21"/>
              </w:rPr>
            </w:pPr>
          </w:p>
        </w:tc>
        <w:tc>
          <w:tcPr>
            <w:tcW w:w="1075" w:type="dxa"/>
          </w:tcPr>
          <w:p w14:paraId="63967958">
            <w:pPr>
              <w:spacing w:line="360" w:lineRule="auto"/>
              <w:rPr>
                <w:rFonts w:ascii="宋体" w:hAnsi="宋体" w:eastAsia="宋体" w:cs="宋体"/>
                <w:color w:val="000000"/>
                <w:szCs w:val="21"/>
              </w:rPr>
            </w:pPr>
          </w:p>
        </w:tc>
        <w:tc>
          <w:tcPr>
            <w:tcW w:w="1261" w:type="dxa"/>
          </w:tcPr>
          <w:p w14:paraId="7D3618F2">
            <w:pPr>
              <w:spacing w:line="360" w:lineRule="auto"/>
              <w:rPr>
                <w:rFonts w:ascii="宋体" w:hAnsi="宋体" w:eastAsia="宋体" w:cs="宋体"/>
                <w:color w:val="000000"/>
                <w:szCs w:val="21"/>
              </w:rPr>
            </w:pPr>
          </w:p>
        </w:tc>
        <w:tc>
          <w:tcPr>
            <w:tcW w:w="987" w:type="dxa"/>
          </w:tcPr>
          <w:p w14:paraId="55D4143D">
            <w:pPr>
              <w:spacing w:line="360" w:lineRule="auto"/>
              <w:rPr>
                <w:rFonts w:ascii="宋体" w:hAnsi="宋体" w:eastAsia="宋体" w:cs="宋体"/>
                <w:color w:val="000000"/>
                <w:szCs w:val="21"/>
              </w:rPr>
            </w:pPr>
          </w:p>
        </w:tc>
        <w:tc>
          <w:tcPr>
            <w:tcW w:w="667" w:type="dxa"/>
          </w:tcPr>
          <w:p w14:paraId="430E2FCF">
            <w:pPr>
              <w:spacing w:line="360" w:lineRule="auto"/>
              <w:rPr>
                <w:rFonts w:ascii="宋体" w:hAnsi="宋体" w:eastAsia="宋体" w:cs="宋体"/>
                <w:color w:val="000000"/>
                <w:szCs w:val="21"/>
              </w:rPr>
            </w:pPr>
          </w:p>
        </w:tc>
      </w:tr>
      <w:tr w14:paraId="0873ED9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35FC5829">
            <w:pPr>
              <w:spacing w:line="360" w:lineRule="auto"/>
              <w:rPr>
                <w:rFonts w:ascii="宋体" w:hAnsi="宋体" w:eastAsia="宋体" w:cs="宋体"/>
                <w:color w:val="000000"/>
                <w:szCs w:val="21"/>
              </w:rPr>
            </w:pPr>
          </w:p>
        </w:tc>
        <w:tc>
          <w:tcPr>
            <w:tcW w:w="1429" w:type="dxa"/>
          </w:tcPr>
          <w:p w14:paraId="72BFF759">
            <w:pPr>
              <w:spacing w:line="360" w:lineRule="auto"/>
              <w:rPr>
                <w:rFonts w:ascii="宋体" w:hAnsi="宋体" w:eastAsia="宋体" w:cs="宋体"/>
                <w:color w:val="000000"/>
                <w:szCs w:val="21"/>
              </w:rPr>
            </w:pPr>
          </w:p>
        </w:tc>
        <w:tc>
          <w:tcPr>
            <w:tcW w:w="928" w:type="dxa"/>
          </w:tcPr>
          <w:p w14:paraId="0329D4F2">
            <w:pPr>
              <w:spacing w:line="360" w:lineRule="auto"/>
              <w:rPr>
                <w:rFonts w:ascii="宋体" w:hAnsi="宋体" w:eastAsia="宋体" w:cs="宋体"/>
                <w:color w:val="000000"/>
                <w:szCs w:val="21"/>
              </w:rPr>
            </w:pPr>
          </w:p>
        </w:tc>
        <w:tc>
          <w:tcPr>
            <w:tcW w:w="682" w:type="dxa"/>
          </w:tcPr>
          <w:p w14:paraId="59996D3E">
            <w:pPr>
              <w:spacing w:line="360" w:lineRule="auto"/>
              <w:rPr>
                <w:rFonts w:ascii="宋体" w:hAnsi="宋体" w:eastAsia="宋体" w:cs="宋体"/>
                <w:color w:val="000000"/>
                <w:szCs w:val="21"/>
              </w:rPr>
            </w:pPr>
          </w:p>
        </w:tc>
        <w:tc>
          <w:tcPr>
            <w:tcW w:w="661" w:type="dxa"/>
          </w:tcPr>
          <w:p w14:paraId="613E2098">
            <w:pPr>
              <w:spacing w:line="360" w:lineRule="auto"/>
              <w:rPr>
                <w:rFonts w:ascii="宋体" w:hAnsi="宋体" w:eastAsia="宋体" w:cs="宋体"/>
                <w:color w:val="000000"/>
                <w:szCs w:val="21"/>
              </w:rPr>
            </w:pPr>
          </w:p>
        </w:tc>
        <w:tc>
          <w:tcPr>
            <w:tcW w:w="1075" w:type="dxa"/>
          </w:tcPr>
          <w:p w14:paraId="32875583">
            <w:pPr>
              <w:spacing w:line="360" w:lineRule="auto"/>
              <w:rPr>
                <w:rFonts w:ascii="宋体" w:hAnsi="宋体" w:eastAsia="宋体" w:cs="宋体"/>
                <w:color w:val="000000"/>
                <w:szCs w:val="21"/>
              </w:rPr>
            </w:pPr>
          </w:p>
        </w:tc>
        <w:tc>
          <w:tcPr>
            <w:tcW w:w="1261" w:type="dxa"/>
          </w:tcPr>
          <w:p w14:paraId="5BA6E9A3">
            <w:pPr>
              <w:spacing w:line="360" w:lineRule="auto"/>
              <w:rPr>
                <w:rFonts w:ascii="宋体" w:hAnsi="宋体" w:eastAsia="宋体" w:cs="宋体"/>
                <w:color w:val="000000"/>
                <w:szCs w:val="21"/>
              </w:rPr>
            </w:pPr>
          </w:p>
        </w:tc>
        <w:tc>
          <w:tcPr>
            <w:tcW w:w="987" w:type="dxa"/>
          </w:tcPr>
          <w:p w14:paraId="6924F46A">
            <w:pPr>
              <w:spacing w:line="360" w:lineRule="auto"/>
              <w:rPr>
                <w:rFonts w:ascii="宋体" w:hAnsi="宋体" w:eastAsia="宋体" w:cs="宋体"/>
                <w:color w:val="000000"/>
                <w:szCs w:val="21"/>
              </w:rPr>
            </w:pPr>
          </w:p>
        </w:tc>
        <w:tc>
          <w:tcPr>
            <w:tcW w:w="667" w:type="dxa"/>
          </w:tcPr>
          <w:p w14:paraId="253D91C3">
            <w:pPr>
              <w:spacing w:line="360" w:lineRule="auto"/>
              <w:rPr>
                <w:rFonts w:ascii="宋体" w:hAnsi="宋体" w:eastAsia="宋体" w:cs="宋体"/>
                <w:color w:val="000000"/>
                <w:szCs w:val="21"/>
              </w:rPr>
            </w:pPr>
          </w:p>
        </w:tc>
      </w:tr>
      <w:tr w14:paraId="4494423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trHeight w:val="567" w:hRule="atLeast"/>
          <w:jc w:val="center"/>
        </w:trPr>
        <w:tc>
          <w:tcPr>
            <w:tcW w:w="673" w:type="dxa"/>
          </w:tcPr>
          <w:p w14:paraId="30ECD3E4">
            <w:pPr>
              <w:spacing w:line="360" w:lineRule="auto"/>
              <w:rPr>
                <w:rFonts w:ascii="宋体" w:hAnsi="宋体" w:eastAsia="宋体" w:cs="宋体"/>
                <w:color w:val="000000"/>
                <w:szCs w:val="21"/>
              </w:rPr>
            </w:pPr>
          </w:p>
        </w:tc>
        <w:tc>
          <w:tcPr>
            <w:tcW w:w="1429" w:type="dxa"/>
          </w:tcPr>
          <w:p w14:paraId="10AD8FE8">
            <w:pPr>
              <w:spacing w:line="360" w:lineRule="auto"/>
              <w:rPr>
                <w:rFonts w:ascii="宋体" w:hAnsi="宋体" w:eastAsia="宋体" w:cs="宋体"/>
                <w:color w:val="000000"/>
                <w:szCs w:val="21"/>
              </w:rPr>
            </w:pPr>
          </w:p>
        </w:tc>
        <w:tc>
          <w:tcPr>
            <w:tcW w:w="928" w:type="dxa"/>
          </w:tcPr>
          <w:p w14:paraId="1505F3F2">
            <w:pPr>
              <w:spacing w:line="360" w:lineRule="auto"/>
              <w:rPr>
                <w:rFonts w:ascii="宋体" w:hAnsi="宋体" w:eastAsia="宋体" w:cs="宋体"/>
                <w:color w:val="000000"/>
                <w:szCs w:val="21"/>
              </w:rPr>
            </w:pPr>
          </w:p>
        </w:tc>
        <w:tc>
          <w:tcPr>
            <w:tcW w:w="682" w:type="dxa"/>
          </w:tcPr>
          <w:p w14:paraId="608CF1B7">
            <w:pPr>
              <w:spacing w:line="360" w:lineRule="auto"/>
              <w:rPr>
                <w:rFonts w:ascii="宋体" w:hAnsi="宋体" w:eastAsia="宋体" w:cs="宋体"/>
                <w:color w:val="000000"/>
                <w:szCs w:val="21"/>
              </w:rPr>
            </w:pPr>
          </w:p>
        </w:tc>
        <w:tc>
          <w:tcPr>
            <w:tcW w:w="661" w:type="dxa"/>
          </w:tcPr>
          <w:p w14:paraId="58E53D2F">
            <w:pPr>
              <w:spacing w:line="360" w:lineRule="auto"/>
              <w:rPr>
                <w:rFonts w:ascii="宋体" w:hAnsi="宋体" w:eastAsia="宋体" w:cs="宋体"/>
                <w:color w:val="000000"/>
                <w:szCs w:val="21"/>
              </w:rPr>
            </w:pPr>
          </w:p>
        </w:tc>
        <w:tc>
          <w:tcPr>
            <w:tcW w:w="1075" w:type="dxa"/>
          </w:tcPr>
          <w:p w14:paraId="4F766573">
            <w:pPr>
              <w:spacing w:line="360" w:lineRule="auto"/>
              <w:rPr>
                <w:rFonts w:ascii="宋体" w:hAnsi="宋体" w:eastAsia="宋体" w:cs="宋体"/>
                <w:color w:val="000000"/>
                <w:szCs w:val="21"/>
              </w:rPr>
            </w:pPr>
          </w:p>
        </w:tc>
        <w:tc>
          <w:tcPr>
            <w:tcW w:w="1261" w:type="dxa"/>
          </w:tcPr>
          <w:p w14:paraId="49B82C84">
            <w:pPr>
              <w:spacing w:line="360" w:lineRule="auto"/>
              <w:rPr>
                <w:rFonts w:ascii="宋体" w:hAnsi="宋体" w:eastAsia="宋体" w:cs="宋体"/>
                <w:color w:val="000000"/>
                <w:szCs w:val="21"/>
              </w:rPr>
            </w:pPr>
          </w:p>
        </w:tc>
        <w:tc>
          <w:tcPr>
            <w:tcW w:w="987" w:type="dxa"/>
          </w:tcPr>
          <w:p w14:paraId="4BF399F2">
            <w:pPr>
              <w:spacing w:line="360" w:lineRule="auto"/>
              <w:rPr>
                <w:rFonts w:ascii="宋体" w:hAnsi="宋体" w:eastAsia="宋体" w:cs="宋体"/>
                <w:color w:val="000000"/>
                <w:szCs w:val="21"/>
              </w:rPr>
            </w:pPr>
          </w:p>
        </w:tc>
        <w:tc>
          <w:tcPr>
            <w:tcW w:w="667" w:type="dxa"/>
          </w:tcPr>
          <w:p w14:paraId="3D97245E">
            <w:pPr>
              <w:spacing w:line="360" w:lineRule="auto"/>
              <w:rPr>
                <w:rFonts w:ascii="宋体" w:hAnsi="宋体" w:eastAsia="宋体" w:cs="宋体"/>
                <w:color w:val="000000"/>
                <w:szCs w:val="21"/>
              </w:rPr>
            </w:pPr>
          </w:p>
        </w:tc>
      </w:tr>
    </w:tbl>
    <w:p w14:paraId="7D55790E">
      <w:pPr>
        <w:spacing w:line="360" w:lineRule="auto"/>
        <w:rPr>
          <w:rFonts w:ascii="宋体" w:hAnsi="宋体" w:eastAsia="宋体" w:cs="宋体"/>
          <w:color w:val="000000"/>
          <w:szCs w:val="21"/>
        </w:rPr>
      </w:pPr>
    </w:p>
    <w:p w14:paraId="52792611">
      <w:pPr>
        <w:spacing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71" w:name="_Toc296944567"/>
      <w:bookmarkStart w:id="1772" w:name="_Toc296503228"/>
      <w:bookmarkStart w:id="1773" w:name="_Toc267261699"/>
      <w:bookmarkStart w:id="1774" w:name="_Toc296347227"/>
      <w:bookmarkStart w:id="1775" w:name="_Toc296346729"/>
      <w:bookmarkStart w:id="1776" w:name="_Toc296891056"/>
      <w:bookmarkStart w:id="1777" w:name="_Toc296891268"/>
      <w:r>
        <w:rPr>
          <w:rFonts w:hint="eastAsia" w:ascii="宋体" w:hAnsi="宋体" w:eastAsia="宋体" w:cs="宋体"/>
          <w:color w:val="000000"/>
          <w:szCs w:val="21"/>
        </w:rPr>
        <w:t>件6：</w:t>
      </w:r>
    </w:p>
    <w:bookmarkEnd w:id="1771"/>
    <w:bookmarkEnd w:id="1772"/>
    <w:bookmarkEnd w:id="1773"/>
    <w:bookmarkEnd w:id="1774"/>
    <w:bookmarkEnd w:id="1775"/>
    <w:bookmarkEnd w:id="1776"/>
    <w:bookmarkEnd w:id="1777"/>
    <w:p w14:paraId="040ACB13">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承包人主要施工管理人员表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92D050"/>
        <w:tblLayout w:type="fixed"/>
        <w:tblCellMar>
          <w:top w:w="0" w:type="dxa"/>
          <w:left w:w="28" w:type="dxa"/>
          <w:bottom w:w="0" w:type="dxa"/>
          <w:right w:w="28" w:type="dxa"/>
        </w:tblCellMar>
      </w:tblPr>
      <w:tblGrid>
        <w:gridCol w:w="1595"/>
        <w:gridCol w:w="1209"/>
        <w:gridCol w:w="967"/>
        <w:gridCol w:w="967"/>
        <w:gridCol w:w="3625"/>
      </w:tblGrid>
      <w:tr w14:paraId="540DC90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92D050"/>
          <w:tblCellMar>
            <w:top w:w="0" w:type="dxa"/>
            <w:left w:w="28" w:type="dxa"/>
            <w:bottom w:w="0" w:type="dxa"/>
            <w:right w:w="28" w:type="dxa"/>
          </w:tblCellMar>
        </w:tblPrEx>
        <w:trPr>
          <w:jc w:val="center"/>
        </w:trPr>
        <w:tc>
          <w:tcPr>
            <w:tcW w:w="1595" w:type="dxa"/>
            <w:shd w:val="clear" w:color="auto" w:fill="auto"/>
            <w:vAlign w:val="center"/>
          </w:tcPr>
          <w:p w14:paraId="0FCC3733">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名    称</w:t>
            </w:r>
          </w:p>
        </w:tc>
        <w:tc>
          <w:tcPr>
            <w:tcW w:w="1209" w:type="dxa"/>
            <w:shd w:val="clear" w:color="auto" w:fill="auto"/>
            <w:vAlign w:val="center"/>
          </w:tcPr>
          <w:p w14:paraId="237A6D05">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姓名</w:t>
            </w:r>
          </w:p>
        </w:tc>
        <w:tc>
          <w:tcPr>
            <w:tcW w:w="967" w:type="dxa"/>
            <w:shd w:val="clear" w:color="auto" w:fill="auto"/>
            <w:vAlign w:val="center"/>
          </w:tcPr>
          <w:p w14:paraId="12A68819">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职务</w:t>
            </w:r>
          </w:p>
        </w:tc>
        <w:tc>
          <w:tcPr>
            <w:tcW w:w="967" w:type="dxa"/>
            <w:shd w:val="clear" w:color="auto" w:fill="auto"/>
            <w:vAlign w:val="center"/>
          </w:tcPr>
          <w:p w14:paraId="422163EE">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职称</w:t>
            </w:r>
          </w:p>
        </w:tc>
        <w:tc>
          <w:tcPr>
            <w:tcW w:w="3625" w:type="dxa"/>
            <w:shd w:val="clear" w:color="auto" w:fill="auto"/>
            <w:vAlign w:val="center"/>
          </w:tcPr>
          <w:p w14:paraId="64720E6D">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主要资历、经验及承担过的项目</w:t>
            </w:r>
          </w:p>
        </w:tc>
      </w:tr>
      <w:tr w14:paraId="361E66F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shd w:val="clear" w:color="auto" w:fill="auto"/>
            <w:vAlign w:val="center"/>
          </w:tcPr>
          <w:p w14:paraId="2E59927C">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一、总部人员</w:t>
            </w:r>
          </w:p>
        </w:tc>
      </w:tr>
      <w:tr w14:paraId="5AB95EB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1470D53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项目主管</w:t>
            </w:r>
          </w:p>
        </w:tc>
        <w:tc>
          <w:tcPr>
            <w:tcW w:w="1209" w:type="dxa"/>
            <w:shd w:val="clear" w:color="auto" w:fill="auto"/>
            <w:vAlign w:val="center"/>
          </w:tcPr>
          <w:p w14:paraId="099DA056">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79032A79">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9A6B453">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34F25F4C">
            <w:pPr>
              <w:keepNext/>
              <w:spacing w:line="360" w:lineRule="auto"/>
              <w:ind w:left="63" w:right="63"/>
              <w:rPr>
                <w:rFonts w:ascii="宋体" w:hAnsi="宋体" w:eastAsia="宋体" w:cs="宋体"/>
                <w:color w:val="000000"/>
                <w:szCs w:val="21"/>
              </w:rPr>
            </w:pPr>
          </w:p>
        </w:tc>
      </w:tr>
      <w:tr w14:paraId="7F6DC8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062769D2">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790C5F94">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D9DF21A">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FD50A36">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0C90D5B3">
            <w:pPr>
              <w:keepNext/>
              <w:spacing w:line="360" w:lineRule="auto"/>
              <w:ind w:left="63" w:right="63"/>
              <w:rPr>
                <w:rFonts w:ascii="宋体" w:hAnsi="宋体" w:eastAsia="宋体" w:cs="宋体"/>
                <w:color w:val="000000"/>
                <w:szCs w:val="21"/>
              </w:rPr>
            </w:pPr>
          </w:p>
        </w:tc>
      </w:tr>
      <w:tr w14:paraId="2CEDBFB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18C88A92">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其他人员</w:t>
            </w:r>
          </w:p>
        </w:tc>
        <w:tc>
          <w:tcPr>
            <w:tcW w:w="1209" w:type="dxa"/>
            <w:shd w:val="clear" w:color="auto" w:fill="auto"/>
            <w:vAlign w:val="center"/>
          </w:tcPr>
          <w:p w14:paraId="77148293">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18DA5427">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3007485">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4FEB3C75">
            <w:pPr>
              <w:keepNext/>
              <w:spacing w:line="360" w:lineRule="auto"/>
              <w:ind w:left="63" w:right="63"/>
              <w:rPr>
                <w:rFonts w:ascii="宋体" w:hAnsi="宋体" w:eastAsia="宋体" w:cs="宋体"/>
                <w:color w:val="000000"/>
                <w:szCs w:val="21"/>
              </w:rPr>
            </w:pPr>
          </w:p>
        </w:tc>
      </w:tr>
      <w:tr w14:paraId="2395A4C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1D9F7ED5">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6CB8232B">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1293E59B">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6B8DA32C">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72F8A07F">
            <w:pPr>
              <w:keepNext/>
              <w:spacing w:line="360" w:lineRule="auto"/>
              <w:ind w:left="63" w:right="63"/>
              <w:rPr>
                <w:rFonts w:ascii="宋体" w:hAnsi="宋体" w:eastAsia="宋体" w:cs="宋体"/>
                <w:color w:val="000000"/>
                <w:szCs w:val="21"/>
              </w:rPr>
            </w:pPr>
          </w:p>
        </w:tc>
      </w:tr>
      <w:tr w14:paraId="3CC0F94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shd w:val="clear" w:color="auto" w:fill="auto"/>
            <w:vAlign w:val="center"/>
          </w:tcPr>
          <w:p w14:paraId="18DB9B8F">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二、现场人员</w:t>
            </w:r>
          </w:p>
        </w:tc>
      </w:tr>
      <w:tr w14:paraId="4E0A0D9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50B2512B">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385A4368">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4B9E112E">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6B9BB3D7">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3AFE6C27">
            <w:pPr>
              <w:keepNext/>
              <w:spacing w:line="360" w:lineRule="auto"/>
              <w:ind w:left="63" w:right="63"/>
              <w:rPr>
                <w:rFonts w:ascii="宋体" w:hAnsi="宋体" w:eastAsia="宋体" w:cs="宋体"/>
                <w:color w:val="000000"/>
                <w:szCs w:val="21"/>
              </w:rPr>
            </w:pPr>
          </w:p>
        </w:tc>
      </w:tr>
      <w:tr w14:paraId="7AB8FAD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5BB371D7">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06736422">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2CBB5654">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7D08202">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699B6A2D">
            <w:pPr>
              <w:keepNext/>
              <w:spacing w:line="360" w:lineRule="auto"/>
              <w:ind w:left="63" w:right="63"/>
              <w:rPr>
                <w:rFonts w:ascii="宋体" w:hAnsi="宋体" w:eastAsia="宋体" w:cs="宋体"/>
                <w:color w:val="000000"/>
                <w:szCs w:val="21"/>
              </w:rPr>
            </w:pPr>
          </w:p>
        </w:tc>
      </w:tr>
      <w:tr w14:paraId="3C7BCEA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040B90F7">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27ECE47B">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878A366">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A93A0FC">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781449BD">
            <w:pPr>
              <w:keepNext/>
              <w:spacing w:line="360" w:lineRule="auto"/>
              <w:ind w:left="63" w:right="63"/>
              <w:rPr>
                <w:rFonts w:ascii="宋体" w:hAnsi="宋体" w:eastAsia="宋体" w:cs="宋体"/>
                <w:color w:val="000000"/>
                <w:szCs w:val="21"/>
              </w:rPr>
            </w:pPr>
          </w:p>
        </w:tc>
      </w:tr>
      <w:tr w14:paraId="4DEF91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2B79E8D1">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0C66A074">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7F75046B">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78DD900D">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38F24CBA">
            <w:pPr>
              <w:keepNext/>
              <w:spacing w:line="360" w:lineRule="auto"/>
              <w:ind w:left="63" w:right="63"/>
              <w:rPr>
                <w:rFonts w:ascii="宋体" w:hAnsi="宋体" w:eastAsia="宋体" w:cs="宋体"/>
                <w:color w:val="000000"/>
                <w:szCs w:val="21"/>
              </w:rPr>
            </w:pPr>
          </w:p>
        </w:tc>
      </w:tr>
      <w:tr w14:paraId="6C3AE4D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3FADBB3F">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51785E2D">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4AA58492">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3582BE2C">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5BC7BF6A">
            <w:pPr>
              <w:keepNext/>
              <w:spacing w:line="360" w:lineRule="auto"/>
              <w:ind w:left="63" w:right="63"/>
              <w:rPr>
                <w:rFonts w:ascii="宋体" w:hAnsi="宋体" w:eastAsia="宋体" w:cs="宋体"/>
                <w:color w:val="000000"/>
                <w:szCs w:val="21"/>
              </w:rPr>
            </w:pPr>
          </w:p>
        </w:tc>
      </w:tr>
      <w:tr w14:paraId="2CEFE7A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6FAE6086">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6B3D6C24">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4D6119A">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3C844AB1">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2A7D68EE">
            <w:pPr>
              <w:keepNext/>
              <w:spacing w:line="360" w:lineRule="auto"/>
              <w:ind w:left="63" w:right="63"/>
              <w:rPr>
                <w:rFonts w:ascii="宋体" w:hAnsi="宋体" w:eastAsia="宋体" w:cs="宋体"/>
                <w:color w:val="000000"/>
                <w:szCs w:val="21"/>
              </w:rPr>
            </w:pPr>
          </w:p>
        </w:tc>
      </w:tr>
      <w:tr w14:paraId="35C0E61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5129BA98">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17A0D870">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62AC99F1">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7B0511F">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2C556AB4">
            <w:pPr>
              <w:keepNext/>
              <w:spacing w:line="360" w:lineRule="auto"/>
              <w:ind w:left="63" w:right="63"/>
              <w:rPr>
                <w:rFonts w:ascii="宋体" w:hAnsi="宋体" w:eastAsia="宋体" w:cs="宋体"/>
                <w:color w:val="000000"/>
                <w:szCs w:val="21"/>
              </w:rPr>
            </w:pPr>
          </w:p>
        </w:tc>
      </w:tr>
      <w:tr w14:paraId="1A2D45F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shd w:val="clear" w:color="auto" w:fill="auto"/>
            <w:vAlign w:val="center"/>
          </w:tcPr>
          <w:p w14:paraId="6354676A">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shd w:val="clear" w:color="auto" w:fill="auto"/>
            <w:vAlign w:val="center"/>
          </w:tcPr>
          <w:p w14:paraId="58A89FE2">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2908AA1C">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0B4B10B">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4F1DFD00">
            <w:pPr>
              <w:keepNext/>
              <w:spacing w:line="360" w:lineRule="auto"/>
              <w:ind w:left="63" w:right="63"/>
              <w:rPr>
                <w:rFonts w:ascii="宋体" w:hAnsi="宋体" w:eastAsia="宋体" w:cs="宋体"/>
                <w:color w:val="000000"/>
                <w:szCs w:val="21"/>
              </w:rPr>
            </w:pPr>
          </w:p>
        </w:tc>
      </w:tr>
      <w:tr w14:paraId="73C592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shd w:val="clear" w:color="auto" w:fill="auto"/>
            <w:vAlign w:val="center"/>
          </w:tcPr>
          <w:p w14:paraId="6EFF3B2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其他人员</w:t>
            </w:r>
          </w:p>
        </w:tc>
        <w:tc>
          <w:tcPr>
            <w:tcW w:w="1209" w:type="dxa"/>
            <w:shd w:val="clear" w:color="auto" w:fill="auto"/>
            <w:vAlign w:val="center"/>
          </w:tcPr>
          <w:p w14:paraId="1AD5A96E">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38D11C9A">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63DE13E9">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20845FC1">
            <w:pPr>
              <w:keepNext/>
              <w:spacing w:line="360" w:lineRule="auto"/>
              <w:ind w:left="63" w:right="63"/>
              <w:rPr>
                <w:rFonts w:ascii="宋体" w:hAnsi="宋体" w:eastAsia="宋体" w:cs="宋体"/>
                <w:color w:val="000000"/>
                <w:szCs w:val="21"/>
              </w:rPr>
            </w:pPr>
          </w:p>
        </w:tc>
      </w:tr>
      <w:tr w14:paraId="2E89B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shd w:val="clear" w:color="auto" w:fill="auto"/>
            <w:vAlign w:val="center"/>
          </w:tcPr>
          <w:p w14:paraId="58367861">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4371D7C0">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2EEC5B8F">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C45C742">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7D95362E">
            <w:pPr>
              <w:keepNext/>
              <w:spacing w:line="360" w:lineRule="auto"/>
              <w:ind w:left="63" w:right="63"/>
              <w:rPr>
                <w:rFonts w:ascii="宋体" w:hAnsi="宋体" w:eastAsia="宋体" w:cs="宋体"/>
                <w:color w:val="000000"/>
                <w:szCs w:val="21"/>
              </w:rPr>
            </w:pPr>
          </w:p>
        </w:tc>
      </w:tr>
      <w:tr w14:paraId="24B15A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shd w:val="clear" w:color="auto" w:fill="auto"/>
            <w:vAlign w:val="center"/>
          </w:tcPr>
          <w:p w14:paraId="1D4CD5E0">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468B2B9A">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B73472B">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1967B186">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6A273FB8">
            <w:pPr>
              <w:keepNext/>
              <w:spacing w:line="360" w:lineRule="auto"/>
              <w:ind w:left="63" w:right="63"/>
              <w:rPr>
                <w:rFonts w:ascii="宋体" w:hAnsi="宋体" w:eastAsia="宋体" w:cs="宋体"/>
                <w:color w:val="000000"/>
                <w:szCs w:val="21"/>
              </w:rPr>
            </w:pPr>
          </w:p>
        </w:tc>
      </w:tr>
      <w:tr w14:paraId="40F21B5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shd w:val="clear" w:color="auto" w:fill="auto"/>
            <w:vAlign w:val="center"/>
          </w:tcPr>
          <w:p w14:paraId="02973D44">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26100631">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FAB212E">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156A58FC">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2B2734D0">
            <w:pPr>
              <w:keepNext/>
              <w:spacing w:line="360" w:lineRule="auto"/>
              <w:ind w:left="63" w:right="63"/>
              <w:rPr>
                <w:rFonts w:ascii="宋体" w:hAnsi="宋体" w:eastAsia="宋体" w:cs="宋体"/>
                <w:color w:val="000000"/>
                <w:szCs w:val="21"/>
              </w:rPr>
            </w:pPr>
          </w:p>
        </w:tc>
      </w:tr>
      <w:tr w14:paraId="1EE8AC6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shd w:val="clear" w:color="auto" w:fill="auto"/>
            <w:vAlign w:val="center"/>
          </w:tcPr>
          <w:p w14:paraId="6012981F">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6442E9BD">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83AF32F">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1DCBC15">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78A64665">
            <w:pPr>
              <w:keepNext/>
              <w:spacing w:line="360" w:lineRule="auto"/>
              <w:ind w:left="63" w:right="63"/>
              <w:rPr>
                <w:rFonts w:ascii="宋体" w:hAnsi="宋体" w:eastAsia="宋体" w:cs="宋体"/>
                <w:color w:val="000000"/>
                <w:szCs w:val="21"/>
              </w:rPr>
            </w:pPr>
          </w:p>
        </w:tc>
      </w:tr>
      <w:tr w14:paraId="3711A24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shd w:val="clear" w:color="auto" w:fill="auto"/>
            <w:vAlign w:val="center"/>
          </w:tcPr>
          <w:p w14:paraId="5088A649">
            <w:pPr>
              <w:keepNext/>
              <w:spacing w:line="360" w:lineRule="auto"/>
              <w:ind w:left="63" w:right="63"/>
              <w:rPr>
                <w:rFonts w:ascii="宋体" w:hAnsi="宋体" w:eastAsia="宋体" w:cs="宋体"/>
                <w:color w:val="000000"/>
                <w:szCs w:val="21"/>
              </w:rPr>
            </w:pPr>
          </w:p>
        </w:tc>
        <w:tc>
          <w:tcPr>
            <w:tcW w:w="1209" w:type="dxa"/>
            <w:shd w:val="clear" w:color="auto" w:fill="auto"/>
            <w:vAlign w:val="center"/>
          </w:tcPr>
          <w:p w14:paraId="7713D9F1">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5C2B422A">
            <w:pPr>
              <w:keepNext/>
              <w:spacing w:line="360" w:lineRule="auto"/>
              <w:ind w:left="63" w:right="63"/>
              <w:rPr>
                <w:rFonts w:ascii="宋体" w:hAnsi="宋体" w:eastAsia="宋体" w:cs="宋体"/>
                <w:color w:val="000000"/>
                <w:szCs w:val="21"/>
              </w:rPr>
            </w:pPr>
          </w:p>
        </w:tc>
        <w:tc>
          <w:tcPr>
            <w:tcW w:w="967" w:type="dxa"/>
            <w:shd w:val="clear" w:color="auto" w:fill="auto"/>
            <w:vAlign w:val="center"/>
          </w:tcPr>
          <w:p w14:paraId="0AA812FA">
            <w:pPr>
              <w:keepNext/>
              <w:spacing w:line="360" w:lineRule="auto"/>
              <w:ind w:left="63" w:right="63"/>
              <w:rPr>
                <w:rFonts w:ascii="宋体" w:hAnsi="宋体" w:eastAsia="宋体" w:cs="宋体"/>
                <w:color w:val="000000"/>
                <w:szCs w:val="21"/>
              </w:rPr>
            </w:pPr>
          </w:p>
        </w:tc>
        <w:tc>
          <w:tcPr>
            <w:tcW w:w="3625" w:type="dxa"/>
            <w:shd w:val="clear" w:color="auto" w:fill="auto"/>
            <w:vAlign w:val="center"/>
          </w:tcPr>
          <w:p w14:paraId="40A8BC11">
            <w:pPr>
              <w:keepNext/>
              <w:spacing w:line="360" w:lineRule="auto"/>
              <w:ind w:left="63" w:right="63"/>
              <w:rPr>
                <w:rFonts w:ascii="宋体" w:hAnsi="宋体" w:eastAsia="宋体" w:cs="宋体"/>
                <w:color w:val="000000"/>
                <w:szCs w:val="21"/>
              </w:rPr>
            </w:pPr>
          </w:p>
        </w:tc>
      </w:tr>
    </w:tbl>
    <w:p w14:paraId="4545DABE">
      <w:pPr>
        <w:spacing w:line="360" w:lineRule="auto"/>
        <w:rPr>
          <w:rFonts w:ascii="宋体" w:hAnsi="宋体" w:eastAsia="宋体" w:cs="宋体"/>
          <w:color w:val="000000"/>
          <w:szCs w:val="21"/>
        </w:rPr>
      </w:pPr>
    </w:p>
    <w:p w14:paraId="1DBB964B">
      <w:pPr>
        <w:spacing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78" w:name="_Toc296347228"/>
      <w:bookmarkStart w:id="1779" w:name="_Toc296944568"/>
      <w:bookmarkStart w:id="1780" w:name="_Toc296891269"/>
      <w:bookmarkStart w:id="1781" w:name="_Toc296503229"/>
      <w:bookmarkStart w:id="1782" w:name="_Toc296891057"/>
      <w:bookmarkStart w:id="1783" w:name="_Toc296346730"/>
      <w:r>
        <w:rPr>
          <w:rFonts w:hint="eastAsia" w:ascii="宋体" w:hAnsi="宋体" w:eastAsia="宋体" w:cs="宋体"/>
          <w:color w:val="000000"/>
          <w:szCs w:val="21"/>
        </w:rPr>
        <w:t>件7：</w:t>
      </w:r>
    </w:p>
    <w:bookmarkEnd w:id="1778"/>
    <w:bookmarkEnd w:id="1779"/>
    <w:bookmarkEnd w:id="1780"/>
    <w:bookmarkEnd w:id="1781"/>
    <w:bookmarkEnd w:id="1782"/>
    <w:bookmarkEnd w:id="1783"/>
    <w:p w14:paraId="2E6AD443">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分包人主要施工管理人员表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1595"/>
        <w:gridCol w:w="1209"/>
        <w:gridCol w:w="967"/>
        <w:gridCol w:w="967"/>
        <w:gridCol w:w="3625"/>
      </w:tblGrid>
      <w:tr w14:paraId="4A77FD8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0EA345B4">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名    称</w:t>
            </w:r>
          </w:p>
        </w:tc>
        <w:tc>
          <w:tcPr>
            <w:tcW w:w="1209" w:type="dxa"/>
            <w:vAlign w:val="center"/>
          </w:tcPr>
          <w:p w14:paraId="0ACED68F">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姓名</w:t>
            </w:r>
          </w:p>
        </w:tc>
        <w:tc>
          <w:tcPr>
            <w:tcW w:w="967" w:type="dxa"/>
            <w:vAlign w:val="center"/>
          </w:tcPr>
          <w:p w14:paraId="19FAE143">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职务</w:t>
            </w:r>
          </w:p>
        </w:tc>
        <w:tc>
          <w:tcPr>
            <w:tcW w:w="967" w:type="dxa"/>
            <w:vAlign w:val="center"/>
          </w:tcPr>
          <w:p w14:paraId="35C044BB">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职称</w:t>
            </w:r>
          </w:p>
        </w:tc>
        <w:tc>
          <w:tcPr>
            <w:tcW w:w="3625" w:type="dxa"/>
            <w:vAlign w:val="center"/>
          </w:tcPr>
          <w:p w14:paraId="6FCD3851">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主要资历、经验及承担过的项目</w:t>
            </w:r>
          </w:p>
        </w:tc>
      </w:tr>
      <w:tr w14:paraId="3A259C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48EE1650">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一、总部人员</w:t>
            </w:r>
          </w:p>
        </w:tc>
      </w:tr>
      <w:tr w14:paraId="01777CD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4ABD6DE5">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项目主管</w:t>
            </w:r>
          </w:p>
        </w:tc>
        <w:tc>
          <w:tcPr>
            <w:tcW w:w="1209" w:type="dxa"/>
            <w:vAlign w:val="center"/>
          </w:tcPr>
          <w:p w14:paraId="428C2C33">
            <w:pPr>
              <w:keepNext/>
              <w:spacing w:line="360" w:lineRule="auto"/>
              <w:ind w:left="63" w:right="63"/>
              <w:rPr>
                <w:rFonts w:ascii="宋体" w:hAnsi="宋体" w:eastAsia="宋体" w:cs="宋体"/>
                <w:color w:val="000000"/>
                <w:szCs w:val="21"/>
              </w:rPr>
            </w:pPr>
          </w:p>
        </w:tc>
        <w:tc>
          <w:tcPr>
            <w:tcW w:w="967" w:type="dxa"/>
            <w:vAlign w:val="center"/>
          </w:tcPr>
          <w:p w14:paraId="359158AA">
            <w:pPr>
              <w:keepNext/>
              <w:spacing w:line="360" w:lineRule="auto"/>
              <w:ind w:left="63" w:right="63"/>
              <w:rPr>
                <w:rFonts w:ascii="宋体" w:hAnsi="宋体" w:eastAsia="宋体" w:cs="宋体"/>
                <w:color w:val="000000"/>
                <w:szCs w:val="21"/>
              </w:rPr>
            </w:pPr>
          </w:p>
        </w:tc>
        <w:tc>
          <w:tcPr>
            <w:tcW w:w="967" w:type="dxa"/>
            <w:vAlign w:val="center"/>
          </w:tcPr>
          <w:p w14:paraId="5C77E22F">
            <w:pPr>
              <w:keepNext/>
              <w:spacing w:line="360" w:lineRule="auto"/>
              <w:ind w:left="63" w:right="63"/>
              <w:rPr>
                <w:rFonts w:ascii="宋体" w:hAnsi="宋体" w:eastAsia="宋体" w:cs="宋体"/>
                <w:color w:val="000000"/>
                <w:szCs w:val="21"/>
              </w:rPr>
            </w:pPr>
          </w:p>
        </w:tc>
        <w:tc>
          <w:tcPr>
            <w:tcW w:w="3625" w:type="dxa"/>
            <w:vAlign w:val="center"/>
          </w:tcPr>
          <w:p w14:paraId="3E5B6585">
            <w:pPr>
              <w:keepNext/>
              <w:spacing w:line="360" w:lineRule="auto"/>
              <w:ind w:left="63" w:right="63"/>
              <w:rPr>
                <w:rFonts w:ascii="宋体" w:hAnsi="宋体" w:eastAsia="宋体" w:cs="宋体"/>
                <w:color w:val="000000"/>
                <w:szCs w:val="21"/>
              </w:rPr>
            </w:pPr>
          </w:p>
        </w:tc>
      </w:tr>
      <w:tr w14:paraId="1858B88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A52AA42">
            <w:pPr>
              <w:keepNext/>
              <w:spacing w:line="360" w:lineRule="auto"/>
              <w:ind w:left="63" w:right="63"/>
              <w:rPr>
                <w:rFonts w:ascii="宋体" w:hAnsi="宋体" w:eastAsia="宋体" w:cs="宋体"/>
                <w:color w:val="000000"/>
                <w:szCs w:val="21"/>
              </w:rPr>
            </w:pPr>
          </w:p>
        </w:tc>
        <w:tc>
          <w:tcPr>
            <w:tcW w:w="1209" w:type="dxa"/>
            <w:vAlign w:val="center"/>
          </w:tcPr>
          <w:p w14:paraId="6DBDF4AB">
            <w:pPr>
              <w:keepNext/>
              <w:spacing w:line="360" w:lineRule="auto"/>
              <w:ind w:left="63" w:right="63"/>
              <w:rPr>
                <w:rFonts w:ascii="宋体" w:hAnsi="宋体" w:eastAsia="宋体" w:cs="宋体"/>
                <w:color w:val="000000"/>
                <w:szCs w:val="21"/>
              </w:rPr>
            </w:pPr>
          </w:p>
        </w:tc>
        <w:tc>
          <w:tcPr>
            <w:tcW w:w="967" w:type="dxa"/>
            <w:vAlign w:val="center"/>
          </w:tcPr>
          <w:p w14:paraId="7B54F4DC">
            <w:pPr>
              <w:keepNext/>
              <w:spacing w:line="360" w:lineRule="auto"/>
              <w:ind w:left="63" w:right="63"/>
              <w:rPr>
                <w:rFonts w:ascii="宋体" w:hAnsi="宋体" w:eastAsia="宋体" w:cs="宋体"/>
                <w:color w:val="000000"/>
                <w:szCs w:val="21"/>
              </w:rPr>
            </w:pPr>
          </w:p>
        </w:tc>
        <w:tc>
          <w:tcPr>
            <w:tcW w:w="967" w:type="dxa"/>
            <w:vAlign w:val="center"/>
          </w:tcPr>
          <w:p w14:paraId="625BD083">
            <w:pPr>
              <w:keepNext/>
              <w:spacing w:line="360" w:lineRule="auto"/>
              <w:ind w:left="63" w:right="63"/>
              <w:rPr>
                <w:rFonts w:ascii="宋体" w:hAnsi="宋体" w:eastAsia="宋体" w:cs="宋体"/>
                <w:color w:val="000000"/>
                <w:szCs w:val="21"/>
              </w:rPr>
            </w:pPr>
          </w:p>
        </w:tc>
        <w:tc>
          <w:tcPr>
            <w:tcW w:w="3625" w:type="dxa"/>
            <w:vAlign w:val="center"/>
          </w:tcPr>
          <w:p w14:paraId="00FBC933">
            <w:pPr>
              <w:keepNext/>
              <w:spacing w:line="360" w:lineRule="auto"/>
              <w:ind w:left="63" w:right="63"/>
              <w:rPr>
                <w:rFonts w:ascii="宋体" w:hAnsi="宋体" w:eastAsia="宋体" w:cs="宋体"/>
                <w:color w:val="000000"/>
                <w:szCs w:val="21"/>
              </w:rPr>
            </w:pPr>
          </w:p>
        </w:tc>
      </w:tr>
      <w:tr w14:paraId="4BBD47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54E422E2">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其他人员</w:t>
            </w:r>
          </w:p>
        </w:tc>
        <w:tc>
          <w:tcPr>
            <w:tcW w:w="1209" w:type="dxa"/>
            <w:vAlign w:val="center"/>
          </w:tcPr>
          <w:p w14:paraId="432EAE43">
            <w:pPr>
              <w:keepNext/>
              <w:spacing w:line="360" w:lineRule="auto"/>
              <w:ind w:left="63" w:right="63"/>
              <w:rPr>
                <w:rFonts w:ascii="宋体" w:hAnsi="宋体" w:eastAsia="宋体" w:cs="宋体"/>
                <w:color w:val="000000"/>
                <w:szCs w:val="21"/>
              </w:rPr>
            </w:pPr>
          </w:p>
        </w:tc>
        <w:tc>
          <w:tcPr>
            <w:tcW w:w="967" w:type="dxa"/>
            <w:vAlign w:val="center"/>
          </w:tcPr>
          <w:p w14:paraId="3A435BAA">
            <w:pPr>
              <w:keepNext/>
              <w:spacing w:line="360" w:lineRule="auto"/>
              <w:ind w:left="63" w:right="63"/>
              <w:rPr>
                <w:rFonts w:ascii="宋体" w:hAnsi="宋体" w:eastAsia="宋体" w:cs="宋体"/>
                <w:color w:val="000000"/>
                <w:szCs w:val="21"/>
              </w:rPr>
            </w:pPr>
          </w:p>
        </w:tc>
        <w:tc>
          <w:tcPr>
            <w:tcW w:w="967" w:type="dxa"/>
            <w:vAlign w:val="center"/>
          </w:tcPr>
          <w:p w14:paraId="43C76A00">
            <w:pPr>
              <w:keepNext/>
              <w:spacing w:line="360" w:lineRule="auto"/>
              <w:ind w:left="63" w:right="63"/>
              <w:rPr>
                <w:rFonts w:ascii="宋体" w:hAnsi="宋体" w:eastAsia="宋体" w:cs="宋体"/>
                <w:color w:val="000000"/>
                <w:szCs w:val="21"/>
              </w:rPr>
            </w:pPr>
          </w:p>
        </w:tc>
        <w:tc>
          <w:tcPr>
            <w:tcW w:w="3625" w:type="dxa"/>
            <w:vAlign w:val="center"/>
          </w:tcPr>
          <w:p w14:paraId="531333F9">
            <w:pPr>
              <w:keepNext/>
              <w:spacing w:line="360" w:lineRule="auto"/>
              <w:ind w:left="63" w:right="63"/>
              <w:rPr>
                <w:rFonts w:ascii="宋体" w:hAnsi="宋体" w:eastAsia="宋体" w:cs="宋体"/>
                <w:color w:val="000000"/>
                <w:szCs w:val="21"/>
              </w:rPr>
            </w:pPr>
          </w:p>
        </w:tc>
      </w:tr>
      <w:tr w14:paraId="4E3DBE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3A33D309">
            <w:pPr>
              <w:keepNext/>
              <w:spacing w:line="360" w:lineRule="auto"/>
              <w:ind w:left="63" w:right="63"/>
              <w:rPr>
                <w:rFonts w:ascii="宋体" w:hAnsi="宋体" w:eastAsia="宋体" w:cs="宋体"/>
                <w:color w:val="000000"/>
                <w:szCs w:val="21"/>
              </w:rPr>
            </w:pPr>
          </w:p>
        </w:tc>
        <w:tc>
          <w:tcPr>
            <w:tcW w:w="1209" w:type="dxa"/>
            <w:vAlign w:val="center"/>
          </w:tcPr>
          <w:p w14:paraId="0628EA0D">
            <w:pPr>
              <w:keepNext/>
              <w:spacing w:line="360" w:lineRule="auto"/>
              <w:ind w:left="63" w:right="63"/>
              <w:rPr>
                <w:rFonts w:ascii="宋体" w:hAnsi="宋体" w:eastAsia="宋体" w:cs="宋体"/>
                <w:color w:val="000000"/>
                <w:szCs w:val="21"/>
              </w:rPr>
            </w:pPr>
          </w:p>
        </w:tc>
        <w:tc>
          <w:tcPr>
            <w:tcW w:w="967" w:type="dxa"/>
            <w:vAlign w:val="center"/>
          </w:tcPr>
          <w:p w14:paraId="2B22D86A">
            <w:pPr>
              <w:keepNext/>
              <w:spacing w:line="360" w:lineRule="auto"/>
              <w:ind w:left="63" w:right="63"/>
              <w:rPr>
                <w:rFonts w:ascii="宋体" w:hAnsi="宋体" w:eastAsia="宋体" w:cs="宋体"/>
                <w:color w:val="000000"/>
                <w:szCs w:val="21"/>
              </w:rPr>
            </w:pPr>
          </w:p>
        </w:tc>
        <w:tc>
          <w:tcPr>
            <w:tcW w:w="967" w:type="dxa"/>
            <w:vAlign w:val="center"/>
          </w:tcPr>
          <w:p w14:paraId="10216F0B">
            <w:pPr>
              <w:keepNext/>
              <w:spacing w:line="360" w:lineRule="auto"/>
              <w:ind w:left="63" w:right="63"/>
              <w:rPr>
                <w:rFonts w:ascii="宋体" w:hAnsi="宋体" w:eastAsia="宋体" w:cs="宋体"/>
                <w:color w:val="000000"/>
                <w:szCs w:val="21"/>
              </w:rPr>
            </w:pPr>
          </w:p>
        </w:tc>
        <w:tc>
          <w:tcPr>
            <w:tcW w:w="3625" w:type="dxa"/>
            <w:vAlign w:val="center"/>
          </w:tcPr>
          <w:p w14:paraId="54CACB2A">
            <w:pPr>
              <w:keepNext/>
              <w:spacing w:line="360" w:lineRule="auto"/>
              <w:ind w:left="63" w:right="63"/>
              <w:rPr>
                <w:rFonts w:ascii="宋体" w:hAnsi="宋体" w:eastAsia="宋体" w:cs="宋体"/>
                <w:color w:val="000000"/>
                <w:szCs w:val="21"/>
              </w:rPr>
            </w:pPr>
          </w:p>
        </w:tc>
      </w:tr>
      <w:tr w14:paraId="39685C9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8363" w:type="dxa"/>
            <w:gridSpan w:val="5"/>
            <w:vAlign w:val="center"/>
          </w:tcPr>
          <w:p w14:paraId="5C995B67">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二、现场人员</w:t>
            </w:r>
          </w:p>
        </w:tc>
      </w:tr>
      <w:tr w14:paraId="512539C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5B8C306C">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06D2F9CB">
            <w:pPr>
              <w:keepNext/>
              <w:spacing w:line="360" w:lineRule="auto"/>
              <w:ind w:left="63" w:right="63"/>
              <w:rPr>
                <w:rFonts w:ascii="宋体" w:hAnsi="宋体" w:eastAsia="宋体" w:cs="宋体"/>
                <w:color w:val="000000"/>
                <w:szCs w:val="21"/>
              </w:rPr>
            </w:pPr>
          </w:p>
        </w:tc>
        <w:tc>
          <w:tcPr>
            <w:tcW w:w="967" w:type="dxa"/>
            <w:vAlign w:val="center"/>
          </w:tcPr>
          <w:p w14:paraId="52657362">
            <w:pPr>
              <w:keepNext/>
              <w:spacing w:line="360" w:lineRule="auto"/>
              <w:ind w:left="63" w:right="63"/>
              <w:rPr>
                <w:rFonts w:ascii="宋体" w:hAnsi="宋体" w:eastAsia="宋体" w:cs="宋体"/>
                <w:color w:val="000000"/>
                <w:szCs w:val="21"/>
              </w:rPr>
            </w:pPr>
          </w:p>
        </w:tc>
        <w:tc>
          <w:tcPr>
            <w:tcW w:w="967" w:type="dxa"/>
            <w:vAlign w:val="center"/>
          </w:tcPr>
          <w:p w14:paraId="782A54B9">
            <w:pPr>
              <w:keepNext/>
              <w:spacing w:line="360" w:lineRule="auto"/>
              <w:ind w:left="63" w:right="63"/>
              <w:rPr>
                <w:rFonts w:ascii="宋体" w:hAnsi="宋体" w:eastAsia="宋体" w:cs="宋体"/>
                <w:color w:val="000000"/>
                <w:szCs w:val="21"/>
              </w:rPr>
            </w:pPr>
          </w:p>
        </w:tc>
        <w:tc>
          <w:tcPr>
            <w:tcW w:w="3625" w:type="dxa"/>
            <w:vAlign w:val="center"/>
          </w:tcPr>
          <w:p w14:paraId="65674B58">
            <w:pPr>
              <w:keepNext/>
              <w:spacing w:line="360" w:lineRule="auto"/>
              <w:ind w:left="63" w:right="63"/>
              <w:rPr>
                <w:rFonts w:ascii="宋体" w:hAnsi="宋体" w:eastAsia="宋体" w:cs="宋体"/>
                <w:color w:val="000000"/>
                <w:szCs w:val="21"/>
              </w:rPr>
            </w:pPr>
          </w:p>
        </w:tc>
      </w:tr>
      <w:tr w14:paraId="533FD6A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459DA5C">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583E6E76">
            <w:pPr>
              <w:keepNext/>
              <w:spacing w:line="360" w:lineRule="auto"/>
              <w:ind w:left="63" w:right="63"/>
              <w:rPr>
                <w:rFonts w:ascii="宋体" w:hAnsi="宋体" w:eastAsia="宋体" w:cs="宋体"/>
                <w:color w:val="000000"/>
                <w:szCs w:val="21"/>
              </w:rPr>
            </w:pPr>
          </w:p>
        </w:tc>
        <w:tc>
          <w:tcPr>
            <w:tcW w:w="967" w:type="dxa"/>
            <w:vAlign w:val="center"/>
          </w:tcPr>
          <w:p w14:paraId="425AD8DA">
            <w:pPr>
              <w:keepNext/>
              <w:spacing w:line="360" w:lineRule="auto"/>
              <w:ind w:left="63" w:right="63"/>
              <w:rPr>
                <w:rFonts w:ascii="宋体" w:hAnsi="宋体" w:eastAsia="宋体" w:cs="宋体"/>
                <w:color w:val="000000"/>
                <w:szCs w:val="21"/>
              </w:rPr>
            </w:pPr>
          </w:p>
        </w:tc>
        <w:tc>
          <w:tcPr>
            <w:tcW w:w="967" w:type="dxa"/>
            <w:vAlign w:val="center"/>
          </w:tcPr>
          <w:p w14:paraId="1D3A1193">
            <w:pPr>
              <w:keepNext/>
              <w:spacing w:line="360" w:lineRule="auto"/>
              <w:ind w:left="63" w:right="63"/>
              <w:rPr>
                <w:rFonts w:ascii="宋体" w:hAnsi="宋体" w:eastAsia="宋体" w:cs="宋体"/>
                <w:color w:val="000000"/>
                <w:szCs w:val="21"/>
              </w:rPr>
            </w:pPr>
          </w:p>
        </w:tc>
        <w:tc>
          <w:tcPr>
            <w:tcW w:w="3625" w:type="dxa"/>
            <w:vAlign w:val="center"/>
          </w:tcPr>
          <w:p w14:paraId="33BCE8D5">
            <w:pPr>
              <w:keepNext/>
              <w:spacing w:line="360" w:lineRule="auto"/>
              <w:ind w:left="63" w:right="63"/>
              <w:rPr>
                <w:rFonts w:ascii="宋体" w:hAnsi="宋体" w:eastAsia="宋体" w:cs="宋体"/>
                <w:color w:val="000000"/>
                <w:szCs w:val="21"/>
              </w:rPr>
            </w:pPr>
          </w:p>
        </w:tc>
      </w:tr>
      <w:tr w14:paraId="4C9F2A6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3379AA9">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746FFFCF">
            <w:pPr>
              <w:keepNext/>
              <w:spacing w:line="360" w:lineRule="auto"/>
              <w:ind w:left="63" w:right="63"/>
              <w:rPr>
                <w:rFonts w:ascii="宋体" w:hAnsi="宋体" w:eastAsia="宋体" w:cs="宋体"/>
                <w:color w:val="000000"/>
                <w:szCs w:val="21"/>
              </w:rPr>
            </w:pPr>
          </w:p>
        </w:tc>
        <w:tc>
          <w:tcPr>
            <w:tcW w:w="967" w:type="dxa"/>
            <w:vAlign w:val="center"/>
          </w:tcPr>
          <w:p w14:paraId="62E70600">
            <w:pPr>
              <w:keepNext/>
              <w:spacing w:line="360" w:lineRule="auto"/>
              <w:ind w:left="63" w:right="63"/>
              <w:rPr>
                <w:rFonts w:ascii="宋体" w:hAnsi="宋体" w:eastAsia="宋体" w:cs="宋体"/>
                <w:color w:val="000000"/>
                <w:szCs w:val="21"/>
              </w:rPr>
            </w:pPr>
          </w:p>
        </w:tc>
        <w:tc>
          <w:tcPr>
            <w:tcW w:w="967" w:type="dxa"/>
            <w:vAlign w:val="center"/>
          </w:tcPr>
          <w:p w14:paraId="50B22DD4">
            <w:pPr>
              <w:keepNext/>
              <w:spacing w:line="360" w:lineRule="auto"/>
              <w:ind w:left="63" w:right="63"/>
              <w:rPr>
                <w:rFonts w:ascii="宋体" w:hAnsi="宋体" w:eastAsia="宋体" w:cs="宋体"/>
                <w:color w:val="000000"/>
                <w:szCs w:val="21"/>
              </w:rPr>
            </w:pPr>
          </w:p>
        </w:tc>
        <w:tc>
          <w:tcPr>
            <w:tcW w:w="3625" w:type="dxa"/>
            <w:vAlign w:val="center"/>
          </w:tcPr>
          <w:p w14:paraId="38E35C82">
            <w:pPr>
              <w:keepNext/>
              <w:spacing w:line="360" w:lineRule="auto"/>
              <w:ind w:left="63" w:right="63"/>
              <w:rPr>
                <w:rFonts w:ascii="宋体" w:hAnsi="宋体" w:eastAsia="宋体" w:cs="宋体"/>
                <w:color w:val="000000"/>
                <w:szCs w:val="21"/>
              </w:rPr>
            </w:pPr>
          </w:p>
        </w:tc>
      </w:tr>
      <w:tr w14:paraId="6BC923B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6B61C5CF">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1FD4A540">
            <w:pPr>
              <w:keepNext/>
              <w:spacing w:line="360" w:lineRule="auto"/>
              <w:ind w:left="63" w:right="63"/>
              <w:rPr>
                <w:rFonts w:ascii="宋体" w:hAnsi="宋体" w:eastAsia="宋体" w:cs="宋体"/>
                <w:color w:val="000000"/>
                <w:szCs w:val="21"/>
              </w:rPr>
            </w:pPr>
          </w:p>
        </w:tc>
        <w:tc>
          <w:tcPr>
            <w:tcW w:w="967" w:type="dxa"/>
            <w:vAlign w:val="center"/>
          </w:tcPr>
          <w:p w14:paraId="2D5269EC">
            <w:pPr>
              <w:keepNext/>
              <w:spacing w:line="360" w:lineRule="auto"/>
              <w:ind w:left="63" w:right="63"/>
              <w:rPr>
                <w:rFonts w:ascii="宋体" w:hAnsi="宋体" w:eastAsia="宋体" w:cs="宋体"/>
                <w:color w:val="000000"/>
                <w:szCs w:val="21"/>
              </w:rPr>
            </w:pPr>
          </w:p>
        </w:tc>
        <w:tc>
          <w:tcPr>
            <w:tcW w:w="967" w:type="dxa"/>
            <w:vAlign w:val="center"/>
          </w:tcPr>
          <w:p w14:paraId="5C14CE17">
            <w:pPr>
              <w:keepNext/>
              <w:spacing w:line="360" w:lineRule="auto"/>
              <w:ind w:left="63" w:right="63"/>
              <w:rPr>
                <w:rFonts w:ascii="宋体" w:hAnsi="宋体" w:eastAsia="宋体" w:cs="宋体"/>
                <w:color w:val="000000"/>
                <w:szCs w:val="21"/>
              </w:rPr>
            </w:pPr>
          </w:p>
        </w:tc>
        <w:tc>
          <w:tcPr>
            <w:tcW w:w="3625" w:type="dxa"/>
            <w:vAlign w:val="center"/>
          </w:tcPr>
          <w:p w14:paraId="04E34086">
            <w:pPr>
              <w:keepNext/>
              <w:spacing w:line="360" w:lineRule="auto"/>
              <w:ind w:left="63" w:right="63"/>
              <w:rPr>
                <w:rFonts w:ascii="宋体" w:hAnsi="宋体" w:eastAsia="宋体" w:cs="宋体"/>
                <w:color w:val="000000"/>
                <w:szCs w:val="21"/>
              </w:rPr>
            </w:pPr>
          </w:p>
        </w:tc>
      </w:tr>
      <w:tr w14:paraId="6D7536A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4D4CC80">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578BA7CF">
            <w:pPr>
              <w:keepNext/>
              <w:spacing w:line="360" w:lineRule="auto"/>
              <w:ind w:left="63" w:right="63"/>
              <w:rPr>
                <w:rFonts w:ascii="宋体" w:hAnsi="宋体" w:eastAsia="宋体" w:cs="宋体"/>
                <w:color w:val="000000"/>
                <w:szCs w:val="21"/>
              </w:rPr>
            </w:pPr>
          </w:p>
        </w:tc>
        <w:tc>
          <w:tcPr>
            <w:tcW w:w="967" w:type="dxa"/>
            <w:vAlign w:val="center"/>
          </w:tcPr>
          <w:p w14:paraId="0E1D75AC">
            <w:pPr>
              <w:keepNext/>
              <w:spacing w:line="360" w:lineRule="auto"/>
              <w:ind w:left="63" w:right="63"/>
              <w:rPr>
                <w:rFonts w:ascii="宋体" w:hAnsi="宋体" w:eastAsia="宋体" w:cs="宋体"/>
                <w:color w:val="000000"/>
                <w:szCs w:val="21"/>
              </w:rPr>
            </w:pPr>
          </w:p>
        </w:tc>
        <w:tc>
          <w:tcPr>
            <w:tcW w:w="967" w:type="dxa"/>
            <w:vAlign w:val="center"/>
          </w:tcPr>
          <w:p w14:paraId="214E0B95">
            <w:pPr>
              <w:keepNext/>
              <w:spacing w:line="360" w:lineRule="auto"/>
              <w:ind w:left="63" w:right="63"/>
              <w:rPr>
                <w:rFonts w:ascii="宋体" w:hAnsi="宋体" w:eastAsia="宋体" w:cs="宋体"/>
                <w:color w:val="000000"/>
                <w:szCs w:val="21"/>
              </w:rPr>
            </w:pPr>
          </w:p>
        </w:tc>
        <w:tc>
          <w:tcPr>
            <w:tcW w:w="3625" w:type="dxa"/>
            <w:vAlign w:val="center"/>
          </w:tcPr>
          <w:p w14:paraId="37AA7E7F">
            <w:pPr>
              <w:keepNext/>
              <w:spacing w:line="360" w:lineRule="auto"/>
              <w:ind w:left="63" w:right="63"/>
              <w:rPr>
                <w:rFonts w:ascii="宋体" w:hAnsi="宋体" w:eastAsia="宋体" w:cs="宋体"/>
                <w:color w:val="000000"/>
                <w:szCs w:val="21"/>
              </w:rPr>
            </w:pPr>
          </w:p>
        </w:tc>
      </w:tr>
      <w:tr w14:paraId="4BD526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7D9B536A">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69908E38">
            <w:pPr>
              <w:keepNext/>
              <w:spacing w:line="360" w:lineRule="auto"/>
              <w:ind w:left="63" w:right="63"/>
              <w:rPr>
                <w:rFonts w:ascii="宋体" w:hAnsi="宋体" w:eastAsia="宋体" w:cs="宋体"/>
                <w:color w:val="000000"/>
                <w:szCs w:val="21"/>
              </w:rPr>
            </w:pPr>
          </w:p>
        </w:tc>
        <w:tc>
          <w:tcPr>
            <w:tcW w:w="967" w:type="dxa"/>
            <w:vAlign w:val="center"/>
          </w:tcPr>
          <w:p w14:paraId="28E708E5">
            <w:pPr>
              <w:keepNext/>
              <w:spacing w:line="360" w:lineRule="auto"/>
              <w:ind w:left="63" w:right="63"/>
              <w:rPr>
                <w:rFonts w:ascii="宋体" w:hAnsi="宋体" w:eastAsia="宋体" w:cs="宋体"/>
                <w:color w:val="000000"/>
                <w:szCs w:val="21"/>
              </w:rPr>
            </w:pPr>
          </w:p>
        </w:tc>
        <w:tc>
          <w:tcPr>
            <w:tcW w:w="967" w:type="dxa"/>
            <w:vAlign w:val="center"/>
          </w:tcPr>
          <w:p w14:paraId="3AA34BF7">
            <w:pPr>
              <w:keepNext/>
              <w:spacing w:line="360" w:lineRule="auto"/>
              <w:ind w:left="63" w:right="63"/>
              <w:rPr>
                <w:rFonts w:ascii="宋体" w:hAnsi="宋体" w:eastAsia="宋体" w:cs="宋体"/>
                <w:color w:val="000000"/>
                <w:szCs w:val="21"/>
              </w:rPr>
            </w:pPr>
          </w:p>
        </w:tc>
        <w:tc>
          <w:tcPr>
            <w:tcW w:w="3625" w:type="dxa"/>
            <w:vAlign w:val="center"/>
          </w:tcPr>
          <w:p w14:paraId="1C7D43CE">
            <w:pPr>
              <w:keepNext/>
              <w:spacing w:line="360" w:lineRule="auto"/>
              <w:ind w:left="63" w:right="63"/>
              <w:rPr>
                <w:rFonts w:ascii="宋体" w:hAnsi="宋体" w:eastAsia="宋体" w:cs="宋体"/>
                <w:color w:val="000000"/>
                <w:szCs w:val="21"/>
              </w:rPr>
            </w:pPr>
          </w:p>
        </w:tc>
      </w:tr>
      <w:tr w14:paraId="790E0D7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2035C272">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5C444344">
            <w:pPr>
              <w:keepNext/>
              <w:spacing w:line="360" w:lineRule="auto"/>
              <w:ind w:left="63" w:right="63"/>
              <w:rPr>
                <w:rFonts w:ascii="宋体" w:hAnsi="宋体" w:eastAsia="宋体" w:cs="宋体"/>
                <w:color w:val="000000"/>
                <w:szCs w:val="21"/>
              </w:rPr>
            </w:pPr>
          </w:p>
        </w:tc>
        <w:tc>
          <w:tcPr>
            <w:tcW w:w="967" w:type="dxa"/>
            <w:vAlign w:val="center"/>
          </w:tcPr>
          <w:p w14:paraId="709D94C2">
            <w:pPr>
              <w:keepNext/>
              <w:spacing w:line="360" w:lineRule="auto"/>
              <w:ind w:left="63" w:right="63"/>
              <w:rPr>
                <w:rFonts w:ascii="宋体" w:hAnsi="宋体" w:eastAsia="宋体" w:cs="宋体"/>
                <w:color w:val="000000"/>
                <w:szCs w:val="21"/>
              </w:rPr>
            </w:pPr>
          </w:p>
        </w:tc>
        <w:tc>
          <w:tcPr>
            <w:tcW w:w="967" w:type="dxa"/>
            <w:vAlign w:val="center"/>
          </w:tcPr>
          <w:p w14:paraId="46F70CC1">
            <w:pPr>
              <w:keepNext/>
              <w:spacing w:line="360" w:lineRule="auto"/>
              <w:ind w:left="63" w:right="63"/>
              <w:rPr>
                <w:rFonts w:ascii="宋体" w:hAnsi="宋体" w:eastAsia="宋体" w:cs="宋体"/>
                <w:color w:val="000000"/>
                <w:szCs w:val="21"/>
              </w:rPr>
            </w:pPr>
          </w:p>
        </w:tc>
        <w:tc>
          <w:tcPr>
            <w:tcW w:w="3625" w:type="dxa"/>
            <w:vAlign w:val="center"/>
          </w:tcPr>
          <w:p w14:paraId="3E4F0A4F">
            <w:pPr>
              <w:keepNext/>
              <w:spacing w:line="360" w:lineRule="auto"/>
              <w:ind w:left="63" w:right="63"/>
              <w:rPr>
                <w:rFonts w:ascii="宋体" w:hAnsi="宋体" w:eastAsia="宋体" w:cs="宋体"/>
                <w:color w:val="000000"/>
                <w:szCs w:val="21"/>
              </w:rPr>
            </w:pPr>
          </w:p>
        </w:tc>
      </w:tr>
      <w:tr w14:paraId="06B6DA0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Align w:val="center"/>
          </w:tcPr>
          <w:p w14:paraId="18F76401">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w:t>
            </w:r>
          </w:p>
        </w:tc>
        <w:tc>
          <w:tcPr>
            <w:tcW w:w="1209" w:type="dxa"/>
            <w:vAlign w:val="center"/>
          </w:tcPr>
          <w:p w14:paraId="75EFB93F">
            <w:pPr>
              <w:keepNext/>
              <w:spacing w:line="360" w:lineRule="auto"/>
              <w:ind w:left="63" w:right="63"/>
              <w:rPr>
                <w:rFonts w:ascii="宋体" w:hAnsi="宋体" w:eastAsia="宋体" w:cs="宋体"/>
                <w:color w:val="000000"/>
                <w:szCs w:val="21"/>
              </w:rPr>
            </w:pPr>
          </w:p>
        </w:tc>
        <w:tc>
          <w:tcPr>
            <w:tcW w:w="967" w:type="dxa"/>
            <w:vAlign w:val="center"/>
          </w:tcPr>
          <w:p w14:paraId="70B2B01A">
            <w:pPr>
              <w:keepNext/>
              <w:spacing w:line="360" w:lineRule="auto"/>
              <w:ind w:left="63" w:right="63"/>
              <w:rPr>
                <w:rFonts w:ascii="宋体" w:hAnsi="宋体" w:eastAsia="宋体" w:cs="宋体"/>
                <w:color w:val="000000"/>
                <w:szCs w:val="21"/>
              </w:rPr>
            </w:pPr>
          </w:p>
        </w:tc>
        <w:tc>
          <w:tcPr>
            <w:tcW w:w="967" w:type="dxa"/>
            <w:vAlign w:val="center"/>
          </w:tcPr>
          <w:p w14:paraId="575CBA08">
            <w:pPr>
              <w:keepNext/>
              <w:spacing w:line="360" w:lineRule="auto"/>
              <w:ind w:left="63" w:right="63"/>
              <w:rPr>
                <w:rFonts w:ascii="宋体" w:hAnsi="宋体" w:eastAsia="宋体" w:cs="宋体"/>
                <w:color w:val="000000"/>
                <w:szCs w:val="21"/>
              </w:rPr>
            </w:pPr>
          </w:p>
        </w:tc>
        <w:tc>
          <w:tcPr>
            <w:tcW w:w="3625" w:type="dxa"/>
            <w:vAlign w:val="center"/>
          </w:tcPr>
          <w:p w14:paraId="2A47F5A0">
            <w:pPr>
              <w:keepNext/>
              <w:spacing w:line="360" w:lineRule="auto"/>
              <w:ind w:left="63" w:right="63"/>
              <w:rPr>
                <w:rFonts w:ascii="宋体" w:hAnsi="宋体" w:eastAsia="宋体" w:cs="宋体"/>
                <w:color w:val="000000"/>
                <w:szCs w:val="21"/>
              </w:rPr>
            </w:pPr>
          </w:p>
        </w:tc>
      </w:tr>
      <w:tr w14:paraId="27F2139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restart"/>
            <w:vAlign w:val="center"/>
          </w:tcPr>
          <w:p w14:paraId="4F1F3CFB">
            <w:pPr>
              <w:keepNext/>
              <w:spacing w:line="360" w:lineRule="auto"/>
              <w:ind w:left="63" w:right="63"/>
              <w:rPr>
                <w:rFonts w:ascii="宋体" w:hAnsi="宋体" w:eastAsia="宋体" w:cs="宋体"/>
                <w:color w:val="000000"/>
                <w:szCs w:val="21"/>
              </w:rPr>
            </w:pPr>
            <w:r>
              <w:rPr>
                <w:rFonts w:hint="eastAsia" w:ascii="宋体" w:hAnsi="宋体" w:eastAsia="宋体" w:cs="宋体"/>
                <w:color w:val="000000"/>
                <w:szCs w:val="21"/>
              </w:rPr>
              <w:t>其他人员</w:t>
            </w:r>
          </w:p>
        </w:tc>
        <w:tc>
          <w:tcPr>
            <w:tcW w:w="1209" w:type="dxa"/>
            <w:vAlign w:val="center"/>
          </w:tcPr>
          <w:p w14:paraId="52B9E6E6">
            <w:pPr>
              <w:keepNext/>
              <w:spacing w:line="360" w:lineRule="auto"/>
              <w:ind w:left="63" w:right="63"/>
              <w:rPr>
                <w:rFonts w:ascii="宋体" w:hAnsi="宋体" w:eastAsia="宋体" w:cs="宋体"/>
                <w:color w:val="000000"/>
                <w:szCs w:val="21"/>
              </w:rPr>
            </w:pPr>
          </w:p>
        </w:tc>
        <w:tc>
          <w:tcPr>
            <w:tcW w:w="967" w:type="dxa"/>
            <w:vAlign w:val="center"/>
          </w:tcPr>
          <w:p w14:paraId="1537B101">
            <w:pPr>
              <w:keepNext/>
              <w:spacing w:line="360" w:lineRule="auto"/>
              <w:ind w:left="63" w:right="63"/>
              <w:rPr>
                <w:rFonts w:ascii="宋体" w:hAnsi="宋体" w:eastAsia="宋体" w:cs="宋体"/>
                <w:color w:val="000000"/>
                <w:szCs w:val="21"/>
              </w:rPr>
            </w:pPr>
          </w:p>
        </w:tc>
        <w:tc>
          <w:tcPr>
            <w:tcW w:w="967" w:type="dxa"/>
            <w:vAlign w:val="center"/>
          </w:tcPr>
          <w:p w14:paraId="0F0EC235">
            <w:pPr>
              <w:keepNext/>
              <w:spacing w:line="360" w:lineRule="auto"/>
              <w:ind w:left="63" w:right="63"/>
              <w:rPr>
                <w:rFonts w:ascii="宋体" w:hAnsi="宋体" w:eastAsia="宋体" w:cs="宋体"/>
                <w:color w:val="000000"/>
                <w:szCs w:val="21"/>
              </w:rPr>
            </w:pPr>
          </w:p>
        </w:tc>
        <w:tc>
          <w:tcPr>
            <w:tcW w:w="3625" w:type="dxa"/>
            <w:vAlign w:val="center"/>
          </w:tcPr>
          <w:p w14:paraId="7C0E55F8">
            <w:pPr>
              <w:keepNext/>
              <w:spacing w:line="360" w:lineRule="auto"/>
              <w:ind w:left="63" w:right="63"/>
              <w:rPr>
                <w:rFonts w:ascii="宋体" w:hAnsi="宋体" w:eastAsia="宋体" w:cs="宋体"/>
                <w:color w:val="000000"/>
                <w:szCs w:val="21"/>
              </w:rPr>
            </w:pPr>
          </w:p>
        </w:tc>
      </w:tr>
      <w:tr w14:paraId="090914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B56D1BC">
            <w:pPr>
              <w:keepNext/>
              <w:spacing w:line="360" w:lineRule="auto"/>
              <w:ind w:left="63" w:right="63"/>
              <w:rPr>
                <w:rFonts w:ascii="宋体" w:hAnsi="宋体" w:eastAsia="宋体" w:cs="宋体"/>
                <w:color w:val="000000"/>
                <w:szCs w:val="21"/>
              </w:rPr>
            </w:pPr>
          </w:p>
        </w:tc>
        <w:tc>
          <w:tcPr>
            <w:tcW w:w="1209" w:type="dxa"/>
            <w:vAlign w:val="center"/>
          </w:tcPr>
          <w:p w14:paraId="7AC72D81">
            <w:pPr>
              <w:keepNext/>
              <w:spacing w:line="360" w:lineRule="auto"/>
              <w:ind w:left="63" w:right="63"/>
              <w:rPr>
                <w:rFonts w:ascii="宋体" w:hAnsi="宋体" w:eastAsia="宋体" w:cs="宋体"/>
                <w:color w:val="000000"/>
                <w:szCs w:val="21"/>
              </w:rPr>
            </w:pPr>
          </w:p>
        </w:tc>
        <w:tc>
          <w:tcPr>
            <w:tcW w:w="967" w:type="dxa"/>
            <w:vAlign w:val="center"/>
          </w:tcPr>
          <w:p w14:paraId="35FAD5E1">
            <w:pPr>
              <w:keepNext/>
              <w:spacing w:line="360" w:lineRule="auto"/>
              <w:ind w:left="63" w:right="63"/>
              <w:rPr>
                <w:rFonts w:ascii="宋体" w:hAnsi="宋体" w:eastAsia="宋体" w:cs="宋体"/>
                <w:color w:val="000000"/>
                <w:szCs w:val="21"/>
              </w:rPr>
            </w:pPr>
          </w:p>
        </w:tc>
        <w:tc>
          <w:tcPr>
            <w:tcW w:w="967" w:type="dxa"/>
            <w:vAlign w:val="center"/>
          </w:tcPr>
          <w:p w14:paraId="2EFBE0FE">
            <w:pPr>
              <w:keepNext/>
              <w:spacing w:line="360" w:lineRule="auto"/>
              <w:ind w:left="63" w:right="63"/>
              <w:rPr>
                <w:rFonts w:ascii="宋体" w:hAnsi="宋体" w:eastAsia="宋体" w:cs="宋体"/>
                <w:color w:val="000000"/>
                <w:szCs w:val="21"/>
              </w:rPr>
            </w:pPr>
          </w:p>
        </w:tc>
        <w:tc>
          <w:tcPr>
            <w:tcW w:w="3625" w:type="dxa"/>
            <w:vAlign w:val="center"/>
          </w:tcPr>
          <w:p w14:paraId="7BDF5A62">
            <w:pPr>
              <w:keepNext/>
              <w:spacing w:line="360" w:lineRule="auto"/>
              <w:ind w:left="63" w:right="63"/>
              <w:rPr>
                <w:rFonts w:ascii="宋体" w:hAnsi="宋体" w:eastAsia="宋体" w:cs="宋体"/>
                <w:color w:val="000000"/>
                <w:szCs w:val="21"/>
              </w:rPr>
            </w:pPr>
          </w:p>
        </w:tc>
      </w:tr>
      <w:tr w14:paraId="5197C5E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2A54F3BC">
            <w:pPr>
              <w:keepNext/>
              <w:spacing w:line="360" w:lineRule="auto"/>
              <w:ind w:left="63" w:right="63"/>
              <w:rPr>
                <w:rFonts w:ascii="宋体" w:hAnsi="宋体" w:eastAsia="宋体" w:cs="宋体"/>
                <w:color w:val="000000"/>
                <w:szCs w:val="21"/>
              </w:rPr>
            </w:pPr>
          </w:p>
        </w:tc>
        <w:tc>
          <w:tcPr>
            <w:tcW w:w="1209" w:type="dxa"/>
            <w:vAlign w:val="center"/>
          </w:tcPr>
          <w:p w14:paraId="799C7B2D">
            <w:pPr>
              <w:keepNext/>
              <w:spacing w:line="360" w:lineRule="auto"/>
              <w:ind w:left="63" w:right="63"/>
              <w:rPr>
                <w:rFonts w:ascii="宋体" w:hAnsi="宋体" w:eastAsia="宋体" w:cs="宋体"/>
                <w:color w:val="000000"/>
                <w:szCs w:val="21"/>
              </w:rPr>
            </w:pPr>
          </w:p>
        </w:tc>
        <w:tc>
          <w:tcPr>
            <w:tcW w:w="967" w:type="dxa"/>
            <w:vAlign w:val="center"/>
          </w:tcPr>
          <w:p w14:paraId="4DCEC7B8">
            <w:pPr>
              <w:keepNext/>
              <w:spacing w:line="360" w:lineRule="auto"/>
              <w:ind w:left="63" w:right="63"/>
              <w:rPr>
                <w:rFonts w:ascii="宋体" w:hAnsi="宋体" w:eastAsia="宋体" w:cs="宋体"/>
                <w:color w:val="000000"/>
                <w:szCs w:val="21"/>
              </w:rPr>
            </w:pPr>
          </w:p>
        </w:tc>
        <w:tc>
          <w:tcPr>
            <w:tcW w:w="967" w:type="dxa"/>
            <w:vAlign w:val="center"/>
          </w:tcPr>
          <w:p w14:paraId="44CB492A">
            <w:pPr>
              <w:keepNext/>
              <w:spacing w:line="360" w:lineRule="auto"/>
              <w:ind w:left="63" w:right="63"/>
              <w:rPr>
                <w:rFonts w:ascii="宋体" w:hAnsi="宋体" w:eastAsia="宋体" w:cs="宋体"/>
                <w:color w:val="000000"/>
                <w:szCs w:val="21"/>
              </w:rPr>
            </w:pPr>
          </w:p>
        </w:tc>
        <w:tc>
          <w:tcPr>
            <w:tcW w:w="3625" w:type="dxa"/>
            <w:vAlign w:val="center"/>
          </w:tcPr>
          <w:p w14:paraId="4D3AB751">
            <w:pPr>
              <w:keepNext/>
              <w:spacing w:line="360" w:lineRule="auto"/>
              <w:ind w:left="63" w:right="63"/>
              <w:rPr>
                <w:rFonts w:ascii="宋体" w:hAnsi="宋体" w:eastAsia="宋体" w:cs="宋体"/>
                <w:color w:val="000000"/>
                <w:szCs w:val="21"/>
              </w:rPr>
            </w:pPr>
          </w:p>
        </w:tc>
      </w:tr>
      <w:tr w14:paraId="0F81AE9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1CDB6E2A">
            <w:pPr>
              <w:keepNext/>
              <w:spacing w:line="360" w:lineRule="auto"/>
              <w:ind w:left="63" w:right="63"/>
              <w:rPr>
                <w:rFonts w:ascii="宋体" w:hAnsi="宋体" w:eastAsia="宋体" w:cs="宋体"/>
                <w:color w:val="000000"/>
                <w:szCs w:val="21"/>
              </w:rPr>
            </w:pPr>
          </w:p>
        </w:tc>
        <w:tc>
          <w:tcPr>
            <w:tcW w:w="1209" w:type="dxa"/>
            <w:vAlign w:val="center"/>
          </w:tcPr>
          <w:p w14:paraId="3496EEF7">
            <w:pPr>
              <w:keepNext/>
              <w:spacing w:line="360" w:lineRule="auto"/>
              <w:ind w:left="63" w:right="63"/>
              <w:rPr>
                <w:rFonts w:ascii="宋体" w:hAnsi="宋体" w:eastAsia="宋体" w:cs="宋体"/>
                <w:color w:val="000000"/>
                <w:szCs w:val="21"/>
              </w:rPr>
            </w:pPr>
          </w:p>
        </w:tc>
        <w:tc>
          <w:tcPr>
            <w:tcW w:w="967" w:type="dxa"/>
            <w:vAlign w:val="center"/>
          </w:tcPr>
          <w:p w14:paraId="51F60025">
            <w:pPr>
              <w:keepNext/>
              <w:spacing w:line="360" w:lineRule="auto"/>
              <w:ind w:left="63" w:right="63"/>
              <w:rPr>
                <w:rFonts w:ascii="宋体" w:hAnsi="宋体" w:eastAsia="宋体" w:cs="宋体"/>
                <w:color w:val="000000"/>
                <w:szCs w:val="21"/>
              </w:rPr>
            </w:pPr>
          </w:p>
        </w:tc>
        <w:tc>
          <w:tcPr>
            <w:tcW w:w="967" w:type="dxa"/>
            <w:vAlign w:val="center"/>
          </w:tcPr>
          <w:p w14:paraId="3235A403">
            <w:pPr>
              <w:keepNext/>
              <w:spacing w:line="360" w:lineRule="auto"/>
              <w:ind w:left="63" w:right="63"/>
              <w:rPr>
                <w:rFonts w:ascii="宋体" w:hAnsi="宋体" w:eastAsia="宋体" w:cs="宋体"/>
                <w:color w:val="000000"/>
                <w:szCs w:val="21"/>
              </w:rPr>
            </w:pPr>
          </w:p>
        </w:tc>
        <w:tc>
          <w:tcPr>
            <w:tcW w:w="3625" w:type="dxa"/>
            <w:vAlign w:val="center"/>
          </w:tcPr>
          <w:p w14:paraId="23BC6362">
            <w:pPr>
              <w:keepNext/>
              <w:spacing w:line="360" w:lineRule="auto"/>
              <w:ind w:left="63" w:right="63"/>
              <w:rPr>
                <w:rFonts w:ascii="宋体" w:hAnsi="宋体" w:eastAsia="宋体" w:cs="宋体"/>
                <w:color w:val="000000"/>
                <w:szCs w:val="21"/>
              </w:rPr>
            </w:pPr>
          </w:p>
        </w:tc>
      </w:tr>
      <w:tr w14:paraId="3C2A55DA">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00C5F206">
            <w:pPr>
              <w:keepNext/>
              <w:spacing w:line="360" w:lineRule="auto"/>
              <w:ind w:left="63" w:right="63"/>
              <w:rPr>
                <w:rFonts w:ascii="宋体" w:hAnsi="宋体" w:eastAsia="宋体" w:cs="宋体"/>
                <w:color w:val="000000"/>
                <w:szCs w:val="21"/>
              </w:rPr>
            </w:pPr>
          </w:p>
        </w:tc>
        <w:tc>
          <w:tcPr>
            <w:tcW w:w="1209" w:type="dxa"/>
            <w:vAlign w:val="center"/>
          </w:tcPr>
          <w:p w14:paraId="6EA9FFD0">
            <w:pPr>
              <w:keepNext/>
              <w:spacing w:line="360" w:lineRule="auto"/>
              <w:ind w:left="63" w:right="63"/>
              <w:rPr>
                <w:rFonts w:ascii="宋体" w:hAnsi="宋体" w:eastAsia="宋体" w:cs="宋体"/>
                <w:color w:val="000000"/>
                <w:szCs w:val="21"/>
              </w:rPr>
            </w:pPr>
          </w:p>
        </w:tc>
        <w:tc>
          <w:tcPr>
            <w:tcW w:w="967" w:type="dxa"/>
            <w:vAlign w:val="center"/>
          </w:tcPr>
          <w:p w14:paraId="43CEF76D">
            <w:pPr>
              <w:keepNext/>
              <w:spacing w:line="360" w:lineRule="auto"/>
              <w:ind w:left="63" w:right="63"/>
              <w:rPr>
                <w:rFonts w:ascii="宋体" w:hAnsi="宋体" w:eastAsia="宋体" w:cs="宋体"/>
                <w:color w:val="000000"/>
                <w:szCs w:val="21"/>
              </w:rPr>
            </w:pPr>
          </w:p>
        </w:tc>
        <w:tc>
          <w:tcPr>
            <w:tcW w:w="967" w:type="dxa"/>
            <w:vAlign w:val="center"/>
          </w:tcPr>
          <w:p w14:paraId="6FDFA461">
            <w:pPr>
              <w:keepNext/>
              <w:spacing w:line="360" w:lineRule="auto"/>
              <w:ind w:left="63" w:right="63"/>
              <w:rPr>
                <w:rFonts w:ascii="宋体" w:hAnsi="宋体" w:eastAsia="宋体" w:cs="宋体"/>
                <w:color w:val="000000"/>
                <w:szCs w:val="21"/>
              </w:rPr>
            </w:pPr>
          </w:p>
        </w:tc>
        <w:tc>
          <w:tcPr>
            <w:tcW w:w="3625" w:type="dxa"/>
            <w:vAlign w:val="center"/>
          </w:tcPr>
          <w:p w14:paraId="10FDA98C">
            <w:pPr>
              <w:keepNext/>
              <w:spacing w:line="360" w:lineRule="auto"/>
              <w:ind w:left="63" w:right="63"/>
              <w:rPr>
                <w:rFonts w:ascii="宋体" w:hAnsi="宋体" w:eastAsia="宋体" w:cs="宋体"/>
                <w:color w:val="000000"/>
                <w:szCs w:val="21"/>
              </w:rPr>
            </w:pPr>
          </w:p>
        </w:tc>
      </w:tr>
      <w:tr w14:paraId="62552BC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1595" w:type="dxa"/>
            <w:vMerge w:val="continue"/>
            <w:vAlign w:val="center"/>
          </w:tcPr>
          <w:p w14:paraId="473A5380">
            <w:pPr>
              <w:keepNext/>
              <w:spacing w:line="360" w:lineRule="auto"/>
              <w:ind w:left="63" w:right="63"/>
              <w:rPr>
                <w:rFonts w:ascii="宋体" w:hAnsi="宋体" w:eastAsia="宋体" w:cs="宋体"/>
                <w:color w:val="000000"/>
                <w:szCs w:val="21"/>
              </w:rPr>
            </w:pPr>
          </w:p>
        </w:tc>
        <w:tc>
          <w:tcPr>
            <w:tcW w:w="1209" w:type="dxa"/>
            <w:vAlign w:val="center"/>
          </w:tcPr>
          <w:p w14:paraId="040010D0">
            <w:pPr>
              <w:keepNext/>
              <w:spacing w:line="360" w:lineRule="auto"/>
              <w:ind w:left="63" w:right="63"/>
              <w:rPr>
                <w:rFonts w:ascii="宋体" w:hAnsi="宋体" w:eastAsia="宋体" w:cs="宋体"/>
                <w:color w:val="000000"/>
                <w:szCs w:val="21"/>
              </w:rPr>
            </w:pPr>
          </w:p>
        </w:tc>
        <w:tc>
          <w:tcPr>
            <w:tcW w:w="967" w:type="dxa"/>
            <w:vAlign w:val="center"/>
          </w:tcPr>
          <w:p w14:paraId="006BD04B">
            <w:pPr>
              <w:keepNext/>
              <w:spacing w:line="360" w:lineRule="auto"/>
              <w:ind w:left="63" w:right="63"/>
              <w:rPr>
                <w:rFonts w:ascii="宋体" w:hAnsi="宋体" w:eastAsia="宋体" w:cs="宋体"/>
                <w:color w:val="000000"/>
                <w:szCs w:val="21"/>
              </w:rPr>
            </w:pPr>
          </w:p>
        </w:tc>
        <w:tc>
          <w:tcPr>
            <w:tcW w:w="967" w:type="dxa"/>
            <w:vAlign w:val="center"/>
          </w:tcPr>
          <w:p w14:paraId="2BA48C5F">
            <w:pPr>
              <w:keepNext/>
              <w:spacing w:line="360" w:lineRule="auto"/>
              <w:ind w:left="63" w:right="63"/>
              <w:rPr>
                <w:rFonts w:ascii="宋体" w:hAnsi="宋体" w:eastAsia="宋体" w:cs="宋体"/>
                <w:color w:val="000000"/>
                <w:szCs w:val="21"/>
              </w:rPr>
            </w:pPr>
          </w:p>
        </w:tc>
        <w:tc>
          <w:tcPr>
            <w:tcW w:w="3625" w:type="dxa"/>
            <w:vAlign w:val="center"/>
          </w:tcPr>
          <w:p w14:paraId="01A9B146">
            <w:pPr>
              <w:keepNext/>
              <w:spacing w:line="360" w:lineRule="auto"/>
              <w:ind w:left="63" w:right="63"/>
              <w:rPr>
                <w:rFonts w:ascii="宋体" w:hAnsi="宋体" w:eastAsia="宋体" w:cs="宋体"/>
                <w:color w:val="000000"/>
                <w:szCs w:val="21"/>
              </w:rPr>
            </w:pPr>
          </w:p>
        </w:tc>
      </w:tr>
    </w:tbl>
    <w:p w14:paraId="423774E8">
      <w:pPr>
        <w:spacing w:line="360" w:lineRule="auto"/>
        <w:rPr>
          <w:rFonts w:ascii="宋体" w:hAnsi="宋体" w:eastAsia="宋体" w:cs="宋体"/>
          <w:color w:val="000000"/>
          <w:szCs w:val="21"/>
        </w:rPr>
      </w:pPr>
      <w:bookmarkStart w:id="1784" w:name="_Toc267261701"/>
    </w:p>
    <w:p w14:paraId="69357CCF">
      <w:pPr>
        <w:spacing w:line="360" w:lineRule="auto"/>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85" w:name="_Toc296891059"/>
      <w:bookmarkStart w:id="1786" w:name="_Toc296346732"/>
      <w:bookmarkStart w:id="1787" w:name="_Toc296944570"/>
      <w:bookmarkStart w:id="1788" w:name="_Toc296891271"/>
      <w:bookmarkStart w:id="1789" w:name="_Toc296503231"/>
      <w:bookmarkStart w:id="1790" w:name="_Toc296347230"/>
      <w:r>
        <w:rPr>
          <w:rFonts w:hint="eastAsia" w:ascii="宋体" w:hAnsi="宋体" w:eastAsia="宋体" w:cs="宋体"/>
          <w:color w:val="000000"/>
          <w:szCs w:val="21"/>
        </w:rPr>
        <w:t>件8：</w:t>
      </w:r>
    </w:p>
    <w:bookmarkEnd w:id="1784"/>
    <w:bookmarkEnd w:id="1785"/>
    <w:bookmarkEnd w:id="1786"/>
    <w:bookmarkEnd w:id="1787"/>
    <w:bookmarkEnd w:id="1788"/>
    <w:bookmarkEnd w:id="1789"/>
    <w:bookmarkEnd w:id="1790"/>
    <w:p w14:paraId="44E93029">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履约担保</w:t>
      </w:r>
    </w:p>
    <w:p w14:paraId="29DCB88E">
      <w:pPr>
        <w:spacing w:line="360" w:lineRule="auto"/>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rPr>
        <w:t>（发包人名称）：</w:t>
      </w:r>
    </w:p>
    <w:p w14:paraId="0518A1A4">
      <w:pPr>
        <w:spacing w:line="360" w:lineRule="auto"/>
        <w:rPr>
          <w:rFonts w:ascii="宋体" w:hAnsi="宋体" w:eastAsia="宋体" w:cs="宋体"/>
          <w:color w:val="000000"/>
          <w:szCs w:val="21"/>
        </w:rPr>
      </w:pPr>
    </w:p>
    <w:p w14:paraId="69EEBEC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鉴于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（发包人名称，以下简称“发包人”）与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（承包人名称）（以下称“承包人”）于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日就</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（工程名称）施工及有关事项协商一致共同签订《建设工程施工合同》。我方愿意无条件地、不可撤销地就承包人履行与你方签订的合同，向你方提供连带责任担保。 </w:t>
      </w:r>
    </w:p>
    <w:p w14:paraId="1375F1F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担保金额人民币（大写）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5162C2E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担保有效期自你方与承包人签订的合同生效之日起至你方签发或应签发工程接收证书之日止。</w:t>
      </w:r>
    </w:p>
    <w:p w14:paraId="3F5D926B">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在本担保有效期内，因承包人违反合同约定的义务给你方造成经济损失时，我方在收到你方以书面形式提出的在担保金额内的赔偿要求后，在7天内无条件支付。</w:t>
      </w:r>
    </w:p>
    <w:p w14:paraId="3C5B571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 你方和承包人按合同约定变更合同时，我方承担本担保规定的义务不变。</w:t>
      </w:r>
    </w:p>
    <w:p w14:paraId="5C95E2F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 因本保函发生的纠纷，可由双方协商解决，协商不成的，任何一方均可提请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仲裁委员会仲裁。</w:t>
      </w:r>
    </w:p>
    <w:p w14:paraId="41EE254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 本保函自我方法定代表人（或其授权代理人）签字并加盖公章之日起生效。</w:t>
      </w:r>
    </w:p>
    <w:p w14:paraId="204586D8">
      <w:pPr>
        <w:spacing w:line="360" w:lineRule="auto"/>
        <w:rPr>
          <w:rFonts w:ascii="宋体" w:hAnsi="宋体" w:eastAsia="宋体" w:cs="宋体"/>
          <w:color w:val="000000"/>
          <w:szCs w:val="21"/>
        </w:rPr>
      </w:pPr>
    </w:p>
    <w:p w14:paraId="7A0DE787">
      <w:pPr>
        <w:spacing w:line="360" w:lineRule="auto"/>
        <w:rPr>
          <w:rFonts w:ascii="宋体" w:hAnsi="宋体" w:eastAsia="宋体" w:cs="宋体"/>
          <w:color w:val="000000"/>
          <w:szCs w:val="21"/>
        </w:rPr>
      </w:pPr>
      <w:r>
        <w:rPr>
          <w:rFonts w:hint="eastAsia" w:ascii="宋体" w:hAnsi="宋体" w:eastAsia="宋体" w:cs="宋体"/>
          <w:color w:val="000000"/>
          <w:szCs w:val="21"/>
        </w:rPr>
        <w:t>担 保 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（盖单位章）</w:t>
      </w:r>
    </w:p>
    <w:p w14:paraId="0F8E7D12">
      <w:pPr>
        <w:spacing w:line="360" w:lineRule="auto"/>
        <w:rPr>
          <w:rFonts w:ascii="宋体" w:hAnsi="宋体" w:eastAsia="宋体" w:cs="宋体"/>
          <w:color w:val="000000"/>
          <w:szCs w:val="21"/>
        </w:rPr>
      </w:pPr>
      <w:r>
        <w:rPr>
          <w:rFonts w:hint="eastAsia" w:ascii="宋体" w:hAnsi="宋体" w:eastAsia="宋体" w:cs="宋体"/>
          <w:color w:val="000000"/>
          <w:szCs w:val="21"/>
        </w:rPr>
        <w:t>法定代表人或其委托代理人：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（签字）</w:t>
      </w:r>
    </w:p>
    <w:p w14:paraId="12FB7B41">
      <w:pPr>
        <w:spacing w:line="360" w:lineRule="auto"/>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 xml:space="preserve">                                       </w:t>
      </w:r>
    </w:p>
    <w:p w14:paraId="2F6560F2">
      <w:pPr>
        <w:spacing w:line="360" w:lineRule="auto"/>
        <w:rPr>
          <w:rFonts w:ascii="宋体" w:hAnsi="宋体" w:eastAsia="宋体" w:cs="宋体"/>
          <w:color w:val="000000"/>
          <w:szCs w:val="21"/>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 xml:space="preserve">                                       </w:t>
      </w:r>
    </w:p>
    <w:p w14:paraId="557618FF">
      <w:pPr>
        <w:spacing w:line="360" w:lineRule="auto"/>
        <w:rPr>
          <w:rFonts w:ascii="宋体" w:hAnsi="宋体" w:eastAsia="宋体" w:cs="宋体"/>
          <w:color w:val="000000"/>
          <w:szCs w:val="21"/>
          <w:u w:val="single"/>
        </w:rPr>
      </w:pPr>
      <w:r>
        <w:rPr>
          <w:rFonts w:hint="eastAsia" w:ascii="宋体" w:hAnsi="宋体" w:eastAsia="宋体" w:cs="宋体"/>
          <w:color w:val="000000"/>
          <w:szCs w:val="21"/>
        </w:rPr>
        <w:t>电    话：</w:t>
      </w:r>
      <w:r>
        <w:rPr>
          <w:rFonts w:hint="eastAsia" w:ascii="宋体" w:hAnsi="宋体" w:eastAsia="宋体" w:cs="宋体"/>
          <w:color w:val="000000"/>
          <w:szCs w:val="21"/>
          <w:u w:val="single"/>
        </w:rPr>
        <w:t xml:space="preserve">                                       </w:t>
      </w:r>
    </w:p>
    <w:p w14:paraId="565FA229">
      <w:pPr>
        <w:spacing w:line="360" w:lineRule="auto"/>
        <w:rPr>
          <w:rFonts w:ascii="宋体" w:hAnsi="宋体" w:eastAsia="宋体" w:cs="宋体"/>
          <w:color w:val="000000"/>
          <w:szCs w:val="21"/>
        </w:rPr>
      </w:pPr>
      <w:r>
        <w:rPr>
          <w:rFonts w:hint="eastAsia" w:ascii="宋体" w:hAnsi="宋体" w:eastAsia="宋体" w:cs="宋体"/>
          <w:color w:val="000000"/>
          <w:szCs w:val="21"/>
        </w:rPr>
        <w:t>传    真：</w:t>
      </w:r>
      <w:r>
        <w:rPr>
          <w:rFonts w:hint="eastAsia" w:ascii="宋体" w:hAnsi="宋体" w:eastAsia="宋体" w:cs="宋体"/>
          <w:color w:val="000000"/>
          <w:szCs w:val="21"/>
          <w:u w:val="single"/>
        </w:rPr>
        <w:t xml:space="preserve">                                       </w:t>
      </w:r>
    </w:p>
    <w:p w14:paraId="693DD4B2">
      <w:pPr>
        <w:spacing w:line="360" w:lineRule="auto"/>
        <w:rPr>
          <w:rFonts w:ascii="宋体" w:hAnsi="宋体" w:eastAsia="宋体" w:cs="宋体"/>
          <w:color w:val="000000"/>
          <w:szCs w:val="21"/>
          <w:u w:val="single"/>
        </w:rPr>
      </w:pPr>
    </w:p>
    <w:p w14:paraId="397722D7">
      <w:pPr>
        <w:spacing w:line="360" w:lineRule="auto"/>
        <w:ind w:left="1329" w:hanging="1329" w:hangingChars="633"/>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14:paraId="091567B8">
      <w:pPr>
        <w:spacing w:line="360" w:lineRule="auto"/>
        <w:ind w:left="1329" w:hanging="1329" w:hangingChars="633"/>
        <w:rPr>
          <w:rFonts w:ascii="宋体" w:hAnsi="宋体" w:eastAsia="宋体" w:cs="宋体"/>
          <w:color w:val="000000"/>
          <w:szCs w:val="21"/>
        </w:rPr>
      </w:pPr>
    </w:p>
    <w:p w14:paraId="4203C7D9">
      <w:pPr>
        <w:spacing w:line="360" w:lineRule="auto"/>
        <w:ind w:left="1329" w:hanging="1329" w:hangingChars="633"/>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w:t>
      </w:r>
      <w:bookmarkStart w:id="1791" w:name="_Toc267261702"/>
      <w:bookmarkStart w:id="1792" w:name="_Toc296346733"/>
      <w:bookmarkStart w:id="1793" w:name="_Toc296891272"/>
      <w:bookmarkStart w:id="1794" w:name="_Toc296944571"/>
      <w:bookmarkStart w:id="1795" w:name="_Toc296503232"/>
      <w:bookmarkStart w:id="1796" w:name="_Toc296347231"/>
      <w:bookmarkStart w:id="1797" w:name="_Toc296891060"/>
      <w:r>
        <w:rPr>
          <w:rFonts w:hint="eastAsia" w:ascii="宋体" w:hAnsi="宋体" w:eastAsia="宋体" w:cs="宋体"/>
          <w:color w:val="000000"/>
          <w:szCs w:val="21"/>
        </w:rPr>
        <w:t>件9 ：</w:t>
      </w:r>
    </w:p>
    <w:bookmarkEnd w:id="1791"/>
    <w:bookmarkEnd w:id="1792"/>
    <w:bookmarkEnd w:id="1793"/>
    <w:bookmarkEnd w:id="1794"/>
    <w:bookmarkEnd w:id="1795"/>
    <w:bookmarkEnd w:id="1796"/>
    <w:bookmarkEnd w:id="1797"/>
    <w:p w14:paraId="6A927BEC">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预付款担保</w:t>
      </w:r>
    </w:p>
    <w:p w14:paraId="67E4DC9C">
      <w:pPr>
        <w:spacing w:line="360" w:lineRule="auto"/>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 xml:space="preserve"> （发包人名称）：</w:t>
      </w:r>
    </w:p>
    <w:p w14:paraId="3ED685D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根据</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（承包人名称）（以下称“承包人”）与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（发包人名称）（以下简称“发包人”）于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日签订的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（工程名称）《建设工程施工合同》，承包人按约定的金额向你方提交一份预付款担保，即有权得到你方支付相等金额的预付款。我方愿意就你方提供给承包人的预付款为承包人提供连带责任担保。</w:t>
      </w:r>
    </w:p>
    <w:p w14:paraId="38A84AF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担保金额人民币（大写）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元（¥</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5CC6C7A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担保有效期自预付款支付给承包人起生效，至你方签发的进度款支付证书说明已完全扣清止。</w:t>
      </w:r>
    </w:p>
    <w:p w14:paraId="0D7B5E80">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在本保函有效期内，因承包人违反合同约定的义务而要求收回预付款时，我方在收到你方的书面通知后，在７天内无条件支付。但本保函的担保金额，在任何时候不应超过预付款金额减去你方按合同约定在向承包人签发的进度款支付证书中扣除的金额。</w:t>
      </w:r>
    </w:p>
    <w:p w14:paraId="6EDB044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 你方和承包人按合同约定变更合同时，我方承担本保函规定的义务不变。</w:t>
      </w:r>
    </w:p>
    <w:p w14:paraId="7894098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 因本保函发生的纠纷，可由双方协商解决，协商不成的，任何一方均可提请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仲裁委员会仲裁。</w:t>
      </w:r>
    </w:p>
    <w:p w14:paraId="59AB9D0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6. 本保函自我方法定代表人（或其授权代理人）签字并加盖公章之日起生效。</w:t>
      </w:r>
    </w:p>
    <w:p w14:paraId="36F96B00">
      <w:pPr>
        <w:spacing w:line="360" w:lineRule="auto"/>
        <w:rPr>
          <w:rFonts w:ascii="宋体" w:hAnsi="宋体" w:eastAsia="宋体" w:cs="宋体"/>
          <w:color w:val="000000"/>
          <w:szCs w:val="21"/>
        </w:rPr>
      </w:pPr>
    </w:p>
    <w:p w14:paraId="0EF59948">
      <w:pPr>
        <w:spacing w:line="360" w:lineRule="auto"/>
        <w:rPr>
          <w:rFonts w:ascii="宋体" w:hAnsi="宋体" w:eastAsia="宋体" w:cs="宋体"/>
          <w:color w:val="000000"/>
          <w:szCs w:val="21"/>
        </w:rPr>
      </w:pPr>
      <w:r>
        <w:rPr>
          <w:rFonts w:hint="eastAsia" w:ascii="宋体" w:hAnsi="宋体" w:eastAsia="宋体" w:cs="宋体"/>
          <w:color w:val="000000"/>
          <w:szCs w:val="21"/>
        </w:rPr>
        <w:t>担保人：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（盖单位章）</w:t>
      </w:r>
    </w:p>
    <w:p w14:paraId="1F863570">
      <w:pPr>
        <w:spacing w:line="360" w:lineRule="auto"/>
        <w:rPr>
          <w:rFonts w:ascii="宋体" w:hAnsi="宋体" w:eastAsia="宋体" w:cs="宋体"/>
          <w:color w:val="000000"/>
          <w:szCs w:val="21"/>
        </w:rPr>
      </w:pPr>
      <w:r>
        <w:rPr>
          <w:rFonts w:hint="eastAsia" w:ascii="宋体" w:hAnsi="宋体" w:eastAsia="宋体" w:cs="宋体"/>
          <w:color w:val="000000"/>
          <w:szCs w:val="21"/>
        </w:rPr>
        <w:t>法定代表人或其委托代理人：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（签字）</w:t>
      </w:r>
    </w:p>
    <w:p w14:paraId="52FB847F">
      <w:pPr>
        <w:spacing w:line="360" w:lineRule="auto"/>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p>
    <w:p w14:paraId="1259B4D7">
      <w:pPr>
        <w:spacing w:line="360" w:lineRule="auto"/>
        <w:rPr>
          <w:rFonts w:ascii="宋体" w:hAnsi="宋体" w:eastAsia="宋体" w:cs="宋体"/>
          <w:color w:val="000000"/>
          <w:szCs w:val="21"/>
          <w:u w:val="single"/>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p>
    <w:p w14:paraId="3E6E28BF">
      <w:pPr>
        <w:spacing w:line="360" w:lineRule="auto"/>
        <w:rPr>
          <w:rFonts w:ascii="宋体" w:hAnsi="宋体" w:eastAsia="宋体" w:cs="宋体"/>
          <w:color w:val="000000"/>
          <w:szCs w:val="21"/>
          <w:u w:val="single"/>
        </w:rPr>
      </w:pPr>
      <w:r>
        <w:rPr>
          <w:rFonts w:hint="eastAsia" w:ascii="宋体" w:hAnsi="宋体" w:eastAsia="宋体" w:cs="宋体"/>
          <w:color w:val="000000"/>
          <w:szCs w:val="21"/>
        </w:rPr>
        <w:t>电    话：</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p>
    <w:p w14:paraId="1DD9D173">
      <w:pPr>
        <w:spacing w:line="360" w:lineRule="auto"/>
        <w:rPr>
          <w:rFonts w:ascii="宋体" w:hAnsi="宋体" w:eastAsia="宋体" w:cs="宋体"/>
          <w:color w:val="000000"/>
          <w:szCs w:val="21"/>
          <w:u w:val="single"/>
        </w:rPr>
      </w:pPr>
      <w:r>
        <w:rPr>
          <w:rFonts w:hint="eastAsia" w:ascii="宋体" w:hAnsi="宋体" w:eastAsia="宋体" w:cs="宋体"/>
          <w:color w:val="000000"/>
          <w:szCs w:val="21"/>
        </w:rPr>
        <w:t>传    真：</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 xml:space="preserve">                   </w:t>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r>
        <w:rPr>
          <w:rFonts w:hint="eastAsia" w:ascii="宋体" w:hAnsi="宋体" w:eastAsia="宋体" w:cs="宋体"/>
          <w:color w:val="000000"/>
          <w:szCs w:val="21"/>
          <w:u w:val="single"/>
        </w:rPr>
        <w:tab/>
      </w:r>
    </w:p>
    <w:p w14:paraId="4B7DDEAA">
      <w:pPr>
        <w:spacing w:line="360" w:lineRule="auto"/>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14:paraId="6C7EEE9A">
      <w:pPr>
        <w:spacing w:line="360" w:lineRule="auto"/>
        <w:rPr>
          <w:rFonts w:ascii="宋体" w:hAnsi="宋体" w:eastAsia="宋体" w:cs="宋体"/>
          <w:color w:val="000000"/>
          <w:szCs w:val="21"/>
        </w:rPr>
      </w:pPr>
    </w:p>
    <w:p w14:paraId="40453246">
      <w:pPr>
        <w:spacing w:line="360" w:lineRule="auto"/>
        <w:rPr>
          <w:rFonts w:ascii="宋体" w:hAnsi="宋体" w:eastAsia="宋体" w:cs="宋体"/>
          <w:color w:val="000000"/>
          <w:szCs w:val="21"/>
        </w:rPr>
      </w:pPr>
      <w:r>
        <w:rPr>
          <w:rFonts w:hint="eastAsia" w:ascii="宋体" w:hAnsi="宋体" w:eastAsia="宋体" w:cs="宋体"/>
          <w:b/>
          <w:color w:val="000000"/>
          <w:szCs w:val="21"/>
        </w:rPr>
        <w:br w:type="page"/>
      </w:r>
      <w:r>
        <w:rPr>
          <w:rFonts w:hint="eastAsia" w:ascii="宋体" w:hAnsi="宋体" w:eastAsia="宋体" w:cs="宋体"/>
          <w:color w:val="000000"/>
          <w:szCs w:val="21"/>
        </w:rPr>
        <w:t>附</w:t>
      </w:r>
      <w:bookmarkStart w:id="1798" w:name="_Toc296346734"/>
      <w:bookmarkStart w:id="1799" w:name="_Toc296347232"/>
      <w:bookmarkStart w:id="1800" w:name="_Toc296503233"/>
      <w:bookmarkStart w:id="1801" w:name="_Toc296891273"/>
      <w:bookmarkStart w:id="1802" w:name="_Toc296944572"/>
      <w:bookmarkStart w:id="1803" w:name="_Toc296891061"/>
      <w:r>
        <w:rPr>
          <w:rFonts w:hint="eastAsia" w:ascii="宋体" w:hAnsi="宋体" w:eastAsia="宋体" w:cs="宋体"/>
          <w:color w:val="000000"/>
          <w:szCs w:val="21"/>
        </w:rPr>
        <w:t xml:space="preserve">件10:  </w:t>
      </w:r>
    </w:p>
    <w:bookmarkEnd w:id="1798"/>
    <w:bookmarkEnd w:id="1799"/>
    <w:bookmarkEnd w:id="1800"/>
    <w:bookmarkEnd w:id="1801"/>
    <w:bookmarkEnd w:id="1802"/>
    <w:bookmarkEnd w:id="1803"/>
    <w:p w14:paraId="1A3CFB6C">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支付担保</w:t>
      </w:r>
    </w:p>
    <w:p w14:paraId="2BFB0E68">
      <w:pPr>
        <w:spacing w:line="360" w:lineRule="auto"/>
        <w:rPr>
          <w:rFonts w:ascii="宋体" w:hAnsi="宋体" w:eastAsia="宋体" w:cs="宋体"/>
          <w:color w:val="000000"/>
          <w:szCs w:val="21"/>
        </w:rPr>
      </w:pP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（承包人）：</w:t>
      </w:r>
    </w:p>
    <w:p w14:paraId="3AB288E3">
      <w:pPr>
        <w:spacing w:line="360" w:lineRule="auto"/>
        <w:rPr>
          <w:rFonts w:ascii="宋体" w:hAnsi="宋体" w:eastAsia="宋体" w:cs="宋体"/>
          <w:color w:val="000000"/>
          <w:szCs w:val="21"/>
        </w:rPr>
      </w:pPr>
    </w:p>
    <w:p w14:paraId="52D9E68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鉴于你方作为承包人已经与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（发包人名称）（以下称“发包人”）于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日签订了</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（工程名称）《建设工程施工合同》（以下称“主合同”），应发包人的申请，我方愿就发包人履行主合同约定的工程款支付义务以保证的方式向你方提供如下担保：</w:t>
      </w:r>
    </w:p>
    <w:p w14:paraId="0091162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一、保证的范围及保证金额</w:t>
      </w:r>
    </w:p>
    <w:p w14:paraId="1412F67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我方的保证范围是主合同约定的工程款。</w:t>
      </w:r>
    </w:p>
    <w:p w14:paraId="7495EAF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本保函所称主合同约定的工程款是指主合同约定的除工程质量保证金以外的合同价款。</w:t>
      </w:r>
    </w:p>
    <w:p w14:paraId="0CCD250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我方保证的金额是主合同约定的工程款的</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%，数额最高不超过人民币元（大写：</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w:t>
      </w:r>
    </w:p>
    <w:p w14:paraId="101D7E2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二、保证的方式及保证期间</w:t>
      </w:r>
    </w:p>
    <w:p w14:paraId="27A666A0">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我方保证的方式为：连带责任保证。</w:t>
      </w:r>
    </w:p>
    <w:p w14:paraId="69EB19FE">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我方保证的期间为：自本合同生效之日起至主合同约定的工程款支付完毕之日</w:t>
      </w:r>
    </w:p>
    <w:p w14:paraId="281D4D0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后</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日内。</w:t>
      </w:r>
    </w:p>
    <w:p w14:paraId="72010E9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你方与发包人协议变更工程款支付日期的，经我方书面同意后，保证期间按照变更后的支付日期做相应调整。</w:t>
      </w:r>
    </w:p>
    <w:p w14:paraId="27BD57D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三、承担保证责任的形式</w:t>
      </w:r>
    </w:p>
    <w:p w14:paraId="2422060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我方承担保证责任的形式是代为支付。发包人未按主合同约定向你方支付工程款的，由我方在保证金额内代为支付。</w:t>
      </w:r>
    </w:p>
    <w:p w14:paraId="12C3E9F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四、代偿的安排</w:t>
      </w:r>
    </w:p>
    <w:p w14:paraId="4A653137">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你方要求我方承担保证责任的，应向我方发出书面索赔通知及发包人未支付主合同约定工程款的证明材料。索赔通知应写明要求索赔的金额，支付款项应到达的账号。</w:t>
      </w:r>
    </w:p>
    <w:p w14:paraId="467C4134">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在出现你方与发包人因工程质量发生争议，发包人拒绝向你方支付工程款的情形时，你方要求我方履行保证责任代为支付的，需提供符合相应条件要求的工程质量检测机构出具的质量说明材料。</w:t>
      </w:r>
    </w:p>
    <w:p w14:paraId="41AFED0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我方收到你方的书面索赔通知及相应的证明材料后７天内无条件支付。</w:t>
      </w:r>
    </w:p>
    <w:p w14:paraId="0D103DF8">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五、保证责任的解除</w:t>
      </w:r>
    </w:p>
    <w:p w14:paraId="1293FFA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在本保函承诺的保证期间内，你方未书面向我方主张保证责任的，自保证期间届满次日起，我方保证责任解除。</w:t>
      </w:r>
    </w:p>
    <w:p w14:paraId="43F4FEA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发包人按主合同约定履行了工程款的全部支付义务的，自本保函承诺的保证期间届满次日起，我方保证责任解除。</w:t>
      </w:r>
    </w:p>
    <w:p w14:paraId="3807A425">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我方按照本保函向你方履行保证责任所支付金额达到本保函保证金额时，自我方向你方支付（支付款项从我方账户划出）之日起，保证责任即解除。</w:t>
      </w:r>
    </w:p>
    <w:p w14:paraId="524157B9">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 按照法律法规的规定或出现应解除我方保证责任的其他情形的，我方在本保函项下的保证责任亦解除。</w:t>
      </w:r>
    </w:p>
    <w:p w14:paraId="6670068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5. 我方解除保证责任后，你方应自我方保证责任解除之日起</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个工作日内，将本保函原件返还我方。</w:t>
      </w:r>
    </w:p>
    <w:p w14:paraId="02728D61">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六、免责条款</w:t>
      </w:r>
    </w:p>
    <w:p w14:paraId="16B685E0">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 因你方违约致使发包人不能履行义务的，我方不承担保证责任。</w:t>
      </w:r>
    </w:p>
    <w:p w14:paraId="6AE13B3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 依照法律法规的规定或你方与发包人的另行约定，免除发包人部分或全部义务的，我方亦免除其相应的保证责任。</w:t>
      </w:r>
    </w:p>
    <w:p w14:paraId="3E645A9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3. 你方与发包人协议变更主合同的，如加重发包人责任致使我方保证责任加重的，需征得我方书面同意，否则我方不再承担因此而加重部分的保证责任，但主合同第10条〔变更〕约定的变更不受本款限制。</w:t>
      </w:r>
    </w:p>
    <w:p w14:paraId="4E4E0EE6">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4. 因不可抗力造成发包人不能履行义务的，我方不承担保证责任。</w:t>
      </w:r>
    </w:p>
    <w:p w14:paraId="1BC89BAD">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七、争议解决</w:t>
      </w:r>
    </w:p>
    <w:p w14:paraId="47B17911">
      <w:pPr>
        <w:spacing w:after="120"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因本保函或本保函相关事项发生的纠纷，可由双方协商解决，协商不成的，按下列</w:t>
      </w:r>
    </w:p>
    <w:p w14:paraId="6A02CDD1">
      <w:pPr>
        <w:spacing w:after="120"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第</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种方式解决：</w:t>
      </w:r>
    </w:p>
    <w:p w14:paraId="39B987B2">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（1）向</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仲裁委员会申请仲裁；</w:t>
      </w:r>
    </w:p>
    <w:p w14:paraId="26CE9B1C">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（2）向</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人民法院起诉。</w:t>
      </w:r>
    </w:p>
    <w:p w14:paraId="59BAC67F">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八、保函的生效</w:t>
      </w:r>
    </w:p>
    <w:p w14:paraId="654F687A">
      <w:pPr>
        <w:spacing w:line="360" w:lineRule="auto"/>
        <w:ind w:firstLine="420" w:firstLineChars="200"/>
        <w:rPr>
          <w:rFonts w:ascii="宋体" w:hAnsi="宋体" w:eastAsia="宋体" w:cs="宋体"/>
          <w:color w:val="000000"/>
          <w:szCs w:val="21"/>
        </w:rPr>
      </w:pPr>
      <w:r>
        <w:rPr>
          <w:rFonts w:hint="eastAsia" w:ascii="宋体" w:hAnsi="宋体" w:eastAsia="宋体" w:cs="宋体"/>
          <w:color w:val="000000"/>
          <w:szCs w:val="21"/>
        </w:rPr>
        <w:t>本保函自我方法定代表人（或其授权代理人）签字并加盖公章之日起生效。</w:t>
      </w:r>
    </w:p>
    <w:p w14:paraId="68413CCB">
      <w:pPr>
        <w:spacing w:line="360" w:lineRule="auto"/>
        <w:ind w:right="600"/>
        <w:rPr>
          <w:rFonts w:ascii="宋体" w:hAnsi="宋体" w:eastAsia="宋体" w:cs="宋体"/>
          <w:color w:val="000000"/>
          <w:szCs w:val="21"/>
        </w:rPr>
      </w:pPr>
      <w:r>
        <w:rPr>
          <w:rFonts w:hint="eastAsia" w:ascii="宋体" w:hAnsi="宋体" w:eastAsia="宋体" w:cs="宋体"/>
          <w:color w:val="000000"/>
          <w:szCs w:val="21"/>
        </w:rPr>
        <w:t>担保人：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（盖章）</w:t>
      </w:r>
    </w:p>
    <w:p w14:paraId="2490493C">
      <w:pPr>
        <w:spacing w:line="360" w:lineRule="auto"/>
        <w:ind w:right="1200"/>
        <w:rPr>
          <w:rFonts w:ascii="宋体" w:hAnsi="宋体" w:eastAsia="宋体" w:cs="宋体"/>
          <w:color w:val="000000"/>
          <w:szCs w:val="21"/>
        </w:rPr>
      </w:pPr>
      <w:r>
        <w:rPr>
          <w:rFonts w:hint="eastAsia" w:ascii="宋体" w:hAnsi="宋体" w:eastAsia="宋体" w:cs="宋体"/>
          <w:color w:val="000000"/>
          <w:szCs w:val="21"/>
        </w:rPr>
        <w:t>法定代表人或委托代理人：</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（签字）</w:t>
      </w:r>
    </w:p>
    <w:p w14:paraId="3D83CC24">
      <w:pPr>
        <w:spacing w:line="360" w:lineRule="auto"/>
        <w:rPr>
          <w:rFonts w:ascii="宋体" w:hAnsi="宋体" w:eastAsia="宋体" w:cs="宋体"/>
          <w:color w:val="000000"/>
          <w:szCs w:val="21"/>
        </w:rPr>
      </w:pPr>
      <w:r>
        <w:rPr>
          <w:rFonts w:hint="eastAsia" w:ascii="宋体" w:hAnsi="宋体" w:eastAsia="宋体" w:cs="宋体"/>
          <w:color w:val="000000"/>
          <w:szCs w:val="21"/>
        </w:rPr>
        <w:t>地    址：</w:t>
      </w:r>
      <w:r>
        <w:rPr>
          <w:rFonts w:hint="eastAsia" w:ascii="宋体" w:hAnsi="宋体" w:eastAsia="宋体" w:cs="宋体"/>
          <w:color w:val="000000"/>
          <w:szCs w:val="21"/>
          <w:u w:val="single"/>
        </w:rPr>
        <w:t xml:space="preserve">                                        </w:t>
      </w:r>
    </w:p>
    <w:p w14:paraId="3EAF408C">
      <w:pPr>
        <w:spacing w:line="360" w:lineRule="auto"/>
        <w:rPr>
          <w:rFonts w:ascii="宋体" w:hAnsi="宋体" w:eastAsia="宋体" w:cs="宋体"/>
          <w:color w:val="000000"/>
          <w:szCs w:val="21"/>
        </w:rPr>
      </w:pPr>
      <w:r>
        <w:rPr>
          <w:rFonts w:hint="eastAsia" w:ascii="宋体" w:hAnsi="宋体" w:eastAsia="宋体" w:cs="宋体"/>
          <w:color w:val="000000"/>
          <w:szCs w:val="21"/>
        </w:rPr>
        <w:t>邮政编码：</w:t>
      </w:r>
      <w:r>
        <w:rPr>
          <w:rFonts w:hint="eastAsia" w:ascii="宋体" w:hAnsi="宋体" w:eastAsia="宋体" w:cs="宋体"/>
          <w:color w:val="000000"/>
          <w:szCs w:val="21"/>
          <w:u w:val="single"/>
        </w:rPr>
        <w:t xml:space="preserve">                                        </w:t>
      </w:r>
    </w:p>
    <w:p w14:paraId="0B867255">
      <w:pPr>
        <w:spacing w:line="360" w:lineRule="auto"/>
        <w:rPr>
          <w:rFonts w:ascii="宋体" w:hAnsi="宋体" w:eastAsia="宋体" w:cs="宋体"/>
          <w:color w:val="000000"/>
          <w:szCs w:val="21"/>
        </w:rPr>
      </w:pPr>
      <w:r>
        <w:rPr>
          <w:rFonts w:hint="eastAsia" w:ascii="宋体" w:hAnsi="宋体" w:eastAsia="宋体" w:cs="宋体"/>
          <w:color w:val="000000"/>
          <w:szCs w:val="21"/>
        </w:rPr>
        <w:t>传    真：</w:t>
      </w:r>
      <w:r>
        <w:rPr>
          <w:rFonts w:hint="eastAsia" w:ascii="宋体" w:hAnsi="宋体" w:eastAsia="宋体" w:cs="宋体"/>
          <w:color w:val="000000"/>
          <w:szCs w:val="21"/>
          <w:u w:val="single"/>
        </w:rPr>
        <w:t xml:space="preserve">                                        </w:t>
      </w:r>
    </w:p>
    <w:p w14:paraId="070EA0E3">
      <w:pPr>
        <w:spacing w:line="360" w:lineRule="auto"/>
        <w:ind w:right="150" w:firstLine="420" w:firstLineChars="200"/>
        <w:rPr>
          <w:rFonts w:ascii="宋体" w:hAnsi="宋体" w:eastAsia="宋体" w:cs="宋体"/>
          <w:color w:val="000000"/>
          <w:szCs w:val="21"/>
          <w:u w:val="single"/>
        </w:rPr>
      </w:pPr>
    </w:p>
    <w:p w14:paraId="12A6348B">
      <w:pPr>
        <w:spacing w:line="360" w:lineRule="auto"/>
        <w:ind w:right="150" w:firstLine="420" w:firstLineChars="200"/>
        <w:rPr>
          <w:rFonts w:ascii="宋体" w:hAnsi="宋体" w:eastAsia="宋体" w:cs="宋体"/>
          <w:color w:val="000000"/>
          <w:szCs w:val="21"/>
        </w:rPr>
      </w:pPr>
      <w:r>
        <w:rPr>
          <w:rFonts w:hint="eastAsia" w:ascii="宋体" w:hAnsi="宋体" w:eastAsia="宋体" w:cs="宋体"/>
          <w:color w:val="000000"/>
          <w:szCs w:val="21"/>
        </w:rPr>
        <w:t xml:space="preserve">             </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年</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月</w:t>
      </w:r>
      <w:r>
        <w:rPr>
          <w:rFonts w:hint="eastAsia" w:ascii="宋体" w:hAnsi="宋体" w:eastAsia="宋体" w:cs="宋体"/>
          <w:color w:val="000000"/>
          <w:szCs w:val="21"/>
          <w:u w:val="single"/>
        </w:rPr>
        <w:t xml:space="preserve">      </w:t>
      </w:r>
      <w:r>
        <w:rPr>
          <w:rFonts w:hint="eastAsia" w:ascii="宋体" w:hAnsi="宋体" w:eastAsia="宋体" w:cs="宋体"/>
          <w:color w:val="000000"/>
          <w:szCs w:val="21"/>
        </w:rPr>
        <w:t>日</w:t>
      </w:r>
    </w:p>
    <w:p w14:paraId="2940E2CF">
      <w:pPr>
        <w:spacing w:line="360" w:lineRule="auto"/>
        <w:ind w:right="150" w:firstLine="420" w:firstLineChars="200"/>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附件11：</w:t>
      </w:r>
    </w:p>
    <w:p w14:paraId="17CCF3B8">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11-1：材料暂估价表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7"/>
        <w:gridCol w:w="1830"/>
        <w:gridCol w:w="784"/>
        <w:gridCol w:w="714"/>
        <w:gridCol w:w="1246"/>
        <w:gridCol w:w="1306"/>
        <w:gridCol w:w="1566"/>
      </w:tblGrid>
      <w:tr w14:paraId="048D530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258E4512">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30" w:type="dxa"/>
          </w:tcPr>
          <w:p w14:paraId="0DDBAA8F">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名称</w:t>
            </w:r>
          </w:p>
        </w:tc>
        <w:tc>
          <w:tcPr>
            <w:tcW w:w="784" w:type="dxa"/>
          </w:tcPr>
          <w:p w14:paraId="20A05426">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单位</w:t>
            </w:r>
          </w:p>
        </w:tc>
        <w:tc>
          <w:tcPr>
            <w:tcW w:w="714" w:type="dxa"/>
          </w:tcPr>
          <w:p w14:paraId="7006B6ED">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46" w:type="dxa"/>
          </w:tcPr>
          <w:p w14:paraId="500E2EAD">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306" w:type="dxa"/>
          </w:tcPr>
          <w:p w14:paraId="0D305818">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合价（元）</w:t>
            </w:r>
          </w:p>
        </w:tc>
        <w:tc>
          <w:tcPr>
            <w:tcW w:w="1566" w:type="dxa"/>
          </w:tcPr>
          <w:p w14:paraId="26305C72">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备注</w:t>
            </w:r>
          </w:p>
        </w:tc>
      </w:tr>
      <w:tr w14:paraId="34973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43896B75">
            <w:pPr>
              <w:keepNext/>
              <w:spacing w:line="360" w:lineRule="auto"/>
              <w:ind w:left="63" w:right="63"/>
              <w:rPr>
                <w:rFonts w:ascii="宋体" w:hAnsi="宋体" w:eastAsia="宋体" w:cs="宋体"/>
                <w:color w:val="000000"/>
                <w:szCs w:val="21"/>
              </w:rPr>
            </w:pPr>
          </w:p>
        </w:tc>
        <w:tc>
          <w:tcPr>
            <w:tcW w:w="1830" w:type="dxa"/>
          </w:tcPr>
          <w:p w14:paraId="05C8F6EE">
            <w:pPr>
              <w:keepNext/>
              <w:spacing w:line="360" w:lineRule="auto"/>
              <w:ind w:left="63" w:right="63"/>
              <w:rPr>
                <w:rFonts w:ascii="宋体" w:hAnsi="宋体" w:eastAsia="宋体" w:cs="宋体"/>
                <w:color w:val="000000"/>
                <w:szCs w:val="21"/>
              </w:rPr>
            </w:pPr>
          </w:p>
        </w:tc>
        <w:tc>
          <w:tcPr>
            <w:tcW w:w="784" w:type="dxa"/>
          </w:tcPr>
          <w:p w14:paraId="6BC67818">
            <w:pPr>
              <w:keepNext/>
              <w:spacing w:line="360" w:lineRule="auto"/>
              <w:ind w:left="63" w:right="63"/>
              <w:rPr>
                <w:rFonts w:ascii="宋体" w:hAnsi="宋体" w:eastAsia="宋体" w:cs="宋体"/>
                <w:color w:val="000000"/>
                <w:szCs w:val="21"/>
              </w:rPr>
            </w:pPr>
          </w:p>
        </w:tc>
        <w:tc>
          <w:tcPr>
            <w:tcW w:w="714" w:type="dxa"/>
          </w:tcPr>
          <w:p w14:paraId="13CFBAAD">
            <w:pPr>
              <w:keepNext/>
              <w:spacing w:line="360" w:lineRule="auto"/>
              <w:ind w:left="63" w:right="63"/>
              <w:rPr>
                <w:rFonts w:ascii="宋体" w:hAnsi="宋体" w:eastAsia="宋体" w:cs="宋体"/>
                <w:color w:val="000000"/>
                <w:szCs w:val="21"/>
              </w:rPr>
            </w:pPr>
          </w:p>
        </w:tc>
        <w:tc>
          <w:tcPr>
            <w:tcW w:w="1246" w:type="dxa"/>
          </w:tcPr>
          <w:p w14:paraId="566E9179">
            <w:pPr>
              <w:keepNext/>
              <w:spacing w:line="360" w:lineRule="auto"/>
              <w:ind w:left="63" w:right="63"/>
              <w:rPr>
                <w:rFonts w:ascii="宋体" w:hAnsi="宋体" w:eastAsia="宋体" w:cs="宋体"/>
                <w:color w:val="000000"/>
                <w:szCs w:val="21"/>
              </w:rPr>
            </w:pPr>
          </w:p>
        </w:tc>
        <w:tc>
          <w:tcPr>
            <w:tcW w:w="1306" w:type="dxa"/>
          </w:tcPr>
          <w:p w14:paraId="14F7B824">
            <w:pPr>
              <w:keepNext/>
              <w:spacing w:line="360" w:lineRule="auto"/>
              <w:ind w:left="63" w:right="63"/>
              <w:rPr>
                <w:rFonts w:ascii="宋体" w:hAnsi="宋体" w:eastAsia="宋体" w:cs="宋体"/>
                <w:color w:val="000000"/>
                <w:szCs w:val="21"/>
              </w:rPr>
            </w:pPr>
          </w:p>
        </w:tc>
        <w:tc>
          <w:tcPr>
            <w:tcW w:w="1566" w:type="dxa"/>
          </w:tcPr>
          <w:p w14:paraId="3D6A38DB">
            <w:pPr>
              <w:keepNext/>
              <w:spacing w:line="360" w:lineRule="auto"/>
              <w:ind w:left="63" w:right="63"/>
              <w:rPr>
                <w:rFonts w:ascii="宋体" w:hAnsi="宋体" w:eastAsia="宋体" w:cs="宋体"/>
                <w:color w:val="000000"/>
                <w:szCs w:val="21"/>
              </w:rPr>
            </w:pPr>
          </w:p>
        </w:tc>
      </w:tr>
      <w:tr w14:paraId="7C6BE3B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35B54963">
            <w:pPr>
              <w:keepNext/>
              <w:spacing w:line="360" w:lineRule="auto"/>
              <w:ind w:left="63" w:right="63"/>
              <w:rPr>
                <w:rFonts w:ascii="宋体" w:hAnsi="宋体" w:eastAsia="宋体" w:cs="宋体"/>
                <w:color w:val="000000"/>
                <w:szCs w:val="21"/>
              </w:rPr>
            </w:pPr>
          </w:p>
        </w:tc>
        <w:tc>
          <w:tcPr>
            <w:tcW w:w="1830" w:type="dxa"/>
          </w:tcPr>
          <w:p w14:paraId="55DFDBB9">
            <w:pPr>
              <w:keepNext/>
              <w:spacing w:line="360" w:lineRule="auto"/>
              <w:ind w:left="63" w:right="63"/>
              <w:rPr>
                <w:rFonts w:ascii="宋体" w:hAnsi="宋体" w:eastAsia="宋体" w:cs="宋体"/>
                <w:color w:val="000000"/>
                <w:szCs w:val="21"/>
              </w:rPr>
            </w:pPr>
          </w:p>
        </w:tc>
        <w:tc>
          <w:tcPr>
            <w:tcW w:w="784" w:type="dxa"/>
          </w:tcPr>
          <w:p w14:paraId="2A5F2B42">
            <w:pPr>
              <w:keepNext/>
              <w:spacing w:line="360" w:lineRule="auto"/>
              <w:ind w:left="63" w:right="63"/>
              <w:rPr>
                <w:rFonts w:ascii="宋体" w:hAnsi="宋体" w:eastAsia="宋体" w:cs="宋体"/>
                <w:color w:val="000000"/>
                <w:szCs w:val="21"/>
              </w:rPr>
            </w:pPr>
          </w:p>
        </w:tc>
        <w:tc>
          <w:tcPr>
            <w:tcW w:w="714" w:type="dxa"/>
          </w:tcPr>
          <w:p w14:paraId="29AF83B8">
            <w:pPr>
              <w:keepNext/>
              <w:spacing w:line="360" w:lineRule="auto"/>
              <w:ind w:left="63" w:right="63"/>
              <w:rPr>
                <w:rFonts w:ascii="宋体" w:hAnsi="宋体" w:eastAsia="宋体" w:cs="宋体"/>
                <w:color w:val="000000"/>
                <w:szCs w:val="21"/>
              </w:rPr>
            </w:pPr>
          </w:p>
        </w:tc>
        <w:tc>
          <w:tcPr>
            <w:tcW w:w="1246" w:type="dxa"/>
          </w:tcPr>
          <w:p w14:paraId="6028F667">
            <w:pPr>
              <w:keepNext/>
              <w:spacing w:line="360" w:lineRule="auto"/>
              <w:ind w:left="63" w:right="63"/>
              <w:rPr>
                <w:rFonts w:ascii="宋体" w:hAnsi="宋体" w:eastAsia="宋体" w:cs="宋体"/>
                <w:color w:val="000000"/>
                <w:szCs w:val="21"/>
              </w:rPr>
            </w:pPr>
          </w:p>
        </w:tc>
        <w:tc>
          <w:tcPr>
            <w:tcW w:w="1306" w:type="dxa"/>
          </w:tcPr>
          <w:p w14:paraId="4410133A">
            <w:pPr>
              <w:keepNext/>
              <w:spacing w:line="360" w:lineRule="auto"/>
              <w:ind w:left="63" w:right="63"/>
              <w:rPr>
                <w:rFonts w:ascii="宋体" w:hAnsi="宋体" w:eastAsia="宋体" w:cs="宋体"/>
                <w:color w:val="000000"/>
                <w:szCs w:val="21"/>
              </w:rPr>
            </w:pPr>
          </w:p>
        </w:tc>
        <w:tc>
          <w:tcPr>
            <w:tcW w:w="1566" w:type="dxa"/>
          </w:tcPr>
          <w:p w14:paraId="043F1C1A">
            <w:pPr>
              <w:keepNext/>
              <w:spacing w:line="360" w:lineRule="auto"/>
              <w:ind w:left="63" w:right="63"/>
              <w:rPr>
                <w:rFonts w:ascii="宋体" w:hAnsi="宋体" w:eastAsia="宋体" w:cs="宋体"/>
                <w:color w:val="000000"/>
                <w:szCs w:val="21"/>
              </w:rPr>
            </w:pPr>
          </w:p>
        </w:tc>
      </w:tr>
      <w:tr w14:paraId="355CFA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2818D58F">
            <w:pPr>
              <w:keepNext/>
              <w:spacing w:line="360" w:lineRule="auto"/>
              <w:ind w:left="63" w:right="63"/>
              <w:rPr>
                <w:rFonts w:ascii="宋体" w:hAnsi="宋体" w:eastAsia="宋体" w:cs="宋体"/>
                <w:color w:val="000000"/>
                <w:szCs w:val="21"/>
              </w:rPr>
            </w:pPr>
          </w:p>
        </w:tc>
        <w:tc>
          <w:tcPr>
            <w:tcW w:w="1830" w:type="dxa"/>
          </w:tcPr>
          <w:p w14:paraId="40B8F41C">
            <w:pPr>
              <w:keepNext/>
              <w:spacing w:line="360" w:lineRule="auto"/>
              <w:ind w:left="63" w:right="63"/>
              <w:rPr>
                <w:rFonts w:ascii="宋体" w:hAnsi="宋体" w:eastAsia="宋体" w:cs="宋体"/>
                <w:color w:val="000000"/>
                <w:szCs w:val="21"/>
              </w:rPr>
            </w:pPr>
          </w:p>
        </w:tc>
        <w:tc>
          <w:tcPr>
            <w:tcW w:w="784" w:type="dxa"/>
          </w:tcPr>
          <w:p w14:paraId="7071FC49">
            <w:pPr>
              <w:keepNext/>
              <w:spacing w:line="360" w:lineRule="auto"/>
              <w:ind w:left="63" w:right="63"/>
              <w:rPr>
                <w:rFonts w:ascii="宋体" w:hAnsi="宋体" w:eastAsia="宋体" w:cs="宋体"/>
                <w:color w:val="000000"/>
                <w:szCs w:val="21"/>
              </w:rPr>
            </w:pPr>
          </w:p>
        </w:tc>
        <w:tc>
          <w:tcPr>
            <w:tcW w:w="714" w:type="dxa"/>
          </w:tcPr>
          <w:p w14:paraId="6B6EC947">
            <w:pPr>
              <w:keepNext/>
              <w:spacing w:line="360" w:lineRule="auto"/>
              <w:ind w:left="63" w:right="63"/>
              <w:rPr>
                <w:rFonts w:ascii="宋体" w:hAnsi="宋体" w:eastAsia="宋体" w:cs="宋体"/>
                <w:color w:val="000000"/>
                <w:szCs w:val="21"/>
              </w:rPr>
            </w:pPr>
          </w:p>
        </w:tc>
        <w:tc>
          <w:tcPr>
            <w:tcW w:w="1246" w:type="dxa"/>
          </w:tcPr>
          <w:p w14:paraId="09D5C1EF">
            <w:pPr>
              <w:keepNext/>
              <w:spacing w:line="360" w:lineRule="auto"/>
              <w:ind w:left="63" w:right="63"/>
              <w:rPr>
                <w:rFonts w:ascii="宋体" w:hAnsi="宋体" w:eastAsia="宋体" w:cs="宋体"/>
                <w:color w:val="000000"/>
                <w:szCs w:val="21"/>
              </w:rPr>
            </w:pPr>
          </w:p>
        </w:tc>
        <w:tc>
          <w:tcPr>
            <w:tcW w:w="1306" w:type="dxa"/>
          </w:tcPr>
          <w:p w14:paraId="2225DDE1">
            <w:pPr>
              <w:keepNext/>
              <w:spacing w:line="360" w:lineRule="auto"/>
              <w:ind w:left="63" w:right="63"/>
              <w:rPr>
                <w:rFonts w:ascii="宋体" w:hAnsi="宋体" w:eastAsia="宋体" w:cs="宋体"/>
                <w:color w:val="000000"/>
                <w:szCs w:val="21"/>
              </w:rPr>
            </w:pPr>
          </w:p>
        </w:tc>
        <w:tc>
          <w:tcPr>
            <w:tcW w:w="1566" w:type="dxa"/>
          </w:tcPr>
          <w:p w14:paraId="4CA378F6">
            <w:pPr>
              <w:keepNext/>
              <w:spacing w:line="360" w:lineRule="auto"/>
              <w:ind w:left="63" w:right="63"/>
              <w:rPr>
                <w:rFonts w:ascii="宋体" w:hAnsi="宋体" w:eastAsia="宋体" w:cs="宋体"/>
                <w:color w:val="000000"/>
                <w:szCs w:val="21"/>
              </w:rPr>
            </w:pPr>
          </w:p>
        </w:tc>
      </w:tr>
      <w:tr w14:paraId="4103B9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3A414259">
            <w:pPr>
              <w:keepNext/>
              <w:spacing w:line="360" w:lineRule="auto"/>
              <w:ind w:left="63" w:right="63"/>
              <w:rPr>
                <w:rFonts w:ascii="宋体" w:hAnsi="宋体" w:eastAsia="宋体" w:cs="宋体"/>
                <w:color w:val="000000"/>
                <w:szCs w:val="21"/>
              </w:rPr>
            </w:pPr>
          </w:p>
        </w:tc>
        <w:tc>
          <w:tcPr>
            <w:tcW w:w="1830" w:type="dxa"/>
          </w:tcPr>
          <w:p w14:paraId="6CC19376">
            <w:pPr>
              <w:keepNext/>
              <w:spacing w:line="360" w:lineRule="auto"/>
              <w:ind w:left="63" w:right="63"/>
              <w:rPr>
                <w:rFonts w:ascii="宋体" w:hAnsi="宋体" w:eastAsia="宋体" w:cs="宋体"/>
                <w:color w:val="000000"/>
                <w:szCs w:val="21"/>
              </w:rPr>
            </w:pPr>
          </w:p>
        </w:tc>
        <w:tc>
          <w:tcPr>
            <w:tcW w:w="784" w:type="dxa"/>
          </w:tcPr>
          <w:p w14:paraId="702ABC8B">
            <w:pPr>
              <w:keepNext/>
              <w:spacing w:line="360" w:lineRule="auto"/>
              <w:ind w:left="63" w:right="63"/>
              <w:rPr>
                <w:rFonts w:ascii="宋体" w:hAnsi="宋体" w:eastAsia="宋体" w:cs="宋体"/>
                <w:color w:val="000000"/>
                <w:szCs w:val="21"/>
              </w:rPr>
            </w:pPr>
          </w:p>
        </w:tc>
        <w:tc>
          <w:tcPr>
            <w:tcW w:w="714" w:type="dxa"/>
          </w:tcPr>
          <w:p w14:paraId="1C42BAD3">
            <w:pPr>
              <w:keepNext/>
              <w:spacing w:line="360" w:lineRule="auto"/>
              <w:ind w:left="63" w:right="63"/>
              <w:rPr>
                <w:rFonts w:ascii="宋体" w:hAnsi="宋体" w:eastAsia="宋体" w:cs="宋体"/>
                <w:color w:val="000000"/>
                <w:szCs w:val="21"/>
              </w:rPr>
            </w:pPr>
          </w:p>
        </w:tc>
        <w:tc>
          <w:tcPr>
            <w:tcW w:w="1246" w:type="dxa"/>
          </w:tcPr>
          <w:p w14:paraId="28E5C789">
            <w:pPr>
              <w:keepNext/>
              <w:spacing w:line="360" w:lineRule="auto"/>
              <w:ind w:left="63" w:right="63"/>
              <w:rPr>
                <w:rFonts w:ascii="宋体" w:hAnsi="宋体" w:eastAsia="宋体" w:cs="宋体"/>
                <w:color w:val="000000"/>
                <w:szCs w:val="21"/>
              </w:rPr>
            </w:pPr>
          </w:p>
        </w:tc>
        <w:tc>
          <w:tcPr>
            <w:tcW w:w="1306" w:type="dxa"/>
          </w:tcPr>
          <w:p w14:paraId="15DADF66">
            <w:pPr>
              <w:keepNext/>
              <w:spacing w:line="360" w:lineRule="auto"/>
              <w:ind w:left="63" w:right="63"/>
              <w:rPr>
                <w:rFonts w:ascii="宋体" w:hAnsi="宋体" w:eastAsia="宋体" w:cs="宋体"/>
                <w:color w:val="000000"/>
                <w:szCs w:val="21"/>
              </w:rPr>
            </w:pPr>
          </w:p>
        </w:tc>
        <w:tc>
          <w:tcPr>
            <w:tcW w:w="1566" w:type="dxa"/>
          </w:tcPr>
          <w:p w14:paraId="150E04A9">
            <w:pPr>
              <w:keepNext/>
              <w:spacing w:line="360" w:lineRule="auto"/>
              <w:ind w:left="63" w:right="63"/>
              <w:rPr>
                <w:rFonts w:ascii="宋体" w:hAnsi="宋体" w:eastAsia="宋体" w:cs="宋体"/>
                <w:color w:val="000000"/>
                <w:szCs w:val="21"/>
              </w:rPr>
            </w:pPr>
          </w:p>
        </w:tc>
      </w:tr>
      <w:tr w14:paraId="70E3687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74B2A2C1">
            <w:pPr>
              <w:keepNext/>
              <w:spacing w:line="360" w:lineRule="auto"/>
              <w:ind w:left="63" w:right="63"/>
              <w:rPr>
                <w:rFonts w:ascii="宋体" w:hAnsi="宋体" w:eastAsia="宋体" w:cs="宋体"/>
                <w:color w:val="000000"/>
                <w:szCs w:val="21"/>
              </w:rPr>
            </w:pPr>
          </w:p>
        </w:tc>
        <w:tc>
          <w:tcPr>
            <w:tcW w:w="1830" w:type="dxa"/>
          </w:tcPr>
          <w:p w14:paraId="556858AC">
            <w:pPr>
              <w:keepNext/>
              <w:spacing w:line="360" w:lineRule="auto"/>
              <w:ind w:left="63" w:right="63"/>
              <w:rPr>
                <w:rFonts w:ascii="宋体" w:hAnsi="宋体" w:eastAsia="宋体" w:cs="宋体"/>
                <w:color w:val="000000"/>
                <w:szCs w:val="21"/>
              </w:rPr>
            </w:pPr>
          </w:p>
        </w:tc>
        <w:tc>
          <w:tcPr>
            <w:tcW w:w="784" w:type="dxa"/>
          </w:tcPr>
          <w:p w14:paraId="1C49EA01">
            <w:pPr>
              <w:keepNext/>
              <w:spacing w:line="360" w:lineRule="auto"/>
              <w:ind w:left="63" w:right="63"/>
              <w:rPr>
                <w:rFonts w:ascii="宋体" w:hAnsi="宋体" w:eastAsia="宋体" w:cs="宋体"/>
                <w:color w:val="000000"/>
                <w:szCs w:val="21"/>
              </w:rPr>
            </w:pPr>
          </w:p>
        </w:tc>
        <w:tc>
          <w:tcPr>
            <w:tcW w:w="714" w:type="dxa"/>
          </w:tcPr>
          <w:p w14:paraId="258D1D0F">
            <w:pPr>
              <w:keepNext/>
              <w:spacing w:line="360" w:lineRule="auto"/>
              <w:ind w:left="63" w:right="63"/>
              <w:rPr>
                <w:rFonts w:ascii="宋体" w:hAnsi="宋体" w:eastAsia="宋体" w:cs="宋体"/>
                <w:color w:val="000000"/>
                <w:szCs w:val="21"/>
              </w:rPr>
            </w:pPr>
          </w:p>
        </w:tc>
        <w:tc>
          <w:tcPr>
            <w:tcW w:w="1246" w:type="dxa"/>
          </w:tcPr>
          <w:p w14:paraId="315E43C5">
            <w:pPr>
              <w:keepNext/>
              <w:spacing w:line="360" w:lineRule="auto"/>
              <w:ind w:left="63" w:right="63"/>
              <w:rPr>
                <w:rFonts w:ascii="宋体" w:hAnsi="宋体" w:eastAsia="宋体" w:cs="宋体"/>
                <w:color w:val="000000"/>
                <w:szCs w:val="21"/>
              </w:rPr>
            </w:pPr>
          </w:p>
        </w:tc>
        <w:tc>
          <w:tcPr>
            <w:tcW w:w="1306" w:type="dxa"/>
          </w:tcPr>
          <w:p w14:paraId="707771CC">
            <w:pPr>
              <w:keepNext/>
              <w:spacing w:line="360" w:lineRule="auto"/>
              <w:ind w:left="63" w:right="63"/>
              <w:rPr>
                <w:rFonts w:ascii="宋体" w:hAnsi="宋体" w:eastAsia="宋体" w:cs="宋体"/>
                <w:color w:val="000000"/>
                <w:szCs w:val="21"/>
              </w:rPr>
            </w:pPr>
          </w:p>
        </w:tc>
        <w:tc>
          <w:tcPr>
            <w:tcW w:w="1566" w:type="dxa"/>
          </w:tcPr>
          <w:p w14:paraId="1681989D">
            <w:pPr>
              <w:keepNext/>
              <w:spacing w:line="360" w:lineRule="auto"/>
              <w:ind w:left="63" w:right="63"/>
              <w:rPr>
                <w:rFonts w:ascii="宋体" w:hAnsi="宋体" w:eastAsia="宋体" w:cs="宋体"/>
                <w:color w:val="000000"/>
                <w:szCs w:val="21"/>
              </w:rPr>
            </w:pPr>
          </w:p>
        </w:tc>
      </w:tr>
      <w:tr w14:paraId="5C7587A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32D849A0">
            <w:pPr>
              <w:keepNext/>
              <w:spacing w:line="360" w:lineRule="auto"/>
              <w:ind w:left="63" w:right="63"/>
              <w:rPr>
                <w:rFonts w:ascii="宋体" w:hAnsi="宋体" w:eastAsia="宋体" w:cs="宋体"/>
                <w:color w:val="000000"/>
                <w:szCs w:val="21"/>
              </w:rPr>
            </w:pPr>
          </w:p>
        </w:tc>
        <w:tc>
          <w:tcPr>
            <w:tcW w:w="1830" w:type="dxa"/>
          </w:tcPr>
          <w:p w14:paraId="689724D0">
            <w:pPr>
              <w:keepNext/>
              <w:spacing w:line="360" w:lineRule="auto"/>
              <w:ind w:left="63" w:right="63"/>
              <w:rPr>
                <w:rFonts w:ascii="宋体" w:hAnsi="宋体" w:eastAsia="宋体" w:cs="宋体"/>
                <w:color w:val="000000"/>
                <w:szCs w:val="21"/>
              </w:rPr>
            </w:pPr>
          </w:p>
        </w:tc>
        <w:tc>
          <w:tcPr>
            <w:tcW w:w="784" w:type="dxa"/>
          </w:tcPr>
          <w:p w14:paraId="674D5289">
            <w:pPr>
              <w:keepNext/>
              <w:spacing w:line="360" w:lineRule="auto"/>
              <w:ind w:left="63" w:right="63"/>
              <w:rPr>
                <w:rFonts w:ascii="宋体" w:hAnsi="宋体" w:eastAsia="宋体" w:cs="宋体"/>
                <w:color w:val="000000"/>
                <w:szCs w:val="21"/>
              </w:rPr>
            </w:pPr>
          </w:p>
        </w:tc>
        <w:tc>
          <w:tcPr>
            <w:tcW w:w="714" w:type="dxa"/>
          </w:tcPr>
          <w:p w14:paraId="5E096FC2">
            <w:pPr>
              <w:keepNext/>
              <w:spacing w:line="360" w:lineRule="auto"/>
              <w:ind w:left="63" w:right="63"/>
              <w:rPr>
                <w:rFonts w:ascii="宋体" w:hAnsi="宋体" w:eastAsia="宋体" w:cs="宋体"/>
                <w:color w:val="000000"/>
                <w:szCs w:val="21"/>
              </w:rPr>
            </w:pPr>
          </w:p>
        </w:tc>
        <w:tc>
          <w:tcPr>
            <w:tcW w:w="1246" w:type="dxa"/>
          </w:tcPr>
          <w:p w14:paraId="131075CA">
            <w:pPr>
              <w:keepNext/>
              <w:spacing w:line="360" w:lineRule="auto"/>
              <w:ind w:left="63" w:right="63"/>
              <w:rPr>
                <w:rFonts w:ascii="宋体" w:hAnsi="宋体" w:eastAsia="宋体" w:cs="宋体"/>
                <w:color w:val="000000"/>
                <w:szCs w:val="21"/>
              </w:rPr>
            </w:pPr>
          </w:p>
        </w:tc>
        <w:tc>
          <w:tcPr>
            <w:tcW w:w="1306" w:type="dxa"/>
          </w:tcPr>
          <w:p w14:paraId="497EE567">
            <w:pPr>
              <w:keepNext/>
              <w:spacing w:line="360" w:lineRule="auto"/>
              <w:ind w:left="63" w:right="63"/>
              <w:rPr>
                <w:rFonts w:ascii="宋体" w:hAnsi="宋体" w:eastAsia="宋体" w:cs="宋体"/>
                <w:color w:val="000000"/>
                <w:szCs w:val="21"/>
              </w:rPr>
            </w:pPr>
          </w:p>
        </w:tc>
        <w:tc>
          <w:tcPr>
            <w:tcW w:w="1566" w:type="dxa"/>
          </w:tcPr>
          <w:p w14:paraId="4FDD45E3">
            <w:pPr>
              <w:keepNext/>
              <w:spacing w:line="360" w:lineRule="auto"/>
              <w:ind w:left="63" w:right="63"/>
              <w:rPr>
                <w:rFonts w:ascii="宋体" w:hAnsi="宋体" w:eastAsia="宋体" w:cs="宋体"/>
                <w:color w:val="000000"/>
                <w:szCs w:val="21"/>
              </w:rPr>
            </w:pPr>
          </w:p>
        </w:tc>
      </w:tr>
      <w:tr w14:paraId="2F2E0F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49CF674D">
            <w:pPr>
              <w:keepNext/>
              <w:spacing w:line="360" w:lineRule="auto"/>
              <w:ind w:left="63" w:right="63"/>
              <w:rPr>
                <w:rFonts w:ascii="宋体" w:hAnsi="宋体" w:eastAsia="宋体" w:cs="宋体"/>
                <w:color w:val="000000"/>
                <w:szCs w:val="21"/>
              </w:rPr>
            </w:pPr>
          </w:p>
        </w:tc>
        <w:tc>
          <w:tcPr>
            <w:tcW w:w="1830" w:type="dxa"/>
          </w:tcPr>
          <w:p w14:paraId="54738FBF">
            <w:pPr>
              <w:keepNext/>
              <w:spacing w:line="360" w:lineRule="auto"/>
              <w:ind w:left="63" w:right="63"/>
              <w:rPr>
                <w:rFonts w:ascii="宋体" w:hAnsi="宋体" w:eastAsia="宋体" w:cs="宋体"/>
                <w:color w:val="000000"/>
                <w:szCs w:val="21"/>
              </w:rPr>
            </w:pPr>
          </w:p>
        </w:tc>
        <w:tc>
          <w:tcPr>
            <w:tcW w:w="784" w:type="dxa"/>
          </w:tcPr>
          <w:p w14:paraId="5CBE06E4">
            <w:pPr>
              <w:keepNext/>
              <w:spacing w:line="360" w:lineRule="auto"/>
              <w:ind w:left="63" w:right="63"/>
              <w:rPr>
                <w:rFonts w:ascii="宋体" w:hAnsi="宋体" w:eastAsia="宋体" w:cs="宋体"/>
                <w:color w:val="000000"/>
                <w:szCs w:val="21"/>
              </w:rPr>
            </w:pPr>
          </w:p>
        </w:tc>
        <w:tc>
          <w:tcPr>
            <w:tcW w:w="714" w:type="dxa"/>
          </w:tcPr>
          <w:p w14:paraId="266C508E">
            <w:pPr>
              <w:keepNext/>
              <w:spacing w:line="360" w:lineRule="auto"/>
              <w:ind w:left="63" w:right="63"/>
              <w:rPr>
                <w:rFonts w:ascii="宋体" w:hAnsi="宋体" w:eastAsia="宋体" w:cs="宋体"/>
                <w:color w:val="000000"/>
                <w:szCs w:val="21"/>
              </w:rPr>
            </w:pPr>
          </w:p>
        </w:tc>
        <w:tc>
          <w:tcPr>
            <w:tcW w:w="1246" w:type="dxa"/>
          </w:tcPr>
          <w:p w14:paraId="08783E36">
            <w:pPr>
              <w:keepNext/>
              <w:spacing w:line="360" w:lineRule="auto"/>
              <w:ind w:left="63" w:right="63"/>
              <w:rPr>
                <w:rFonts w:ascii="宋体" w:hAnsi="宋体" w:eastAsia="宋体" w:cs="宋体"/>
                <w:color w:val="000000"/>
                <w:szCs w:val="21"/>
              </w:rPr>
            </w:pPr>
          </w:p>
        </w:tc>
        <w:tc>
          <w:tcPr>
            <w:tcW w:w="1306" w:type="dxa"/>
          </w:tcPr>
          <w:p w14:paraId="5A11AB45">
            <w:pPr>
              <w:keepNext/>
              <w:spacing w:line="360" w:lineRule="auto"/>
              <w:ind w:left="63" w:right="63"/>
              <w:rPr>
                <w:rFonts w:ascii="宋体" w:hAnsi="宋体" w:eastAsia="宋体" w:cs="宋体"/>
                <w:color w:val="000000"/>
                <w:szCs w:val="21"/>
              </w:rPr>
            </w:pPr>
          </w:p>
        </w:tc>
        <w:tc>
          <w:tcPr>
            <w:tcW w:w="1566" w:type="dxa"/>
          </w:tcPr>
          <w:p w14:paraId="619BEBE8">
            <w:pPr>
              <w:keepNext/>
              <w:spacing w:line="360" w:lineRule="auto"/>
              <w:ind w:left="63" w:right="63"/>
              <w:rPr>
                <w:rFonts w:ascii="宋体" w:hAnsi="宋体" w:eastAsia="宋体" w:cs="宋体"/>
                <w:color w:val="000000"/>
                <w:szCs w:val="21"/>
              </w:rPr>
            </w:pPr>
          </w:p>
        </w:tc>
      </w:tr>
      <w:tr w14:paraId="0C0977F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76EA6E26">
            <w:pPr>
              <w:keepNext/>
              <w:spacing w:line="360" w:lineRule="auto"/>
              <w:ind w:left="63" w:right="63"/>
              <w:rPr>
                <w:rFonts w:ascii="宋体" w:hAnsi="宋体" w:eastAsia="宋体" w:cs="宋体"/>
                <w:color w:val="000000"/>
                <w:szCs w:val="21"/>
              </w:rPr>
            </w:pPr>
          </w:p>
        </w:tc>
        <w:tc>
          <w:tcPr>
            <w:tcW w:w="1830" w:type="dxa"/>
          </w:tcPr>
          <w:p w14:paraId="131EFF0D">
            <w:pPr>
              <w:keepNext/>
              <w:spacing w:line="360" w:lineRule="auto"/>
              <w:ind w:left="63" w:right="63"/>
              <w:rPr>
                <w:rFonts w:ascii="宋体" w:hAnsi="宋体" w:eastAsia="宋体" w:cs="宋体"/>
                <w:color w:val="000000"/>
                <w:szCs w:val="21"/>
              </w:rPr>
            </w:pPr>
          </w:p>
        </w:tc>
        <w:tc>
          <w:tcPr>
            <w:tcW w:w="784" w:type="dxa"/>
          </w:tcPr>
          <w:p w14:paraId="6ECA2B10">
            <w:pPr>
              <w:keepNext/>
              <w:spacing w:line="360" w:lineRule="auto"/>
              <w:ind w:left="63" w:right="63"/>
              <w:rPr>
                <w:rFonts w:ascii="宋体" w:hAnsi="宋体" w:eastAsia="宋体" w:cs="宋体"/>
                <w:color w:val="000000"/>
                <w:szCs w:val="21"/>
              </w:rPr>
            </w:pPr>
          </w:p>
        </w:tc>
        <w:tc>
          <w:tcPr>
            <w:tcW w:w="714" w:type="dxa"/>
          </w:tcPr>
          <w:p w14:paraId="75F9B7A1">
            <w:pPr>
              <w:keepNext/>
              <w:spacing w:line="360" w:lineRule="auto"/>
              <w:ind w:left="63" w:right="63"/>
              <w:rPr>
                <w:rFonts w:ascii="宋体" w:hAnsi="宋体" w:eastAsia="宋体" w:cs="宋体"/>
                <w:color w:val="000000"/>
                <w:szCs w:val="21"/>
              </w:rPr>
            </w:pPr>
          </w:p>
        </w:tc>
        <w:tc>
          <w:tcPr>
            <w:tcW w:w="1246" w:type="dxa"/>
          </w:tcPr>
          <w:p w14:paraId="5C30CF44">
            <w:pPr>
              <w:keepNext/>
              <w:spacing w:line="360" w:lineRule="auto"/>
              <w:ind w:left="63" w:right="63"/>
              <w:rPr>
                <w:rFonts w:ascii="宋体" w:hAnsi="宋体" w:eastAsia="宋体" w:cs="宋体"/>
                <w:color w:val="000000"/>
                <w:szCs w:val="21"/>
              </w:rPr>
            </w:pPr>
          </w:p>
        </w:tc>
        <w:tc>
          <w:tcPr>
            <w:tcW w:w="1306" w:type="dxa"/>
          </w:tcPr>
          <w:p w14:paraId="4CEBFD76">
            <w:pPr>
              <w:keepNext/>
              <w:spacing w:line="360" w:lineRule="auto"/>
              <w:ind w:left="63" w:right="63"/>
              <w:rPr>
                <w:rFonts w:ascii="宋体" w:hAnsi="宋体" w:eastAsia="宋体" w:cs="宋体"/>
                <w:color w:val="000000"/>
                <w:szCs w:val="21"/>
              </w:rPr>
            </w:pPr>
          </w:p>
        </w:tc>
        <w:tc>
          <w:tcPr>
            <w:tcW w:w="1566" w:type="dxa"/>
          </w:tcPr>
          <w:p w14:paraId="2747B730">
            <w:pPr>
              <w:keepNext/>
              <w:spacing w:line="360" w:lineRule="auto"/>
              <w:ind w:left="63" w:right="63"/>
              <w:rPr>
                <w:rFonts w:ascii="宋体" w:hAnsi="宋体" w:eastAsia="宋体" w:cs="宋体"/>
                <w:color w:val="000000"/>
                <w:szCs w:val="21"/>
              </w:rPr>
            </w:pPr>
          </w:p>
        </w:tc>
      </w:tr>
      <w:tr w14:paraId="186050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58F6C18B">
            <w:pPr>
              <w:keepNext/>
              <w:spacing w:line="360" w:lineRule="auto"/>
              <w:ind w:left="63" w:right="63"/>
              <w:rPr>
                <w:rFonts w:ascii="宋体" w:hAnsi="宋体" w:eastAsia="宋体" w:cs="宋体"/>
                <w:color w:val="000000"/>
                <w:szCs w:val="21"/>
              </w:rPr>
            </w:pPr>
          </w:p>
        </w:tc>
        <w:tc>
          <w:tcPr>
            <w:tcW w:w="1830" w:type="dxa"/>
          </w:tcPr>
          <w:p w14:paraId="53A7C2B3">
            <w:pPr>
              <w:keepNext/>
              <w:spacing w:line="360" w:lineRule="auto"/>
              <w:ind w:left="63" w:right="63"/>
              <w:rPr>
                <w:rFonts w:ascii="宋体" w:hAnsi="宋体" w:eastAsia="宋体" w:cs="宋体"/>
                <w:color w:val="000000"/>
                <w:szCs w:val="21"/>
              </w:rPr>
            </w:pPr>
          </w:p>
        </w:tc>
        <w:tc>
          <w:tcPr>
            <w:tcW w:w="784" w:type="dxa"/>
          </w:tcPr>
          <w:p w14:paraId="77D17F17">
            <w:pPr>
              <w:keepNext/>
              <w:spacing w:line="360" w:lineRule="auto"/>
              <w:ind w:left="63" w:right="63"/>
              <w:rPr>
                <w:rFonts w:ascii="宋体" w:hAnsi="宋体" w:eastAsia="宋体" w:cs="宋体"/>
                <w:color w:val="000000"/>
                <w:szCs w:val="21"/>
              </w:rPr>
            </w:pPr>
          </w:p>
        </w:tc>
        <w:tc>
          <w:tcPr>
            <w:tcW w:w="714" w:type="dxa"/>
          </w:tcPr>
          <w:p w14:paraId="2CB089B8">
            <w:pPr>
              <w:keepNext/>
              <w:spacing w:line="360" w:lineRule="auto"/>
              <w:ind w:left="63" w:right="63"/>
              <w:rPr>
                <w:rFonts w:ascii="宋体" w:hAnsi="宋体" w:eastAsia="宋体" w:cs="宋体"/>
                <w:color w:val="000000"/>
                <w:szCs w:val="21"/>
              </w:rPr>
            </w:pPr>
          </w:p>
        </w:tc>
        <w:tc>
          <w:tcPr>
            <w:tcW w:w="1246" w:type="dxa"/>
          </w:tcPr>
          <w:p w14:paraId="5630F233">
            <w:pPr>
              <w:keepNext/>
              <w:spacing w:line="360" w:lineRule="auto"/>
              <w:ind w:left="63" w:right="63"/>
              <w:rPr>
                <w:rFonts w:ascii="宋体" w:hAnsi="宋体" w:eastAsia="宋体" w:cs="宋体"/>
                <w:color w:val="000000"/>
                <w:szCs w:val="21"/>
              </w:rPr>
            </w:pPr>
          </w:p>
        </w:tc>
        <w:tc>
          <w:tcPr>
            <w:tcW w:w="1306" w:type="dxa"/>
          </w:tcPr>
          <w:p w14:paraId="0C92DE26">
            <w:pPr>
              <w:keepNext/>
              <w:spacing w:line="360" w:lineRule="auto"/>
              <w:ind w:left="63" w:right="63"/>
              <w:rPr>
                <w:rFonts w:ascii="宋体" w:hAnsi="宋体" w:eastAsia="宋体" w:cs="宋体"/>
                <w:color w:val="000000"/>
                <w:szCs w:val="21"/>
              </w:rPr>
            </w:pPr>
          </w:p>
        </w:tc>
        <w:tc>
          <w:tcPr>
            <w:tcW w:w="1566" w:type="dxa"/>
          </w:tcPr>
          <w:p w14:paraId="692ACF4F">
            <w:pPr>
              <w:keepNext/>
              <w:spacing w:line="360" w:lineRule="auto"/>
              <w:ind w:left="63" w:right="63"/>
              <w:rPr>
                <w:rFonts w:ascii="宋体" w:hAnsi="宋体" w:eastAsia="宋体" w:cs="宋体"/>
                <w:color w:val="000000"/>
                <w:szCs w:val="21"/>
              </w:rPr>
            </w:pPr>
          </w:p>
        </w:tc>
      </w:tr>
      <w:tr w14:paraId="118E6D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42CD14CF">
            <w:pPr>
              <w:keepNext/>
              <w:spacing w:line="360" w:lineRule="auto"/>
              <w:ind w:left="63" w:right="63"/>
              <w:rPr>
                <w:rFonts w:ascii="宋体" w:hAnsi="宋体" w:eastAsia="宋体" w:cs="宋体"/>
                <w:color w:val="000000"/>
                <w:szCs w:val="21"/>
              </w:rPr>
            </w:pPr>
          </w:p>
        </w:tc>
        <w:tc>
          <w:tcPr>
            <w:tcW w:w="1830" w:type="dxa"/>
          </w:tcPr>
          <w:p w14:paraId="14632C0D">
            <w:pPr>
              <w:keepNext/>
              <w:spacing w:line="360" w:lineRule="auto"/>
              <w:ind w:left="63" w:right="63"/>
              <w:rPr>
                <w:rFonts w:ascii="宋体" w:hAnsi="宋体" w:eastAsia="宋体" w:cs="宋体"/>
                <w:color w:val="000000"/>
                <w:szCs w:val="21"/>
              </w:rPr>
            </w:pPr>
          </w:p>
        </w:tc>
        <w:tc>
          <w:tcPr>
            <w:tcW w:w="784" w:type="dxa"/>
          </w:tcPr>
          <w:p w14:paraId="428004B3">
            <w:pPr>
              <w:keepNext/>
              <w:spacing w:line="360" w:lineRule="auto"/>
              <w:ind w:left="63" w:right="63"/>
              <w:rPr>
                <w:rFonts w:ascii="宋体" w:hAnsi="宋体" w:eastAsia="宋体" w:cs="宋体"/>
                <w:color w:val="000000"/>
                <w:szCs w:val="21"/>
              </w:rPr>
            </w:pPr>
          </w:p>
        </w:tc>
        <w:tc>
          <w:tcPr>
            <w:tcW w:w="714" w:type="dxa"/>
          </w:tcPr>
          <w:p w14:paraId="4B801021">
            <w:pPr>
              <w:keepNext/>
              <w:spacing w:line="360" w:lineRule="auto"/>
              <w:ind w:left="63" w:right="63"/>
              <w:rPr>
                <w:rFonts w:ascii="宋体" w:hAnsi="宋体" w:eastAsia="宋体" w:cs="宋体"/>
                <w:color w:val="000000"/>
                <w:szCs w:val="21"/>
              </w:rPr>
            </w:pPr>
          </w:p>
        </w:tc>
        <w:tc>
          <w:tcPr>
            <w:tcW w:w="1246" w:type="dxa"/>
          </w:tcPr>
          <w:p w14:paraId="32008AED">
            <w:pPr>
              <w:keepNext/>
              <w:spacing w:line="360" w:lineRule="auto"/>
              <w:ind w:left="63" w:right="63"/>
              <w:rPr>
                <w:rFonts w:ascii="宋体" w:hAnsi="宋体" w:eastAsia="宋体" w:cs="宋体"/>
                <w:color w:val="000000"/>
                <w:szCs w:val="21"/>
              </w:rPr>
            </w:pPr>
          </w:p>
        </w:tc>
        <w:tc>
          <w:tcPr>
            <w:tcW w:w="1306" w:type="dxa"/>
          </w:tcPr>
          <w:p w14:paraId="789364FE">
            <w:pPr>
              <w:keepNext/>
              <w:spacing w:line="360" w:lineRule="auto"/>
              <w:ind w:left="63" w:right="63"/>
              <w:rPr>
                <w:rFonts w:ascii="宋体" w:hAnsi="宋体" w:eastAsia="宋体" w:cs="宋体"/>
                <w:color w:val="000000"/>
                <w:szCs w:val="21"/>
              </w:rPr>
            </w:pPr>
          </w:p>
        </w:tc>
        <w:tc>
          <w:tcPr>
            <w:tcW w:w="1566" w:type="dxa"/>
          </w:tcPr>
          <w:p w14:paraId="64916BE5">
            <w:pPr>
              <w:keepNext/>
              <w:spacing w:line="360" w:lineRule="auto"/>
              <w:ind w:left="63" w:right="63"/>
              <w:rPr>
                <w:rFonts w:ascii="宋体" w:hAnsi="宋体" w:eastAsia="宋体" w:cs="宋体"/>
                <w:color w:val="000000"/>
                <w:szCs w:val="21"/>
              </w:rPr>
            </w:pPr>
          </w:p>
        </w:tc>
      </w:tr>
      <w:tr w14:paraId="5574389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13676AB5">
            <w:pPr>
              <w:keepNext/>
              <w:spacing w:line="360" w:lineRule="auto"/>
              <w:ind w:left="63" w:right="63"/>
              <w:rPr>
                <w:rFonts w:ascii="宋体" w:hAnsi="宋体" w:eastAsia="宋体" w:cs="宋体"/>
                <w:color w:val="000000"/>
                <w:szCs w:val="21"/>
              </w:rPr>
            </w:pPr>
          </w:p>
        </w:tc>
        <w:tc>
          <w:tcPr>
            <w:tcW w:w="1830" w:type="dxa"/>
          </w:tcPr>
          <w:p w14:paraId="091BDBC2">
            <w:pPr>
              <w:keepNext/>
              <w:spacing w:line="360" w:lineRule="auto"/>
              <w:ind w:left="63" w:right="63"/>
              <w:rPr>
                <w:rFonts w:ascii="宋体" w:hAnsi="宋体" w:eastAsia="宋体" w:cs="宋体"/>
                <w:color w:val="000000"/>
                <w:szCs w:val="21"/>
              </w:rPr>
            </w:pPr>
          </w:p>
        </w:tc>
        <w:tc>
          <w:tcPr>
            <w:tcW w:w="784" w:type="dxa"/>
          </w:tcPr>
          <w:p w14:paraId="6781CC36">
            <w:pPr>
              <w:keepNext/>
              <w:spacing w:line="360" w:lineRule="auto"/>
              <w:ind w:left="63" w:right="63"/>
              <w:rPr>
                <w:rFonts w:ascii="宋体" w:hAnsi="宋体" w:eastAsia="宋体" w:cs="宋体"/>
                <w:color w:val="000000"/>
                <w:szCs w:val="21"/>
              </w:rPr>
            </w:pPr>
          </w:p>
        </w:tc>
        <w:tc>
          <w:tcPr>
            <w:tcW w:w="714" w:type="dxa"/>
          </w:tcPr>
          <w:p w14:paraId="5A596908">
            <w:pPr>
              <w:keepNext/>
              <w:spacing w:line="360" w:lineRule="auto"/>
              <w:ind w:left="63" w:right="63"/>
              <w:rPr>
                <w:rFonts w:ascii="宋体" w:hAnsi="宋体" w:eastAsia="宋体" w:cs="宋体"/>
                <w:color w:val="000000"/>
                <w:szCs w:val="21"/>
              </w:rPr>
            </w:pPr>
          </w:p>
        </w:tc>
        <w:tc>
          <w:tcPr>
            <w:tcW w:w="1246" w:type="dxa"/>
          </w:tcPr>
          <w:p w14:paraId="3766804A">
            <w:pPr>
              <w:keepNext/>
              <w:spacing w:line="360" w:lineRule="auto"/>
              <w:ind w:left="63" w:right="63"/>
              <w:rPr>
                <w:rFonts w:ascii="宋体" w:hAnsi="宋体" w:eastAsia="宋体" w:cs="宋体"/>
                <w:color w:val="000000"/>
                <w:szCs w:val="21"/>
              </w:rPr>
            </w:pPr>
          </w:p>
        </w:tc>
        <w:tc>
          <w:tcPr>
            <w:tcW w:w="1306" w:type="dxa"/>
          </w:tcPr>
          <w:p w14:paraId="3E3C8A5B">
            <w:pPr>
              <w:keepNext/>
              <w:spacing w:line="360" w:lineRule="auto"/>
              <w:ind w:left="63" w:right="63"/>
              <w:rPr>
                <w:rFonts w:ascii="宋体" w:hAnsi="宋体" w:eastAsia="宋体" w:cs="宋体"/>
                <w:color w:val="000000"/>
                <w:szCs w:val="21"/>
              </w:rPr>
            </w:pPr>
          </w:p>
        </w:tc>
        <w:tc>
          <w:tcPr>
            <w:tcW w:w="1566" w:type="dxa"/>
          </w:tcPr>
          <w:p w14:paraId="415901BD">
            <w:pPr>
              <w:keepNext/>
              <w:spacing w:line="360" w:lineRule="auto"/>
              <w:ind w:left="63" w:right="63"/>
              <w:rPr>
                <w:rFonts w:ascii="宋体" w:hAnsi="宋体" w:eastAsia="宋体" w:cs="宋体"/>
                <w:color w:val="000000"/>
                <w:szCs w:val="21"/>
              </w:rPr>
            </w:pPr>
          </w:p>
        </w:tc>
      </w:tr>
      <w:tr w14:paraId="7283345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0A61608C">
            <w:pPr>
              <w:keepNext/>
              <w:spacing w:line="360" w:lineRule="auto"/>
              <w:ind w:left="63" w:right="63"/>
              <w:rPr>
                <w:rFonts w:ascii="宋体" w:hAnsi="宋体" w:eastAsia="宋体" w:cs="宋体"/>
                <w:color w:val="000000"/>
                <w:szCs w:val="21"/>
              </w:rPr>
            </w:pPr>
          </w:p>
        </w:tc>
        <w:tc>
          <w:tcPr>
            <w:tcW w:w="1830" w:type="dxa"/>
          </w:tcPr>
          <w:p w14:paraId="6F59F853">
            <w:pPr>
              <w:keepNext/>
              <w:spacing w:line="360" w:lineRule="auto"/>
              <w:ind w:left="63" w:right="63"/>
              <w:rPr>
                <w:rFonts w:ascii="宋体" w:hAnsi="宋体" w:eastAsia="宋体" w:cs="宋体"/>
                <w:color w:val="000000"/>
                <w:szCs w:val="21"/>
              </w:rPr>
            </w:pPr>
          </w:p>
        </w:tc>
        <w:tc>
          <w:tcPr>
            <w:tcW w:w="784" w:type="dxa"/>
          </w:tcPr>
          <w:p w14:paraId="547D692B">
            <w:pPr>
              <w:keepNext/>
              <w:spacing w:line="360" w:lineRule="auto"/>
              <w:ind w:left="63" w:right="63"/>
              <w:rPr>
                <w:rFonts w:ascii="宋体" w:hAnsi="宋体" w:eastAsia="宋体" w:cs="宋体"/>
                <w:color w:val="000000"/>
                <w:szCs w:val="21"/>
              </w:rPr>
            </w:pPr>
          </w:p>
        </w:tc>
        <w:tc>
          <w:tcPr>
            <w:tcW w:w="714" w:type="dxa"/>
          </w:tcPr>
          <w:p w14:paraId="1B078191">
            <w:pPr>
              <w:keepNext/>
              <w:spacing w:line="360" w:lineRule="auto"/>
              <w:ind w:left="63" w:right="63"/>
              <w:rPr>
                <w:rFonts w:ascii="宋体" w:hAnsi="宋体" w:eastAsia="宋体" w:cs="宋体"/>
                <w:color w:val="000000"/>
                <w:szCs w:val="21"/>
              </w:rPr>
            </w:pPr>
          </w:p>
        </w:tc>
        <w:tc>
          <w:tcPr>
            <w:tcW w:w="1246" w:type="dxa"/>
          </w:tcPr>
          <w:p w14:paraId="0D97D7FD">
            <w:pPr>
              <w:keepNext/>
              <w:spacing w:line="360" w:lineRule="auto"/>
              <w:ind w:left="63" w:right="63"/>
              <w:rPr>
                <w:rFonts w:ascii="宋体" w:hAnsi="宋体" w:eastAsia="宋体" w:cs="宋体"/>
                <w:color w:val="000000"/>
                <w:szCs w:val="21"/>
              </w:rPr>
            </w:pPr>
          </w:p>
        </w:tc>
        <w:tc>
          <w:tcPr>
            <w:tcW w:w="1306" w:type="dxa"/>
          </w:tcPr>
          <w:p w14:paraId="7AC2C9E0">
            <w:pPr>
              <w:keepNext/>
              <w:spacing w:line="360" w:lineRule="auto"/>
              <w:ind w:left="63" w:right="63"/>
              <w:rPr>
                <w:rFonts w:ascii="宋体" w:hAnsi="宋体" w:eastAsia="宋体" w:cs="宋体"/>
                <w:color w:val="000000"/>
                <w:szCs w:val="21"/>
              </w:rPr>
            </w:pPr>
          </w:p>
        </w:tc>
        <w:tc>
          <w:tcPr>
            <w:tcW w:w="1566" w:type="dxa"/>
          </w:tcPr>
          <w:p w14:paraId="23514C06">
            <w:pPr>
              <w:keepNext/>
              <w:spacing w:line="360" w:lineRule="auto"/>
              <w:ind w:left="63" w:right="63"/>
              <w:rPr>
                <w:rFonts w:ascii="宋体" w:hAnsi="宋体" w:eastAsia="宋体" w:cs="宋体"/>
                <w:color w:val="000000"/>
                <w:szCs w:val="21"/>
              </w:rPr>
            </w:pPr>
          </w:p>
        </w:tc>
      </w:tr>
      <w:tr w14:paraId="2481EA3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4C728673">
            <w:pPr>
              <w:keepNext/>
              <w:spacing w:line="360" w:lineRule="auto"/>
              <w:ind w:left="63" w:right="63"/>
              <w:rPr>
                <w:rFonts w:ascii="宋体" w:hAnsi="宋体" w:eastAsia="宋体" w:cs="宋体"/>
                <w:color w:val="000000"/>
                <w:szCs w:val="21"/>
              </w:rPr>
            </w:pPr>
          </w:p>
        </w:tc>
        <w:tc>
          <w:tcPr>
            <w:tcW w:w="1830" w:type="dxa"/>
          </w:tcPr>
          <w:p w14:paraId="428859D4">
            <w:pPr>
              <w:keepNext/>
              <w:spacing w:line="360" w:lineRule="auto"/>
              <w:ind w:left="63" w:right="63"/>
              <w:rPr>
                <w:rFonts w:ascii="宋体" w:hAnsi="宋体" w:eastAsia="宋体" w:cs="宋体"/>
                <w:color w:val="000000"/>
                <w:szCs w:val="21"/>
              </w:rPr>
            </w:pPr>
          </w:p>
        </w:tc>
        <w:tc>
          <w:tcPr>
            <w:tcW w:w="784" w:type="dxa"/>
          </w:tcPr>
          <w:p w14:paraId="05C20439">
            <w:pPr>
              <w:keepNext/>
              <w:spacing w:line="360" w:lineRule="auto"/>
              <w:ind w:left="63" w:right="63"/>
              <w:rPr>
                <w:rFonts w:ascii="宋体" w:hAnsi="宋体" w:eastAsia="宋体" w:cs="宋体"/>
                <w:color w:val="000000"/>
                <w:szCs w:val="21"/>
              </w:rPr>
            </w:pPr>
          </w:p>
        </w:tc>
        <w:tc>
          <w:tcPr>
            <w:tcW w:w="714" w:type="dxa"/>
          </w:tcPr>
          <w:p w14:paraId="6C6F7DD5">
            <w:pPr>
              <w:keepNext/>
              <w:spacing w:line="360" w:lineRule="auto"/>
              <w:ind w:left="63" w:right="63"/>
              <w:rPr>
                <w:rFonts w:ascii="宋体" w:hAnsi="宋体" w:eastAsia="宋体" w:cs="宋体"/>
                <w:color w:val="000000"/>
                <w:szCs w:val="21"/>
              </w:rPr>
            </w:pPr>
          </w:p>
        </w:tc>
        <w:tc>
          <w:tcPr>
            <w:tcW w:w="1246" w:type="dxa"/>
          </w:tcPr>
          <w:p w14:paraId="7BC99E5C">
            <w:pPr>
              <w:keepNext/>
              <w:spacing w:line="360" w:lineRule="auto"/>
              <w:ind w:left="63" w:right="63"/>
              <w:rPr>
                <w:rFonts w:ascii="宋体" w:hAnsi="宋体" w:eastAsia="宋体" w:cs="宋体"/>
                <w:color w:val="000000"/>
                <w:szCs w:val="21"/>
              </w:rPr>
            </w:pPr>
          </w:p>
        </w:tc>
        <w:tc>
          <w:tcPr>
            <w:tcW w:w="1306" w:type="dxa"/>
          </w:tcPr>
          <w:p w14:paraId="2B87932F">
            <w:pPr>
              <w:keepNext/>
              <w:spacing w:line="360" w:lineRule="auto"/>
              <w:ind w:left="63" w:right="63"/>
              <w:rPr>
                <w:rFonts w:ascii="宋体" w:hAnsi="宋体" w:eastAsia="宋体" w:cs="宋体"/>
                <w:color w:val="000000"/>
                <w:szCs w:val="21"/>
              </w:rPr>
            </w:pPr>
          </w:p>
        </w:tc>
        <w:tc>
          <w:tcPr>
            <w:tcW w:w="1566" w:type="dxa"/>
          </w:tcPr>
          <w:p w14:paraId="7D7E9AF2">
            <w:pPr>
              <w:keepNext/>
              <w:spacing w:line="360" w:lineRule="auto"/>
              <w:ind w:left="63" w:right="63"/>
              <w:rPr>
                <w:rFonts w:ascii="宋体" w:hAnsi="宋体" w:eastAsia="宋体" w:cs="宋体"/>
                <w:color w:val="000000"/>
                <w:szCs w:val="21"/>
              </w:rPr>
            </w:pPr>
          </w:p>
        </w:tc>
      </w:tr>
      <w:tr w14:paraId="182F21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5AA73618">
            <w:pPr>
              <w:keepNext/>
              <w:spacing w:line="360" w:lineRule="auto"/>
              <w:ind w:left="63" w:right="63"/>
              <w:rPr>
                <w:rFonts w:ascii="宋体" w:hAnsi="宋体" w:eastAsia="宋体" w:cs="宋体"/>
                <w:color w:val="000000"/>
                <w:szCs w:val="21"/>
              </w:rPr>
            </w:pPr>
          </w:p>
        </w:tc>
        <w:tc>
          <w:tcPr>
            <w:tcW w:w="1830" w:type="dxa"/>
          </w:tcPr>
          <w:p w14:paraId="43DF578C">
            <w:pPr>
              <w:keepNext/>
              <w:spacing w:line="360" w:lineRule="auto"/>
              <w:ind w:left="63" w:right="63"/>
              <w:rPr>
                <w:rFonts w:ascii="宋体" w:hAnsi="宋体" w:eastAsia="宋体" w:cs="宋体"/>
                <w:color w:val="000000"/>
                <w:szCs w:val="21"/>
              </w:rPr>
            </w:pPr>
          </w:p>
        </w:tc>
        <w:tc>
          <w:tcPr>
            <w:tcW w:w="784" w:type="dxa"/>
          </w:tcPr>
          <w:p w14:paraId="1E26A516">
            <w:pPr>
              <w:keepNext/>
              <w:spacing w:line="360" w:lineRule="auto"/>
              <w:ind w:left="63" w:right="63"/>
              <w:rPr>
                <w:rFonts w:ascii="宋体" w:hAnsi="宋体" w:eastAsia="宋体" w:cs="宋体"/>
                <w:color w:val="000000"/>
                <w:szCs w:val="21"/>
              </w:rPr>
            </w:pPr>
          </w:p>
        </w:tc>
        <w:tc>
          <w:tcPr>
            <w:tcW w:w="714" w:type="dxa"/>
          </w:tcPr>
          <w:p w14:paraId="48488CC1">
            <w:pPr>
              <w:keepNext/>
              <w:spacing w:line="360" w:lineRule="auto"/>
              <w:ind w:left="63" w:right="63"/>
              <w:rPr>
                <w:rFonts w:ascii="宋体" w:hAnsi="宋体" w:eastAsia="宋体" w:cs="宋体"/>
                <w:color w:val="000000"/>
                <w:szCs w:val="21"/>
              </w:rPr>
            </w:pPr>
          </w:p>
        </w:tc>
        <w:tc>
          <w:tcPr>
            <w:tcW w:w="1246" w:type="dxa"/>
          </w:tcPr>
          <w:p w14:paraId="3725A074">
            <w:pPr>
              <w:keepNext/>
              <w:spacing w:line="360" w:lineRule="auto"/>
              <w:ind w:left="63" w:right="63"/>
              <w:rPr>
                <w:rFonts w:ascii="宋体" w:hAnsi="宋体" w:eastAsia="宋体" w:cs="宋体"/>
                <w:color w:val="000000"/>
                <w:szCs w:val="21"/>
              </w:rPr>
            </w:pPr>
          </w:p>
        </w:tc>
        <w:tc>
          <w:tcPr>
            <w:tcW w:w="1306" w:type="dxa"/>
          </w:tcPr>
          <w:p w14:paraId="07230C0B">
            <w:pPr>
              <w:keepNext/>
              <w:spacing w:line="360" w:lineRule="auto"/>
              <w:ind w:left="63" w:right="63"/>
              <w:rPr>
                <w:rFonts w:ascii="宋体" w:hAnsi="宋体" w:eastAsia="宋体" w:cs="宋体"/>
                <w:color w:val="000000"/>
                <w:szCs w:val="21"/>
              </w:rPr>
            </w:pPr>
          </w:p>
        </w:tc>
        <w:tc>
          <w:tcPr>
            <w:tcW w:w="1566" w:type="dxa"/>
          </w:tcPr>
          <w:p w14:paraId="0991B00F">
            <w:pPr>
              <w:keepNext/>
              <w:spacing w:line="360" w:lineRule="auto"/>
              <w:ind w:left="63" w:right="63"/>
              <w:rPr>
                <w:rFonts w:ascii="宋体" w:hAnsi="宋体" w:eastAsia="宋体" w:cs="宋体"/>
                <w:color w:val="000000"/>
                <w:szCs w:val="21"/>
              </w:rPr>
            </w:pPr>
          </w:p>
        </w:tc>
      </w:tr>
      <w:tr w14:paraId="214D3CA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32909A43">
            <w:pPr>
              <w:keepNext/>
              <w:spacing w:line="360" w:lineRule="auto"/>
              <w:ind w:left="63" w:right="63"/>
              <w:rPr>
                <w:rFonts w:ascii="宋体" w:hAnsi="宋体" w:eastAsia="宋体" w:cs="宋体"/>
                <w:color w:val="000000"/>
                <w:szCs w:val="21"/>
              </w:rPr>
            </w:pPr>
          </w:p>
        </w:tc>
        <w:tc>
          <w:tcPr>
            <w:tcW w:w="1830" w:type="dxa"/>
          </w:tcPr>
          <w:p w14:paraId="26088786">
            <w:pPr>
              <w:keepNext/>
              <w:spacing w:line="360" w:lineRule="auto"/>
              <w:ind w:left="63" w:right="63"/>
              <w:rPr>
                <w:rFonts w:ascii="宋体" w:hAnsi="宋体" w:eastAsia="宋体" w:cs="宋体"/>
                <w:color w:val="000000"/>
                <w:szCs w:val="21"/>
              </w:rPr>
            </w:pPr>
          </w:p>
        </w:tc>
        <w:tc>
          <w:tcPr>
            <w:tcW w:w="784" w:type="dxa"/>
          </w:tcPr>
          <w:p w14:paraId="753C512C">
            <w:pPr>
              <w:keepNext/>
              <w:spacing w:line="360" w:lineRule="auto"/>
              <w:ind w:left="63" w:right="63"/>
              <w:rPr>
                <w:rFonts w:ascii="宋体" w:hAnsi="宋体" w:eastAsia="宋体" w:cs="宋体"/>
                <w:color w:val="000000"/>
                <w:szCs w:val="21"/>
              </w:rPr>
            </w:pPr>
          </w:p>
        </w:tc>
        <w:tc>
          <w:tcPr>
            <w:tcW w:w="714" w:type="dxa"/>
          </w:tcPr>
          <w:p w14:paraId="404EA5E0">
            <w:pPr>
              <w:keepNext/>
              <w:spacing w:line="360" w:lineRule="auto"/>
              <w:ind w:left="63" w:right="63"/>
              <w:rPr>
                <w:rFonts w:ascii="宋体" w:hAnsi="宋体" w:eastAsia="宋体" w:cs="宋体"/>
                <w:color w:val="000000"/>
                <w:szCs w:val="21"/>
              </w:rPr>
            </w:pPr>
          </w:p>
        </w:tc>
        <w:tc>
          <w:tcPr>
            <w:tcW w:w="1246" w:type="dxa"/>
          </w:tcPr>
          <w:p w14:paraId="00814FA1">
            <w:pPr>
              <w:keepNext/>
              <w:spacing w:line="360" w:lineRule="auto"/>
              <w:ind w:left="63" w:right="63"/>
              <w:rPr>
                <w:rFonts w:ascii="宋体" w:hAnsi="宋体" w:eastAsia="宋体" w:cs="宋体"/>
                <w:color w:val="000000"/>
                <w:szCs w:val="21"/>
              </w:rPr>
            </w:pPr>
          </w:p>
        </w:tc>
        <w:tc>
          <w:tcPr>
            <w:tcW w:w="1306" w:type="dxa"/>
          </w:tcPr>
          <w:p w14:paraId="55E2E45E">
            <w:pPr>
              <w:keepNext/>
              <w:spacing w:line="360" w:lineRule="auto"/>
              <w:ind w:left="63" w:right="63"/>
              <w:rPr>
                <w:rFonts w:ascii="宋体" w:hAnsi="宋体" w:eastAsia="宋体" w:cs="宋体"/>
                <w:color w:val="000000"/>
                <w:szCs w:val="21"/>
              </w:rPr>
            </w:pPr>
          </w:p>
        </w:tc>
        <w:tc>
          <w:tcPr>
            <w:tcW w:w="1566" w:type="dxa"/>
          </w:tcPr>
          <w:p w14:paraId="732D842E">
            <w:pPr>
              <w:keepNext/>
              <w:spacing w:line="360" w:lineRule="auto"/>
              <w:ind w:left="63" w:right="63"/>
              <w:rPr>
                <w:rFonts w:ascii="宋体" w:hAnsi="宋体" w:eastAsia="宋体" w:cs="宋体"/>
                <w:color w:val="000000"/>
                <w:szCs w:val="21"/>
              </w:rPr>
            </w:pPr>
          </w:p>
        </w:tc>
      </w:tr>
      <w:tr w14:paraId="59E4D68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73D53FBF">
            <w:pPr>
              <w:keepNext/>
              <w:spacing w:line="360" w:lineRule="auto"/>
              <w:ind w:left="63" w:right="63"/>
              <w:rPr>
                <w:rFonts w:ascii="宋体" w:hAnsi="宋体" w:eastAsia="宋体" w:cs="宋体"/>
                <w:color w:val="000000"/>
                <w:szCs w:val="21"/>
              </w:rPr>
            </w:pPr>
          </w:p>
        </w:tc>
        <w:tc>
          <w:tcPr>
            <w:tcW w:w="1830" w:type="dxa"/>
          </w:tcPr>
          <w:p w14:paraId="23648ECB">
            <w:pPr>
              <w:keepNext/>
              <w:spacing w:line="360" w:lineRule="auto"/>
              <w:ind w:left="63" w:right="63"/>
              <w:rPr>
                <w:rFonts w:ascii="宋体" w:hAnsi="宋体" w:eastAsia="宋体" w:cs="宋体"/>
                <w:color w:val="000000"/>
                <w:szCs w:val="21"/>
              </w:rPr>
            </w:pPr>
          </w:p>
        </w:tc>
        <w:tc>
          <w:tcPr>
            <w:tcW w:w="784" w:type="dxa"/>
          </w:tcPr>
          <w:p w14:paraId="37228192">
            <w:pPr>
              <w:keepNext/>
              <w:spacing w:line="360" w:lineRule="auto"/>
              <w:ind w:left="63" w:right="63"/>
              <w:rPr>
                <w:rFonts w:ascii="宋体" w:hAnsi="宋体" w:eastAsia="宋体" w:cs="宋体"/>
                <w:color w:val="000000"/>
                <w:szCs w:val="21"/>
              </w:rPr>
            </w:pPr>
          </w:p>
        </w:tc>
        <w:tc>
          <w:tcPr>
            <w:tcW w:w="714" w:type="dxa"/>
          </w:tcPr>
          <w:p w14:paraId="57F9A1EB">
            <w:pPr>
              <w:keepNext/>
              <w:spacing w:line="360" w:lineRule="auto"/>
              <w:ind w:left="63" w:right="63"/>
              <w:rPr>
                <w:rFonts w:ascii="宋体" w:hAnsi="宋体" w:eastAsia="宋体" w:cs="宋体"/>
                <w:color w:val="000000"/>
                <w:szCs w:val="21"/>
              </w:rPr>
            </w:pPr>
          </w:p>
        </w:tc>
        <w:tc>
          <w:tcPr>
            <w:tcW w:w="1246" w:type="dxa"/>
          </w:tcPr>
          <w:p w14:paraId="69DFCCA0">
            <w:pPr>
              <w:keepNext/>
              <w:spacing w:line="360" w:lineRule="auto"/>
              <w:ind w:left="63" w:right="63"/>
              <w:rPr>
                <w:rFonts w:ascii="宋体" w:hAnsi="宋体" w:eastAsia="宋体" w:cs="宋体"/>
                <w:color w:val="000000"/>
                <w:szCs w:val="21"/>
              </w:rPr>
            </w:pPr>
          </w:p>
        </w:tc>
        <w:tc>
          <w:tcPr>
            <w:tcW w:w="1306" w:type="dxa"/>
          </w:tcPr>
          <w:p w14:paraId="7B2F0990">
            <w:pPr>
              <w:keepNext/>
              <w:spacing w:line="360" w:lineRule="auto"/>
              <w:ind w:left="63" w:right="63"/>
              <w:rPr>
                <w:rFonts w:ascii="宋体" w:hAnsi="宋体" w:eastAsia="宋体" w:cs="宋体"/>
                <w:color w:val="000000"/>
                <w:szCs w:val="21"/>
              </w:rPr>
            </w:pPr>
          </w:p>
        </w:tc>
        <w:tc>
          <w:tcPr>
            <w:tcW w:w="1566" w:type="dxa"/>
          </w:tcPr>
          <w:p w14:paraId="7FCDDDDF">
            <w:pPr>
              <w:keepNext/>
              <w:spacing w:line="360" w:lineRule="auto"/>
              <w:ind w:left="63" w:right="63"/>
              <w:rPr>
                <w:rFonts w:ascii="宋体" w:hAnsi="宋体" w:eastAsia="宋体" w:cs="宋体"/>
                <w:color w:val="000000"/>
                <w:szCs w:val="21"/>
              </w:rPr>
            </w:pPr>
          </w:p>
        </w:tc>
      </w:tr>
      <w:tr w14:paraId="6E666E0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6BAE270E">
            <w:pPr>
              <w:keepNext/>
              <w:spacing w:line="360" w:lineRule="auto"/>
              <w:ind w:left="63" w:right="63"/>
              <w:rPr>
                <w:rFonts w:ascii="宋体" w:hAnsi="宋体" w:eastAsia="宋体" w:cs="宋体"/>
                <w:color w:val="000000"/>
                <w:szCs w:val="21"/>
              </w:rPr>
            </w:pPr>
          </w:p>
        </w:tc>
        <w:tc>
          <w:tcPr>
            <w:tcW w:w="1830" w:type="dxa"/>
          </w:tcPr>
          <w:p w14:paraId="0D172A7C">
            <w:pPr>
              <w:keepNext/>
              <w:spacing w:line="360" w:lineRule="auto"/>
              <w:ind w:left="63" w:right="63"/>
              <w:rPr>
                <w:rFonts w:ascii="宋体" w:hAnsi="宋体" w:eastAsia="宋体" w:cs="宋体"/>
                <w:color w:val="000000"/>
                <w:szCs w:val="21"/>
              </w:rPr>
            </w:pPr>
          </w:p>
        </w:tc>
        <w:tc>
          <w:tcPr>
            <w:tcW w:w="784" w:type="dxa"/>
          </w:tcPr>
          <w:p w14:paraId="02FEC742">
            <w:pPr>
              <w:keepNext/>
              <w:spacing w:line="360" w:lineRule="auto"/>
              <w:ind w:left="63" w:right="63"/>
              <w:rPr>
                <w:rFonts w:ascii="宋体" w:hAnsi="宋体" w:eastAsia="宋体" w:cs="宋体"/>
                <w:color w:val="000000"/>
                <w:szCs w:val="21"/>
              </w:rPr>
            </w:pPr>
          </w:p>
        </w:tc>
        <w:tc>
          <w:tcPr>
            <w:tcW w:w="714" w:type="dxa"/>
          </w:tcPr>
          <w:p w14:paraId="6CC264C2">
            <w:pPr>
              <w:keepNext/>
              <w:spacing w:line="360" w:lineRule="auto"/>
              <w:ind w:left="63" w:right="63"/>
              <w:rPr>
                <w:rFonts w:ascii="宋体" w:hAnsi="宋体" w:eastAsia="宋体" w:cs="宋体"/>
                <w:color w:val="000000"/>
                <w:szCs w:val="21"/>
              </w:rPr>
            </w:pPr>
          </w:p>
        </w:tc>
        <w:tc>
          <w:tcPr>
            <w:tcW w:w="1246" w:type="dxa"/>
          </w:tcPr>
          <w:p w14:paraId="3E8DD1A4">
            <w:pPr>
              <w:keepNext/>
              <w:spacing w:line="360" w:lineRule="auto"/>
              <w:ind w:left="63" w:right="63"/>
              <w:rPr>
                <w:rFonts w:ascii="宋体" w:hAnsi="宋体" w:eastAsia="宋体" w:cs="宋体"/>
                <w:color w:val="000000"/>
                <w:szCs w:val="21"/>
              </w:rPr>
            </w:pPr>
          </w:p>
        </w:tc>
        <w:tc>
          <w:tcPr>
            <w:tcW w:w="1306" w:type="dxa"/>
          </w:tcPr>
          <w:p w14:paraId="794F37AB">
            <w:pPr>
              <w:keepNext/>
              <w:spacing w:line="360" w:lineRule="auto"/>
              <w:ind w:left="63" w:right="63"/>
              <w:rPr>
                <w:rFonts w:ascii="宋体" w:hAnsi="宋体" w:eastAsia="宋体" w:cs="宋体"/>
                <w:color w:val="000000"/>
                <w:szCs w:val="21"/>
              </w:rPr>
            </w:pPr>
          </w:p>
        </w:tc>
        <w:tc>
          <w:tcPr>
            <w:tcW w:w="1566" w:type="dxa"/>
          </w:tcPr>
          <w:p w14:paraId="25108498">
            <w:pPr>
              <w:keepNext/>
              <w:spacing w:line="360" w:lineRule="auto"/>
              <w:ind w:left="63" w:right="63"/>
              <w:rPr>
                <w:rFonts w:ascii="宋体" w:hAnsi="宋体" w:eastAsia="宋体" w:cs="宋体"/>
                <w:color w:val="000000"/>
                <w:szCs w:val="21"/>
              </w:rPr>
            </w:pPr>
          </w:p>
        </w:tc>
      </w:tr>
      <w:tr w14:paraId="29000E6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7" w:type="dxa"/>
          </w:tcPr>
          <w:p w14:paraId="2D6AC847">
            <w:pPr>
              <w:keepNext/>
              <w:spacing w:line="360" w:lineRule="auto"/>
              <w:ind w:left="63" w:right="63"/>
              <w:rPr>
                <w:rFonts w:ascii="宋体" w:hAnsi="宋体" w:eastAsia="宋体" w:cs="宋体"/>
                <w:color w:val="000000"/>
                <w:szCs w:val="21"/>
              </w:rPr>
            </w:pPr>
          </w:p>
        </w:tc>
        <w:tc>
          <w:tcPr>
            <w:tcW w:w="1830" w:type="dxa"/>
          </w:tcPr>
          <w:p w14:paraId="7012BCA7">
            <w:pPr>
              <w:keepNext/>
              <w:spacing w:line="360" w:lineRule="auto"/>
              <w:ind w:left="63" w:right="63"/>
              <w:rPr>
                <w:rFonts w:ascii="宋体" w:hAnsi="宋体" w:eastAsia="宋体" w:cs="宋体"/>
                <w:color w:val="000000"/>
                <w:szCs w:val="21"/>
              </w:rPr>
            </w:pPr>
          </w:p>
        </w:tc>
        <w:tc>
          <w:tcPr>
            <w:tcW w:w="784" w:type="dxa"/>
          </w:tcPr>
          <w:p w14:paraId="5550C184">
            <w:pPr>
              <w:keepNext/>
              <w:spacing w:line="360" w:lineRule="auto"/>
              <w:ind w:left="63" w:right="63"/>
              <w:rPr>
                <w:rFonts w:ascii="宋体" w:hAnsi="宋体" w:eastAsia="宋体" w:cs="宋体"/>
                <w:color w:val="000000"/>
                <w:szCs w:val="21"/>
              </w:rPr>
            </w:pPr>
          </w:p>
        </w:tc>
        <w:tc>
          <w:tcPr>
            <w:tcW w:w="714" w:type="dxa"/>
          </w:tcPr>
          <w:p w14:paraId="5C3EDC8F">
            <w:pPr>
              <w:keepNext/>
              <w:spacing w:line="360" w:lineRule="auto"/>
              <w:ind w:left="63" w:right="63"/>
              <w:rPr>
                <w:rFonts w:ascii="宋体" w:hAnsi="宋体" w:eastAsia="宋体" w:cs="宋体"/>
                <w:color w:val="000000"/>
                <w:szCs w:val="21"/>
              </w:rPr>
            </w:pPr>
          </w:p>
        </w:tc>
        <w:tc>
          <w:tcPr>
            <w:tcW w:w="1246" w:type="dxa"/>
          </w:tcPr>
          <w:p w14:paraId="1D345905">
            <w:pPr>
              <w:keepNext/>
              <w:spacing w:line="360" w:lineRule="auto"/>
              <w:ind w:left="63" w:right="63"/>
              <w:rPr>
                <w:rFonts w:ascii="宋体" w:hAnsi="宋体" w:eastAsia="宋体" w:cs="宋体"/>
                <w:color w:val="000000"/>
                <w:szCs w:val="21"/>
              </w:rPr>
            </w:pPr>
          </w:p>
        </w:tc>
        <w:tc>
          <w:tcPr>
            <w:tcW w:w="1306" w:type="dxa"/>
          </w:tcPr>
          <w:p w14:paraId="2F3692EF">
            <w:pPr>
              <w:keepNext/>
              <w:spacing w:line="360" w:lineRule="auto"/>
              <w:ind w:left="63" w:right="63"/>
              <w:rPr>
                <w:rFonts w:ascii="宋体" w:hAnsi="宋体" w:eastAsia="宋体" w:cs="宋体"/>
                <w:color w:val="000000"/>
                <w:szCs w:val="21"/>
              </w:rPr>
            </w:pPr>
          </w:p>
        </w:tc>
        <w:tc>
          <w:tcPr>
            <w:tcW w:w="1566" w:type="dxa"/>
          </w:tcPr>
          <w:p w14:paraId="47295F3D">
            <w:pPr>
              <w:keepNext/>
              <w:spacing w:line="360" w:lineRule="auto"/>
              <w:ind w:left="63" w:right="63"/>
              <w:rPr>
                <w:rFonts w:ascii="宋体" w:hAnsi="宋体" w:eastAsia="宋体" w:cs="宋体"/>
                <w:color w:val="000000"/>
                <w:szCs w:val="21"/>
              </w:rPr>
            </w:pPr>
          </w:p>
        </w:tc>
      </w:tr>
    </w:tbl>
    <w:p w14:paraId="337CD915">
      <w:pPr>
        <w:spacing w:before="120" w:beforeLines="50" w:after="120" w:afterLines="50" w:line="360" w:lineRule="auto"/>
        <w:rPr>
          <w:rFonts w:ascii="宋体" w:hAnsi="宋体" w:eastAsia="宋体" w:cs="宋体"/>
          <w:color w:val="000000"/>
          <w:szCs w:val="21"/>
        </w:rPr>
      </w:pPr>
    </w:p>
    <w:p w14:paraId="31832408">
      <w:pPr>
        <w:rPr>
          <w:rFonts w:ascii="宋体" w:hAnsi="宋体" w:eastAsia="宋体" w:cs="宋体"/>
        </w:rPr>
      </w:pPr>
    </w:p>
    <w:p w14:paraId="47224FF6">
      <w:pPr>
        <w:widowControl/>
        <w:ind w:firstLine="420"/>
        <w:jc w:val="left"/>
        <w:rPr>
          <w:rFonts w:ascii="宋体" w:hAnsi="宋体" w:eastAsia="宋体" w:cs="宋体"/>
          <w:color w:val="000000"/>
          <w:kern w:val="0"/>
          <w:szCs w:val="21"/>
        </w:rPr>
      </w:pPr>
    </w:p>
    <w:p w14:paraId="168DD36D">
      <w:pPr>
        <w:rPr>
          <w:rFonts w:ascii="宋体" w:hAnsi="宋体" w:eastAsia="宋体" w:cs="宋体"/>
          <w:color w:val="000000"/>
          <w:szCs w:val="21"/>
        </w:rPr>
      </w:pPr>
      <w:r>
        <w:rPr>
          <w:rFonts w:hint="eastAsia" w:ascii="宋体" w:hAnsi="宋体" w:eastAsia="宋体" w:cs="宋体"/>
          <w:color w:val="000000"/>
          <w:szCs w:val="21"/>
        </w:rPr>
        <w:br w:type="page"/>
      </w:r>
    </w:p>
    <w:p w14:paraId="11CF83E8">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t>11-2：工程设备暂估价表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28226B5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E5B24FE">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29" w:type="dxa"/>
          </w:tcPr>
          <w:p w14:paraId="02D94AB5">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名称</w:t>
            </w:r>
          </w:p>
        </w:tc>
        <w:tc>
          <w:tcPr>
            <w:tcW w:w="785" w:type="dxa"/>
          </w:tcPr>
          <w:p w14:paraId="00B39F88">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单位</w:t>
            </w:r>
          </w:p>
        </w:tc>
        <w:tc>
          <w:tcPr>
            <w:tcW w:w="714" w:type="dxa"/>
          </w:tcPr>
          <w:p w14:paraId="305F83C4">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46" w:type="dxa"/>
          </w:tcPr>
          <w:p w14:paraId="4853C957">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306" w:type="dxa"/>
          </w:tcPr>
          <w:p w14:paraId="679BBC11">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合价（元）</w:t>
            </w:r>
          </w:p>
        </w:tc>
        <w:tc>
          <w:tcPr>
            <w:tcW w:w="1567" w:type="dxa"/>
          </w:tcPr>
          <w:p w14:paraId="39EFD8EB">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备注</w:t>
            </w:r>
          </w:p>
        </w:tc>
      </w:tr>
      <w:tr w14:paraId="0486A90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35C5B512">
            <w:pPr>
              <w:keepNext/>
              <w:spacing w:line="360" w:lineRule="auto"/>
              <w:ind w:left="63" w:right="63"/>
              <w:rPr>
                <w:rFonts w:ascii="宋体" w:hAnsi="宋体" w:eastAsia="宋体" w:cs="宋体"/>
                <w:color w:val="000000"/>
                <w:szCs w:val="21"/>
              </w:rPr>
            </w:pPr>
          </w:p>
        </w:tc>
        <w:tc>
          <w:tcPr>
            <w:tcW w:w="1829" w:type="dxa"/>
          </w:tcPr>
          <w:p w14:paraId="1757A608">
            <w:pPr>
              <w:keepNext/>
              <w:spacing w:line="360" w:lineRule="auto"/>
              <w:ind w:left="63" w:right="63"/>
              <w:rPr>
                <w:rFonts w:ascii="宋体" w:hAnsi="宋体" w:eastAsia="宋体" w:cs="宋体"/>
                <w:color w:val="000000"/>
                <w:szCs w:val="21"/>
              </w:rPr>
            </w:pPr>
          </w:p>
        </w:tc>
        <w:tc>
          <w:tcPr>
            <w:tcW w:w="785" w:type="dxa"/>
          </w:tcPr>
          <w:p w14:paraId="40EE86F2">
            <w:pPr>
              <w:keepNext/>
              <w:spacing w:line="360" w:lineRule="auto"/>
              <w:ind w:left="63" w:right="63"/>
              <w:rPr>
                <w:rFonts w:ascii="宋体" w:hAnsi="宋体" w:eastAsia="宋体" w:cs="宋体"/>
                <w:color w:val="000000"/>
                <w:szCs w:val="21"/>
              </w:rPr>
            </w:pPr>
          </w:p>
        </w:tc>
        <w:tc>
          <w:tcPr>
            <w:tcW w:w="714" w:type="dxa"/>
          </w:tcPr>
          <w:p w14:paraId="11A4241B">
            <w:pPr>
              <w:keepNext/>
              <w:spacing w:line="360" w:lineRule="auto"/>
              <w:ind w:left="63" w:right="63"/>
              <w:rPr>
                <w:rFonts w:ascii="宋体" w:hAnsi="宋体" w:eastAsia="宋体" w:cs="宋体"/>
                <w:color w:val="000000"/>
                <w:szCs w:val="21"/>
              </w:rPr>
            </w:pPr>
          </w:p>
        </w:tc>
        <w:tc>
          <w:tcPr>
            <w:tcW w:w="1246" w:type="dxa"/>
          </w:tcPr>
          <w:p w14:paraId="1F3733FD">
            <w:pPr>
              <w:keepNext/>
              <w:spacing w:line="360" w:lineRule="auto"/>
              <w:ind w:left="63" w:right="63"/>
              <w:rPr>
                <w:rFonts w:ascii="宋体" w:hAnsi="宋体" w:eastAsia="宋体" w:cs="宋体"/>
                <w:color w:val="000000"/>
                <w:szCs w:val="21"/>
              </w:rPr>
            </w:pPr>
          </w:p>
        </w:tc>
        <w:tc>
          <w:tcPr>
            <w:tcW w:w="1306" w:type="dxa"/>
          </w:tcPr>
          <w:p w14:paraId="0287D3D2">
            <w:pPr>
              <w:keepNext/>
              <w:spacing w:line="360" w:lineRule="auto"/>
              <w:ind w:left="63" w:right="63"/>
              <w:rPr>
                <w:rFonts w:ascii="宋体" w:hAnsi="宋体" w:eastAsia="宋体" w:cs="宋体"/>
                <w:color w:val="000000"/>
                <w:szCs w:val="21"/>
              </w:rPr>
            </w:pPr>
          </w:p>
        </w:tc>
        <w:tc>
          <w:tcPr>
            <w:tcW w:w="1567" w:type="dxa"/>
          </w:tcPr>
          <w:p w14:paraId="56B46973">
            <w:pPr>
              <w:keepNext/>
              <w:spacing w:line="360" w:lineRule="auto"/>
              <w:ind w:left="63" w:right="63"/>
              <w:rPr>
                <w:rFonts w:ascii="宋体" w:hAnsi="宋体" w:eastAsia="宋体" w:cs="宋体"/>
                <w:color w:val="000000"/>
                <w:szCs w:val="21"/>
              </w:rPr>
            </w:pPr>
          </w:p>
        </w:tc>
      </w:tr>
      <w:tr w14:paraId="72B858C5">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16D02916">
            <w:pPr>
              <w:keepNext/>
              <w:spacing w:line="360" w:lineRule="auto"/>
              <w:ind w:left="63" w:right="63"/>
              <w:rPr>
                <w:rFonts w:ascii="宋体" w:hAnsi="宋体" w:eastAsia="宋体" w:cs="宋体"/>
                <w:color w:val="000000"/>
                <w:szCs w:val="21"/>
              </w:rPr>
            </w:pPr>
          </w:p>
        </w:tc>
        <w:tc>
          <w:tcPr>
            <w:tcW w:w="1829" w:type="dxa"/>
          </w:tcPr>
          <w:p w14:paraId="4A8701F9">
            <w:pPr>
              <w:keepNext/>
              <w:spacing w:line="360" w:lineRule="auto"/>
              <w:ind w:left="63" w:right="63"/>
              <w:rPr>
                <w:rFonts w:ascii="宋体" w:hAnsi="宋体" w:eastAsia="宋体" w:cs="宋体"/>
                <w:color w:val="000000"/>
                <w:szCs w:val="21"/>
              </w:rPr>
            </w:pPr>
          </w:p>
        </w:tc>
        <w:tc>
          <w:tcPr>
            <w:tcW w:w="785" w:type="dxa"/>
          </w:tcPr>
          <w:p w14:paraId="460EA5CB">
            <w:pPr>
              <w:keepNext/>
              <w:spacing w:line="360" w:lineRule="auto"/>
              <w:ind w:left="63" w:right="63"/>
              <w:rPr>
                <w:rFonts w:ascii="宋体" w:hAnsi="宋体" w:eastAsia="宋体" w:cs="宋体"/>
                <w:color w:val="000000"/>
                <w:szCs w:val="21"/>
              </w:rPr>
            </w:pPr>
          </w:p>
        </w:tc>
        <w:tc>
          <w:tcPr>
            <w:tcW w:w="714" w:type="dxa"/>
          </w:tcPr>
          <w:p w14:paraId="68C47F05">
            <w:pPr>
              <w:keepNext/>
              <w:spacing w:line="360" w:lineRule="auto"/>
              <w:ind w:left="63" w:right="63"/>
              <w:rPr>
                <w:rFonts w:ascii="宋体" w:hAnsi="宋体" w:eastAsia="宋体" w:cs="宋体"/>
                <w:color w:val="000000"/>
                <w:szCs w:val="21"/>
              </w:rPr>
            </w:pPr>
          </w:p>
        </w:tc>
        <w:tc>
          <w:tcPr>
            <w:tcW w:w="1246" w:type="dxa"/>
          </w:tcPr>
          <w:p w14:paraId="460E552F">
            <w:pPr>
              <w:keepNext/>
              <w:spacing w:line="360" w:lineRule="auto"/>
              <w:ind w:left="63" w:right="63"/>
              <w:rPr>
                <w:rFonts w:ascii="宋体" w:hAnsi="宋体" w:eastAsia="宋体" w:cs="宋体"/>
                <w:color w:val="000000"/>
                <w:szCs w:val="21"/>
              </w:rPr>
            </w:pPr>
          </w:p>
        </w:tc>
        <w:tc>
          <w:tcPr>
            <w:tcW w:w="1306" w:type="dxa"/>
          </w:tcPr>
          <w:p w14:paraId="63817C26">
            <w:pPr>
              <w:keepNext/>
              <w:spacing w:line="360" w:lineRule="auto"/>
              <w:ind w:left="63" w:right="63"/>
              <w:rPr>
                <w:rFonts w:ascii="宋体" w:hAnsi="宋体" w:eastAsia="宋体" w:cs="宋体"/>
                <w:color w:val="000000"/>
                <w:szCs w:val="21"/>
              </w:rPr>
            </w:pPr>
          </w:p>
        </w:tc>
        <w:tc>
          <w:tcPr>
            <w:tcW w:w="1567" w:type="dxa"/>
          </w:tcPr>
          <w:p w14:paraId="742022EE">
            <w:pPr>
              <w:keepNext/>
              <w:spacing w:line="360" w:lineRule="auto"/>
              <w:ind w:left="63" w:right="63"/>
              <w:rPr>
                <w:rFonts w:ascii="宋体" w:hAnsi="宋体" w:eastAsia="宋体" w:cs="宋体"/>
                <w:color w:val="000000"/>
                <w:szCs w:val="21"/>
              </w:rPr>
            </w:pPr>
          </w:p>
        </w:tc>
      </w:tr>
      <w:tr w14:paraId="7880A38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7F2AAA2">
            <w:pPr>
              <w:keepNext/>
              <w:spacing w:line="360" w:lineRule="auto"/>
              <w:ind w:left="63" w:right="63"/>
              <w:rPr>
                <w:rFonts w:ascii="宋体" w:hAnsi="宋体" w:eastAsia="宋体" w:cs="宋体"/>
                <w:color w:val="000000"/>
                <w:szCs w:val="21"/>
              </w:rPr>
            </w:pPr>
          </w:p>
        </w:tc>
        <w:tc>
          <w:tcPr>
            <w:tcW w:w="1829" w:type="dxa"/>
          </w:tcPr>
          <w:p w14:paraId="74F1D040">
            <w:pPr>
              <w:keepNext/>
              <w:spacing w:line="360" w:lineRule="auto"/>
              <w:ind w:left="63" w:right="63"/>
              <w:rPr>
                <w:rFonts w:ascii="宋体" w:hAnsi="宋体" w:eastAsia="宋体" w:cs="宋体"/>
                <w:color w:val="000000"/>
                <w:szCs w:val="21"/>
              </w:rPr>
            </w:pPr>
          </w:p>
        </w:tc>
        <w:tc>
          <w:tcPr>
            <w:tcW w:w="785" w:type="dxa"/>
          </w:tcPr>
          <w:p w14:paraId="7C9FEE4D">
            <w:pPr>
              <w:keepNext/>
              <w:spacing w:line="360" w:lineRule="auto"/>
              <w:ind w:left="63" w:right="63"/>
              <w:rPr>
                <w:rFonts w:ascii="宋体" w:hAnsi="宋体" w:eastAsia="宋体" w:cs="宋体"/>
                <w:color w:val="000000"/>
                <w:szCs w:val="21"/>
              </w:rPr>
            </w:pPr>
          </w:p>
        </w:tc>
        <w:tc>
          <w:tcPr>
            <w:tcW w:w="714" w:type="dxa"/>
          </w:tcPr>
          <w:p w14:paraId="53055D3B">
            <w:pPr>
              <w:keepNext/>
              <w:spacing w:line="360" w:lineRule="auto"/>
              <w:ind w:left="63" w:right="63"/>
              <w:rPr>
                <w:rFonts w:ascii="宋体" w:hAnsi="宋体" w:eastAsia="宋体" w:cs="宋体"/>
                <w:color w:val="000000"/>
                <w:szCs w:val="21"/>
              </w:rPr>
            </w:pPr>
          </w:p>
        </w:tc>
        <w:tc>
          <w:tcPr>
            <w:tcW w:w="1246" w:type="dxa"/>
          </w:tcPr>
          <w:p w14:paraId="4BFDE539">
            <w:pPr>
              <w:keepNext/>
              <w:spacing w:line="360" w:lineRule="auto"/>
              <w:ind w:left="63" w:right="63"/>
              <w:rPr>
                <w:rFonts w:ascii="宋体" w:hAnsi="宋体" w:eastAsia="宋体" w:cs="宋体"/>
                <w:color w:val="000000"/>
                <w:szCs w:val="21"/>
              </w:rPr>
            </w:pPr>
          </w:p>
        </w:tc>
        <w:tc>
          <w:tcPr>
            <w:tcW w:w="1306" w:type="dxa"/>
          </w:tcPr>
          <w:p w14:paraId="393E5A97">
            <w:pPr>
              <w:keepNext/>
              <w:spacing w:line="360" w:lineRule="auto"/>
              <w:ind w:left="63" w:right="63"/>
              <w:rPr>
                <w:rFonts w:ascii="宋体" w:hAnsi="宋体" w:eastAsia="宋体" w:cs="宋体"/>
                <w:color w:val="000000"/>
                <w:szCs w:val="21"/>
              </w:rPr>
            </w:pPr>
          </w:p>
        </w:tc>
        <w:tc>
          <w:tcPr>
            <w:tcW w:w="1567" w:type="dxa"/>
          </w:tcPr>
          <w:p w14:paraId="2D0D0319">
            <w:pPr>
              <w:keepNext/>
              <w:spacing w:line="360" w:lineRule="auto"/>
              <w:ind w:left="63" w:right="63"/>
              <w:rPr>
                <w:rFonts w:ascii="宋体" w:hAnsi="宋体" w:eastAsia="宋体" w:cs="宋体"/>
                <w:color w:val="000000"/>
                <w:szCs w:val="21"/>
              </w:rPr>
            </w:pPr>
          </w:p>
        </w:tc>
      </w:tr>
      <w:tr w14:paraId="50885DEF">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3502C42C">
            <w:pPr>
              <w:keepNext/>
              <w:spacing w:line="360" w:lineRule="auto"/>
              <w:ind w:left="63" w:right="63"/>
              <w:rPr>
                <w:rFonts w:ascii="宋体" w:hAnsi="宋体" w:eastAsia="宋体" w:cs="宋体"/>
                <w:color w:val="000000"/>
                <w:szCs w:val="21"/>
              </w:rPr>
            </w:pPr>
          </w:p>
        </w:tc>
        <w:tc>
          <w:tcPr>
            <w:tcW w:w="1829" w:type="dxa"/>
          </w:tcPr>
          <w:p w14:paraId="1D0F3D26">
            <w:pPr>
              <w:keepNext/>
              <w:spacing w:line="360" w:lineRule="auto"/>
              <w:ind w:left="63" w:right="63"/>
              <w:rPr>
                <w:rFonts w:ascii="宋体" w:hAnsi="宋体" w:eastAsia="宋体" w:cs="宋体"/>
                <w:color w:val="000000"/>
                <w:szCs w:val="21"/>
              </w:rPr>
            </w:pPr>
          </w:p>
        </w:tc>
        <w:tc>
          <w:tcPr>
            <w:tcW w:w="785" w:type="dxa"/>
          </w:tcPr>
          <w:p w14:paraId="413C27F7">
            <w:pPr>
              <w:keepNext/>
              <w:spacing w:line="360" w:lineRule="auto"/>
              <w:ind w:left="63" w:right="63"/>
              <w:rPr>
                <w:rFonts w:ascii="宋体" w:hAnsi="宋体" w:eastAsia="宋体" w:cs="宋体"/>
                <w:color w:val="000000"/>
                <w:szCs w:val="21"/>
              </w:rPr>
            </w:pPr>
          </w:p>
        </w:tc>
        <w:tc>
          <w:tcPr>
            <w:tcW w:w="714" w:type="dxa"/>
          </w:tcPr>
          <w:p w14:paraId="169030E7">
            <w:pPr>
              <w:keepNext/>
              <w:spacing w:line="360" w:lineRule="auto"/>
              <w:ind w:left="63" w:right="63"/>
              <w:rPr>
                <w:rFonts w:ascii="宋体" w:hAnsi="宋体" w:eastAsia="宋体" w:cs="宋体"/>
                <w:color w:val="000000"/>
                <w:szCs w:val="21"/>
              </w:rPr>
            </w:pPr>
          </w:p>
        </w:tc>
        <w:tc>
          <w:tcPr>
            <w:tcW w:w="1246" w:type="dxa"/>
          </w:tcPr>
          <w:p w14:paraId="437998EB">
            <w:pPr>
              <w:keepNext/>
              <w:spacing w:line="360" w:lineRule="auto"/>
              <w:ind w:left="63" w:right="63"/>
              <w:rPr>
                <w:rFonts w:ascii="宋体" w:hAnsi="宋体" w:eastAsia="宋体" w:cs="宋体"/>
                <w:color w:val="000000"/>
                <w:szCs w:val="21"/>
              </w:rPr>
            </w:pPr>
          </w:p>
        </w:tc>
        <w:tc>
          <w:tcPr>
            <w:tcW w:w="1306" w:type="dxa"/>
          </w:tcPr>
          <w:p w14:paraId="2441850C">
            <w:pPr>
              <w:keepNext/>
              <w:spacing w:line="360" w:lineRule="auto"/>
              <w:ind w:left="63" w:right="63"/>
              <w:rPr>
                <w:rFonts w:ascii="宋体" w:hAnsi="宋体" w:eastAsia="宋体" w:cs="宋体"/>
                <w:color w:val="000000"/>
                <w:szCs w:val="21"/>
              </w:rPr>
            </w:pPr>
          </w:p>
        </w:tc>
        <w:tc>
          <w:tcPr>
            <w:tcW w:w="1567" w:type="dxa"/>
          </w:tcPr>
          <w:p w14:paraId="098000F0">
            <w:pPr>
              <w:keepNext/>
              <w:spacing w:line="360" w:lineRule="auto"/>
              <w:ind w:left="63" w:right="63"/>
              <w:rPr>
                <w:rFonts w:ascii="宋体" w:hAnsi="宋体" w:eastAsia="宋体" w:cs="宋体"/>
                <w:color w:val="000000"/>
                <w:szCs w:val="21"/>
              </w:rPr>
            </w:pPr>
          </w:p>
        </w:tc>
      </w:tr>
      <w:tr w14:paraId="573136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B45BB71">
            <w:pPr>
              <w:keepNext/>
              <w:spacing w:line="360" w:lineRule="auto"/>
              <w:ind w:left="63" w:right="63"/>
              <w:rPr>
                <w:rFonts w:ascii="宋体" w:hAnsi="宋体" w:eastAsia="宋体" w:cs="宋体"/>
                <w:color w:val="000000"/>
                <w:szCs w:val="21"/>
              </w:rPr>
            </w:pPr>
          </w:p>
        </w:tc>
        <w:tc>
          <w:tcPr>
            <w:tcW w:w="1829" w:type="dxa"/>
          </w:tcPr>
          <w:p w14:paraId="7A41F3A9">
            <w:pPr>
              <w:keepNext/>
              <w:spacing w:line="360" w:lineRule="auto"/>
              <w:ind w:left="63" w:right="63"/>
              <w:rPr>
                <w:rFonts w:ascii="宋体" w:hAnsi="宋体" w:eastAsia="宋体" w:cs="宋体"/>
                <w:color w:val="000000"/>
                <w:szCs w:val="21"/>
              </w:rPr>
            </w:pPr>
          </w:p>
        </w:tc>
        <w:tc>
          <w:tcPr>
            <w:tcW w:w="785" w:type="dxa"/>
          </w:tcPr>
          <w:p w14:paraId="662425D0">
            <w:pPr>
              <w:keepNext/>
              <w:spacing w:line="360" w:lineRule="auto"/>
              <w:ind w:left="63" w:right="63"/>
              <w:rPr>
                <w:rFonts w:ascii="宋体" w:hAnsi="宋体" w:eastAsia="宋体" w:cs="宋体"/>
                <w:color w:val="000000"/>
                <w:szCs w:val="21"/>
              </w:rPr>
            </w:pPr>
          </w:p>
        </w:tc>
        <w:tc>
          <w:tcPr>
            <w:tcW w:w="714" w:type="dxa"/>
          </w:tcPr>
          <w:p w14:paraId="7B106B6A">
            <w:pPr>
              <w:keepNext/>
              <w:spacing w:line="360" w:lineRule="auto"/>
              <w:ind w:left="63" w:right="63"/>
              <w:rPr>
                <w:rFonts w:ascii="宋体" w:hAnsi="宋体" w:eastAsia="宋体" w:cs="宋体"/>
                <w:color w:val="000000"/>
                <w:szCs w:val="21"/>
              </w:rPr>
            </w:pPr>
          </w:p>
        </w:tc>
        <w:tc>
          <w:tcPr>
            <w:tcW w:w="1246" w:type="dxa"/>
          </w:tcPr>
          <w:p w14:paraId="13A0ECC2">
            <w:pPr>
              <w:keepNext/>
              <w:spacing w:line="360" w:lineRule="auto"/>
              <w:ind w:left="63" w:right="63"/>
              <w:rPr>
                <w:rFonts w:ascii="宋体" w:hAnsi="宋体" w:eastAsia="宋体" w:cs="宋体"/>
                <w:color w:val="000000"/>
                <w:szCs w:val="21"/>
              </w:rPr>
            </w:pPr>
          </w:p>
        </w:tc>
        <w:tc>
          <w:tcPr>
            <w:tcW w:w="1306" w:type="dxa"/>
          </w:tcPr>
          <w:p w14:paraId="300BE05A">
            <w:pPr>
              <w:keepNext/>
              <w:spacing w:line="360" w:lineRule="auto"/>
              <w:ind w:left="63" w:right="63"/>
              <w:rPr>
                <w:rFonts w:ascii="宋体" w:hAnsi="宋体" w:eastAsia="宋体" w:cs="宋体"/>
                <w:color w:val="000000"/>
                <w:szCs w:val="21"/>
              </w:rPr>
            </w:pPr>
          </w:p>
        </w:tc>
        <w:tc>
          <w:tcPr>
            <w:tcW w:w="1567" w:type="dxa"/>
          </w:tcPr>
          <w:p w14:paraId="01DFBB51">
            <w:pPr>
              <w:keepNext/>
              <w:spacing w:line="360" w:lineRule="auto"/>
              <w:ind w:left="63" w:right="63"/>
              <w:rPr>
                <w:rFonts w:ascii="宋体" w:hAnsi="宋体" w:eastAsia="宋体" w:cs="宋体"/>
                <w:color w:val="000000"/>
                <w:szCs w:val="21"/>
              </w:rPr>
            </w:pPr>
          </w:p>
        </w:tc>
      </w:tr>
      <w:tr w14:paraId="444050E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35BFCCD">
            <w:pPr>
              <w:keepNext/>
              <w:spacing w:line="360" w:lineRule="auto"/>
              <w:ind w:left="63" w:right="63"/>
              <w:rPr>
                <w:rFonts w:ascii="宋体" w:hAnsi="宋体" w:eastAsia="宋体" w:cs="宋体"/>
                <w:color w:val="000000"/>
                <w:szCs w:val="21"/>
              </w:rPr>
            </w:pPr>
          </w:p>
        </w:tc>
        <w:tc>
          <w:tcPr>
            <w:tcW w:w="1829" w:type="dxa"/>
          </w:tcPr>
          <w:p w14:paraId="2F2E8549">
            <w:pPr>
              <w:keepNext/>
              <w:spacing w:line="360" w:lineRule="auto"/>
              <w:ind w:left="63" w:right="63"/>
              <w:rPr>
                <w:rFonts w:ascii="宋体" w:hAnsi="宋体" w:eastAsia="宋体" w:cs="宋体"/>
                <w:color w:val="000000"/>
                <w:szCs w:val="21"/>
              </w:rPr>
            </w:pPr>
          </w:p>
        </w:tc>
        <w:tc>
          <w:tcPr>
            <w:tcW w:w="785" w:type="dxa"/>
          </w:tcPr>
          <w:p w14:paraId="0852C8C1">
            <w:pPr>
              <w:keepNext/>
              <w:spacing w:line="360" w:lineRule="auto"/>
              <w:ind w:left="63" w:right="63"/>
              <w:rPr>
                <w:rFonts w:ascii="宋体" w:hAnsi="宋体" w:eastAsia="宋体" w:cs="宋体"/>
                <w:color w:val="000000"/>
                <w:szCs w:val="21"/>
              </w:rPr>
            </w:pPr>
          </w:p>
        </w:tc>
        <w:tc>
          <w:tcPr>
            <w:tcW w:w="714" w:type="dxa"/>
          </w:tcPr>
          <w:p w14:paraId="2DF37F9D">
            <w:pPr>
              <w:keepNext/>
              <w:spacing w:line="360" w:lineRule="auto"/>
              <w:ind w:left="63" w:right="63"/>
              <w:rPr>
                <w:rFonts w:ascii="宋体" w:hAnsi="宋体" w:eastAsia="宋体" w:cs="宋体"/>
                <w:color w:val="000000"/>
                <w:szCs w:val="21"/>
              </w:rPr>
            </w:pPr>
          </w:p>
        </w:tc>
        <w:tc>
          <w:tcPr>
            <w:tcW w:w="1246" w:type="dxa"/>
          </w:tcPr>
          <w:p w14:paraId="535C4614">
            <w:pPr>
              <w:keepNext/>
              <w:spacing w:line="360" w:lineRule="auto"/>
              <w:ind w:left="63" w:right="63"/>
              <w:rPr>
                <w:rFonts w:ascii="宋体" w:hAnsi="宋体" w:eastAsia="宋体" w:cs="宋体"/>
                <w:color w:val="000000"/>
                <w:szCs w:val="21"/>
              </w:rPr>
            </w:pPr>
          </w:p>
        </w:tc>
        <w:tc>
          <w:tcPr>
            <w:tcW w:w="1306" w:type="dxa"/>
          </w:tcPr>
          <w:p w14:paraId="55725677">
            <w:pPr>
              <w:keepNext/>
              <w:spacing w:line="360" w:lineRule="auto"/>
              <w:ind w:left="63" w:right="63"/>
              <w:rPr>
                <w:rFonts w:ascii="宋体" w:hAnsi="宋体" w:eastAsia="宋体" w:cs="宋体"/>
                <w:color w:val="000000"/>
                <w:szCs w:val="21"/>
              </w:rPr>
            </w:pPr>
          </w:p>
        </w:tc>
        <w:tc>
          <w:tcPr>
            <w:tcW w:w="1567" w:type="dxa"/>
          </w:tcPr>
          <w:p w14:paraId="66D135CD">
            <w:pPr>
              <w:keepNext/>
              <w:spacing w:line="360" w:lineRule="auto"/>
              <w:ind w:left="63" w:right="63"/>
              <w:rPr>
                <w:rFonts w:ascii="宋体" w:hAnsi="宋体" w:eastAsia="宋体" w:cs="宋体"/>
                <w:color w:val="000000"/>
                <w:szCs w:val="21"/>
              </w:rPr>
            </w:pPr>
          </w:p>
        </w:tc>
      </w:tr>
      <w:tr w14:paraId="64BD8D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6FC7754C">
            <w:pPr>
              <w:keepNext/>
              <w:spacing w:line="360" w:lineRule="auto"/>
              <w:ind w:left="63" w:right="63"/>
              <w:rPr>
                <w:rFonts w:ascii="宋体" w:hAnsi="宋体" w:eastAsia="宋体" w:cs="宋体"/>
                <w:color w:val="000000"/>
                <w:szCs w:val="21"/>
              </w:rPr>
            </w:pPr>
          </w:p>
        </w:tc>
        <w:tc>
          <w:tcPr>
            <w:tcW w:w="1829" w:type="dxa"/>
          </w:tcPr>
          <w:p w14:paraId="408FC2FA">
            <w:pPr>
              <w:keepNext/>
              <w:spacing w:line="360" w:lineRule="auto"/>
              <w:ind w:left="63" w:right="63"/>
              <w:rPr>
                <w:rFonts w:ascii="宋体" w:hAnsi="宋体" w:eastAsia="宋体" w:cs="宋体"/>
                <w:color w:val="000000"/>
                <w:szCs w:val="21"/>
              </w:rPr>
            </w:pPr>
          </w:p>
        </w:tc>
        <w:tc>
          <w:tcPr>
            <w:tcW w:w="785" w:type="dxa"/>
          </w:tcPr>
          <w:p w14:paraId="3555C1A9">
            <w:pPr>
              <w:keepNext/>
              <w:spacing w:line="360" w:lineRule="auto"/>
              <w:ind w:left="63" w:right="63"/>
              <w:rPr>
                <w:rFonts w:ascii="宋体" w:hAnsi="宋体" w:eastAsia="宋体" w:cs="宋体"/>
                <w:color w:val="000000"/>
                <w:szCs w:val="21"/>
              </w:rPr>
            </w:pPr>
          </w:p>
        </w:tc>
        <w:tc>
          <w:tcPr>
            <w:tcW w:w="714" w:type="dxa"/>
          </w:tcPr>
          <w:p w14:paraId="0E19FA92">
            <w:pPr>
              <w:keepNext/>
              <w:spacing w:line="360" w:lineRule="auto"/>
              <w:ind w:left="63" w:right="63"/>
              <w:rPr>
                <w:rFonts w:ascii="宋体" w:hAnsi="宋体" w:eastAsia="宋体" w:cs="宋体"/>
                <w:color w:val="000000"/>
                <w:szCs w:val="21"/>
              </w:rPr>
            </w:pPr>
          </w:p>
        </w:tc>
        <w:tc>
          <w:tcPr>
            <w:tcW w:w="1246" w:type="dxa"/>
          </w:tcPr>
          <w:p w14:paraId="7712AF23">
            <w:pPr>
              <w:keepNext/>
              <w:spacing w:line="360" w:lineRule="auto"/>
              <w:ind w:left="63" w:right="63"/>
              <w:rPr>
                <w:rFonts w:ascii="宋体" w:hAnsi="宋体" w:eastAsia="宋体" w:cs="宋体"/>
                <w:color w:val="000000"/>
                <w:szCs w:val="21"/>
              </w:rPr>
            </w:pPr>
          </w:p>
        </w:tc>
        <w:tc>
          <w:tcPr>
            <w:tcW w:w="1306" w:type="dxa"/>
          </w:tcPr>
          <w:p w14:paraId="55835355">
            <w:pPr>
              <w:keepNext/>
              <w:spacing w:line="360" w:lineRule="auto"/>
              <w:ind w:left="63" w:right="63"/>
              <w:rPr>
                <w:rFonts w:ascii="宋体" w:hAnsi="宋体" w:eastAsia="宋体" w:cs="宋体"/>
                <w:color w:val="000000"/>
                <w:szCs w:val="21"/>
              </w:rPr>
            </w:pPr>
          </w:p>
        </w:tc>
        <w:tc>
          <w:tcPr>
            <w:tcW w:w="1567" w:type="dxa"/>
          </w:tcPr>
          <w:p w14:paraId="04DF439B">
            <w:pPr>
              <w:keepNext/>
              <w:spacing w:line="360" w:lineRule="auto"/>
              <w:ind w:left="63" w:right="63"/>
              <w:rPr>
                <w:rFonts w:ascii="宋体" w:hAnsi="宋体" w:eastAsia="宋体" w:cs="宋体"/>
                <w:color w:val="000000"/>
                <w:szCs w:val="21"/>
              </w:rPr>
            </w:pPr>
          </w:p>
        </w:tc>
      </w:tr>
      <w:tr w14:paraId="08AC5B8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76AB2C3">
            <w:pPr>
              <w:keepNext/>
              <w:spacing w:line="360" w:lineRule="auto"/>
              <w:ind w:left="63" w:right="63"/>
              <w:rPr>
                <w:rFonts w:ascii="宋体" w:hAnsi="宋体" w:eastAsia="宋体" w:cs="宋体"/>
                <w:color w:val="000000"/>
                <w:szCs w:val="21"/>
              </w:rPr>
            </w:pPr>
          </w:p>
        </w:tc>
        <w:tc>
          <w:tcPr>
            <w:tcW w:w="1829" w:type="dxa"/>
          </w:tcPr>
          <w:p w14:paraId="2E6EE1EA">
            <w:pPr>
              <w:keepNext/>
              <w:spacing w:line="360" w:lineRule="auto"/>
              <w:ind w:left="63" w:right="63"/>
              <w:rPr>
                <w:rFonts w:ascii="宋体" w:hAnsi="宋体" w:eastAsia="宋体" w:cs="宋体"/>
                <w:color w:val="000000"/>
                <w:szCs w:val="21"/>
              </w:rPr>
            </w:pPr>
          </w:p>
        </w:tc>
        <w:tc>
          <w:tcPr>
            <w:tcW w:w="785" w:type="dxa"/>
          </w:tcPr>
          <w:p w14:paraId="2A044BFF">
            <w:pPr>
              <w:keepNext/>
              <w:spacing w:line="360" w:lineRule="auto"/>
              <w:ind w:left="63" w:right="63"/>
              <w:rPr>
                <w:rFonts w:ascii="宋体" w:hAnsi="宋体" w:eastAsia="宋体" w:cs="宋体"/>
                <w:color w:val="000000"/>
                <w:szCs w:val="21"/>
              </w:rPr>
            </w:pPr>
          </w:p>
        </w:tc>
        <w:tc>
          <w:tcPr>
            <w:tcW w:w="714" w:type="dxa"/>
          </w:tcPr>
          <w:p w14:paraId="137B3A05">
            <w:pPr>
              <w:keepNext/>
              <w:spacing w:line="360" w:lineRule="auto"/>
              <w:ind w:left="63" w:right="63"/>
              <w:rPr>
                <w:rFonts w:ascii="宋体" w:hAnsi="宋体" w:eastAsia="宋体" w:cs="宋体"/>
                <w:color w:val="000000"/>
                <w:szCs w:val="21"/>
              </w:rPr>
            </w:pPr>
          </w:p>
        </w:tc>
        <w:tc>
          <w:tcPr>
            <w:tcW w:w="1246" w:type="dxa"/>
          </w:tcPr>
          <w:p w14:paraId="23ABBA50">
            <w:pPr>
              <w:keepNext/>
              <w:spacing w:line="360" w:lineRule="auto"/>
              <w:ind w:left="63" w:right="63"/>
              <w:rPr>
                <w:rFonts w:ascii="宋体" w:hAnsi="宋体" w:eastAsia="宋体" w:cs="宋体"/>
                <w:color w:val="000000"/>
                <w:szCs w:val="21"/>
              </w:rPr>
            </w:pPr>
          </w:p>
        </w:tc>
        <w:tc>
          <w:tcPr>
            <w:tcW w:w="1306" w:type="dxa"/>
          </w:tcPr>
          <w:p w14:paraId="7A3AB14A">
            <w:pPr>
              <w:keepNext/>
              <w:spacing w:line="360" w:lineRule="auto"/>
              <w:ind w:left="63" w:right="63"/>
              <w:rPr>
                <w:rFonts w:ascii="宋体" w:hAnsi="宋体" w:eastAsia="宋体" w:cs="宋体"/>
                <w:color w:val="000000"/>
                <w:szCs w:val="21"/>
              </w:rPr>
            </w:pPr>
          </w:p>
        </w:tc>
        <w:tc>
          <w:tcPr>
            <w:tcW w:w="1567" w:type="dxa"/>
          </w:tcPr>
          <w:p w14:paraId="47027281">
            <w:pPr>
              <w:keepNext/>
              <w:spacing w:line="360" w:lineRule="auto"/>
              <w:ind w:left="63" w:right="63"/>
              <w:rPr>
                <w:rFonts w:ascii="宋体" w:hAnsi="宋体" w:eastAsia="宋体" w:cs="宋体"/>
                <w:color w:val="000000"/>
                <w:szCs w:val="21"/>
              </w:rPr>
            </w:pPr>
          </w:p>
        </w:tc>
      </w:tr>
      <w:tr w14:paraId="2C68FA4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3E55FF23">
            <w:pPr>
              <w:keepNext/>
              <w:spacing w:line="360" w:lineRule="auto"/>
              <w:ind w:left="63" w:right="63"/>
              <w:rPr>
                <w:rFonts w:ascii="宋体" w:hAnsi="宋体" w:eastAsia="宋体" w:cs="宋体"/>
                <w:color w:val="000000"/>
                <w:szCs w:val="21"/>
              </w:rPr>
            </w:pPr>
          </w:p>
        </w:tc>
        <w:tc>
          <w:tcPr>
            <w:tcW w:w="1829" w:type="dxa"/>
          </w:tcPr>
          <w:p w14:paraId="482E6917">
            <w:pPr>
              <w:keepNext/>
              <w:spacing w:line="360" w:lineRule="auto"/>
              <w:ind w:left="63" w:right="63"/>
              <w:rPr>
                <w:rFonts w:ascii="宋体" w:hAnsi="宋体" w:eastAsia="宋体" w:cs="宋体"/>
                <w:color w:val="000000"/>
                <w:szCs w:val="21"/>
              </w:rPr>
            </w:pPr>
          </w:p>
        </w:tc>
        <w:tc>
          <w:tcPr>
            <w:tcW w:w="785" w:type="dxa"/>
          </w:tcPr>
          <w:p w14:paraId="3FFD8295">
            <w:pPr>
              <w:keepNext/>
              <w:spacing w:line="360" w:lineRule="auto"/>
              <w:ind w:left="63" w:right="63"/>
              <w:rPr>
                <w:rFonts w:ascii="宋体" w:hAnsi="宋体" w:eastAsia="宋体" w:cs="宋体"/>
                <w:color w:val="000000"/>
                <w:szCs w:val="21"/>
              </w:rPr>
            </w:pPr>
          </w:p>
        </w:tc>
        <w:tc>
          <w:tcPr>
            <w:tcW w:w="714" w:type="dxa"/>
          </w:tcPr>
          <w:p w14:paraId="11E24BBA">
            <w:pPr>
              <w:keepNext/>
              <w:spacing w:line="360" w:lineRule="auto"/>
              <w:ind w:left="63" w:right="63"/>
              <w:rPr>
                <w:rFonts w:ascii="宋体" w:hAnsi="宋体" w:eastAsia="宋体" w:cs="宋体"/>
                <w:color w:val="000000"/>
                <w:szCs w:val="21"/>
              </w:rPr>
            </w:pPr>
          </w:p>
        </w:tc>
        <w:tc>
          <w:tcPr>
            <w:tcW w:w="1246" w:type="dxa"/>
          </w:tcPr>
          <w:p w14:paraId="7555B9B7">
            <w:pPr>
              <w:keepNext/>
              <w:spacing w:line="360" w:lineRule="auto"/>
              <w:ind w:left="63" w:right="63"/>
              <w:rPr>
                <w:rFonts w:ascii="宋体" w:hAnsi="宋体" w:eastAsia="宋体" w:cs="宋体"/>
                <w:color w:val="000000"/>
                <w:szCs w:val="21"/>
              </w:rPr>
            </w:pPr>
          </w:p>
        </w:tc>
        <w:tc>
          <w:tcPr>
            <w:tcW w:w="1306" w:type="dxa"/>
          </w:tcPr>
          <w:p w14:paraId="475292BC">
            <w:pPr>
              <w:keepNext/>
              <w:spacing w:line="360" w:lineRule="auto"/>
              <w:ind w:left="63" w:right="63"/>
              <w:rPr>
                <w:rFonts w:ascii="宋体" w:hAnsi="宋体" w:eastAsia="宋体" w:cs="宋体"/>
                <w:color w:val="000000"/>
                <w:szCs w:val="21"/>
              </w:rPr>
            </w:pPr>
          </w:p>
        </w:tc>
        <w:tc>
          <w:tcPr>
            <w:tcW w:w="1567" w:type="dxa"/>
          </w:tcPr>
          <w:p w14:paraId="6B0E12AD">
            <w:pPr>
              <w:keepNext/>
              <w:spacing w:line="360" w:lineRule="auto"/>
              <w:ind w:left="63" w:right="63"/>
              <w:rPr>
                <w:rFonts w:ascii="宋体" w:hAnsi="宋体" w:eastAsia="宋体" w:cs="宋体"/>
                <w:color w:val="000000"/>
                <w:szCs w:val="21"/>
              </w:rPr>
            </w:pPr>
          </w:p>
        </w:tc>
      </w:tr>
      <w:tr w14:paraId="6F8EA98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7D676A15">
            <w:pPr>
              <w:keepNext/>
              <w:spacing w:line="360" w:lineRule="auto"/>
              <w:ind w:left="63" w:right="63"/>
              <w:rPr>
                <w:rFonts w:ascii="宋体" w:hAnsi="宋体" w:eastAsia="宋体" w:cs="宋体"/>
                <w:color w:val="000000"/>
                <w:szCs w:val="21"/>
              </w:rPr>
            </w:pPr>
          </w:p>
        </w:tc>
        <w:tc>
          <w:tcPr>
            <w:tcW w:w="1829" w:type="dxa"/>
          </w:tcPr>
          <w:p w14:paraId="0CAB911F">
            <w:pPr>
              <w:keepNext/>
              <w:spacing w:line="360" w:lineRule="auto"/>
              <w:ind w:left="63" w:right="63"/>
              <w:rPr>
                <w:rFonts w:ascii="宋体" w:hAnsi="宋体" w:eastAsia="宋体" w:cs="宋体"/>
                <w:color w:val="000000"/>
                <w:szCs w:val="21"/>
              </w:rPr>
            </w:pPr>
          </w:p>
        </w:tc>
        <w:tc>
          <w:tcPr>
            <w:tcW w:w="785" w:type="dxa"/>
          </w:tcPr>
          <w:p w14:paraId="3595CC98">
            <w:pPr>
              <w:keepNext/>
              <w:spacing w:line="360" w:lineRule="auto"/>
              <w:ind w:left="63" w:right="63"/>
              <w:rPr>
                <w:rFonts w:ascii="宋体" w:hAnsi="宋体" w:eastAsia="宋体" w:cs="宋体"/>
                <w:color w:val="000000"/>
                <w:szCs w:val="21"/>
              </w:rPr>
            </w:pPr>
          </w:p>
        </w:tc>
        <w:tc>
          <w:tcPr>
            <w:tcW w:w="714" w:type="dxa"/>
          </w:tcPr>
          <w:p w14:paraId="72C3EFF3">
            <w:pPr>
              <w:keepNext/>
              <w:spacing w:line="360" w:lineRule="auto"/>
              <w:ind w:left="63" w:right="63"/>
              <w:rPr>
                <w:rFonts w:ascii="宋体" w:hAnsi="宋体" w:eastAsia="宋体" w:cs="宋体"/>
                <w:color w:val="000000"/>
                <w:szCs w:val="21"/>
              </w:rPr>
            </w:pPr>
          </w:p>
        </w:tc>
        <w:tc>
          <w:tcPr>
            <w:tcW w:w="1246" w:type="dxa"/>
          </w:tcPr>
          <w:p w14:paraId="316AC99D">
            <w:pPr>
              <w:keepNext/>
              <w:spacing w:line="360" w:lineRule="auto"/>
              <w:ind w:left="63" w:right="63"/>
              <w:rPr>
                <w:rFonts w:ascii="宋体" w:hAnsi="宋体" w:eastAsia="宋体" w:cs="宋体"/>
                <w:color w:val="000000"/>
                <w:szCs w:val="21"/>
              </w:rPr>
            </w:pPr>
          </w:p>
        </w:tc>
        <w:tc>
          <w:tcPr>
            <w:tcW w:w="1306" w:type="dxa"/>
          </w:tcPr>
          <w:p w14:paraId="00920B83">
            <w:pPr>
              <w:keepNext/>
              <w:spacing w:line="360" w:lineRule="auto"/>
              <w:ind w:left="63" w:right="63"/>
              <w:rPr>
                <w:rFonts w:ascii="宋体" w:hAnsi="宋体" w:eastAsia="宋体" w:cs="宋体"/>
                <w:color w:val="000000"/>
                <w:szCs w:val="21"/>
              </w:rPr>
            </w:pPr>
          </w:p>
        </w:tc>
        <w:tc>
          <w:tcPr>
            <w:tcW w:w="1567" w:type="dxa"/>
          </w:tcPr>
          <w:p w14:paraId="0A1DF116">
            <w:pPr>
              <w:keepNext/>
              <w:spacing w:line="360" w:lineRule="auto"/>
              <w:ind w:left="63" w:right="63"/>
              <w:rPr>
                <w:rFonts w:ascii="宋体" w:hAnsi="宋体" w:eastAsia="宋体" w:cs="宋体"/>
                <w:color w:val="000000"/>
                <w:szCs w:val="21"/>
              </w:rPr>
            </w:pPr>
          </w:p>
        </w:tc>
      </w:tr>
      <w:tr w14:paraId="41A74D8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A6DFB19">
            <w:pPr>
              <w:keepNext/>
              <w:spacing w:line="360" w:lineRule="auto"/>
              <w:ind w:left="63" w:right="63"/>
              <w:rPr>
                <w:rFonts w:ascii="宋体" w:hAnsi="宋体" w:eastAsia="宋体" w:cs="宋体"/>
                <w:color w:val="000000"/>
                <w:szCs w:val="21"/>
              </w:rPr>
            </w:pPr>
          </w:p>
        </w:tc>
        <w:tc>
          <w:tcPr>
            <w:tcW w:w="1829" w:type="dxa"/>
          </w:tcPr>
          <w:p w14:paraId="187596AA">
            <w:pPr>
              <w:keepNext/>
              <w:spacing w:line="360" w:lineRule="auto"/>
              <w:ind w:left="63" w:right="63"/>
              <w:rPr>
                <w:rFonts w:ascii="宋体" w:hAnsi="宋体" w:eastAsia="宋体" w:cs="宋体"/>
                <w:color w:val="000000"/>
                <w:szCs w:val="21"/>
              </w:rPr>
            </w:pPr>
          </w:p>
        </w:tc>
        <w:tc>
          <w:tcPr>
            <w:tcW w:w="785" w:type="dxa"/>
          </w:tcPr>
          <w:p w14:paraId="00807DD2">
            <w:pPr>
              <w:keepNext/>
              <w:spacing w:line="360" w:lineRule="auto"/>
              <w:ind w:left="63" w:right="63"/>
              <w:rPr>
                <w:rFonts w:ascii="宋体" w:hAnsi="宋体" w:eastAsia="宋体" w:cs="宋体"/>
                <w:color w:val="000000"/>
                <w:szCs w:val="21"/>
              </w:rPr>
            </w:pPr>
          </w:p>
        </w:tc>
        <w:tc>
          <w:tcPr>
            <w:tcW w:w="714" w:type="dxa"/>
          </w:tcPr>
          <w:p w14:paraId="565DD4A7">
            <w:pPr>
              <w:keepNext/>
              <w:spacing w:line="360" w:lineRule="auto"/>
              <w:ind w:left="63" w:right="63"/>
              <w:rPr>
                <w:rFonts w:ascii="宋体" w:hAnsi="宋体" w:eastAsia="宋体" w:cs="宋体"/>
                <w:color w:val="000000"/>
                <w:szCs w:val="21"/>
              </w:rPr>
            </w:pPr>
          </w:p>
        </w:tc>
        <w:tc>
          <w:tcPr>
            <w:tcW w:w="1246" w:type="dxa"/>
          </w:tcPr>
          <w:p w14:paraId="4EBDE8A0">
            <w:pPr>
              <w:keepNext/>
              <w:spacing w:line="360" w:lineRule="auto"/>
              <w:ind w:left="63" w:right="63"/>
              <w:rPr>
                <w:rFonts w:ascii="宋体" w:hAnsi="宋体" w:eastAsia="宋体" w:cs="宋体"/>
                <w:color w:val="000000"/>
                <w:szCs w:val="21"/>
              </w:rPr>
            </w:pPr>
          </w:p>
        </w:tc>
        <w:tc>
          <w:tcPr>
            <w:tcW w:w="1306" w:type="dxa"/>
          </w:tcPr>
          <w:p w14:paraId="3859C0AD">
            <w:pPr>
              <w:keepNext/>
              <w:spacing w:line="360" w:lineRule="auto"/>
              <w:ind w:left="63" w:right="63"/>
              <w:rPr>
                <w:rFonts w:ascii="宋体" w:hAnsi="宋体" w:eastAsia="宋体" w:cs="宋体"/>
                <w:color w:val="000000"/>
                <w:szCs w:val="21"/>
              </w:rPr>
            </w:pPr>
          </w:p>
        </w:tc>
        <w:tc>
          <w:tcPr>
            <w:tcW w:w="1567" w:type="dxa"/>
          </w:tcPr>
          <w:p w14:paraId="2F72782F">
            <w:pPr>
              <w:keepNext/>
              <w:spacing w:line="360" w:lineRule="auto"/>
              <w:ind w:left="63" w:right="63"/>
              <w:rPr>
                <w:rFonts w:ascii="宋体" w:hAnsi="宋体" w:eastAsia="宋体" w:cs="宋体"/>
                <w:color w:val="000000"/>
                <w:szCs w:val="21"/>
              </w:rPr>
            </w:pPr>
          </w:p>
        </w:tc>
      </w:tr>
      <w:tr w14:paraId="5B1CD40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6EEB393">
            <w:pPr>
              <w:keepNext/>
              <w:spacing w:line="360" w:lineRule="auto"/>
              <w:ind w:left="63" w:right="63"/>
              <w:rPr>
                <w:rFonts w:ascii="宋体" w:hAnsi="宋体" w:eastAsia="宋体" w:cs="宋体"/>
                <w:color w:val="000000"/>
                <w:szCs w:val="21"/>
              </w:rPr>
            </w:pPr>
          </w:p>
        </w:tc>
        <w:tc>
          <w:tcPr>
            <w:tcW w:w="1829" w:type="dxa"/>
          </w:tcPr>
          <w:p w14:paraId="2F1448A8">
            <w:pPr>
              <w:keepNext/>
              <w:spacing w:line="360" w:lineRule="auto"/>
              <w:ind w:left="63" w:right="63"/>
              <w:rPr>
                <w:rFonts w:ascii="宋体" w:hAnsi="宋体" w:eastAsia="宋体" w:cs="宋体"/>
                <w:color w:val="000000"/>
                <w:szCs w:val="21"/>
              </w:rPr>
            </w:pPr>
          </w:p>
        </w:tc>
        <w:tc>
          <w:tcPr>
            <w:tcW w:w="785" w:type="dxa"/>
          </w:tcPr>
          <w:p w14:paraId="2B0FAB61">
            <w:pPr>
              <w:keepNext/>
              <w:spacing w:line="360" w:lineRule="auto"/>
              <w:ind w:left="63" w:right="63"/>
              <w:rPr>
                <w:rFonts w:ascii="宋体" w:hAnsi="宋体" w:eastAsia="宋体" w:cs="宋体"/>
                <w:color w:val="000000"/>
                <w:szCs w:val="21"/>
              </w:rPr>
            </w:pPr>
          </w:p>
        </w:tc>
        <w:tc>
          <w:tcPr>
            <w:tcW w:w="714" w:type="dxa"/>
          </w:tcPr>
          <w:p w14:paraId="5702D7B6">
            <w:pPr>
              <w:keepNext/>
              <w:spacing w:line="360" w:lineRule="auto"/>
              <w:ind w:left="63" w:right="63"/>
              <w:rPr>
                <w:rFonts w:ascii="宋体" w:hAnsi="宋体" w:eastAsia="宋体" w:cs="宋体"/>
                <w:color w:val="000000"/>
                <w:szCs w:val="21"/>
              </w:rPr>
            </w:pPr>
          </w:p>
        </w:tc>
        <w:tc>
          <w:tcPr>
            <w:tcW w:w="1246" w:type="dxa"/>
          </w:tcPr>
          <w:p w14:paraId="69E56526">
            <w:pPr>
              <w:keepNext/>
              <w:spacing w:line="360" w:lineRule="auto"/>
              <w:ind w:left="63" w:right="63"/>
              <w:rPr>
                <w:rFonts w:ascii="宋体" w:hAnsi="宋体" w:eastAsia="宋体" w:cs="宋体"/>
                <w:color w:val="000000"/>
                <w:szCs w:val="21"/>
              </w:rPr>
            </w:pPr>
          </w:p>
        </w:tc>
        <w:tc>
          <w:tcPr>
            <w:tcW w:w="1306" w:type="dxa"/>
          </w:tcPr>
          <w:p w14:paraId="38D3387B">
            <w:pPr>
              <w:keepNext/>
              <w:spacing w:line="360" w:lineRule="auto"/>
              <w:ind w:left="63" w:right="63"/>
              <w:rPr>
                <w:rFonts w:ascii="宋体" w:hAnsi="宋体" w:eastAsia="宋体" w:cs="宋体"/>
                <w:color w:val="000000"/>
                <w:szCs w:val="21"/>
              </w:rPr>
            </w:pPr>
          </w:p>
        </w:tc>
        <w:tc>
          <w:tcPr>
            <w:tcW w:w="1567" w:type="dxa"/>
          </w:tcPr>
          <w:p w14:paraId="7F59E950">
            <w:pPr>
              <w:keepNext/>
              <w:spacing w:line="360" w:lineRule="auto"/>
              <w:ind w:left="63" w:right="63"/>
              <w:rPr>
                <w:rFonts w:ascii="宋体" w:hAnsi="宋体" w:eastAsia="宋体" w:cs="宋体"/>
                <w:color w:val="000000"/>
                <w:szCs w:val="21"/>
              </w:rPr>
            </w:pPr>
          </w:p>
        </w:tc>
      </w:tr>
      <w:tr w14:paraId="2EB8D2C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18334D7">
            <w:pPr>
              <w:keepNext/>
              <w:spacing w:line="360" w:lineRule="auto"/>
              <w:ind w:left="63" w:right="63"/>
              <w:rPr>
                <w:rFonts w:ascii="宋体" w:hAnsi="宋体" w:eastAsia="宋体" w:cs="宋体"/>
                <w:color w:val="000000"/>
                <w:szCs w:val="21"/>
              </w:rPr>
            </w:pPr>
          </w:p>
        </w:tc>
        <w:tc>
          <w:tcPr>
            <w:tcW w:w="1829" w:type="dxa"/>
          </w:tcPr>
          <w:p w14:paraId="0725C981">
            <w:pPr>
              <w:keepNext/>
              <w:spacing w:line="360" w:lineRule="auto"/>
              <w:ind w:left="63" w:right="63"/>
              <w:rPr>
                <w:rFonts w:ascii="宋体" w:hAnsi="宋体" w:eastAsia="宋体" w:cs="宋体"/>
                <w:color w:val="000000"/>
                <w:szCs w:val="21"/>
              </w:rPr>
            </w:pPr>
          </w:p>
        </w:tc>
        <w:tc>
          <w:tcPr>
            <w:tcW w:w="785" w:type="dxa"/>
          </w:tcPr>
          <w:p w14:paraId="289458F5">
            <w:pPr>
              <w:keepNext/>
              <w:spacing w:line="360" w:lineRule="auto"/>
              <w:ind w:left="63" w:right="63"/>
              <w:rPr>
                <w:rFonts w:ascii="宋体" w:hAnsi="宋体" w:eastAsia="宋体" w:cs="宋体"/>
                <w:color w:val="000000"/>
                <w:szCs w:val="21"/>
              </w:rPr>
            </w:pPr>
          </w:p>
        </w:tc>
        <w:tc>
          <w:tcPr>
            <w:tcW w:w="714" w:type="dxa"/>
          </w:tcPr>
          <w:p w14:paraId="3969E6F5">
            <w:pPr>
              <w:keepNext/>
              <w:spacing w:line="360" w:lineRule="auto"/>
              <w:ind w:left="63" w:right="63"/>
              <w:rPr>
                <w:rFonts w:ascii="宋体" w:hAnsi="宋体" w:eastAsia="宋体" w:cs="宋体"/>
                <w:color w:val="000000"/>
                <w:szCs w:val="21"/>
              </w:rPr>
            </w:pPr>
          </w:p>
        </w:tc>
        <w:tc>
          <w:tcPr>
            <w:tcW w:w="1246" w:type="dxa"/>
          </w:tcPr>
          <w:p w14:paraId="6C2BAFB5">
            <w:pPr>
              <w:keepNext/>
              <w:spacing w:line="360" w:lineRule="auto"/>
              <w:ind w:left="63" w:right="63"/>
              <w:rPr>
                <w:rFonts w:ascii="宋体" w:hAnsi="宋体" w:eastAsia="宋体" w:cs="宋体"/>
                <w:color w:val="000000"/>
                <w:szCs w:val="21"/>
              </w:rPr>
            </w:pPr>
          </w:p>
        </w:tc>
        <w:tc>
          <w:tcPr>
            <w:tcW w:w="1306" w:type="dxa"/>
          </w:tcPr>
          <w:p w14:paraId="3602184D">
            <w:pPr>
              <w:keepNext/>
              <w:spacing w:line="360" w:lineRule="auto"/>
              <w:ind w:left="63" w:right="63"/>
              <w:rPr>
                <w:rFonts w:ascii="宋体" w:hAnsi="宋体" w:eastAsia="宋体" w:cs="宋体"/>
                <w:color w:val="000000"/>
                <w:szCs w:val="21"/>
              </w:rPr>
            </w:pPr>
          </w:p>
        </w:tc>
        <w:tc>
          <w:tcPr>
            <w:tcW w:w="1567" w:type="dxa"/>
          </w:tcPr>
          <w:p w14:paraId="7D7E899E">
            <w:pPr>
              <w:keepNext/>
              <w:spacing w:line="360" w:lineRule="auto"/>
              <w:ind w:left="63" w:right="63"/>
              <w:rPr>
                <w:rFonts w:ascii="宋体" w:hAnsi="宋体" w:eastAsia="宋体" w:cs="宋体"/>
                <w:color w:val="000000"/>
                <w:szCs w:val="21"/>
              </w:rPr>
            </w:pPr>
          </w:p>
        </w:tc>
      </w:tr>
      <w:tr w14:paraId="66E1EF30">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7C47E7A1">
            <w:pPr>
              <w:keepNext/>
              <w:spacing w:line="360" w:lineRule="auto"/>
              <w:ind w:left="63" w:right="63"/>
              <w:rPr>
                <w:rFonts w:ascii="宋体" w:hAnsi="宋体" w:eastAsia="宋体" w:cs="宋体"/>
                <w:color w:val="000000"/>
                <w:szCs w:val="21"/>
              </w:rPr>
            </w:pPr>
          </w:p>
        </w:tc>
        <w:tc>
          <w:tcPr>
            <w:tcW w:w="1829" w:type="dxa"/>
          </w:tcPr>
          <w:p w14:paraId="3C439125">
            <w:pPr>
              <w:keepNext/>
              <w:spacing w:line="360" w:lineRule="auto"/>
              <w:ind w:left="63" w:right="63"/>
              <w:rPr>
                <w:rFonts w:ascii="宋体" w:hAnsi="宋体" w:eastAsia="宋体" w:cs="宋体"/>
                <w:color w:val="000000"/>
                <w:szCs w:val="21"/>
              </w:rPr>
            </w:pPr>
          </w:p>
        </w:tc>
        <w:tc>
          <w:tcPr>
            <w:tcW w:w="785" w:type="dxa"/>
          </w:tcPr>
          <w:p w14:paraId="28A3E9EB">
            <w:pPr>
              <w:keepNext/>
              <w:spacing w:line="360" w:lineRule="auto"/>
              <w:ind w:left="63" w:right="63"/>
              <w:rPr>
                <w:rFonts w:ascii="宋体" w:hAnsi="宋体" w:eastAsia="宋体" w:cs="宋体"/>
                <w:color w:val="000000"/>
                <w:szCs w:val="21"/>
              </w:rPr>
            </w:pPr>
          </w:p>
        </w:tc>
        <w:tc>
          <w:tcPr>
            <w:tcW w:w="714" w:type="dxa"/>
          </w:tcPr>
          <w:p w14:paraId="048D84F5">
            <w:pPr>
              <w:keepNext/>
              <w:spacing w:line="360" w:lineRule="auto"/>
              <w:ind w:left="63" w:right="63"/>
              <w:rPr>
                <w:rFonts w:ascii="宋体" w:hAnsi="宋体" w:eastAsia="宋体" w:cs="宋体"/>
                <w:color w:val="000000"/>
                <w:szCs w:val="21"/>
              </w:rPr>
            </w:pPr>
          </w:p>
        </w:tc>
        <w:tc>
          <w:tcPr>
            <w:tcW w:w="1246" w:type="dxa"/>
          </w:tcPr>
          <w:p w14:paraId="111E37A8">
            <w:pPr>
              <w:keepNext/>
              <w:spacing w:line="360" w:lineRule="auto"/>
              <w:ind w:left="63" w:right="63"/>
              <w:rPr>
                <w:rFonts w:ascii="宋体" w:hAnsi="宋体" w:eastAsia="宋体" w:cs="宋体"/>
                <w:color w:val="000000"/>
                <w:szCs w:val="21"/>
              </w:rPr>
            </w:pPr>
          </w:p>
        </w:tc>
        <w:tc>
          <w:tcPr>
            <w:tcW w:w="1306" w:type="dxa"/>
          </w:tcPr>
          <w:p w14:paraId="2FE4C1A3">
            <w:pPr>
              <w:keepNext/>
              <w:spacing w:line="360" w:lineRule="auto"/>
              <w:ind w:left="63" w:right="63"/>
              <w:rPr>
                <w:rFonts w:ascii="宋体" w:hAnsi="宋体" w:eastAsia="宋体" w:cs="宋体"/>
                <w:color w:val="000000"/>
                <w:szCs w:val="21"/>
              </w:rPr>
            </w:pPr>
          </w:p>
        </w:tc>
        <w:tc>
          <w:tcPr>
            <w:tcW w:w="1567" w:type="dxa"/>
          </w:tcPr>
          <w:p w14:paraId="557A1F8A">
            <w:pPr>
              <w:keepNext/>
              <w:spacing w:line="360" w:lineRule="auto"/>
              <w:ind w:left="63" w:right="63"/>
              <w:rPr>
                <w:rFonts w:ascii="宋体" w:hAnsi="宋体" w:eastAsia="宋体" w:cs="宋体"/>
                <w:color w:val="000000"/>
                <w:szCs w:val="21"/>
              </w:rPr>
            </w:pPr>
          </w:p>
        </w:tc>
      </w:tr>
      <w:tr w14:paraId="59EC606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A15AAEB">
            <w:pPr>
              <w:keepNext/>
              <w:spacing w:line="360" w:lineRule="auto"/>
              <w:ind w:left="63" w:right="63"/>
              <w:rPr>
                <w:rFonts w:ascii="宋体" w:hAnsi="宋体" w:eastAsia="宋体" w:cs="宋体"/>
                <w:color w:val="000000"/>
                <w:szCs w:val="21"/>
              </w:rPr>
            </w:pPr>
          </w:p>
        </w:tc>
        <w:tc>
          <w:tcPr>
            <w:tcW w:w="1829" w:type="dxa"/>
          </w:tcPr>
          <w:p w14:paraId="51ECFE16">
            <w:pPr>
              <w:keepNext/>
              <w:spacing w:line="360" w:lineRule="auto"/>
              <w:ind w:left="63" w:right="63"/>
              <w:rPr>
                <w:rFonts w:ascii="宋体" w:hAnsi="宋体" w:eastAsia="宋体" w:cs="宋体"/>
                <w:color w:val="000000"/>
                <w:szCs w:val="21"/>
              </w:rPr>
            </w:pPr>
          </w:p>
        </w:tc>
        <w:tc>
          <w:tcPr>
            <w:tcW w:w="785" w:type="dxa"/>
          </w:tcPr>
          <w:p w14:paraId="3BEF9956">
            <w:pPr>
              <w:keepNext/>
              <w:spacing w:line="360" w:lineRule="auto"/>
              <w:ind w:left="63" w:right="63"/>
              <w:rPr>
                <w:rFonts w:ascii="宋体" w:hAnsi="宋体" w:eastAsia="宋体" w:cs="宋体"/>
                <w:color w:val="000000"/>
                <w:szCs w:val="21"/>
              </w:rPr>
            </w:pPr>
          </w:p>
        </w:tc>
        <w:tc>
          <w:tcPr>
            <w:tcW w:w="714" w:type="dxa"/>
          </w:tcPr>
          <w:p w14:paraId="1C6C83CD">
            <w:pPr>
              <w:keepNext/>
              <w:spacing w:line="360" w:lineRule="auto"/>
              <w:ind w:left="63" w:right="63"/>
              <w:rPr>
                <w:rFonts w:ascii="宋体" w:hAnsi="宋体" w:eastAsia="宋体" w:cs="宋体"/>
                <w:color w:val="000000"/>
                <w:szCs w:val="21"/>
              </w:rPr>
            </w:pPr>
          </w:p>
        </w:tc>
        <w:tc>
          <w:tcPr>
            <w:tcW w:w="1246" w:type="dxa"/>
          </w:tcPr>
          <w:p w14:paraId="2933263B">
            <w:pPr>
              <w:keepNext/>
              <w:spacing w:line="360" w:lineRule="auto"/>
              <w:ind w:left="63" w:right="63"/>
              <w:rPr>
                <w:rFonts w:ascii="宋体" w:hAnsi="宋体" w:eastAsia="宋体" w:cs="宋体"/>
                <w:color w:val="000000"/>
                <w:szCs w:val="21"/>
              </w:rPr>
            </w:pPr>
          </w:p>
        </w:tc>
        <w:tc>
          <w:tcPr>
            <w:tcW w:w="1306" w:type="dxa"/>
          </w:tcPr>
          <w:p w14:paraId="279E84C3">
            <w:pPr>
              <w:keepNext/>
              <w:spacing w:line="360" w:lineRule="auto"/>
              <w:ind w:left="63" w:right="63"/>
              <w:rPr>
                <w:rFonts w:ascii="宋体" w:hAnsi="宋体" w:eastAsia="宋体" w:cs="宋体"/>
                <w:color w:val="000000"/>
                <w:szCs w:val="21"/>
              </w:rPr>
            </w:pPr>
          </w:p>
        </w:tc>
        <w:tc>
          <w:tcPr>
            <w:tcW w:w="1567" w:type="dxa"/>
          </w:tcPr>
          <w:p w14:paraId="521BB54F">
            <w:pPr>
              <w:keepNext/>
              <w:spacing w:line="360" w:lineRule="auto"/>
              <w:ind w:left="63" w:right="63"/>
              <w:rPr>
                <w:rFonts w:ascii="宋体" w:hAnsi="宋体" w:eastAsia="宋体" w:cs="宋体"/>
                <w:color w:val="000000"/>
                <w:szCs w:val="21"/>
              </w:rPr>
            </w:pPr>
          </w:p>
        </w:tc>
      </w:tr>
      <w:tr w14:paraId="2C09313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7CAA0022">
            <w:pPr>
              <w:keepNext/>
              <w:spacing w:line="360" w:lineRule="auto"/>
              <w:ind w:left="63" w:right="63"/>
              <w:rPr>
                <w:rFonts w:ascii="宋体" w:hAnsi="宋体" w:eastAsia="宋体" w:cs="宋体"/>
                <w:color w:val="000000"/>
                <w:szCs w:val="21"/>
              </w:rPr>
            </w:pPr>
          </w:p>
        </w:tc>
        <w:tc>
          <w:tcPr>
            <w:tcW w:w="1829" w:type="dxa"/>
          </w:tcPr>
          <w:p w14:paraId="606F0D83">
            <w:pPr>
              <w:keepNext/>
              <w:spacing w:line="360" w:lineRule="auto"/>
              <w:ind w:left="63" w:right="63"/>
              <w:rPr>
                <w:rFonts w:ascii="宋体" w:hAnsi="宋体" w:eastAsia="宋体" w:cs="宋体"/>
                <w:color w:val="000000"/>
                <w:szCs w:val="21"/>
              </w:rPr>
            </w:pPr>
          </w:p>
        </w:tc>
        <w:tc>
          <w:tcPr>
            <w:tcW w:w="785" w:type="dxa"/>
          </w:tcPr>
          <w:p w14:paraId="2066538B">
            <w:pPr>
              <w:keepNext/>
              <w:spacing w:line="360" w:lineRule="auto"/>
              <w:ind w:left="63" w:right="63"/>
              <w:rPr>
                <w:rFonts w:ascii="宋体" w:hAnsi="宋体" w:eastAsia="宋体" w:cs="宋体"/>
                <w:color w:val="000000"/>
                <w:szCs w:val="21"/>
              </w:rPr>
            </w:pPr>
          </w:p>
        </w:tc>
        <w:tc>
          <w:tcPr>
            <w:tcW w:w="714" w:type="dxa"/>
          </w:tcPr>
          <w:p w14:paraId="3488C4FF">
            <w:pPr>
              <w:keepNext/>
              <w:spacing w:line="360" w:lineRule="auto"/>
              <w:ind w:left="63" w:right="63"/>
              <w:rPr>
                <w:rFonts w:ascii="宋体" w:hAnsi="宋体" w:eastAsia="宋体" w:cs="宋体"/>
                <w:color w:val="000000"/>
                <w:szCs w:val="21"/>
              </w:rPr>
            </w:pPr>
          </w:p>
        </w:tc>
        <w:tc>
          <w:tcPr>
            <w:tcW w:w="1246" w:type="dxa"/>
          </w:tcPr>
          <w:p w14:paraId="2041556A">
            <w:pPr>
              <w:keepNext/>
              <w:spacing w:line="360" w:lineRule="auto"/>
              <w:ind w:left="63" w:right="63"/>
              <w:rPr>
                <w:rFonts w:ascii="宋体" w:hAnsi="宋体" w:eastAsia="宋体" w:cs="宋体"/>
                <w:color w:val="000000"/>
                <w:szCs w:val="21"/>
              </w:rPr>
            </w:pPr>
          </w:p>
        </w:tc>
        <w:tc>
          <w:tcPr>
            <w:tcW w:w="1306" w:type="dxa"/>
          </w:tcPr>
          <w:p w14:paraId="78902B47">
            <w:pPr>
              <w:keepNext/>
              <w:spacing w:line="360" w:lineRule="auto"/>
              <w:ind w:left="63" w:right="63"/>
              <w:rPr>
                <w:rFonts w:ascii="宋体" w:hAnsi="宋体" w:eastAsia="宋体" w:cs="宋体"/>
                <w:color w:val="000000"/>
                <w:szCs w:val="21"/>
              </w:rPr>
            </w:pPr>
          </w:p>
        </w:tc>
        <w:tc>
          <w:tcPr>
            <w:tcW w:w="1567" w:type="dxa"/>
          </w:tcPr>
          <w:p w14:paraId="42F23C11">
            <w:pPr>
              <w:keepNext/>
              <w:spacing w:line="360" w:lineRule="auto"/>
              <w:ind w:left="63" w:right="63"/>
              <w:rPr>
                <w:rFonts w:ascii="宋体" w:hAnsi="宋体" w:eastAsia="宋体" w:cs="宋体"/>
                <w:color w:val="000000"/>
                <w:szCs w:val="21"/>
              </w:rPr>
            </w:pPr>
          </w:p>
        </w:tc>
      </w:tr>
    </w:tbl>
    <w:p w14:paraId="4733F74F">
      <w:pPr>
        <w:spacing w:line="360" w:lineRule="auto"/>
        <w:rPr>
          <w:rFonts w:ascii="宋体" w:hAnsi="宋体" w:eastAsia="宋体" w:cs="宋体"/>
          <w:color w:val="000000"/>
          <w:szCs w:val="21"/>
        </w:rPr>
      </w:pPr>
    </w:p>
    <w:p w14:paraId="2A0C3F11">
      <w:pPr>
        <w:spacing w:before="120" w:beforeLines="50" w:after="120" w:afterLines="50" w:line="360" w:lineRule="auto"/>
        <w:jc w:val="center"/>
        <w:rPr>
          <w:rFonts w:ascii="宋体" w:hAnsi="宋体" w:eastAsia="宋体" w:cs="宋体"/>
          <w:color w:val="000000"/>
          <w:szCs w:val="21"/>
        </w:rPr>
      </w:pPr>
      <w:r>
        <w:rPr>
          <w:rFonts w:hint="eastAsia" w:ascii="宋体" w:hAnsi="宋体" w:eastAsia="宋体" w:cs="宋体"/>
          <w:color w:val="000000"/>
          <w:szCs w:val="21"/>
        </w:rPr>
        <w:br w:type="page"/>
      </w:r>
      <w:r>
        <w:rPr>
          <w:rFonts w:hint="eastAsia" w:ascii="宋体" w:hAnsi="宋体" w:eastAsia="宋体" w:cs="宋体"/>
          <w:color w:val="000000"/>
          <w:szCs w:val="21"/>
        </w:rPr>
        <w:t>11-3：专业工程暂估价及结算价表</w:t>
      </w:r>
    </w:p>
    <w:tbl>
      <w:tblPr>
        <w:tblStyle w:val="28"/>
        <w:tblW w:w="0" w:type="auto"/>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28" w:type="dxa"/>
          <w:bottom w:w="0" w:type="dxa"/>
          <w:right w:w="28" w:type="dxa"/>
        </w:tblCellMar>
      </w:tblPr>
      <w:tblGrid>
        <w:gridCol w:w="916"/>
        <w:gridCol w:w="1829"/>
        <w:gridCol w:w="785"/>
        <w:gridCol w:w="714"/>
        <w:gridCol w:w="1246"/>
        <w:gridCol w:w="1306"/>
        <w:gridCol w:w="1567"/>
      </w:tblGrid>
      <w:tr w14:paraId="397798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18E94E64">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序号</w:t>
            </w:r>
          </w:p>
        </w:tc>
        <w:tc>
          <w:tcPr>
            <w:tcW w:w="1829" w:type="dxa"/>
          </w:tcPr>
          <w:p w14:paraId="0DB64917">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名称</w:t>
            </w:r>
          </w:p>
        </w:tc>
        <w:tc>
          <w:tcPr>
            <w:tcW w:w="785" w:type="dxa"/>
          </w:tcPr>
          <w:p w14:paraId="5E3AA378">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单位</w:t>
            </w:r>
          </w:p>
        </w:tc>
        <w:tc>
          <w:tcPr>
            <w:tcW w:w="714" w:type="dxa"/>
          </w:tcPr>
          <w:p w14:paraId="6A91CD91">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数量</w:t>
            </w:r>
          </w:p>
        </w:tc>
        <w:tc>
          <w:tcPr>
            <w:tcW w:w="1246" w:type="dxa"/>
          </w:tcPr>
          <w:p w14:paraId="6C69978E">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单价（元）</w:t>
            </w:r>
          </w:p>
        </w:tc>
        <w:tc>
          <w:tcPr>
            <w:tcW w:w="1306" w:type="dxa"/>
          </w:tcPr>
          <w:p w14:paraId="658843F0">
            <w:pPr>
              <w:keepNext/>
              <w:spacing w:line="360" w:lineRule="auto"/>
              <w:ind w:left="63" w:right="63"/>
              <w:jc w:val="center"/>
              <w:rPr>
                <w:rFonts w:ascii="宋体" w:hAnsi="宋体" w:eastAsia="宋体" w:cs="宋体"/>
                <w:color w:val="000000"/>
                <w:szCs w:val="21"/>
              </w:rPr>
            </w:pPr>
            <w:r>
              <w:rPr>
                <w:rFonts w:hint="eastAsia" w:ascii="宋体" w:hAnsi="宋体" w:eastAsia="宋体" w:cs="宋体"/>
                <w:color w:val="000000"/>
                <w:szCs w:val="21"/>
              </w:rPr>
              <w:t>合价（元）</w:t>
            </w:r>
          </w:p>
        </w:tc>
        <w:tc>
          <w:tcPr>
            <w:tcW w:w="1567" w:type="dxa"/>
          </w:tcPr>
          <w:p w14:paraId="3B87D0C4">
            <w:pPr>
              <w:keepNext/>
              <w:spacing w:line="360" w:lineRule="auto"/>
              <w:ind w:right="63"/>
              <w:jc w:val="center"/>
              <w:rPr>
                <w:rFonts w:ascii="宋体" w:hAnsi="宋体" w:eastAsia="宋体" w:cs="宋体"/>
                <w:color w:val="000000"/>
                <w:szCs w:val="21"/>
              </w:rPr>
            </w:pPr>
            <w:r>
              <w:rPr>
                <w:rFonts w:hint="eastAsia" w:ascii="宋体" w:hAnsi="宋体" w:eastAsia="宋体" w:cs="宋体"/>
                <w:color w:val="000000"/>
                <w:szCs w:val="21"/>
              </w:rPr>
              <w:t>备注</w:t>
            </w:r>
          </w:p>
        </w:tc>
      </w:tr>
      <w:tr w14:paraId="53C55C1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B3F6E32">
            <w:pPr>
              <w:keepNext/>
              <w:spacing w:line="360" w:lineRule="auto"/>
              <w:ind w:left="63" w:right="63"/>
              <w:rPr>
                <w:rFonts w:ascii="宋体" w:hAnsi="宋体" w:eastAsia="宋体" w:cs="宋体"/>
                <w:color w:val="000000"/>
                <w:szCs w:val="21"/>
              </w:rPr>
            </w:pPr>
          </w:p>
        </w:tc>
        <w:tc>
          <w:tcPr>
            <w:tcW w:w="1829" w:type="dxa"/>
          </w:tcPr>
          <w:p w14:paraId="52A4B511">
            <w:pPr>
              <w:keepNext/>
              <w:spacing w:line="360" w:lineRule="auto"/>
              <w:ind w:left="63" w:right="63"/>
              <w:rPr>
                <w:rFonts w:ascii="宋体" w:hAnsi="宋体" w:eastAsia="宋体" w:cs="宋体"/>
                <w:color w:val="000000"/>
                <w:szCs w:val="21"/>
              </w:rPr>
            </w:pPr>
          </w:p>
        </w:tc>
        <w:tc>
          <w:tcPr>
            <w:tcW w:w="785" w:type="dxa"/>
          </w:tcPr>
          <w:p w14:paraId="3E05F3D2">
            <w:pPr>
              <w:keepNext/>
              <w:spacing w:line="360" w:lineRule="auto"/>
              <w:ind w:left="63" w:right="63"/>
              <w:rPr>
                <w:rFonts w:ascii="宋体" w:hAnsi="宋体" w:eastAsia="宋体" w:cs="宋体"/>
                <w:color w:val="000000"/>
                <w:szCs w:val="21"/>
              </w:rPr>
            </w:pPr>
          </w:p>
        </w:tc>
        <w:tc>
          <w:tcPr>
            <w:tcW w:w="714" w:type="dxa"/>
          </w:tcPr>
          <w:p w14:paraId="037F3648">
            <w:pPr>
              <w:keepNext/>
              <w:spacing w:line="360" w:lineRule="auto"/>
              <w:ind w:left="63" w:right="63"/>
              <w:rPr>
                <w:rFonts w:ascii="宋体" w:hAnsi="宋体" w:eastAsia="宋体" w:cs="宋体"/>
                <w:color w:val="000000"/>
                <w:szCs w:val="21"/>
              </w:rPr>
            </w:pPr>
          </w:p>
        </w:tc>
        <w:tc>
          <w:tcPr>
            <w:tcW w:w="1246" w:type="dxa"/>
          </w:tcPr>
          <w:p w14:paraId="18AAC2BA">
            <w:pPr>
              <w:keepNext/>
              <w:spacing w:line="360" w:lineRule="auto"/>
              <w:ind w:left="63" w:right="63"/>
              <w:rPr>
                <w:rFonts w:ascii="宋体" w:hAnsi="宋体" w:eastAsia="宋体" w:cs="宋体"/>
                <w:color w:val="000000"/>
                <w:szCs w:val="21"/>
              </w:rPr>
            </w:pPr>
          </w:p>
        </w:tc>
        <w:tc>
          <w:tcPr>
            <w:tcW w:w="1306" w:type="dxa"/>
          </w:tcPr>
          <w:p w14:paraId="5DDB6BA6">
            <w:pPr>
              <w:keepNext/>
              <w:spacing w:line="360" w:lineRule="auto"/>
              <w:ind w:left="63" w:right="63"/>
              <w:rPr>
                <w:rFonts w:ascii="宋体" w:hAnsi="宋体" w:eastAsia="宋体" w:cs="宋体"/>
                <w:color w:val="000000"/>
                <w:szCs w:val="21"/>
              </w:rPr>
            </w:pPr>
          </w:p>
        </w:tc>
        <w:tc>
          <w:tcPr>
            <w:tcW w:w="1567" w:type="dxa"/>
          </w:tcPr>
          <w:p w14:paraId="53B634DC">
            <w:pPr>
              <w:keepNext/>
              <w:spacing w:line="360" w:lineRule="auto"/>
              <w:ind w:left="63" w:right="63"/>
              <w:rPr>
                <w:rFonts w:ascii="宋体" w:hAnsi="宋体" w:eastAsia="宋体" w:cs="宋体"/>
                <w:color w:val="000000"/>
                <w:szCs w:val="21"/>
              </w:rPr>
            </w:pPr>
          </w:p>
        </w:tc>
      </w:tr>
      <w:tr w14:paraId="5263F5BD">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CE46A58">
            <w:pPr>
              <w:keepNext/>
              <w:spacing w:line="360" w:lineRule="auto"/>
              <w:ind w:left="63" w:right="63"/>
              <w:rPr>
                <w:rFonts w:ascii="宋体" w:hAnsi="宋体" w:eastAsia="宋体" w:cs="宋体"/>
                <w:color w:val="000000"/>
                <w:szCs w:val="21"/>
              </w:rPr>
            </w:pPr>
          </w:p>
        </w:tc>
        <w:tc>
          <w:tcPr>
            <w:tcW w:w="1829" w:type="dxa"/>
          </w:tcPr>
          <w:p w14:paraId="5E52E068">
            <w:pPr>
              <w:keepNext/>
              <w:spacing w:line="360" w:lineRule="auto"/>
              <w:ind w:left="63" w:right="63"/>
              <w:rPr>
                <w:rFonts w:ascii="宋体" w:hAnsi="宋体" w:eastAsia="宋体" w:cs="宋体"/>
                <w:color w:val="000000"/>
                <w:szCs w:val="21"/>
              </w:rPr>
            </w:pPr>
          </w:p>
        </w:tc>
        <w:tc>
          <w:tcPr>
            <w:tcW w:w="785" w:type="dxa"/>
          </w:tcPr>
          <w:p w14:paraId="231BA006">
            <w:pPr>
              <w:keepNext/>
              <w:spacing w:line="360" w:lineRule="auto"/>
              <w:ind w:left="63" w:right="63"/>
              <w:rPr>
                <w:rFonts w:ascii="宋体" w:hAnsi="宋体" w:eastAsia="宋体" w:cs="宋体"/>
                <w:color w:val="000000"/>
                <w:szCs w:val="21"/>
              </w:rPr>
            </w:pPr>
          </w:p>
        </w:tc>
        <w:tc>
          <w:tcPr>
            <w:tcW w:w="714" w:type="dxa"/>
          </w:tcPr>
          <w:p w14:paraId="788852BC">
            <w:pPr>
              <w:keepNext/>
              <w:spacing w:line="360" w:lineRule="auto"/>
              <w:ind w:left="63" w:right="63"/>
              <w:rPr>
                <w:rFonts w:ascii="宋体" w:hAnsi="宋体" w:eastAsia="宋体" w:cs="宋体"/>
                <w:color w:val="000000"/>
                <w:szCs w:val="21"/>
              </w:rPr>
            </w:pPr>
          </w:p>
        </w:tc>
        <w:tc>
          <w:tcPr>
            <w:tcW w:w="1246" w:type="dxa"/>
          </w:tcPr>
          <w:p w14:paraId="4C854010">
            <w:pPr>
              <w:keepNext/>
              <w:spacing w:line="360" w:lineRule="auto"/>
              <w:ind w:left="63" w:right="63"/>
              <w:rPr>
                <w:rFonts w:ascii="宋体" w:hAnsi="宋体" w:eastAsia="宋体" w:cs="宋体"/>
                <w:color w:val="000000"/>
                <w:szCs w:val="21"/>
              </w:rPr>
            </w:pPr>
          </w:p>
        </w:tc>
        <w:tc>
          <w:tcPr>
            <w:tcW w:w="1306" w:type="dxa"/>
          </w:tcPr>
          <w:p w14:paraId="1EA08CAB">
            <w:pPr>
              <w:keepNext/>
              <w:spacing w:line="360" w:lineRule="auto"/>
              <w:ind w:left="63" w:right="63"/>
              <w:rPr>
                <w:rFonts w:ascii="宋体" w:hAnsi="宋体" w:eastAsia="宋体" w:cs="宋体"/>
                <w:color w:val="000000"/>
                <w:szCs w:val="21"/>
              </w:rPr>
            </w:pPr>
          </w:p>
        </w:tc>
        <w:tc>
          <w:tcPr>
            <w:tcW w:w="1567" w:type="dxa"/>
          </w:tcPr>
          <w:p w14:paraId="72F4AAE3">
            <w:pPr>
              <w:keepNext/>
              <w:spacing w:line="360" w:lineRule="auto"/>
              <w:ind w:left="63" w:right="63"/>
              <w:rPr>
                <w:rFonts w:ascii="宋体" w:hAnsi="宋体" w:eastAsia="宋体" w:cs="宋体"/>
                <w:color w:val="000000"/>
                <w:szCs w:val="21"/>
              </w:rPr>
            </w:pPr>
          </w:p>
        </w:tc>
      </w:tr>
      <w:tr w14:paraId="3B1BA2B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7668F1A">
            <w:pPr>
              <w:keepNext/>
              <w:spacing w:line="360" w:lineRule="auto"/>
              <w:ind w:left="63" w:right="63"/>
              <w:rPr>
                <w:rFonts w:ascii="宋体" w:hAnsi="宋体" w:eastAsia="宋体" w:cs="宋体"/>
                <w:color w:val="000000"/>
                <w:szCs w:val="21"/>
              </w:rPr>
            </w:pPr>
          </w:p>
        </w:tc>
        <w:tc>
          <w:tcPr>
            <w:tcW w:w="1829" w:type="dxa"/>
          </w:tcPr>
          <w:p w14:paraId="17C3F751">
            <w:pPr>
              <w:keepNext/>
              <w:spacing w:line="360" w:lineRule="auto"/>
              <w:ind w:left="63" w:right="63"/>
              <w:rPr>
                <w:rFonts w:ascii="宋体" w:hAnsi="宋体" w:eastAsia="宋体" w:cs="宋体"/>
                <w:color w:val="000000"/>
                <w:szCs w:val="21"/>
              </w:rPr>
            </w:pPr>
          </w:p>
        </w:tc>
        <w:tc>
          <w:tcPr>
            <w:tcW w:w="785" w:type="dxa"/>
          </w:tcPr>
          <w:p w14:paraId="7137F202">
            <w:pPr>
              <w:keepNext/>
              <w:spacing w:line="360" w:lineRule="auto"/>
              <w:ind w:left="63" w:right="63"/>
              <w:rPr>
                <w:rFonts w:ascii="宋体" w:hAnsi="宋体" w:eastAsia="宋体" w:cs="宋体"/>
                <w:color w:val="000000"/>
                <w:szCs w:val="21"/>
              </w:rPr>
            </w:pPr>
          </w:p>
        </w:tc>
        <w:tc>
          <w:tcPr>
            <w:tcW w:w="714" w:type="dxa"/>
          </w:tcPr>
          <w:p w14:paraId="59E5BC58">
            <w:pPr>
              <w:keepNext/>
              <w:spacing w:line="360" w:lineRule="auto"/>
              <w:ind w:left="63" w:right="63"/>
              <w:rPr>
                <w:rFonts w:ascii="宋体" w:hAnsi="宋体" w:eastAsia="宋体" w:cs="宋体"/>
                <w:color w:val="000000"/>
                <w:szCs w:val="21"/>
              </w:rPr>
            </w:pPr>
          </w:p>
        </w:tc>
        <w:tc>
          <w:tcPr>
            <w:tcW w:w="1246" w:type="dxa"/>
          </w:tcPr>
          <w:p w14:paraId="7EB8AFDA">
            <w:pPr>
              <w:keepNext/>
              <w:spacing w:line="360" w:lineRule="auto"/>
              <w:ind w:left="63" w:right="63"/>
              <w:rPr>
                <w:rFonts w:ascii="宋体" w:hAnsi="宋体" w:eastAsia="宋体" w:cs="宋体"/>
                <w:color w:val="000000"/>
                <w:szCs w:val="21"/>
              </w:rPr>
            </w:pPr>
          </w:p>
        </w:tc>
        <w:tc>
          <w:tcPr>
            <w:tcW w:w="1306" w:type="dxa"/>
          </w:tcPr>
          <w:p w14:paraId="7FC4D635">
            <w:pPr>
              <w:keepNext/>
              <w:spacing w:line="360" w:lineRule="auto"/>
              <w:ind w:left="63" w:right="63"/>
              <w:rPr>
                <w:rFonts w:ascii="宋体" w:hAnsi="宋体" w:eastAsia="宋体" w:cs="宋体"/>
                <w:color w:val="000000"/>
                <w:szCs w:val="21"/>
              </w:rPr>
            </w:pPr>
          </w:p>
        </w:tc>
        <w:tc>
          <w:tcPr>
            <w:tcW w:w="1567" w:type="dxa"/>
          </w:tcPr>
          <w:p w14:paraId="0E0DBEF7">
            <w:pPr>
              <w:keepNext/>
              <w:spacing w:line="360" w:lineRule="auto"/>
              <w:ind w:left="63" w:right="63"/>
              <w:rPr>
                <w:rFonts w:ascii="宋体" w:hAnsi="宋体" w:eastAsia="宋体" w:cs="宋体"/>
                <w:color w:val="000000"/>
                <w:szCs w:val="21"/>
              </w:rPr>
            </w:pPr>
          </w:p>
        </w:tc>
      </w:tr>
      <w:tr w14:paraId="5E1DF81B">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91013E9">
            <w:pPr>
              <w:keepNext/>
              <w:spacing w:line="360" w:lineRule="auto"/>
              <w:ind w:left="63" w:right="63"/>
              <w:rPr>
                <w:rFonts w:ascii="宋体" w:hAnsi="宋体" w:eastAsia="宋体" w:cs="宋体"/>
                <w:color w:val="000000"/>
                <w:szCs w:val="21"/>
              </w:rPr>
            </w:pPr>
          </w:p>
        </w:tc>
        <w:tc>
          <w:tcPr>
            <w:tcW w:w="1829" w:type="dxa"/>
          </w:tcPr>
          <w:p w14:paraId="4A35F80C">
            <w:pPr>
              <w:keepNext/>
              <w:spacing w:line="360" w:lineRule="auto"/>
              <w:ind w:left="63" w:right="63"/>
              <w:rPr>
                <w:rFonts w:ascii="宋体" w:hAnsi="宋体" w:eastAsia="宋体" w:cs="宋体"/>
                <w:color w:val="000000"/>
                <w:szCs w:val="21"/>
              </w:rPr>
            </w:pPr>
          </w:p>
        </w:tc>
        <w:tc>
          <w:tcPr>
            <w:tcW w:w="785" w:type="dxa"/>
          </w:tcPr>
          <w:p w14:paraId="055674EB">
            <w:pPr>
              <w:keepNext/>
              <w:spacing w:line="360" w:lineRule="auto"/>
              <w:ind w:left="63" w:right="63"/>
              <w:rPr>
                <w:rFonts w:ascii="宋体" w:hAnsi="宋体" w:eastAsia="宋体" w:cs="宋体"/>
                <w:color w:val="000000"/>
                <w:szCs w:val="21"/>
              </w:rPr>
            </w:pPr>
          </w:p>
        </w:tc>
        <w:tc>
          <w:tcPr>
            <w:tcW w:w="714" w:type="dxa"/>
          </w:tcPr>
          <w:p w14:paraId="79C90818">
            <w:pPr>
              <w:keepNext/>
              <w:spacing w:line="360" w:lineRule="auto"/>
              <w:ind w:left="63" w:right="63"/>
              <w:rPr>
                <w:rFonts w:ascii="宋体" w:hAnsi="宋体" w:eastAsia="宋体" w:cs="宋体"/>
                <w:color w:val="000000"/>
                <w:szCs w:val="21"/>
              </w:rPr>
            </w:pPr>
          </w:p>
        </w:tc>
        <w:tc>
          <w:tcPr>
            <w:tcW w:w="1246" w:type="dxa"/>
          </w:tcPr>
          <w:p w14:paraId="26280220">
            <w:pPr>
              <w:keepNext/>
              <w:spacing w:line="360" w:lineRule="auto"/>
              <w:ind w:left="63" w:right="63"/>
              <w:rPr>
                <w:rFonts w:ascii="宋体" w:hAnsi="宋体" w:eastAsia="宋体" w:cs="宋体"/>
                <w:color w:val="000000"/>
                <w:szCs w:val="21"/>
              </w:rPr>
            </w:pPr>
          </w:p>
        </w:tc>
        <w:tc>
          <w:tcPr>
            <w:tcW w:w="1306" w:type="dxa"/>
          </w:tcPr>
          <w:p w14:paraId="5E469E6F">
            <w:pPr>
              <w:keepNext/>
              <w:spacing w:line="360" w:lineRule="auto"/>
              <w:ind w:left="63" w:right="63"/>
              <w:rPr>
                <w:rFonts w:ascii="宋体" w:hAnsi="宋体" w:eastAsia="宋体" w:cs="宋体"/>
                <w:color w:val="000000"/>
                <w:szCs w:val="21"/>
              </w:rPr>
            </w:pPr>
          </w:p>
        </w:tc>
        <w:tc>
          <w:tcPr>
            <w:tcW w:w="1567" w:type="dxa"/>
          </w:tcPr>
          <w:p w14:paraId="624EF609">
            <w:pPr>
              <w:keepNext/>
              <w:spacing w:line="360" w:lineRule="auto"/>
              <w:ind w:left="63" w:right="63"/>
              <w:rPr>
                <w:rFonts w:ascii="宋体" w:hAnsi="宋体" w:eastAsia="宋体" w:cs="宋体"/>
                <w:color w:val="000000"/>
                <w:szCs w:val="21"/>
              </w:rPr>
            </w:pPr>
          </w:p>
        </w:tc>
      </w:tr>
      <w:tr w14:paraId="77E19BB1">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D36B273">
            <w:pPr>
              <w:keepNext/>
              <w:spacing w:line="360" w:lineRule="auto"/>
              <w:ind w:left="63" w:right="63"/>
              <w:rPr>
                <w:rFonts w:ascii="宋体" w:hAnsi="宋体" w:eastAsia="宋体" w:cs="宋体"/>
                <w:color w:val="000000"/>
                <w:szCs w:val="21"/>
              </w:rPr>
            </w:pPr>
          </w:p>
        </w:tc>
        <w:tc>
          <w:tcPr>
            <w:tcW w:w="1829" w:type="dxa"/>
          </w:tcPr>
          <w:p w14:paraId="316A4464">
            <w:pPr>
              <w:keepNext/>
              <w:spacing w:line="360" w:lineRule="auto"/>
              <w:ind w:left="63" w:right="63"/>
              <w:rPr>
                <w:rFonts w:ascii="宋体" w:hAnsi="宋体" w:eastAsia="宋体" w:cs="宋体"/>
                <w:color w:val="000000"/>
                <w:szCs w:val="21"/>
              </w:rPr>
            </w:pPr>
          </w:p>
        </w:tc>
        <w:tc>
          <w:tcPr>
            <w:tcW w:w="785" w:type="dxa"/>
          </w:tcPr>
          <w:p w14:paraId="17402640">
            <w:pPr>
              <w:keepNext/>
              <w:spacing w:line="360" w:lineRule="auto"/>
              <w:ind w:left="63" w:right="63"/>
              <w:rPr>
                <w:rFonts w:ascii="宋体" w:hAnsi="宋体" w:eastAsia="宋体" w:cs="宋体"/>
                <w:color w:val="000000"/>
                <w:szCs w:val="21"/>
              </w:rPr>
            </w:pPr>
          </w:p>
        </w:tc>
        <w:tc>
          <w:tcPr>
            <w:tcW w:w="714" w:type="dxa"/>
          </w:tcPr>
          <w:p w14:paraId="56336CFF">
            <w:pPr>
              <w:keepNext/>
              <w:spacing w:line="360" w:lineRule="auto"/>
              <w:ind w:left="63" w:right="63"/>
              <w:rPr>
                <w:rFonts w:ascii="宋体" w:hAnsi="宋体" w:eastAsia="宋体" w:cs="宋体"/>
                <w:color w:val="000000"/>
                <w:szCs w:val="21"/>
              </w:rPr>
            </w:pPr>
          </w:p>
        </w:tc>
        <w:tc>
          <w:tcPr>
            <w:tcW w:w="1246" w:type="dxa"/>
          </w:tcPr>
          <w:p w14:paraId="2E031165">
            <w:pPr>
              <w:keepNext/>
              <w:spacing w:line="360" w:lineRule="auto"/>
              <w:ind w:left="63" w:right="63"/>
              <w:rPr>
                <w:rFonts w:ascii="宋体" w:hAnsi="宋体" w:eastAsia="宋体" w:cs="宋体"/>
                <w:color w:val="000000"/>
                <w:szCs w:val="21"/>
              </w:rPr>
            </w:pPr>
          </w:p>
        </w:tc>
        <w:tc>
          <w:tcPr>
            <w:tcW w:w="1306" w:type="dxa"/>
          </w:tcPr>
          <w:p w14:paraId="4B09A94E">
            <w:pPr>
              <w:keepNext/>
              <w:spacing w:line="360" w:lineRule="auto"/>
              <w:ind w:left="63" w:right="63"/>
              <w:rPr>
                <w:rFonts w:ascii="宋体" w:hAnsi="宋体" w:eastAsia="宋体" w:cs="宋体"/>
                <w:color w:val="000000"/>
                <w:szCs w:val="21"/>
              </w:rPr>
            </w:pPr>
          </w:p>
        </w:tc>
        <w:tc>
          <w:tcPr>
            <w:tcW w:w="1567" w:type="dxa"/>
          </w:tcPr>
          <w:p w14:paraId="11AFF36D">
            <w:pPr>
              <w:keepNext/>
              <w:spacing w:line="360" w:lineRule="auto"/>
              <w:ind w:left="63" w:right="63"/>
              <w:rPr>
                <w:rFonts w:ascii="宋体" w:hAnsi="宋体" w:eastAsia="宋体" w:cs="宋体"/>
                <w:color w:val="000000"/>
                <w:szCs w:val="21"/>
              </w:rPr>
            </w:pPr>
          </w:p>
        </w:tc>
      </w:tr>
      <w:tr w14:paraId="2D24073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AE95ADB">
            <w:pPr>
              <w:keepNext/>
              <w:spacing w:line="360" w:lineRule="auto"/>
              <w:ind w:left="63" w:right="63"/>
              <w:rPr>
                <w:rFonts w:ascii="宋体" w:hAnsi="宋体" w:eastAsia="宋体" w:cs="宋体"/>
                <w:color w:val="000000"/>
                <w:szCs w:val="21"/>
              </w:rPr>
            </w:pPr>
          </w:p>
        </w:tc>
        <w:tc>
          <w:tcPr>
            <w:tcW w:w="1829" w:type="dxa"/>
          </w:tcPr>
          <w:p w14:paraId="6FDEBD21">
            <w:pPr>
              <w:keepNext/>
              <w:spacing w:line="360" w:lineRule="auto"/>
              <w:ind w:left="63" w:right="63"/>
              <w:rPr>
                <w:rFonts w:ascii="宋体" w:hAnsi="宋体" w:eastAsia="宋体" w:cs="宋体"/>
                <w:color w:val="000000"/>
                <w:szCs w:val="21"/>
              </w:rPr>
            </w:pPr>
          </w:p>
        </w:tc>
        <w:tc>
          <w:tcPr>
            <w:tcW w:w="785" w:type="dxa"/>
          </w:tcPr>
          <w:p w14:paraId="06DD2D9D">
            <w:pPr>
              <w:keepNext/>
              <w:spacing w:line="360" w:lineRule="auto"/>
              <w:ind w:left="63" w:right="63"/>
              <w:rPr>
                <w:rFonts w:ascii="宋体" w:hAnsi="宋体" w:eastAsia="宋体" w:cs="宋体"/>
                <w:color w:val="000000"/>
                <w:szCs w:val="21"/>
              </w:rPr>
            </w:pPr>
          </w:p>
        </w:tc>
        <w:tc>
          <w:tcPr>
            <w:tcW w:w="714" w:type="dxa"/>
          </w:tcPr>
          <w:p w14:paraId="3CF0CF6C">
            <w:pPr>
              <w:keepNext/>
              <w:spacing w:line="360" w:lineRule="auto"/>
              <w:ind w:left="63" w:right="63"/>
              <w:rPr>
                <w:rFonts w:ascii="宋体" w:hAnsi="宋体" w:eastAsia="宋体" w:cs="宋体"/>
                <w:color w:val="000000"/>
                <w:szCs w:val="21"/>
              </w:rPr>
            </w:pPr>
          </w:p>
        </w:tc>
        <w:tc>
          <w:tcPr>
            <w:tcW w:w="1246" w:type="dxa"/>
          </w:tcPr>
          <w:p w14:paraId="01CE8319">
            <w:pPr>
              <w:keepNext/>
              <w:spacing w:line="360" w:lineRule="auto"/>
              <w:ind w:left="63" w:right="63"/>
              <w:rPr>
                <w:rFonts w:ascii="宋体" w:hAnsi="宋体" w:eastAsia="宋体" w:cs="宋体"/>
                <w:color w:val="000000"/>
                <w:szCs w:val="21"/>
              </w:rPr>
            </w:pPr>
          </w:p>
        </w:tc>
        <w:tc>
          <w:tcPr>
            <w:tcW w:w="1306" w:type="dxa"/>
          </w:tcPr>
          <w:p w14:paraId="48F4191E">
            <w:pPr>
              <w:keepNext/>
              <w:spacing w:line="360" w:lineRule="auto"/>
              <w:ind w:left="63" w:right="63"/>
              <w:rPr>
                <w:rFonts w:ascii="宋体" w:hAnsi="宋体" w:eastAsia="宋体" w:cs="宋体"/>
                <w:color w:val="000000"/>
                <w:szCs w:val="21"/>
              </w:rPr>
            </w:pPr>
          </w:p>
        </w:tc>
        <w:tc>
          <w:tcPr>
            <w:tcW w:w="1567" w:type="dxa"/>
          </w:tcPr>
          <w:p w14:paraId="7280ED2D">
            <w:pPr>
              <w:keepNext/>
              <w:spacing w:line="360" w:lineRule="auto"/>
              <w:ind w:left="63" w:right="63"/>
              <w:rPr>
                <w:rFonts w:ascii="宋体" w:hAnsi="宋体" w:eastAsia="宋体" w:cs="宋体"/>
                <w:color w:val="000000"/>
                <w:szCs w:val="21"/>
              </w:rPr>
            </w:pPr>
          </w:p>
        </w:tc>
      </w:tr>
      <w:tr w14:paraId="2DF356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6AD950CB">
            <w:pPr>
              <w:keepNext/>
              <w:spacing w:line="360" w:lineRule="auto"/>
              <w:ind w:left="63" w:right="63"/>
              <w:rPr>
                <w:rFonts w:ascii="宋体" w:hAnsi="宋体" w:eastAsia="宋体" w:cs="宋体"/>
                <w:color w:val="000000"/>
                <w:szCs w:val="21"/>
              </w:rPr>
            </w:pPr>
          </w:p>
        </w:tc>
        <w:tc>
          <w:tcPr>
            <w:tcW w:w="1829" w:type="dxa"/>
          </w:tcPr>
          <w:p w14:paraId="336B61DB">
            <w:pPr>
              <w:keepNext/>
              <w:spacing w:line="360" w:lineRule="auto"/>
              <w:ind w:left="63" w:right="63"/>
              <w:rPr>
                <w:rFonts w:ascii="宋体" w:hAnsi="宋体" w:eastAsia="宋体" w:cs="宋体"/>
                <w:color w:val="000000"/>
                <w:szCs w:val="21"/>
              </w:rPr>
            </w:pPr>
          </w:p>
        </w:tc>
        <w:tc>
          <w:tcPr>
            <w:tcW w:w="785" w:type="dxa"/>
          </w:tcPr>
          <w:p w14:paraId="45B47819">
            <w:pPr>
              <w:keepNext/>
              <w:spacing w:line="360" w:lineRule="auto"/>
              <w:ind w:left="63" w:right="63"/>
              <w:rPr>
                <w:rFonts w:ascii="宋体" w:hAnsi="宋体" w:eastAsia="宋体" w:cs="宋体"/>
                <w:color w:val="000000"/>
                <w:szCs w:val="21"/>
              </w:rPr>
            </w:pPr>
          </w:p>
        </w:tc>
        <w:tc>
          <w:tcPr>
            <w:tcW w:w="714" w:type="dxa"/>
          </w:tcPr>
          <w:p w14:paraId="66876469">
            <w:pPr>
              <w:keepNext/>
              <w:spacing w:line="360" w:lineRule="auto"/>
              <w:ind w:left="63" w:right="63"/>
              <w:rPr>
                <w:rFonts w:ascii="宋体" w:hAnsi="宋体" w:eastAsia="宋体" w:cs="宋体"/>
                <w:color w:val="000000"/>
                <w:szCs w:val="21"/>
              </w:rPr>
            </w:pPr>
          </w:p>
        </w:tc>
        <w:tc>
          <w:tcPr>
            <w:tcW w:w="1246" w:type="dxa"/>
          </w:tcPr>
          <w:p w14:paraId="3B57C985">
            <w:pPr>
              <w:keepNext/>
              <w:spacing w:line="360" w:lineRule="auto"/>
              <w:ind w:left="63" w:right="63"/>
              <w:rPr>
                <w:rFonts w:ascii="宋体" w:hAnsi="宋体" w:eastAsia="宋体" w:cs="宋体"/>
                <w:color w:val="000000"/>
                <w:szCs w:val="21"/>
              </w:rPr>
            </w:pPr>
          </w:p>
        </w:tc>
        <w:tc>
          <w:tcPr>
            <w:tcW w:w="1306" w:type="dxa"/>
          </w:tcPr>
          <w:p w14:paraId="03534453">
            <w:pPr>
              <w:keepNext/>
              <w:spacing w:line="360" w:lineRule="auto"/>
              <w:ind w:left="63" w:right="63"/>
              <w:rPr>
                <w:rFonts w:ascii="宋体" w:hAnsi="宋体" w:eastAsia="宋体" w:cs="宋体"/>
                <w:color w:val="000000"/>
                <w:szCs w:val="21"/>
              </w:rPr>
            </w:pPr>
          </w:p>
        </w:tc>
        <w:tc>
          <w:tcPr>
            <w:tcW w:w="1567" w:type="dxa"/>
          </w:tcPr>
          <w:p w14:paraId="000A10DF">
            <w:pPr>
              <w:keepNext/>
              <w:spacing w:line="360" w:lineRule="auto"/>
              <w:ind w:left="63" w:right="63"/>
              <w:rPr>
                <w:rFonts w:ascii="宋体" w:hAnsi="宋体" w:eastAsia="宋体" w:cs="宋体"/>
                <w:color w:val="000000"/>
                <w:szCs w:val="21"/>
              </w:rPr>
            </w:pPr>
          </w:p>
        </w:tc>
      </w:tr>
      <w:tr w14:paraId="15B9047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03360D3C">
            <w:pPr>
              <w:keepNext/>
              <w:spacing w:line="360" w:lineRule="auto"/>
              <w:ind w:left="63" w:right="63"/>
              <w:rPr>
                <w:rFonts w:ascii="宋体" w:hAnsi="宋体" w:eastAsia="宋体" w:cs="宋体"/>
                <w:color w:val="000000"/>
                <w:szCs w:val="21"/>
              </w:rPr>
            </w:pPr>
          </w:p>
        </w:tc>
        <w:tc>
          <w:tcPr>
            <w:tcW w:w="1829" w:type="dxa"/>
          </w:tcPr>
          <w:p w14:paraId="5E43AB4B">
            <w:pPr>
              <w:keepNext/>
              <w:spacing w:line="360" w:lineRule="auto"/>
              <w:ind w:left="63" w:right="63"/>
              <w:rPr>
                <w:rFonts w:ascii="宋体" w:hAnsi="宋体" w:eastAsia="宋体" w:cs="宋体"/>
                <w:color w:val="000000"/>
                <w:szCs w:val="21"/>
              </w:rPr>
            </w:pPr>
          </w:p>
        </w:tc>
        <w:tc>
          <w:tcPr>
            <w:tcW w:w="785" w:type="dxa"/>
          </w:tcPr>
          <w:p w14:paraId="1EA6DC70">
            <w:pPr>
              <w:keepNext/>
              <w:spacing w:line="360" w:lineRule="auto"/>
              <w:ind w:left="63" w:right="63"/>
              <w:rPr>
                <w:rFonts w:ascii="宋体" w:hAnsi="宋体" w:eastAsia="宋体" w:cs="宋体"/>
                <w:color w:val="000000"/>
                <w:szCs w:val="21"/>
              </w:rPr>
            </w:pPr>
          </w:p>
        </w:tc>
        <w:tc>
          <w:tcPr>
            <w:tcW w:w="714" w:type="dxa"/>
          </w:tcPr>
          <w:p w14:paraId="62977675">
            <w:pPr>
              <w:keepNext/>
              <w:spacing w:line="360" w:lineRule="auto"/>
              <w:ind w:left="63" w:right="63"/>
              <w:rPr>
                <w:rFonts w:ascii="宋体" w:hAnsi="宋体" w:eastAsia="宋体" w:cs="宋体"/>
                <w:color w:val="000000"/>
                <w:szCs w:val="21"/>
              </w:rPr>
            </w:pPr>
          </w:p>
        </w:tc>
        <w:tc>
          <w:tcPr>
            <w:tcW w:w="1246" w:type="dxa"/>
          </w:tcPr>
          <w:p w14:paraId="4BBFD66B">
            <w:pPr>
              <w:keepNext/>
              <w:spacing w:line="360" w:lineRule="auto"/>
              <w:ind w:left="63" w:right="63"/>
              <w:rPr>
                <w:rFonts w:ascii="宋体" w:hAnsi="宋体" w:eastAsia="宋体" w:cs="宋体"/>
                <w:color w:val="000000"/>
                <w:szCs w:val="21"/>
              </w:rPr>
            </w:pPr>
          </w:p>
        </w:tc>
        <w:tc>
          <w:tcPr>
            <w:tcW w:w="1306" w:type="dxa"/>
          </w:tcPr>
          <w:p w14:paraId="741E0037">
            <w:pPr>
              <w:keepNext/>
              <w:spacing w:line="360" w:lineRule="auto"/>
              <w:ind w:left="63" w:right="63"/>
              <w:rPr>
                <w:rFonts w:ascii="宋体" w:hAnsi="宋体" w:eastAsia="宋体" w:cs="宋体"/>
                <w:color w:val="000000"/>
                <w:szCs w:val="21"/>
              </w:rPr>
            </w:pPr>
          </w:p>
        </w:tc>
        <w:tc>
          <w:tcPr>
            <w:tcW w:w="1567" w:type="dxa"/>
          </w:tcPr>
          <w:p w14:paraId="71EF113D">
            <w:pPr>
              <w:keepNext/>
              <w:spacing w:line="360" w:lineRule="auto"/>
              <w:ind w:left="63" w:right="63"/>
              <w:rPr>
                <w:rFonts w:ascii="宋体" w:hAnsi="宋体" w:eastAsia="宋体" w:cs="宋体"/>
                <w:color w:val="000000"/>
                <w:szCs w:val="21"/>
              </w:rPr>
            </w:pPr>
          </w:p>
        </w:tc>
      </w:tr>
      <w:tr w14:paraId="5E5B883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63BEA9C6">
            <w:pPr>
              <w:keepNext/>
              <w:spacing w:line="360" w:lineRule="auto"/>
              <w:ind w:left="63" w:right="63"/>
              <w:rPr>
                <w:rFonts w:ascii="宋体" w:hAnsi="宋体" w:eastAsia="宋体" w:cs="宋体"/>
                <w:color w:val="000000"/>
                <w:szCs w:val="21"/>
              </w:rPr>
            </w:pPr>
          </w:p>
        </w:tc>
        <w:tc>
          <w:tcPr>
            <w:tcW w:w="1829" w:type="dxa"/>
          </w:tcPr>
          <w:p w14:paraId="4C7A28EE">
            <w:pPr>
              <w:keepNext/>
              <w:spacing w:line="360" w:lineRule="auto"/>
              <w:ind w:left="63" w:right="63"/>
              <w:rPr>
                <w:rFonts w:ascii="宋体" w:hAnsi="宋体" w:eastAsia="宋体" w:cs="宋体"/>
                <w:color w:val="000000"/>
                <w:szCs w:val="21"/>
              </w:rPr>
            </w:pPr>
          </w:p>
        </w:tc>
        <w:tc>
          <w:tcPr>
            <w:tcW w:w="785" w:type="dxa"/>
          </w:tcPr>
          <w:p w14:paraId="61A2555F">
            <w:pPr>
              <w:keepNext/>
              <w:spacing w:line="360" w:lineRule="auto"/>
              <w:ind w:left="63" w:right="63"/>
              <w:rPr>
                <w:rFonts w:ascii="宋体" w:hAnsi="宋体" w:eastAsia="宋体" w:cs="宋体"/>
                <w:color w:val="000000"/>
                <w:szCs w:val="21"/>
              </w:rPr>
            </w:pPr>
          </w:p>
        </w:tc>
        <w:tc>
          <w:tcPr>
            <w:tcW w:w="714" w:type="dxa"/>
          </w:tcPr>
          <w:p w14:paraId="2858C9D3">
            <w:pPr>
              <w:keepNext/>
              <w:spacing w:line="360" w:lineRule="auto"/>
              <w:ind w:left="63" w:right="63"/>
              <w:rPr>
                <w:rFonts w:ascii="宋体" w:hAnsi="宋体" w:eastAsia="宋体" w:cs="宋体"/>
                <w:color w:val="000000"/>
                <w:szCs w:val="21"/>
              </w:rPr>
            </w:pPr>
          </w:p>
        </w:tc>
        <w:tc>
          <w:tcPr>
            <w:tcW w:w="1246" w:type="dxa"/>
          </w:tcPr>
          <w:p w14:paraId="10E736E5">
            <w:pPr>
              <w:keepNext/>
              <w:spacing w:line="360" w:lineRule="auto"/>
              <w:ind w:left="63" w:right="63"/>
              <w:rPr>
                <w:rFonts w:ascii="宋体" w:hAnsi="宋体" w:eastAsia="宋体" w:cs="宋体"/>
                <w:color w:val="000000"/>
                <w:szCs w:val="21"/>
              </w:rPr>
            </w:pPr>
          </w:p>
        </w:tc>
        <w:tc>
          <w:tcPr>
            <w:tcW w:w="1306" w:type="dxa"/>
          </w:tcPr>
          <w:p w14:paraId="321129A0">
            <w:pPr>
              <w:keepNext/>
              <w:spacing w:line="360" w:lineRule="auto"/>
              <w:ind w:left="63" w:right="63"/>
              <w:rPr>
                <w:rFonts w:ascii="宋体" w:hAnsi="宋体" w:eastAsia="宋体" w:cs="宋体"/>
                <w:color w:val="000000"/>
                <w:szCs w:val="21"/>
              </w:rPr>
            </w:pPr>
          </w:p>
        </w:tc>
        <w:tc>
          <w:tcPr>
            <w:tcW w:w="1567" w:type="dxa"/>
          </w:tcPr>
          <w:p w14:paraId="0F11A1B4">
            <w:pPr>
              <w:keepNext/>
              <w:spacing w:line="360" w:lineRule="auto"/>
              <w:ind w:left="63" w:right="63"/>
              <w:rPr>
                <w:rFonts w:ascii="宋体" w:hAnsi="宋体" w:eastAsia="宋体" w:cs="宋体"/>
                <w:color w:val="000000"/>
                <w:szCs w:val="21"/>
              </w:rPr>
            </w:pPr>
          </w:p>
        </w:tc>
      </w:tr>
      <w:tr w14:paraId="37D990E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0F33E033">
            <w:pPr>
              <w:keepNext/>
              <w:spacing w:line="360" w:lineRule="auto"/>
              <w:ind w:left="63" w:right="63"/>
              <w:rPr>
                <w:rFonts w:ascii="宋体" w:hAnsi="宋体" w:eastAsia="宋体" w:cs="宋体"/>
                <w:color w:val="000000"/>
                <w:szCs w:val="21"/>
              </w:rPr>
            </w:pPr>
          </w:p>
        </w:tc>
        <w:tc>
          <w:tcPr>
            <w:tcW w:w="1829" w:type="dxa"/>
          </w:tcPr>
          <w:p w14:paraId="50DD9896">
            <w:pPr>
              <w:keepNext/>
              <w:spacing w:line="360" w:lineRule="auto"/>
              <w:ind w:left="63" w:right="63"/>
              <w:rPr>
                <w:rFonts w:ascii="宋体" w:hAnsi="宋体" w:eastAsia="宋体" w:cs="宋体"/>
                <w:color w:val="000000"/>
                <w:szCs w:val="21"/>
              </w:rPr>
            </w:pPr>
          </w:p>
        </w:tc>
        <w:tc>
          <w:tcPr>
            <w:tcW w:w="785" w:type="dxa"/>
          </w:tcPr>
          <w:p w14:paraId="3DD79C11">
            <w:pPr>
              <w:keepNext/>
              <w:spacing w:line="360" w:lineRule="auto"/>
              <w:ind w:left="63" w:right="63"/>
              <w:rPr>
                <w:rFonts w:ascii="宋体" w:hAnsi="宋体" w:eastAsia="宋体" w:cs="宋体"/>
                <w:color w:val="000000"/>
                <w:szCs w:val="21"/>
              </w:rPr>
            </w:pPr>
          </w:p>
        </w:tc>
        <w:tc>
          <w:tcPr>
            <w:tcW w:w="714" w:type="dxa"/>
          </w:tcPr>
          <w:p w14:paraId="286B7626">
            <w:pPr>
              <w:keepNext/>
              <w:spacing w:line="360" w:lineRule="auto"/>
              <w:ind w:left="63" w:right="63"/>
              <w:rPr>
                <w:rFonts w:ascii="宋体" w:hAnsi="宋体" w:eastAsia="宋体" w:cs="宋体"/>
                <w:color w:val="000000"/>
                <w:szCs w:val="21"/>
              </w:rPr>
            </w:pPr>
          </w:p>
        </w:tc>
        <w:tc>
          <w:tcPr>
            <w:tcW w:w="1246" w:type="dxa"/>
          </w:tcPr>
          <w:p w14:paraId="01FC1398">
            <w:pPr>
              <w:keepNext/>
              <w:spacing w:line="360" w:lineRule="auto"/>
              <w:ind w:left="63" w:right="63"/>
              <w:rPr>
                <w:rFonts w:ascii="宋体" w:hAnsi="宋体" w:eastAsia="宋体" w:cs="宋体"/>
                <w:color w:val="000000"/>
                <w:szCs w:val="21"/>
              </w:rPr>
            </w:pPr>
          </w:p>
        </w:tc>
        <w:tc>
          <w:tcPr>
            <w:tcW w:w="1306" w:type="dxa"/>
          </w:tcPr>
          <w:p w14:paraId="07098E71">
            <w:pPr>
              <w:keepNext/>
              <w:spacing w:line="360" w:lineRule="auto"/>
              <w:ind w:left="63" w:right="63"/>
              <w:rPr>
                <w:rFonts w:ascii="宋体" w:hAnsi="宋体" w:eastAsia="宋体" w:cs="宋体"/>
                <w:color w:val="000000"/>
                <w:szCs w:val="21"/>
              </w:rPr>
            </w:pPr>
          </w:p>
        </w:tc>
        <w:tc>
          <w:tcPr>
            <w:tcW w:w="1567" w:type="dxa"/>
          </w:tcPr>
          <w:p w14:paraId="5EE1640B">
            <w:pPr>
              <w:keepNext/>
              <w:spacing w:line="360" w:lineRule="auto"/>
              <w:ind w:left="63" w:right="63"/>
              <w:rPr>
                <w:rFonts w:ascii="宋体" w:hAnsi="宋体" w:eastAsia="宋体" w:cs="宋体"/>
                <w:color w:val="000000"/>
                <w:szCs w:val="21"/>
              </w:rPr>
            </w:pPr>
          </w:p>
        </w:tc>
      </w:tr>
      <w:tr w14:paraId="7488C2F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25C99383">
            <w:pPr>
              <w:keepNext/>
              <w:spacing w:line="360" w:lineRule="auto"/>
              <w:ind w:left="63" w:right="63"/>
              <w:rPr>
                <w:rFonts w:ascii="宋体" w:hAnsi="宋体" w:eastAsia="宋体" w:cs="宋体"/>
                <w:color w:val="000000"/>
                <w:szCs w:val="21"/>
              </w:rPr>
            </w:pPr>
          </w:p>
        </w:tc>
        <w:tc>
          <w:tcPr>
            <w:tcW w:w="1829" w:type="dxa"/>
          </w:tcPr>
          <w:p w14:paraId="632A8BCC">
            <w:pPr>
              <w:keepNext/>
              <w:spacing w:line="360" w:lineRule="auto"/>
              <w:ind w:left="63" w:right="63"/>
              <w:rPr>
                <w:rFonts w:ascii="宋体" w:hAnsi="宋体" w:eastAsia="宋体" w:cs="宋体"/>
                <w:color w:val="000000"/>
                <w:szCs w:val="21"/>
              </w:rPr>
            </w:pPr>
          </w:p>
        </w:tc>
        <w:tc>
          <w:tcPr>
            <w:tcW w:w="785" w:type="dxa"/>
          </w:tcPr>
          <w:p w14:paraId="362DD8A1">
            <w:pPr>
              <w:keepNext/>
              <w:spacing w:line="360" w:lineRule="auto"/>
              <w:ind w:left="63" w:right="63"/>
              <w:rPr>
                <w:rFonts w:ascii="宋体" w:hAnsi="宋体" w:eastAsia="宋体" w:cs="宋体"/>
                <w:color w:val="000000"/>
                <w:szCs w:val="21"/>
              </w:rPr>
            </w:pPr>
          </w:p>
        </w:tc>
        <w:tc>
          <w:tcPr>
            <w:tcW w:w="714" w:type="dxa"/>
          </w:tcPr>
          <w:p w14:paraId="5536A04C">
            <w:pPr>
              <w:keepNext/>
              <w:spacing w:line="360" w:lineRule="auto"/>
              <w:ind w:left="63" w:right="63"/>
              <w:rPr>
                <w:rFonts w:ascii="宋体" w:hAnsi="宋体" w:eastAsia="宋体" w:cs="宋体"/>
                <w:color w:val="000000"/>
                <w:szCs w:val="21"/>
              </w:rPr>
            </w:pPr>
          </w:p>
        </w:tc>
        <w:tc>
          <w:tcPr>
            <w:tcW w:w="1246" w:type="dxa"/>
          </w:tcPr>
          <w:p w14:paraId="18B1770B">
            <w:pPr>
              <w:keepNext/>
              <w:spacing w:line="360" w:lineRule="auto"/>
              <w:ind w:left="63" w:right="63"/>
              <w:rPr>
                <w:rFonts w:ascii="宋体" w:hAnsi="宋体" w:eastAsia="宋体" w:cs="宋体"/>
                <w:color w:val="000000"/>
                <w:szCs w:val="21"/>
              </w:rPr>
            </w:pPr>
          </w:p>
        </w:tc>
        <w:tc>
          <w:tcPr>
            <w:tcW w:w="1306" w:type="dxa"/>
          </w:tcPr>
          <w:p w14:paraId="08219F46">
            <w:pPr>
              <w:keepNext/>
              <w:spacing w:line="360" w:lineRule="auto"/>
              <w:ind w:left="63" w:right="63"/>
              <w:rPr>
                <w:rFonts w:ascii="宋体" w:hAnsi="宋体" w:eastAsia="宋体" w:cs="宋体"/>
                <w:color w:val="000000"/>
                <w:szCs w:val="21"/>
              </w:rPr>
            </w:pPr>
          </w:p>
        </w:tc>
        <w:tc>
          <w:tcPr>
            <w:tcW w:w="1567" w:type="dxa"/>
          </w:tcPr>
          <w:p w14:paraId="1E9D8304">
            <w:pPr>
              <w:keepNext/>
              <w:spacing w:line="360" w:lineRule="auto"/>
              <w:ind w:left="63" w:right="63"/>
              <w:rPr>
                <w:rFonts w:ascii="宋体" w:hAnsi="宋体" w:eastAsia="宋体" w:cs="宋体"/>
                <w:color w:val="000000"/>
                <w:szCs w:val="21"/>
              </w:rPr>
            </w:pPr>
          </w:p>
        </w:tc>
      </w:tr>
      <w:tr w14:paraId="0D61CA77">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381D3E6B">
            <w:pPr>
              <w:keepNext/>
              <w:spacing w:line="360" w:lineRule="auto"/>
              <w:ind w:left="63" w:right="63"/>
              <w:rPr>
                <w:rFonts w:ascii="宋体" w:hAnsi="宋体" w:eastAsia="宋体" w:cs="宋体"/>
                <w:color w:val="000000"/>
                <w:szCs w:val="21"/>
              </w:rPr>
            </w:pPr>
          </w:p>
        </w:tc>
        <w:tc>
          <w:tcPr>
            <w:tcW w:w="1829" w:type="dxa"/>
          </w:tcPr>
          <w:p w14:paraId="42186317">
            <w:pPr>
              <w:keepNext/>
              <w:spacing w:line="360" w:lineRule="auto"/>
              <w:ind w:left="63" w:right="63"/>
              <w:rPr>
                <w:rFonts w:ascii="宋体" w:hAnsi="宋体" w:eastAsia="宋体" w:cs="宋体"/>
                <w:color w:val="000000"/>
                <w:szCs w:val="21"/>
              </w:rPr>
            </w:pPr>
          </w:p>
        </w:tc>
        <w:tc>
          <w:tcPr>
            <w:tcW w:w="785" w:type="dxa"/>
          </w:tcPr>
          <w:p w14:paraId="2BEA8F34">
            <w:pPr>
              <w:keepNext/>
              <w:spacing w:line="360" w:lineRule="auto"/>
              <w:ind w:left="63" w:right="63"/>
              <w:rPr>
                <w:rFonts w:ascii="宋体" w:hAnsi="宋体" w:eastAsia="宋体" w:cs="宋体"/>
                <w:color w:val="000000"/>
                <w:szCs w:val="21"/>
              </w:rPr>
            </w:pPr>
          </w:p>
        </w:tc>
        <w:tc>
          <w:tcPr>
            <w:tcW w:w="714" w:type="dxa"/>
          </w:tcPr>
          <w:p w14:paraId="60B5F196">
            <w:pPr>
              <w:keepNext/>
              <w:spacing w:line="360" w:lineRule="auto"/>
              <w:ind w:left="63" w:right="63"/>
              <w:rPr>
                <w:rFonts w:ascii="宋体" w:hAnsi="宋体" w:eastAsia="宋体" w:cs="宋体"/>
                <w:color w:val="000000"/>
                <w:szCs w:val="21"/>
              </w:rPr>
            </w:pPr>
          </w:p>
        </w:tc>
        <w:tc>
          <w:tcPr>
            <w:tcW w:w="1246" w:type="dxa"/>
          </w:tcPr>
          <w:p w14:paraId="71BD9C39">
            <w:pPr>
              <w:keepNext/>
              <w:spacing w:line="360" w:lineRule="auto"/>
              <w:ind w:left="63" w:right="63"/>
              <w:rPr>
                <w:rFonts w:ascii="宋体" w:hAnsi="宋体" w:eastAsia="宋体" w:cs="宋体"/>
                <w:color w:val="000000"/>
                <w:szCs w:val="21"/>
              </w:rPr>
            </w:pPr>
          </w:p>
        </w:tc>
        <w:tc>
          <w:tcPr>
            <w:tcW w:w="1306" w:type="dxa"/>
          </w:tcPr>
          <w:p w14:paraId="5A093C39">
            <w:pPr>
              <w:keepNext/>
              <w:spacing w:line="360" w:lineRule="auto"/>
              <w:ind w:left="63" w:right="63"/>
              <w:rPr>
                <w:rFonts w:ascii="宋体" w:hAnsi="宋体" w:eastAsia="宋体" w:cs="宋体"/>
                <w:color w:val="000000"/>
                <w:szCs w:val="21"/>
              </w:rPr>
            </w:pPr>
          </w:p>
        </w:tc>
        <w:tc>
          <w:tcPr>
            <w:tcW w:w="1567" w:type="dxa"/>
          </w:tcPr>
          <w:p w14:paraId="07CC25BD">
            <w:pPr>
              <w:keepNext/>
              <w:spacing w:line="360" w:lineRule="auto"/>
              <w:ind w:left="63" w:right="63"/>
              <w:rPr>
                <w:rFonts w:ascii="宋体" w:hAnsi="宋体" w:eastAsia="宋体" w:cs="宋体"/>
                <w:color w:val="000000"/>
                <w:szCs w:val="21"/>
              </w:rPr>
            </w:pPr>
          </w:p>
        </w:tc>
      </w:tr>
      <w:tr w14:paraId="638BB7F8">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6E3D8622">
            <w:pPr>
              <w:keepNext/>
              <w:spacing w:line="360" w:lineRule="auto"/>
              <w:ind w:left="63" w:right="63"/>
              <w:rPr>
                <w:rFonts w:ascii="宋体" w:hAnsi="宋体" w:eastAsia="宋体" w:cs="宋体"/>
                <w:color w:val="000000"/>
                <w:szCs w:val="21"/>
              </w:rPr>
            </w:pPr>
          </w:p>
        </w:tc>
        <w:tc>
          <w:tcPr>
            <w:tcW w:w="1829" w:type="dxa"/>
          </w:tcPr>
          <w:p w14:paraId="0874AC8F">
            <w:pPr>
              <w:keepNext/>
              <w:spacing w:line="360" w:lineRule="auto"/>
              <w:ind w:left="63" w:right="63"/>
              <w:rPr>
                <w:rFonts w:ascii="宋体" w:hAnsi="宋体" w:eastAsia="宋体" w:cs="宋体"/>
                <w:color w:val="000000"/>
                <w:szCs w:val="21"/>
              </w:rPr>
            </w:pPr>
          </w:p>
        </w:tc>
        <w:tc>
          <w:tcPr>
            <w:tcW w:w="785" w:type="dxa"/>
          </w:tcPr>
          <w:p w14:paraId="76529CAC">
            <w:pPr>
              <w:keepNext/>
              <w:spacing w:line="360" w:lineRule="auto"/>
              <w:ind w:left="63" w:right="63"/>
              <w:rPr>
                <w:rFonts w:ascii="宋体" w:hAnsi="宋体" w:eastAsia="宋体" w:cs="宋体"/>
                <w:color w:val="000000"/>
                <w:szCs w:val="21"/>
              </w:rPr>
            </w:pPr>
          </w:p>
        </w:tc>
        <w:tc>
          <w:tcPr>
            <w:tcW w:w="714" w:type="dxa"/>
          </w:tcPr>
          <w:p w14:paraId="69FD19EC">
            <w:pPr>
              <w:keepNext/>
              <w:spacing w:line="360" w:lineRule="auto"/>
              <w:ind w:left="63" w:right="63"/>
              <w:rPr>
                <w:rFonts w:ascii="宋体" w:hAnsi="宋体" w:eastAsia="宋体" w:cs="宋体"/>
                <w:color w:val="000000"/>
                <w:szCs w:val="21"/>
              </w:rPr>
            </w:pPr>
          </w:p>
        </w:tc>
        <w:tc>
          <w:tcPr>
            <w:tcW w:w="1246" w:type="dxa"/>
          </w:tcPr>
          <w:p w14:paraId="615AA00C">
            <w:pPr>
              <w:keepNext/>
              <w:spacing w:line="360" w:lineRule="auto"/>
              <w:ind w:left="63" w:right="63"/>
              <w:rPr>
                <w:rFonts w:ascii="宋体" w:hAnsi="宋体" w:eastAsia="宋体" w:cs="宋体"/>
                <w:color w:val="000000"/>
                <w:szCs w:val="21"/>
              </w:rPr>
            </w:pPr>
          </w:p>
        </w:tc>
        <w:tc>
          <w:tcPr>
            <w:tcW w:w="1306" w:type="dxa"/>
          </w:tcPr>
          <w:p w14:paraId="61DF866F">
            <w:pPr>
              <w:keepNext/>
              <w:spacing w:line="360" w:lineRule="auto"/>
              <w:ind w:left="63" w:right="63"/>
              <w:rPr>
                <w:rFonts w:ascii="宋体" w:hAnsi="宋体" w:eastAsia="宋体" w:cs="宋体"/>
                <w:color w:val="000000"/>
                <w:szCs w:val="21"/>
              </w:rPr>
            </w:pPr>
          </w:p>
        </w:tc>
        <w:tc>
          <w:tcPr>
            <w:tcW w:w="1567" w:type="dxa"/>
          </w:tcPr>
          <w:p w14:paraId="64BDBD76">
            <w:pPr>
              <w:keepNext/>
              <w:spacing w:line="360" w:lineRule="auto"/>
              <w:ind w:left="63" w:right="63"/>
              <w:rPr>
                <w:rFonts w:ascii="宋体" w:hAnsi="宋体" w:eastAsia="宋体" w:cs="宋体"/>
                <w:color w:val="000000"/>
                <w:szCs w:val="21"/>
              </w:rPr>
            </w:pPr>
          </w:p>
        </w:tc>
      </w:tr>
      <w:tr w14:paraId="7A77BEE9">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66674A96">
            <w:pPr>
              <w:keepNext/>
              <w:spacing w:line="360" w:lineRule="auto"/>
              <w:ind w:left="63" w:right="63"/>
              <w:rPr>
                <w:rFonts w:ascii="宋体" w:hAnsi="宋体" w:eastAsia="宋体" w:cs="宋体"/>
                <w:color w:val="000000"/>
                <w:szCs w:val="21"/>
              </w:rPr>
            </w:pPr>
          </w:p>
        </w:tc>
        <w:tc>
          <w:tcPr>
            <w:tcW w:w="1829" w:type="dxa"/>
          </w:tcPr>
          <w:p w14:paraId="4F628D87">
            <w:pPr>
              <w:keepNext/>
              <w:spacing w:line="360" w:lineRule="auto"/>
              <w:ind w:left="63" w:right="63"/>
              <w:rPr>
                <w:rFonts w:ascii="宋体" w:hAnsi="宋体" w:eastAsia="宋体" w:cs="宋体"/>
                <w:color w:val="000000"/>
                <w:szCs w:val="21"/>
              </w:rPr>
            </w:pPr>
          </w:p>
        </w:tc>
        <w:tc>
          <w:tcPr>
            <w:tcW w:w="785" w:type="dxa"/>
          </w:tcPr>
          <w:p w14:paraId="6B366751">
            <w:pPr>
              <w:keepNext/>
              <w:spacing w:line="360" w:lineRule="auto"/>
              <w:ind w:left="63" w:right="63"/>
              <w:rPr>
                <w:rFonts w:ascii="宋体" w:hAnsi="宋体" w:eastAsia="宋体" w:cs="宋体"/>
                <w:color w:val="000000"/>
                <w:szCs w:val="21"/>
              </w:rPr>
            </w:pPr>
          </w:p>
        </w:tc>
        <w:tc>
          <w:tcPr>
            <w:tcW w:w="714" w:type="dxa"/>
          </w:tcPr>
          <w:p w14:paraId="5BB5DCB1">
            <w:pPr>
              <w:keepNext/>
              <w:spacing w:line="360" w:lineRule="auto"/>
              <w:ind w:left="63" w:right="63"/>
              <w:rPr>
                <w:rFonts w:ascii="宋体" w:hAnsi="宋体" w:eastAsia="宋体" w:cs="宋体"/>
                <w:color w:val="000000"/>
                <w:szCs w:val="21"/>
              </w:rPr>
            </w:pPr>
          </w:p>
        </w:tc>
        <w:tc>
          <w:tcPr>
            <w:tcW w:w="1246" w:type="dxa"/>
          </w:tcPr>
          <w:p w14:paraId="5F4F7E22">
            <w:pPr>
              <w:keepNext/>
              <w:spacing w:line="360" w:lineRule="auto"/>
              <w:ind w:left="63" w:right="63"/>
              <w:rPr>
                <w:rFonts w:ascii="宋体" w:hAnsi="宋体" w:eastAsia="宋体" w:cs="宋体"/>
                <w:color w:val="000000"/>
                <w:szCs w:val="21"/>
              </w:rPr>
            </w:pPr>
          </w:p>
        </w:tc>
        <w:tc>
          <w:tcPr>
            <w:tcW w:w="1306" w:type="dxa"/>
          </w:tcPr>
          <w:p w14:paraId="79D56737">
            <w:pPr>
              <w:keepNext/>
              <w:spacing w:line="360" w:lineRule="auto"/>
              <w:ind w:left="63" w:right="63"/>
              <w:rPr>
                <w:rFonts w:ascii="宋体" w:hAnsi="宋体" w:eastAsia="宋体" w:cs="宋体"/>
                <w:color w:val="000000"/>
                <w:szCs w:val="21"/>
              </w:rPr>
            </w:pPr>
          </w:p>
        </w:tc>
        <w:tc>
          <w:tcPr>
            <w:tcW w:w="1567" w:type="dxa"/>
          </w:tcPr>
          <w:p w14:paraId="05EF415F">
            <w:pPr>
              <w:keepNext/>
              <w:spacing w:line="360" w:lineRule="auto"/>
              <w:ind w:left="63" w:right="63"/>
              <w:rPr>
                <w:rFonts w:ascii="宋体" w:hAnsi="宋体" w:eastAsia="宋体" w:cs="宋体"/>
                <w:color w:val="000000"/>
                <w:szCs w:val="21"/>
              </w:rPr>
            </w:pPr>
          </w:p>
        </w:tc>
      </w:tr>
      <w:tr w14:paraId="1D2AEDDE">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3F4AE02A">
            <w:pPr>
              <w:keepNext/>
              <w:spacing w:line="360" w:lineRule="auto"/>
              <w:ind w:left="63" w:right="63"/>
              <w:rPr>
                <w:rFonts w:ascii="宋体" w:hAnsi="宋体" w:eastAsia="宋体" w:cs="宋体"/>
                <w:color w:val="000000"/>
                <w:szCs w:val="21"/>
              </w:rPr>
            </w:pPr>
          </w:p>
        </w:tc>
        <w:tc>
          <w:tcPr>
            <w:tcW w:w="1829" w:type="dxa"/>
          </w:tcPr>
          <w:p w14:paraId="699C13AB">
            <w:pPr>
              <w:keepNext/>
              <w:spacing w:line="360" w:lineRule="auto"/>
              <w:ind w:left="63" w:right="63"/>
              <w:rPr>
                <w:rFonts w:ascii="宋体" w:hAnsi="宋体" w:eastAsia="宋体" w:cs="宋体"/>
                <w:color w:val="000000"/>
                <w:szCs w:val="21"/>
              </w:rPr>
            </w:pPr>
          </w:p>
        </w:tc>
        <w:tc>
          <w:tcPr>
            <w:tcW w:w="785" w:type="dxa"/>
          </w:tcPr>
          <w:p w14:paraId="26D297D1">
            <w:pPr>
              <w:keepNext/>
              <w:spacing w:line="360" w:lineRule="auto"/>
              <w:ind w:left="63" w:right="63"/>
              <w:rPr>
                <w:rFonts w:ascii="宋体" w:hAnsi="宋体" w:eastAsia="宋体" w:cs="宋体"/>
                <w:color w:val="000000"/>
                <w:szCs w:val="21"/>
              </w:rPr>
            </w:pPr>
          </w:p>
        </w:tc>
        <w:tc>
          <w:tcPr>
            <w:tcW w:w="714" w:type="dxa"/>
          </w:tcPr>
          <w:p w14:paraId="07CD6C06">
            <w:pPr>
              <w:keepNext/>
              <w:spacing w:line="360" w:lineRule="auto"/>
              <w:ind w:left="63" w:right="63"/>
              <w:rPr>
                <w:rFonts w:ascii="宋体" w:hAnsi="宋体" w:eastAsia="宋体" w:cs="宋体"/>
                <w:color w:val="000000"/>
                <w:szCs w:val="21"/>
              </w:rPr>
            </w:pPr>
          </w:p>
        </w:tc>
        <w:tc>
          <w:tcPr>
            <w:tcW w:w="1246" w:type="dxa"/>
          </w:tcPr>
          <w:p w14:paraId="7E116F55">
            <w:pPr>
              <w:keepNext/>
              <w:spacing w:line="360" w:lineRule="auto"/>
              <w:ind w:left="63" w:right="63"/>
              <w:rPr>
                <w:rFonts w:ascii="宋体" w:hAnsi="宋体" w:eastAsia="宋体" w:cs="宋体"/>
                <w:color w:val="000000"/>
                <w:szCs w:val="21"/>
              </w:rPr>
            </w:pPr>
          </w:p>
        </w:tc>
        <w:tc>
          <w:tcPr>
            <w:tcW w:w="1306" w:type="dxa"/>
          </w:tcPr>
          <w:p w14:paraId="68F55B2B">
            <w:pPr>
              <w:keepNext/>
              <w:spacing w:line="360" w:lineRule="auto"/>
              <w:ind w:left="63" w:right="63"/>
              <w:rPr>
                <w:rFonts w:ascii="宋体" w:hAnsi="宋体" w:eastAsia="宋体" w:cs="宋体"/>
                <w:color w:val="000000"/>
                <w:szCs w:val="21"/>
              </w:rPr>
            </w:pPr>
          </w:p>
        </w:tc>
        <w:tc>
          <w:tcPr>
            <w:tcW w:w="1567" w:type="dxa"/>
          </w:tcPr>
          <w:p w14:paraId="6182DEC2">
            <w:pPr>
              <w:keepNext/>
              <w:spacing w:line="360" w:lineRule="auto"/>
              <w:ind w:left="63" w:right="63"/>
              <w:rPr>
                <w:rFonts w:ascii="宋体" w:hAnsi="宋体" w:eastAsia="宋体" w:cs="宋体"/>
                <w:color w:val="000000"/>
                <w:szCs w:val="21"/>
              </w:rPr>
            </w:pPr>
          </w:p>
        </w:tc>
      </w:tr>
      <w:tr w14:paraId="6133F51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100588A4">
            <w:pPr>
              <w:keepNext/>
              <w:spacing w:line="360" w:lineRule="auto"/>
              <w:ind w:left="63" w:right="63"/>
              <w:rPr>
                <w:rFonts w:ascii="宋体" w:hAnsi="宋体" w:eastAsia="宋体" w:cs="宋体"/>
                <w:color w:val="000000"/>
                <w:szCs w:val="21"/>
              </w:rPr>
            </w:pPr>
          </w:p>
        </w:tc>
        <w:tc>
          <w:tcPr>
            <w:tcW w:w="1829" w:type="dxa"/>
          </w:tcPr>
          <w:p w14:paraId="0D039627">
            <w:pPr>
              <w:keepNext/>
              <w:spacing w:line="360" w:lineRule="auto"/>
              <w:ind w:left="63" w:right="63"/>
              <w:rPr>
                <w:rFonts w:ascii="宋体" w:hAnsi="宋体" w:eastAsia="宋体" w:cs="宋体"/>
                <w:color w:val="000000"/>
                <w:szCs w:val="21"/>
              </w:rPr>
            </w:pPr>
          </w:p>
        </w:tc>
        <w:tc>
          <w:tcPr>
            <w:tcW w:w="785" w:type="dxa"/>
          </w:tcPr>
          <w:p w14:paraId="24A9CDC5">
            <w:pPr>
              <w:keepNext/>
              <w:spacing w:line="360" w:lineRule="auto"/>
              <w:ind w:left="63" w:right="63"/>
              <w:rPr>
                <w:rFonts w:ascii="宋体" w:hAnsi="宋体" w:eastAsia="宋体" w:cs="宋体"/>
                <w:color w:val="000000"/>
                <w:szCs w:val="21"/>
              </w:rPr>
            </w:pPr>
          </w:p>
        </w:tc>
        <w:tc>
          <w:tcPr>
            <w:tcW w:w="714" w:type="dxa"/>
          </w:tcPr>
          <w:p w14:paraId="672EB39D">
            <w:pPr>
              <w:keepNext/>
              <w:spacing w:line="360" w:lineRule="auto"/>
              <w:ind w:left="63" w:right="63"/>
              <w:rPr>
                <w:rFonts w:ascii="宋体" w:hAnsi="宋体" w:eastAsia="宋体" w:cs="宋体"/>
                <w:color w:val="000000"/>
                <w:szCs w:val="21"/>
              </w:rPr>
            </w:pPr>
          </w:p>
        </w:tc>
        <w:tc>
          <w:tcPr>
            <w:tcW w:w="1246" w:type="dxa"/>
          </w:tcPr>
          <w:p w14:paraId="3804EF40">
            <w:pPr>
              <w:keepNext/>
              <w:spacing w:line="360" w:lineRule="auto"/>
              <w:ind w:left="63" w:right="63"/>
              <w:rPr>
                <w:rFonts w:ascii="宋体" w:hAnsi="宋体" w:eastAsia="宋体" w:cs="宋体"/>
                <w:color w:val="000000"/>
                <w:szCs w:val="21"/>
              </w:rPr>
            </w:pPr>
          </w:p>
        </w:tc>
        <w:tc>
          <w:tcPr>
            <w:tcW w:w="1306" w:type="dxa"/>
          </w:tcPr>
          <w:p w14:paraId="5AD2B4FE">
            <w:pPr>
              <w:keepNext/>
              <w:spacing w:line="360" w:lineRule="auto"/>
              <w:ind w:left="63" w:right="63"/>
              <w:rPr>
                <w:rFonts w:ascii="宋体" w:hAnsi="宋体" w:eastAsia="宋体" w:cs="宋体"/>
                <w:color w:val="000000"/>
                <w:szCs w:val="21"/>
              </w:rPr>
            </w:pPr>
          </w:p>
        </w:tc>
        <w:tc>
          <w:tcPr>
            <w:tcW w:w="1567" w:type="dxa"/>
          </w:tcPr>
          <w:p w14:paraId="33C81DBF">
            <w:pPr>
              <w:keepNext/>
              <w:spacing w:line="360" w:lineRule="auto"/>
              <w:ind w:left="63" w:right="63"/>
              <w:rPr>
                <w:rFonts w:ascii="宋体" w:hAnsi="宋体" w:eastAsia="宋体" w:cs="宋体"/>
                <w:color w:val="000000"/>
                <w:szCs w:val="21"/>
              </w:rPr>
            </w:pPr>
          </w:p>
        </w:tc>
      </w:tr>
      <w:tr w14:paraId="6C03F383">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4A42A5CF">
            <w:pPr>
              <w:keepNext/>
              <w:spacing w:line="360" w:lineRule="auto"/>
              <w:ind w:left="63" w:right="63"/>
              <w:rPr>
                <w:rFonts w:ascii="宋体" w:hAnsi="宋体" w:eastAsia="宋体" w:cs="宋体"/>
                <w:color w:val="000000"/>
                <w:szCs w:val="21"/>
              </w:rPr>
            </w:pPr>
          </w:p>
        </w:tc>
        <w:tc>
          <w:tcPr>
            <w:tcW w:w="1829" w:type="dxa"/>
          </w:tcPr>
          <w:p w14:paraId="0A0767F1">
            <w:pPr>
              <w:keepNext/>
              <w:spacing w:line="360" w:lineRule="auto"/>
              <w:ind w:left="63" w:right="63"/>
              <w:rPr>
                <w:rFonts w:ascii="宋体" w:hAnsi="宋体" w:eastAsia="宋体" w:cs="宋体"/>
                <w:color w:val="000000"/>
                <w:szCs w:val="21"/>
              </w:rPr>
            </w:pPr>
          </w:p>
        </w:tc>
        <w:tc>
          <w:tcPr>
            <w:tcW w:w="785" w:type="dxa"/>
          </w:tcPr>
          <w:p w14:paraId="50D9FC1C">
            <w:pPr>
              <w:keepNext/>
              <w:spacing w:line="360" w:lineRule="auto"/>
              <w:ind w:left="63" w:right="63"/>
              <w:rPr>
                <w:rFonts w:ascii="宋体" w:hAnsi="宋体" w:eastAsia="宋体" w:cs="宋体"/>
                <w:color w:val="000000"/>
                <w:szCs w:val="21"/>
              </w:rPr>
            </w:pPr>
          </w:p>
        </w:tc>
        <w:tc>
          <w:tcPr>
            <w:tcW w:w="714" w:type="dxa"/>
          </w:tcPr>
          <w:p w14:paraId="0A7FFB99">
            <w:pPr>
              <w:keepNext/>
              <w:spacing w:line="360" w:lineRule="auto"/>
              <w:ind w:left="63" w:right="63"/>
              <w:rPr>
                <w:rFonts w:ascii="宋体" w:hAnsi="宋体" w:eastAsia="宋体" w:cs="宋体"/>
                <w:color w:val="000000"/>
                <w:szCs w:val="21"/>
              </w:rPr>
            </w:pPr>
          </w:p>
        </w:tc>
        <w:tc>
          <w:tcPr>
            <w:tcW w:w="1246" w:type="dxa"/>
          </w:tcPr>
          <w:p w14:paraId="278E046D">
            <w:pPr>
              <w:keepNext/>
              <w:spacing w:line="360" w:lineRule="auto"/>
              <w:ind w:left="63" w:right="63"/>
              <w:rPr>
                <w:rFonts w:ascii="宋体" w:hAnsi="宋体" w:eastAsia="宋体" w:cs="宋体"/>
                <w:color w:val="000000"/>
                <w:szCs w:val="21"/>
              </w:rPr>
            </w:pPr>
          </w:p>
        </w:tc>
        <w:tc>
          <w:tcPr>
            <w:tcW w:w="1306" w:type="dxa"/>
          </w:tcPr>
          <w:p w14:paraId="1581857A">
            <w:pPr>
              <w:keepNext/>
              <w:spacing w:line="360" w:lineRule="auto"/>
              <w:ind w:left="63" w:right="63"/>
              <w:rPr>
                <w:rFonts w:ascii="宋体" w:hAnsi="宋体" w:eastAsia="宋体" w:cs="宋体"/>
                <w:color w:val="000000"/>
                <w:szCs w:val="21"/>
              </w:rPr>
            </w:pPr>
          </w:p>
        </w:tc>
        <w:tc>
          <w:tcPr>
            <w:tcW w:w="1567" w:type="dxa"/>
          </w:tcPr>
          <w:p w14:paraId="11E68F86">
            <w:pPr>
              <w:keepNext/>
              <w:spacing w:line="360" w:lineRule="auto"/>
              <w:ind w:left="63" w:right="63"/>
              <w:rPr>
                <w:rFonts w:ascii="宋体" w:hAnsi="宋体" w:eastAsia="宋体" w:cs="宋体"/>
                <w:color w:val="000000"/>
                <w:szCs w:val="21"/>
              </w:rPr>
            </w:pPr>
          </w:p>
        </w:tc>
      </w:tr>
      <w:tr w14:paraId="70E2484C">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28" w:type="dxa"/>
            <w:bottom w:w="0" w:type="dxa"/>
            <w:right w:w="28" w:type="dxa"/>
          </w:tblCellMar>
        </w:tblPrEx>
        <w:trPr>
          <w:jc w:val="center"/>
        </w:trPr>
        <w:tc>
          <w:tcPr>
            <w:tcW w:w="916" w:type="dxa"/>
          </w:tcPr>
          <w:p w14:paraId="5D84E8AB">
            <w:pPr>
              <w:keepNext/>
              <w:spacing w:line="360" w:lineRule="auto"/>
              <w:ind w:left="63" w:right="63"/>
              <w:rPr>
                <w:rFonts w:ascii="宋体" w:hAnsi="宋体" w:eastAsia="宋体" w:cs="宋体"/>
                <w:color w:val="000000"/>
                <w:szCs w:val="21"/>
              </w:rPr>
            </w:pPr>
          </w:p>
        </w:tc>
        <w:tc>
          <w:tcPr>
            <w:tcW w:w="1829" w:type="dxa"/>
          </w:tcPr>
          <w:p w14:paraId="4973FBF2">
            <w:pPr>
              <w:keepNext/>
              <w:spacing w:line="360" w:lineRule="auto"/>
              <w:ind w:left="63" w:right="63"/>
              <w:rPr>
                <w:rFonts w:ascii="宋体" w:hAnsi="宋体" w:eastAsia="宋体" w:cs="宋体"/>
                <w:color w:val="000000"/>
                <w:szCs w:val="21"/>
              </w:rPr>
            </w:pPr>
          </w:p>
        </w:tc>
        <w:tc>
          <w:tcPr>
            <w:tcW w:w="785" w:type="dxa"/>
          </w:tcPr>
          <w:p w14:paraId="2A91A338">
            <w:pPr>
              <w:keepNext/>
              <w:spacing w:line="360" w:lineRule="auto"/>
              <w:ind w:left="63" w:right="63"/>
              <w:rPr>
                <w:rFonts w:ascii="宋体" w:hAnsi="宋体" w:eastAsia="宋体" w:cs="宋体"/>
                <w:color w:val="000000"/>
                <w:szCs w:val="21"/>
              </w:rPr>
            </w:pPr>
          </w:p>
        </w:tc>
        <w:tc>
          <w:tcPr>
            <w:tcW w:w="714" w:type="dxa"/>
          </w:tcPr>
          <w:p w14:paraId="425B2205">
            <w:pPr>
              <w:keepNext/>
              <w:spacing w:line="360" w:lineRule="auto"/>
              <w:ind w:left="63" w:right="63"/>
              <w:rPr>
                <w:rFonts w:ascii="宋体" w:hAnsi="宋体" w:eastAsia="宋体" w:cs="宋体"/>
                <w:color w:val="000000"/>
                <w:szCs w:val="21"/>
              </w:rPr>
            </w:pPr>
          </w:p>
        </w:tc>
        <w:tc>
          <w:tcPr>
            <w:tcW w:w="1246" w:type="dxa"/>
          </w:tcPr>
          <w:p w14:paraId="57920481">
            <w:pPr>
              <w:keepNext/>
              <w:spacing w:line="360" w:lineRule="auto"/>
              <w:ind w:left="63" w:right="63"/>
              <w:rPr>
                <w:rFonts w:ascii="宋体" w:hAnsi="宋体" w:eastAsia="宋体" w:cs="宋体"/>
                <w:color w:val="000000"/>
                <w:szCs w:val="21"/>
              </w:rPr>
            </w:pPr>
          </w:p>
        </w:tc>
        <w:tc>
          <w:tcPr>
            <w:tcW w:w="1306" w:type="dxa"/>
          </w:tcPr>
          <w:p w14:paraId="7C19B605">
            <w:pPr>
              <w:keepNext/>
              <w:spacing w:line="360" w:lineRule="auto"/>
              <w:ind w:left="63" w:right="63"/>
              <w:rPr>
                <w:rFonts w:ascii="宋体" w:hAnsi="宋体" w:eastAsia="宋体" w:cs="宋体"/>
                <w:color w:val="000000"/>
                <w:szCs w:val="21"/>
              </w:rPr>
            </w:pPr>
          </w:p>
        </w:tc>
        <w:tc>
          <w:tcPr>
            <w:tcW w:w="1567" w:type="dxa"/>
          </w:tcPr>
          <w:p w14:paraId="58872AC2">
            <w:pPr>
              <w:keepNext/>
              <w:spacing w:line="360" w:lineRule="auto"/>
              <w:ind w:left="63" w:right="63"/>
              <w:rPr>
                <w:rFonts w:ascii="宋体" w:hAnsi="宋体" w:eastAsia="宋体" w:cs="宋体"/>
                <w:color w:val="000000"/>
                <w:szCs w:val="21"/>
              </w:rPr>
            </w:pPr>
          </w:p>
        </w:tc>
      </w:tr>
    </w:tbl>
    <w:p w14:paraId="480406E3">
      <w:pPr>
        <w:spacing w:line="360" w:lineRule="auto"/>
        <w:rPr>
          <w:rFonts w:ascii="宋体" w:hAnsi="宋体" w:eastAsia="宋体" w:cs="宋体"/>
          <w:szCs w:val="21"/>
        </w:rPr>
      </w:pPr>
    </w:p>
    <w:p w14:paraId="66FB2009">
      <w:pPr>
        <w:rPr>
          <w:rFonts w:ascii="宋体" w:hAnsi="宋体" w:eastAsia="宋体" w:cs="宋体"/>
        </w:rPr>
      </w:pPr>
    </w:p>
    <w:p w14:paraId="5E544168">
      <w:pPr>
        <w:widowControl/>
        <w:rPr>
          <w:rFonts w:ascii="宋体" w:hAnsi="宋体" w:eastAsia="宋体" w:cs="宋体"/>
          <w:kern w:val="0"/>
          <w:szCs w:val="21"/>
        </w:rPr>
      </w:pPr>
    </w:p>
    <w:p w14:paraId="3ABAEA2D">
      <w:pPr>
        <w:widowControl/>
        <w:rPr>
          <w:rFonts w:ascii="宋体" w:hAnsi="宋体" w:eastAsia="宋体" w:cs="宋体"/>
          <w:kern w:val="0"/>
          <w:szCs w:val="21"/>
        </w:rPr>
      </w:pPr>
    </w:p>
    <w:p w14:paraId="3BEA73C9">
      <w:pPr>
        <w:widowControl/>
        <w:rPr>
          <w:rFonts w:ascii="宋体" w:hAnsi="宋体" w:eastAsia="宋体" w:cs="宋体"/>
          <w:kern w:val="0"/>
          <w:szCs w:val="21"/>
        </w:rPr>
      </w:pPr>
    </w:p>
    <w:p w14:paraId="48F8E0E7">
      <w:pPr>
        <w:widowControl/>
        <w:rPr>
          <w:rFonts w:ascii="宋体" w:hAnsi="宋体" w:eastAsia="宋体" w:cs="宋体"/>
          <w:kern w:val="0"/>
          <w:szCs w:val="21"/>
        </w:rPr>
      </w:pPr>
    </w:p>
    <w:p w14:paraId="27011B05">
      <w:pPr>
        <w:widowControl/>
        <w:rPr>
          <w:rFonts w:ascii="宋体" w:hAnsi="宋体" w:eastAsia="宋体" w:cs="宋体"/>
          <w:kern w:val="0"/>
          <w:szCs w:val="21"/>
        </w:rPr>
      </w:pPr>
    </w:p>
    <w:p w14:paraId="02716B82">
      <w:pPr>
        <w:widowControl/>
        <w:ind w:firstLine="420"/>
        <w:jc w:val="left"/>
        <w:rPr>
          <w:rFonts w:ascii="宋体" w:hAnsi="宋体" w:eastAsia="宋体" w:cs="宋体"/>
          <w:kern w:val="0"/>
          <w:sz w:val="20"/>
          <w:szCs w:val="21"/>
        </w:rPr>
      </w:pPr>
    </w:p>
    <w:p w14:paraId="1EC32146">
      <w:pPr>
        <w:rPr>
          <w:rFonts w:ascii="宋体" w:hAnsi="宋体" w:eastAsia="宋体" w:cs="宋体"/>
          <w:kern w:val="0"/>
          <w:szCs w:val="21"/>
        </w:rPr>
      </w:pPr>
    </w:p>
    <w:p w14:paraId="21032776">
      <w:pPr>
        <w:widowControl/>
        <w:ind w:firstLine="420"/>
        <w:jc w:val="left"/>
        <w:rPr>
          <w:rFonts w:ascii="宋体" w:hAnsi="宋体" w:eastAsia="宋体" w:cs="宋体"/>
          <w:kern w:val="0"/>
          <w:sz w:val="20"/>
          <w:szCs w:val="21"/>
        </w:rPr>
      </w:pPr>
    </w:p>
    <w:p w14:paraId="3244F95A">
      <w:pPr>
        <w:rPr>
          <w:rFonts w:ascii="宋体" w:hAnsi="宋体" w:eastAsia="宋体" w:cs="宋体"/>
          <w:kern w:val="0"/>
          <w:szCs w:val="21"/>
        </w:rPr>
      </w:pPr>
    </w:p>
    <w:p w14:paraId="097B05F4">
      <w:pPr>
        <w:widowControl/>
        <w:ind w:firstLine="420"/>
        <w:jc w:val="left"/>
        <w:rPr>
          <w:rFonts w:ascii="宋体" w:hAnsi="宋体" w:eastAsia="宋体" w:cs="宋体"/>
          <w:kern w:val="0"/>
          <w:sz w:val="20"/>
          <w:szCs w:val="21"/>
        </w:rPr>
      </w:pPr>
    </w:p>
    <w:p w14:paraId="0A3F4B9D">
      <w:pPr>
        <w:rPr>
          <w:rFonts w:ascii="宋体" w:hAnsi="宋体" w:eastAsia="宋体" w:cs="宋体"/>
          <w:kern w:val="0"/>
          <w:szCs w:val="21"/>
        </w:rPr>
      </w:pPr>
    </w:p>
    <w:p w14:paraId="10D3A130">
      <w:pPr>
        <w:widowControl/>
        <w:ind w:firstLine="420"/>
        <w:jc w:val="left"/>
        <w:rPr>
          <w:rFonts w:ascii="宋体" w:hAnsi="宋体" w:eastAsia="宋体" w:cs="宋体"/>
          <w:kern w:val="0"/>
          <w:sz w:val="20"/>
          <w:szCs w:val="21"/>
        </w:rPr>
      </w:pPr>
    </w:p>
    <w:p w14:paraId="0A22330A">
      <w:pPr>
        <w:rPr>
          <w:rFonts w:ascii="宋体" w:hAnsi="宋体" w:eastAsia="宋体" w:cs="宋体"/>
        </w:rPr>
      </w:pPr>
    </w:p>
    <w:p w14:paraId="2B64CE5B">
      <w:pPr>
        <w:widowControl/>
        <w:rPr>
          <w:rFonts w:ascii="宋体" w:hAnsi="宋体" w:eastAsia="宋体" w:cs="宋体"/>
          <w:kern w:val="0"/>
          <w:szCs w:val="21"/>
        </w:rPr>
      </w:pPr>
    </w:p>
    <w:p w14:paraId="218B4A64">
      <w:pPr>
        <w:widowControl/>
        <w:jc w:val="left"/>
        <w:rPr>
          <w:rFonts w:ascii="宋体" w:hAnsi="宋体" w:eastAsia="宋体" w:cs="宋体"/>
          <w:kern w:val="0"/>
          <w:sz w:val="24"/>
          <w:szCs w:val="20"/>
        </w:rPr>
      </w:pPr>
    </w:p>
    <w:p w14:paraId="29B67CB8">
      <w:pPr>
        <w:widowControl/>
        <w:ind w:firstLine="420"/>
        <w:jc w:val="left"/>
        <w:rPr>
          <w:rFonts w:ascii="宋体" w:hAnsi="宋体" w:eastAsia="宋体" w:cs="宋体"/>
          <w:kern w:val="0"/>
          <w:sz w:val="24"/>
          <w:szCs w:val="20"/>
        </w:rPr>
      </w:pPr>
    </w:p>
    <w:p w14:paraId="66EB5EB5">
      <w:pPr>
        <w:widowControl/>
        <w:rPr>
          <w:rFonts w:ascii="宋体" w:hAnsi="宋体" w:eastAsia="宋体" w:cs="宋体"/>
          <w:kern w:val="0"/>
          <w:szCs w:val="21"/>
        </w:rPr>
      </w:pPr>
      <w:bookmarkStart w:id="1804" w:name="_Toc11567_WPSOffice_Level2"/>
    </w:p>
    <w:bookmarkEnd w:id="1804"/>
    <w:p w14:paraId="6BDAA3FB">
      <w:pPr>
        <w:pStyle w:val="7"/>
        <w:ind w:firstLine="0"/>
        <w:jc w:val="center"/>
        <w:outlineLvl w:val="0"/>
        <w:rPr>
          <w:rFonts w:hint="eastAsia" w:ascii="宋体" w:hAnsi="宋体" w:eastAsia="宋体" w:cs="宋体"/>
          <w:b/>
          <w:bCs/>
          <w:color w:val="auto"/>
          <w:sz w:val="36"/>
          <w:szCs w:val="36"/>
          <w:highlight w:val="none"/>
          <w:lang w:val="en-US" w:eastAsia="zh-CN"/>
        </w:rPr>
      </w:pPr>
      <w:bookmarkStart w:id="1805" w:name="_Toc28984"/>
      <w:bookmarkStart w:id="1806" w:name="_Toc15630"/>
      <w:bookmarkStart w:id="1807" w:name="_Toc31227"/>
      <w:r>
        <w:rPr>
          <w:rFonts w:hint="eastAsia" w:ascii="宋体" w:hAnsi="宋体" w:eastAsia="宋体" w:cs="宋体"/>
          <w:b/>
          <w:bCs/>
          <w:color w:val="auto"/>
          <w:sz w:val="36"/>
          <w:szCs w:val="36"/>
          <w:highlight w:val="none"/>
          <w:lang w:val="en-US" w:eastAsia="zh-CN"/>
        </w:rPr>
        <w:t>第7章 响应文件格式</w:t>
      </w:r>
      <w:bookmarkEnd w:id="1805"/>
      <w:bookmarkEnd w:id="1806"/>
      <w:bookmarkEnd w:id="1807"/>
    </w:p>
    <w:p w14:paraId="041E492F">
      <w:pPr>
        <w:pStyle w:val="12"/>
        <w:tabs>
          <w:tab w:val="left" w:pos="5580"/>
        </w:tabs>
        <w:spacing w:line="400" w:lineRule="exact"/>
        <w:jc w:val="center"/>
        <w:outlineLvl w:val="9"/>
        <w:rPr>
          <w:rFonts w:hint="eastAsia" w:ascii="宋体" w:hAnsi="宋体" w:eastAsia="宋体" w:cs="宋体"/>
          <w:b/>
          <w:bCs/>
          <w:color w:val="auto"/>
          <w:sz w:val="24"/>
          <w:szCs w:val="24"/>
          <w:highlight w:val="none"/>
        </w:rPr>
      </w:pPr>
    </w:p>
    <w:tbl>
      <w:tblPr>
        <w:tblStyle w:val="28"/>
        <w:tblW w:w="9120" w:type="dxa"/>
        <w:jc w:val="center"/>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Layout w:type="fixed"/>
        <w:tblCellMar>
          <w:top w:w="0" w:type="dxa"/>
          <w:left w:w="108" w:type="dxa"/>
          <w:bottom w:w="0" w:type="dxa"/>
          <w:right w:w="108" w:type="dxa"/>
        </w:tblCellMar>
      </w:tblPr>
      <w:tblGrid>
        <w:gridCol w:w="9120"/>
      </w:tblGrid>
      <w:tr w14:paraId="69E11FBA">
        <w:tblPrEx>
          <w:tblBorders>
            <w:top w:val="double" w:color="666699" w:sz="4" w:space="0"/>
            <w:left w:val="double" w:color="666699" w:sz="4" w:space="0"/>
            <w:bottom w:val="double" w:color="666699" w:sz="4" w:space="0"/>
            <w:right w:val="double" w:color="666699" w:sz="4" w:space="0"/>
            <w:insideH w:val="double" w:color="666699" w:sz="4" w:space="0"/>
            <w:insideV w:val="double" w:color="666699" w:sz="4" w:space="0"/>
          </w:tblBorders>
          <w:shd w:val="clear" w:color="auto" w:fill="FCFEEA"/>
          <w:tblCellMar>
            <w:top w:w="0" w:type="dxa"/>
            <w:left w:w="108" w:type="dxa"/>
            <w:bottom w:w="0" w:type="dxa"/>
            <w:right w:w="108" w:type="dxa"/>
          </w:tblCellMar>
        </w:tblPrEx>
        <w:trPr>
          <w:trHeight w:val="11134" w:hRule="atLeast"/>
          <w:jc w:val="center"/>
        </w:trPr>
        <w:tc>
          <w:tcPr>
            <w:tcW w:w="9120" w:type="dxa"/>
            <w:shd w:val="clear" w:color="auto" w:fill="FCFEEA"/>
            <w:vAlign w:val="top"/>
          </w:tcPr>
          <w:p w14:paraId="24D63C65">
            <w:pPr>
              <w:widowControl w:val="0"/>
              <w:spacing w:before="120" w:line="22" w:lineRule="atLeast"/>
              <w:jc w:val="center"/>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8"/>
                <w:szCs w:val="28"/>
                <w:highlight w:val="none"/>
                <w:lang w:val="en-US" w:eastAsia="zh-CN" w:bidi="ar-SA"/>
              </w:rPr>
              <w:t xml:space="preserve">                                                </w:t>
            </w:r>
          </w:p>
          <w:p w14:paraId="6A4F17B3">
            <w:pPr>
              <w:widowControl w:val="0"/>
              <w:spacing w:before="120" w:line="22" w:lineRule="atLeast"/>
              <w:ind w:firstLine="4216" w:firstLineChars="1500"/>
              <w:jc w:val="both"/>
              <w:rPr>
                <w:rFonts w:hint="eastAsia" w:ascii="宋体" w:hAnsi="宋体" w:eastAsia="宋体" w:cs="宋体"/>
                <w:b/>
                <w:bCs/>
                <w:color w:val="auto"/>
                <w:kern w:val="2"/>
                <w:sz w:val="28"/>
                <w:szCs w:val="28"/>
                <w:highlight w:val="none"/>
                <w:lang w:val="en-US" w:eastAsia="zh-CN" w:bidi="ar-SA"/>
              </w:rPr>
            </w:pPr>
          </w:p>
          <w:p w14:paraId="4F1703BB">
            <w:pPr>
              <w:widowControl w:val="0"/>
              <w:spacing w:before="120" w:line="22" w:lineRule="atLeast"/>
              <w:ind w:firstLine="4216" w:firstLineChars="1500"/>
              <w:jc w:val="both"/>
              <w:rPr>
                <w:rFonts w:hint="eastAsia" w:ascii="宋体" w:hAnsi="宋体" w:eastAsia="宋体" w:cs="宋体"/>
                <w:b/>
                <w:bCs/>
                <w:color w:val="auto"/>
                <w:kern w:val="2"/>
                <w:sz w:val="28"/>
                <w:szCs w:val="28"/>
                <w:highlight w:val="none"/>
                <w:lang w:val="en-US" w:eastAsia="zh-CN" w:bidi="ar-SA"/>
              </w:rPr>
            </w:pPr>
          </w:p>
          <w:p w14:paraId="356C1053">
            <w:pPr>
              <w:widowControl w:val="0"/>
              <w:spacing w:before="120" w:line="22" w:lineRule="atLeast"/>
              <w:jc w:val="both"/>
              <w:rPr>
                <w:rFonts w:hint="eastAsia" w:ascii="宋体" w:hAnsi="宋体" w:eastAsia="宋体" w:cs="宋体"/>
                <w:b/>
                <w:bCs/>
                <w:color w:val="auto"/>
                <w:kern w:val="2"/>
                <w:sz w:val="28"/>
                <w:szCs w:val="28"/>
                <w:highlight w:val="none"/>
                <w:lang w:val="en-US" w:eastAsia="zh-CN" w:bidi="ar-SA"/>
              </w:rPr>
            </w:pPr>
          </w:p>
          <w:p w14:paraId="5F3C03F5">
            <w:pPr>
              <w:widowControl w:val="0"/>
              <w:spacing w:before="120" w:line="22" w:lineRule="atLeast"/>
              <w:ind w:firstLine="1897" w:firstLineChars="900"/>
              <w:jc w:val="both"/>
              <w:rPr>
                <w:rFonts w:hint="eastAsia" w:ascii="宋体" w:hAnsi="宋体" w:eastAsia="宋体" w:cs="宋体"/>
                <w:b/>
                <w:bCs/>
                <w:color w:val="auto"/>
                <w:kern w:val="2"/>
                <w:sz w:val="28"/>
                <w:szCs w:val="28"/>
                <w:highlight w:val="none"/>
                <w:lang w:val="en-US" w:eastAsia="zh-CN" w:bidi="ar-SA"/>
              </w:rPr>
            </w:pPr>
            <w:r>
              <w:rPr>
                <w:rFonts w:hint="eastAsia" w:ascii="宋体" w:hAnsi="宋体" w:eastAsia="宋体" w:cs="宋体"/>
                <w:b/>
                <w:bCs/>
                <w:color w:val="auto"/>
                <w:kern w:val="2"/>
                <w:sz w:val="21"/>
                <w:szCs w:val="21"/>
                <w:highlight w:val="none"/>
                <w:lang w:val="en-US" w:eastAsia="zh-CN" w:bidi="ar-SA"/>
              </w:rPr>
              <w:t>＊＊＊＊＊＊＊＊＊＊＊＊＊＊＊＊＊＊＊＊＊</w:t>
            </w:r>
            <w:r>
              <w:rPr>
                <w:rFonts w:hint="eastAsia" w:ascii="宋体" w:hAnsi="宋体" w:eastAsia="宋体" w:cs="宋体"/>
                <w:b/>
                <w:bCs/>
                <w:color w:val="auto"/>
                <w:kern w:val="2"/>
                <w:sz w:val="28"/>
                <w:szCs w:val="28"/>
                <w:highlight w:val="none"/>
                <w:lang w:val="en-US" w:eastAsia="zh-CN" w:bidi="ar-SA"/>
              </w:rPr>
              <w:t>项目</w:t>
            </w:r>
          </w:p>
          <w:p w14:paraId="7FA68B5F">
            <w:pPr>
              <w:widowControl w:val="0"/>
              <w:spacing w:before="120" w:line="22" w:lineRule="atLeast"/>
              <w:jc w:val="center"/>
              <w:rPr>
                <w:rFonts w:hint="eastAsia" w:ascii="宋体" w:hAnsi="宋体" w:eastAsia="宋体" w:cs="宋体"/>
                <w:b/>
                <w:bCs/>
                <w:color w:val="auto"/>
                <w:kern w:val="2"/>
                <w:sz w:val="21"/>
                <w:szCs w:val="21"/>
                <w:highlight w:val="none"/>
                <w:lang w:val="en-US" w:eastAsia="zh-CN" w:bidi="ar-SA"/>
              </w:rPr>
            </w:pPr>
          </w:p>
          <w:p w14:paraId="037141FA">
            <w:pPr>
              <w:rPr>
                <w:rFonts w:hint="eastAsia" w:ascii="宋体" w:hAnsi="宋体" w:eastAsia="宋体" w:cs="宋体"/>
                <w:highlight w:val="none"/>
              </w:rPr>
            </w:pPr>
          </w:p>
          <w:p w14:paraId="5A7F0E56">
            <w:pPr>
              <w:widowControl w:val="0"/>
              <w:spacing w:before="120" w:line="22" w:lineRule="atLeast"/>
              <w:ind w:firstLine="2741" w:firstLineChars="1300"/>
              <w:jc w:val="both"/>
              <w:rPr>
                <w:rFonts w:hint="eastAsia" w:ascii="宋体" w:hAnsi="宋体" w:eastAsia="宋体" w:cs="宋体"/>
                <w:b/>
                <w:bCs/>
                <w:color w:val="auto"/>
                <w:kern w:val="2"/>
                <w:sz w:val="21"/>
                <w:szCs w:val="21"/>
                <w:highlight w:val="none"/>
                <w:lang w:val="en-US" w:eastAsia="zh-CN" w:bidi="ar-SA"/>
              </w:rPr>
            </w:pPr>
            <w:r>
              <w:rPr>
                <w:rFonts w:hint="eastAsia" w:ascii="宋体" w:hAnsi="宋体" w:eastAsia="宋体" w:cs="宋体"/>
                <w:b/>
                <w:bCs/>
                <w:color w:val="auto"/>
                <w:kern w:val="2"/>
                <w:sz w:val="21"/>
                <w:szCs w:val="21"/>
                <w:highlight w:val="none"/>
                <w:lang w:val="en-US" w:eastAsia="zh-CN" w:bidi="ar-SA"/>
              </w:rPr>
              <w:t xml:space="preserve">项目编号 ＊＊＊      </w:t>
            </w:r>
            <w:r>
              <w:rPr>
                <w:rFonts w:hint="eastAsia" w:ascii="宋体" w:hAnsi="宋体" w:cs="宋体"/>
                <w:b/>
                <w:bCs/>
                <w:color w:val="auto"/>
                <w:kern w:val="2"/>
                <w:sz w:val="21"/>
                <w:szCs w:val="21"/>
                <w:highlight w:val="none"/>
                <w:lang w:val="en-US" w:eastAsia="zh-CN" w:bidi="ar-SA"/>
              </w:rPr>
              <w:t>标项</w:t>
            </w:r>
            <w:r>
              <w:rPr>
                <w:rFonts w:hint="eastAsia" w:ascii="宋体" w:hAnsi="宋体" w:eastAsia="宋体" w:cs="宋体"/>
                <w:b/>
                <w:bCs/>
                <w:color w:val="auto"/>
                <w:kern w:val="2"/>
                <w:sz w:val="21"/>
                <w:szCs w:val="21"/>
                <w:highlight w:val="none"/>
                <w:lang w:val="en-US" w:eastAsia="zh-CN" w:bidi="ar-SA"/>
              </w:rPr>
              <w:t>：＊＊＊（如有）</w:t>
            </w:r>
          </w:p>
          <w:p w14:paraId="70DF2155">
            <w:pPr>
              <w:widowControl w:val="0"/>
              <w:spacing w:before="120" w:line="22" w:lineRule="atLeast"/>
              <w:jc w:val="center"/>
              <w:rPr>
                <w:rFonts w:hint="eastAsia" w:ascii="宋体" w:hAnsi="宋体" w:eastAsia="宋体" w:cs="宋体"/>
                <w:b/>
                <w:bCs/>
                <w:color w:val="auto"/>
                <w:kern w:val="2"/>
                <w:sz w:val="48"/>
                <w:szCs w:val="24"/>
                <w:highlight w:val="none"/>
                <w:lang w:val="en-US" w:eastAsia="zh-CN" w:bidi="ar-SA"/>
              </w:rPr>
            </w:pPr>
          </w:p>
          <w:p w14:paraId="66B23C17">
            <w:pPr>
              <w:widowControl w:val="0"/>
              <w:spacing w:before="120" w:line="22" w:lineRule="atLeast"/>
              <w:jc w:val="center"/>
              <w:rPr>
                <w:rFonts w:hint="eastAsia" w:ascii="宋体" w:hAnsi="宋体" w:eastAsia="宋体" w:cs="宋体"/>
                <w:b/>
                <w:bCs/>
                <w:color w:val="auto"/>
                <w:kern w:val="2"/>
                <w:sz w:val="48"/>
                <w:szCs w:val="24"/>
                <w:highlight w:val="none"/>
                <w:lang w:val="en-US" w:eastAsia="zh-CN" w:bidi="ar-SA"/>
              </w:rPr>
            </w:pPr>
            <w:r>
              <w:rPr>
                <w:rFonts w:hint="eastAsia" w:ascii="宋体" w:hAnsi="宋体" w:eastAsia="宋体" w:cs="宋体"/>
                <w:b/>
                <w:bCs/>
                <w:color w:val="auto"/>
                <w:kern w:val="2"/>
                <w:sz w:val="48"/>
                <w:szCs w:val="24"/>
                <w:highlight w:val="none"/>
                <w:lang w:val="en-US" w:eastAsia="zh-CN" w:bidi="ar-SA"/>
              </w:rPr>
              <w:t>响 应 文 件</w:t>
            </w:r>
          </w:p>
          <w:p w14:paraId="7B4ACF73">
            <w:pPr>
              <w:widowControl w:val="0"/>
              <w:autoSpaceDE w:val="0"/>
              <w:autoSpaceDN w:val="0"/>
              <w:adjustRightInd w:val="0"/>
              <w:ind w:firstLine="0"/>
              <w:jc w:val="left"/>
              <w:rPr>
                <w:rFonts w:hint="eastAsia" w:ascii="宋体" w:hAnsi="宋体" w:eastAsia="宋体" w:cs="宋体"/>
                <w:b/>
                <w:color w:val="auto"/>
                <w:kern w:val="0"/>
                <w:sz w:val="32"/>
                <w:szCs w:val="20"/>
                <w:highlight w:val="none"/>
                <w:lang w:val="en-US" w:eastAsia="zh-CN" w:bidi="ar-SA"/>
              </w:rPr>
            </w:pPr>
          </w:p>
          <w:p w14:paraId="55692A7C">
            <w:pPr>
              <w:widowControl w:val="0"/>
              <w:autoSpaceDE w:val="0"/>
              <w:autoSpaceDN w:val="0"/>
              <w:adjustRightInd w:val="0"/>
              <w:ind w:firstLine="420"/>
              <w:jc w:val="left"/>
              <w:rPr>
                <w:rFonts w:hint="eastAsia" w:ascii="宋体" w:hAnsi="宋体" w:eastAsia="宋体" w:cs="宋体"/>
                <w:b/>
                <w:color w:val="auto"/>
                <w:kern w:val="0"/>
                <w:sz w:val="32"/>
                <w:szCs w:val="20"/>
                <w:highlight w:val="none"/>
                <w:lang w:val="en-US" w:eastAsia="zh-CN" w:bidi="ar-SA"/>
              </w:rPr>
            </w:pPr>
          </w:p>
          <w:p w14:paraId="55B3A192">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供</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应</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商：</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（公章）</w:t>
            </w:r>
          </w:p>
          <w:p w14:paraId="6780DF3F">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项目名称：</w:t>
            </w:r>
            <w:r>
              <w:rPr>
                <w:rFonts w:hint="eastAsia" w:ascii="宋体" w:hAnsi="宋体" w:eastAsia="宋体" w:cs="宋体"/>
                <w:color w:val="auto"/>
                <w:szCs w:val="21"/>
                <w:highlight w:val="none"/>
                <w:u w:val="single"/>
              </w:rPr>
              <w:t xml:space="preserve">                                       </w:t>
            </w:r>
          </w:p>
          <w:p w14:paraId="272F0239">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项目编号：</w:t>
            </w:r>
            <w:r>
              <w:rPr>
                <w:rFonts w:hint="eastAsia" w:ascii="宋体" w:hAnsi="宋体" w:eastAsia="宋体" w:cs="宋体"/>
                <w:color w:val="auto"/>
                <w:szCs w:val="21"/>
                <w:highlight w:val="none"/>
                <w:u w:val="single"/>
              </w:rPr>
              <w:t xml:space="preserve">                                       </w:t>
            </w:r>
          </w:p>
          <w:p w14:paraId="76A8006E">
            <w:pPr>
              <w:spacing w:line="360" w:lineRule="auto"/>
              <w:ind w:left="176" w:leftChars="84" w:firstLine="1260" w:firstLineChars="600"/>
              <w:rPr>
                <w:rFonts w:hint="eastAsia" w:ascii="宋体" w:hAnsi="宋体" w:eastAsia="宋体" w:cs="宋体"/>
                <w:color w:val="auto"/>
                <w:szCs w:val="21"/>
                <w:highlight w:val="none"/>
                <w:u w:val="single"/>
              </w:rPr>
            </w:pPr>
            <w:r>
              <w:rPr>
                <w:rFonts w:hint="eastAsia" w:ascii="宋体" w:hAnsi="宋体" w:eastAsia="宋体" w:cs="宋体"/>
                <w:color w:val="auto"/>
                <w:szCs w:val="21"/>
                <w:highlight w:val="none"/>
              </w:rPr>
              <w:t>联 系 人：</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rPr>
              <w:t xml:space="preserve"> </w:t>
            </w:r>
          </w:p>
          <w:p w14:paraId="1A2B20C7">
            <w:pPr>
              <w:spacing w:line="360" w:lineRule="auto"/>
              <w:ind w:left="176" w:leftChars="84" w:firstLine="1260" w:firstLineChars="600"/>
              <w:rPr>
                <w:rFonts w:hint="eastAsia" w:ascii="宋体" w:hAnsi="宋体" w:eastAsia="宋体" w:cs="宋体"/>
                <w:color w:val="auto"/>
                <w:szCs w:val="21"/>
                <w:highlight w:val="none"/>
              </w:rPr>
            </w:pPr>
            <w:r>
              <w:rPr>
                <w:rFonts w:hint="eastAsia" w:ascii="宋体" w:hAnsi="宋体" w:eastAsia="宋体" w:cs="宋体"/>
                <w:color w:val="auto"/>
                <w:szCs w:val="21"/>
                <w:highlight w:val="none"/>
              </w:rPr>
              <w:t>电    话：</w:t>
            </w:r>
            <w:r>
              <w:rPr>
                <w:rFonts w:hint="eastAsia" w:ascii="宋体" w:hAnsi="宋体" w:eastAsia="宋体" w:cs="宋体"/>
                <w:color w:val="auto"/>
                <w:szCs w:val="21"/>
                <w:highlight w:val="none"/>
                <w:u w:val="single"/>
              </w:rPr>
              <w:t xml:space="preserve">                                       </w:t>
            </w:r>
          </w:p>
          <w:p w14:paraId="03BCFD7A">
            <w:pPr>
              <w:spacing w:line="360" w:lineRule="auto"/>
              <w:ind w:left="176" w:leftChars="84" w:firstLine="1260" w:firstLineChars="600"/>
              <w:rPr>
                <w:rFonts w:hint="eastAsia" w:ascii="宋体" w:hAnsi="宋体" w:eastAsia="宋体" w:cs="宋体"/>
                <w:b/>
                <w:bCs/>
                <w:color w:val="auto"/>
                <w:highlight w:val="none"/>
              </w:rPr>
            </w:pPr>
            <w:r>
              <w:rPr>
                <w:rFonts w:hint="eastAsia" w:ascii="宋体" w:hAnsi="宋体" w:eastAsia="宋体" w:cs="宋体"/>
                <w:color w:val="auto"/>
                <w:szCs w:val="21"/>
                <w:highlight w:val="none"/>
              </w:rPr>
              <w:t>地    址：</w:t>
            </w:r>
            <w:r>
              <w:rPr>
                <w:rFonts w:hint="eastAsia" w:ascii="宋体" w:hAnsi="宋体" w:eastAsia="宋体" w:cs="宋体"/>
                <w:color w:val="auto"/>
                <w:szCs w:val="21"/>
                <w:highlight w:val="none"/>
                <w:u w:val="single"/>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rPr>
              <w:t xml:space="preserve">    </w:t>
            </w:r>
          </w:p>
          <w:p w14:paraId="3B7B29AE">
            <w:pPr>
              <w:jc w:val="center"/>
              <w:rPr>
                <w:rFonts w:hint="eastAsia" w:ascii="宋体" w:hAnsi="宋体" w:eastAsia="宋体" w:cs="宋体"/>
                <w:b/>
                <w:bCs/>
                <w:color w:val="auto"/>
                <w:highlight w:val="none"/>
              </w:rPr>
            </w:pPr>
          </w:p>
          <w:p w14:paraId="48A46799">
            <w:pPr>
              <w:widowControl w:val="0"/>
              <w:autoSpaceDE w:val="0"/>
              <w:autoSpaceDN w:val="0"/>
              <w:adjustRightInd w:val="0"/>
              <w:ind w:firstLine="420"/>
              <w:jc w:val="left"/>
              <w:rPr>
                <w:rFonts w:hint="eastAsia" w:ascii="宋体" w:hAnsi="宋体" w:eastAsia="宋体" w:cs="宋体"/>
                <w:color w:val="auto"/>
                <w:kern w:val="0"/>
                <w:sz w:val="24"/>
                <w:szCs w:val="20"/>
                <w:highlight w:val="none"/>
                <w:lang w:val="en-US" w:eastAsia="zh-CN" w:bidi="ar-SA"/>
              </w:rPr>
            </w:pPr>
          </w:p>
          <w:p w14:paraId="3E974727">
            <w:pPr>
              <w:jc w:val="center"/>
              <w:rPr>
                <w:rFonts w:hint="eastAsia" w:ascii="宋体" w:hAnsi="宋体" w:eastAsia="宋体" w:cs="宋体"/>
                <w:b/>
                <w:bCs/>
                <w:color w:val="auto"/>
                <w:highlight w:val="none"/>
              </w:rPr>
            </w:pPr>
          </w:p>
          <w:p w14:paraId="0686B8D1">
            <w:pPr>
              <w:jc w:val="center"/>
              <w:rPr>
                <w:rFonts w:hint="eastAsia" w:ascii="宋体" w:hAnsi="宋体" w:eastAsia="宋体" w:cs="宋体"/>
                <w:b/>
                <w:bCs/>
                <w:color w:val="auto"/>
                <w:highlight w:val="none"/>
                <w:lang w:val="en-US" w:eastAsia="zh-CN"/>
              </w:rPr>
            </w:pPr>
          </w:p>
          <w:p w14:paraId="55EDBD96">
            <w:pPr>
              <w:jc w:val="center"/>
              <w:rPr>
                <w:rFonts w:hint="eastAsia" w:ascii="宋体" w:hAnsi="宋体" w:eastAsia="宋体" w:cs="宋体"/>
                <w:b/>
                <w:bCs/>
                <w:color w:val="auto"/>
                <w:highlight w:val="none"/>
              </w:rPr>
            </w:pPr>
          </w:p>
        </w:tc>
      </w:tr>
    </w:tbl>
    <w:p w14:paraId="2F47A61B">
      <w:pPr>
        <w:rPr>
          <w:rFonts w:hint="eastAsia"/>
          <w:sz w:val="32"/>
          <w:szCs w:val="32"/>
        </w:rPr>
      </w:pPr>
    </w:p>
    <w:p w14:paraId="6D049D50">
      <w:pPr>
        <w:rPr>
          <w:rFonts w:hint="eastAsia"/>
          <w:sz w:val="32"/>
          <w:szCs w:val="32"/>
        </w:rPr>
      </w:pPr>
    </w:p>
    <w:p w14:paraId="7242FB5A">
      <w:pPr>
        <w:pStyle w:val="3"/>
        <w:snapToGrid w:val="0"/>
        <w:spacing w:before="0" w:after="0" w:line="360" w:lineRule="exact"/>
        <w:ind w:left="1080" w:leftChars="257" w:hanging="540"/>
        <w:textAlignment w:val="baseline"/>
        <w:rPr>
          <w:rFonts w:hint="eastAsia" w:ascii="宋体" w:hAnsi="宋体" w:eastAsia="宋体" w:cs="宋体"/>
          <w:sz w:val="28"/>
          <w:szCs w:val="28"/>
        </w:rPr>
      </w:pPr>
      <w:bookmarkStart w:id="1808" w:name="_Toc18974"/>
      <w:bookmarkEnd w:id="1808"/>
      <w:bookmarkStart w:id="1809" w:name="_Toc18694"/>
      <w:bookmarkEnd w:id="1809"/>
      <w:bookmarkStart w:id="1810" w:name="_Toc19961"/>
      <w:bookmarkEnd w:id="1810"/>
      <w:bookmarkStart w:id="1811" w:name="_Toc515647803"/>
      <w:bookmarkEnd w:id="1811"/>
      <w:bookmarkStart w:id="1812" w:name="_Toc3315"/>
      <w:bookmarkEnd w:id="1812"/>
      <w:bookmarkStart w:id="1813" w:name="_Toc26489"/>
      <w:bookmarkEnd w:id="1813"/>
      <w:bookmarkStart w:id="1814" w:name="_Toc21920"/>
      <w:bookmarkEnd w:id="1814"/>
      <w:bookmarkStart w:id="1815" w:name="_Toc6846"/>
      <w:r>
        <w:rPr>
          <w:rFonts w:hint="eastAsia" w:ascii="宋体" w:hAnsi="宋体" w:eastAsia="宋体" w:cs="宋体"/>
          <w:sz w:val="28"/>
          <w:szCs w:val="28"/>
        </w:rPr>
        <w:t>第一部分 磋商一览表及资格证明文件</w:t>
      </w:r>
      <w:bookmarkEnd w:id="1815"/>
    </w:p>
    <w:p w14:paraId="0CA8ECF7">
      <w:pPr>
        <w:tabs>
          <w:tab w:val="left" w:pos="5580"/>
        </w:tabs>
        <w:spacing w:line="300" w:lineRule="exact"/>
        <w:ind w:firstLine="480" w:firstLineChars="200"/>
        <w:rPr>
          <w:rFonts w:hint="eastAsia" w:ascii="宋体" w:hAnsi="宋体" w:cs="宋体"/>
          <w:sz w:val="24"/>
        </w:rPr>
      </w:pPr>
      <w:r>
        <w:rPr>
          <w:rFonts w:hint="eastAsia" w:ascii="宋体" w:hAnsi="宋体" w:cs="宋体"/>
          <w:kern w:val="0"/>
          <w:sz w:val="24"/>
        </w:rPr>
        <w:t>1、磋商一览表</w:t>
      </w:r>
      <w:r>
        <w:rPr>
          <w:rFonts w:hint="eastAsia" w:ascii="宋体" w:hAnsi="宋体" w:cs="宋体"/>
          <w:sz w:val="24"/>
        </w:rPr>
        <w:t>；</w:t>
      </w:r>
    </w:p>
    <w:p w14:paraId="3DEA6756">
      <w:pPr>
        <w:spacing w:line="300" w:lineRule="exact"/>
        <w:ind w:firstLine="480" w:firstLineChars="200"/>
        <w:rPr>
          <w:rFonts w:hint="eastAsia" w:ascii="宋体" w:hAnsi="宋体" w:cs="宋体"/>
          <w:sz w:val="24"/>
        </w:rPr>
      </w:pPr>
      <w:r>
        <w:rPr>
          <w:rFonts w:hint="eastAsia" w:ascii="宋体" w:hAnsi="宋体" w:cs="宋体"/>
          <w:sz w:val="24"/>
        </w:rPr>
        <w:t>2、</w:t>
      </w:r>
      <w:r>
        <w:rPr>
          <w:rFonts w:hint="eastAsia" w:ascii="宋体" w:hAnsi="宋体" w:cs="宋体"/>
          <w:sz w:val="24"/>
          <w:lang w:eastAsia="zh-CN"/>
        </w:rPr>
        <w:t>具有有效的营业执照</w:t>
      </w:r>
      <w:r>
        <w:rPr>
          <w:rFonts w:hint="eastAsia" w:ascii="宋体" w:hAnsi="宋体" w:cs="宋体"/>
          <w:sz w:val="24"/>
        </w:rPr>
        <w:t>；</w:t>
      </w:r>
    </w:p>
    <w:p w14:paraId="1D96E8F9">
      <w:pPr>
        <w:spacing w:line="300" w:lineRule="exact"/>
        <w:ind w:firstLine="480" w:firstLineChars="200"/>
        <w:rPr>
          <w:rFonts w:hint="eastAsia" w:ascii="宋体" w:hAnsi="宋体" w:cs="宋体"/>
          <w:sz w:val="24"/>
        </w:rPr>
      </w:pPr>
      <w:r>
        <w:rPr>
          <w:rFonts w:hint="eastAsia" w:ascii="宋体" w:hAnsi="宋体" w:cs="宋体"/>
          <w:sz w:val="24"/>
        </w:rPr>
        <w:t>3、</w:t>
      </w:r>
      <w:r>
        <w:rPr>
          <w:rFonts w:hint="eastAsia" w:ascii="宋体" w:hAnsi="宋体" w:cs="宋体"/>
          <w:sz w:val="24"/>
          <w:lang w:eastAsia="zh-CN"/>
        </w:rPr>
        <w:t>法定代表人资格证明(法定代表人磋商须提供身份证)</w:t>
      </w:r>
      <w:r>
        <w:rPr>
          <w:rFonts w:hint="eastAsia" w:ascii="宋体" w:hAnsi="宋体" w:cs="宋体"/>
          <w:sz w:val="24"/>
        </w:rPr>
        <w:t>；</w:t>
      </w:r>
    </w:p>
    <w:p w14:paraId="111E5EEB">
      <w:pPr>
        <w:spacing w:line="300" w:lineRule="exact"/>
        <w:ind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eastAsia="zh-CN"/>
        </w:rPr>
        <w:t>近两年任意一年的财务审计报告，新成立的公司提供近三个月内任意一个月的银行资信证明</w:t>
      </w:r>
      <w:r>
        <w:rPr>
          <w:rFonts w:hint="eastAsia" w:ascii="宋体" w:hAnsi="宋体" w:cs="宋体"/>
          <w:sz w:val="24"/>
        </w:rPr>
        <w:t>；</w:t>
      </w:r>
    </w:p>
    <w:p w14:paraId="54B40706">
      <w:pPr>
        <w:spacing w:line="300" w:lineRule="exact"/>
        <w:ind w:firstLine="480" w:firstLineChars="200"/>
        <w:rPr>
          <w:rFonts w:hint="eastAsia" w:ascii="宋体" w:hAnsi="宋体" w:cs="宋体"/>
          <w:sz w:val="24"/>
        </w:rPr>
      </w:pPr>
      <w:r>
        <w:rPr>
          <w:rFonts w:hint="eastAsia" w:ascii="宋体" w:hAnsi="宋体" w:cs="宋体"/>
          <w:sz w:val="24"/>
        </w:rPr>
        <w:t>5、</w:t>
      </w:r>
      <w:r>
        <w:rPr>
          <w:rFonts w:hint="eastAsia" w:ascii="宋体" w:hAnsi="宋体" w:cs="宋体"/>
          <w:sz w:val="24"/>
          <w:lang w:eastAsia="zh-CN"/>
        </w:rPr>
        <w:t>提供依法缴纳近6个月任意1个月社会保险的证明</w:t>
      </w:r>
      <w:r>
        <w:rPr>
          <w:rFonts w:hint="eastAsia" w:ascii="宋体" w:hAnsi="宋体" w:cs="宋体"/>
          <w:sz w:val="24"/>
        </w:rPr>
        <w:t>；</w:t>
      </w:r>
    </w:p>
    <w:p w14:paraId="547FD83C">
      <w:pPr>
        <w:spacing w:line="300" w:lineRule="exact"/>
        <w:ind w:firstLine="480" w:firstLineChars="200"/>
        <w:rPr>
          <w:rFonts w:hint="eastAsia" w:ascii="宋体" w:hAnsi="宋体" w:cs="宋体"/>
          <w:sz w:val="24"/>
        </w:rPr>
      </w:pPr>
      <w:r>
        <w:rPr>
          <w:rFonts w:hint="eastAsia" w:ascii="宋体" w:hAnsi="宋体" w:cs="宋体"/>
          <w:sz w:val="24"/>
        </w:rPr>
        <w:t>6、</w:t>
      </w:r>
      <w:r>
        <w:rPr>
          <w:rFonts w:hint="eastAsia" w:ascii="宋体" w:hAnsi="宋体" w:cs="宋体"/>
          <w:sz w:val="24"/>
          <w:lang w:eastAsia="zh-CN"/>
        </w:rPr>
        <w:t>提供依法缴纳近6个月任意1个月的税收证明</w:t>
      </w:r>
      <w:r>
        <w:rPr>
          <w:rFonts w:hint="eastAsia" w:ascii="宋体" w:hAnsi="宋体" w:cs="宋体"/>
          <w:sz w:val="24"/>
        </w:rPr>
        <w:t>；</w:t>
      </w:r>
    </w:p>
    <w:p w14:paraId="495D40F1">
      <w:pPr>
        <w:spacing w:line="300" w:lineRule="exact"/>
        <w:ind w:firstLine="480" w:firstLineChars="200"/>
        <w:rPr>
          <w:rFonts w:hint="eastAsia" w:ascii="宋体" w:hAnsi="宋体" w:cs="宋体"/>
          <w:sz w:val="24"/>
        </w:rPr>
      </w:pPr>
      <w:r>
        <w:rPr>
          <w:rFonts w:hint="eastAsia" w:ascii="宋体" w:hAnsi="宋体" w:cs="宋体"/>
          <w:sz w:val="24"/>
        </w:rPr>
        <w:t>7、</w:t>
      </w:r>
      <w:r>
        <w:rPr>
          <w:rFonts w:hint="eastAsia" w:ascii="宋体" w:hAnsi="宋体" w:cs="宋体"/>
          <w:sz w:val="24"/>
          <w:lang w:eastAsia="zh-CN"/>
        </w:rPr>
        <w:t>根据《财政部关于在政府采购活动中查询及使用信用记录有关问题的通知》（财库﹝2016﹞125号）的要求，凡拟参加本次招标项目的投标人，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宋体" w:hAnsi="宋体" w:cs="宋体"/>
          <w:sz w:val="24"/>
        </w:rPr>
        <w:t>；</w:t>
      </w:r>
    </w:p>
    <w:p w14:paraId="57731164">
      <w:pPr>
        <w:spacing w:line="300" w:lineRule="exact"/>
        <w:ind w:firstLine="480" w:firstLineChars="200"/>
        <w:rPr>
          <w:rFonts w:hint="eastAsia" w:ascii="宋体" w:hAnsi="宋体" w:cs="宋体"/>
          <w:sz w:val="24"/>
        </w:rPr>
      </w:pPr>
      <w:r>
        <w:rPr>
          <w:rFonts w:hint="eastAsia" w:ascii="宋体" w:hAnsi="宋体" w:cs="宋体"/>
          <w:sz w:val="24"/>
        </w:rPr>
        <w:t>8、参加政府采购活动前三年内在经营活动中没有重大违法记录的书面声明；</w:t>
      </w:r>
    </w:p>
    <w:p w14:paraId="7FBCEF2C">
      <w:pPr>
        <w:pStyle w:val="12"/>
        <w:spacing w:line="360" w:lineRule="auto"/>
        <w:ind w:firstLine="480" w:firstLineChars="20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9、【1】所投供应商须具备建筑工程施工总承包二级及以上资质，还须具备有效的安全生产许可证（所有证件均应在有效期内）；</w:t>
      </w:r>
    </w:p>
    <w:p w14:paraId="0DC88DA6">
      <w:pPr>
        <w:spacing w:line="300" w:lineRule="exact"/>
        <w:ind w:firstLine="480" w:firstLineChars="200"/>
        <w:rPr>
          <w:rFonts w:hint="eastAsia" w:ascii="宋体" w:hAnsi="宋体" w:eastAsia="宋体" w:cs="宋体"/>
          <w:kern w:val="2"/>
          <w:sz w:val="24"/>
          <w:szCs w:val="24"/>
          <w:highlight w:val="none"/>
          <w:lang w:val="en-US" w:eastAsia="zh-CN" w:bidi="ar-SA"/>
        </w:rPr>
      </w:pPr>
      <w:r>
        <w:rPr>
          <w:rFonts w:hint="eastAsia" w:ascii="宋体" w:hAnsi="宋体" w:eastAsia="宋体" w:cs="宋体"/>
          <w:kern w:val="2"/>
          <w:sz w:val="24"/>
          <w:szCs w:val="24"/>
          <w:highlight w:val="none"/>
          <w:lang w:val="en-US" w:eastAsia="zh-CN" w:bidi="ar-SA"/>
        </w:rPr>
        <w:t>【2】项目经理须具备建筑工程专业贰级及以上注册建造师证书和有效的安全生产考核合格证书（B证），且未担任其他在建工程项目的项目经理（所有证件均应在有效期内）；</w:t>
      </w:r>
    </w:p>
    <w:p w14:paraId="32F83786">
      <w:pPr>
        <w:spacing w:line="300" w:lineRule="exact"/>
        <w:ind w:firstLine="480" w:firstLineChars="200"/>
        <w:rPr>
          <w:rFonts w:hint="eastAsia" w:ascii="宋体" w:hAnsi="宋体" w:cs="宋体"/>
          <w:sz w:val="24"/>
        </w:rPr>
      </w:pPr>
      <w:r>
        <w:rPr>
          <w:rFonts w:hint="eastAsia" w:ascii="宋体" w:hAnsi="宋体" w:cs="宋体"/>
          <w:sz w:val="24"/>
          <w:lang w:val="en-US" w:eastAsia="zh-CN"/>
        </w:rPr>
        <w:t>10</w:t>
      </w:r>
      <w:r>
        <w:rPr>
          <w:rFonts w:hint="eastAsia" w:ascii="宋体" w:hAnsi="宋体" w:cs="宋体"/>
          <w:sz w:val="24"/>
        </w:rPr>
        <w:t>、</w:t>
      </w:r>
      <w:r>
        <w:rPr>
          <w:rFonts w:hint="eastAsia" w:ascii="宋体" w:hAnsi="宋体" w:cs="宋体"/>
          <w:sz w:val="24"/>
          <w:lang w:eastAsia="zh-CN"/>
        </w:rPr>
        <w:t>具备履行合同所必需的设备和专业技术能力的证明材</w:t>
      </w:r>
      <w:r>
        <w:rPr>
          <w:rFonts w:hint="eastAsia" w:ascii="宋体" w:hAnsi="宋体" w:cs="宋体"/>
          <w:sz w:val="24"/>
        </w:rPr>
        <w:t>料；</w:t>
      </w:r>
    </w:p>
    <w:p w14:paraId="0158F930">
      <w:pPr>
        <w:spacing w:line="3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1</w:t>
      </w:r>
      <w:r>
        <w:rPr>
          <w:rFonts w:hint="eastAsia" w:ascii="宋体" w:hAnsi="宋体" w:cs="宋体"/>
          <w:sz w:val="24"/>
        </w:rPr>
        <w:t>、提供缴纳</w:t>
      </w:r>
      <w:r>
        <w:rPr>
          <w:rFonts w:hint="eastAsia" w:ascii="宋体" w:hAnsi="宋体" w:cs="宋体"/>
          <w:sz w:val="24"/>
          <w:lang w:eastAsia="zh-CN"/>
        </w:rPr>
        <w:t>磋商保证金</w:t>
      </w:r>
      <w:r>
        <w:rPr>
          <w:rFonts w:hint="eastAsia" w:ascii="宋体" w:hAnsi="宋体" w:cs="宋体"/>
          <w:sz w:val="24"/>
        </w:rPr>
        <w:t>的有效凭证；</w:t>
      </w:r>
    </w:p>
    <w:p w14:paraId="7F925442">
      <w:pPr>
        <w:spacing w:line="300" w:lineRule="exact"/>
        <w:ind w:firstLine="480" w:firstLineChars="200"/>
        <w:rPr>
          <w:rFonts w:hint="eastAsia" w:ascii="宋体" w:hAnsi="宋体" w:cs="宋体"/>
          <w:kern w:val="0"/>
          <w:sz w:val="24"/>
        </w:rPr>
      </w:pPr>
      <w:r>
        <w:rPr>
          <w:rFonts w:hint="eastAsia" w:ascii="宋体" w:hAnsi="宋体" w:cs="宋体"/>
          <w:sz w:val="24"/>
        </w:rPr>
        <w:t>1</w:t>
      </w:r>
      <w:r>
        <w:rPr>
          <w:rFonts w:hint="eastAsia" w:ascii="宋体" w:hAnsi="宋体" w:cs="宋体"/>
          <w:sz w:val="24"/>
          <w:lang w:val="en-US" w:eastAsia="zh-CN"/>
        </w:rPr>
        <w:t>2</w:t>
      </w:r>
      <w:r>
        <w:rPr>
          <w:rFonts w:hint="eastAsia" w:ascii="宋体" w:hAnsi="宋体" w:cs="宋体"/>
          <w:sz w:val="24"/>
        </w:rPr>
        <w:t>、</w:t>
      </w:r>
      <w:r>
        <w:rPr>
          <w:rFonts w:hint="eastAsia" w:ascii="宋体" w:hAnsi="宋体" w:cs="宋体"/>
          <w:kern w:val="0"/>
          <w:sz w:val="24"/>
        </w:rPr>
        <w:t>银行开户许可证复印件或银行基本账户信息(包含：银行账号及开户行名称）；</w:t>
      </w:r>
    </w:p>
    <w:p w14:paraId="49215C12">
      <w:pPr>
        <w:tabs>
          <w:tab w:val="left" w:pos="5580"/>
        </w:tabs>
        <w:spacing w:line="300" w:lineRule="exact"/>
        <w:ind w:firstLine="480" w:firstLineChars="200"/>
        <w:rPr>
          <w:rFonts w:hint="eastAsia" w:ascii="宋体" w:hAnsi="宋体" w:cs="宋体"/>
          <w:sz w:val="24"/>
        </w:rPr>
      </w:pPr>
      <w:r>
        <w:rPr>
          <w:rFonts w:hint="eastAsia" w:ascii="宋体" w:hAnsi="宋体" w:cs="宋体"/>
          <w:sz w:val="24"/>
        </w:rPr>
        <w:t>1</w:t>
      </w:r>
      <w:r>
        <w:rPr>
          <w:rFonts w:hint="eastAsia" w:ascii="宋体" w:hAnsi="宋体" w:cs="宋体"/>
          <w:sz w:val="24"/>
          <w:lang w:val="en-US" w:eastAsia="zh-CN"/>
        </w:rPr>
        <w:t>3</w:t>
      </w:r>
      <w:r>
        <w:rPr>
          <w:rFonts w:hint="eastAsia" w:ascii="宋体" w:hAnsi="宋体" w:cs="宋体"/>
          <w:sz w:val="24"/>
        </w:rPr>
        <w:t>、供应商可提供有利于投标的其他资格证明材料。</w:t>
      </w:r>
    </w:p>
    <w:p w14:paraId="277E2C2D">
      <w:pPr>
        <w:pStyle w:val="27"/>
        <w:ind w:firstLine="480"/>
        <w:rPr>
          <w:rFonts w:hint="eastAsia" w:ascii="宋体" w:hAnsi="宋体" w:cs="宋体"/>
        </w:rPr>
      </w:pPr>
    </w:p>
    <w:p w14:paraId="4586C303">
      <w:pPr>
        <w:widowControl/>
        <w:snapToGrid w:val="0"/>
        <w:spacing w:line="300" w:lineRule="exact"/>
        <w:jc w:val="left"/>
        <w:textAlignment w:val="baseline"/>
        <w:rPr>
          <w:rFonts w:hint="eastAsia" w:ascii="宋体" w:hAnsi="宋体" w:cs="宋体"/>
          <w:b/>
          <w:bCs/>
          <w:sz w:val="24"/>
        </w:rPr>
      </w:pPr>
      <w:r>
        <w:rPr>
          <w:rFonts w:hint="eastAsia" w:ascii="宋体" w:hAnsi="宋体" w:cs="宋体"/>
          <w:b/>
          <w:bCs/>
          <w:sz w:val="24"/>
        </w:rPr>
        <w:t>各供应商应注意以下事项：①本项目要求各投标供应商提供“</w:t>
      </w:r>
      <w:r>
        <w:rPr>
          <w:rFonts w:hint="eastAsia" w:ascii="宋体" w:hAnsi="宋体" w:cs="宋体"/>
          <w:b/>
          <w:bCs/>
          <w:sz w:val="24"/>
          <w:lang w:eastAsia="zh-CN"/>
        </w:rPr>
        <w:t>提供依法缴纳近6个月任意1个月的税收证明</w:t>
      </w:r>
      <w:r>
        <w:rPr>
          <w:rFonts w:hint="eastAsia" w:ascii="宋体" w:hAnsi="宋体" w:cs="宋体"/>
          <w:b/>
          <w:bCs/>
          <w:sz w:val="24"/>
        </w:rPr>
        <w:t>”，若供应商某月税收为零申报，须提供加盖税务局公章的无欠税证明或申报成功网页截图（供应商可自主登录“国家税务总局电子税务局”12366.chinatax.gov.cn/bsfw/onlinetaxation/main——税费申报及缴纳——申报结果查询）。②税务局代收的社保缴费证明不可作为本项目的完税证明（“税种”不可为养老保险、医疗保险、失业保险、工伤保险和生育保险）。</w:t>
      </w:r>
    </w:p>
    <w:p w14:paraId="42518985">
      <w:pPr>
        <w:jc w:val="left"/>
        <w:outlineLvl w:val="2"/>
        <w:rPr>
          <w:rFonts w:hint="eastAsia" w:ascii="宋体" w:hAnsi="宋体" w:eastAsia="宋体" w:cs="宋体"/>
          <w:b/>
          <w:color w:val="auto"/>
          <w:sz w:val="28"/>
          <w:szCs w:val="28"/>
          <w:highlight w:val="none"/>
        </w:rPr>
      </w:pPr>
      <w:r>
        <w:rPr>
          <w:rFonts w:hint="eastAsia" w:ascii="宋体" w:hAnsi="宋体" w:cs="宋体"/>
          <w:sz w:val="24"/>
        </w:rPr>
        <w:br w:type="page"/>
      </w:r>
      <w:bookmarkStart w:id="1816" w:name="_Toc23405"/>
      <w:bookmarkStart w:id="1817" w:name="_Toc24381"/>
      <w:bookmarkStart w:id="1818" w:name="_Toc1244"/>
      <w:r>
        <w:rPr>
          <w:rFonts w:hint="eastAsia" w:ascii="宋体" w:hAnsi="宋体" w:eastAsia="宋体" w:cs="宋体"/>
          <w:b/>
          <w:color w:val="auto"/>
          <w:sz w:val="28"/>
          <w:szCs w:val="28"/>
          <w:highlight w:val="none"/>
        </w:rPr>
        <w:t>1、</w:t>
      </w:r>
      <w:r>
        <w:rPr>
          <w:rFonts w:hint="eastAsia" w:ascii="宋体" w:hAnsi="宋体" w:eastAsia="宋体" w:cs="宋体"/>
          <w:b/>
          <w:color w:val="auto"/>
          <w:sz w:val="28"/>
          <w:szCs w:val="28"/>
          <w:highlight w:val="none"/>
          <w:lang w:val="en-US" w:eastAsia="zh-CN"/>
        </w:rPr>
        <w:t>磋商</w:t>
      </w:r>
      <w:r>
        <w:rPr>
          <w:rFonts w:hint="eastAsia" w:ascii="宋体" w:hAnsi="宋体" w:eastAsia="宋体" w:cs="宋体"/>
          <w:b/>
          <w:color w:val="auto"/>
          <w:sz w:val="28"/>
          <w:szCs w:val="28"/>
          <w:highlight w:val="none"/>
        </w:rPr>
        <w:t>一览表</w:t>
      </w:r>
      <w:bookmarkEnd w:id="1816"/>
    </w:p>
    <w:p w14:paraId="40492DDF">
      <w:pPr>
        <w:pStyle w:val="7"/>
        <w:tabs>
          <w:tab w:val="left" w:pos="5580"/>
        </w:tabs>
        <w:spacing w:line="400" w:lineRule="exact"/>
        <w:ind w:left="0" w:leftChars="0" w:firstLine="0" w:firstLineChars="0"/>
        <w:jc w:val="center"/>
        <w:rPr>
          <w:rFonts w:hint="eastAsia" w:ascii="宋体" w:hAnsi="宋体" w:eastAsia="宋体" w:cs="宋体"/>
          <w:b/>
          <w:bCs/>
          <w:color w:val="auto"/>
          <w:szCs w:val="24"/>
          <w:highlight w:val="none"/>
        </w:rPr>
      </w:pPr>
      <w:r>
        <w:rPr>
          <w:rFonts w:hint="eastAsia" w:ascii="宋体" w:hAnsi="宋体" w:eastAsia="宋体" w:cs="宋体"/>
          <w:b/>
          <w:bCs/>
          <w:color w:val="auto"/>
          <w:sz w:val="24"/>
          <w:szCs w:val="24"/>
          <w:highlight w:val="none"/>
          <w:lang w:val="en-US" w:eastAsia="zh-CN"/>
        </w:rPr>
        <w:t>磋商</w:t>
      </w:r>
      <w:r>
        <w:rPr>
          <w:rFonts w:hint="eastAsia" w:ascii="宋体" w:hAnsi="宋体" w:eastAsia="宋体" w:cs="宋体"/>
          <w:b/>
          <w:bCs/>
          <w:color w:val="auto"/>
          <w:szCs w:val="24"/>
          <w:highlight w:val="none"/>
        </w:rPr>
        <w:t>一览表</w:t>
      </w:r>
    </w:p>
    <w:p w14:paraId="47CC15FF">
      <w:pPr>
        <w:tabs>
          <w:tab w:val="left" w:pos="1800"/>
          <w:tab w:val="left" w:pos="5580"/>
        </w:tabs>
        <w:spacing w:line="400" w:lineRule="exact"/>
        <w:ind w:left="1080" w:leftChars="257" w:right="-867" w:rightChars="-413" w:hanging="540"/>
        <w:rPr>
          <w:rFonts w:hint="eastAsia" w:ascii="宋体" w:hAnsi="宋体" w:eastAsia="宋体" w:cs="宋体"/>
          <w:sz w:val="24"/>
        </w:rPr>
      </w:pPr>
      <w:r>
        <w:rPr>
          <w:rFonts w:hint="eastAsia" w:ascii="宋体" w:hAnsi="宋体" w:eastAsia="宋体" w:cs="宋体"/>
          <w:sz w:val="24"/>
        </w:rPr>
        <w:t xml:space="preserve">项目名称：　                  </w:t>
      </w:r>
      <w:r>
        <w:rPr>
          <w:rFonts w:hint="eastAsia" w:ascii="宋体" w:hAnsi="宋体" w:eastAsia="宋体" w:cs="宋体"/>
          <w:sz w:val="24"/>
          <w:lang w:eastAsia="zh-CN"/>
        </w:rPr>
        <w:t>项目编号：</w:t>
      </w:r>
      <w:r>
        <w:rPr>
          <w:rFonts w:hint="eastAsia" w:ascii="宋体" w:hAnsi="宋体" w:eastAsia="宋体" w:cs="宋体"/>
          <w:sz w:val="24"/>
        </w:rPr>
        <w:t xml:space="preserve">                     </w:t>
      </w:r>
    </w:p>
    <w:p w14:paraId="5DA82B4C">
      <w:pPr>
        <w:tabs>
          <w:tab w:val="left" w:pos="1800"/>
          <w:tab w:val="left" w:pos="5580"/>
        </w:tabs>
        <w:spacing w:line="400" w:lineRule="exact"/>
        <w:ind w:left="1080" w:leftChars="257" w:right="-867" w:rightChars="-413" w:hanging="540"/>
        <w:rPr>
          <w:rFonts w:ascii="宋体" w:hAnsi="宋体" w:eastAsia="宋体" w:cs="宋体"/>
          <w:sz w:val="24"/>
        </w:rPr>
      </w:pPr>
      <w:r>
        <w:rPr>
          <w:rFonts w:hint="eastAsia" w:ascii="宋体" w:hAnsi="宋体" w:eastAsia="宋体" w:cs="宋体"/>
          <w:sz w:val="24"/>
        </w:rPr>
        <w:t>报价单位：人民币（</w:t>
      </w:r>
      <w:r>
        <w:rPr>
          <w:rFonts w:hint="eastAsia" w:ascii="宋体" w:hAnsi="宋体" w:eastAsia="宋体" w:cs="宋体"/>
          <w:b/>
          <w:sz w:val="24"/>
        </w:rPr>
        <w:t>元</w:t>
      </w:r>
      <w:r>
        <w:rPr>
          <w:rFonts w:hint="eastAsia" w:ascii="宋体" w:hAnsi="宋体" w:eastAsia="宋体" w:cs="宋体"/>
          <w:sz w:val="24"/>
        </w:rPr>
        <w:t>）</w:t>
      </w:r>
      <w:r>
        <w:rPr>
          <w:rFonts w:hint="eastAsia" w:ascii="宋体" w:hAnsi="宋体" w:eastAsia="宋体" w:cs="宋体"/>
          <w:b/>
          <w:sz w:val="24"/>
        </w:rPr>
        <w:t xml:space="preserve">          </w:t>
      </w:r>
      <w:r>
        <w:rPr>
          <w:rFonts w:hint="eastAsia" w:ascii="宋体" w:hAnsi="宋体" w:eastAsia="宋体" w:cs="宋体"/>
          <w:sz w:val="24"/>
        </w:rPr>
        <w:t>标项号：（如有）</w:t>
      </w:r>
    </w:p>
    <w:tbl>
      <w:tblPr>
        <w:tblStyle w:val="28"/>
        <w:tblW w:w="5001"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856"/>
        <w:gridCol w:w="895"/>
        <w:gridCol w:w="1061"/>
        <w:gridCol w:w="1061"/>
        <w:gridCol w:w="1873"/>
        <w:gridCol w:w="693"/>
        <w:gridCol w:w="1025"/>
        <w:gridCol w:w="858"/>
      </w:tblGrid>
      <w:tr w14:paraId="448A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63" w:hRule="atLeast"/>
          <w:jc w:val="center"/>
        </w:trPr>
        <w:tc>
          <w:tcPr>
            <w:tcW w:w="514" w:type="pct"/>
            <w:vAlign w:val="center"/>
          </w:tcPr>
          <w:p w14:paraId="4CC17399">
            <w:pPr>
              <w:tabs>
                <w:tab w:val="left" w:pos="5580"/>
              </w:tabs>
              <w:spacing w:line="400" w:lineRule="exact"/>
              <w:jc w:val="center"/>
              <w:rPr>
                <w:rFonts w:ascii="宋体" w:hAnsi="宋体" w:eastAsia="宋体" w:cs="宋体"/>
                <w:sz w:val="24"/>
              </w:rPr>
            </w:pPr>
            <w:r>
              <w:rPr>
                <w:rFonts w:hint="eastAsia" w:ascii="宋体" w:hAnsi="宋体" w:eastAsia="宋体" w:cs="宋体"/>
                <w:sz w:val="24"/>
              </w:rPr>
              <w:t>项目名称</w:t>
            </w:r>
          </w:p>
        </w:tc>
        <w:tc>
          <w:tcPr>
            <w:tcW w:w="537" w:type="pct"/>
            <w:vAlign w:val="center"/>
          </w:tcPr>
          <w:p w14:paraId="18074EAA">
            <w:pPr>
              <w:tabs>
                <w:tab w:val="left" w:pos="5580"/>
              </w:tabs>
              <w:spacing w:line="400" w:lineRule="exact"/>
              <w:jc w:val="center"/>
              <w:rPr>
                <w:rFonts w:ascii="宋体" w:hAnsi="宋体" w:eastAsia="宋体" w:cs="宋体"/>
                <w:sz w:val="24"/>
              </w:rPr>
            </w:pPr>
            <w:r>
              <w:rPr>
                <w:rFonts w:hint="eastAsia" w:ascii="宋体" w:hAnsi="宋体" w:cs="宋体"/>
                <w:sz w:val="24"/>
              </w:rPr>
              <w:t>磋商总价</w:t>
            </w:r>
          </w:p>
        </w:tc>
        <w:tc>
          <w:tcPr>
            <w:tcW w:w="637" w:type="pct"/>
            <w:vAlign w:val="center"/>
          </w:tcPr>
          <w:p w14:paraId="3DC14A2F">
            <w:pPr>
              <w:tabs>
                <w:tab w:val="left" w:pos="5580"/>
              </w:tabs>
              <w:spacing w:line="400" w:lineRule="exact"/>
              <w:jc w:val="center"/>
              <w:rPr>
                <w:rFonts w:ascii="宋体" w:hAnsi="宋体" w:eastAsia="宋体" w:cs="宋体"/>
                <w:sz w:val="24"/>
              </w:rPr>
            </w:pPr>
            <w:r>
              <w:rPr>
                <w:rFonts w:hint="eastAsia" w:ascii="宋体" w:hAnsi="宋体" w:cs="宋体"/>
                <w:sz w:val="24"/>
                <w:lang w:eastAsia="zh-CN"/>
              </w:rPr>
              <w:t>磋商保证金</w:t>
            </w:r>
          </w:p>
        </w:tc>
        <w:tc>
          <w:tcPr>
            <w:tcW w:w="637" w:type="pct"/>
            <w:vAlign w:val="center"/>
          </w:tcPr>
          <w:p w14:paraId="58D2AE99">
            <w:pPr>
              <w:spacing w:line="440" w:lineRule="exact"/>
              <w:jc w:val="center"/>
              <w:rPr>
                <w:rFonts w:ascii="宋体" w:hAnsi="宋体" w:eastAsia="宋体" w:cs="宋体"/>
                <w:sz w:val="24"/>
              </w:rPr>
            </w:pPr>
            <w:r>
              <w:rPr>
                <w:rFonts w:hint="eastAsia" w:ascii="宋体" w:hAnsi="宋体" w:eastAsia="宋体" w:cs="宋体"/>
                <w:sz w:val="24"/>
                <w:szCs w:val="28"/>
              </w:rPr>
              <w:t>项目负责人</w:t>
            </w:r>
          </w:p>
        </w:tc>
        <w:tc>
          <w:tcPr>
            <w:tcW w:w="1124" w:type="pct"/>
            <w:vAlign w:val="center"/>
          </w:tcPr>
          <w:p w14:paraId="7BE66A54">
            <w:pPr>
              <w:spacing w:line="440" w:lineRule="exact"/>
              <w:jc w:val="center"/>
              <w:rPr>
                <w:rFonts w:ascii="宋体" w:hAnsi="宋体" w:eastAsia="宋体" w:cs="宋体"/>
                <w:sz w:val="24"/>
              </w:rPr>
            </w:pPr>
            <w:r>
              <w:rPr>
                <w:rFonts w:hint="eastAsia" w:ascii="宋体" w:hAnsi="宋体" w:eastAsia="宋体" w:cs="宋体"/>
                <w:sz w:val="24"/>
                <w:szCs w:val="28"/>
              </w:rPr>
              <w:t>项目负责人注册证号</w:t>
            </w:r>
          </w:p>
        </w:tc>
        <w:tc>
          <w:tcPr>
            <w:tcW w:w="416" w:type="pct"/>
            <w:vAlign w:val="center"/>
          </w:tcPr>
          <w:p w14:paraId="6290F722">
            <w:pPr>
              <w:tabs>
                <w:tab w:val="left" w:pos="5580"/>
              </w:tabs>
              <w:spacing w:line="400" w:lineRule="exact"/>
              <w:jc w:val="center"/>
              <w:rPr>
                <w:rFonts w:ascii="宋体" w:hAnsi="宋体" w:eastAsia="宋体" w:cs="宋体"/>
                <w:sz w:val="24"/>
              </w:rPr>
            </w:pPr>
            <w:r>
              <w:rPr>
                <w:rFonts w:hint="eastAsia" w:ascii="宋体" w:hAnsi="宋体" w:eastAsia="宋体" w:cs="宋体"/>
                <w:sz w:val="24"/>
              </w:rPr>
              <w:t>工期</w:t>
            </w:r>
          </w:p>
        </w:tc>
        <w:tc>
          <w:tcPr>
            <w:tcW w:w="615" w:type="pct"/>
            <w:vAlign w:val="center"/>
          </w:tcPr>
          <w:p w14:paraId="10581CBD">
            <w:pPr>
              <w:spacing w:line="440" w:lineRule="exact"/>
              <w:jc w:val="center"/>
              <w:rPr>
                <w:rFonts w:ascii="宋体" w:hAnsi="宋体" w:eastAsia="宋体" w:cs="宋体"/>
                <w:sz w:val="24"/>
                <w:szCs w:val="28"/>
              </w:rPr>
            </w:pPr>
            <w:r>
              <w:rPr>
                <w:rFonts w:hint="eastAsia" w:ascii="宋体" w:hAnsi="宋体" w:eastAsia="宋体" w:cs="宋体"/>
                <w:sz w:val="24"/>
                <w:szCs w:val="28"/>
                <w:lang w:val="en-US" w:eastAsia="zh-CN"/>
              </w:rPr>
              <w:t>建设地点</w:t>
            </w:r>
          </w:p>
        </w:tc>
        <w:tc>
          <w:tcPr>
            <w:tcW w:w="515" w:type="pct"/>
            <w:vAlign w:val="center"/>
          </w:tcPr>
          <w:p w14:paraId="550F8D2C">
            <w:pPr>
              <w:spacing w:line="440" w:lineRule="exact"/>
              <w:jc w:val="center"/>
              <w:rPr>
                <w:rFonts w:ascii="宋体" w:hAnsi="宋体" w:eastAsia="宋体" w:cs="宋体"/>
                <w:sz w:val="24"/>
              </w:rPr>
            </w:pPr>
            <w:r>
              <w:rPr>
                <w:rFonts w:hint="eastAsia" w:ascii="宋体" w:hAnsi="宋体" w:eastAsia="宋体" w:cs="宋体"/>
                <w:sz w:val="24"/>
              </w:rPr>
              <w:t>项目质量标准</w:t>
            </w:r>
          </w:p>
        </w:tc>
      </w:tr>
      <w:tr w14:paraId="1B685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atLeast"/>
          <w:jc w:val="center"/>
        </w:trPr>
        <w:tc>
          <w:tcPr>
            <w:tcW w:w="514" w:type="pct"/>
            <w:vAlign w:val="center"/>
          </w:tcPr>
          <w:p w14:paraId="070E7002">
            <w:pPr>
              <w:tabs>
                <w:tab w:val="left" w:pos="5580"/>
              </w:tabs>
              <w:spacing w:line="400" w:lineRule="exact"/>
              <w:jc w:val="center"/>
              <w:rPr>
                <w:rFonts w:ascii="宋体" w:hAnsi="宋体" w:eastAsia="宋体" w:cs="宋体"/>
                <w:sz w:val="24"/>
              </w:rPr>
            </w:pPr>
          </w:p>
        </w:tc>
        <w:tc>
          <w:tcPr>
            <w:tcW w:w="537" w:type="pct"/>
            <w:vAlign w:val="center"/>
          </w:tcPr>
          <w:p w14:paraId="5B4F7BEF">
            <w:pPr>
              <w:tabs>
                <w:tab w:val="left" w:pos="5580"/>
              </w:tabs>
              <w:spacing w:line="400" w:lineRule="exact"/>
              <w:rPr>
                <w:rFonts w:ascii="宋体" w:hAnsi="宋体" w:eastAsia="宋体" w:cs="宋体"/>
                <w:sz w:val="24"/>
              </w:rPr>
            </w:pPr>
            <w:r>
              <w:rPr>
                <w:rFonts w:hint="eastAsia" w:ascii="宋体" w:hAnsi="宋体" w:eastAsia="宋体" w:cs="宋体"/>
                <w:sz w:val="24"/>
              </w:rPr>
              <w:t>大写：</w:t>
            </w:r>
          </w:p>
          <w:p w14:paraId="67CD944C">
            <w:pPr>
              <w:tabs>
                <w:tab w:val="left" w:pos="5580"/>
              </w:tabs>
              <w:spacing w:line="400" w:lineRule="exact"/>
              <w:rPr>
                <w:rFonts w:ascii="宋体" w:hAnsi="宋体" w:eastAsia="宋体" w:cs="宋体"/>
                <w:sz w:val="24"/>
              </w:rPr>
            </w:pPr>
            <w:r>
              <w:rPr>
                <w:rFonts w:hint="eastAsia" w:ascii="宋体" w:hAnsi="宋体" w:eastAsia="宋体" w:cs="宋体"/>
                <w:sz w:val="24"/>
              </w:rPr>
              <w:t>小写：</w:t>
            </w:r>
          </w:p>
        </w:tc>
        <w:tc>
          <w:tcPr>
            <w:tcW w:w="637" w:type="pct"/>
            <w:vAlign w:val="center"/>
          </w:tcPr>
          <w:p w14:paraId="76896E4A">
            <w:pPr>
              <w:tabs>
                <w:tab w:val="left" w:pos="5580"/>
              </w:tabs>
              <w:spacing w:line="400" w:lineRule="exact"/>
              <w:jc w:val="center"/>
              <w:rPr>
                <w:rFonts w:ascii="宋体" w:hAnsi="宋体" w:eastAsia="宋体" w:cs="宋体"/>
                <w:sz w:val="24"/>
              </w:rPr>
            </w:pPr>
          </w:p>
        </w:tc>
        <w:tc>
          <w:tcPr>
            <w:tcW w:w="637" w:type="pct"/>
            <w:vAlign w:val="center"/>
          </w:tcPr>
          <w:p w14:paraId="4986742E">
            <w:pPr>
              <w:tabs>
                <w:tab w:val="left" w:pos="5580"/>
              </w:tabs>
              <w:spacing w:line="400" w:lineRule="exact"/>
              <w:jc w:val="center"/>
              <w:rPr>
                <w:rFonts w:ascii="宋体" w:hAnsi="宋体" w:eastAsia="宋体" w:cs="宋体"/>
                <w:sz w:val="24"/>
              </w:rPr>
            </w:pPr>
          </w:p>
        </w:tc>
        <w:tc>
          <w:tcPr>
            <w:tcW w:w="1124" w:type="pct"/>
            <w:vAlign w:val="center"/>
          </w:tcPr>
          <w:p w14:paraId="75891D07">
            <w:pPr>
              <w:tabs>
                <w:tab w:val="left" w:pos="5580"/>
              </w:tabs>
              <w:spacing w:line="400" w:lineRule="exact"/>
              <w:jc w:val="center"/>
              <w:rPr>
                <w:rFonts w:ascii="宋体" w:hAnsi="宋体" w:eastAsia="宋体" w:cs="宋体"/>
                <w:sz w:val="24"/>
              </w:rPr>
            </w:pPr>
          </w:p>
        </w:tc>
        <w:tc>
          <w:tcPr>
            <w:tcW w:w="416" w:type="pct"/>
            <w:vAlign w:val="center"/>
          </w:tcPr>
          <w:p w14:paraId="7886583A">
            <w:pPr>
              <w:tabs>
                <w:tab w:val="left" w:pos="5580"/>
              </w:tabs>
              <w:spacing w:line="400" w:lineRule="exact"/>
              <w:jc w:val="center"/>
              <w:rPr>
                <w:rFonts w:ascii="宋体" w:hAnsi="宋体" w:eastAsia="宋体" w:cs="宋体"/>
                <w:sz w:val="24"/>
              </w:rPr>
            </w:pPr>
          </w:p>
        </w:tc>
        <w:tc>
          <w:tcPr>
            <w:tcW w:w="615" w:type="pct"/>
            <w:vAlign w:val="center"/>
          </w:tcPr>
          <w:p w14:paraId="370908FB">
            <w:pPr>
              <w:tabs>
                <w:tab w:val="left" w:pos="5580"/>
              </w:tabs>
              <w:spacing w:line="400" w:lineRule="exact"/>
              <w:jc w:val="center"/>
              <w:rPr>
                <w:rFonts w:ascii="宋体" w:hAnsi="宋体" w:eastAsia="宋体" w:cs="宋体"/>
                <w:sz w:val="24"/>
              </w:rPr>
            </w:pPr>
          </w:p>
        </w:tc>
        <w:tc>
          <w:tcPr>
            <w:tcW w:w="515" w:type="pct"/>
            <w:vAlign w:val="center"/>
          </w:tcPr>
          <w:p w14:paraId="52141CDB">
            <w:pPr>
              <w:tabs>
                <w:tab w:val="left" w:pos="5580"/>
              </w:tabs>
              <w:spacing w:line="400" w:lineRule="exact"/>
              <w:jc w:val="center"/>
              <w:rPr>
                <w:rFonts w:ascii="宋体" w:hAnsi="宋体" w:eastAsia="宋体" w:cs="宋体"/>
                <w:sz w:val="24"/>
              </w:rPr>
            </w:pPr>
          </w:p>
        </w:tc>
      </w:tr>
    </w:tbl>
    <w:p w14:paraId="126CCE17">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p>
    <w:p w14:paraId="397CF42F">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09576440">
      <w:pPr>
        <w:pStyle w:val="12"/>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法定代表人(签字</w:t>
      </w:r>
      <w:r>
        <w:rPr>
          <w:rFonts w:hint="eastAsia" w:ascii="宋体" w:hAnsi="宋体" w:eastAsia="宋体" w:cs="宋体"/>
          <w:color w:val="auto"/>
          <w:sz w:val="24"/>
          <w:szCs w:val="24"/>
          <w:highlight w:val="none"/>
          <w:lang w:val="en-US" w:eastAsia="zh-CN"/>
        </w:rPr>
        <w:t>或</w:t>
      </w:r>
      <w:r>
        <w:rPr>
          <w:rFonts w:hint="eastAsia" w:ascii="宋体" w:hAnsi="宋体" w:eastAsia="宋体" w:cs="宋体"/>
          <w:color w:val="auto"/>
          <w:sz w:val="24"/>
          <w:szCs w:val="24"/>
          <w:highlight w:val="none"/>
        </w:rPr>
        <w:t>盖章):</w:t>
      </w:r>
      <w:r>
        <w:rPr>
          <w:rFonts w:hint="eastAsia" w:ascii="宋体" w:hAnsi="宋体" w:eastAsia="宋体" w:cs="宋体"/>
          <w:color w:val="auto"/>
          <w:sz w:val="24"/>
          <w:szCs w:val="24"/>
          <w:highlight w:val="none"/>
          <w:u w:val="single"/>
        </w:rPr>
        <w:tab/>
      </w:r>
    </w:p>
    <w:p w14:paraId="23E9CCEA">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p>
    <w:bookmarkEnd w:id="1817"/>
    <w:bookmarkEnd w:id="1818"/>
    <w:p w14:paraId="4150815B">
      <w:pPr>
        <w:pStyle w:val="12"/>
        <w:tabs>
          <w:tab w:val="left" w:pos="5580"/>
        </w:tabs>
        <w:spacing w:line="400" w:lineRule="exact"/>
        <w:ind w:left="1080" w:leftChars="257" w:hanging="540"/>
        <w:rPr>
          <w:rFonts w:hint="eastAsia" w:hAnsi="宋体" w:cs="宋体"/>
          <w:sz w:val="24"/>
          <w:szCs w:val="24"/>
        </w:rPr>
      </w:pPr>
    </w:p>
    <w:p w14:paraId="157D6114">
      <w:pPr>
        <w:pStyle w:val="12"/>
        <w:tabs>
          <w:tab w:val="left" w:pos="5580"/>
        </w:tabs>
        <w:spacing w:line="400" w:lineRule="exact"/>
        <w:ind w:left="1080" w:leftChars="257" w:hanging="540"/>
        <w:rPr>
          <w:rFonts w:hint="eastAsia" w:ascii="宋体" w:hAnsi="宋体" w:eastAsia="宋体" w:cs="宋体"/>
          <w:sz w:val="24"/>
          <w:szCs w:val="24"/>
        </w:rPr>
      </w:pPr>
    </w:p>
    <w:p w14:paraId="35126623">
      <w:pPr>
        <w:pStyle w:val="12"/>
        <w:tabs>
          <w:tab w:val="left" w:pos="5580"/>
        </w:tabs>
        <w:spacing w:line="400" w:lineRule="exact"/>
        <w:rPr>
          <w:rFonts w:hint="eastAsia" w:ascii="宋体" w:hAnsi="宋体" w:eastAsia="宋体" w:cs="宋体"/>
          <w:sz w:val="24"/>
          <w:szCs w:val="24"/>
        </w:rPr>
      </w:pPr>
      <w:r>
        <w:rPr>
          <w:rFonts w:hint="eastAsia" w:ascii="宋体" w:hAnsi="宋体" w:eastAsia="宋体" w:cs="宋体"/>
          <w:sz w:val="24"/>
          <w:szCs w:val="24"/>
        </w:rPr>
        <w:t>注:</w:t>
      </w:r>
      <w:r>
        <w:rPr>
          <w:rFonts w:hint="eastAsia" w:ascii="宋体" w:hAnsi="宋体" w:eastAsia="宋体" w:cs="宋体"/>
          <w:sz w:val="24"/>
          <w:szCs w:val="24"/>
        </w:rPr>
        <w:tab/>
      </w:r>
    </w:p>
    <w:p w14:paraId="1EDE2E5F">
      <w:pPr>
        <w:pStyle w:val="12"/>
        <w:tabs>
          <w:tab w:val="left" w:pos="5580"/>
        </w:tabs>
        <w:spacing w:line="400" w:lineRule="exact"/>
        <w:rPr>
          <w:rFonts w:hint="eastAsia" w:ascii="宋体" w:hAnsi="宋体" w:eastAsia="宋体" w:cs="宋体"/>
          <w:sz w:val="24"/>
          <w:szCs w:val="24"/>
        </w:rPr>
      </w:pPr>
      <w:r>
        <w:rPr>
          <w:rFonts w:hint="eastAsia" w:ascii="宋体" w:hAnsi="宋体" w:eastAsia="宋体" w:cs="宋体"/>
          <w:sz w:val="24"/>
          <w:szCs w:val="24"/>
        </w:rPr>
        <w:t>1、此表应按供应商须知的规定填写。</w:t>
      </w:r>
    </w:p>
    <w:p w14:paraId="4E0BAC95">
      <w:pPr>
        <w:pStyle w:val="12"/>
        <w:tabs>
          <w:tab w:val="left" w:pos="5580"/>
        </w:tabs>
        <w:spacing w:line="400" w:lineRule="exact"/>
        <w:rPr>
          <w:rFonts w:hint="eastAsia" w:ascii="宋体" w:hAnsi="宋体" w:eastAsia="宋体" w:cs="宋体"/>
          <w:sz w:val="24"/>
          <w:szCs w:val="24"/>
        </w:rPr>
      </w:pPr>
      <w:r>
        <w:rPr>
          <w:rFonts w:hint="eastAsia" w:ascii="宋体" w:hAnsi="宋体" w:eastAsia="宋体" w:cs="宋体"/>
          <w:sz w:val="24"/>
          <w:szCs w:val="24"/>
        </w:rPr>
        <w:t>2、此表中，投标总价应和已标价工程量清单的总价相一致。</w:t>
      </w:r>
    </w:p>
    <w:p w14:paraId="458F0055">
      <w:pPr>
        <w:pStyle w:val="12"/>
        <w:tabs>
          <w:tab w:val="left" w:pos="5580"/>
        </w:tabs>
        <w:spacing w:line="400" w:lineRule="exact"/>
        <w:rPr>
          <w:rFonts w:hint="eastAsia" w:ascii="宋体" w:hAnsi="宋体" w:eastAsia="宋体" w:cs="宋体"/>
          <w:sz w:val="24"/>
          <w:szCs w:val="24"/>
        </w:rPr>
      </w:pPr>
      <w:r>
        <w:rPr>
          <w:rFonts w:hint="eastAsia" w:ascii="宋体" w:hAnsi="宋体" w:eastAsia="宋体" w:cs="宋体"/>
          <w:sz w:val="24"/>
          <w:szCs w:val="24"/>
        </w:rPr>
        <w:t>3、投标报价应包括完成本项目设计施工图纸、工程量清单范围内的全部工作内容。</w:t>
      </w:r>
    </w:p>
    <w:p w14:paraId="612C4427">
      <w:pPr>
        <w:pStyle w:val="12"/>
        <w:tabs>
          <w:tab w:val="left" w:pos="5580"/>
        </w:tabs>
        <w:spacing w:line="400" w:lineRule="exact"/>
        <w:ind w:left="1080" w:leftChars="257" w:hanging="540"/>
        <w:rPr>
          <w:rFonts w:hint="eastAsia" w:ascii="宋体" w:hAnsi="宋体" w:eastAsia="宋体" w:cs="宋体"/>
          <w:sz w:val="24"/>
          <w:szCs w:val="24"/>
        </w:rPr>
      </w:pPr>
    </w:p>
    <w:p w14:paraId="34994C53">
      <w:pPr>
        <w:pStyle w:val="12"/>
        <w:tabs>
          <w:tab w:val="left" w:pos="5580"/>
        </w:tabs>
        <w:spacing w:line="240" w:lineRule="atLeast"/>
        <w:rPr>
          <w:rFonts w:hint="eastAsia" w:hAnsi="宋体" w:cs="宋体"/>
          <w:b/>
          <w:sz w:val="24"/>
          <w:szCs w:val="24"/>
        </w:rPr>
      </w:pPr>
    </w:p>
    <w:p w14:paraId="65EBA612">
      <w:pPr>
        <w:pStyle w:val="12"/>
        <w:tabs>
          <w:tab w:val="left" w:pos="5580"/>
        </w:tabs>
        <w:spacing w:line="240" w:lineRule="atLeast"/>
        <w:rPr>
          <w:rFonts w:hint="eastAsia" w:hAnsi="宋体" w:cs="宋体"/>
          <w:b/>
          <w:sz w:val="24"/>
          <w:szCs w:val="24"/>
        </w:rPr>
      </w:pPr>
    </w:p>
    <w:p w14:paraId="10E22FEE">
      <w:pPr>
        <w:pStyle w:val="12"/>
        <w:tabs>
          <w:tab w:val="left" w:pos="5580"/>
        </w:tabs>
        <w:spacing w:line="240" w:lineRule="atLeast"/>
        <w:rPr>
          <w:rFonts w:hint="eastAsia" w:hAnsi="宋体" w:cs="宋体"/>
          <w:b/>
          <w:sz w:val="24"/>
          <w:szCs w:val="24"/>
        </w:rPr>
      </w:pPr>
    </w:p>
    <w:p w14:paraId="4552F664">
      <w:pPr>
        <w:pStyle w:val="12"/>
        <w:tabs>
          <w:tab w:val="left" w:pos="5580"/>
        </w:tabs>
        <w:spacing w:line="240" w:lineRule="atLeast"/>
        <w:rPr>
          <w:rFonts w:hint="eastAsia" w:hAnsi="宋体" w:cs="宋体"/>
          <w:b/>
          <w:sz w:val="24"/>
          <w:szCs w:val="24"/>
        </w:rPr>
      </w:pPr>
    </w:p>
    <w:p w14:paraId="546A822D">
      <w:pPr>
        <w:pStyle w:val="12"/>
        <w:tabs>
          <w:tab w:val="left" w:pos="5580"/>
        </w:tabs>
        <w:spacing w:line="240" w:lineRule="atLeast"/>
        <w:rPr>
          <w:rFonts w:hint="eastAsia" w:hAnsi="宋体" w:cs="宋体"/>
          <w:b/>
          <w:sz w:val="24"/>
          <w:szCs w:val="24"/>
        </w:rPr>
      </w:pPr>
    </w:p>
    <w:p w14:paraId="40EF04C7">
      <w:pPr>
        <w:pStyle w:val="12"/>
        <w:tabs>
          <w:tab w:val="left" w:pos="5580"/>
        </w:tabs>
        <w:spacing w:line="240" w:lineRule="atLeast"/>
        <w:rPr>
          <w:rFonts w:hint="eastAsia" w:hAnsi="宋体" w:cs="宋体"/>
          <w:b/>
          <w:sz w:val="24"/>
          <w:szCs w:val="24"/>
        </w:rPr>
      </w:pPr>
    </w:p>
    <w:p w14:paraId="0B642BB6">
      <w:pPr>
        <w:pStyle w:val="12"/>
        <w:tabs>
          <w:tab w:val="left" w:pos="5580"/>
        </w:tabs>
        <w:spacing w:line="240" w:lineRule="atLeast"/>
        <w:rPr>
          <w:rFonts w:hint="eastAsia" w:hAnsi="宋体" w:cs="宋体"/>
          <w:b/>
          <w:sz w:val="24"/>
          <w:szCs w:val="24"/>
        </w:rPr>
      </w:pPr>
    </w:p>
    <w:p w14:paraId="237DED02">
      <w:pPr>
        <w:pStyle w:val="12"/>
        <w:tabs>
          <w:tab w:val="left" w:pos="5580"/>
        </w:tabs>
        <w:spacing w:line="240" w:lineRule="atLeast"/>
        <w:jc w:val="left"/>
        <w:outlineLvl w:val="2"/>
        <w:rPr>
          <w:rFonts w:hint="eastAsia" w:hAnsi="宋体" w:cs="宋体"/>
          <w:b/>
          <w:sz w:val="24"/>
          <w:szCs w:val="24"/>
        </w:rPr>
      </w:pPr>
      <w:bookmarkStart w:id="1819" w:name="_Toc23456"/>
      <w:r>
        <w:rPr>
          <w:rFonts w:hint="eastAsia" w:hAnsi="宋体" w:cs="宋体"/>
          <w:b/>
          <w:sz w:val="24"/>
          <w:szCs w:val="24"/>
        </w:rPr>
        <w:t>2、</w:t>
      </w:r>
      <w:bookmarkEnd w:id="1819"/>
      <w:r>
        <w:rPr>
          <w:rFonts w:hint="eastAsia" w:hAnsi="宋体" w:cs="宋体"/>
          <w:b/>
          <w:sz w:val="24"/>
          <w:szCs w:val="24"/>
          <w:lang w:eastAsia="zh-CN"/>
        </w:rPr>
        <w:t>具有有效的营业执照</w:t>
      </w:r>
      <w:r>
        <w:rPr>
          <w:rFonts w:hint="eastAsia" w:hAnsi="宋体" w:cs="宋体"/>
          <w:b/>
          <w:sz w:val="24"/>
          <w:szCs w:val="24"/>
        </w:rPr>
        <w:t>；</w:t>
      </w:r>
    </w:p>
    <w:p w14:paraId="2256177A">
      <w:pPr>
        <w:pStyle w:val="12"/>
        <w:tabs>
          <w:tab w:val="left" w:pos="5580"/>
        </w:tabs>
        <w:spacing w:line="240" w:lineRule="atLeast"/>
        <w:jc w:val="center"/>
        <w:rPr>
          <w:rFonts w:hint="eastAsia" w:hAnsi="宋体" w:cs="宋体"/>
          <w:b/>
          <w:sz w:val="24"/>
          <w:szCs w:val="24"/>
        </w:rPr>
      </w:pPr>
    </w:p>
    <w:p w14:paraId="28FD6A13">
      <w:pPr>
        <w:pStyle w:val="12"/>
        <w:tabs>
          <w:tab w:val="left" w:pos="5580"/>
        </w:tabs>
        <w:spacing w:line="240" w:lineRule="atLeast"/>
        <w:jc w:val="center"/>
        <w:rPr>
          <w:rFonts w:hint="eastAsia" w:hAnsi="宋体" w:cs="宋体"/>
          <w:b/>
          <w:sz w:val="24"/>
          <w:szCs w:val="24"/>
        </w:rPr>
      </w:pPr>
    </w:p>
    <w:p w14:paraId="32CF7E7F">
      <w:pPr>
        <w:rPr>
          <w:rFonts w:hint="eastAsia" w:ascii="宋体" w:hAnsi="宋体" w:cs="宋体"/>
          <w:b/>
          <w:sz w:val="24"/>
        </w:rPr>
      </w:pPr>
      <w:bookmarkStart w:id="1820" w:name="_Toc11840"/>
      <w:bookmarkStart w:id="1821" w:name="_Toc3087"/>
      <w:bookmarkStart w:id="1822" w:name="_Toc32302"/>
      <w:bookmarkStart w:id="1823" w:name="_Toc1957"/>
      <w:bookmarkStart w:id="1824" w:name="_Toc28979"/>
      <w:bookmarkStart w:id="1825" w:name="_Toc16184"/>
      <w:bookmarkStart w:id="1826" w:name="_Toc6475"/>
      <w:bookmarkStart w:id="1827" w:name="_Toc6321"/>
      <w:bookmarkStart w:id="1828" w:name="_Toc21288"/>
      <w:r>
        <w:rPr>
          <w:rFonts w:hint="eastAsia" w:ascii="宋体" w:hAnsi="宋体" w:cs="宋体"/>
          <w:b/>
          <w:sz w:val="24"/>
        </w:rPr>
        <w:br w:type="page"/>
      </w:r>
    </w:p>
    <w:p w14:paraId="288221A6">
      <w:pPr>
        <w:tabs>
          <w:tab w:val="left" w:pos="5580"/>
        </w:tabs>
        <w:spacing w:line="400" w:lineRule="exact"/>
        <w:outlineLvl w:val="2"/>
        <w:rPr>
          <w:rFonts w:hint="eastAsia" w:ascii="宋体" w:hAnsi="宋体" w:cs="宋体"/>
          <w:b/>
          <w:bCs/>
          <w:sz w:val="24"/>
        </w:rPr>
      </w:pPr>
      <w:r>
        <w:rPr>
          <w:rFonts w:hint="eastAsia" w:ascii="宋体" w:hAnsi="宋体" w:cs="宋体"/>
          <w:b/>
          <w:sz w:val="24"/>
        </w:rPr>
        <w:t>3</w:t>
      </w:r>
      <w:bookmarkEnd w:id="1820"/>
      <w:bookmarkEnd w:id="1821"/>
      <w:bookmarkEnd w:id="1822"/>
      <w:bookmarkEnd w:id="1823"/>
      <w:bookmarkEnd w:id="1824"/>
      <w:bookmarkEnd w:id="1825"/>
      <w:bookmarkEnd w:id="1826"/>
      <w:r>
        <w:rPr>
          <w:rFonts w:hint="eastAsia" w:ascii="宋体" w:hAnsi="宋体" w:cs="宋体"/>
          <w:b/>
          <w:sz w:val="24"/>
        </w:rPr>
        <w:t>、</w:t>
      </w:r>
      <w:bookmarkEnd w:id="1827"/>
      <w:bookmarkEnd w:id="1828"/>
      <w:r>
        <w:rPr>
          <w:rFonts w:hint="eastAsia" w:ascii="宋体" w:hAnsi="宋体" w:cs="宋体"/>
          <w:b/>
          <w:sz w:val="24"/>
          <w:lang w:eastAsia="zh-CN"/>
        </w:rPr>
        <w:t>法定代表人资格证明(法定代表人磋商须提供身份证)</w:t>
      </w:r>
      <w:r>
        <w:rPr>
          <w:rFonts w:hint="eastAsia" w:ascii="宋体" w:hAnsi="宋体" w:cs="宋体"/>
          <w:b/>
          <w:sz w:val="24"/>
        </w:rPr>
        <w:t>；</w:t>
      </w:r>
    </w:p>
    <w:p w14:paraId="39E85843">
      <w:pPr>
        <w:adjustRightInd w:val="0"/>
        <w:snapToGrid w:val="0"/>
        <w:spacing w:before="240" w:beforeLines="100" w:after="240" w:afterLines="100" w:line="400" w:lineRule="exact"/>
        <w:jc w:val="center"/>
        <w:rPr>
          <w:rFonts w:hint="eastAsia" w:ascii="宋体" w:hAnsi="宋体" w:cs="宋体"/>
          <w:sz w:val="24"/>
        </w:rPr>
      </w:pPr>
      <w:r>
        <w:rPr>
          <w:rFonts w:hint="eastAsia" w:ascii="宋体" w:hAnsi="宋体" w:cs="宋体"/>
          <w:b/>
          <w:sz w:val="24"/>
        </w:rPr>
        <w:t>法定代表人身份证明</w:t>
      </w:r>
    </w:p>
    <w:p w14:paraId="05B2C59F">
      <w:pPr>
        <w:spacing w:line="360" w:lineRule="auto"/>
        <w:ind w:left="240" w:hanging="240" w:hangingChars="100"/>
        <w:rPr>
          <w:rFonts w:hint="eastAsia" w:ascii="宋体" w:hAnsi="宋体" w:cs="宋体"/>
          <w:sz w:val="24"/>
        </w:rPr>
      </w:pPr>
      <w:r>
        <w:rPr>
          <w:rFonts w:hint="eastAsia" w:ascii="宋体" w:hAnsi="宋体" w:cs="宋体"/>
          <w:sz w:val="24"/>
        </w:rPr>
        <w:t xml:space="preserve">     </w:t>
      </w:r>
      <w:r>
        <w:rPr>
          <w:rFonts w:hint="eastAsia" w:ascii="宋体" w:hAnsi="宋体" w:cs="宋体"/>
          <w:sz w:val="24"/>
          <w:u w:val="single"/>
        </w:rPr>
        <w:t xml:space="preserve">          </w:t>
      </w:r>
      <w:r>
        <w:rPr>
          <w:rFonts w:hint="eastAsia" w:ascii="宋体" w:hAnsi="宋体" w:cs="宋体"/>
          <w:sz w:val="24"/>
        </w:rPr>
        <w:t>同志，现任我单位</w:t>
      </w:r>
      <w:r>
        <w:rPr>
          <w:rFonts w:hint="eastAsia" w:ascii="宋体" w:hAnsi="宋体" w:cs="宋体"/>
          <w:sz w:val="24"/>
          <w:u w:val="single"/>
        </w:rPr>
        <w:t xml:space="preserve">          </w:t>
      </w:r>
      <w:r>
        <w:rPr>
          <w:rFonts w:hint="eastAsia" w:ascii="宋体" w:hAnsi="宋体" w:cs="宋体"/>
          <w:sz w:val="24"/>
        </w:rPr>
        <w:t>职务，为法定代表人，特此证明。     单位：</w:t>
      </w:r>
      <w:r>
        <w:rPr>
          <w:rFonts w:hint="eastAsia" w:ascii="宋体" w:hAnsi="宋体" w:cs="宋体"/>
          <w:sz w:val="24"/>
          <w:u w:val="single"/>
        </w:rPr>
        <w:t xml:space="preserve">        </w:t>
      </w:r>
      <w:r>
        <w:rPr>
          <w:rFonts w:hint="eastAsia" w:ascii="宋体" w:hAnsi="宋体" w:cs="宋体"/>
          <w:sz w:val="24"/>
        </w:rPr>
        <w:t xml:space="preserve">        </w:t>
      </w:r>
    </w:p>
    <w:p w14:paraId="70DEB1AA">
      <w:pPr>
        <w:spacing w:line="360" w:lineRule="auto"/>
        <w:ind w:firstLine="240" w:firstLineChars="100"/>
        <w:rPr>
          <w:rFonts w:hint="eastAsia" w:ascii="宋体" w:hAnsi="宋体" w:cs="宋体"/>
          <w:sz w:val="24"/>
        </w:rPr>
      </w:pPr>
      <w:r>
        <w:rPr>
          <w:rFonts w:hint="eastAsia" w:ascii="宋体" w:hAnsi="宋体" w:cs="宋体"/>
          <w:sz w:val="24"/>
        </w:rPr>
        <w:t>附</w:t>
      </w:r>
      <w:r>
        <w:rPr>
          <w:rFonts w:hint="eastAsia" w:ascii="宋体" w:hAnsi="宋体" w:cs="宋体"/>
          <w:sz w:val="24"/>
          <w:lang w:eastAsia="zh-CN"/>
        </w:rPr>
        <w:t>：</w:t>
      </w:r>
      <w:r>
        <w:rPr>
          <w:rFonts w:hint="eastAsia" w:ascii="宋体" w:hAnsi="宋体" w:cs="宋体"/>
          <w:sz w:val="24"/>
        </w:rPr>
        <w:t>性别：</w:t>
      </w:r>
      <w:r>
        <w:rPr>
          <w:rFonts w:hint="eastAsia" w:ascii="宋体" w:hAnsi="宋体" w:cs="宋体"/>
          <w:sz w:val="24"/>
          <w:u w:val="single"/>
        </w:rPr>
        <w:t xml:space="preserve">        </w:t>
      </w:r>
      <w:r>
        <w:rPr>
          <w:rFonts w:hint="eastAsia" w:ascii="宋体" w:hAnsi="宋体" w:cs="宋体"/>
          <w:sz w:val="24"/>
        </w:rPr>
        <w:t xml:space="preserve">   年龄：</w:t>
      </w:r>
      <w:r>
        <w:rPr>
          <w:rFonts w:hint="eastAsia" w:ascii="宋体" w:hAnsi="宋体" w:cs="宋体"/>
          <w:sz w:val="24"/>
          <w:u w:val="single"/>
        </w:rPr>
        <w:t xml:space="preserve">        </w:t>
      </w:r>
      <w:r>
        <w:rPr>
          <w:rFonts w:hint="eastAsia" w:ascii="宋体" w:hAnsi="宋体" w:cs="宋体"/>
          <w:sz w:val="24"/>
        </w:rPr>
        <w:t xml:space="preserve">   身份证号码：</w:t>
      </w:r>
      <w:r>
        <w:rPr>
          <w:rFonts w:hint="eastAsia" w:ascii="宋体" w:hAnsi="宋体" w:cs="宋体"/>
          <w:sz w:val="24"/>
          <w:u w:val="single"/>
        </w:rPr>
        <w:t xml:space="preserve">        </w:t>
      </w:r>
    </w:p>
    <w:p w14:paraId="59869036">
      <w:pPr>
        <w:spacing w:line="360" w:lineRule="auto"/>
        <w:ind w:firstLine="240" w:firstLineChars="100"/>
        <w:rPr>
          <w:rFonts w:hint="eastAsia" w:ascii="宋体" w:hAnsi="宋体" w:cs="宋体"/>
          <w:sz w:val="24"/>
        </w:rPr>
      </w:pPr>
      <w:r>
        <w:rPr>
          <w:rFonts w:hint="eastAsia" w:ascii="宋体" w:hAnsi="宋体" w:cs="宋体"/>
          <w:sz w:val="24"/>
        </w:rPr>
        <w:t>联系电话：</w:t>
      </w:r>
      <w:r>
        <w:rPr>
          <w:rFonts w:hint="eastAsia" w:ascii="宋体" w:hAnsi="宋体" w:cs="宋体"/>
          <w:sz w:val="24"/>
          <w:u w:val="single"/>
        </w:rPr>
        <w:t xml:space="preserve">        </w:t>
      </w:r>
      <w:r>
        <w:rPr>
          <w:rFonts w:hint="eastAsia" w:ascii="宋体" w:hAnsi="宋体" w:cs="宋体"/>
          <w:sz w:val="24"/>
        </w:rPr>
        <w:t xml:space="preserve">   统一社会信用代码：</w:t>
      </w:r>
      <w:r>
        <w:rPr>
          <w:rFonts w:hint="eastAsia" w:ascii="宋体" w:hAnsi="宋体" w:cs="宋体"/>
          <w:sz w:val="24"/>
          <w:u w:val="single"/>
        </w:rPr>
        <w:t xml:space="preserve">        </w:t>
      </w:r>
    </w:p>
    <w:p w14:paraId="2D07A20C">
      <w:pPr>
        <w:spacing w:line="360" w:lineRule="auto"/>
        <w:ind w:firstLine="240" w:firstLineChars="100"/>
        <w:rPr>
          <w:rFonts w:hint="eastAsia" w:ascii="宋体" w:hAnsi="宋体" w:cs="宋体"/>
          <w:sz w:val="24"/>
        </w:rPr>
      </w:pPr>
      <w:r>
        <w:rPr>
          <w:rFonts w:hint="eastAsia" w:ascii="宋体" w:hAnsi="宋体" w:cs="宋体"/>
          <w:sz w:val="24"/>
        </w:rPr>
        <w:t>经济性质：</w:t>
      </w:r>
      <w:r>
        <w:rPr>
          <w:rFonts w:hint="eastAsia" w:ascii="宋体" w:hAnsi="宋体" w:cs="宋体"/>
          <w:sz w:val="24"/>
          <w:u w:val="single"/>
        </w:rPr>
        <w:t xml:space="preserve">        </w:t>
      </w:r>
      <w:r>
        <w:rPr>
          <w:rFonts w:hint="eastAsia" w:ascii="宋体" w:hAnsi="宋体" w:cs="宋体"/>
          <w:sz w:val="24"/>
        </w:rPr>
        <w:t xml:space="preserve">   </w:t>
      </w:r>
    </w:p>
    <w:p w14:paraId="13D8BE0C">
      <w:pPr>
        <w:spacing w:line="360" w:lineRule="auto"/>
        <w:rPr>
          <w:rFonts w:hint="eastAsia" w:ascii="宋体" w:hAnsi="宋体" w:cs="宋体"/>
          <w:sz w:val="24"/>
        </w:rPr>
      </w:pPr>
      <w:r>
        <w:rPr>
          <w:rFonts w:hint="eastAsia" w:ascii="宋体" w:hAnsi="宋体" w:cs="宋体"/>
          <w:sz w:val="24"/>
        </w:rPr>
        <w:t>说明：</w:t>
      </w:r>
    </w:p>
    <w:p w14:paraId="471A8FBF">
      <w:pPr>
        <w:spacing w:line="360" w:lineRule="auto"/>
        <w:ind w:firstLine="240" w:firstLineChars="100"/>
        <w:rPr>
          <w:rFonts w:hint="eastAsia" w:ascii="宋体" w:hAnsi="宋体" w:cs="宋体"/>
          <w:sz w:val="24"/>
        </w:rPr>
      </w:pPr>
      <w:r>
        <w:rPr>
          <w:rFonts w:hint="eastAsia" w:ascii="宋体" w:hAnsi="宋体" w:cs="宋体"/>
          <w:sz w:val="24"/>
        </w:rPr>
        <w:t>1、法定代表人为企业事业单位、国家机关、社会团体的主要行政负责人。</w:t>
      </w:r>
    </w:p>
    <w:p w14:paraId="7091CA26">
      <w:pPr>
        <w:spacing w:line="360" w:lineRule="auto"/>
        <w:rPr>
          <w:rFonts w:hint="eastAsia" w:ascii="宋体" w:hAnsi="宋体" w:cs="宋体"/>
          <w:sz w:val="24"/>
        </w:rPr>
      </w:pPr>
      <w:r>
        <w:rPr>
          <w:rFonts w:hint="eastAsia" w:ascii="宋体" w:hAnsi="宋体" w:cs="宋体"/>
          <w:sz w:val="24"/>
        </w:rPr>
        <w:t xml:space="preserve">  </w:t>
      </w:r>
      <w:r>
        <w:rPr>
          <w:rFonts w:hint="eastAsia" w:ascii="宋体" w:hAnsi="宋体" w:cs="宋体"/>
          <w:b/>
          <w:bCs/>
          <w:sz w:val="24"/>
        </w:rPr>
        <w:t>2、提供身份证正反面。</w:t>
      </w:r>
    </w:p>
    <w:p w14:paraId="7715D941">
      <w:pPr>
        <w:spacing w:line="360" w:lineRule="auto"/>
        <w:ind w:firstLine="240" w:firstLineChars="100"/>
        <w:rPr>
          <w:rFonts w:hint="eastAsia" w:ascii="宋体" w:hAnsi="宋体" w:cs="宋体"/>
          <w:sz w:val="24"/>
        </w:rPr>
      </w:pPr>
      <w:r>
        <w:rPr>
          <w:rFonts w:hint="eastAsia" w:ascii="宋体" w:hAnsi="宋体" w:cs="宋体"/>
          <w:sz w:val="24"/>
        </w:rPr>
        <w:t>3、内容必须填写真实、清楚、涂改无效，不得转让。</w:t>
      </w:r>
    </w:p>
    <w:p w14:paraId="7BF565B8">
      <w:pPr>
        <w:spacing w:line="360" w:lineRule="auto"/>
        <w:rPr>
          <w:rFonts w:hint="eastAsia" w:ascii="宋体" w:hAnsi="宋体" w:cs="宋体"/>
          <w:sz w:val="24"/>
        </w:rPr>
      </w:pPr>
      <w:r>
        <w:rPr>
          <w:rFonts w:hint="eastAsia" w:ascii="宋体" w:hAnsi="宋体" w:cs="宋体"/>
          <w:sz w:val="24"/>
        </w:rPr>
        <mc:AlternateContent>
          <mc:Choice Requires="wps">
            <w:drawing>
              <wp:anchor distT="0" distB="0" distL="0" distR="0" simplePos="0" relativeHeight="251659264" behindDoc="0" locked="0" layoutInCell="1" allowOverlap="1">
                <wp:simplePos x="0" y="0"/>
                <wp:positionH relativeFrom="column">
                  <wp:posOffset>154305</wp:posOffset>
                </wp:positionH>
                <wp:positionV relativeFrom="paragraph">
                  <wp:posOffset>10795</wp:posOffset>
                </wp:positionV>
                <wp:extent cx="2333625" cy="1584325"/>
                <wp:effectExtent l="4445" t="4445" r="5080" b="11430"/>
                <wp:wrapNone/>
                <wp:docPr id="1026" name="流程图: 可选过程 14"/>
                <wp:cNvGraphicFramePr/>
                <a:graphic xmlns:a="http://schemas.openxmlformats.org/drawingml/2006/main">
                  <a:graphicData uri="http://schemas.microsoft.com/office/word/2010/wordprocessingShape">
                    <wps:wsp>
                      <wps:cNvSpPr/>
                      <wps:spPr>
                        <a:xfrm>
                          <a:off x="0" y="0"/>
                          <a:ext cx="2333625" cy="1584325"/>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14:paraId="7D712EAF">
                            <w:pPr>
                              <w:jc w:val="center"/>
                              <w:rPr>
                                <w:rFonts w:hint="eastAsia" w:ascii="Calibri" w:hAnsi="宋体"/>
                                <w:szCs w:val="21"/>
                              </w:rPr>
                            </w:pPr>
                          </w:p>
                          <w:p w14:paraId="3150A38D">
                            <w:pPr>
                              <w:jc w:val="center"/>
                              <w:rPr>
                                <w:rFonts w:hint="eastAsia" w:ascii="Calibri" w:hAnsi="宋体"/>
                                <w:szCs w:val="21"/>
                              </w:rPr>
                            </w:pPr>
                          </w:p>
                          <w:p w14:paraId="60C8D1FC">
                            <w:pPr>
                              <w:jc w:val="center"/>
                              <w:rPr>
                                <w:rFonts w:hint="eastAsia" w:ascii="Calibri" w:hAnsi="宋体"/>
                                <w:szCs w:val="21"/>
                              </w:rPr>
                            </w:pPr>
                          </w:p>
                          <w:p w14:paraId="03B51063">
                            <w:pPr>
                              <w:jc w:val="center"/>
                              <w:rPr>
                                <w:rFonts w:hint="eastAsia" w:ascii="Calibri" w:hAnsi="宋体"/>
                                <w:szCs w:val="21"/>
                              </w:rPr>
                            </w:pPr>
                            <w:r>
                              <w:rPr>
                                <w:rFonts w:hint="eastAsia" w:ascii="Calibri" w:hAnsi="宋体"/>
                                <w:szCs w:val="21"/>
                              </w:rPr>
                              <w:t>法定代表人身份证复印件</w:t>
                            </w:r>
                          </w:p>
                          <w:p w14:paraId="2279FC18">
                            <w:pPr>
                              <w:jc w:val="center"/>
                              <w:rPr>
                                <w:rFonts w:hint="eastAsia" w:ascii="Calibri" w:hAnsi="宋体"/>
                                <w:szCs w:val="21"/>
                              </w:rPr>
                            </w:pPr>
                            <w:r>
                              <w:rPr>
                                <w:rFonts w:hint="eastAsia" w:ascii="Calibri" w:hAnsi="宋体"/>
                                <w:szCs w:val="21"/>
                              </w:rPr>
                              <w:t>（国徽面）</w:t>
                            </w:r>
                          </w:p>
                        </w:txbxContent>
                      </wps:txbx>
                      <wps:bodyPr wrap="square" upright="1"/>
                    </wps:wsp>
                  </a:graphicData>
                </a:graphic>
              </wp:anchor>
            </w:drawing>
          </mc:Choice>
          <mc:Fallback>
            <w:pict>
              <v:shape id="流程图: 可选过程 14" o:spid="_x0000_s1026" o:spt="176" type="#_x0000_t176" style="position:absolute;left:0pt;margin-left:12.15pt;margin-top:0.85pt;height:124.75pt;width:183.75pt;z-index:251659264;mso-width-relative:page;mso-height-relative:page;" fillcolor="#FFFFFF" filled="t" stroked="t" coordsize="21600,21600" o:gfxdata="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5WTr11gAAAAgBAAAPAAAAAAAAAAEAIAAAACIAAABkcnMvZG93bnJldi54&#10;bWxQSwECFAAUAAAACACHTuJAmbji5zUCAABiBAAADgAAAAAAAAABACAAAAAlAQAAZHJzL2Uyb0Rv&#10;Yy54bWxQSwUGAAAAAAYABgBZAQAAzAUAAAAA&#10;">
                <v:fill on="t" focussize="0,0"/>
                <v:stroke color="#000000" joinstyle="miter"/>
                <v:imagedata o:title=""/>
                <o:lock v:ext="edit" aspectratio="f"/>
                <v:textbox>
                  <w:txbxContent>
                    <w:p w14:paraId="7D712EAF">
                      <w:pPr>
                        <w:jc w:val="center"/>
                        <w:rPr>
                          <w:rFonts w:hint="eastAsia" w:ascii="Calibri" w:hAnsi="宋体"/>
                          <w:szCs w:val="21"/>
                        </w:rPr>
                      </w:pPr>
                    </w:p>
                    <w:p w14:paraId="3150A38D">
                      <w:pPr>
                        <w:jc w:val="center"/>
                        <w:rPr>
                          <w:rFonts w:hint="eastAsia" w:ascii="Calibri" w:hAnsi="宋体"/>
                          <w:szCs w:val="21"/>
                        </w:rPr>
                      </w:pPr>
                    </w:p>
                    <w:p w14:paraId="60C8D1FC">
                      <w:pPr>
                        <w:jc w:val="center"/>
                        <w:rPr>
                          <w:rFonts w:hint="eastAsia" w:ascii="Calibri" w:hAnsi="宋体"/>
                          <w:szCs w:val="21"/>
                        </w:rPr>
                      </w:pPr>
                    </w:p>
                    <w:p w14:paraId="03B51063">
                      <w:pPr>
                        <w:jc w:val="center"/>
                        <w:rPr>
                          <w:rFonts w:hint="eastAsia" w:ascii="Calibri" w:hAnsi="宋体"/>
                          <w:szCs w:val="21"/>
                        </w:rPr>
                      </w:pPr>
                      <w:r>
                        <w:rPr>
                          <w:rFonts w:hint="eastAsia" w:ascii="Calibri" w:hAnsi="宋体"/>
                          <w:szCs w:val="21"/>
                        </w:rPr>
                        <w:t>法定代表人身份证复印件</w:t>
                      </w:r>
                    </w:p>
                    <w:p w14:paraId="2279FC18">
                      <w:pPr>
                        <w:jc w:val="center"/>
                        <w:rPr>
                          <w:rFonts w:hint="eastAsia" w:ascii="Calibri" w:hAnsi="宋体"/>
                          <w:szCs w:val="21"/>
                        </w:rPr>
                      </w:pPr>
                      <w:r>
                        <w:rPr>
                          <w:rFonts w:hint="eastAsia" w:ascii="Calibri" w:hAnsi="宋体"/>
                          <w:szCs w:val="21"/>
                        </w:rPr>
                        <w:t>（国徽面）</w:t>
                      </w:r>
                    </w:p>
                  </w:txbxContent>
                </v:textbox>
              </v:shape>
            </w:pict>
          </mc:Fallback>
        </mc:AlternateContent>
      </w:r>
      <w:r>
        <w:rPr>
          <w:rFonts w:hint="eastAsia" w:ascii="宋体" w:hAnsi="宋体" w:cs="宋体"/>
          <w:sz w:val="24"/>
        </w:rPr>
        <mc:AlternateContent>
          <mc:Choice Requires="wps">
            <w:drawing>
              <wp:anchor distT="0" distB="0" distL="0" distR="0" simplePos="0" relativeHeight="251660288" behindDoc="0" locked="0" layoutInCell="1" allowOverlap="1">
                <wp:simplePos x="0" y="0"/>
                <wp:positionH relativeFrom="column">
                  <wp:posOffset>2918460</wp:posOffset>
                </wp:positionH>
                <wp:positionV relativeFrom="paragraph">
                  <wp:posOffset>28575</wp:posOffset>
                </wp:positionV>
                <wp:extent cx="2392045" cy="1557020"/>
                <wp:effectExtent l="5080" t="4445" r="12700" b="10160"/>
                <wp:wrapNone/>
                <wp:docPr id="1027" name="圆角矩形 15"/>
                <wp:cNvGraphicFramePr/>
                <a:graphic xmlns:a="http://schemas.openxmlformats.org/drawingml/2006/main">
                  <a:graphicData uri="http://schemas.microsoft.com/office/word/2010/wordprocessingShape">
                    <wps:wsp>
                      <wps:cNvSpPr/>
                      <wps:spPr>
                        <a:xfrm>
                          <a:off x="0" y="0"/>
                          <a:ext cx="2392045" cy="1557020"/>
                        </a:xfrm>
                        <a:prstGeom prst="roundRect">
                          <a:avLst>
                            <a:gd name="adj" fmla="val 16667"/>
                          </a:avLst>
                        </a:prstGeom>
                        <a:solidFill>
                          <a:srgbClr val="FFFFFF"/>
                        </a:solidFill>
                        <a:ln w="9525" cap="flat" cmpd="sng">
                          <a:solidFill>
                            <a:srgbClr val="000000"/>
                          </a:solidFill>
                          <a:prstDash val="solid"/>
                          <a:miter/>
                          <a:headEnd type="none" w="med" len="med"/>
                          <a:tailEnd type="none" w="med" len="med"/>
                        </a:ln>
                      </wps:spPr>
                      <wps:txbx>
                        <w:txbxContent>
                          <w:p w14:paraId="73A3A376">
                            <w:pPr>
                              <w:jc w:val="center"/>
                              <w:rPr>
                                <w:rFonts w:hint="eastAsia" w:ascii="Calibri" w:hAnsi="宋体"/>
                                <w:szCs w:val="21"/>
                              </w:rPr>
                            </w:pPr>
                            <w:r>
                              <w:rPr>
                                <w:rFonts w:hint="eastAsia" w:ascii="Calibri" w:hAnsi="宋体"/>
                                <w:szCs w:val="21"/>
                              </w:rPr>
                              <w:t xml:space="preserve">  </w:t>
                            </w:r>
                          </w:p>
                          <w:p w14:paraId="6669EDFD">
                            <w:pPr>
                              <w:jc w:val="center"/>
                              <w:rPr>
                                <w:rFonts w:hint="eastAsia" w:ascii="Calibri" w:hAnsi="宋体"/>
                                <w:szCs w:val="21"/>
                              </w:rPr>
                            </w:pPr>
                          </w:p>
                          <w:p w14:paraId="19DE0D8B">
                            <w:pPr>
                              <w:jc w:val="center"/>
                              <w:rPr>
                                <w:rFonts w:hint="eastAsia" w:ascii="Calibri" w:hAnsi="宋体"/>
                                <w:szCs w:val="21"/>
                              </w:rPr>
                            </w:pPr>
                          </w:p>
                          <w:p w14:paraId="6005926C">
                            <w:pPr>
                              <w:jc w:val="center"/>
                              <w:rPr>
                                <w:rFonts w:hint="eastAsia" w:ascii="Calibri" w:hAnsi="宋体"/>
                                <w:szCs w:val="21"/>
                              </w:rPr>
                            </w:pPr>
                            <w:r>
                              <w:rPr>
                                <w:rFonts w:hint="eastAsia" w:ascii="Calibri" w:hAnsi="宋体"/>
                                <w:szCs w:val="21"/>
                              </w:rPr>
                              <w:t>法定代表人身份证复印件</w:t>
                            </w:r>
                          </w:p>
                          <w:p w14:paraId="327393C9">
                            <w:pPr>
                              <w:jc w:val="center"/>
                              <w:rPr>
                                <w:rFonts w:hint="eastAsia" w:ascii="Calibri" w:hAnsi="宋体"/>
                                <w:szCs w:val="21"/>
                              </w:rPr>
                            </w:pPr>
                            <w:r>
                              <w:rPr>
                                <w:rFonts w:hint="eastAsia" w:ascii="Calibri" w:hAnsi="宋体"/>
                                <w:szCs w:val="21"/>
                              </w:rPr>
                              <w:t>（人像面）</w:t>
                            </w:r>
                          </w:p>
                          <w:p w14:paraId="6816629B">
                            <w:pPr>
                              <w:rPr>
                                <w:rFonts w:ascii="Calibri" w:hAnsi="Calibri"/>
                              </w:rPr>
                            </w:pPr>
                          </w:p>
                          <w:p w14:paraId="66CEB6A7">
                            <w:pPr>
                              <w:autoSpaceDE w:val="0"/>
                              <w:autoSpaceDN w:val="0"/>
                              <w:adjustRightInd w:val="0"/>
                              <w:ind w:firstLine="420"/>
                              <w:jc w:val="left"/>
                              <w:rPr>
                                <w:rFonts w:ascii="宋体"/>
                                <w:kern w:val="0"/>
                                <w:sz w:val="24"/>
                                <w:szCs w:val="20"/>
                              </w:rPr>
                            </w:pPr>
                          </w:p>
                          <w:p w14:paraId="7F69CA90">
                            <w:pPr>
                              <w:autoSpaceDE w:val="0"/>
                              <w:autoSpaceDN w:val="0"/>
                              <w:adjustRightInd w:val="0"/>
                              <w:ind w:firstLine="420"/>
                              <w:jc w:val="left"/>
                              <w:rPr>
                                <w:rFonts w:ascii="宋体"/>
                                <w:kern w:val="0"/>
                                <w:sz w:val="24"/>
                                <w:szCs w:val="20"/>
                              </w:rPr>
                            </w:pPr>
                          </w:p>
                          <w:p w14:paraId="0402FFD0">
                            <w:pPr>
                              <w:autoSpaceDE w:val="0"/>
                              <w:autoSpaceDN w:val="0"/>
                              <w:adjustRightInd w:val="0"/>
                              <w:ind w:firstLine="420"/>
                              <w:jc w:val="left"/>
                              <w:rPr>
                                <w:rFonts w:ascii="宋体"/>
                                <w:kern w:val="0"/>
                                <w:sz w:val="24"/>
                                <w:szCs w:val="20"/>
                              </w:rPr>
                            </w:pPr>
                          </w:p>
                          <w:p w14:paraId="1900F20B">
                            <w:pPr>
                              <w:autoSpaceDE w:val="0"/>
                              <w:autoSpaceDN w:val="0"/>
                              <w:adjustRightInd w:val="0"/>
                              <w:ind w:firstLine="420"/>
                              <w:jc w:val="left"/>
                              <w:rPr>
                                <w:rFonts w:ascii="宋体"/>
                                <w:kern w:val="0"/>
                                <w:sz w:val="24"/>
                                <w:szCs w:val="20"/>
                              </w:rPr>
                            </w:pPr>
                          </w:p>
                        </w:txbxContent>
                      </wps:txbx>
                      <wps:bodyPr wrap="square" upright="1"/>
                    </wps:wsp>
                  </a:graphicData>
                </a:graphic>
              </wp:anchor>
            </w:drawing>
          </mc:Choice>
          <mc:Fallback>
            <w:pict>
              <v:roundrect id="圆角矩形 15" o:spid="_x0000_s1026" o:spt="2" style="position:absolute;left:0pt;margin-left:229.8pt;margin-top:2.25pt;height:122.6pt;width:188.35pt;z-index:251660288;mso-width-relative:page;mso-height-relative:page;" fillcolor="#FFFFFF" filled="t" stroked="t" coordsize="21600,21600" arcsize="0.166666666666667" o:gfxdata="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MUD8jnaAAAACQEAAA8AAAAAAAAAAQAgAAAAIgAAAGRycy9kb3du&#10;cmV2LnhtbFBLAQIUABQAAAAIAIdO4kDJv7a+NgIAAHMEAAAOAAAAAAAAAAEAIAAAACkBAABkcnMv&#10;ZTJvRG9jLnhtbFBLBQYAAAAABgAGAFkBAADRBQAAAAA=&#10;">
                <v:fill on="t" focussize="0,0"/>
                <v:stroke color="#000000" joinstyle="miter"/>
                <v:imagedata o:title=""/>
                <o:lock v:ext="edit" aspectratio="f"/>
                <v:textbox>
                  <w:txbxContent>
                    <w:p w14:paraId="73A3A376">
                      <w:pPr>
                        <w:jc w:val="center"/>
                        <w:rPr>
                          <w:rFonts w:hint="eastAsia" w:ascii="Calibri" w:hAnsi="宋体"/>
                          <w:szCs w:val="21"/>
                        </w:rPr>
                      </w:pPr>
                      <w:r>
                        <w:rPr>
                          <w:rFonts w:hint="eastAsia" w:ascii="Calibri" w:hAnsi="宋体"/>
                          <w:szCs w:val="21"/>
                        </w:rPr>
                        <w:t xml:space="preserve">  </w:t>
                      </w:r>
                    </w:p>
                    <w:p w14:paraId="6669EDFD">
                      <w:pPr>
                        <w:jc w:val="center"/>
                        <w:rPr>
                          <w:rFonts w:hint="eastAsia" w:ascii="Calibri" w:hAnsi="宋体"/>
                          <w:szCs w:val="21"/>
                        </w:rPr>
                      </w:pPr>
                    </w:p>
                    <w:p w14:paraId="19DE0D8B">
                      <w:pPr>
                        <w:jc w:val="center"/>
                        <w:rPr>
                          <w:rFonts w:hint="eastAsia" w:ascii="Calibri" w:hAnsi="宋体"/>
                          <w:szCs w:val="21"/>
                        </w:rPr>
                      </w:pPr>
                    </w:p>
                    <w:p w14:paraId="6005926C">
                      <w:pPr>
                        <w:jc w:val="center"/>
                        <w:rPr>
                          <w:rFonts w:hint="eastAsia" w:ascii="Calibri" w:hAnsi="宋体"/>
                          <w:szCs w:val="21"/>
                        </w:rPr>
                      </w:pPr>
                      <w:r>
                        <w:rPr>
                          <w:rFonts w:hint="eastAsia" w:ascii="Calibri" w:hAnsi="宋体"/>
                          <w:szCs w:val="21"/>
                        </w:rPr>
                        <w:t>法定代表人身份证复印件</w:t>
                      </w:r>
                    </w:p>
                    <w:p w14:paraId="327393C9">
                      <w:pPr>
                        <w:jc w:val="center"/>
                        <w:rPr>
                          <w:rFonts w:hint="eastAsia" w:ascii="Calibri" w:hAnsi="宋体"/>
                          <w:szCs w:val="21"/>
                        </w:rPr>
                      </w:pPr>
                      <w:r>
                        <w:rPr>
                          <w:rFonts w:hint="eastAsia" w:ascii="Calibri" w:hAnsi="宋体"/>
                          <w:szCs w:val="21"/>
                        </w:rPr>
                        <w:t>（人像面）</w:t>
                      </w:r>
                    </w:p>
                    <w:p w14:paraId="6816629B">
                      <w:pPr>
                        <w:rPr>
                          <w:rFonts w:ascii="Calibri" w:hAnsi="Calibri"/>
                        </w:rPr>
                      </w:pPr>
                    </w:p>
                    <w:p w14:paraId="66CEB6A7">
                      <w:pPr>
                        <w:autoSpaceDE w:val="0"/>
                        <w:autoSpaceDN w:val="0"/>
                        <w:adjustRightInd w:val="0"/>
                        <w:ind w:firstLine="420"/>
                        <w:jc w:val="left"/>
                        <w:rPr>
                          <w:rFonts w:ascii="宋体"/>
                          <w:kern w:val="0"/>
                          <w:sz w:val="24"/>
                          <w:szCs w:val="20"/>
                        </w:rPr>
                      </w:pPr>
                    </w:p>
                    <w:p w14:paraId="7F69CA90">
                      <w:pPr>
                        <w:autoSpaceDE w:val="0"/>
                        <w:autoSpaceDN w:val="0"/>
                        <w:adjustRightInd w:val="0"/>
                        <w:ind w:firstLine="420"/>
                        <w:jc w:val="left"/>
                        <w:rPr>
                          <w:rFonts w:ascii="宋体"/>
                          <w:kern w:val="0"/>
                          <w:sz w:val="24"/>
                          <w:szCs w:val="20"/>
                        </w:rPr>
                      </w:pPr>
                    </w:p>
                    <w:p w14:paraId="0402FFD0">
                      <w:pPr>
                        <w:autoSpaceDE w:val="0"/>
                        <w:autoSpaceDN w:val="0"/>
                        <w:adjustRightInd w:val="0"/>
                        <w:ind w:firstLine="420"/>
                        <w:jc w:val="left"/>
                        <w:rPr>
                          <w:rFonts w:ascii="宋体"/>
                          <w:kern w:val="0"/>
                          <w:sz w:val="24"/>
                          <w:szCs w:val="20"/>
                        </w:rPr>
                      </w:pPr>
                    </w:p>
                    <w:p w14:paraId="1900F20B">
                      <w:pPr>
                        <w:autoSpaceDE w:val="0"/>
                        <w:autoSpaceDN w:val="0"/>
                        <w:adjustRightInd w:val="0"/>
                        <w:ind w:firstLine="420"/>
                        <w:jc w:val="left"/>
                        <w:rPr>
                          <w:rFonts w:ascii="宋体"/>
                          <w:kern w:val="0"/>
                          <w:sz w:val="24"/>
                          <w:szCs w:val="20"/>
                        </w:rPr>
                      </w:pPr>
                    </w:p>
                  </w:txbxContent>
                </v:textbox>
              </v:roundrect>
            </w:pict>
          </mc:Fallback>
        </mc:AlternateContent>
      </w:r>
    </w:p>
    <w:p w14:paraId="71C20D54">
      <w:pPr>
        <w:spacing w:line="360" w:lineRule="auto"/>
        <w:rPr>
          <w:rFonts w:hint="eastAsia" w:ascii="宋体" w:hAnsi="宋体" w:cs="宋体"/>
          <w:sz w:val="24"/>
        </w:rPr>
      </w:pPr>
    </w:p>
    <w:p w14:paraId="26CA47CE">
      <w:pPr>
        <w:spacing w:line="360" w:lineRule="auto"/>
        <w:rPr>
          <w:rFonts w:hint="eastAsia" w:ascii="宋体" w:hAnsi="宋体" w:cs="宋体"/>
          <w:sz w:val="24"/>
        </w:rPr>
      </w:pPr>
    </w:p>
    <w:p w14:paraId="1037B60E">
      <w:pPr>
        <w:tabs>
          <w:tab w:val="left" w:pos="654"/>
          <w:tab w:val="left" w:pos="1734"/>
          <w:tab w:val="left" w:pos="2814"/>
          <w:tab w:val="left" w:pos="3894"/>
          <w:tab w:val="left" w:pos="5334"/>
          <w:tab w:val="left" w:pos="6414"/>
          <w:tab w:val="left" w:pos="7254"/>
          <w:tab w:val="left" w:pos="8574"/>
          <w:tab w:val="left" w:pos="9654"/>
        </w:tabs>
        <w:spacing w:line="360" w:lineRule="auto"/>
        <w:rPr>
          <w:rFonts w:hint="eastAsia" w:ascii="宋体" w:hAnsi="宋体" w:cs="宋体"/>
          <w:sz w:val="24"/>
        </w:rPr>
      </w:pPr>
    </w:p>
    <w:p w14:paraId="50428BC7">
      <w:pPr>
        <w:autoSpaceDE w:val="0"/>
        <w:autoSpaceDN w:val="0"/>
        <w:adjustRightInd w:val="0"/>
        <w:spacing w:line="360" w:lineRule="auto"/>
        <w:ind w:right="246"/>
        <w:rPr>
          <w:rFonts w:hint="eastAsia" w:ascii="宋体" w:hAnsi="宋体" w:cs="宋体"/>
          <w:kern w:val="0"/>
          <w:sz w:val="24"/>
        </w:rPr>
      </w:pPr>
    </w:p>
    <w:p w14:paraId="0FF7B1F3">
      <w:pPr>
        <w:autoSpaceDE w:val="0"/>
        <w:autoSpaceDN w:val="0"/>
        <w:adjustRightInd w:val="0"/>
        <w:spacing w:line="360" w:lineRule="auto"/>
        <w:ind w:right="246"/>
        <w:rPr>
          <w:rFonts w:hint="eastAsia" w:ascii="宋体" w:hAnsi="宋体" w:cs="宋体"/>
          <w:kern w:val="0"/>
          <w:sz w:val="24"/>
        </w:rPr>
      </w:pPr>
    </w:p>
    <w:p w14:paraId="1840261F">
      <w:pPr>
        <w:autoSpaceDE w:val="0"/>
        <w:autoSpaceDN w:val="0"/>
        <w:adjustRightInd w:val="0"/>
        <w:spacing w:line="360" w:lineRule="auto"/>
        <w:ind w:right="246" w:firstLine="784" w:firstLineChars="327"/>
        <w:rPr>
          <w:rFonts w:hint="eastAsia" w:ascii="宋体" w:hAnsi="宋体" w:cs="宋体"/>
          <w:sz w:val="24"/>
        </w:rPr>
      </w:pPr>
      <w:r>
        <w:rPr>
          <w:rFonts w:hint="eastAsia" w:ascii="宋体" w:hAnsi="宋体" w:cs="宋体"/>
          <w:kern w:val="0"/>
          <w:sz w:val="24"/>
        </w:rPr>
        <w:t>供应商（公章）：</w:t>
      </w:r>
      <w:r>
        <w:rPr>
          <w:rFonts w:hint="eastAsia" w:ascii="宋体" w:hAnsi="宋体" w:cs="宋体"/>
          <w:kern w:val="0"/>
          <w:sz w:val="24"/>
          <w:u w:val="single"/>
        </w:rPr>
        <w:t xml:space="preserve">                             </w:t>
      </w:r>
      <w:r>
        <w:rPr>
          <w:rFonts w:hint="eastAsia" w:ascii="宋体" w:hAnsi="宋体" w:cs="宋体"/>
          <w:kern w:val="0"/>
          <w:sz w:val="24"/>
        </w:rPr>
        <w:t xml:space="preserve"> </w:t>
      </w:r>
    </w:p>
    <w:p w14:paraId="146D736C">
      <w:pPr>
        <w:adjustRightInd w:val="0"/>
        <w:snapToGrid w:val="0"/>
        <w:spacing w:line="360" w:lineRule="auto"/>
        <w:ind w:firstLine="784" w:firstLineChars="327"/>
        <w:rPr>
          <w:rFonts w:hint="eastAsia" w:ascii="宋体" w:hAnsi="宋体" w:cs="宋体"/>
          <w:sz w:val="24"/>
        </w:rPr>
      </w:pPr>
      <w:r>
        <w:rPr>
          <w:rFonts w:hint="eastAsia" w:ascii="宋体" w:hAnsi="宋体" w:cs="宋体"/>
          <w:kern w:val="0"/>
          <w:sz w:val="24"/>
        </w:rPr>
        <w:t>法定代表人（签/章）：</w:t>
      </w:r>
      <w:r>
        <w:rPr>
          <w:rFonts w:hint="eastAsia" w:ascii="宋体" w:hAnsi="宋体" w:cs="宋体"/>
          <w:sz w:val="24"/>
          <w:u w:val="single"/>
        </w:rPr>
        <w:t xml:space="preserve">                        </w:t>
      </w:r>
    </w:p>
    <w:p w14:paraId="104A8CE5">
      <w:pPr>
        <w:autoSpaceDE w:val="0"/>
        <w:autoSpaceDN w:val="0"/>
        <w:adjustRightInd w:val="0"/>
        <w:spacing w:line="360" w:lineRule="auto"/>
        <w:ind w:right="246" w:firstLine="784" w:firstLineChars="327"/>
        <w:rPr>
          <w:rFonts w:hint="eastAsia" w:ascii="宋体" w:hAnsi="宋体" w:cs="宋体"/>
          <w:kern w:val="0"/>
          <w:sz w:val="24"/>
        </w:rPr>
      </w:pPr>
      <w:r>
        <w:rPr>
          <w:rFonts w:hint="eastAsia" w:ascii="宋体" w:hAnsi="宋体" w:cs="宋体"/>
          <w:kern w:val="0"/>
          <w:sz w:val="24"/>
        </w:rPr>
        <w:t>日期：</w:t>
      </w:r>
      <w:r>
        <w:rPr>
          <w:rFonts w:hint="eastAsia" w:ascii="宋体" w:hAnsi="宋体" w:cs="宋体"/>
          <w:kern w:val="0"/>
          <w:sz w:val="24"/>
          <w:u w:val="single"/>
        </w:rPr>
        <w:t xml:space="preserve">                                       </w:t>
      </w:r>
      <w:r>
        <w:rPr>
          <w:rFonts w:hint="eastAsia" w:ascii="宋体" w:hAnsi="宋体" w:cs="宋体"/>
          <w:kern w:val="0"/>
          <w:sz w:val="24"/>
        </w:rPr>
        <w:t xml:space="preserve">         </w:t>
      </w:r>
    </w:p>
    <w:p w14:paraId="2E4A6409">
      <w:pPr>
        <w:adjustRightInd w:val="0"/>
        <w:snapToGrid w:val="0"/>
        <w:spacing w:line="400" w:lineRule="exact"/>
        <w:ind w:firstLine="784" w:firstLineChars="327"/>
        <w:rPr>
          <w:rFonts w:hint="eastAsia" w:ascii="宋体" w:hAnsi="宋体" w:cs="宋体"/>
          <w:sz w:val="24"/>
        </w:rPr>
      </w:pPr>
      <w:r>
        <w:rPr>
          <w:rFonts w:hint="eastAsia" w:ascii="宋体" w:hAnsi="宋体" w:cs="宋体"/>
          <w:sz w:val="24"/>
        </w:rPr>
        <w:t xml:space="preserve">                                  </w:t>
      </w:r>
    </w:p>
    <w:p w14:paraId="2C15D9B7">
      <w:pPr>
        <w:pStyle w:val="12"/>
        <w:tabs>
          <w:tab w:val="left" w:pos="5580"/>
        </w:tabs>
        <w:spacing w:line="400" w:lineRule="exact"/>
        <w:ind w:left="1080" w:leftChars="257" w:hanging="540"/>
        <w:rPr>
          <w:rFonts w:hint="eastAsia" w:hAnsi="宋体" w:cs="宋体"/>
          <w:sz w:val="24"/>
          <w:szCs w:val="24"/>
        </w:rPr>
      </w:pPr>
      <w:r>
        <w:rPr>
          <w:rFonts w:hint="eastAsia" w:hAnsi="宋体" w:cs="宋体"/>
          <w:sz w:val="24"/>
          <w:szCs w:val="24"/>
        </w:rPr>
        <w:t>说明：</w:t>
      </w:r>
    </w:p>
    <w:p w14:paraId="523D8A7B">
      <w:pPr>
        <w:pStyle w:val="12"/>
        <w:tabs>
          <w:tab w:val="left" w:pos="5580"/>
        </w:tabs>
        <w:spacing w:line="400" w:lineRule="exact"/>
        <w:ind w:left="1080" w:leftChars="257" w:hanging="540"/>
        <w:rPr>
          <w:rFonts w:hint="eastAsia" w:hAnsi="宋体" w:cs="宋体"/>
          <w:sz w:val="24"/>
          <w:szCs w:val="24"/>
        </w:rPr>
      </w:pPr>
      <w:r>
        <w:rPr>
          <w:rFonts w:hint="eastAsia" w:hAnsi="宋体" w:cs="宋体"/>
          <w:sz w:val="24"/>
          <w:szCs w:val="24"/>
        </w:rPr>
        <w:t>1.供应商为自然人的，应提供身份证明的复印件。</w:t>
      </w:r>
    </w:p>
    <w:p w14:paraId="60651372">
      <w:pPr>
        <w:pStyle w:val="12"/>
        <w:tabs>
          <w:tab w:val="left" w:pos="5580"/>
        </w:tabs>
        <w:spacing w:line="400" w:lineRule="exact"/>
        <w:ind w:left="1080" w:leftChars="257" w:hanging="540"/>
        <w:rPr>
          <w:rFonts w:hint="eastAsia" w:hAnsi="宋体" w:cs="宋体"/>
          <w:sz w:val="24"/>
          <w:szCs w:val="24"/>
        </w:rPr>
      </w:pPr>
      <w:r>
        <w:rPr>
          <w:rFonts w:hint="eastAsia" w:hAnsi="宋体" w:cs="宋体"/>
          <w:sz w:val="24"/>
          <w:szCs w:val="24"/>
        </w:rPr>
        <w:t>2.联合体投标应提供联合体各方满足以上要求的证明文件。</w:t>
      </w:r>
      <w:bookmarkStart w:id="1829" w:name="_Toc1083"/>
      <w:bookmarkStart w:id="1830" w:name="_Toc6829"/>
      <w:bookmarkStart w:id="1831" w:name="_Toc16640"/>
      <w:bookmarkStart w:id="1832" w:name="_Toc13107"/>
      <w:bookmarkStart w:id="1833" w:name="_Toc22472"/>
      <w:bookmarkStart w:id="1834" w:name="_Toc5436"/>
      <w:bookmarkStart w:id="1835" w:name="_Toc21867"/>
      <w:bookmarkStart w:id="1836" w:name="_Toc515647807"/>
    </w:p>
    <w:p w14:paraId="786D19E5">
      <w:pPr>
        <w:pStyle w:val="12"/>
        <w:tabs>
          <w:tab w:val="left" w:pos="5580"/>
        </w:tabs>
        <w:spacing w:line="400" w:lineRule="exact"/>
        <w:ind w:left="1080" w:leftChars="257" w:hanging="540"/>
        <w:rPr>
          <w:rFonts w:hint="eastAsia" w:hAnsi="宋体" w:cs="宋体"/>
          <w:sz w:val="24"/>
          <w:szCs w:val="24"/>
        </w:rPr>
      </w:pPr>
    </w:p>
    <w:bookmarkEnd w:id="1829"/>
    <w:bookmarkEnd w:id="1830"/>
    <w:bookmarkEnd w:id="1831"/>
    <w:bookmarkEnd w:id="1832"/>
    <w:bookmarkEnd w:id="1833"/>
    <w:bookmarkEnd w:id="1834"/>
    <w:bookmarkEnd w:id="1835"/>
    <w:bookmarkEnd w:id="1836"/>
    <w:p w14:paraId="28A745D2">
      <w:pPr>
        <w:widowControl/>
        <w:jc w:val="left"/>
        <w:rPr>
          <w:rFonts w:hint="eastAsia" w:ascii="宋体" w:hAnsi="宋体" w:cs="宋体"/>
          <w:b/>
          <w:kern w:val="0"/>
        </w:rPr>
      </w:pPr>
      <w:bookmarkStart w:id="1837" w:name="_Toc26119"/>
      <w:bookmarkStart w:id="1838" w:name="_Toc17577"/>
      <w:r>
        <w:rPr>
          <w:rFonts w:hint="eastAsia" w:ascii="宋体" w:hAnsi="宋体" w:cs="宋体"/>
          <w:b/>
          <w:kern w:val="0"/>
        </w:rPr>
        <w:br w:type="page"/>
      </w:r>
    </w:p>
    <w:p w14:paraId="2943C76C">
      <w:pPr>
        <w:pStyle w:val="27"/>
        <w:spacing w:line="400" w:lineRule="exact"/>
        <w:ind w:firstLine="0" w:firstLineChars="0"/>
        <w:outlineLvl w:val="2"/>
        <w:rPr>
          <w:rFonts w:hint="eastAsia" w:ascii="宋体" w:hAnsi="宋体" w:cs="宋体"/>
          <w:b/>
          <w:kern w:val="0"/>
        </w:rPr>
      </w:pPr>
      <w:r>
        <w:rPr>
          <w:rFonts w:hint="eastAsia" w:ascii="宋体" w:hAnsi="宋体" w:cs="宋体"/>
          <w:b/>
          <w:kern w:val="0"/>
        </w:rPr>
        <w:t>4、</w:t>
      </w:r>
      <w:bookmarkEnd w:id="1837"/>
      <w:bookmarkEnd w:id="1838"/>
      <w:r>
        <w:rPr>
          <w:rFonts w:hint="eastAsia" w:ascii="宋体" w:hAnsi="宋体" w:cs="宋体"/>
          <w:b/>
          <w:kern w:val="0"/>
          <w:lang w:eastAsia="zh-CN"/>
        </w:rPr>
        <w:t>近两年任意一年的财务审计报告，新成立的公司提供近三个月内任意一个月的银行资信证明</w:t>
      </w:r>
      <w:r>
        <w:rPr>
          <w:rFonts w:hint="eastAsia" w:ascii="宋体" w:hAnsi="宋体" w:cs="宋体"/>
          <w:b/>
          <w:kern w:val="0"/>
        </w:rPr>
        <w:t>；</w:t>
      </w:r>
    </w:p>
    <w:p w14:paraId="574EA86B">
      <w:pPr>
        <w:pStyle w:val="27"/>
        <w:spacing w:line="400" w:lineRule="exact"/>
        <w:ind w:firstLine="0" w:firstLineChars="0"/>
        <w:rPr>
          <w:rFonts w:hint="eastAsia" w:ascii="宋体" w:hAnsi="宋体" w:cs="宋体"/>
          <w:b/>
          <w:kern w:val="0"/>
        </w:rPr>
      </w:pPr>
      <w:bookmarkStart w:id="1839" w:name="_Toc19783"/>
      <w:bookmarkStart w:id="1840" w:name="_Toc22192"/>
    </w:p>
    <w:p w14:paraId="268AC0DE">
      <w:pPr>
        <w:pStyle w:val="27"/>
        <w:spacing w:line="400" w:lineRule="exact"/>
        <w:ind w:firstLine="0" w:firstLineChars="0"/>
        <w:rPr>
          <w:rFonts w:hint="eastAsia" w:ascii="宋体" w:hAnsi="宋体" w:cs="宋体"/>
          <w:b/>
          <w:kern w:val="0"/>
        </w:rPr>
      </w:pPr>
    </w:p>
    <w:p w14:paraId="7ECD75F1">
      <w:pPr>
        <w:pStyle w:val="27"/>
        <w:spacing w:line="400" w:lineRule="exact"/>
        <w:ind w:firstLine="0" w:firstLineChars="0"/>
        <w:rPr>
          <w:rFonts w:hint="eastAsia" w:ascii="宋体" w:hAnsi="宋体" w:cs="宋体"/>
          <w:b/>
          <w:kern w:val="0"/>
        </w:rPr>
      </w:pPr>
    </w:p>
    <w:p w14:paraId="67F0175F">
      <w:pPr>
        <w:pStyle w:val="27"/>
        <w:spacing w:line="400" w:lineRule="exact"/>
        <w:ind w:firstLine="0" w:firstLineChars="0"/>
        <w:rPr>
          <w:rFonts w:hint="eastAsia" w:ascii="宋体" w:hAnsi="宋体" w:cs="宋体"/>
          <w:b/>
          <w:kern w:val="0"/>
        </w:rPr>
      </w:pPr>
    </w:p>
    <w:p w14:paraId="264440DD">
      <w:pPr>
        <w:pStyle w:val="27"/>
        <w:spacing w:line="400" w:lineRule="exact"/>
        <w:ind w:firstLine="0" w:firstLineChars="0"/>
        <w:outlineLvl w:val="2"/>
        <w:rPr>
          <w:rFonts w:hint="eastAsia" w:ascii="宋体" w:hAnsi="宋体" w:cs="宋体"/>
          <w:b/>
          <w:kern w:val="0"/>
        </w:rPr>
      </w:pPr>
      <w:r>
        <w:rPr>
          <w:rFonts w:hint="eastAsia" w:ascii="宋体" w:hAnsi="宋体" w:cs="宋体"/>
          <w:b/>
          <w:kern w:val="0"/>
        </w:rPr>
        <w:t>5、</w:t>
      </w:r>
      <w:bookmarkEnd w:id="1839"/>
      <w:bookmarkEnd w:id="1840"/>
      <w:r>
        <w:rPr>
          <w:rFonts w:hint="eastAsia" w:ascii="宋体" w:hAnsi="宋体" w:cs="宋体"/>
          <w:b/>
          <w:kern w:val="0"/>
          <w:lang w:eastAsia="zh-CN"/>
        </w:rPr>
        <w:t>提供依法缴纳近6个月任意1个月社会保险的证明</w:t>
      </w:r>
      <w:r>
        <w:rPr>
          <w:rFonts w:hint="eastAsia" w:ascii="宋体" w:hAnsi="宋体" w:cs="宋体"/>
          <w:b/>
          <w:kern w:val="0"/>
        </w:rPr>
        <w:t>；</w:t>
      </w:r>
    </w:p>
    <w:p w14:paraId="745E0C26">
      <w:pPr>
        <w:pStyle w:val="27"/>
        <w:spacing w:line="400" w:lineRule="exact"/>
        <w:ind w:firstLine="0" w:firstLineChars="0"/>
        <w:rPr>
          <w:rFonts w:hint="eastAsia" w:ascii="宋体" w:hAnsi="宋体" w:cs="宋体"/>
          <w:b/>
          <w:kern w:val="0"/>
          <w:lang w:val="en-US" w:eastAsia="zh-CN"/>
        </w:rPr>
      </w:pPr>
      <w:r>
        <w:rPr>
          <w:rFonts w:hint="eastAsia" w:ascii="宋体" w:hAnsi="宋体" w:cs="宋体"/>
          <w:b/>
          <w:kern w:val="0"/>
          <w:lang w:val="en-US" w:eastAsia="zh-CN"/>
        </w:rPr>
        <w:t xml:space="preserve"> </w:t>
      </w:r>
    </w:p>
    <w:p w14:paraId="72B79280">
      <w:pPr>
        <w:rPr>
          <w:rFonts w:hint="eastAsia" w:ascii="宋体" w:hAnsi="宋体" w:cs="宋体"/>
          <w:b/>
          <w:kern w:val="0"/>
          <w:lang w:val="en-US" w:eastAsia="zh-CN"/>
        </w:rPr>
      </w:pPr>
    </w:p>
    <w:p w14:paraId="4DC4B599">
      <w:pPr>
        <w:rPr>
          <w:rFonts w:hint="eastAsia" w:ascii="宋体" w:hAnsi="宋体" w:cs="宋体"/>
          <w:b/>
          <w:kern w:val="0"/>
          <w:lang w:val="en-US" w:eastAsia="zh-CN"/>
        </w:rPr>
      </w:pPr>
    </w:p>
    <w:p w14:paraId="651FC347">
      <w:pPr>
        <w:pStyle w:val="27"/>
        <w:spacing w:line="400" w:lineRule="exact"/>
        <w:ind w:firstLine="0" w:firstLineChars="0"/>
        <w:rPr>
          <w:rFonts w:hint="eastAsia" w:ascii="宋体" w:hAnsi="宋体" w:cs="宋体"/>
          <w:b/>
          <w:kern w:val="0"/>
        </w:rPr>
      </w:pPr>
    </w:p>
    <w:p w14:paraId="6785D685">
      <w:pPr>
        <w:pStyle w:val="27"/>
        <w:spacing w:line="400" w:lineRule="exact"/>
        <w:ind w:firstLine="0" w:firstLineChars="0"/>
        <w:outlineLvl w:val="2"/>
        <w:rPr>
          <w:rFonts w:hint="eastAsia" w:ascii="宋体" w:hAnsi="宋体" w:cs="宋体"/>
        </w:rPr>
      </w:pPr>
      <w:bookmarkStart w:id="1841" w:name="_Toc30357"/>
      <w:bookmarkStart w:id="1842" w:name="_Toc11195"/>
      <w:r>
        <w:rPr>
          <w:rFonts w:hint="eastAsia" w:ascii="宋体" w:hAnsi="宋体" w:cs="宋体"/>
          <w:b/>
          <w:kern w:val="0"/>
        </w:rPr>
        <w:t>6、</w:t>
      </w:r>
      <w:bookmarkEnd w:id="1841"/>
      <w:bookmarkEnd w:id="1842"/>
      <w:r>
        <w:rPr>
          <w:rFonts w:hint="eastAsia" w:ascii="宋体" w:hAnsi="宋体" w:cs="宋体"/>
          <w:b/>
          <w:kern w:val="0"/>
          <w:lang w:eastAsia="zh-CN"/>
        </w:rPr>
        <w:t>提供依法缴纳近6个月任意1个月的税收证明</w:t>
      </w:r>
      <w:r>
        <w:rPr>
          <w:rFonts w:hint="eastAsia" w:ascii="宋体" w:hAnsi="宋体" w:cs="宋体"/>
          <w:b/>
          <w:kern w:val="0"/>
        </w:rPr>
        <w:t>；</w:t>
      </w:r>
    </w:p>
    <w:p w14:paraId="27C6D08B">
      <w:pPr>
        <w:pStyle w:val="12"/>
        <w:tabs>
          <w:tab w:val="left" w:pos="5580"/>
        </w:tabs>
        <w:spacing w:line="400" w:lineRule="exact"/>
        <w:rPr>
          <w:rFonts w:hint="eastAsia" w:hAnsi="宋体" w:cs="宋体"/>
          <w:b/>
          <w:kern w:val="0"/>
          <w:sz w:val="24"/>
          <w:szCs w:val="24"/>
        </w:rPr>
      </w:pPr>
    </w:p>
    <w:p w14:paraId="61382045">
      <w:pPr>
        <w:pStyle w:val="12"/>
        <w:tabs>
          <w:tab w:val="left" w:pos="5580"/>
        </w:tabs>
        <w:spacing w:line="400" w:lineRule="exact"/>
        <w:rPr>
          <w:rFonts w:hint="eastAsia" w:hAnsi="宋体" w:cs="宋体"/>
          <w:b/>
          <w:kern w:val="0"/>
          <w:sz w:val="24"/>
          <w:szCs w:val="24"/>
        </w:rPr>
      </w:pPr>
    </w:p>
    <w:p w14:paraId="5D7708DC">
      <w:pPr>
        <w:pStyle w:val="12"/>
        <w:tabs>
          <w:tab w:val="left" w:pos="5580"/>
        </w:tabs>
        <w:spacing w:line="400" w:lineRule="exact"/>
        <w:rPr>
          <w:rFonts w:hint="eastAsia" w:hAnsi="宋体" w:cs="宋体"/>
          <w:b/>
          <w:kern w:val="0"/>
          <w:sz w:val="24"/>
          <w:szCs w:val="24"/>
        </w:rPr>
      </w:pPr>
    </w:p>
    <w:p w14:paraId="5F8C15CB">
      <w:pPr>
        <w:pStyle w:val="12"/>
        <w:tabs>
          <w:tab w:val="left" w:pos="5580"/>
        </w:tabs>
        <w:spacing w:line="400" w:lineRule="exact"/>
        <w:rPr>
          <w:rFonts w:hint="eastAsia" w:hAnsi="宋体" w:cs="宋体"/>
          <w:b/>
          <w:kern w:val="0"/>
          <w:sz w:val="24"/>
          <w:szCs w:val="24"/>
        </w:rPr>
      </w:pPr>
    </w:p>
    <w:p w14:paraId="480AA5FF">
      <w:pPr>
        <w:spacing w:line="400" w:lineRule="exact"/>
        <w:outlineLvl w:val="2"/>
        <w:rPr>
          <w:rFonts w:hint="eastAsia" w:ascii="宋体" w:hAnsi="宋体" w:cs="宋体"/>
          <w:b/>
          <w:kern w:val="0"/>
          <w:sz w:val="24"/>
        </w:rPr>
      </w:pPr>
      <w:bookmarkStart w:id="1843" w:name="_Toc5258"/>
      <w:bookmarkStart w:id="1844" w:name="_Toc14433"/>
      <w:r>
        <w:rPr>
          <w:rFonts w:hint="eastAsia" w:ascii="宋体" w:hAnsi="宋体" w:cs="宋体"/>
          <w:b/>
          <w:kern w:val="0"/>
          <w:sz w:val="24"/>
        </w:rPr>
        <w:t>7、</w:t>
      </w:r>
      <w:bookmarkEnd w:id="1843"/>
      <w:bookmarkEnd w:id="1844"/>
      <w:r>
        <w:rPr>
          <w:rFonts w:hint="eastAsia" w:ascii="宋体" w:hAnsi="宋体" w:cs="宋体"/>
          <w:b/>
          <w:kern w:val="0"/>
          <w:sz w:val="24"/>
          <w:lang w:eastAsia="zh-CN"/>
        </w:rPr>
        <w:t>根据《财政部关于在政府采购活动中查询及使用信用记录有关问题的通知》（财库﹝2016﹞125号）的要求，凡拟参加本次招标项目的投标人，如在“信用中国”网站（https://www.creditchina.gov.cn/）被列入失信被执行人、重大税收违法失信主体名单（首页-信用公示-失信被执行人查询/重大税收违法失信主体名单-搜索栏输入单位全称）、中国政府采购网（https://www.ccgp.gov.cn/search/cr/）严重违法失信行为信息记录名单（尚在处罚期内的）、“国家企业信用信息公示系统（https://www.gsxt.gov.cn/）”列入经营异常名录信息、严重违法失信名单（黑名单）信息的，将拒绝其参加本次招标活动（以代理机构或采购人查询为准）</w:t>
      </w:r>
      <w:r>
        <w:rPr>
          <w:rFonts w:hint="eastAsia" w:ascii="宋体" w:hAnsi="宋体" w:cs="宋体"/>
          <w:b/>
          <w:kern w:val="0"/>
          <w:sz w:val="24"/>
        </w:rPr>
        <w:t>；</w:t>
      </w:r>
    </w:p>
    <w:p w14:paraId="2AA3314B">
      <w:pPr>
        <w:pStyle w:val="12"/>
        <w:tabs>
          <w:tab w:val="left" w:pos="5580"/>
        </w:tabs>
        <w:spacing w:line="400" w:lineRule="exact"/>
        <w:ind w:left="1080" w:leftChars="257" w:hanging="540"/>
        <w:rPr>
          <w:rFonts w:hint="eastAsia" w:hAnsi="宋体" w:cs="宋体"/>
          <w:b/>
          <w:kern w:val="0"/>
          <w:sz w:val="24"/>
          <w:szCs w:val="24"/>
        </w:rPr>
      </w:pPr>
    </w:p>
    <w:p w14:paraId="29ABE878">
      <w:pPr>
        <w:pStyle w:val="12"/>
        <w:tabs>
          <w:tab w:val="left" w:pos="5580"/>
        </w:tabs>
        <w:spacing w:line="400" w:lineRule="exact"/>
        <w:ind w:left="1080" w:leftChars="257" w:hanging="540"/>
        <w:rPr>
          <w:rFonts w:hint="eastAsia" w:hAnsi="宋体" w:cs="宋体"/>
          <w:b/>
          <w:kern w:val="0"/>
          <w:sz w:val="24"/>
          <w:szCs w:val="24"/>
        </w:rPr>
      </w:pPr>
    </w:p>
    <w:p w14:paraId="0BD23003">
      <w:pPr>
        <w:pStyle w:val="12"/>
        <w:tabs>
          <w:tab w:val="left" w:pos="5580"/>
        </w:tabs>
        <w:spacing w:line="400" w:lineRule="exact"/>
        <w:ind w:left="1080" w:leftChars="257" w:hanging="540"/>
        <w:rPr>
          <w:rFonts w:hint="eastAsia" w:hAnsi="宋体" w:cs="宋体"/>
          <w:b/>
          <w:kern w:val="0"/>
          <w:sz w:val="24"/>
          <w:szCs w:val="24"/>
        </w:rPr>
      </w:pPr>
    </w:p>
    <w:p w14:paraId="6037C8C9">
      <w:pPr>
        <w:pStyle w:val="12"/>
        <w:tabs>
          <w:tab w:val="left" w:pos="5580"/>
        </w:tabs>
        <w:spacing w:line="400" w:lineRule="exact"/>
        <w:ind w:left="1080" w:leftChars="257" w:hanging="540"/>
        <w:rPr>
          <w:rFonts w:hint="eastAsia" w:hAnsi="宋体" w:cs="宋体"/>
          <w:b/>
          <w:kern w:val="0"/>
          <w:sz w:val="24"/>
          <w:szCs w:val="24"/>
        </w:rPr>
      </w:pPr>
    </w:p>
    <w:p w14:paraId="2D033AA0">
      <w:pPr>
        <w:spacing w:line="360" w:lineRule="exact"/>
        <w:outlineLvl w:val="2"/>
        <w:rPr>
          <w:rFonts w:hint="eastAsia" w:ascii="宋体" w:hAnsi="宋体" w:cs="宋体"/>
          <w:b/>
          <w:kern w:val="0"/>
          <w:sz w:val="24"/>
        </w:rPr>
      </w:pPr>
      <w:r>
        <w:rPr>
          <w:rFonts w:hint="eastAsia" w:ascii="宋体" w:hAnsi="宋体" w:cs="宋体"/>
          <w:b/>
          <w:kern w:val="0"/>
          <w:sz w:val="24"/>
        </w:rPr>
        <w:t>8、参加政府采购活动前三年内在经营活动中没有重大违法记录的书面声明；</w:t>
      </w:r>
    </w:p>
    <w:p w14:paraId="4537FF6D">
      <w:pPr>
        <w:pStyle w:val="12"/>
      </w:pPr>
    </w:p>
    <w:p w14:paraId="3DB44AD9">
      <w:pPr>
        <w:pStyle w:val="12"/>
      </w:pPr>
    </w:p>
    <w:p w14:paraId="5DD71053">
      <w:pPr>
        <w:pStyle w:val="12"/>
      </w:pPr>
    </w:p>
    <w:p w14:paraId="1C68C9DE">
      <w:pPr>
        <w:pStyle w:val="12"/>
      </w:pPr>
    </w:p>
    <w:p w14:paraId="34798A32">
      <w:pPr>
        <w:pStyle w:val="12"/>
      </w:pPr>
    </w:p>
    <w:p w14:paraId="4828023E">
      <w:pPr>
        <w:pStyle w:val="13"/>
        <w:jc w:val="both"/>
      </w:pPr>
    </w:p>
    <w:p w14:paraId="5D2415FA"/>
    <w:p w14:paraId="3DF917DE">
      <w:pPr>
        <w:pStyle w:val="12"/>
        <w:spacing w:line="360" w:lineRule="auto"/>
        <w:ind w:firstLine="482" w:firstLineChars="200"/>
        <w:jc w:val="left"/>
        <w:outlineLvl w:val="2"/>
        <w:rPr>
          <w:rFonts w:hint="eastAsia" w:ascii="宋体" w:hAnsi="宋体" w:eastAsia="宋体" w:cs="宋体"/>
          <w:b/>
          <w:kern w:val="0"/>
          <w:sz w:val="24"/>
          <w:szCs w:val="24"/>
          <w:highlight w:val="none"/>
          <w:lang w:val="en-US" w:eastAsia="zh-CN" w:bidi="ar-SA"/>
        </w:rPr>
      </w:pPr>
      <w:r>
        <w:rPr>
          <w:rFonts w:hint="eastAsia" w:ascii="宋体" w:hAnsi="宋体" w:eastAsia="宋体" w:cs="宋体"/>
          <w:b/>
          <w:kern w:val="0"/>
          <w:sz w:val="24"/>
          <w:szCs w:val="24"/>
          <w:highlight w:val="none"/>
          <w:lang w:val="en-US" w:eastAsia="zh-CN" w:bidi="ar-SA"/>
        </w:rPr>
        <w:t>9、【1】所投供应商须具备建筑工程施工总承包</w:t>
      </w:r>
      <w:r>
        <w:rPr>
          <w:rFonts w:hint="eastAsia" w:hAnsi="宋体" w:cs="宋体"/>
          <w:b/>
          <w:kern w:val="0"/>
          <w:sz w:val="24"/>
          <w:szCs w:val="24"/>
          <w:highlight w:val="none"/>
          <w:lang w:val="en-US" w:eastAsia="zh-CN" w:bidi="ar-SA"/>
        </w:rPr>
        <w:t>二</w:t>
      </w:r>
      <w:r>
        <w:rPr>
          <w:rFonts w:hint="eastAsia" w:ascii="宋体" w:hAnsi="宋体" w:eastAsia="宋体" w:cs="宋体"/>
          <w:b/>
          <w:kern w:val="0"/>
          <w:sz w:val="24"/>
          <w:szCs w:val="24"/>
          <w:highlight w:val="none"/>
          <w:lang w:val="en-US" w:eastAsia="zh-CN" w:bidi="ar-SA"/>
        </w:rPr>
        <w:t>级及以上资质</w:t>
      </w:r>
      <w:r>
        <w:rPr>
          <w:rFonts w:hint="eastAsia" w:hAnsi="宋体" w:cs="宋体"/>
          <w:b/>
          <w:kern w:val="0"/>
          <w:sz w:val="24"/>
          <w:szCs w:val="24"/>
          <w:highlight w:val="none"/>
          <w:lang w:val="en-US" w:eastAsia="zh-CN" w:bidi="ar-SA"/>
        </w:rPr>
        <w:t>，</w:t>
      </w:r>
      <w:r>
        <w:rPr>
          <w:rFonts w:hint="eastAsia" w:ascii="宋体" w:hAnsi="宋体" w:eastAsia="宋体" w:cs="宋体"/>
          <w:b/>
          <w:kern w:val="0"/>
          <w:sz w:val="24"/>
          <w:szCs w:val="24"/>
          <w:highlight w:val="none"/>
          <w:lang w:val="en-US" w:eastAsia="zh-CN" w:bidi="ar-SA"/>
        </w:rPr>
        <w:t>还须具备有效的安全生产许可证（所有证件均应在有效期内）；</w:t>
      </w:r>
    </w:p>
    <w:p w14:paraId="0B1C7DDE">
      <w:pPr>
        <w:spacing w:line="360" w:lineRule="auto"/>
        <w:ind w:firstLine="482" w:firstLineChars="200"/>
        <w:outlineLvl w:val="2"/>
        <w:rPr>
          <w:rFonts w:hint="eastAsia" w:ascii="宋体" w:hAnsi="宋体" w:eastAsia="宋体" w:cs="宋体"/>
          <w:b/>
          <w:kern w:val="0"/>
          <w:sz w:val="24"/>
          <w:szCs w:val="24"/>
          <w:highlight w:val="yellow"/>
          <w:lang w:val="en-US" w:eastAsia="zh-CN" w:bidi="ar-SA"/>
        </w:rPr>
      </w:pPr>
      <w:r>
        <w:rPr>
          <w:rFonts w:hint="eastAsia" w:ascii="宋体" w:hAnsi="宋体" w:eastAsia="宋体" w:cs="宋体"/>
          <w:b/>
          <w:kern w:val="0"/>
          <w:sz w:val="24"/>
          <w:szCs w:val="24"/>
          <w:highlight w:val="none"/>
          <w:lang w:val="en-US" w:eastAsia="zh-CN" w:bidi="ar-SA"/>
        </w:rPr>
        <w:t>【2】项目经理须具备建筑工程专业贰级及以上注册建造师证书和有效的安全生产考核合格证书（B证），且未担任其他在建工程项目的项目经理（所有证件均应在有效期内）；</w:t>
      </w:r>
    </w:p>
    <w:p w14:paraId="537DAB34"/>
    <w:p w14:paraId="102845B2"/>
    <w:p w14:paraId="2A5F4C58"/>
    <w:p w14:paraId="597B5520"/>
    <w:p w14:paraId="7600FF17"/>
    <w:p w14:paraId="68091C9C"/>
    <w:p w14:paraId="2B923BEE"/>
    <w:p w14:paraId="79D67D64"/>
    <w:p w14:paraId="12E1512E"/>
    <w:p w14:paraId="2AD4F1DC"/>
    <w:p w14:paraId="09501C0A"/>
    <w:p w14:paraId="0CFC88FA"/>
    <w:p w14:paraId="54BD2B18"/>
    <w:p w14:paraId="07567A80">
      <w:pPr>
        <w:spacing w:line="360" w:lineRule="exact"/>
        <w:outlineLvl w:val="2"/>
        <w:rPr>
          <w:rFonts w:hint="eastAsia" w:ascii="宋体" w:hAnsi="宋体" w:cs="宋体"/>
          <w:b/>
          <w:kern w:val="0"/>
          <w:sz w:val="24"/>
        </w:rPr>
      </w:pPr>
      <w:r>
        <w:rPr>
          <w:rFonts w:hint="eastAsia" w:ascii="宋体" w:hAnsi="宋体" w:cs="宋体"/>
          <w:b/>
          <w:kern w:val="0"/>
          <w:sz w:val="24"/>
          <w:lang w:val="en-US" w:eastAsia="zh-CN"/>
        </w:rPr>
        <w:t>10</w:t>
      </w:r>
      <w:r>
        <w:rPr>
          <w:rFonts w:hint="eastAsia" w:ascii="宋体" w:hAnsi="宋体" w:cs="宋体"/>
          <w:b/>
          <w:kern w:val="0"/>
          <w:sz w:val="24"/>
        </w:rPr>
        <w:t>、</w:t>
      </w:r>
      <w:r>
        <w:rPr>
          <w:rFonts w:hint="eastAsia" w:ascii="宋体" w:hAnsi="宋体" w:cs="宋体"/>
          <w:b/>
          <w:kern w:val="0"/>
          <w:sz w:val="24"/>
          <w:lang w:eastAsia="zh-CN"/>
        </w:rPr>
        <w:t>具备履行合同所必需的设备和专业技术能力的证明材料</w:t>
      </w:r>
      <w:r>
        <w:rPr>
          <w:rFonts w:hint="eastAsia" w:ascii="宋体" w:hAnsi="宋体" w:cs="宋体"/>
          <w:b/>
          <w:kern w:val="0"/>
          <w:sz w:val="24"/>
        </w:rPr>
        <w:t>；</w:t>
      </w:r>
    </w:p>
    <w:p w14:paraId="43423082">
      <w:pPr>
        <w:rPr>
          <w:rFonts w:hint="eastAsia" w:ascii="宋体" w:hAnsi="宋体" w:cs="宋体"/>
          <w:b/>
          <w:kern w:val="0"/>
          <w:sz w:val="24"/>
        </w:rPr>
      </w:pPr>
      <w:bookmarkStart w:id="1845" w:name="_Toc14673"/>
      <w:bookmarkStart w:id="1846" w:name="_Toc13015"/>
      <w:r>
        <w:rPr>
          <w:rFonts w:hint="eastAsia" w:ascii="宋体" w:hAnsi="宋体" w:cs="宋体"/>
          <w:b/>
          <w:kern w:val="0"/>
          <w:sz w:val="24"/>
        </w:rPr>
        <w:br w:type="page"/>
      </w:r>
    </w:p>
    <w:p w14:paraId="77C6A931">
      <w:pPr>
        <w:outlineLvl w:val="2"/>
        <w:rPr>
          <w:rFonts w:hint="eastAsia" w:ascii="宋体" w:hAnsi="宋体" w:cs="宋体"/>
          <w:sz w:val="24"/>
        </w:rPr>
      </w:pPr>
      <w:r>
        <w:rPr>
          <w:rFonts w:hint="eastAsia" w:ascii="宋体" w:hAnsi="宋体" w:cs="宋体"/>
          <w:b/>
          <w:kern w:val="0"/>
          <w:sz w:val="24"/>
          <w:lang w:val="en-US" w:eastAsia="zh-CN"/>
        </w:rPr>
        <w:t>11</w:t>
      </w:r>
      <w:r>
        <w:rPr>
          <w:rFonts w:hint="eastAsia" w:ascii="宋体" w:hAnsi="宋体" w:cs="宋体"/>
          <w:b/>
          <w:kern w:val="0"/>
          <w:sz w:val="24"/>
        </w:rPr>
        <w:t>、</w:t>
      </w:r>
      <w:bookmarkEnd w:id="1845"/>
      <w:bookmarkEnd w:id="1846"/>
      <w:bookmarkStart w:id="1847" w:name="_Toc32013"/>
      <w:r>
        <w:rPr>
          <w:rFonts w:hint="eastAsia" w:ascii="宋体" w:hAnsi="宋体" w:cs="宋体"/>
          <w:b/>
          <w:bCs/>
          <w:sz w:val="24"/>
        </w:rPr>
        <w:t>提供缴纳</w:t>
      </w:r>
      <w:r>
        <w:rPr>
          <w:rFonts w:hint="eastAsia" w:ascii="宋体" w:hAnsi="宋体" w:cs="宋体"/>
          <w:b/>
          <w:bCs/>
          <w:sz w:val="24"/>
          <w:lang w:eastAsia="zh-CN"/>
        </w:rPr>
        <w:t>磋商保证金</w:t>
      </w:r>
      <w:r>
        <w:rPr>
          <w:rFonts w:hint="eastAsia" w:ascii="宋体" w:hAnsi="宋体" w:cs="宋体"/>
          <w:b/>
          <w:bCs/>
          <w:sz w:val="24"/>
        </w:rPr>
        <w:t>的有效凭证；</w:t>
      </w:r>
      <w:bookmarkEnd w:id="1847"/>
    </w:p>
    <w:tbl>
      <w:tblPr>
        <w:tblStyle w:val="28"/>
        <w:tblpPr w:leftFromText="180" w:rightFromText="180" w:vertAnchor="text" w:horzAnchor="page" w:tblpXSpec="center" w:tblpY="393"/>
        <w:tblOverlap w:val="never"/>
        <w:tblW w:w="78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79"/>
      </w:tblGrid>
      <w:tr w14:paraId="0BB12F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56" w:hRule="atLeast"/>
        </w:trPr>
        <w:tc>
          <w:tcPr>
            <w:tcW w:w="7879" w:type="dxa"/>
          </w:tcPr>
          <w:p w14:paraId="0FBEDB9B">
            <w:pPr>
              <w:snapToGrid w:val="0"/>
              <w:spacing w:line="360" w:lineRule="exact"/>
              <w:textAlignment w:val="baseline"/>
              <w:rPr>
                <w:rFonts w:hint="eastAsia" w:ascii="宋体" w:hAnsi="宋体" w:cs="宋体"/>
                <w:sz w:val="24"/>
              </w:rPr>
            </w:pPr>
          </w:p>
          <w:p w14:paraId="714F9606">
            <w:pPr>
              <w:snapToGrid w:val="0"/>
              <w:spacing w:line="360" w:lineRule="exact"/>
              <w:textAlignment w:val="baseline"/>
              <w:rPr>
                <w:rFonts w:hint="eastAsia" w:ascii="宋体" w:hAnsi="宋体" w:cs="宋体"/>
                <w:sz w:val="24"/>
              </w:rPr>
            </w:pPr>
          </w:p>
          <w:p w14:paraId="7CD75001">
            <w:pPr>
              <w:snapToGrid w:val="0"/>
              <w:spacing w:line="360" w:lineRule="exact"/>
              <w:jc w:val="center"/>
              <w:textAlignment w:val="baseline"/>
              <w:rPr>
                <w:rFonts w:hint="eastAsia" w:ascii="宋体" w:hAnsi="宋体" w:cs="宋体"/>
                <w:sz w:val="24"/>
              </w:rPr>
            </w:pPr>
            <w:r>
              <w:rPr>
                <w:rFonts w:hint="eastAsia" w:ascii="宋体" w:hAnsi="宋体" w:cs="宋体"/>
                <w:sz w:val="24"/>
              </w:rPr>
              <w:t>缴纳</w:t>
            </w:r>
            <w:r>
              <w:rPr>
                <w:rFonts w:hint="eastAsia" w:ascii="宋体" w:hAnsi="宋体" w:cs="宋体"/>
                <w:sz w:val="24"/>
                <w:lang w:eastAsia="zh-CN"/>
              </w:rPr>
              <w:t>磋商保证金</w:t>
            </w:r>
            <w:r>
              <w:rPr>
                <w:rFonts w:hint="eastAsia" w:ascii="宋体" w:hAnsi="宋体" w:cs="宋体"/>
                <w:sz w:val="24"/>
              </w:rPr>
              <w:t>的有效凭证复印件（银行转账</w:t>
            </w:r>
            <w:r>
              <w:rPr>
                <w:rFonts w:hint="eastAsia" w:ascii="宋体" w:hAnsi="宋体" w:cs="宋体"/>
                <w:sz w:val="24"/>
                <w:lang w:val="en-US" w:eastAsia="zh-CN"/>
              </w:rPr>
              <w:t>/</w:t>
            </w:r>
            <w:r>
              <w:rPr>
                <w:rFonts w:hint="eastAsia" w:ascii="宋体" w:hAnsi="宋体" w:cs="宋体"/>
                <w:sz w:val="24"/>
              </w:rPr>
              <w:t>保函</w:t>
            </w:r>
            <w:r>
              <w:rPr>
                <w:rFonts w:hint="eastAsia" w:ascii="宋体" w:hAnsi="宋体" w:cs="宋体"/>
                <w:sz w:val="24"/>
                <w:lang w:val="en-US" w:eastAsia="zh-CN"/>
              </w:rPr>
              <w:t>/</w:t>
            </w:r>
            <w:r>
              <w:rPr>
                <w:rFonts w:hint="eastAsia" w:ascii="宋体" w:hAnsi="宋体" w:cs="宋体"/>
                <w:sz w:val="24"/>
              </w:rPr>
              <w:t>支票</w:t>
            </w:r>
            <w:r>
              <w:rPr>
                <w:rFonts w:hint="eastAsia" w:ascii="宋体" w:hAnsi="宋体" w:cs="宋体"/>
                <w:sz w:val="24"/>
                <w:lang w:val="en-US" w:eastAsia="zh-CN"/>
              </w:rPr>
              <w:t>/</w:t>
            </w:r>
            <w:r>
              <w:rPr>
                <w:rFonts w:hint="eastAsia" w:ascii="宋体" w:hAnsi="宋体" w:cs="宋体"/>
                <w:sz w:val="24"/>
              </w:rPr>
              <w:t>汇票</w:t>
            </w:r>
            <w:r>
              <w:rPr>
                <w:rFonts w:hint="eastAsia" w:ascii="宋体" w:hAnsi="宋体" w:cs="宋体"/>
                <w:sz w:val="24"/>
                <w:lang w:val="en-US" w:eastAsia="zh-CN"/>
              </w:rPr>
              <w:t>/</w:t>
            </w:r>
            <w:r>
              <w:rPr>
                <w:rFonts w:hint="eastAsia" w:ascii="宋体" w:hAnsi="宋体" w:cs="宋体"/>
                <w:sz w:val="24"/>
              </w:rPr>
              <w:t>本票等）</w:t>
            </w:r>
          </w:p>
        </w:tc>
      </w:tr>
    </w:tbl>
    <w:p w14:paraId="2AF860B8">
      <w:pPr>
        <w:snapToGrid w:val="0"/>
        <w:spacing w:line="360" w:lineRule="exact"/>
        <w:textAlignment w:val="baseline"/>
        <w:rPr>
          <w:rFonts w:hint="eastAsia" w:ascii="宋体" w:hAnsi="宋体" w:cs="宋体"/>
          <w:b/>
          <w:bCs/>
          <w:sz w:val="24"/>
        </w:rPr>
      </w:pPr>
      <w:r>
        <w:rPr>
          <w:rFonts w:hint="eastAsia" w:ascii="宋体" w:hAnsi="宋体" w:cs="宋体"/>
          <w:b/>
          <w:bCs/>
          <w:color w:val="000000"/>
          <w:sz w:val="24"/>
        </w:rPr>
        <w:t>（注：本项目以缴纳</w:t>
      </w:r>
      <w:r>
        <w:rPr>
          <w:rFonts w:hint="eastAsia" w:ascii="宋体" w:hAnsi="宋体" w:cs="宋体"/>
          <w:b/>
          <w:bCs/>
          <w:color w:val="000000"/>
          <w:sz w:val="24"/>
          <w:lang w:eastAsia="zh-CN"/>
        </w:rPr>
        <w:t>磋商保证金</w:t>
      </w:r>
      <w:r>
        <w:rPr>
          <w:rFonts w:hint="eastAsia" w:ascii="宋体" w:hAnsi="宋体" w:cs="宋体"/>
          <w:b/>
          <w:bCs/>
          <w:color w:val="000000"/>
          <w:sz w:val="24"/>
        </w:rPr>
        <w:t>的有效凭证复印件加盖公章为准。）</w:t>
      </w:r>
    </w:p>
    <w:p w14:paraId="26666DBC">
      <w:pPr>
        <w:pStyle w:val="12"/>
        <w:tabs>
          <w:tab w:val="left" w:pos="5580"/>
        </w:tabs>
        <w:spacing w:line="400" w:lineRule="exact"/>
        <w:rPr>
          <w:rFonts w:hint="eastAsia" w:hAnsi="宋体" w:cs="宋体"/>
          <w:b/>
          <w:kern w:val="0"/>
          <w:sz w:val="24"/>
          <w:szCs w:val="24"/>
        </w:rPr>
      </w:pPr>
    </w:p>
    <w:p w14:paraId="0312D95E">
      <w:pPr>
        <w:pStyle w:val="12"/>
        <w:tabs>
          <w:tab w:val="left" w:pos="5580"/>
        </w:tabs>
        <w:spacing w:line="400" w:lineRule="exact"/>
        <w:rPr>
          <w:rFonts w:hint="eastAsia" w:hAnsi="宋体" w:cs="宋体"/>
          <w:b/>
          <w:kern w:val="0"/>
          <w:sz w:val="24"/>
          <w:szCs w:val="24"/>
        </w:rPr>
      </w:pPr>
    </w:p>
    <w:p w14:paraId="3B1AD7B3">
      <w:pPr>
        <w:pStyle w:val="12"/>
        <w:tabs>
          <w:tab w:val="left" w:pos="5580"/>
        </w:tabs>
        <w:spacing w:line="400" w:lineRule="exact"/>
        <w:outlineLvl w:val="2"/>
        <w:rPr>
          <w:rFonts w:hint="eastAsia" w:hAnsi="宋体" w:cs="宋体"/>
          <w:b/>
          <w:kern w:val="0"/>
          <w:sz w:val="24"/>
          <w:szCs w:val="24"/>
        </w:rPr>
      </w:pPr>
      <w:bookmarkStart w:id="1848" w:name="_Toc13994"/>
      <w:bookmarkStart w:id="1849" w:name="_Toc13801"/>
      <w:r>
        <w:rPr>
          <w:rFonts w:hint="eastAsia" w:hAnsi="宋体" w:cs="宋体"/>
          <w:b/>
          <w:bCs/>
          <w:sz w:val="24"/>
          <w:szCs w:val="24"/>
          <w:lang w:val="en-US" w:eastAsia="zh-CN"/>
        </w:rPr>
        <w:t>12</w:t>
      </w:r>
      <w:r>
        <w:rPr>
          <w:rFonts w:hint="eastAsia" w:hAnsi="宋体" w:cs="宋体"/>
          <w:b/>
          <w:bCs/>
          <w:sz w:val="24"/>
          <w:szCs w:val="24"/>
        </w:rPr>
        <w:t>、</w:t>
      </w:r>
      <w:r>
        <w:rPr>
          <w:rFonts w:hint="eastAsia" w:hAnsi="宋体" w:cs="宋体"/>
          <w:b/>
          <w:kern w:val="0"/>
          <w:sz w:val="24"/>
          <w:szCs w:val="24"/>
        </w:rPr>
        <w:t>银行开户许可证复印件或银行基本账户信息(包含：银行账号及开户行名称）；</w:t>
      </w:r>
      <w:bookmarkEnd w:id="1848"/>
    </w:p>
    <w:bookmarkEnd w:id="1849"/>
    <w:p w14:paraId="1556D397">
      <w:pPr>
        <w:pStyle w:val="19"/>
        <w:rPr>
          <w:rFonts w:hint="eastAsia" w:ascii="宋体" w:hAnsi="宋体" w:cs="宋体"/>
          <w:sz w:val="24"/>
        </w:rPr>
      </w:pPr>
    </w:p>
    <w:p w14:paraId="683ECF78">
      <w:pPr>
        <w:pStyle w:val="19"/>
        <w:rPr>
          <w:rFonts w:hint="eastAsia" w:ascii="宋体" w:hAnsi="宋体" w:cs="宋体"/>
          <w:sz w:val="24"/>
        </w:rPr>
      </w:pPr>
    </w:p>
    <w:p w14:paraId="49325FB3">
      <w:pPr>
        <w:pStyle w:val="19"/>
        <w:rPr>
          <w:rFonts w:hint="eastAsia" w:ascii="宋体" w:hAnsi="宋体" w:cs="宋体"/>
          <w:sz w:val="24"/>
        </w:rPr>
      </w:pPr>
    </w:p>
    <w:p w14:paraId="30533B98">
      <w:pPr>
        <w:pStyle w:val="19"/>
        <w:rPr>
          <w:rFonts w:hint="eastAsia" w:ascii="宋体" w:hAnsi="宋体" w:cs="宋体"/>
          <w:sz w:val="24"/>
        </w:rPr>
      </w:pPr>
    </w:p>
    <w:p w14:paraId="1359AEE8">
      <w:pPr>
        <w:pStyle w:val="19"/>
        <w:rPr>
          <w:rFonts w:hint="eastAsia" w:ascii="宋体" w:hAnsi="宋体" w:cs="宋体"/>
          <w:sz w:val="24"/>
        </w:rPr>
      </w:pPr>
    </w:p>
    <w:p w14:paraId="5B50F9D2">
      <w:pPr>
        <w:pStyle w:val="19"/>
        <w:rPr>
          <w:rFonts w:hint="eastAsia" w:ascii="宋体" w:hAnsi="宋体" w:cs="宋体"/>
          <w:sz w:val="24"/>
        </w:rPr>
      </w:pPr>
    </w:p>
    <w:p w14:paraId="3426D61A">
      <w:pPr>
        <w:pStyle w:val="19"/>
        <w:rPr>
          <w:rFonts w:hint="eastAsia" w:ascii="宋体" w:hAnsi="宋体" w:cs="宋体"/>
          <w:sz w:val="24"/>
        </w:rPr>
      </w:pPr>
    </w:p>
    <w:p w14:paraId="682EAA35">
      <w:pPr>
        <w:outlineLvl w:val="2"/>
        <w:rPr>
          <w:rFonts w:hint="eastAsia" w:ascii="宋体" w:hAnsi="宋体" w:cs="宋体"/>
          <w:b/>
          <w:kern w:val="0"/>
          <w:sz w:val="24"/>
        </w:rPr>
      </w:pPr>
      <w:bookmarkStart w:id="1850" w:name="_Toc19935"/>
      <w:bookmarkStart w:id="1851" w:name="_Toc27979"/>
      <w:r>
        <w:rPr>
          <w:rFonts w:hint="eastAsia" w:ascii="宋体" w:hAnsi="宋体" w:cs="宋体"/>
          <w:b/>
          <w:bCs/>
          <w:sz w:val="24"/>
        </w:rPr>
        <w:t>1</w:t>
      </w:r>
      <w:r>
        <w:rPr>
          <w:rFonts w:hint="eastAsia" w:ascii="宋体" w:hAnsi="宋体" w:cs="宋体"/>
          <w:b/>
          <w:bCs/>
          <w:sz w:val="24"/>
          <w:lang w:val="en-US" w:eastAsia="zh-CN"/>
        </w:rPr>
        <w:t>3</w:t>
      </w:r>
      <w:r>
        <w:rPr>
          <w:rFonts w:hint="eastAsia" w:ascii="宋体" w:hAnsi="宋体" w:cs="宋体"/>
          <w:b/>
          <w:bCs/>
          <w:sz w:val="24"/>
        </w:rPr>
        <w:t>、</w:t>
      </w:r>
      <w:r>
        <w:rPr>
          <w:rFonts w:hint="eastAsia" w:ascii="宋体" w:hAnsi="宋体" w:cs="宋体"/>
          <w:b/>
          <w:kern w:val="0"/>
          <w:sz w:val="24"/>
        </w:rPr>
        <w:t>供应商可提供有利于投标的其他资格证明材料。</w:t>
      </w:r>
      <w:bookmarkEnd w:id="1850"/>
      <w:bookmarkEnd w:id="1851"/>
    </w:p>
    <w:p w14:paraId="2ABC19E1">
      <w:pPr>
        <w:rPr>
          <w:rFonts w:hint="eastAsia" w:ascii="宋体" w:hAnsi="宋体" w:cs="宋体"/>
          <w:b/>
          <w:kern w:val="0"/>
          <w:sz w:val="24"/>
        </w:rPr>
      </w:pPr>
    </w:p>
    <w:p w14:paraId="3736EDF4">
      <w:pPr>
        <w:rPr>
          <w:rFonts w:hint="eastAsia" w:ascii="宋体" w:hAnsi="宋体" w:cs="宋体"/>
          <w:sz w:val="24"/>
        </w:rPr>
      </w:pPr>
    </w:p>
    <w:p w14:paraId="7EE95B87">
      <w:pPr>
        <w:pStyle w:val="19"/>
        <w:rPr>
          <w:rFonts w:hint="eastAsia" w:ascii="宋体" w:hAnsi="宋体" w:cs="宋体"/>
          <w:sz w:val="24"/>
        </w:rPr>
      </w:pPr>
    </w:p>
    <w:p w14:paraId="4521EA61">
      <w:pPr>
        <w:rPr>
          <w:rFonts w:hint="eastAsia" w:ascii="宋体" w:hAnsi="宋体" w:cs="宋体"/>
          <w:sz w:val="24"/>
        </w:rPr>
      </w:pPr>
    </w:p>
    <w:p w14:paraId="0FD793A0">
      <w:pPr>
        <w:rPr>
          <w:rFonts w:hint="eastAsia" w:ascii="宋体" w:hAnsi="宋体" w:cs="宋体"/>
          <w:sz w:val="24"/>
        </w:rPr>
      </w:pPr>
      <w:r>
        <w:rPr>
          <w:rFonts w:hint="eastAsia" w:ascii="宋体" w:hAnsi="宋体" w:cs="宋体"/>
          <w:sz w:val="24"/>
        </w:rPr>
        <w:br w:type="page"/>
      </w:r>
    </w:p>
    <w:p w14:paraId="3E6A97F9">
      <w:pPr>
        <w:pStyle w:val="3"/>
        <w:snapToGrid w:val="0"/>
        <w:spacing w:before="0" w:after="0" w:line="360" w:lineRule="exact"/>
        <w:ind w:left="1080" w:leftChars="257" w:hanging="540"/>
        <w:textAlignment w:val="baseline"/>
        <w:rPr>
          <w:rFonts w:hint="eastAsia" w:ascii="宋体" w:hAnsi="宋体" w:eastAsia="宋体" w:cs="宋体"/>
          <w:sz w:val="28"/>
          <w:szCs w:val="28"/>
        </w:rPr>
      </w:pPr>
      <w:bookmarkStart w:id="1852" w:name="_Toc23151"/>
      <w:bookmarkStart w:id="1853" w:name="_Toc4650"/>
      <w:bookmarkStart w:id="1854" w:name="_Toc5670"/>
      <w:r>
        <w:rPr>
          <w:rFonts w:hint="eastAsia" w:ascii="宋体" w:hAnsi="宋体" w:eastAsia="宋体" w:cs="宋体"/>
          <w:sz w:val="28"/>
          <w:szCs w:val="28"/>
        </w:rPr>
        <w:t>第二部分  商务及技术文件</w:t>
      </w:r>
      <w:bookmarkEnd w:id="1852"/>
      <w:bookmarkEnd w:id="1853"/>
      <w:bookmarkEnd w:id="1854"/>
    </w:p>
    <w:p w14:paraId="766CC1D0">
      <w:pPr>
        <w:pStyle w:val="12"/>
        <w:spacing w:line="400" w:lineRule="exact"/>
        <w:ind w:left="1079" w:leftChars="257" w:hanging="539"/>
        <w:rPr>
          <w:rFonts w:hint="eastAsia" w:ascii="宋体" w:hAnsi="宋体" w:eastAsia="宋体" w:cs="宋体"/>
          <w:color w:val="auto"/>
          <w:sz w:val="24"/>
          <w:szCs w:val="24"/>
          <w:highlight w:val="none"/>
        </w:rPr>
      </w:pPr>
      <w:bookmarkStart w:id="1855" w:name="_Toc14915"/>
      <w:bookmarkStart w:id="1856" w:name="_Toc515647817"/>
      <w:bookmarkStart w:id="1857" w:name="_Toc2041"/>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磋商</w:t>
      </w:r>
      <w:r>
        <w:rPr>
          <w:rFonts w:hint="eastAsia" w:ascii="宋体" w:hAnsi="宋体" w:eastAsia="宋体" w:cs="宋体"/>
          <w:color w:val="auto"/>
          <w:sz w:val="24"/>
          <w:szCs w:val="24"/>
          <w:highlight w:val="none"/>
        </w:rPr>
        <w:t>书</w:t>
      </w:r>
    </w:p>
    <w:p w14:paraId="5FFC4688">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商务条款偏离表</w:t>
      </w:r>
    </w:p>
    <w:p w14:paraId="639705E1">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3、中小企业声明函</w:t>
      </w:r>
    </w:p>
    <w:p w14:paraId="100C4B13">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4、供应商关联单位的说明</w:t>
      </w:r>
    </w:p>
    <w:p w14:paraId="4CD95657">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5、企业承诺函</w:t>
      </w:r>
    </w:p>
    <w:p w14:paraId="785F5907">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6、供应商基本情况表</w:t>
      </w:r>
    </w:p>
    <w:p w14:paraId="2AEF866A">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7、供应商的信誉情况表</w:t>
      </w:r>
    </w:p>
    <w:p w14:paraId="2449301C">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8、项目管理机构</w:t>
      </w:r>
    </w:p>
    <w:p w14:paraId="33C6F727">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9、近年完成的类似项目情况表</w:t>
      </w:r>
    </w:p>
    <w:p w14:paraId="42BDABE0">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10、正在施工的和新承接的项目情况表</w:t>
      </w:r>
    </w:p>
    <w:p w14:paraId="690D79E3">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11、近年发生的诉讼及仲裁情况</w:t>
      </w:r>
    </w:p>
    <w:p w14:paraId="46D8D9E7">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12、企业其他信誉情况</w:t>
      </w:r>
    </w:p>
    <w:p w14:paraId="3DEB0739">
      <w:pPr>
        <w:pStyle w:val="12"/>
        <w:spacing w:line="400" w:lineRule="exact"/>
        <w:ind w:left="311" w:leftChars="148" w:firstLine="228"/>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13、已标价的工程量清单</w:t>
      </w:r>
    </w:p>
    <w:p w14:paraId="0E2D1C81">
      <w:pPr>
        <w:pStyle w:val="12"/>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14、技术部分主要包括下列内容</w:t>
      </w:r>
    </w:p>
    <w:p w14:paraId="5932A666">
      <w:pPr>
        <w:pStyle w:val="12"/>
        <w:spacing w:line="400" w:lineRule="exact"/>
        <w:ind w:left="311" w:leftChars="148" w:firstLine="228"/>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、二轮报价表（此表用于磋商现场）</w:t>
      </w:r>
    </w:p>
    <w:p w14:paraId="4EB39514">
      <w:pPr>
        <w:pStyle w:val="7"/>
      </w:pPr>
    </w:p>
    <w:p w14:paraId="7A40EC36">
      <w:pPr>
        <w:pStyle w:val="7"/>
      </w:pPr>
    </w:p>
    <w:p w14:paraId="32A3BB45">
      <w:pPr>
        <w:pStyle w:val="7"/>
      </w:pPr>
    </w:p>
    <w:p w14:paraId="3607F4A3">
      <w:pPr>
        <w:pStyle w:val="7"/>
      </w:pPr>
    </w:p>
    <w:p w14:paraId="50A991CE">
      <w:pPr>
        <w:pStyle w:val="7"/>
      </w:pPr>
    </w:p>
    <w:p w14:paraId="1C88F8BB">
      <w:pPr>
        <w:spacing w:line="360" w:lineRule="auto"/>
        <w:rPr>
          <w:rFonts w:hint="eastAsia" w:ascii="宋体" w:hAnsi="宋体" w:cs="宋体"/>
          <w:sz w:val="24"/>
        </w:rPr>
      </w:pPr>
    </w:p>
    <w:p w14:paraId="41CD339B">
      <w:pPr>
        <w:pStyle w:val="12"/>
        <w:tabs>
          <w:tab w:val="left" w:pos="5580"/>
        </w:tabs>
        <w:spacing w:line="240" w:lineRule="atLeast"/>
        <w:rPr>
          <w:rFonts w:hint="eastAsia" w:hAnsi="宋体" w:cs="宋体"/>
          <w:sz w:val="24"/>
          <w:szCs w:val="24"/>
        </w:rPr>
      </w:pPr>
    </w:p>
    <w:p w14:paraId="31077401">
      <w:pPr>
        <w:pStyle w:val="12"/>
        <w:tabs>
          <w:tab w:val="left" w:pos="5580"/>
        </w:tabs>
        <w:spacing w:line="240" w:lineRule="atLeast"/>
        <w:rPr>
          <w:rFonts w:hint="eastAsia" w:hAnsi="宋体" w:cs="宋体"/>
          <w:sz w:val="24"/>
          <w:szCs w:val="24"/>
        </w:rPr>
      </w:pPr>
    </w:p>
    <w:p w14:paraId="40581F7E">
      <w:pPr>
        <w:pStyle w:val="12"/>
        <w:tabs>
          <w:tab w:val="left" w:pos="5580"/>
        </w:tabs>
        <w:spacing w:line="240" w:lineRule="atLeast"/>
        <w:rPr>
          <w:rFonts w:hint="eastAsia" w:hAnsi="宋体" w:cs="宋体"/>
          <w:sz w:val="24"/>
          <w:szCs w:val="24"/>
        </w:rPr>
      </w:pPr>
    </w:p>
    <w:p w14:paraId="32C357F8">
      <w:pPr>
        <w:pStyle w:val="12"/>
        <w:tabs>
          <w:tab w:val="left" w:pos="5580"/>
        </w:tabs>
        <w:spacing w:line="240" w:lineRule="atLeast"/>
        <w:rPr>
          <w:rFonts w:hint="eastAsia" w:hAnsi="宋体" w:cs="宋体"/>
          <w:sz w:val="24"/>
          <w:szCs w:val="24"/>
        </w:rPr>
      </w:pPr>
    </w:p>
    <w:p w14:paraId="5D0E56B2">
      <w:pPr>
        <w:pStyle w:val="12"/>
        <w:tabs>
          <w:tab w:val="left" w:pos="5580"/>
        </w:tabs>
        <w:spacing w:line="240" w:lineRule="atLeast"/>
        <w:rPr>
          <w:rFonts w:hint="eastAsia" w:hAnsi="宋体" w:cs="宋体"/>
          <w:sz w:val="24"/>
          <w:szCs w:val="24"/>
        </w:rPr>
      </w:pPr>
    </w:p>
    <w:p w14:paraId="4D8335A4">
      <w:pPr>
        <w:pStyle w:val="12"/>
        <w:tabs>
          <w:tab w:val="left" w:pos="5580"/>
        </w:tabs>
        <w:spacing w:line="240" w:lineRule="atLeast"/>
        <w:rPr>
          <w:rFonts w:hint="eastAsia" w:hAnsi="宋体" w:cs="宋体"/>
          <w:sz w:val="24"/>
          <w:szCs w:val="24"/>
        </w:rPr>
      </w:pPr>
    </w:p>
    <w:p w14:paraId="56E06D23">
      <w:pPr>
        <w:pStyle w:val="12"/>
        <w:tabs>
          <w:tab w:val="left" w:pos="5580"/>
        </w:tabs>
        <w:spacing w:line="240" w:lineRule="atLeast"/>
        <w:rPr>
          <w:rFonts w:hint="eastAsia" w:hAnsi="宋体" w:cs="宋体"/>
          <w:sz w:val="24"/>
          <w:szCs w:val="24"/>
        </w:rPr>
      </w:pPr>
    </w:p>
    <w:p w14:paraId="0AC2B379">
      <w:pPr>
        <w:pStyle w:val="12"/>
        <w:tabs>
          <w:tab w:val="left" w:pos="5580"/>
        </w:tabs>
        <w:spacing w:line="240" w:lineRule="atLeast"/>
        <w:rPr>
          <w:rFonts w:hint="eastAsia" w:hAnsi="宋体" w:cs="宋体"/>
          <w:sz w:val="24"/>
          <w:szCs w:val="24"/>
        </w:rPr>
      </w:pPr>
    </w:p>
    <w:p w14:paraId="30DDBF8F">
      <w:pPr>
        <w:pStyle w:val="12"/>
        <w:tabs>
          <w:tab w:val="left" w:pos="5580"/>
        </w:tabs>
        <w:spacing w:line="240" w:lineRule="atLeast"/>
        <w:rPr>
          <w:rFonts w:hint="eastAsia" w:hAnsi="宋体" w:cs="宋体"/>
          <w:sz w:val="24"/>
          <w:szCs w:val="24"/>
        </w:rPr>
      </w:pPr>
    </w:p>
    <w:p w14:paraId="04CDB477">
      <w:pPr>
        <w:pStyle w:val="12"/>
        <w:tabs>
          <w:tab w:val="left" w:pos="5580"/>
        </w:tabs>
        <w:spacing w:line="240" w:lineRule="atLeast"/>
        <w:rPr>
          <w:rFonts w:hint="eastAsia" w:hAnsi="宋体" w:cs="宋体"/>
          <w:sz w:val="24"/>
          <w:szCs w:val="24"/>
        </w:rPr>
      </w:pPr>
    </w:p>
    <w:p w14:paraId="2C29AF94">
      <w:pPr>
        <w:rPr>
          <w:rFonts w:hint="eastAsia" w:ascii="宋体" w:hAnsi="宋体" w:cs="宋体"/>
          <w:b/>
          <w:bCs/>
          <w:sz w:val="24"/>
        </w:rPr>
      </w:pPr>
      <w:bookmarkStart w:id="1858" w:name="_Toc30408"/>
      <w:bookmarkStart w:id="1859" w:name="_Toc21772"/>
      <w:bookmarkStart w:id="1860" w:name="_Toc29625"/>
      <w:bookmarkStart w:id="1861" w:name="_Toc25918"/>
      <w:r>
        <w:rPr>
          <w:rFonts w:hint="eastAsia" w:ascii="宋体" w:hAnsi="宋体" w:cs="宋体"/>
          <w:b/>
          <w:bCs/>
          <w:sz w:val="24"/>
        </w:rPr>
        <w:br w:type="page"/>
      </w:r>
    </w:p>
    <w:bookmarkEnd w:id="1855"/>
    <w:bookmarkEnd w:id="1856"/>
    <w:bookmarkEnd w:id="1857"/>
    <w:bookmarkEnd w:id="1858"/>
    <w:bookmarkEnd w:id="1859"/>
    <w:bookmarkEnd w:id="1860"/>
    <w:bookmarkEnd w:id="1861"/>
    <w:p w14:paraId="500B6BC8">
      <w:pPr>
        <w:pStyle w:val="12"/>
        <w:tabs>
          <w:tab w:val="left" w:pos="5580"/>
        </w:tabs>
        <w:spacing w:line="240" w:lineRule="atLeast"/>
        <w:jc w:val="center"/>
        <w:outlineLvl w:val="2"/>
        <w:rPr>
          <w:rFonts w:hint="eastAsia" w:ascii="宋体" w:hAnsi="宋体" w:eastAsia="宋体" w:cs="宋体"/>
          <w:b/>
          <w:color w:val="auto"/>
          <w:sz w:val="28"/>
          <w:szCs w:val="28"/>
          <w:highlight w:val="none"/>
        </w:rPr>
      </w:pPr>
      <w:r>
        <w:rPr>
          <w:rFonts w:hint="eastAsia" w:ascii="宋体" w:hAnsi="宋体" w:eastAsia="宋体" w:cs="宋体"/>
          <w:b/>
          <w:color w:val="auto"/>
          <w:sz w:val="28"/>
          <w:szCs w:val="28"/>
          <w:highlight w:val="none"/>
          <w:lang w:val="en-US" w:eastAsia="zh-CN"/>
        </w:rPr>
        <w:t>1</w:t>
      </w:r>
      <w:r>
        <w:rPr>
          <w:rFonts w:hint="eastAsia" w:ascii="宋体" w:hAnsi="宋体" w:eastAsia="宋体" w:cs="宋体"/>
          <w:b/>
          <w:color w:val="auto"/>
          <w:sz w:val="28"/>
          <w:szCs w:val="28"/>
          <w:highlight w:val="none"/>
        </w:rPr>
        <w:t>、</w:t>
      </w:r>
      <w:r>
        <w:rPr>
          <w:rFonts w:hint="eastAsia" w:ascii="宋体" w:hAnsi="宋体" w:eastAsia="宋体" w:cs="宋体"/>
          <w:b/>
          <w:color w:val="auto"/>
          <w:sz w:val="28"/>
          <w:szCs w:val="28"/>
          <w:highlight w:val="none"/>
          <w:lang w:val="en-US" w:eastAsia="zh-CN"/>
        </w:rPr>
        <w:t>磋商</w:t>
      </w:r>
      <w:r>
        <w:rPr>
          <w:rFonts w:hint="eastAsia" w:ascii="宋体" w:hAnsi="宋体" w:eastAsia="宋体" w:cs="宋体"/>
          <w:b/>
          <w:color w:val="auto"/>
          <w:sz w:val="28"/>
          <w:szCs w:val="28"/>
          <w:highlight w:val="none"/>
        </w:rPr>
        <w:t>书</w:t>
      </w:r>
    </w:p>
    <w:p w14:paraId="7C9A047E">
      <w:pPr>
        <w:tabs>
          <w:tab w:val="left" w:pos="5580"/>
        </w:tabs>
        <w:spacing w:line="400" w:lineRule="exact"/>
        <w:ind w:left="1080" w:hanging="1080"/>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rPr>
        <w:t>致：</w:t>
      </w:r>
      <w:r>
        <w:rPr>
          <w:rFonts w:hint="eastAsia" w:ascii="宋体" w:hAnsi="宋体" w:cs="宋体"/>
          <w:color w:val="auto"/>
          <w:sz w:val="24"/>
          <w:highlight w:val="none"/>
          <w:lang w:val="en-US" w:eastAsia="zh-CN"/>
        </w:rPr>
        <w:t>采购单位/采购代理机构</w:t>
      </w:r>
    </w:p>
    <w:p w14:paraId="318C74FE">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p>
    <w:p w14:paraId="1BD63840">
      <w:pPr>
        <w:pStyle w:val="12"/>
        <w:tabs>
          <w:tab w:val="left" w:pos="5580"/>
        </w:tabs>
        <w:spacing w:line="400" w:lineRule="exact"/>
        <w:ind w:left="2" w:leftChars="1"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根据贵方(</w:t>
      </w:r>
      <w:r>
        <w:rPr>
          <w:rFonts w:hint="eastAsia" w:ascii="宋体" w:hAnsi="宋体" w:eastAsia="宋体" w:cs="宋体"/>
          <w:i/>
          <w:color w:val="auto"/>
          <w:sz w:val="24"/>
          <w:szCs w:val="24"/>
          <w:highlight w:val="none"/>
          <w:u w:val="single"/>
        </w:rPr>
        <w:t>项目名称</w:t>
      </w:r>
      <w:r>
        <w:rPr>
          <w:rFonts w:hint="eastAsia" w:ascii="宋体" w:hAnsi="宋体" w:eastAsia="宋体" w:cs="宋体"/>
          <w:color w:val="auto"/>
          <w:sz w:val="24"/>
          <w:szCs w:val="24"/>
          <w:highlight w:val="none"/>
        </w:rPr>
        <w:t>)项目的投标邀请(</w:t>
      </w:r>
      <w:r>
        <w:rPr>
          <w:rFonts w:hint="eastAsia" w:ascii="宋体" w:hAnsi="宋体" w:eastAsia="宋体" w:cs="宋体"/>
          <w:i/>
          <w:color w:val="auto"/>
          <w:sz w:val="24"/>
          <w:szCs w:val="24"/>
          <w:highlight w:val="none"/>
          <w:u w:val="single"/>
        </w:rPr>
        <w:t>项目编号</w:t>
      </w:r>
      <w:r>
        <w:rPr>
          <w:rFonts w:hint="eastAsia" w:ascii="宋体" w:hAnsi="宋体" w:eastAsia="宋体" w:cs="宋体"/>
          <w:i/>
          <w:color w:val="auto"/>
          <w:sz w:val="24"/>
          <w:szCs w:val="24"/>
          <w:highlight w:val="none"/>
          <w:u w:val="single"/>
          <w:lang w:eastAsia="zh-CN"/>
        </w:rPr>
        <w:t>，</w:t>
      </w:r>
      <w:r>
        <w:rPr>
          <w:rFonts w:hint="eastAsia" w:hAnsi="宋体" w:cs="宋体"/>
          <w:b w:val="0"/>
          <w:bCs/>
          <w:color w:val="auto"/>
          <w:sz w:val="24"/>
          <w:highlight w:val="none"/>
          <w:u w:val="single"/>
          <w:lang w:val="en-US" w:eastAsia="zh-CN"/>
        </w:rPr>
        <w:t>标项号（如有）</w:t>
      </w:r>
      <w:r>
        <w:rPr>
          <w:rFonts w:hint="eastAsia" w:ascii="宋体" w:hAnsi="宋体" w:eastAsia="宋体" w:cs="宋体"/>
          <w:color w:val="auto"/>
          <w:sz w:val="24"/>
          <w:szCs w:val="24"/>
          <w:highlight w:val="none"/>
        </w:rPr>
        <w:t>),签字代表(</w:t>
      </w:r>
      <w:r>
        <w:rPr>
          <w:rFonts w:hint="eastAsia" w:ascii="宋体" w:hAnsi="宋体" w:eastAsia="宋体" w:cs="宋体"/>
          <w:i/>
          <w:color w:val="auto"/>
          <w:sz w:val="24"/>
          <w:szCs w:val="24"/>
          <w:highlight w:val="none"/>
          <w:u w:val="single"/>
        </w:rPr>
        <w:t>姓名、职务</w:t>
      </w:r>
      <w:r>
        <w:rPr>
          <w:rFonts w:hint="eastAsia" w:ascii="宋体" w:hAnsi="宋体" w:eastAsia="宋体" w:cs="宋体"/>
          <w:color w:val="auto"/>
          <w:sz w:val="24"/>
          <w:szCs w:val="24"/>
          <w:highlight w:val="none"/>
        </w:rPr>
        <w:t>)经正式授权并代表供应商（</w:t>
      </w:r>
      <w:r>
        <w:rPr>
          <w:rFonts w:hint="eastAsia" w:ascii="宋体" w:hAnsi="宋体" w:eastAsia="宋体" w:cs="宋体"/>
          <w:i/>
          <w:color w:val="auto"/>
          <w:sz w:val="24"/>
          <w:szCs w:val="24"/>
          <w:highlight w:val="none"/>
          <w:u w:val="single"/>
        </w:rPr>
        <w:t>名称、地址</w:t>
      </w:r>
      <w:r>
        <w:rPr>
          <w:rFonts w:hint="eastAsia" w:ascii="宋体" w:hAnsi="宋体" w:eastAsia="宋体" w:cs="宋体"/>
          <w:color w:val="auto"/>
          <w:sz w:val="24"/>
          <w:szCs w:val="24"/>
          <w:highlight w:val="none"/>
        </w:rPr>
        <w:t>）上传</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，并以</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形式出具的金额为人民币</w:t>
      </w:r>
      <w:r>
        <w:rPr>
          <w:rFonts w:hint="eastAsia" w:ascii="宋体" w:hAnsi="宋体" w:eastAsia="宋体" w:cs="宋体"/>
          <w:color w:val="auto"/>
          <w:sz w:val="24"/>
          <w:szCs w:val="24"/>
          <w:highlight w:val="none"/>
          <w:u w:val="single"/>
        </w:rPr>
        <w:t>　　　　</w:t>
      </w:r>
      <w:r>
        <w:rPr>
          <w:rFonts w:hint="eastAsia" w:ascii="宋体" w:hAnsi="宋体" w:eastAsia="宋体" w:cs="宋体"/>
          <w:color w:val="auto"/>
          <w:sz w:val="24"/>
          <w:szCs w:val="24"/>
          <w:highlight w:val="none"/>
        </w:rPr>
        <w:t>元的</w:t>
      </w:r>
      <w:r>
        <w:rPr>
          <w:rFonts w:hint="eastAsia" w:hAnsi="宋体" w:cs="宋体"/>
          <w:color w:val="auto"/>
          <w:sz w:val="24"/>
          <w:szCs w:val="24"/>
          <w:highlight w:val="none"/>
          <w:lang w:eastAsia="zh-CN"/>
        </w:rPr>
        <w:t>投标保证金</w:t>
      </w:r>
      <w:r>
        <w:rPr>
          <w:rFonts w:hint="eastAsia" w:ascii="宋体" w:hAnsi="宋体" w:eastAsia="宋体" w:cs="宋体"/>
          <w:color w:val="auto"/>
          <w:sz w:val="24"/>
          <w:szCs w:val="24"/>
          <w:highlight w:val="none"/>
        </w:rPr>
        <w:t>。</w:t>
      </w:r>
    </w:p>
    <w:p w14:paraId="7A5FBE86">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据此，签字代表宣布同意如下：</w:t>
      </w:r>
    </w:p>
    <w:p w14:paraId="2D4898E4">
      <w:pPr>
        <w:pStyle w:val="12"/>
        <w:keepNext w:val="0"/>
        <w:keepLines w:val="0"/>
        <w:pageBreakBefore w:val="0"/>
        <w:widowControl w:val="0"/>
        <w:numPr>
          <w:ilvl w:val="0"/>
          <w:numId w:val="0"/>
        </w:numPr>
        <w:tabs>
          <w:tab w:val="left" w:pos="5580"/>
        </w:tabs>
        <w:kinsoku/>
        <w:wordWrap/>
        <w:overflowPunct/>
        <w:topLinePunct w:val="0"/>
        <w:autoSpaceDE/>
        <w:autoSpaceDN/>
        <w:bidi w:val="0"/>
        <w:adjustRightInd/>
        <w:snapToGrid/>
        <w:spacing w:line="400" w:lineRule="exact"/>
        <w:ind w:left="1079" w:leftChars="257" w:hanging="539"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hAnsi="宋体" w:cs="宋体"/>
          <w:sz w:val="24"/>
          <w:szCs w:val="24"/>
        </w:rPr>
        <w:t>附投标价格表中规定的应承建工程的投标总价详见开标一览表，</w:t>
      </w:r>
      <w:r>
        <w:rPr>
          <w:rFonts w:hint="eastAsia" w:hAnsi="宋体" w:cs="宋体"/>
          <w:sz w:val="24"/>
          <w:szCs w:val="24"/>
          <w:u w:val="single"/>
        </w:rPr>
        <w:t>其中由小型和</w:t>
      </w:r>
      <w:r>
        <w:rPr>
          <w:rFonts w:hint="eastAsia" w:hAnsi="宋体" w:cs="宋体"/>
          <w:sz w:val="24"/>
          <w:szCs w:val="24"/>
        </w:rPr>
        <w:t>微型企业承建工程的价格为</w:t>
      </w:r>
      <w:r>
        <w:rPr>
          <w:rFonts w:hint="eastAsia" w:hAnsi="宋体" w:cs="宋体"/>
          <w:sz w:val="24"/>
          <w:szCs w:val="24"/>
          <w:u w:val="single"/>
        </w:rPr>
        <w:t>　　  （用文字和数字表示），占投标总价   %</w:t>
      </w:r>
      <w:r>
        <w:rPr>
          <w:rFonts w:hint="eastAsia" w:hAnsi="宋体" w:cs="宋体"/>
          <w:sz w:val="24"/>
          <w:szCs w:val="24"/>
        </w:rPr>
        <w:t>。</w:t>
      </w:r>
    </w:p>
    <w:p w14:paraId="4CDD3619">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（2）本投标有效期为自</w:t>
      </w:r>
      <w:r>
        <w:rPr>
          <w:rFonts w:hint="eastAsia" w:ascii="宋体" w:hAnsi="宋体" w:eastAsia="宋体" w:cs="宋体"/>
          <w:color w:val="auto"/>
          <w:sz w:val="24"/>
          <w:szCs w:val="24"/>
          <w:highlight w:val="none"/>
          <w:lang w:eastAsia="zh-CN"/>
        </w:rPr>
        <w:t>磋商截止</w:t>
      </w:r>
      <w:r>
        <w:rPr>
          <w:rFonts w:hint="eastAsia" w:ascii="宋体" w:hAnsi="宋体" w:eastAsia="宋体" w:cs="宋体"/>
          <w:color w:val="auto"/>
          <w:sz w:val="24"/>
          <w:szCs w:val="24"/>
          <w:highlight w:val="none"/>
        </w:rPr>
        <w:t>之日起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个日历日。</w:t>
      </w:r>
    </w:p>
    <w:p w14:paraId="41BC5112">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（3）联合体中的大中型企业和其他自然人、法人或者非法人组织，与联合体中的小型、微型企业之间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存在、不存在）投资关系（如果是联合体的话）。</w:t>
      </w:r>
    </w:p>
    <w:p w14:paraId="634E06CF">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（4）已详细审查全部</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，包括所有补充通知（如果有的话），完全理解并同意放弃对这方面有不明、误解和质疑的权力。</w:t>
      </w:r>
    </w:p>
    <w:p w14:paraId="5E7CB37A">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（5）在规定的</w:t>
      </w:r>
      <w:r>
        <w:rPr>
          <w:rFonts w:hint="eastAsia" w:ascii="宋体" w:hAnsi="宋体" w:eastAsia="宋体" w:cs="宋体"/>
          <w:color w:val="auto"/>
          <w:sz w:val="24"/>
          <w:szCs w:val="24"/>
          <w:highlight w:val="none"/>
          <w:lang w:eastAsia="zh-CN"/>
        </w:rPr>
        <w:t>磋商时间</w:t>
      </w:r>
      <w:r>
        <w:rPr>
          <w:rFonts w:hint="eastAsia" w:ascii="宋体" w:hAnsi="宋体" w:eastAsia="宋体" w:cs="宋体"/>
          <w:color w:val="auto"/>
          <w:sz w:val="24"/>
          <w:szCs w:val="24"/>
          <w:highlight w:val="none"/>
        </w:rPr>
        <w:t>后，遵守</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中有关保证金的规定。</w:t>
      </w:r>
    </w:p>
    <w:p w14:paraId="67FF2070">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（6）我方不是为本项目提供整体设计、规范编制或者项目管理、监理、检测等</w:t>
      </w:r>
      <w:r>
        <w:rPr>
          <w:rFonts w:hint="eastAsia" w:ascii="宋体" w:hAnsi="宋体" w:eastAsia="宋体" w:cs="宋体"/>
          <w:color w:val="auto"/>
          <w:sz w:val="24"/>
          <w:szCs w:val="24"/>
          <w:highlight w:val="none"/>
          <w:lang w:val="en-US" w:eastAsia="zh-CN"/>
        </w:rPr>
        <w:t>服务</w:t>
      </w:r>
      <w:r>
        <w:rPr>
          <w:rFonts w:hint="eastAsia" w:ascii="宋体" w:hAnsi="宋体" w:eastAsia="宋体" w:cs="宋体"/>
          <w:color w:val="auto"/>
          <w:sz w:val="24"/>
          <w:szCs w:val="24"/>
          <w:highlight w:val="none"/>
        </w:rPr>
        <w:t>的供应商，我方不是采购代理机构的附属机构。</w:t>
      </w:r>
    </w:p>
    <w:p w14:paraId="3C60F820">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（7）在领取</w:t>
      </w:r>
      <w:r>
        <w:rPr>
          <w:rFonts w:hint="eastAsia" w:ascii="宋体" w:hAnsi="宋体" w:eastAsia="宋体" w:cs="宋体"/>
          <w:color w:val="auto"/>
          <w:sz w:val="24"/>
          <w:szCs w:val="24"/>
          <w:highlight w:val="none"/>
          <w:lang w:eastAsia="zh-CN"/>
        </w:rPr>
        <w:t>成交通知书</w:t>
      </w:r>
      <w:r>
        <w:rPr>
          <w:rFonts w:hint="eastAsia" w:ascii="宋体" w:hAnsi="宋体" w:eastAsia="宋体" w:cs="宋体"/>
          <w:color w:val="auto"/>
          <w:sz w:val="24"/>
          <w:szCs w:val="24"/>
          <w:highlight w:val="none"/>
        </w:rPr>
        <w:t>的同时按</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规定的形式，向贵方一次性支付</w:t>
      </w:r>
      <w:r>
        <w:rPr>
          <w:rFonts w:hint="eastAsia" w:ascii="宋体" w:hAnsi="宋体" w:eastAsia="宋体" w:cs="宋体"/>
          <w:color w:val="auto"/>
          <w:sz w:val="24"/>
          <w:szCs w:val="24"/>
          <w:highlight w:val="none"/>
          <w:lang w:val="en-US" w:eastAsia="zh-CN"/>
        </w:rPr>
        <w:t>代理</w:t>
      </w:r>
      <w:r>
        <w:rPr>
          <w:rFonts w:hint="eastAsia" w:ascii="宋体" w:hAnsi="宋体" w:eastAsia="宋体" w:cs="宋体"/>
          <w:color w:val="auto"/>
          <w:sz w:val="24"/>
          <w:szCs w:val="24"/>
          <w:highlight w:val="none"/>
        </w:rPr>
        <w:t>服务费。</w:t>
      </w:r>
    </w:p>
    <w:p w14:paraId="218A53A7">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（8）按照贵方可能要求，提供与其投标有关的一切数据或资料，完全理解贵方不一定接受最低价的投标或收到的任何投标。</w:t>
      </w:r>
    </w:p>
    <w:p w14:paraId="102222D0">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（9）按照</w:t>
      </w: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的规定履行合同责任和义务。</w:t>
      </w:r>
    </w:p>
    <w:p w14:paraId="374C1127">
      <w:pPr>
        <w:pStyle w:val="12"/>
        <w:tabs>
          <w:tab w:val="left" w:pos="5580"/>
        </w:tabs>
        <w:spacing w:line="400" w:lineRule="exact"/>
        <w:ind w:left="359" w:leftChars="68" w:hanging="216" w:hangingChars="9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与本投标有关的一切正式往来信函请寄：</w:t>
      </w:r>
    </w:p>
    <w:p w14:paraId="61A93792">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传真</w:t>
      </w:r>
      <w:r>
        <w:rPr>
          <w:rFonts w:hint="eastAsia" w:ascii="宋体" w:hAnsi="宋体" w:eastAsia="宋体" w:cs="宋体"/>
          <w:color w:val="auto"/>
          <w:sz w:val="24"/>
          <w:szCs w:val="24"/>
          <w:highlight w:val="none"/>
          <w:u w:val="single"/>
        </w:rPr>
        <w:t xml:space="preserve">                             </w:t>
      </w:r>
    </w:p>
    <w:p w14:paraId="5A51D60E">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电子函件</w:t>
      </w:r>
      <w:r>
        <w:rPr>
          <w:rFonts w:hint="eastAsia" w:ascii="宋体" w:hAnsi="宋体" w:eastAsia="宋体" w:cs="宋体"/>
          <w:color w:val="auto"/>
          <w:sz w:val="24"/>
          <w:szCs w:val="24"/>
          <w:highlight w:val="none"/>
          <w:u w:val="single"/>
        </w:rPr>
        <w:t xml:space="preserve">                         </w:t>
      </w:r>
    </w:p>
    <w:p w14:paraId="5ACABF69">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法定代表人（签/章）</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7261413A">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供应商名称（公章）</w:t>
      </w:r>
      <w:r>
        <w:rPr>
          <w:rFonts w:hint="eastAsia" w:ascii="宋体" w:hAnsi="宋体" w:eastAsia="宋体" w:cs="宋体"/>
          <w:color w:val="auto"/>
          <w:sz w:val="24"/>
          <w:szCs w:val="24"/>
          <w:highlight w:val="none"/>
          <w:u w:val="single"/>
        </w:rPr>
        <w:t xml:space="preserve">               </w:t>
      </w:r>
    </w:p>
    <w:p w14:paraId="107E9751">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供应商开户银行（全称）</w:t>
      </w:r>
      <w:r>
        <w:rPr>
          <w:rFonts w:hint="eastAsia" w:ascii="宋体" w:hAnsi="宋体" w:eastAsia="宋体" w:cs="宋体"/>
          <w:color w:val="auto"/>
          <w:sz w:val="24"/>
          <w:szCs w:val="24"/>
          <w:highlight w:val="none"/>
          <w:u w:val="single"/>
        </w:rPr>
        <w:t xml:space="preserve">　　　　　　 </w:t>
      </w:r>
    </w:p>
    <w:p w14:paraId="6BB2FB6A">
      <w:pPr>
        <w:pStyle w:val="12"/>
        <w:tabs>
          <w:tab w:val="left" w:pos="5580"/>
        </w:tabs>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供应商银行帐号</w:t>
      </w:r>
      <w:r>
        <w:rPr>
          <w:rFonts w:hint="eastAsia" w:ascii="宋体" w:hAnsi="宋体" w:eastAsia="宋体" w:cs="宋体"/>
          <w:color w:val="auto"/>
          <w:sz w:val="24"/>
          <w:szCs w:val="24"/>
          <w:highlight w:val="none"/>
          <w:u w:val="single"/>
        </w:rPr>
        <w:t>　　　　　　　　 　　</w:t>
      </w:r>
    </w:p>
    <w:p w14:paraId="1BB357D9">
      <w:pPr>
        <w:pStyle w:val="12"/>
        <w:tabs>
          <w:tab w:val="left" w:pos="5580"/>
        </w:tabs>
        <w:spacing w:line="400" w:lineRule="exact"/>
        <w:ind w:left="1080" w:leftChars="257" w:hanging="54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日 期</w:t>
      </w:r>
      <w:r>
        <w:rPr>
          <w:rFonts w:hint="eastAsia" w:ascii="宋体" w:hAnsi="宋体" w:eastAsia="宋体" w:cs="宋体"/>
          <w:color w:val="auto"/>
          <w:sz w:val="24"/>
          <w:szCs w:val="24"/>
          <w:highlight w:val="none"/>
          <w:u w:val="single"/>
        </w:rPr>
        <w:t xml:space="preserve">                </w:t>
      </w:r>
      <w:bookmarkStart w:id="1862" w:name="_Toc19819"/>
      <w:bookmarkStart w:id="1863" w:name="_Toc14219"/>
      <w:bookmarkStart w:id="1864" w:name="_Toc30947"/>
      <w:bookmarkStart w:id="1865" w:name="_Toc1266"/>
      <w:bookmarkStart w:id="1866" w:name="_Toc6738"/>
      <w:bookmarkStart w:id="1867" w:name="_Toc23473"/>
    </w:p>
    <w:p w14:paraId="45305474">
      <w:pPr>
        <w:rPr>
          <w:rFonts w:hint="eastAsia" w:ascii="宋体" w:hAnsi="宋体" w:eastAsia="宋体" w:cs="宋体"/>
          <w:b/>
          <w:bCs/>
          <w:color w:val="000000"/>
          <w:sz w:val="24"/>
          <w:szCs w:val="24"/>
          <w:highlight w:val="none"/>
        </w:rPr>
      </w:pPr>
      <w:bookmarkStart w:id="1868" w:name="_Toc15158"/>
      <w:bookmarkStart w:id="1869" w:name="_Toc17187"/>
      <w:r>
        <w:rPr>
          <w:rFonts w:hint="eastAsia" w:ascii="宋体" w:hAnsi="宋体" w:eastAsia="宋体" w:cs="宋体"/>
          <w:b/>
          <w:bCs/>
          <w:color w:val="000000"/>
          <w:sz w:val="24"/>
          <w:szCs w:val="24"/>
          <w:highlight w:val="none"/>
        </w:rPr>
        <w:br w:type="page"/>
      </w:r>
    </w:p>
    <w:bookmarkEnd w:id="1862"/>
    <w:bookmarkEnd w:id="1863"/>
    <w:bookmarkEnd w:id="1864"/>
    <w:bookmarkEnd w:id="1865"/>
    <w:bookmarkEnd w:id="1866"/>
    <w:bookmarkEnd w:id="1867"/>
    <w:bookmarkEnd w:id="1868"/>
    <w:bookmarkEnd w:id="1869"/>
    <w:p w14:paraId="68F162CC">
      <w:pPr>
        <w:pStyle w:val="12"/>
        <w:tabs>
          <w:tab w:val="left" w:pos="5580"/>
        </w:tabs>
        <w:spacing w:line="240" w:lineRule="atLeast"/>
        <w:jc w:val="center"/>
        <w:outlineLvl w:val="2"/>
        <w:rPr>
          <w:rFonts w:hint="eastAsia" w:ascii="宋体" w:hAnsi="宋体" w:eastAsia="宋体" w:cs="宋体"/>
          <w:b/>
          <w:color w:val="auto"/>
          <w:sz w:val="28"/>
          <w:szCs w:val="28"/>
          <w:highlight w:val="none"/>
        </w:rPr>
      </w:pPr>
      <w:bookmarkStart w:id="1870" w:name="_Toc9607"/>
      <w:bookmarkStart w:id="1871" w:name="_Toc515647821"/>
      <w:bookmarkStart w:id="1872" w:name="_Toc26804"/>
      <w:bookmarkStart w:id="1873" w:name="_Toc23"/>
      <w:bookmarkStart w:id="1874" w:name="_Toc22109"/>
      <w:bookmarkStart w:id="1875" w:name="_Toc12914"/>
      <w:bookmarkStart w:id="1876" w:name="_Toc216582818"/>
      <w:bookmarkStart w:id="1877" w:name="_Toc14887"/>
      <w:bookmarkStart w:id="1878" w:name="_Toc1980"/>
      <w:bookmarkStart w:id="1879" w:name="_Toc15792"/>
      <w:bookmarkStart w:id="1880" w:name="_Toc31439"/>
      <w:r>
        <w:rPr>
          <w:rFonts w:hint="eastAsia" w:ascii="宋体" w:hAnsi="宋体" w:eastAsia="宋体" w:cs="宋体"/>
          <w:b/>
          <w:color w:val="auto"/>
          <w:sz w:val="28"/>
          <w:szCs w:val="28"/>
          <w:highlight w:val="none"/>
          <w:lang w:val="en-US" w:eastAsia="zh-CN"/>
        </w:rPr>
        <w:t>2</w:t>
      </w:r>
      <w:r>
        <w:rPr>
          <w:rFonts w:hint="eastAsia" w:ascii="宋体" w:hAnsi="宋体" w:eastAsia="宋体" w:cs="宋体"/>
          <w:b/>
          <w:color w:val="auto"/>
          <w:sz w:val="28"/>
          <w:szCs w:val="28"/>
          <w:highlight w:val="none"/>
        </w:rPr>
        <w:t>、商务条款偏离表</w:t>
      </w:r>
      <w:bookmarkEnd w:id="1870"/>
      <w:bookmarkEnd w:id="1871"/>
      <w:bookmarkEnd w:id="1872"/>
      <w:bookmarkEnd w:id="1873"/>
      <w:bookmarkEnd w:id="1874"/>
      <w:bookmarkEnd w:id="1875"/>
      <w:bookmarkEnd w:id="1876"/>
      <w:bookmarkEnd w:id="1877"/>
      <w:bookmarkEnd w:id="1878"/>
      <w:bookmarkEnd w:id="1879"/>
      <w:bookmarkEnd w:id="1880"/>
    </w:p>
    <w:p w14:paraId="22D48417">
      <w:pPr>
        <w:pStyle w:val="12"/>
        <w:spacing w:line="400" w:lineRule="exact"/>
        <w:ind w:left="1080" w:leftChars="257" w:hanging="54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项目名称:                  项目编号:             </w:t>
      </w:r>
      <w:r>
        <w:rPr>
          <w:rFonts w:hint="eastAsia" w:hAnsi="宋体" w:cs="宋体"/>
          <w:color w:val="auto"/>
          <w:sz w:val="24"/>
          <w:szCs w:val="24"/>
          <w:highlight w:val="none"/>
          <w:lang w:eastAsia="zh-CN"/>
        </w:rPr>
        <w:t>标项</w:t>
      </w:r>
      <w:r>
        <w:rPr>
          <w:rFonts w:hint="eastAsia" w:hAnsi="宋体" w:cs="宋体"/>
          <w:color w:val="auto"/>
          <w:sz w:val="24"/>
          <w:szCs w:val="24"/>
          <w:highlight w:val="none"/>
          <w:lang w:val="en-US" w:eastAsia="zh-CN"/>
        </w:rPr>
        <w:t>号</w:t>
      </w:r>
      <w:r>
        <w:rPr>
          <w:rFonts w:hint="eastAsia" w:ascii="宋体" w:hAnsi="宋体" w:eastAsia="宋体" w:cs="宋体"/>
          <w:color w:val="auto"/>
          <w:sz w:val="24"/>
          <w:szCs w:val="24"/>
          <w:highlight w:val="none"/>
        </w:rPr>
        <w:t>：（如有）</w:t>
      </w:r>
    </w:p>
    <w:tbl>
      <w:tblPr>
        <w:tblStyle w:val="28"/>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8"/>
        <w:gridCol w:w="1846"/>
        <w:gridCol w:w="2308"/>
        <w:gridCol w:w="2308"/>
        <w:gridCol w:w="688"/>
        <w:gridCol w:w="688"/>
      </w:tblGrid>
      <w:tr w14:paraId="09CA0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9" w:hRule="atLeast"/>
          <w:jc w:val="center"/>
        </w:trPr>
        <w:tc>
          <w:tcPr>
            <w:tcW w:w="403" w:type="pct"/>
            <w:noWrap w:val="0"/>
            <w:vAlign w:val="center"/>
          </w:tcPr>
          <w:p w14:paraId="33580435">
            <w:pPr>
              <w:pStyle w:val="1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1082" w:type="pct"/>
            <w:noWrap w:val="0"/>
            <w:vAlign w:val="center"/>
          </w:tcPr>
          <w:p w14:paraId="060B2143">
            <w:pPr>
              <w:pStyle w:val="1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条款号</w:t>
            </w:r>
          </w:p>
        </w:tc>
        <w:tc>
          <w:tcPr>
            <w:tcW w:w="1353" w:type="pct"/>
            <w:noWrap w:val="0"/>
            <w:vAlign w:val="center"/>
          </w:tcPr>
          <w:p w14:paraId="530A8DB2">
            <w:pPr>
              <w:pStyle w:val="1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磋商文件</w:t>
            </w:r>
            <w:r>
              <w:rPr>
                <w:rFonts w:hint="eastAsia" w:ascii="宋体" w:hAnsi="宋体" w:eastAsia="宋体" w:cs="宋体"/>
                <w:color w:val="auto"/>
                <w:sz w:val="24"/>
                <w:szCs w:val="24"/>
                <w:highlight w:val="none"/>
              </w:rPr>
              <w:t>的商务条款</w:t>
            </w:r>
          </w:p>
        </w:tc>
        <w:tc>
          <w:tcPr>
            <w:tcW w:w="1353" w:type="pct"/>
            <w:noWrap w:val="0"/>
            <w:vAlign w:val="center"/>
          </w:tcPr>
          <w:p w14:paraId="00B64F83">
            <w:pPr>
              <w:pStyle w:val="1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的商务条款</w:t>
            </w:r>
          </w:p>
        </w:tc>
        <w:tc>
          <w:tcPr>
            <w:tcW w:w="403" w:type="pct"/>
            <w:noWrap w:val="0"/>
            <w:vAlign w:val="center"/>
          </w:tcPr>
          <w:p w14:paraId="57EAD99C">
            <w:pPr>
              <w:pStyle w:val="12"/>
              <w:spacing w:line="400" w:lineRule="exact"/>
              <w:jc w:val="center"/>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偏离</w:t>
            </w:r>
          </w:p>
        </w:tc>
        <w:tc>
          <w:tcPr>
            <w:tcW w:w="403" w:type="pct"/>
            <w:noWrap w:val="0"/>
            <w:vAlign w:val="center"/>
          </w:tcPr>
          <w:p w14:paraId="3A98A1A6">
            <w:pPr>
              <w:pStyle w:val="12"/>
              <w:spacing w:line="400" w:lineRule="exact"/>
              <w:jc w:val="cente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说明</w:t>
            </w:r>
          </w:p>
        </w:tc>
      </w:tr>
      <w:tr w14:paraId="50566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441BE550">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1</w:t>
            </w:r>
          </w:p>
        </w:tc>
        <w:tc>
          <w:tcPr>
            <w:tcW w:w="1082" w:type="pct"/>
            <w:noWrap w:val="0"/>
            <w:vAlign w:val="center"/>
          </w:tcPr>
          <w:p w14:paraId="16A062A1">
            <w:pPr>
              <w:pStyle w:val="12"/>
              <w:spacing w:line="400" w:lineRule="exact"/>
              <w:jc w:val="both"/>
              <w:rPr>
                <w:rFonts w:hint="eastAsia" w:ascii="宋体" w:hAnsi="宋体" w:eastAsia="宋体" w:cs="宋体"/>
                <w:color w:val="auto"/>
                <w:sz w:val="24"/>
                <w:szCs w:val="24"/>
                <w:highlight w:val="none"/>
                <w:lang w:val="en-US" w:eastAsia="zh-CN"/>
              </w:rPr>
            </w:pPr>
          </w:p>
        </w:tc>
        <w:tc>
          <w:tcPr>
            <w:tcW w:w="1353" w:type="pct"/>
            <w:noWrap w:val="0"/>
            <w:vAlign w:val="center"/>
          </w:tcPr>
          <w:p w14:paraId="6419E347">
            <w:pPr>
              <w:pStyle w:val="12"/>
              <w:spacing w:line="400" w:lineRule="exact"/>
              <w:jc w:val="both"/>
              <w:rPr>
                <w:rFonts w:hint="eastAsia" w:ascii="宋体" w:hAnsi="宋体" w:eastAsia="宋体" w:cs="宋体"/>
                <w:color w:val="auto"/>
                <w:sz w:val="24"/>
                <w:szCs w:val="24"/>
                <w:highlight w:val="none"/>
                <w:lang w:eastAsia="zh-CN"/>
              </w:rPr>
            </w:pPr>
          </w:p>
        </w:tc>
        <w:tc>
          <w:tcPr>
            <w:tcW w:w="1353" w:type="pct"/>
            <w:noWrap w:val="0"/>
            <w:vAlign w:val="center"/>
          </w:tcPr>
          <w:p w14:paraId="5F007AC4">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463836E6">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460AEE4E">
            <w:pPr>
              <w:pStyle w:val="12"/>
              <w:spacing w:line="400" w:lineRule="exact"/>
              <w:jc w:val="both"/>
              <w:rPr>
                <w:rFonts w:hint="eastAsia" w:ascii="宋体" w:hAnsi="宋体" w:eastAsia="宋体" w:cs="宋体"/>
                <w:color w:val="auto"/>
                <w:sz w:val="24"/>
                <w:szCs w:val="24"/>
                <w:highlight w:val="none"/>
              </w:rPr>
            </w:pPr>
          </w:p>
        </w:tc>
      </w:tr>
      <w:tr w14:paraId="59006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5CC1B0D8">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2</w:t>
            </w:r>
          </w:p>
        </w:tc>
        <w:tc>
          <w:tcPr>
            <w:tcW w:w="1082" w:type="pct"/>
            <w:noWrap w:val="0"/>
            <w:vAlign w:val="center"/>
          </w:tcPr>
          <w:p w14:paraId="1E1A41C7">
            <w:pPr>
              <w:pStyle w:val="12"/>
              <w:spacing w:line="400" w:lineRule="exact"/>
              <w:jc w:val="both"/>
              <w:rPr>
                <w:rFonts w:hint="eastAsia" w:ascii="宋体" w:hAnsi="宋体" w:eastAsia="宋体" w:cs="宋体"/>
                <w:color w:val="auto"/>
                <w:kern w:val="2"/>
                <w:sz w:val="24"/>
                <w:szCs w:val="24"/>
                <w:highlight w:val="none"/>
                <w:lang w:val="en-US" w:eastAsia="zh-CN" w:bidi="ar-SA"/>
              </w:rPr>
            </w:pPr>
          </w:p>
        </w:tc>
        <w:tc>
          <w:tcPr>
            <w:tcW w:w="1353" w:type="pct"/>
            <w:noWrap w:val="0"/>
            <w:vAlign w:val="center"/>
          </w:tcPr>
          <w:p w14:paraId="101C4488">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249B9841">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4FBFC2D7">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06DF1E75">
            <w:pPr>
              <w:pStyle w:val="12"/>
              <w:spacing w:line="400" w:lineRule="exact"/>
              <w:jc w:val="both"/>
              <w:rPr>
                <w:rFonts w:hint="eastAsia" w:ascii="宋体" w:hAnsi="宋体" w:eastAsia="宋体" w:cs="宋体"/>
                <w:color w:val="auto"/>
                <w:sz w:val="24"/>
                <w:szCs w:val="24"/>
                <w:highlight w:val="none"/>
              </w:rPr>
            </w:pPr>
          </w:p>
        </w:tc>
      </w:tr>
      <w:tr w14:paraId="28FA7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46B131B6">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3</w:t>
            </w:r>
          </w:p>
        </w:tc>
        <w:tc>
          <w:tcPr>
            <w:tcW w:w="1082" w:type="pct"/>
            <w:noWrap w:val="0"/>
            <w:vAlign w:val="center"/>
          </w:tcPr>
          <w:p w14:paraId="05FD3782">
            <w:pPr>
              <w:pStyle w:val="12"/>
              <w:spacing w:line="400" w:lineRule="exact"/>
              <w:jc w:val="both"/>
              <w:rPr>
                <w:rFonts w:hint="eastAsia" w:ascii="宋体" w:hAnsi="宋体" w:eastAsia="宋体" w:cs="宋体"/>
                <w:color w:val="auto"/>
                <w:sz w:val="24"/>
                <w:szCs w:val="24"/>
                <w:highlight w:val="none"/>
                <w:lang w:val="en-US"/>
              </w:rPr>
            </w:pPr>
          </w:p>
        </w:tc>
        <w:tc>
          <w:tcPr>
            <w:tcW w:w="1353" w:type="pct"/>
            <w:noWrap w:val="0"/>
            <w:vAlign w:val="center"/>
          </w:tcPr>
          <w:p w14:paraId="2A6746DA">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6742037C">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20486DA1">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70F620E9">
            <w:pPr>
              <w:pStyle w:val="12"/>
              <w:spacing w:line="400" w:lineRule="exact"/>
              <w:jc w:val="both"/>
              <w:rPr>
                <w:rFonts w:hint="eastAsia" w:ascii="宋体" w:hAnsi="宋体" w:eastAsia="宋体" w:cs="宋体"/>
                <w:color w:val="auto"/>
                <w:sz w:val="24"/>
                <w:szCs w:val="24"/>
                <w:highlight w:val="none"/>
              </w:rPr>
            </w:pPr>
          </w:p>
        </w:tc>
      </w:tr>
      <w:tr w14:paraId="3A9CC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2B316894">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4</w:t>
            </w:r>
          </w:p>
        </w:tc>
        <w:tc>
          <w:tcPr>
            <w:tcW w:w="1082" w:type="pct"/>
            <w:noWrap w:val="0"/>
            <w:vAlign w:val="center"/>
          </w:tcPr>
          <w:p w14:paraId="5CBBD852">
            <w:pPr>
              <w:pStyle w:val="12"/>
              <w:spacing w:line="400" w:lineRule="exact"/>
              <w:jc w:val="both"/>
              <w:rPr>
                <w:rFonts w:hint="eastAsia" w:ascii="宋体" w:hAnsi="宋体" w:eastAsia="宋体" w:cs="宋体"/>
                <w:color w:val="auto"/>
                <w:kern w:val="2"/>
                <w:sz w:val="24"/>
                <w:szCs w:val="24"/>
                <w:highlight w:val="none"/>
                <w:lang w:val="en-US" w:eastAsia="zh-CN" w:bidi="ar-SA"/>
              </w:rPr>
            </w:pPr>
          </w:p>
        </w:tc>
        <w:tc>
          <w:tcPr>
            <w:tcW w:w="1353" w:type="pct"/>
            <w:noWrap w:val="0"/>
            <w:vAlign w:val="center"/>
          </w:tcPr>
          <w:p w14:paraId="67ADF82F">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6EA6B10B">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7B6E5270">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1C49F481">
            <w:pPr>
              <w:pStyle w:val="12"/>
              <w:spacing w:line="400" w:lineRule="exact"/>
              <w:jc w:val="both"/>
              <w:rPr>
                <w:rFonts w:hint="eastAsia" w:ascii="宋体" w:hAnsi="宋体" w:eastAsia="宋体" w:cs="宋体"/>
                <w:color w:val="auto"/>
                <w:sz w:val="24"/>
                <w:szCs w:val="24"/>
                <w:highlight w:val="none"/>
              </w:rPr>
            </w:pPr>
          </w:p>
        </w:tc>
      </w:tr>
      <w:tr w14:paraId="02F9FC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5CF1B39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5</w:t>
            </w:r>
          </w:p>
        </w:tc>
        <w:tc>
          <w:tcPr>
            <w:tcW w:w="1082" w:type="pct"/>
            <w:noWrap w:val="0"/>
            <w:vAlign w:val="center"/>
          </w:tcPr>
          <w:p w14:paraId="70819563">
            <w:pPr>
              <w:pStyle w:val="12"/>
              <w:spacing w:line="400" w:lineRule="exact"/>
              <w:jc w:val="both"/>
              <w:rPr>
                <w:rFonts w:hint="eastAsia" w:ascii="宋体" w:hAnsi="宋体" w:eastAsia="宋体" w:cs="宋体"/>
                <w:color w:val="auto"/>
                <w:sz w:val="24"/>
                <w:szCs w:val="24"/>
                <w:highlight w:val="none"/>
                <w:lang w:val="en-US" w:eastAsia="zh-CN"/>
              </w:rPr>
            </w:pPr>
          </w:p>
        </w:tc>
        <w:tc>
          <w:tcPr>
            <w:tcW w:w="1353" w:type="pct"/>
            <w:noWrap w:val="0"/>
            <w:vAlign w:val="center"/>
          </w:tcPr>
          <w:p w14:paraId="4618395E">
            <w:pPr>
              <w:pStyle w:val="12"/>
              <w:spacing w:line="400" w:lineRule="exact"/>
              <w:jc w:val="both"/>
              <w:rPr>
                <w:rFonts w:hint="eastAsia" w:ascii="宋体" w:hAnsi="宋体" w:eastAsia="宋体" w:cs="宋体"/>
                <w:color w:val="auto"/>
                <w:sz w:val="24"/>
                <w:szCs w:val="24"/>
                <w:highlight w:val="none"/>
                <w:lang w:val="en-US" w:eastAsia="zh-CN"/>
              </w:rPr>
            </w:pPr>
          </w:p>
        </w:tc>
        <w:tc>
          <w:tcPr>
            <w:tcW w:w="1353" w:type="pct"/>
            <w:noWrap w:val="0"/>
            <w:vAlign w:val="center"/>
          </w:tcPr>
          <w:p w14:paraId="341F0D25">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5805FA41">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7E807F8B">
            <w:pPr>
              <w:pStyle w:val="12"/>
              <w:spacing w:line="400" w:lineRule="exact"/>
              <w:jc w:val="both"/>
              <w:rPr>
                <w:rFonts w:hint="eastAsia" w:ascii="宋体" w:hAnsi="宋体" w:eastAsia="宋体" w:cs="宋体"/>
                <w:color w:val="auto"/>
                <w:sz w:val="24"/>
                <w:szCs w:val="24"/>
                <w:highlight w:val="none"/>
              </w:rPr>
            </w:pPr>
          </w:p>
        </w:tc>
      </w:tr>
      <w:tr w14:paraId="27ED1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35E6EF89">
            <w:pPr>
              <w:keepNext w:val="0"/>
              <w:keepLines w:val="0"/>
              <w:widowControl/>
              <w:suppressLineNumbers w:val="0"/>
              <w:jc w:val="center"/>
              <w:textAlignment w:val="center"/>
              <w:rPr>
                <w:rFonts w:hint="eastAsia"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6</w:t>
            </w:r>
          </w:p>
        </w:tc>
        <w:tc>
          <w:tcPr>
            <w:tcW w:w="1082" w:type="pct"/>
            <w:noWrap w:val="0"/>
            <w:vAlign w:val="center"/>
          </w:tcPr>
          <w:p w14:paraId="7219CBEF">
            <w:pPr>
              <w:pStyle w:val="12"/>
              <w:spacing w:line="400" w:lineRule="exact"/>
              <w:jc w:val="both"/>
              <w:rPr>
                <w:rFonts w:hint="eastAsia" w:ascii="宋体" w:hAnsi="宋体" w:eastAsia="宋体" w:cs="宋体"/>
                <w:color w:val="auto"/>
                <w:sz w:val="24"/>
                <w:szCs w:val="24"/>
                <w:highlight w:val="none"/>
                <w:lang w:val="en-US" w:eastAsia="zh-CN"/>
              </w:rPr>
            </w:pPr>
          </w:p>
        </w:tc>
        <w:tc>
          <w:tcPr>
            <w:tcW w:w="1353" w:type="pct"/>
            <w:noWrap w:val="0"/>
            <w:vAlign w:val="center"/>
          </w:tcPr>
          <w:p w14:paraId="60A24547">
            <w:pPr>
              <w:pStyle w:val="12"/>
              <w:spacing w:line="400" w:lineRule="exact"/>
              <w:jc w:val="both"/>
              <w:rPr>
                <w:rFonts w:hint="eastAsia" w:ascii="宋体" w:hAnsi="宋体" w:eastAsia="宋体" w:cs="宋体"/>
                <w:color w:val="auto"/>
                <w:sz w:val="24"/>
                <w:szCs w:val="24"/>
                <w:highlight w:val="none"/>
                <w:lang w:val="en-US" w:eastAsia="zh-CN"/>
              </w:rPr>
            </w:pPr>
          </w:p>
        </w:tc>
        <w:tc>
          <w:tcPr>
            <w:tcW w:w="1353" w:type="pct"/>
            <w:noWrap w:val="0"/>
            <w:vAlign w:val="center"/>
          </w:tcPr>
          <w:p w14:paraId="1634DACF">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0645D04E">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6C0BCEE7">
            <w:pPr>
              <w:pStyle w:val="12"/>
              <w:spacing w:line="400" w:lineRule="exact"/>
              <w:jc w:val="both"/>
              <w:rPr>
                <w:rFonts w:hint="eastAsia" w:ascii="宋体" w:hAnsi="宋体" w:eastAsia="宋体" w:cs="宋体"/>
                <w:color w:val="auto"/>
                <w:sz w:val="24"/>
                <w:szCs w:val="24"/>
                <w:highlight w:val="none"/>
              </w:rPr>
            </w:pPr>
          </w:p>
        </w:tc>
      </w:tr>
      <w:tr w14:paraId="64601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755F4FE2">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7</w:t>
            </w:r>
          </w:p>
        </w:tc>
        <w:tc>
          <w:tcPr>
            <w:tcW w:w="1082" w:type="pct"/>
            <w:noWrap w:val="0"/>
            <w:vAlign w:val="center"/>
          </w:tcPr>
          <w:p w14:paraId="2542C102">
            <w:pPr>
              <w:pStyle w:val="12"/>
              <w:spacing w:line="400" w:lineRule="exact"/>
              <w:jc w:val="both"/>
              <w:rPr>
                <w:rFonts w:hint="eastAsia" w:ascii="宋体" w:hAnsi="宋体" w:eastAsia="宋体" w:cs="宋体"/>
                <w:color w:val="auto"/>
                <w:kern w:val="2"/>
                <w:sz w:val="24"/>
                <w:szCs w:val="24"/>
                <w:highlight w:val="none"/>
                <w:lang w:val="en-US" w:eastAsia="zh-CN" w:bidi="ar-SA"/>
              </w:rPr>
            </w:pPr>
          </w:p>
        </w:tc>
        <w:tc>
          <w:tcPr>
            <w:tcW w:w="1353" w:type="pct"/>
            <w:noWrap w:val="0"/>
            <w:vAlign w:val="center"/>
          </w:tcPr>
          <w:p w14:paraId="11FA8B93">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30F9DCB8">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40E33F67">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1752AC3A">
            <w:pPr>
              <w:pStyle w:val="12"/>
              <w:spacing w:line="400" w:lineRule="exact"/>
              <w:jc w:val="both"/>
              <w:rPr>
                <w:rFonts w:hint="eastAsia" w:ascii="宋体" w:hAnsi="宋体" w:eastAsia="宋体" w:cs="宋体"/>
                <w:color w:val="auto"/>
                <w:sz w:val="24"/>
                <w:szCs w:val="24"/>
                <w:highlight w:val="none"/>
              </w:rPr>
            </w:pPr>
          </w:p>
        </w:tc>
      </w:tr>
      <w:tr w14:paraId="1A05C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5C6BB553">
            <w:pPr>
              <w:keepNext w:val="0"/>
              <w:keepLines w:val="0"/>
              <w:widowControl/>
              <w:suppressLineNumbers w:val="0"/>
              <w:jc w:val="center"/>
              <w:textAlignment w:val="center"/>
              <w:rPr>
                <w:rFonts w:hint="eastAsia" w:ascii="宋体" w:hAnsi="宋体" w:eastAsia="宋体" w:cs="宋体"/>
                <w:color w:val="auto"/>
                <w:sz w:val="24"/>
                <w:szCs w:val="24"/>
                <w:highlight w:val="none"/>
              </w:rPr>
            </w:pPr>
            <w:r>
              <w:rPr>
                <w:rFonts w:hint="eastAsia" w:ascii="宋体" w:hAnsi="宋体" w:eastAsia="宋体" w:cs="宋体"/>
                <w:i w:val="0"/>
                <w:iCs w:val="0"/>
                <w:color w:val="000000"/>
                <w:kern w:val="0"/>
                <w:sz w:val="22"/>
                <w:szCs w:val="22"/>
                <w:highlight w:val="none"/>
                <w:u w:val="none"/>
                <w:lang w:val="en-US" w:eastAsia="zh-CN" w:bidi="ar"/>
              </w:rPr>
              <w:t>8</w:t>
            </w:r>
          </w:p>
        </w:tc>
        <w:tc>
          <w:tcPr>
            <w:tcW w:w="1082" w:type="pct"/>
            <w:noWrap w:val="0"/>
            <w:vAlign w:val="center"/>
          </w:tcPr>
          <w:p w14:paraId="1F537D9D">
            <w:pPr>
              <w:pStyle w:val="12"/>
              <w:spacing w:line="400" w:lineRule="exact"/>
              <w:jc w:val="both"/>
              <w:rPr>
                <w:rFonts w:hint="eastAsia" w:ascii="宋体" w:hAnsi="宋体" w:eastAsia="宋体" w:cs="宋体"/>
                <w:color w:val="auto"/>
                <w:kern w:val="2"/>
                <w:sz w:val="24"/>
                <w:szCs w:val="24"/>
                <w:highlight w:val="none"/>
                <w:lang w:val="en-US" w:eastAsia="zh-CN" w:bidi="ar-SA"/>
              </w:rPr>
            </w:pPr>
          </w:p>
        </w:tc>
        <w:tc>
          <w:tcPr>
            <w:tcW w:w="1353" w:type="pct"/>
            <w:noWrap w:val="0"/>
            <w:vAlign w:val="center"/>
          </w:tcPr>
          <w:p w14:paraId="3F795638">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23FE4166">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33F02D00">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43F878F3">
            <w:pPr>
              <w:pStyle w:val="12"/>
              <w:spacing w:line="400" w:lineRule="exact"/>
              <w:jc w:val="both"/>
              <w:rPr>
                <w:rFonts w:hint="eastAsia" w:ascii="宋体" w:hAnsi="宋体" w:eastAsia="宋体" w:cs="宋体"/>
                <w:color w:val="auto"/>
                <w:sz w:val="24"/>
                <w:szCs w:val="24"/>
                <w:highlight w:val="none"/>
              </w:rPr>
            </w:pPr>
          </w:p>
        </w:tc>
      </w:tr>
      <w:tr w14:paraId="2D0A2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403" w:type="pct"/>
            <w:noWrap w:val="0"/>
            <w:vAlign w:val="center"/>
          </w:tcPr>
          <w:p w14:paraId="4060671D">
            <w:pPr>
              <w:keepNext w:val="0"/>
              <w:keepLines w:val="0"/>
              <w:widowControl/>
              <w:suppressLineNumbers w:val="0"/>
              <w:jc w:val="center"/>
              <w:textAlignment w:val="center"/>
              <w:rPr>
                <w:rFonts w:hint="default" w:ascii="宋体" w:hAnsi="宋体" w:eastAsia="宋体" w:cs="宋体"/>
                <w:i w:val="0"/>
                <w:iCs w:val="0"/>
                <w:color w:val="000000"/>
                <w:kern w:val="0"/>
                <w:sz w:val="22"/>
                <w:szCs w:val="22"/>
                <w:highlight w:val="none"/>
                <w:u w:val="none"/>
                <w:lang w:val="en-US" w:eastAsia="zh-CN" w:bidi="ar"/>
              </w:rPr>
            </w:pPr>
            <w:r>
              <w:rPr>
                <w:rFonts w:hint="eastAsia" w:ascii="宋体" w:hAnsi="宋体" w:eastAsia="宋体" w:cs="宋体"/>
                <w:i w:val="0"/>
                <w:iCs w:val="0"/>
                <w:color w:val="000000"/>
                <w:kern w:val="0"/>
                <w:sz w:val="22"/>
                <w:szCs w:val="22"/>
                <w:highlight w:val="none"/>
                <w:u w:val="none"/>
                <w:lang w:val="en-US" w:eastAsia="zh-CN" w:bidi="ar"/>
              </w:rPr>
              <w:t>...</w:t>
            </w:r>
          </w:p>
        </w:tc>
        <w:tc>
          <w:tcPr>
            <w:tcW w:w="1082" w:type="pct"/>
            <w:noWrap w:val="0"/>
            <w:vAlign w:val="center"/>
          </w:tcPr>
          <w:p w14:paraId="3EA26794">
            <w:pPr>
              <w:pStyle w:val="12"/>
              <w:spacing w:line="400" w:lineRule="exact"/>
              <w:jc w:val="both"/>
              <w:rPr>
                <w:rFonts w:hint="eastAsia" w:ascii="宋体" w:hAnsi="宋体" w:eastAsia="宋体" w:cs="宋体"/>
                <w:color w:val="auto"/>
                <w:kern w:val="2"/>
                <w:sz w:val="24"/>
                <w:szCs w:val="24"/>
                <w:highlight w:val="none"/>
                <w:lang w:val="en-US" w:eastAsia="zh-CN" w:bidi="ar-SA"/>
              </w:rPr>
            </w:pPr>
          </w:p>
        </w:tc>
        <w:tc>
          <w:tcPr>
            <w:tcW w:w="1353" w:type="pct"/>
            <w:noWrap w:val="0"/>
            <w:vAlign w:val="center"/>
          </w:tcPr>
          <w:p w14:paraId="505BA832">
            <w:pPr>
              <w:pStyle w:val="12"/>
              <w:spacing w:line="400" w:lineRule="exact"/>
              <w:jc w:val="both"/>
              <w:rPr>
                <w:rFonts w:hint="eastAsia" w:ascii="宋体" w:hAnsi="宋体" w:eastAsia="宋体" w:cs="宋体"/>
                <w:color w:val="auto"/>
                <w:sz w:val="24"/>
                <w:szCs w:val="24"/>
                <w:highlight w:val="none"/>
              </w:rPr>
            </w:pPr>
          </w:p>
        </w:tc>
        <w:tc>
          <w:tcPr>
            <w:tcW w:w="1353" w:type="pct"/>
            <w:noWrap w:val="0"/>
            <w:vAlign w:val="center"/>
          </w:tcPr>
          <w:p w14:paraId="4C2F2206">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24C7E500">
            <w:pPr>
              <w:pStyle w:val="12"/>
              <w:spacing w:line="400" w:lineRule="exact"/>
              <w:jc w:val="both"/>
              <w:rPr>
                <w:rFonts w:hint="eastAsia" w:ascii="宋体" w:hAnsi="宋体" w:eastAsia="宋体" w:cs="宋体"/>
                <w:color w:val="auto"/>
                <w:sz w:val="24"/>
                <w:szCs w:val="24"/>
                <w:highlight w:val="none"/>
              </w:rPr>
            </w:pPr>
          </w:p>
        </w:tc>
        <w:tc>
          <w:tcPr>
            <w:tcW w:w="403" w:type="pct"/>
            <w:noWrap w:val="0"/>
            <w:vAlign w:val="center"/>
          </w:tcPr>
          <w:p w14:paraId="02A7AFF1">
            <w:pPr>
              <w:pStyle w:val="12"/>
              <w:spacing w:line="400" w:lineRule="exact"/>
              <w:jc w:val="both"/>
              <w:rPr>
                <w:rFonts w:hint="eastAsia" w:ascii="宋体" w:hAnsi="宋体" w:eastAsia="宋体" w:cs="宋体"/>
                <w:color w:val="auto"/>
                <w:sz w:val="24"/>
                <w:szCs w:val="24"/>
                <w:highlight w:val="none"/>
              </w:rPr>
            </w:pPr>
          </w:p>
        </w:tc>
      </w:tr>
    </w:tbl>
    <w:p w14:paraId="65261E3C">
      <w:pPr>
        <w:pStyle w:val="12"/>
        <w:spacing w:line="400" w:lineRule="exact"/>
        <w:rPr>
          <w:rFonts w:hint="eastAsia" w:ascii="宋体" w:hAnsi="宋体" w:eastAsia="宋体" w:cs="宋体"/>
          <w:color w:val="auto"/>
          <w:sz w:val="24"/>
          <w:szCs w:val="24"/>
          <w:highlight w:val="none"/>
        </w:rPr>
      </w:pPr>
    </w:p>
    <w:p w14:paraId="5674C3BA">
      <w:pPr>
        <w:pStyle w:val="12"/>
        <w:spacing w:line="400" w:lineRule="exact"/>
        <w:ind w:left="1080" w:leftChars="257" w:hanging="540"/>
        <w:rPr>
          <w:rFonts w:hint="eastAsia" w:ascii="宋体" w:hAnsi="宋体" w:eastAsia="宋体" w:cs="宋体"/>
          <w:color w:val="auto"/>
          <w:sz w:val="24"/>
          <w:szCs w:val="24"/>
          <w:highlight w:val="none"/>
        </w:rPr>
      </w:pPr>
    </w:p>
    <w:p w14:paraId="722E89C9">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color w:val="auto"/>
          <w:kern w:val="2"/>
          <w:sz w:val="24"/>
          <w:szCs w:val="24"/>
          <w:highlight w:val="none"/>
          <w:u w:val="single"/>
          <w:lang w:val="en-US" w:eastAsia="zh-CN" w:bidi="ar-SA"/>
        </w:rPr>
      </w:pPr>
      <w:r>
        <w:rPr>
          <w:rFonts w:hint="eastAsia" w:ascii="宋体" w:hAnsi="宋体" w:eastAsia="宋体" w:cs="宋体"/>
          <w:color w:val="auto"/>
          <w:kern w:val="2"/>
          <w:sz w:val="24"/>
          <w:szCs w:val="24"/>
          <w:highlight w:val="none"/>
          <w:lang w:val="en-US" w:eastAsia="zh-CN" w:bidi="ar-SA"/>
        </w:rPr>
        <w:t>供应商名称（公章）：</w:t>
      </w:r>
      <w:r>
        <w:rPr>
          <w:rFonts w:hint="eastAsia" w:ascii="宋体" w:hAnsi="宋体" w:eastAsia="宋体" w:cs="宋体"/>
          <w:color w:val="auto"/>
          <w:kern w:val="2"/>
          <w:sz w:val="24"/>
          <w:szCs w:val="24"/>
          <w:highlight w:val="none"/>
          <w:u w:val="single"/>
          <w:lang w:val="en-US" w:eastAsia="zh-CN" w:bidi="ar-SA"/>
        </w:rPr>
        <w:t xml:space="preserve">                       </w:t>
      </w:r>
    </w:p>
    <w:p w14:paraId="037C9060">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法定代表人(签/章):</w:t>
      </w:r>
      <w:r>
        <w:rPr>
          <w:rFonts w:hint="eastAsia" w:ascii="宋体" w:hAnsi="宋体" w:eastAsia="宋体" w:cs="宋体"/>
          <w:color w:val="auto"/>
          <w:kern w:val="2"/>
          <w:sz w:val="24"/>
          <w:szCs w:val="24"/>
          <w:highlight w:val="none"/>
          <w:u w:val="single"/>
          <w:lang w:val="en-US" w:eastAsia="zh-CN" w:bidi="ar-SA"/>
        </w:rPr>
        <w:tab/>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528E3D54">
      <w:pPr>
        <w:keepNext w:val="0"/>
        <w:keepLines w:val="0"/>
        <w:pageBreakBefore w:val="0"/>
        <w:widowControl w:val="0"/>
        <w:kinsoku/>
        <w:wordWrap/>
        <w:overflowPunct/>
        <w:topLinePunct w:val="0"/>
        <w:autoSpaceDE w:val="0"/>
        <w:autoSpaceDN w:val="0"/>
        <w:bidi w:val="0"/>
        <w:adjustRightInd w:val="0"/>
        <w:snapToGrid/>
        <w:spacing w:line="400" w:lineRule="exact"/>
        <w:ind w:firstLine="240" w:firstLineChars="10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日期 ：</w:t>
      </w:r>
      <w:r>
        <w:rPr>
          <w:rFonts w:hint="eastAsia" w:ascii="宋体" w:hAnsi="宋体" w:eastAsia="宋体" w:cs="宋体"/>
          <w:color w:val="auto"/>
          <w:kern w:val="2"/>
          <w:sz w:val="24"/>
          <w:szCs w:val="24"/>
          <w:highlight w:val="none"/>
          <w:u w:val="single"/>
          <w:lang w:val="en-US" w:eastAsia="zh-CN" w:bidi="ar-SA"/>
        </w:rPr>
        <w:t xml:space="preserve">                                </w:t>
      </w:r>
      <w:r>
        <w:rPr>
          <w:rFonts w:hint="eastAsia" w:ascii="宋体" w:hAnsi="宋体" w:eastAsia="宋体" w:cs="宋体"/>
          <w:color w:val="auto"/>
          <w:kern w:val="2"/>
          <w:sz w:val="24"/>
          <w:szCs w:val="24"/>
          <w:highlight w:val="none"/>
          <w:lang w:val="en-US" w:eastAsia="zh-CN" w:bidi="ar-SA"/>
        </w:rPr>
        <w:t xml:space="preserve">                                         </w:t>
      </w:r>
    </w:p>
    <w:p w14:paraId="2B7FC8E2">
      <w:pPr>
        <w:pStyle w:val="12"/>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34460610">
      <w:pPr>
        <w:pStyle w:val="12"/>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287F530B">
      <w:pPr>
        <w:pStyle w:val="12"/>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7573F8C4">
      <w:pPr>
        <w:pStyle w:val="12"/>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0D9EBB4A">
      <w:pPr>
        <w:pStyle w:val="12"/>
        <w:tabs>
          <w:tab w:val="left" w:pos="5370"/>
        </w:tabs>
        <w:spacing w:line="400" w:lineRule="exact"/>
        <w:ind w:left="1080" w:leftChars="257" w:hanging="540"/>
        <w:rPr>
          <w:rFonts w:hint="eastAsia" w:ascii="宋体" w:hAnsi="宋体" w:eastAsia="宋体" w:cs="宋体"/>
          <w:color w:val="auto"/>
          <w:sz w:val="24"/>
          <w:szCs w:val="24"/>
          <w:highlight w:val="none"/>
          <w:u w:val="single"/>
        </w:rPr>
      </w:pPr>
    </w:p>
    <w:p w14:paraId="178D7F83">
      <w:pPr>
        <w:rPr>
          <w:rFonts w:hint="eastAsia" w:ascii="宋体" w:hAnsi="宋体" w:eastAsia="宋体" w:cs="宋体"/>
          <w:color w:val="auto"/>
          <w:sz w:val="24"/>
          <w:highlight w:val="none"/>
        </w:rPr>
      </w:pPr>
      <w:bookmarkStart w:id="1881" w:name="_Toc27043"/>
      <w:bookmarkStart w:id="1882" w:name="_Toc10725"/>
      <w:bookmarkStart w:id="1883" w:name="_Toc25797"/>
      <w:bookmarkStart w:id="1884" w:name="_Toc515647823"/>
      <w:bookmarkStart w:id="1885" w:name="_Toc17820"/>
      <w:bookmarkStart w:id="1886" w:name="_Toc31694"/>
      <w:bookmarkStart w:id="1887" w:name="_Toc21312"/>
      <w:r>
        <w:rPr>
          <w:rFonts w:hint="eastAsia" w:ascii="宋体" w:hAnsi="宋体" w:eastAsia="宋体" w:cs="宋体"/>
          <w:color w:val="auto"/>
          <w:sz w:val="24"/>
          <w:highlight w:val="none"/>
        </w:rPr>
        <w:br w:type="page"/>
      </w:r>
    </w:p>
    <w:p w14:paraId="20CFADE7">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888" w:name="_Toc18967"/>
      <w:bookmarkStart w:id="1889" w:name="_Toc4229"/>
      <w:bookmarkStart w:id="1890" w:name="_Toc5248"/>
      <w:r>
        <w:rPr>
          <w:rFonts w:hint="eastAsia" w:ascii="宋体" w:hAnsi="宋体" w:eastAsia="宋体" w:cs="宋体"/>
          <w:b/>
          <w:color w:val="auto"/>
          <w:sz w:val="28"/>
          <w:szCs w:val="28"/>
          <w:highlight w:val="none"/>
          <w:lang w:val="en-US" w:eastAsia="zh-CN"/>
        </w:rPr>
        <w:t>3、中小企业声明函</w:t>
      </w:r>
      <w:bookmarkEnd w:id="1888"/>
    </w:p>
    <w:bookmarkEnd w:id="1881"/>
    <w:bookmarkEnd w:id="1882"/>
    <w:bookmarkEnd w:id="1883"/>
    <w:bookmarkEnd w:id="1884"/>
    <w:bookmarkEnd w:id="1885"/>
    <w:bookmarkEnd w:id="1886"/>
    <w:bookmarkEnd w:id="1887"/>
    <w:bookmarkEnd w:id="1889"/>
    <w:bookmarkEnd w:id="1890"/>
    <w:p w14:paraId="7130C381">
      <w:pPr>
        <w:widowControl/>
        <w:spacing w:beforeAutospacing="1" w:afterAutospacing="1" w:line="348" w:lineRule="atLeast"/>
        <w:jc w:val="center"/>
        <w:rPr>
          <w:rFonts w:ascii="宋体" w:hAnsi="宋体" w:eastAsia="宋体" w:cs="宋体"/>
          <w:sz w:val="18"/>
          <w:szCs w:val="18"/>
        </w:rPr>
      </w:pPr>
      <w:r>
        <w:rPr>
          <w:rFonts w:hint="eastAsia" w:ascii="宋体" w:hAnsi="宋体" w:eastAsia="宋体" w:cs="宋体"/>
          <w:b/>
          <w:kern w:val="0"/>
          <w:sz w:val="24"/>
          <w:shd w:val="clear" w:color="auto" w:fill="FFFFFF"/>
          <w:lang w:bidi="ar"/>
        </w:rPr>
        <w:t>3-1中小企业声明函（工程）</w:t>
      </w:r>
    </w:p>
    <w:p w14:paraId="4CB88DD9">
      <w:pPr>
        <w:tabs>
          <w:tab w:val="left" w:pos="1183"/>
          <w:tab w:val="left" w:pos="1484"/>
          <w:tab w:val="left" w:pos="4662"/>
          <w:tab w:val="left" w:pos="6903"/>
        </w:tabs>
        <w:spacing w:line="480" w:lineRule="exact"/>
        <w:ind w:firstLine="476" w:firstLineChars="200"/>
        <w:jc w:val="left"/>
        <w:rPr>
          <w:rFonts w:ascii="宋体" w:hAnsi="宋体" w:eastAsia="宋体" w:cs="宋体"/>
          <w:spacing w:val="5"/>
          <w:w w:val="95"/>
          <w:sz w:val="24"/>
          <w:lang w:bidi="zh-CN"/>
        </w:rPr>
      </w:pPr>
      <w:r>
        <w:rPr>
          <w:rFonts w:hint="eastAsia" w:ascii="宋体" w:hAnsi="宋体" w:eastAsia="宋体" w:cs="宋体"/>
          <w:spacing w:val="5"/>
          <w:w w:val="95"/>
          <w:sz w:val="24"/>
          <w:lang w:bidi="zh-CN"/>
        </w:rPr>
        <w:t>本公司（联合体）郑重声明，根据《政府采购促进中小企业发展管理办法》（财库﹝2020﹞46号）的规定，本公司（联合体）参加</w:t>
      </w:r>
      <w:r>
        <w:rPr>
          <w:rFonts w:hint="eastAsia" w:ascii="宋体" w:hAnsi="宋体" w:eastAsia="宋体" w:cs="宋体"/>
          <w:spacing w:val="5"/>
          <w:w w:val="95"/>
          <w:sz w:val="24"/>
          <w:u w:val="single"/>
          <w:lang w:val="zh-CN" w:bidi="zh-CN"/>
        </w:rPr>
        <w:t>（单位名称）</w:t>
      </w:r>
      <w:r>
        <w:rPr>
          <w:rFonts w:hint="eastAsia" w:ascii="宋体" w:hAnsi="宋体" w:eastAsia="宋体" w:cs="宋体"/>
          <w:spacing w:val="5"/>
          <w:w w:val="95"/>
          <w:sz w:val="24"/>
          <w:lang w:bidi="zh-CN"/>
        </w:rPr>
        <w:t>的</w:t>
      </w:r>
      <w:r>
        <w:rPr>
          <w:rFonts w:hint="eastAsia" w:ascii="宋体" w:hAnsi="宋体" w:eastAsia="宋体" w:cs="宋体"/>
          <w:spacing w:val="5"/>
          <w:w w:val="95"/>
          <w:sz w:val="24"/>
          <w:u w:val="single"/>
          <w:lang w:val="zh-CN" w:bidi="zh-CN"/>
        </w:rPr>
        <w:t>（项目名称）</w:t>
      </w:r>
      <w:r>
        <w:rPr>
          <w:rFonts w:hint="eastAsia" w:ascii="宋体" w:hAnsi="宋体" w:eastAsia="宋体" w:cs="宋体"/>
          <w:spacing w:val="5"/>
          <w:w w:val="95"/>
          <w:sz w:val="24"/>
          <w:lang w:bidi="zh-CN"/>
        </w:rPr>
        <w:t>采购活动，工程的施工单位全部为符合政策要求的中小企业。相关企业（含联合体中的中小企业、签订分包意向协议的中小企业）的具体情况如下：</w:t>
      </w:r>
    </w:p>
    <w:p w14:paraId="2370DD47">
      <w:pPr>
        <w:tabs>
          <w:tab w:val="left" w:pos="1183"/>
          <w:tab w:val="left" w:pos="1484"/>
          <w:tab w:val="left" w:pos="4662"/>
          <w:tab w:val="left" w:pos="6903"/>
        </w:tabs>
        <w:spacing w:line="480" w:lineRule="exact"/>
        <w:ind w:firstLine="476" w:firstLineChars="200"/>
        <w:jc w:val="left"/>
        <w:rPr>
          <w:rFonts w:ascii="宋体" w:hAnsi="宋体" w:eastAsia="宋体" w:cs="宋体"/>
          <w:sz w:val="24"/>
        </w:rPr>
      </w:pPr>
      <w:r>
        <w:rPr>
          <w:rFonts w:hint="eastAsia" w:ascii="宋体" w:hAnsi="宋体" w:eastAsia="宋体" w:cs="宋体"/>
          <w:spacing w:val="5"/>
          <w:w w:val="95"/>
          <w:sz w:val="24"/>
          <w:lang w:bidi="zh-CN"/>
        </w:rPr>
        <w:t>1.</w:t>
      </w:r>
      <w:r>
        <w:rPr>
          <w:rFonts w:hint="eastAsia" w:ascii="宋体" w:hAnsi="宋体" w:eastAsia="宋体" w:cs="宋体"/>
          <w:spacing w:val="5"/>
          <w:w w:val="95"/>
          <w:sz w:val="24"/>
          <w:u w:val="single"/>
          <w:lang w:val="zh-CN" w:bidi="zh-CN"/>
        </w:rPr>
        <w:t>（标的名称）</w:t>
      </w:r>
      <w:r>
        <w:rPr>
          <w:rFonts w:hint="eastAsia" w:ascii="宋体" w:hAnsi="宋体" w:eastAsia="宋体" w:cs="宋体"/>
          <w:i/>
          <w:sz w:val="24"/>
        </w:rPr>
        <w:t xml:space="preserve"> </w:t>
      </w:r>
      <w:r>
        <w:rPr>
          <w:rFonts w:hint="eastAsia" w:ascii="宋体" w:hAnsi="宋体" w:eastAsia="宋体" w:cs="宋体"/>
          <w:spacing w:val="-43"/>
          <w:sz w:val="24"/>
        </w:rPr>
        <w:t xml:space="preserve">， </w:t>
      </w:r>
      <w:r>
        <w:rPr>
          <w:rFonts w:hint="eastAsia" w:ascii="宋体" w:hAnsi="宋体" w:eastAsia="宋体" w:cs="宋体"/>
          <w:spacing w:val="7"/>
          <w:w w:val="99"/>
          <w:sz w:val="24"/>
          <w:lang w:val="zh-CN"/>
        </w:rPr>
        <w:t>属于</w:t>
      </w:r>
      <w:r>
        <w:rPr>
          <w:rFonts w:hint="eastAsia" w:ascii="宋体" w:hAnsi="宋体" w:eastAsia="宋体" w:cs="宋体"/>
          <w:spacing w:val="5"/>
          <w:w w:val="95"/>
          <w:sz w:val="24"/>
          <w:u w:val="single"/>
          <w:lang w:val="zh-CN" w:bidi="zh-CN"/>
        </w:rPr>
        <w:t>（采购文件中明确的所属行业）行业</w:t>
      </w:r>
      <w:r>
        <w:rPr>
          <w:rFonts w:hint="eastAsia" w:ascii="宋体" w:hAnsi="宋体" w:eastAsia="宋体" w:cs="宋体"/>
          <w:spacing w:val="7"/>
          <w:w w:val="99"/>
          <w:sz w:val="24"/>
        </w:rPr>
        <w:t>；</w:t>
      </w:r>
      <w:r>
        <w:rPr>
          <w:rFonts w:hint="eastAsia" w:ascii="宋体" w:hAnsi="宋体" w:eastAsia="宋体" w:cs="宋体"/>
          <w:spacing w:val="5"/>
          <w:w w:val="99"/>
          <w:sz w:val="24"/>
        </w:rPr>
        <w:t>承建企业</w:t>
      </w:r>
      <w:r>
        <w:rPr>
          <w:rFonts w:hint="eastAsia" w:ascii="宋体" w:hAnsi="宋体" w:eastAsia="宋体" w:cs="宋体"/>
          <w:spacing w:val="-10"/>
          <w:w w:val="99"/>
          <w:sz w:val="24"/>
        </w:rPr>
        <w:t>为</w:t>
      </w:r>
      <w:r>
        <w:rPr>
          <w:rFonts w:hint="eastAsia" w:ascii="宋体" w:hAnsi="宋体" w:eastAsia="宋体" w:cs="宋体"/>
          <w:spacing w:val="5"/>
          <w:w w:val="95"/>
          <w:sz w:val="24"/>
          <w:u w:val="single"/>
          <w:lang w:val="zh-CN" w:bidi="zh-CN"/>
        </w:rPr>
        <w:t>（企业名称）</w:t>
      </w:r>
      <w:r>
        <w:rPr>
          <w:rFonts w:hint="eastAsia" w:ascii="宋体" w:hAnsi="宋体" w:eastAsia="宋体" w:cs="宋体"/>
          <w:spacing w:val="5"/>
          <w:w w:val="95"/>
          <w:sz w:val="24"/>
          <w:lang w:val="zh-CN" w:bidi="zh-CN"/>
        </w:rPr>
        <w:t>，</w:t>
      </w:r>
      <w:r>
        <w:rPr>
          <w:rFonts w:hint="eastAsia" w:ascii="宋体" w:hAnsi="宋体" w:eastAsia="宋体" w:cs="宋体"/>
          <w:spacing w:val="5"/>
          <w:w w:val="99"/>
          <w:sz w:val="24"/>
        </w:rPr>
        <w:t>从</w:t>
      </w:r>
      <w:r>
        <w:rPr>
          <w:rFonts w:hint="eastAsia" w:ascii="宋体" w:hAnsi="宋体" w:eastAsia="宋体" w:cs="宋体"/>
          <w:spacing w:val="7"/>
          <w:w w:val="99"/>
          <w:sz w:val="24"/>
        </w:rPr>
        <w:t>业</w:t>
      </w:r>
      <w:r>
        <w:rPr>
          <w:rFonts w:hint="eastAsia" w:ascii="宋体" w:hAnsi="宋体" w:eastAsia="宋体" w:cs="宋体"/>
          <w:spacing w:val="5"/>
          <w:w w:val="99"/>
          <w:sz w:val="24"/>
        </w:rPr>
        <w:t>人</w:t>
      </w:r>
      <w:r>
        <w:rPr>
          <w:rFonts w:hint="eastAsia" w:ascii="宋体" w:hAnsi="宋体" w:eastAsia="宋体" w:cs="宋体"/>
          <w:spacing w:val="4"/>
          <w:w w:val="99"/>
          <w:sz w:val="24"/>
        </w:rPr>
        <w:t>员</w:t>
      </w:r>
      <w:r>
        <w:rPr>
          <w:rFonts w:hint="eastAsia" w:ascii="宋体" w:hAnsi="宋体" w:eastAsia="宋体" w:cs="宋体"/>
          <w:spacing w:val="4"/>
          <w:w w:val="99"/>
          <w:sz w:val="24"/>
          <w:u w:val="single"/>
        </w:rPr>
        <w:t xml:space="preserve">      </w:t>
      </w:r>
      <w:r>
        <w:rPr>
          <w:rFonts w:hint="eastAsia" w:ascii="宋体" w:hAnsi="宋体" w:eastAsia="宋体" w:cs="宋体"/>
          <w:spacing w:val="7"/>
          <w:w w:val="99"/>
          <w:sz w:val="24"/>
        </w:rPr>
        <w:t>人</w:t>
      </w:r>
      <w:r>
        <w:rPr>
          <w:rFonts w:hint="eastAsia" w:ascii="宋体" w:hAnsi="宋体" w:eastAsia="宋体" w:cs="宋体"/>
          <w:spacing w:val="5"/>
          <w:w w:val="99"/>
          <w:sz w:val="24"/>
        </w:rPr>
        <w:t>，</w:t>
      </w:r>
      <w:r>
        <w:rPr>
          <w:rFonts w:hint="eastAsia" w:ascii="宋体" w:hAnsi="宋体" w:eastAsia="宋体" w:cs="宋体"/>
          <w:spacing w:val="7"/>
          <w:w w:val="99"/>
          <w:sz w:val="24"/>
        </w:rPr>
        <w:t>营</w:t>
      </w:r>
      <w:r>
        <w:rPr>
          <w:rFonts w:hint="eastAsia" w:ascii="宋体" w:hAnsi="宋体" w:eastAsia="宋体" w:cs="宋体"/>
          <w:spacing w:val="5"/>
          <w:w w:val="99"/>
          <w:sz w:val="24"/>
        </w:rPr>
        <w:t>业</w:t>
      </w:r>
      <w:r>
        <w:rPr>
          <w:rFonts w:hint="eastAsia" w:ascii="宋体" w:hAnsi="宋体" w:eastAsia="宋体" w:cs="宋体"/>
          <w:spacing w:val="7"/>
          <w:w w:val="99"/>
          <w:sz w:val="24"/>
        </w:rPr>
        <w:t>收入为</w:t>
      </w:r>
      <w:r>
        <w:rPr>
          <w:rFonts w:hint="eastAsia" w:ascii="宋体" w:hAnsi="宋体" w:eastAsia="宋体" w:cs="宋体"/>
          <w:spacing w:val="4"/>
          <w:w w:val="99"/>
          <w:sz w:val="24"/>
          <w:u w:val="single"/>
        </w:rPr>
        <w:t xml:space="preserve">      </w:t>
      </w:r>
      <w:r>
        <w:rPr>
          <w:rFonts w:hint="eastAsia" w:ascii="宋体" w:hAnsi="宋体" w:eastAsia="宋体" w:cs="宋体"/>
          <w:sz w:val="24"/>
        </w:rPr>
        <w:t>万元</w:t>
      </w:r>
      <w:r>
        <w:rPr>
          <w:rFonts w:hint="eastAsia" w:ascii="宋体" w:hAnsi="宋体" w:eastAsia="宋体" w:cs="宋体"/>
          <w:spacing w:val="-22"/>
          <w:sz w:val="24"/>
        </w:rPr>
        <w:t>，</w:t>
      </w:r>
      <w:r>
        <w:rPr>
          <w:rFonts w:hint="eastAsia" w:ascii="宋体" w:hAnsi="宋体" w:eastAsia="宋体" w:cs="宋体"/>
          <w:sz w:val="24"/>
        </w:rPr>
        <w:t>资产总额为</w:t>
      </w:r>
      <w:r>
        <w:rPr>
          <w:rFonts w:hint="eastAsia" w:ascii="宋体" w:hAnsi="宋体" w:eastAsia="宋体" w:cs="宋体"/>
          <w:spacing w:val="4"/>
          <w:w w:val="99"/>
          <w:sz w:val="24"/>
          <w:u w:val="single"/>
        </w:rPr>
        <w:t xml:space="preserve">      </w:t>
      </w:r>
      <w:r>
        <w:rPr>
          <w:rFonts w:hint="eastAsia" w:ascii="宋体" w:hAnsi="宋体" w:eastAsia="宋体" w:cs="宋体"/>
          <w:w w:val="95"/>
          <w:sz w:val="24"/>
        </w:rPr>
        <w:t>万元</w:t>
      </w:r>
      <w:r>
        <w:rPr>
          <w:rFonts w:hint="eastAsia" w:ascii="宋体" w:hAnsi="宋体" w:eastAsia="宋体" w:cs="宋体"/>
          <w:spacing w:val="-12"/>
          <w:w w:val="95"/>
          <w:sz w:val="24"/>
        </w:rPr>
        <w:t>，</w:t>
      </w:r>
      <w:r>
        <w:rPr>
          <w:rFonts w:hint="eastAsia" w:ascii="宋体" w:hAnsi="宋体" w:eastAsia="宋体" w:cs="宋体"/>
          <w:spacing w:val="5"/>
          <w:w w:val="95"/>
          <w:sz w:val="24"/>
          <w:lang w:val="zh-CN" w:bidi="zh-CN"/>
        </w:rPr>
        <w:t>属于</w:t>
      </w:r>
      <w:r>
        <w:rPr>
          <w:rFonts w:hint="eastAsia" w:ascii="宋体" w:hAnsi="宋体" w:eastAsia="宋体" w:cs="宋体"/>
          <w:spacing w:val="5"/>
          <w:w w:val="95"/>
          <w:sz w:val="24"/>
          <w:u w:val="single"/>
          <w:lang w:val="zh-CN" w:bidi="zh-CN"/>
        </w:rPr>
        <w:t>（中型企业、小型企业、微型企业）</w:t>
      </w:r>
      <w:r>
        <w:rPr>
          <w:rFonts w:hint="eastAsia" w:ascii="宋体" w:hAnsi="宋体" w:eastAsia="宋体" w:cs="宋体"/>
          <w:spacing w:val="5"/>
          <w:w w:val="95"/>
          <w:sz w:val="24"/>
          <w:lang w:val="zh-CN" w:bidi="zh-CN"/>
        </w:rPr>
        <w:t>；</w:t>
      </w:r>
    </w:p>
    <w:p w14:paraId="48D3CC23">
      <w:pPr>
        <w:tabs>
          <w:tab w:val="left" w:pos="1183"/>
          <w:tab w:val="left" w:pos="1484"/>
          <w:tab w:val="left" w:pos="4662"/>
          <w:tab w:val="left" w:pos="6903"/>
        </w:tabs>
        <w:spacing w:line="480" w:lineRule="exact"/>
        <w:ind w:firstLine="476" w:firstLineChars="200"/>
        <w:jc w:val="left"/>
        <w:rPr>
          <w:rFonts w:ascii="宋体" w:hAnsi="宋体" w:eastAsia="宋体" w:cs="宋体"/>
          <w:spacing w:val="5"/>
          <w:w w:val="95"/>
          <w:sz w:val="24"/>
          <w:lang w:bidi="zh-CN"/>
        </w:rPr>
      </w:pPr>
      <w:r>
        <w:rPr>
          <w:rFonts w:hint="eastAsia" w:ascii="宋体" w:hAnsi="宋体" w:eastAsia="宋体" w:cs="宋体"/>
          <w:spacing w:val="5"/>
          <w:w w:val="95"/>
          <w:sz w:val="24"/>
          <w:lang w:bidi="zh-CN"/>
        </w:rPr>
        <w:t>2.</w:t>
      </w:r>
      <w:r>
        <w:rPr>
          <w:rFonts w:hint="eastAsia" w:ascii="宋体" w:hAnsi="宋体" w:eastAsia="宋体" w:cs="宋体"/>
          <w:spacing w:val="5"/>
          <w:w w:val="95"/>
          <w:sz w:val="24"/>
          <w:lang w:val="zh-CN" w:bidi="zh-CN"/>
        </w:rPr>
        <w:t xml:space="preserve"> </w:t>
      </w:r>
      <w:r>
        <w:rPr>
          <w:rFonts w:hint="eastAsia" w:ascii="宋体" w:hAnsi="宋体" w:eastAsia="宋体" w:cs="宋体"/>
          <w:spacing w:val="5"/>
          <w:w w:val="95"/>
          <w:sz w:val="24"/>
          <w:u w:val="single"/>
          <w:lang w:val="zh-CN" w:bidi="zh-CN"/>
        </w:rPr>
        <w:t>（标的名称）</w:t>
      </w:r>
      <w:r>
        <w:rPr>
          <w:rFonts w:hint="eastAsia" w:ascii="宋体" w:hAnsi="宋体" w:eastAsia="宋体" w:cs="宋体"/>
          <w:i/>
          <w:sz w:val="24"/>
        </w:rPr>
        <w:t xml:space="preserve"> </w:t>
      </w:r>
      <w:r>
        <w:rPr>
          <w:rFonts w:hint="eastAsia" w:ascii="宋体" w:hAnsi="宋体" w:eastAsia="宋体" w:cs="宋体"/>
          <w:spacing w:val="-43"/>
          <w:sz w:val="24"/>
        </w:rPr>
        <w:t xml:space="preserve">， </w:t>
      </w:r>
      <w:r>
        <w:rPr>
          <w:rFonts w:hint="eastAsia" w:ascii="宋体" w:hAnsi="宋体" w:eastAsia="宋体" w:cs="宋体"/>
          <w:spacing w:val="7"/>
          <w:w w:val="99"/>
          <w:sz w:val="24"/>
          <w:lang w:val="zh-CN"/>
        </w:rPr>
        <w:t>属于</w:t>
      </w:r>
      <w:r>
        <w:rPr>
          <w:rFonts w:hint="eastAsia" w:ascii="宋体" w:hAnsi="宋体" w:eastAsia="宋体" w:cs="宋体"/>
          <w:spacing w:val="5"/>
          <w:w w:val="95"/>
          <w:sz w:val="24"/>
          <w:u w:val="single"/>
          <w:lang w:val="zh-CN" w:bidi="zh-CN"/>
        </w:rPr>
        <w:t>（采购文件中明确的所属行业）行业</w:t>
      </w:r>
      <w:r>
        <w:rPr>
          <w:rFonts w:hint="eastAsia" w:ascii="宋体" w:hAnsi="宋体" w:eastAsia="宋体" w:cs="宋体"/>
          <w:spacing w:val="7"/>
          <w:w w:val="99"/>
          <w:sz w:val="24"/>
        </w:rPr>
        <w:t>；</w:t>
      </w:r>
      <w:r>
        <w:rPr>
          <w:rFonts w:hint="eastAsia" w:ascii="宋体" w:hAnsi="宋体" w:eastAsia="宋体" w:cs="宋体"/>
          <w:spacing w:val="5"/>
          <w:w w:val="99"/>
          <w:sz w:val="24"/>
        </w:rPr>
        <w:t>承建企业</w:t>
      </w:r>
      <w:r>
        <w:rPr>
          <w:rFonts w:hint="eastAsia" w:ascii="宋体" w:hAnsi="宋体" w:eastAsia="宋体" w:cs="宋体"/>
          <w:spacing w:val="-10"/>
          <w:w w:val="99"/>
          <w:sz w:val="24"/>
        </w:rPr>
        <w:t>为</w:t>
      </w:r>
      <w:r>
        <w:rPr>
          <w:rFonts w:hint="eastAsia" w:ascii="宋体" w:hAnsi="宋体" w:eastAsia="宋体" w:cs="宋体"/>
          <w:spacing w:val="5"/>
          <w:w w:val="95"/>
          <w:sz w:val="24"/>
          <w:u w:val="single"/>
          <w:lang w:val="zh-CN" w:bidi="zh-CN"/>
        </w:rPr>
        <w:t>（企业名称）</w:t>
      </w:r>
      <w:r>
        <w:rPr>
          <w:rFonts w:hint="eastAsia" w:ascii="宋体" w:hAnsi="宋体" w:eastAsia="宋体" w:cs="宋体"/>
          <w:spacing w:val="5"/>
          <w:w w:val="95"/>
          <w:sz w:val="24"/>
          <w:lang w:val="zh-CN" w:bidi="zh-CN"/>
        </w:rPr>
        <w:t>，</w:t>
      </w:r>
      <w:r>
        <w:rPr>
          <w:rFonts w:hint="eastAsia" w:ascii="宋体" w:hAnsi="宋体" w:eastAsia="宋体" w:cs="宋体"/>
          <w:spacing w:val="5"/>
          <w:w w:val="99"/>
          <w:sz w:val="24"/>
        </w:rPr>
        <w:t>从</w:t>
      </w:r>
      <w:r>
        <w:rPr>
          <w:rFonts w:hint="eastAsia" w:ascii="宋体" w:hAnsi="宋体" w:eastAsia="宋体" w:cs="宋体"/>
          <w:spacing w:val="7"/>
          <w:w w:val="99"/>
          <w:sz w:val="24"/>
        </w:rPr>
        <w:t>业</w:t>
      </w:r>
      <w:r>
        <w:rPr>
          <w:rFonts w:hint="eastAsia" w:ascii="宋体" w:hAnsi="宋体" w:eastAsia="宋体" w:cs="宋体"/>
          <w:spacing w:val="5"/>
          <w:w w:val="99"/>
          <w:sz w:val="24"/>
        </w:rPr>
        <w:t>人</w:t>
      </w:r>
      <w:r>
        <w:rPr>
          <w:rFonts w:hint="eastAsia" w:ascii="宋体" w:hAnsi="宋体" w:eastAsia="宋体" w:cs="宋体"/>
          <w:spacing w:val="4"/>
          <w:w w:val="99"/>
          <w:sz w:val="24"/>
        </w:rPr>
        <w:t>员</w:t>
      </w:r>
      <w:r>
        <w:rPr>
          <w:rFonts w:hint="eastAsia" w:ascii="宋体" w:hAnsi="宋体" w:eastAsia="宋体" w:cs="宋体"/>
          <w:spacing w:val="4"/>
          <w:w w:val="99"/>
          <w:sz w:val="24"/>
          <w:u w:val="single"/>
        </w:rPr>
        <w:t xml:space="preserve">      </w:t>
      </w:r>
      <w:r>
        <w:rPr>
          <w:rFonts w:hint="eastAsia" w:ascii="宋体" w:hAnsi="宋体" w:eastAsia="宋体" w:cs="宋体"/>
          <w:spacing w:val="7"/>
          <w:w w:val="99"/>
          <w:sz w:val="24"/>
        </w:rPr>
        <w:t>人</w:t>
      </w:r>
      <w:r>
        <w:rPr>
          <w:rFonts w:hint="eastAsia" w:ascii="宋体" w:hAnsi="宋体" w:eastAsia="宋体" w:cs="宋体"/>
          <w:spacing w:val="5"/>
          <w:w w:val="99"/>
          <w:sz w:val="24"/>
        </w:rPr>
        <w:t>，</w:t>
      </w:r>
      <w:r>
        <w:rPr>
          <w:rFonts w:hint="eastAsia" w:ascii="宋体" w:hAnsi="宋体" w:eastAsia="宋体" w:cs="宋体"/>
          <w:spacing w:val="7"/>
          <w:w w:val="99"/>
          <w:sz w:val="24"/>
        </w:rPr>
        <w:t>营</w:t>
      </w:r>
      <w:r>
        <w:rPr>
          <w:rFonts w:hint="eastAsia" w:ascii="宋体" w:hAnsi="宋体" w:eastAsia="宋体" w:cs="宋体"/>
          <w:spacing w:val="5"/>
          <w:w w:val="99"/>
          <w:sz w:val="24"/>
        </w:rPr>
        <w:t>业</w:t>
      </w:r>
      <w:r>
        <w:rPr>
          <w:rFonts w:hint="eastAsia" w:ascii="宋体" w:hAnsi="宋体" w:eastAsia="宋体" w:cs="宋体"/>
          <w:spacing w:val="7"/>
          <w:w w:val="99"/>
          <w:sz w:val="24"/>
        </w:rPr>
        <w:t>收入为</w:t>
      </w:r>
      <w:r>
        <w:rPr>
          <w:rFonts w:hint="eastAsia" w:ascii="宋体" w:hAnsi="宋体" w:eastAsia="宋体" w:cs="宋体"/>
          <w:spacing w:val="4"/>
          <w:w w:val="99"/>
          <w:sz w:val="24"/>
          <w:u w:val="single"/>
        </w:rPr>
        <w:t xml:space="preserve">      </w:t>
      </w:r>
      <w:r>
        <w:rPr>
          <w:rFonts w:hint="eastAsia" w:ascii="宋体" w:hAnsi="宋体" w:eastAsia="宋体" w:cs="宋体"/>
          <w:sz w:val="24"/>
        </w:rPr>
        <w:t>万元</w:t>
      </w:r>
      <w:r>
        <w:rPr>
          <w:rFonts w:hint="eastAsia" w:ascii="宋体" w:hAnsi="宋体" w:eastAsia="宋体" w:cs="宋体"/>
          <w:spacing w:val="-22"/>
          <w:sz w:val="24"/>
        </w:rPr>
        <w:t>，</w:t>
      </w:r>
      <w:r>
        <w:rPr>
          <w:rFonts w:hint="eastAsia" w:ascii="宋体" w:hAnsi="宋体" w:eastAsia="宋体" w:cs="宋体"/>
          <w:sz w:val="24"/>
        </w:rPr>
        <w:t>资产总额为</w:t>
      </w:r>
      <w:r>
        <w:rPr>
          <w:rFonts w:hint="eastAsia" w:ascii="宋体" w:hAnsi="宋体" w:eastAsia="宋体" w:cs="宋体"/>
          <w:spacing w:val="4"/>
          <w:w w:val="99"/>
          <w:sz w:val="24"/>
          <w:u w:val="single"/>
        </w:rPr>
        <w:t xml:space="preserve">      </w:t>
      </w:r>
      <w:r>
        <w:rPr>
          <w:rFonts w:hint="eastAsia" w:ascii="宋体" w:hAnsi="宋体" w:eastAsia="宋体" w:cs="宋体"/>
          <w:w w:val="95"/>
          <w:sz w:val="24"/>
        </w:rPr>
        <w:t>万元</w:t>
      </w:r>
      <w:r>
        <w:rPr>
          <w:rFonts w:hint="eastAsia" w:ascii="宋体" w:hAnsi="宋体" w:eastAsia="宋体" w:cs="宋体"/>
          <w:spacing w:val="-12"/>
          <w:w w:val="95"/>
          <w:sz w:val="24"/>
        </w:rPr>
        <w:t>，</w:t>
      </w:r>
      <w:r>
        <w:rPr>
          <w:rFonts w:hint="eastAsia" w:ascii="宋体" w:hAnsi="宋体" w:eastAsia="宋体" w:cs="宋体"/>
          <w:spacing w:val="5"/>
          <w:w w:val="95"/>
          <w:sz w:val="24"/>
          <w:lang w:val="zh-CN" w:bidi="zh-CN"/>
        </w:rPr>
        <w:t>属于</w:t>
      </w:r>
      <w:r>
        <w:rPr>
          <w:rFonts w:hint="eastAsia" w:ascii="宋体" w:hAnsi="宋体" w:eastAsia="宋体" w:cs="宋体"/>
          <w:spacing w:val="5"/>
          <w:w w:val="95"/>
          <w:sz w:val="24"/>
          <w:u w:val="single"/>
          <w:lang w:val="zh-CN" w:bidi="zh-CN"/>
        </w:rPr>
        <w:t>（中型企业、小型企业、微型企业）</w:t>
      </w:r>
      <w:r>
        <w:rPr>
          <w:rFonts w:hint="eastAsia" w:ascii="宋体" w:hAnsi="宋体" w:eastAsia="宋体" w:cs="宋体"/>
          <w:spacing w:val="5"/>
          <w:w w:val="95"/>
          <w:sz w:val="24"/>
          <w:lang w:val="zh-CN" w:bidi="zh-CN"/>
        </w:rPr>
        <w:t>；</w:t>
      </w:r>
    </w:p>
    <w:p w14:paraId="01DE88DE">
      <w:pPr>
        <w:tabs>
          <w:tab w:val="left" w:pos="1183"/>
          <w:tab w:val="left" w:pos="1484"/>
          <w:tab w:val="left" w:pos="4662"/>
          <w:tab w:val="left" w:pos="6903"/>
        </w:tabs>
        <w:spacing w:line="480" w:lineRule="exact"/>
        <w:ind w:firstLine="476" w:firstLineChars="200"/>
        <w:jc w:val="left"/>
        <w:rPr>
          <w:rFonts w:ascii="宋体" w:hAnsi="宋体" w:eastAsia="宋体" w:cs="宋体"/>
          <w:spacing w:val="5"/>
          <w:w w:val="95"/>
          <w:sz w:val="24"/>
          <w:lang w:bidi="zh-CN"/>
        </w:rPr>
      </w:pPr>
      <w:r>
        <w:rPr>
          <w:rFonts w:hint="eastAsia" w:ascii="宋体" w:hAnsi="宋体" w:eastAsia="宋体" w:cs="宋体"/>
          <w:spacing w:val="5"/>
          <w:w w:val="95"/>
          <w:sz w:val="24"/>
          <w:lang w:bidi="zh-CN"/>
        </w:rPr>
        <w:t>……</w:t>
      </w:r>
    </w:p>
    <w:p w14:paraId="26154E0F">
      <w:pPr>
        <w:tabs>
          <w:tab w:val="left" w:pos="1183"/>
          <w:tab w:val="left" w:pos="1484"/>
          <w:tab w:val="left" w:pos="4662"/>
          <w:tab w:val="left" w:pos="6903"/>
        </w:tabs>
        <w:spacing w:line="480" w:lineRule="exact"/>
        <w:ind w:firstLine="476" w:firstLineChars="200"/>
        <w:jc w:val="left"/>
        <w:rPr>
          <w:rFonts w:ascii="宋体" w:hAnsi="宋体" w:eastAsia="宋体" w:cs="宋体"/>
          <w:spacing w:val="5"/>
          <w:w w:val="95"/>
          <w:sz w:val="24"/>
          <w:lang w:bidi="zh-CN"/>
        </w:rPr>
      </w:pPr>
      <w:r>
        <w:rPr>
          <w:rFonts w:hint="eastAsia" w:ascii="宋体" w:hAnsi="宋体" w:eastAsia="宋体" w:cs="宋体"/>
          <w:spacing w:val="5"/>
          <w:w w:val="95"/>
          <w:sz w:val="24"/>
          <w:lang w:bidi="zh-CN"/>
        </w:rPr>
        <w:t>以上企业，不属于大企业的分支机构，不存在控股股东为大企业的情形，也不存在与大企业的负责人为同一人的情形。</w:t>
      </w:r>
    </w:p>
    <w:p w14:paraId="7241170D">
      <w:pPr>
        <w:widowControl/>
        <w:spacing w:beforeAutospacing="1" w:afterAutospacing="1" w:line="348" w:lineRule="atLeast"/>
        <w:ind w:firstLine="384"/>
        <w:jc w:val="left"/>
        <w:rPr>
          <w:rFonts w:ascii="宋体" w:hAnsi="宋体" w:eastAsia="宋体" w:cs="宋体"/>
          <w:sz w:val="24"/>
        </w:rPr>
      </w:pPr>
      <w:r>
        <w:rPr>
          <w:rFonts w:hint="eastAsia" w:ascii="宋体" w:hAnsi="宋体" w:eastAsia="宋体" w:cs="宋体"/>
          <w:spacing w:val="5"/>
          <w:w w:val="95"/>
          <w:sz w:val="24"/>
          <w:lang w:bidi="zh-CN"/>
        </w:rPr>
        <w:t>本企业对上述声明内容的真实性负责。如有虚假，将依法承担相应责任</w:t>
      </w:r>
      <w:r>
        <w:rPr>
          <w:rFonts w:hint="eastAsia" w:ascii="宋体" w:hAnsi="宋体" w:eastAsia="宋体" w:cs="宋体"/>
          <w:kern w:val="0"/>
          <w:sz w:val="24"/>
          <w:shd w:val="clear" w:color="auto" w:fill="FFFFFF"/>
          <w:lang w:bidi="ar"/>
        </w:rPr>
        <w:t>。</w:t>
      </w:r>
    </w:p>
    <w:p w14:paraId="1ADCCCEA">
      <w:pPr>
        <w:spacing w:line="360" w:lineRule="exact"/>
        <w:ind w:firstLine="480" w:firstLineChars="200"/>
        <w:rPr>
          <w:rFonts w:ascii="宋体" w:hAnsi="宋体" w:eastAsia="宋体" w:cs="宋体"/>
          <w:sz w:val="24"/>
        </w:rPr>
      </w:pPr>
    </w:p>
    <w:p w14:paraId="767E1E32">
      <w:pPr>
        <w:tabs>
          <w:tab w:val="left" w:pos="567"/>
        </w:tabs>
        <w:spacing w:before="120" w:line="360" w:lineRule="exact"/>
        <w:ind w:right="372" w:firstLine="3000" w:firstLineChars="1200"/>
        <w:rPr>
          <w:rFonts w:ascii="宋体" w:hAnsi="宋体" w:eastAsia="宋体" w:cs="宋体"/>
          <w:spacing w:val="11"/>
          <w:w w:val="95"/>
          <w:sz w:val="24"/>
        </w:rPr>
      </w:pPr>
      <w:r>
        <w:rPr>
          <w:rFonts w:hint="eastAsia" w:ascii="宋体" w:hAnsi="宋体" w:eastAsia="宋体" w:cs="宋体"/>
          <w:spacing w:val="11"/>
          <w:w w:val="95"/>
          <w:sz w:val="24"/>
        </w:rPr>
        <w:t>企业名称（盖章）：</w:t>
      </w:r>
      <w:r>
        <w:rPr>
          <w:rFonts w:hint="eastAsia" w:ascii="宋体" w:hAnsi="宋体" w:eastAsia="宋体" w:cs="宋体"/>
          <w:spacing w:val="11"/>
          <w:w w:val="95"/>
          <w:sz w:val="24"/>
          <w:u w:val="single"/>
        </w:rPr>
        <w:t xml:space="preserve">                  </w:t>
      </w:r>
    </w:p>
    <w:p w14:paraId="3DF8A587">
      <w:pPr>
        <w:tabs>
          <w:tab w:val="left" w:pos="567"/>
        </w:tabs>
        <w:spacing w:before="120" w:line="360" w:lineRule="exact"/>
        <w:ind w:right="372" w:firstLine="3000" w:firstLineChars="1200"/>
        <w:rPr>
          <w:rFonts w:ascii="宋体" w:hAnsi="宋体" w:eastAsia="宋体" w:cs="宋体"/>
          <w:spacing w:val="11"/>
          <w:w w:val="95"/>
          <w:sz w:val="24"/>
        </w:rPr>
      </w:pPr>
      <w:r>
        <w:rPr>
          <w:rFonts w:hint="eastAsia" w:ascii="宋体" w:hAnsi="宋体" w:eastAsia="宋体" w:cs="宋体"/>
          <w:spacing w:val="11"/>
          <w:w w:val="95"/>
          <w:sz w:val="24"/>
        </w:rPr>
        <w:t>日期：</w:t>
      </w:r>
      <w:r>
        <w:rPr>
          <w:rFonts w:hint="eastAsia" w:ascii="宋体" w:hAnsi="宋体" w:eastAsia="宋体" w:cs="宋体"/>
          <w:spacing w:val="11"/>
          <w:w w:val="95"/>
          <w:sz w:val="24"/>
          <w:u w:val="single"/>
        </w:rPr>
        <w:t xml:space="preserve">                     </w:t>
      </w:r>
    </w:p>
    <w:p w14:paraId="4698EF79">
      <w:pPr>
        <w:rPr>
          <w:rFonts w:ascii="宋体" w:hAnsi="宋体" w:eastAsia="宋体" w:cs="宋体"/>
          <w:sz w:val="24"/>
        </w:rPr>
      </w:pPr>
    </w:p>
    <w:p w14:paraId="2CDEDCA5">
      <w:pPr>
        <w:tabs>
          <w:tab w:val="left" w:pos="567"/>
        </w:tabs>
        <w:spacing w:before="120" w:line="520" w:lineRule="exact"/>
        <w:ind w:right="372"/>
        <w:rPr>
          <w:rFonts w:ascii="宋体" w:hAnsi="宋体" w:eastAsia="宋体" w:cs="宋体"/>
          <w:b/>
          <w:bCs/>
          <w:spacing w:val="11"/>
          <w:w w:val="95"/>
          <w:sz w:val="32"/>
          <w:szCs w:val="32"/>
        </w:rPr>
      </w:pPr>
      <w:r>
        <w:rPr>
          <w:rFonts w:hint="eastAsia" w:ascii="宋体" w:hAnsi="宋体" w:eastAsia="宋体" w:cs="宋体"/>
          <w:b/>
          <w:bCs/>
          <w:spacing w:val="11"/>
          <w:w w:val="95"/>
          <w:sz w:val="32"/>
          <w:szCs w:val="32"/>
        </w:rPr>
        <w:t>本项目所属行业为</w:t>
      </w:r>
      <w:r>
        <w:rPr>
          <w:rFonts w:hint="eastAsia" w:ascii="宋体" w:hAnsi="宋体" w:eastAsia="宋体" w:cs="宋体"/>
          <w:b/>
          <w:bCs/>
          <w:color w:val="FF0000"/>
          <w:spacing w:val="11"/>
          <w:w w:val="95"/>
          <w:sz w:val="32"/>
          <w:szCs w:val="32"/>
        </w:rPr>
        <w:t>建筑业。</w:t>
      </w:r>
    </w:p>
    <w:p w14:paraId="4B86436B">
      <w:pPr>
        <w:tabs>
          <w:tab w:val="left" w:pos="567"/>
        </w:tabs>
        <w:spacing w:before="120"/>
        <w:ind w:right="372"/>
        <w:rPr>
          <w:rFonts w:ascii="宋体" w:hAnsi="宋体" w:eastAsia="宋体" w:cs="宋体"/>
          <w:b/>
          <w:bCs/>
          <w:spacing w:val="11"/>
          <w:w w:val="95"/>
          <w:szCs w:val="21"/>
        </w:rPr>
      </w:pPr>
      <w:r>
        <w:rPr>
          <w:rFonts w:hint="eastAsia" w:ascii="宋体" w:hAnsi="宋体" w:eastAsia="宋体" w:cs="宋体"/>
          <w:b/>
          <w:bCs/>
          <w:spacing w:val="11"/>
          <w:w w:val="95"/>
          <w:szCs w:val="21"/>
        </w:rPr>
        <w:t>注：</w:t>
      </w:r>
    </w:p>
    <w:p w14:paraId="40E4E450">
      <w:pPr>
        <w:tabs>
          <w:tab w:val="left" w:pos="567"/>
        </w:tabs>
        <w:spacing w:before="120"/>
        <w:ind w:right="372"/>
        <w:rPr>
          <w:rFonts w:ascii="宋体" w:hAnsi="宋体" w:eastAsia="宋体" w:cs="宋体"/>
          <w:b/>
          <w:bCs/>
          <w:spacing w:val="11"/>
          <w:w w:val="95"/>
          <w:szCs w:val="21"/>
        </w:rPr>
      </w:pPr>
      <w:r>
        <w:rPr>
          <w:rFonts w:hint="eastAsia" w:ascii="宋体" w:hAnsi="宋体" w:eastAsia="宋体" w:cs="宋体"/>
          <w:b/>
          <w:bCs/>
          <w:spacing w:val="11"/>
          <w:w w:val="95"/>
          <w:szCs w:val="21"/>
        </w:rPr>
        <w:t>（1）从业人员、营业收入、资产总额填报上一年度数据，无上一年度数据的新成立企业可不填报。</w:t>
      </w:r>
    </w:p>
    <w:p w14:paraId="17E43D00">
      <w:pPr>
        <w:tabs>
          <w:tab w:val="left" w:pos="567"/>
        </w:tabs>
        <w:spacing w:before="120"/>
        <w:ind w:right="372"/>
        <w:rPr>
          <w:rFonts w:ascii="宋体" w:hAnsi="宋体" w:eastAsia="宋体" w:cs="宋体"/>
          <w:b/>
          <w:bCs/>
          <w:spacing w:val="11"/>
          <w:w w:val="95"/>
          <w:szCs w:val="21"/>
        </w:rPr>
      </w:pPr>
      <w:r>
        <w:rPr>
          <w:rFonts w:hint="eastAsia" w:ascii="宋体" w:hAnsi="宋体" w:eastAsia="宋体" w:cs="宋体"/>
          <w:b/>
          <w:bCs/>
          <w:spacing w:val="11"/>
          <w:w w:val="95"/>
          <w:szCs w:val="21"/>
        </w:rPr>
        <w:t>（2）潜在投标企业属于中小微企业的，请在投标文件中提供“中小企业声明函”，如果未提供或提供虚假的“中小企业声明函”，投标企业将承担由此造成的一切不利后果。</w:t>
      </w:r>
    </w:p>
    <w:p w14:paraId="73CE1204">
      <w:pPr>
        <w:rPr>
          <w:rFonts w:ascii="宋体" w:hAnsi="宋体" w:eastAsia="宋体" w:cs="宋体"/>
          <w:b/>
          <w:bCs/>
          <w:sz w:val="22"/>
          <w:szCs w:val="22"/>
        </w:rPr>
      </w:pPr>
      <w:bookmarkStart w:id="1891" w:name="_Toc5609"/>
      <w:bookmarkStart w:id="1892" w:name="_Toc26643"/>
      <w:bookmarkStart w:id="1893" w:name="_Toc12692"/>
      <w:bookmarkStart w:id="1894" w:name="_Toc4543"/>
      <w:bookmarkStart w:id="1895" w:name="_Toc2709"/>
      <w:bookmarkStart w:id="1896" w:name="_Toc752"/>
      <w:bookmarkStart w:id="1897" w:name="_Toc11803"/>
      <w:bookmarkStart w:id="1898" w:name="_Toc12060"/>
      <w:bookmarkStart w:id="1899" w:name="_Toc7018"/>
      <w:bookmarkStart w:id="1900" w:name="_Toc28055"/>
      <w:bookmarkStart w:id="1901" w:name="_Toc18860"/>
      <w:bookmarkStart w:id="1902" w:name="_Toc10977"/>
      <w:bookmarkStart w:id="1903" w:name="_Toc29115"/>
      <w:bookmarkStart w:id="1904" w:name="_Toc515647824"/>
      <w:bookmarkStart w:id="1905" w:name="_Toc22307"/>
      <w:r>
        <w:rPr>
          <w:rFonts w:hint="eastAsia" w:ascii="宋体" w:hAnsi="宋体" w:eastAsia="宋体" w:cs="宋体"/>
          <w:b/>
          <w:bCs/>
          <w:sz w:val="22"/>
          <w:szCs w:val="22"/>
        </w:rPr>
        <w:br w:type="page"/>
      </w:r>
    </w:p>
    <w:p w14:paraId="05EA6DB3">
      <w:pPr>
        <w:spacing w:line="400" w:lineRule="exact"/>
        <w:jc w:val="left"/>
        <w:rPr>
          <w:rFonts w:ascii="宋体" w:hAnsi="宋体" w:eastAsia="宋体" w:cs="宋体"/>
          <w:b/>
          <w:bCs/>
          <w:kern w:val="0"/>
          <w:szCs w:val="21"/>
        </w:rPr>
      </w:pPr>
      <w:r>
        <w:rPr>
          <w:rFonts w:hint="eastAsia" w:ascii="宋体" w:hAnsi="宋体" w:eastAsia="宋体" w:cs="宋体"/>
          <w:b/>
          <w:bCs/>
          <w:kern w:val="0"/>
          <w:szCs w:val="21"/>
        </w:rPr>
        <w:t>附：</w:t>
      </w:r>
    </w:p>
    <w:p w14:paraId="693D76DE">
      <w:pPr>
        <w:spacing w:line="400" w:lineRule="exact"/>
        <w:jc w:val="center"/>
        <w:rPr>
          <w:rFonts w:ascii="宋体" w:hAnsi="宋体" w:eastAsia="宋体" w:cs="宋体"/>
          <w:b/>
          <w:bCs/>
          <w:kern w:val="0"/>
          <w:szCs w:val="21"/>
        </w:rPr>
      </w:pPr>
      <w:r>
        <w:rPr>
          <w:rFonts w:hint="eastAsia" w:ascii="宋体" w:hAnsi="宋体" w:eastAsia="宋体" w:cs="宋体"/>
          <w:b/>
          <w:bCs/>
          <w:kern w:val="0"/>
          <w:szCs w:val="21"/>
        </w:rPr>
        <w:t>中小微企业划型标准</w:t>
      </w:r>
    </w:p>
    <w:tbl>
      <w:tblPr>
        <w:tblStyle w:val="28"/>
        <w:tblW w:w="9378" w:type="dxa"/>
        <w:jc w:val="center"/>
        <w:tblLayout w:type="fixed"/>
        <w:tblCellMar>
          <w:top w:w="0" w:type="dxa"/>
          <w:left w:w="108" w:type="dxa"/>
          <w:bottom w:w="0" w:type="dxa"/>
          <w:right w:w="108" w:type="dxa"/>
        </w:tblCellMar>
      </w:tblPr>
      <w:tblGrid>
        <w:gridCol w:w="1570"/>
        <w:gridCol w:w="1660"/>
        <w:gridCol w:w="1466"/>
        <w:gridCol w:w="1903"/>
        <w:gridCol w:w="1692"/>
        <w:gridCol w:w="1087"/>
      </w:tblGrid>
      <w:tr w14:paraId="5188E4D1">
        <w:tblPrEx>
          <w:tblCellMar>
            <w:top w:w="0" w:type="dxa"/>
            <w:left w:w="108" w:type="dxa"/>
            <w:bottom w:w="0" w:type="dxa"/>
            <w:right w:w="108" w:type="dxa"/>
          </w:tblCellMar>
        </w:tblPrEx>
        <w:trPr>
          <w:trHeight w:val="252" w:hRule="atLeast"/>
          <w:jc w:val="center"/>
        </w:trPr>
        <w:tc>
          <w:tcPr>
            <w:tcW w:w="1570" w:type="dxa"/>
            <w:tcBorders>
              <w:top w:val="single" w:color="auto" w:sz="4" w:space="0"/>
              <w:left w:val="single" w:color="auto" w:sz="4" w:space="0"/>
              <w:bottom w:val="single" w:color="auto" w:sz="4" w:space="0"/>
              <w:right w:val="single" w:color="auto" w:sz="4" w:space="0"/>
            </w:tcBorders>
            <w:vAlign w:val="center"/>
          </w:tcPr>
          <w:p w14:paraId="089F2671">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行业名称</w:t>
            </w:r>
          </w:p>
        </w:tc>
        <w:tc>
          <w:tcPr>
            <w:tcW w:w="1660" w:type="dxa"/>
            <w:tcBorders>
              <w:top w:val="single" w:color="auto" w:sz="4" w:space="0"/>
              <w:left w:val="nil"/>
              <w:bottom w:val="single" w:color="auto" w:sz="4" w:space="0"/>
              <w:right w:val="single" w:color="auto" w:sz="4" w:space="0"/>
            </w:tcBorders>
            <w:vAlign w:val="center"/>
          </w:tcPr>
          <w:p w14:paraId="38AF71B0">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指标名称</w:t>
            </w:r>
          </w:p>
        </w:tc>
        <w:tc>
          <w:tcPr>
            <w:tcW w:w="1466" w:type="dxa"/>
            <w:tcBorders>
              <w:top w:val="single" w:color="auto" w:sz="4" w:space="0"/>
              <w:left w:val="nil"/>
              <w:bottom w:val="single" w:color="auto" w:sz="4" w:space="0"/>
              <w:right w:val="single" w:color="auto" w:sz="4" w:space="0"/>
            </w:tcBorders>
            <w:vAlign w:val="center"/>
          </w:tcPr>
          <w:p w14:paraId="602DE3AA">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计量单位</w:t>
            </w:r>
          </w:p>
        </w:tc>
        <w:tc>
          <w:tcPr>
            <w:tcW w:w="1903" w:type="dxa"/>
            <w:tcBorders>
              <w:top w:val="single" w:color="auto" w:sz="4" w:space="0"/>
              <w:left w:val="nil"/>
              <w:bottom w:val="single" w:color="auto" w:sz="4" w:space="0"/>
              <w:right w:val="single" w:color="auto" w:sz="4" w:space="0"/>
            </w:tcBorders>
            <w:vAlign w:val="center"/>
          </w:tcPr>
          <w:p w14:paraId="33F7EC7F">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中型</w:t>
            </w:r>
          </w:p>
        </w:tc>
        <w:tc>
          <w:tcPr>
            <w:tcW w:w="1692" w:type="dxa"/>
            <w:tcBorders>
              <w:top w:val="single" w:color="auto" w:sz="4" w:space="0"/>
              <w:left w:val="nil"/>
              <w:bottom w:val="single" w:color="auto" w:sz="4" w:space="0"/>
              <w:right w:val="single" w:color="auto" w:sz="4" w:space="0"/>
            </w:tcBorders>
            <w:vAlign w:val="center"/>
          </w:tcPr>
          <w:p w14:paraId="5DC2916C">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小型</w:t>
            </w:r>
          </w:p>
        </w:tc>
        <w:tc>
          <w:tcPr>
            <w:tcW w:w="1087" w:type="dxa"/>
            <w:tcBorders>
              <w:top w:val="single" w:color="auto" w:sz="4" w:space="0"/>
              <w:left w:val="nil"/>
              <w:bottom w:val="single" w:color="auto" w:sz="4" w:space="0"/>
              <w:right w:val="single" w:color="auto" w:sz="4" w:space="0"/>
            </w:tcBorders>
            <w:vAlign w:val="center"/>
          </w:tcPr>
          <w:p w14:paraId="3BD577DD">
            <w:pPr>
              <w:widowControl/>
              <w:snapToGrid w:val="0"/>
              <w:spacing w:line="320" w:lineRule="exact"/>
              <w:contextualSpacing/>
              <w:jc w:val="center"/>
              <w:rPr>
                <w:rFonts w:ascii="宋体" w:hAnsi="宋体" w:eastAsia="宋体" w:cs="宋体"/>
                <w:b/>
                <w:kern w:val="0"/>
                <w:szCs w:val="21"/>
              </w:rPr>
            </w:pPr>
            <w:r>
              <w:rPr>
                <w:rFonts w:hint="eastAsia" w:ascii="宋体" w:hAnsi="宋体" w:eastAsia="宋体" w:cs="宋体"/>
                <w:b/>
                <w:kern w:val="0"/>
                <w:szCs w:val="21"/>
              </w:rPr>
              <w:t>微型</w:t>
            </w:r>
          </w:p>
        </w:tc>
      </w:tr>
      <w:tr w14:paraId="24ABDDD7">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6B8358DE">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农、林、牧、渔</w:t>
            </w:r>
          </w:p>
        </w:tc>
        <w:tc>
          <w:tcPr>
            <w:tcW w:w="1660" w:type="dxa"/>
            <w:tcBorders>
              <w:top w:val="nil"/>
              <w:left w:val="nil"/>
              <w:bottom w:val="single" w:color="auto" w:sz="4" w:space="0"/>
              <w:right w:val="single" w:color="auto" w:sz="4" w:space="0"/>
            </w:tcBorders>
            <w:vAlign w:val="center"/>
          </w:tcPr>
          <w:p w14:paraId="06B504E9">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1958084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4CD2C1C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500≤Y＜20000</w:t>
            </w:r>
          </w:p>
        </w:tc>
        <w:tc>
          <w:tcPr>
            <w:tcW w:w="1692" w:type="dxa"/>
            <w:tcBorders>
              <w:top w:val="nil"/>
              <w:left w:val="nil"/>
              <w:bottom w:val="single" w:color="auto" w:sz="4" w:space="0"/>
              <w:right w:val="single" w:color="auto" w:sz="4" w:space="0"/>
            </w:tcBorders>
            <w:vAlign w:val="center"/>
          </w:tcPr>
          <w:p w14:paraId="22C6474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50≤Y＜500</w:t>
            </w:r>
          </w:p>
        </w:tc>
        <w:tc>
          <w:tcPr>
            <w:tcW w:w="1087" w:type="dxa"/>
            <w:tcBorders>
              <w:top w:val="nil"/>
              <w:left w:val="nil"/>
              <w:bottom w:val="single" w:color="auto" w:sz="4" w:space="0"/>
              <w:right w:val="single" w:color="auto" w:sz="4" w:space="0"/>
            </w:tcBorders>
            <w:vAlign w:val="center"/>
          </w:tcPr>
          <w:p w14:paraId="67684F4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Y＜50</w:t>
            </w:r>
          </w:p>
        </w:tc>
      </w:tr>
      <w:tr w14:paraId="486D492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80D32F0">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工业</w:t>
            </w:r>
          </w:p>
          <w:p w14:paraId="6B255BDC">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kern w:val="0"/>
                <w:szCs w:val="21"/>
              </w:rPr>
              <w:t>（包括采矿业，制造业，电力、热力、燃气及水生产和供应业）</w:t>
            </w:r>
          </w:p>
        </w:tc>
        <w:tc>
          <w:tcPr>
            <w:tcW w:w="1660" w:type="dxa"/>
            <w:tcBorders>
              <w:top w:val="nil"/>
              <w:left w:val="nil"/>
              <w:bottom w:val="single" w:color="auto" w:sz="4" w:space="0"/>
              <w:right w:val="single" w:color="auto" w:sz="4" w:space="0"/>
            </w:tcBorders>
            <w:vAlign w:val="center"/>
          </w:tcPr>
          <w:p w14:paraId="74E0005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44CDBD9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6A2D70C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300≤X＜1000</w:t>
            </w:r>
          </w:p>
        </w:tc>
        <w:tc>
          <w:tcPr>
            <w:tcW w:w="1692" w:type="dxa"/>
            <w:tcBorders>
              <w:top w:val="nil"/>
              <w:left w:val="nil"/>
              <w:bottom w:val="single" w:color="auto" w:sz="4" w:space="0"/>
              <w:right w:val="single" w:color="auto" w:sz="4" w:space="0"/>
            </w:tcBorders>
            <w:vAlign w:val="center"/>
          </w:tcPr>
          <w:p w14:paraId="5A700E9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20≤X＜300</w:t>
            </w:r>
          </w:p>
        </w:tc>
        <w:tc>
          <w:tcPr>
            <w:tcW w:w="1087" w:type="dxa"/>
            <w:tcBorders>
              <w:top w:val="nil"/>
              <w:left w:val="nil"/>
              <w:bottom w:val="single" w:color="auto" w:sz="4" w:space="0"/>
              <w:right w:val="single" w:color="auto" w:sz="4" w:space="0"/>
            </w:tcBorders>
            <w:vAlign w:val="center"/>
          </w:tcPr>
          <w:p w14:paraId="06F290D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X＜20</w:t>
            </w:r>
          </w:p>
        </w:tc>
      </w:tr>
      <w:tr w14:paraId="459BDE06">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5121CAF3">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2E97F38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3A55358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64A975E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2000≤Y＜40000</w:t>
            </w:r>
          </w:p>
        </w:tc>
        <w:tc>
          <w:tcPr>
            <w:tcW w:w="1692" w:type="dxa"/>
            <w:tcBorders>
              <w:top w:val="nil"/>
              <w:left w:val="nil"/>
              <w:bottom w:val="single" w:color="auto" w:sz="4" w:space="0"/>
              <w:right w:val="single" w:color="auto" w:sz="4" w:space="0"/>
            </w:tcBorders>
            <w:vAlign w:val="center"/>
          </w:tcPr>
          <w:p w14:paraId="558F1AE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300≤Y＜2000</w:t>
            </w:r>
          </w:p>
        </w:tc>
        <w:tc>
          <w:tcPr>
            <w:tcW w:w="1087" w:type="dxa"/>
            <w:tcBorders>
              <w:top w:val="nil"/>
              <w:left w:val="nil"/>
              <w:bottom w:val="single" w:color="auto" w:sz="4" w:space="0"/>
              <w:right w:val="single" w:color="auto" w:sz="4" w:space="0"/>
            </w:tcBorders>
            <w:vAlign w:val="center"/>
          </w:tcPr>
          <w:p w14:paraId="5CBE770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Y＜300</w:t>
            </w:r>
          </w:p>
        </w:tc>
      </w:tr>
      <w:tr w14:paraId="2D0DDB7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3E165170">
            <w:pPr>
              <w:widowControl/>
              <w:snapToGrid w:val="0"/>
              <w:spacing w:line="320" w:lineRule="exact"/>
              <w:contextualSpacing/>
              <w:jc w:val="center"/>
              <w:rPr>
                <w:rFonts w:ascii="宋体" w:hAnsi="宋体" w:eastAsia="宋体" w:cs="宋体"/>
                <w:b/>
                <w:bCs/>
                <w:color w:val="FF0000"/>
                <w:kern w:val="0"/>
                <w:szCs w:val="21"/>
              </w:rPr>
            </w:pPr>
            <w:r>
              <w:rPr>
                <w:rFonts w:hint="eastAsia" w:ascii="宋体" w:hAnsi="宋体" w:eastAsia="宋体" w:cs="宋体"/>
                <w:b/>
                <w:bCs/>
                <w:color w:val="FF0000"/>
                <w:kern w:val="0"/>
                <w:szCs w:val="21"/>
              </w:rPr>
              <w:t>建筑业</w:t>
            </w:r>
          </w:p>
        </w:tc>
        <w:tc>
          <w:tcPr>
            <w:tcW w:w="1660" w:type="dxa"/>
            <w:tcBorders>
              <w:top w:val="nil"/>
              <w:left w:val="nil"/>
              <w:bottom w:val="single" w:color="auto" w:sz="4" w:space="0"/>
              <w:right w:val="single" w:color="auto" w:sz="4" w:space="0"/>
            </w:tcBorders>
            <w:vAlign w:val="center"/>
          </w:tcPr>
          <w:p w14:paraId="1AA99AA6">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营业收入（Y）</w:t>
            </w:r>
          </w:p>
        </w:tc>
        <w:tc>
          <w:tcPr>
            <w:tcW w:w="1466" w:type="dxa"/>
            <w:tcBorders>
              <w:top w:val="nil"/>
              <w:left w:val="nil"/>
              <w:bottom w:val="single" w:color="auto" w:sz="4" w:space="0"/>
              <w:right w:val="single" w:color="auto" w:sz="4" w:space="0"/>
            </w:tcBorders>
            <w:vAlign w:val="center"/>
          </w:tcPr>
          <w:p w14:paraId="59C8482B">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万元</w:t>
            </w:r>
          </w:p>
        </w:tc>
        <w:tc>
          <w:tcPr>
            <w:tcW w:w="1903" w:type="dxa"/>
            <w:tcBorders>
              <w:top w:val="nil"/>
              <w:left w:val="nil"/>
              <w:bottom w:val="single" w:color="auto" w:sz="4" w:space="0"/>
              <w:right w:val="single" w:color="auto" w:sz="4" w:space="0"/>
            </w:tcBorders>
            <w:vAlign w:val="center"/>
          </w:tcPr>
          <w:p w14:paraId="559B4A68">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6000≤Y＜80000</w:t>
            </w:r>
          </w:p>
        </w:tc>
        <w:tc>
          <w:tcPr>
            <w:tcW w:w="1692" w:type="dxa"/>
            <w:tcBorders>
              <w:top w:val="nil"/>
              <w:left w:val="nil"/>
              <w:bottom w:val="single" w:color="auto" w:sz="4" w:space="0"/>
              <w:right w:val="single" w:color="auto" w:sz="4" w:space="0"/>
            </w:tcBorders>
            <w:vAlign w:val="center"/>
          </w:tcPr>
          <w:p w14:paraId="60629609">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300≤Y＜6000</w:t>
            </w:r>
          </w:p>
        </w:tc>
        <w:tc>
          <w:tcPr>
            <w:tcW w:w="1087" w:type="dxa"/>
            <w:tcBorders>
              <w:top w:val="nil"/>
              <w:left w:val="nil"/>
              <w:bottom w:val="single" w:color="auto" w:sz="4" w:space="0"/>
              <w:right w:val="single" w:color="auto" w:sz="4" w:space="0"/>
            </w:tcBorders>
            <w:vAlign w:val="center"/>
          </w:tcPr>
          <w:p w14:paraId="5C30BC16">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Y＜300</w:t>
            </w:r>
          </w:p>
        </w:tc>
      </w:tr>
      <w:tr w14:paraId="330BF06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2866ECB">
            <w:pPr>
              <w:widowControl/>
              <w:snapToGrid w:val="0"/>
              <w:spacing w:line="320" w:lineRule="exact"/>
              <w:contextualSpacing/>
              <w:jc w:val="center"/>
              <w:rPr>
                <w:rFonts w:ascii="宋体" w:hAnsi="宋体" w:eastAsia="宋体" w:cs="宋体"/>
                <w:b/>
                <w:bCs/>
                <w:color w:val="FF0000"/>
                <w:kern w:val="0"/>
                <w:szCs w:val="21"/>
              </w:rPr>
            </w:pPr>
          </w:p>
        </w:tc>
        <w:tc>
          <w:tcPr>
            <w:tcW w:w="1660" w:type="dxa"/>
            <w:tcBorders>
              <w:top w:val="nil"/>
              <w:left w:val="nil"/>
              <w:bottom w:val="single" w:color="auto" w:sz="4" w:space="0"/>
              <w:right w:val="single" w:color="auto" w:sz="4" w:space="0"/>
            </w:tcBorders>
            <w:vAlign w:val="center"/>
          </w:tcPr>
          <w:p w14:paraId="4F7106E9">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资产总额（Z）</w:t>
            </w:r>
          </w:p>
        </w:tc>
        <w:tc>
          <w:tcPr>
            <w:tcW w:w="1466" w:type="dxa"/>
            <w:tcBorders>
              <w:top w:val="nil"/>
              <w:left w:val="nil"/>
              <w:bottom w:val="single" w:color="auto" w:sz="4" w:space="0"/>
              <w:right w:val="single" w:color="auto" w:sz="4" w:space="0"/>
            </w:tcBorders>
            <w:vAlign w:val="center"/>
          </w:tcPr>
          <w:p w14:paraId="03B63056">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万元</w:t>
            </w:r>
          </w:p>
        </w:tc>
        <w:tc>
          <w:tcPr>
            <w:tcW w:w="1903" w:type="dxa"/>
            <w:tcBorders>
              <w:top w:val="nil"/>
              <w:left w:val="nil"/>
              <w:bottom w:val="single" w:color="auto" w:sz="4" w:space="0"/>
              <w:right w:val="single" w:color="auto" w:sz="4" w:space="0"/>
            </w:tcBorders>
            <w:vAlign w:val="center"/>
          </w:tcPr>
          <w:p w14:paraId="12491A3A">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5000≤Z＜80000</w:t>
            </w:r>
          </w:p>
        </w:tc>
        <w:tc>
          <w:tcPr>
            <w:tcW w:w="1692" w:type="dxa"/>
            <w:tcBorders>
              <w:top w:val="nil"/>
              <w:left w:val="nil"/>
              <w:bottom w:val="single" w:color="auto" w:sz="4" w:space="0"/>
              <w:right w:val="single" w:color="auto" w:sz="4" w:space="0"/>
            </w:tcBorders>
            <w:vAlign w:val="center"/>
          </w:tcPr>
          <w:p w14:paraId="47CAE976">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300≤Z＜5000</w:t>
            </w:r>
          </w:p>
        </w:tc>
        <w:tc>
          <w:tcPr>
            <w:tcW w:w="1087" w:type="dxa"/>
            <w:tcBorders>
              <w:top w:val="nil"/>
              <w:left w:val="nil"/>
              <w:bottom w:val="single" w:color="auto" w:sz="4" w:space="0"/>
              <w:right w:val="single" w:color="auto" w:sz="4" w:space="0"/>
            </w:tcBorders>
            <w:vAlign w:val="center"/>
          </w:tcPr>
          <w:p w14:paraId="14A7D78C">
            <w:pPr>
              <w:widowControl/>
              <w:snapToGrid w:val="0"/>
              <w:spacing w:line="320" w:lineRule="exact"/>
              <w:contextualSpacing/>
              <w:jc w:val="center"/>
              <w:rPr>
                <w:rFonts w:ascii="宋体" w:hAnsi="宋体" w:eastAsia="宋体" w:cs="宋体"/>
                <w:color w:val="FF0000"/>
                <w:kern w:val="0"/>
                <w:szCs w:val="21"/>
              </w:rPr>
            </w:pPr>
            <w:r>
              <w:rPr>
                <w:rFonts w:hint="eastAsia" w:ascii="宋体" w:hAnsi="宋体" w:eastAsia="宋体" w:cs="宋体"/>
                <w:color w:val="FF0000"/>
                <w:kern w:val="0"/>
                <w:szCs w:val="21"/>
              </w:rPr>
              <w:t>Z＜300</w:t>
            </w:r>
          </w:p>
        </w:tc>
      </w:tr>
      <w:tr w14:paraId="77DC5A9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5767A93">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批发业</w:t>
            </w:r>
          </w:p>
        </w:tc>
        <w:tc>
          <w:tcPr>
            <w:tcW w:w="1660" w:type="dxa"/>
            <w:tcBorders>
              <w:top w:val="nil"/>
              <w:left w:val="nil"/>
              <w:bottom w:val="single" w:color="auto" w:sz="4" w:space="0"/>
              <w:right w:val="single" w:color="auto" w:sz="4" w:space="0"/>
            </w:tcBorders>
            <w:vAlign w:val="center"/>
          </w:tcPr>
          <w:p w14:paraId="0D1D0BB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6C23474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2BE2EAF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20≤X＜200</w:t>
            </w:r>
          </w:p>
        </w:tc>
        <w:tc>
          <w:tcPr>
            <w:tcW w:w="1692" w:type="dxa"/>
            <w:tcBorders>
              <w:top w:val="nil"/>
              <w:left w:val="nil"/>
              <w:bottom w:val="single" w:color="auto" w:sz="4" w:space="0"/>
              <w:right w:val="single" w:color="auto" w:sz="4" w:space="0"/>
            </w:tcBorders>
            <w:vAlign w:val="center"/>
          </w:tcPr>
          <w:p w14:paraId="12F8C9D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5≤X＜20</w:t>
            </w:r>
          </w:p>
        </w:tc>
        <w:tc>
          <w:tcPr>
            <w:tcW w:w="1087" w:type="dxa"/>
            <w:tcBorders>
              <w:top w:val="nil"/>
              <w:left w:val="nil"/>
              <w:bottom w:val="single" w:color="auto" w:sz="4" w:space="0"/>
              <w:right w:val="single" w:color="auto" w:sz="4" w:space="0"/>
            </w:tcBorders>
            <w:vAlign w:val="center"/>
          </w:tcPr>
          <w:p w14:paraId="6FB841F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X＜5</w:t>
            </w:r>
          </w:p>
        </w:tc>
      </w:tr>
      <w:tr w14:paraId="1B4D229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E2D9C48">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3970AB5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68A91159">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3C3CBAA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5000≤Y＜40000</w:t>
            </w:r>
          </w:p>
        </w:tc>
        <w:tc>
          <w:tcPr>
            <w:tcW w:w="1692" w:type="dxa"/>
            <w:tcBorders>
              <w:top w:val="nil"/>
              <w:left w:val="nil"/>
              <w:bottom w:val="single" w:color="auto" w:sz="4" w:space="0"/>
              <w:right w:val="single" w:color="auto" w:sz="4" w:space="0"/>
            </w:tcBorders>
            <w:vAlign w:val="center"/>
          </w:tcPr>
          <w:p w14:paraId="494B465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1000≤Y＜5000</w:t>
            </w:r>
          </w:p>
        </w:tc>
        <w:tc>
          <w:tcPr>
            <w:tcW w:w="1087" w:type="dxa"/>
            <w:tcBorders>
              <w:top w:val="nil"/>
              <w:left w:val="nil"/>
              <w:bottom w:val="single" w:color="auto" w:sz="4" w:space="0"/>
              <w:right w:val="single" w:color="auto" w:sz="4" w:space="0"/>
            </w:tcBorders>
            <w:vAlign w:val="center"/>
          </w:tcPr>
          <w:p w14:paraId="62196A7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Y＜1000</w:t>
            </w:r>
          </w:p>
        </w:tc>
      </w:tr>
      <w:tr w14:paraId="0E2D0871">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4DD4129A">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零售业</w:t>
            </w:r>
          </w:p>
        </w:tc>
        <w:tc>
          <w:tcPr>
            <w:tcW w:w="1660" w:type="dxa"/>
            <w:tcBorders>
              <w:top w:val="nil"/>
              <w:left w:val="nil"/>
              <w:bottom w:val="single" w:color="auto" w:sz="4" w:space="0"/>
              <w:right w:val="single" w:color="auto" w:sz="4" w:space="0"/>
            </w:tcBorders>
            <w:vAlign w:val="center"/>
          </w:tcPr>
          <w:p w14:paraId="49B3E1B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512E847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466CBC4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50≤X＜300</w:t>
            </w:r>
          </w:p>
        </w:tc>
        <w:tc>
          <w:tcPr>
            <w:tcW w:w="1692" w:type="dxa"/>
            <w:tcBorders>
              <w:top w:val="nil"/>
              <w:left w:val="nil"/>
              <w:bottom w:val="single" w:color="auto" w:sz="4" w:space="0"/>
              <w:right w:val="single" w:color="auto" w:sz="4" w:space="0"/>
            </w:tcBorders>
            <w:vAlign w:val="center"/>
          </w:tcPr>
          <w:p w14:paraId="651BE2B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10≤X＜50</w:t>
            </w:r>
          </w:p>
        </w:tc>
        <w:tc>
          <w:tcPr>
            <w:tcW w:w="1087" w:type="dxa"/>
            <w:tcBorders>
              <w:top w:val="nil"/>
              <w:left w:val="nil"/>
              <w:bottom w:val="single" w:color="auto" w:sz="4" w:space="0"/>
              <w:right w:val="single" w:color="auto" w:sz="4" w:space="0"/>
            </w:tcBorders>
            <w:vAlign w:val="center"/>
          </w:tcPr>
          <w:p w14:paraId="7698157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1385675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3F8A300">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3C0D1D3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5B91C85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938B56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500≤Y＜20000</w:t>
            </w:r>
          </w:p>
        </w:tc>
        <w:tc>
          <w:tcPr>
            <w:tcW w:w="1692" w:type="dxa"/>
            <w:tcBorders>
              <w:top w:val="nil"/>
              <w:left w:val="nil"/>
              <w:bottom w:val="single" w:color="auto" w:sz="4" w:space="0"/>
              <w:right w:val="single" w:color="auto" w:sz="4" w:space="0"/>
            </w:tcBorders>
            <w:vAlign w:val="center"/>
          </w:tcPr>
          <w:p w14:paraId="7E31B61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100≤Y＜500</w:t>
            </w:r>
          </w:p>
        </w:tc>
        <w:tc>
          <w:tcPr>
            <w:tcW w:w="1087" w:type="dxa"/>
            <w:tcBorders>
              <w:top w:val="nil"/>
              <w:left w:val="nil"/>
              <w:bottom w:val="single" w:color="auto" w:sz="4" w:space="0"/>
              <w:right w:val="single" w:color="auto" w:sz="4" w:space="0"/>
            </w:tcBorders>
            <w:vAlign w:val="center"/>
          </w:tcPr>
          <w:p w14:paraId="2231BBB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10932E3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B12F43C">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交通运输业</w:t>
            </w:r>
          </w:p>
          <w:p w14:paraId="371A937C">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kern w:val="0"/>
                <w:szCs w:val="21"/>
              </w:rPr>
              <w:t>（不含铁路运输业）</w:t>
            </w:r>
          </w:p>
        </w:tc>
        <w:tc>
          <w:tcPr>
            <w:tcW w:w="1660" w:type="dxa"/>
            <w:tcBorders>
              <w:top w:val="nil"/>
              <w:left w:val="nil"/>
              <w:bottom w:val="single" w:color="auto" w:sz="4" w:space="0"/>
              <w:right w:val="single" w:color="auto" w:sz="4" w:space="0"/>
            </w:tcBorders>
            <w:vAlign w:val="center"/>
          </w:tcPr>
          <w:p w14:paraId="63AA857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193E8EF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57222C4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300≤X＜1000</w:t>
            </w:r>
          </w:p>
        </w:tc>
        <w:tc>
          <w:tcPr>
            <w:tcW w:w="1692" w:type="dxa"/>
            <w:tcBorders>
              <w:top w:val="nil"/>
              <w:left w:val="nil"/>
              <w:bottom w:val="single" w:color="auto" w:sz="4" w:space="0"/>
              <w:right w:val="single" w:color="auto" w:sz="4" w:space="0"/>
            </w:tcBorders>
            <w:vAlign w:val="center"/>
          </w:tcPr>
          <w:p w14:paraId="185BB33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20≤X＜300</w:t>
            </w:r>
          </w:p>
        </w:tc>
        <w:tc>
          <w:tcPr>
            <w:tcW w:w="1087" w:type="dxa"/>
            <w:tcBorders>
              <w:top w:val="nil"/>
              <w:left w:val="nil"/>
              <w:bottom w:val="single" w:color="auto" w:sz="4" w:space="0"/>
              <w:right w:val="single" w:color="auto" w:sz="4" w:space="0"/>
            </w:tcBorders>
            <w:vAlign w:val="center"/>
          </w:tcPr>
          <w:p w14:paraId="09C0281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X＜20</w:t>
            </w:r>
          </w:p>
        </w:tc>
      </w:tr>
      <w:tr w14:paraId="41ACEA8B">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65CABD5">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3A7760B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0AD8C42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4D4DE5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3000≤Y＜30000</w:t>
            </w:r>
          </w:p>
        </w:tc>
        <w:tc>
          <w:tcPr>
            <w:tcW w:w="1692" w:type="dxa"/>
            <w:tcBorders>
              <w:top w:val="nil"/>
              <w:left w:val="nil"/>
              <w:bottom w:val="single" w:color="auto" w:sz="4" w:space="0"/>
              <w:right w:val="single" w:color="auto" w:sz="4" w:space="0"/>
            </w:tcBorders>
            <w:vAlign w:val="center"/>
          </w:tcPr>
          <w:p w14:paraId="0CEC7A3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200≤Y＜3000</w:t>
            </w:r>
          </w:p>
        </w:tc>
        <w:tc>
          <w:tcPr>
            <w:tcW w:w="1087" w:type="dxa"/>
            <w:tcBorders>
              <w:top w:val="nil"/>
              <w:left w:val="nil"/>
              <w:bottom w:val="single" w:color="auto" w:sz="4" w:space="0"/>
              <w:right w:val="single" w:color="auto" w:sz="4" w:space="0"/>
            </w:tcBorders>
            <w:vAlign w:val="center"/>
          </w:tcPr>
          <w:p w14:paraId="17B6F5F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Y＜200</w:t>
            </w:r>
          </w:p>
        </w:tc>
      </w:tr>
      <w:tr w14:paraId="4229BCD3">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71F5B51">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仓储业</w:t>
            </w:r>
          </w:p>
        </w:tc>
        <w:tc>
          <w:tcPr>
            <w:tcW w:w="1660" w:type="dxa"/>
            <w:tcBorders>
              <w:top w:val="nil"/>
              <w:left w:val="nil"/>
              <w:bottom w:val="single" w:color="auto" w:sz="4" w:space="0"/>
              <w:right w:val="single" w:color="auto" w:sz="4" w:space="0"/>
            </w:tcBorders>
            <w:vAlign w:val="center"/>
          </w:tcPr>
          <w:p w14:paraId="353E32F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6C26A04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069FC75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100≤X＜200</w:t>
            </w:r>
          </w:p>
        </w:tc>
        <w:tc>
          <w:tcPr>
            <w:tcW w:w="1692" w:type="dxa"/>
            <w:tcBorders>
              <w:top w:val="nil"/>
              <w:left w:val="nil"/>
              <w:bottom w:val="single" w:color="auto" w:sz="4" w:space="0"/>
              <w:right w:val="single" w:color="auto" w:sz="4" w:space="0"/>
            </w:tcBorders>
            <w:vAlign w:val="center"/>
          </w:tcPr>
          <w:p w14:paraId="2A68499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20≤X＜100</w:t>
            </w:r>
          </w:p>
        </w:tc>
        <w:tc>
          <w:tcPr>
            <w:tcW w:w="1087" w:type="dxa"/>
            <w:tcBorders>
              <w:top w:val="nil"/>
              <w:left w:val="nil"/>
              <w:bottom w:val="single" w:color="auto" w:sz="4" w:space="0"/>
              <w:right w:val="single" w:color="auto" w:sz="4" w:space="0"/>
            </w:tcBorders>
            <w:vAlign w:val="center"/>
          </w:tcPr>
          <w:p w14:paraId="3D19D0D9">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X＜20</w:t>
            </w:r>
          </w:p>
        </w:tc>
      </w:tr>
      <w:tr w14:paraId="729E924A">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5FF07FA">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4C24EE5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1F76448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37903DE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1000≤Y＜30000</w:t>
            </w:r>
          </w:p>
        </w:tc>
        <w:tc>
          <w:tcPr>
            <w:tcW w:w="1692" w:type="dxa"/>
            <w:tcBorders>
              <w:top w:val="nil"/>
              <w:left w:val="nil"/>
              <w:bottom w:val="single" w:color="auto" w:sz="4" w:space="0"/>
              <w:right w:val="single" w:color="auto" w:sz="4" w:space="0"/>
            </w:tcBorders>
            <w:vAlign w:val="center"/>
          </w:tcPr>
          <w:p w14:paraId="0CB74BA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100≤Y＜1000</w:t>
            </w:r>
          </w:p>
        </w:tc>
        <w:tc>
          <w:tcPr>
            <w:tcW w:w="1087" w:type="dxa"/>
            <w:tcBorders>
              <w:top w:val="nil"/>
              <w:left w:val="nil"/>
              <w:bottom w:val="single" w:color="auto" w:sz="4" w:space="0"/>
              <w:right w:val="single" w:color="auto" w:sz="4" w:space="0"/>
            </w:tcBorders>
            <w:vAlign w:val="center"/>
          </w:tcPr>
          <w:p w14:paraId="596BF83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2A4A2CE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440ACF5">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邮政业</w:t>
            </w:r>
          </w:p>
        </w:tc>
        <w:tc>
          <w:tcPr>
            <w:tcW w:w="1660" w:type="dxa"/>
            <w:tcBorders>
              <w:top w:val="nil"/>
              <w:left w:val="nil"/>
              <w:bottom w:val="single" w:color="auto" w:sz="4" w:space="0"/>
              <w:right w:val="single" w:color="auto" w:sz="4" w:space="0"/>
            </w:tcBorders>
            <w:vAlign w:val="center"/>
          </w:tcPr>
          <w:p w14:paraId="3E4DBAF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11FD872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44F0D51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300≤X＜1000</w:t>
            </w:r>
          </w:p>
        </w:tc>
        <w:tc>
          <w:tcPr>
            <w:tcW w:w="1692" w:type="dxa"/>
            <w:tcBorders>
              <w:top w:val="nil"/>
              <w:left w:val="nil"/>
              <w:bottom w:val="single" w:color="auto" w:sz="4" w:space="0"/>
              <w:right w:val="single" w:color="auto" w:sz="4" w:space="0"/>
            </w:tcBorders>
            <w:vAlign w:val="center"/>
          </w:tcPr>
          <w:p w14:paraId="5E0B6D6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20≤X＜300</w:t>
            </w:r>
          </w:p>
        </w:tc>
        <w:tc>
          <w:tcPr>
            <w:tcW w:w="1087" w:type="dxa"/>
            <w:tcBorders>
              <w:top w:val="nil"/>
              <w:left w:val="nil"/>
              <w:bottom w:val="single" w:color="auto" w:sz="4" w:space="0"/>
              <w:right w:val="single" w:color="auto" w:sz="4" w:space="0"/>
            </w:tcBorders>
            <w:vAlign w:val="center"/>
          </w:tcPr>
          <w:p w14:paraId="3C23B62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X＜20</w:t>
            </w:r>
          </w:p>
        </w:tc>
      </w:tr>
      <w:tr w14:paraId="2A2D39A1">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7933EC82">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6C920899">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3FA8C6D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34ACF06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2000≤Y＜30000</w:t>
            </w:r>
          </w:p>
        </w:tc>
        <w:tc>
          <w:tcPr>
            <w:tcW w:w="1692" w:type="dxa"/>
            <w:tcBorders>
              <w:top w:val="nil"/>
              <w:left w:val="nil"/>
              <w:bottom w:val="single" w:color="auto" w:sz="4" w:space="0"/>
              <w:right w:val="single" w:color="auto" w:sz="4" w:space="0"/>
            </w:tcBorders>
            <w:vAlign w:val="center"/>
          </w:tcPr>
          <w:p w14:paraId="4FBE972E">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100≤Y＜2000</w:t>
            </w:r>
          </w:p>
        </w:tc>
        <w:tc>
          <w:tcPr>
            <w:tcW w:w="1087" w:type="dxa"/>
            <w:tcBorders>
              <w:top w:val="nil"/>
              <w:left w:val="nil"/>
              <w:bottom w:val="single" w:color="auto" w:sz="4" w:space="0"/>
              <w:right w:val="single" w:color="auto" w:sz="4" w:space="0"/>
            </w:tcBorders>
            <w:vAlign w:val="center"/>
          </w:tcPr>
          <w:p w14:paraId="3C94D72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6F8831CE">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9597BF1">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住宿业</w:t>
            </w:r>
          </w:p>
        </w:tc>
        <w:tc>
          <w:tcPr>
            <w:tcW w:w="1660" w:type="dxa"/>
            <w:tcBorders>
              <w:top w:val="nil"/>
              <w:left w:val="nil"/>
              <w:bottom w:val="single" w:color="auto" w:sz="4" w:space="0"/>
              <w:right w:val="single" w:color="auto" w:sz="4" w:space="0"/>
            </w:tcBorders>
            <w:vAlign w:val="center"/>
          </w:tcPr>
          <w:p w14:paraId="7BC507E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4B0D204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1074455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692" w:type="dxa"/>
            <w:tcBorders>
              <w:top w:val="nil"/>
              <w:left w:val="nil"/>
              <w:bottom w:val="single" w:color="auto" w:sz="4" w:space="0"/>
              <w:right w:val="single" w:color="auto" w:sz="4" w:space="0"/>
            </w:tcBorders>
            <w:vAlign w:val="center"/>
          </w:tcPr>
          <w:p w14:paraId="087BE09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1CAB864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6678B8F5">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AF7C157">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11D7A01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15BE5B8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49FD0C7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2000≤Y＜10000</w:t>
            </w:r>
          </w:p>
        </w:tc>
        <w:tc>
          <w:tcPr>
            <w:tcW w:w="1692" w:type="dxa"/>
            <w:tcBorders>
              <w:top w:val="nil"/>
              <w:left w:val="nil"/>
              <w:bottom w:val="single" w:color="auto" w:sz="4" w:space="0"/>
              <w:right w:val="single" w:color="auto" w:sz="4" w:space="0"/>
            </w:tcBorders>
            <w:vAlign w:val="center"/>
          </w:tcPr>
          <w:p w14:paraId="476EFD9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100≤Y＜2000</w:t>
            </w:r>
          </w:p>
        </w:tc>
        <w:tc>
          <w:tcPr>
            <w:tcW w:w="1087" w:type="dxa"/>
            <w:tcBorders>
              <w:top w:val="nil"/>
              <w:left w:val="nil"/>
              <w:bottom w:val="single" w:color="auto" w:sz="4" w:space="0"/>
              <w:right w:val="single" w:color="auto" w:sz="4" w:space="0"/>
            </w:tcBorders>
            <w:vAlign w:val="center"/>
          </w:tcPr>
          <w:p w14:paraId="410700E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6468F80C">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7680DC5">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餐饮业</w:t>
            </w:r>
          </w:p>
        </w:tc>
        <w:tc>
          <w:tcPr>
            <w:tcW w:w="1660" w:type="dxa"/>
            <w:tcBorders>
              <w:top w:val="nil"/>
              <w:left w:val="nil"/>
              <w:bottom w:val="single" w:color="auto" w:sz="4" w:space="0"/>
              <w:right w:val="single" w:color="auto" w:sz="4" w:space="0"/>
            </w:tcBorders>
            <w:vAlign w:val="center"/>
          </w:tcPr>
          <w:p w14:paraId="27805D8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670A0A3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2821A15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692" w:type="dxa"/>
            <w:tcBorders>
              <w:top w:val="nil"/>
              <w:left w:val="nil"/>
              <w:bottom w:val="single" w:color="auto" w:sz="4" w:space="0"/>
              <w:right w:val="single" w:color="auto" w:sz="4" w:space="0"/>
            </w:tcBorders>
            <w:vAlign w:val="center"/>
          </w:tcPr>
          <w:p w14:paraId="48377C7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747038D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6AFC280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34B7BB91">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4093E6F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37C2FA5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085183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2000≤Y＜10000</w:t>
            </w:r>
          </w:p>
        </w:tc>
        <w:tc>
          <w:tcPr>
            <w:tcW w:w="1692" w:type="dxa"/>
            <w:tcBorders>
              <w:top w:val="nil"/>
              <w:left w:val="nil"/>
              <w:bottom w:val="single" w:color="auto" w:sz="4" w:space="0"/>
              <w:right w:val="single" w:color="auto" w:sz="4" w:space="0"/>
            </w:tcBorders>
            <w:vAlign w:val="center"/>
          </w:tcPr>
          <w:p w14:paraId="01ADF11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100≤Y＜2000</w:t>
            </w:r>
          </w:p>
        </w:tc>
        <w:tc>
          <w:tcPr>
            <w:tcW w:w="1087" w:type="dxa"/>
            <w:tcBorders>
              <w:top w:val="nil"/>
              <w:left w:val="nil"/>
              <w:bottom w:val="single" w:color="auto" w:sz="4" w:space="0"/>
              <w:right w:val="single" w:color="auto" w:sz="4" w:space="0"/>
            </w:tcBorders>
            <w:vAlign w:val="center"/>
          </w:tcPr>
          <w:p w14:paraId="43FAAEC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75C877A4">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04515A67">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信息传输业</w:t>
            </w:r>
          </w:p>
          <w:p w14:paraId="3F7AD1C7">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kern w:val="0"/>
                <w:szCs w:val="21"/>
              </w:rPr>
              <w:t>（包括电信、互联网和相关服务）</w:t>
            </w:r>
          </w:p>
        </w:tc>
        <w:tc>
          <w:tcPr>
            <w:tcW w:w="1660" w:type="dxa"/>
            <w:tcBorders>
              <w:top w:val="nil"/>
              <w:left w:val="nil"/>
              <w:bottom w:val="single" w:color="auto" w:sz="4" w:space="0"/>
              <w:right w:val="single" w:color="auto" w:sz="4" w:space="0"/>
            </w:tcBorders>
            <w:vAlign w:val="center"/>
          </w:tcPr>
          <w:p w14:paraId="39DDBD6D">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416018B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541A9B3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100≤X＜2000</w:t>
            </w:r>
          </w:p>
        </w:tc>
        <w:tc>
          <w:tcPr>
            <w:tcW w:w="1692" w:type="dxa"/>
            <w:tcBorders>
              <w:top w:val="nil"/>
              <w:left w:val="nil"/>
              <w:bottom w:val="single" w:color="auto" w:sz="4" w:space="0"/>
              <w:right w:val="single" w:color="auto" w:sz="4" w:space="0"/>
            </w:tcBorders>
            <w:vAlign w:val="center"/>
          </w:tcPr>
          <w:p w14:paraId="779BC94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2A8EE73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14B48C6C">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0FD6068B">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340204E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6176DFB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650A917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1000≤Y＜100000</w:t>
            </w:r>
          </w:p>
        </w:tc>
        <w:tc>
          <w:tcPr>
            <w:tcW w:w="1692" w:type="dxa"/>
            <w:tcBorders>
              <w:top w:val="nil"/>
              <w:left w:val="nil"/>
              <w:bottom w:val="single" w:color="auto" w:sz="4" w:space="0"/>
              <w:right w:val="single" w:color="auto" w:sz="4" w:space="0"/>
            </w:tcBorders>
            <w:vAlign w:val="center"/>
          </w:tcPr>
          <w:p w14:paraId="6E0554B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100≤Y＜1000</w:t>
            </w:r>
          </w:p>
        </w:tc>
        <w:tc>
          <w:tcPr>
            <w:tcW w:w="1087" w:type="dxa"/>
            <w:tcBorders>
              <w:top w:val="nil"/>
              <w:left w:val="nil"/>
              <w:bottom w:val="single" w:color="auto" w:sz="4" w:space="0"/>
              <w:right w:val="single" w:color="auto" w:sz="4" w:space="0"/>
            </w:tcBorders>
            <w:vAlign w:val="center"/>
          </w:tcPr>
          <w:p w14:paraId="276D97F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2EF6EE98">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CC0CB23">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软件和信息技术服务业</w:t>
            </w:r>
          </w:p>
        </w:tc>
        <w:tc>
          <w:tcPr>
            <w:tcW w:w="1660" w:type="dxa"/>
            <w:tcBorders>
              <w:top w:val="nil"/>
              <w:left w:val="nil"/>
              <w:bottom w:val="single" w:color="auto" w:sz="4" w:space="0"/>
              <w:right w:val="single" w:color="auto" w:sz="4" w:space="0"/>
            </w:tcBorders>
            <w:vAlign w:val="center"/>
          </w:tcPr>
          <w:p w14:paraId="18E9CF1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5DDBD07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67A1C99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692" w:type="dxa"/>
            <w:tcBorders>
              <w:top w:val="nil"/>
              <w:left w:val="nil"/>
              <w:bottom w:val="single" w:color="auto" w:sz="4" w:space="0"/>
              <w:right w:val="single" w:color="auto" w:sz="4" w:space="0"/>
            </w:tcBorders>
            <w:vAlign w:val="center"/>
          </w:tcPr>
          <w:p w14:paraId="5EDFE52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493B6EC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540C8C9D">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405EBCCF">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1EF668C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6ADF436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659DFF6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1000≤Y＜10000</w:t>
            </w:r>
          </w:p>
        </w:tc>
        <w:tc>
          <w:tcPr>
            <w:tcW w:w="1692" w:type="dxa"/>
            <w:tcBorders>
              <w:top w:val="nil"/>
              <w:left w:val="nil"/>
              <w:bottom w:val="single" w:color="auto" w:sz="4" w:space="0"/>
              <w:right w:val="single" w:color="auto" w:sz="4" w:space="0"/>
            </w:tcBorders>
            <w:vAlign w:val="center"/>
          </w:tcPr>
          <w:p w14:paraId="6E92873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50≤Y＜1000</w:t>
            </w:r>
          </w:p>
        </w:tc>
        <w:tc>
          <w:tcPr>
            <w:tcW w:w="1087" w:type="dxa"/>
            <w:tcBorders>
              <w:top w:val="nil"/>
              <w:left w:val="nil"/>
              <w:bottom w:val="single" w:color="auto" w:sz="4" w:space="0"/>
              <w:right w:val="single" w:color="auto" w:sz="4" w:space="0"/>
            </w:tcBorders>
            <w:vAlign w:val="center"/>
          </w:tcPr>
          <w:p w14:paraId="1BAAFB8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Y＜50</w:t>
            </w:r>
          </w:p>
        </w:tc>
      </w:tr>
      <w:tr w14:paraId="0E8EA5F7">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152C0E33">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房地产开发经营</w:t>
            </w:r>
          </w:p>
        </w:tc>
        <w:tc>
          <w:tcPr>
            <w:tcW w:w="1660" w:type="dxa"/>
            <w:tcBorders>
              <w:top w:val="nil"/>
              <w:left w:val="nil"/>
              <w:bottom w:val="single" w:color="auto" w:sz="4" w:space="0"/>
              <w:right w:val="single" w:color="auto" w:sz="4" w:space="0"/>
            </w:tcBorders>
            <w:vAlign w:val="center"/>
          </w:tcPr>
          <w:p w14:paraId="6DC6BEB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039F086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31A1A8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1000≤Y＜200000</w:t>
            </w:r>
          </w:p>
        </w:tc>
        <w:tc>
          <w:tcPr>
            <w:tcW w:w="1692" w:type="dxa"/>
            <w:tcBorders>
              <w:top w:val="nil"/>
              <w:left w:val="nil"/>
              <w:bottom w:val="single" w:color="auto" w:sz="4" w:space="0"/>
              <w:right w:val="single" w:color="auto" w:sz="4" w:space="0"/>
            </w:tcBorders>
            <w:vAlign w:val="center"/>
          </w:tcPr>
          <w:p w14:paraId="25B0D7A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100≤X＜1000</w:t>
            </w:r>
          </w:p>
        </w:tc>
        <w:tc>
          <w:tcPr>
            <w:tcW w:w="1087" w:type="dxa"/>
            <w:tcBorders>
              <w:top w:val="nil"/>
              <w:left w:val="nil"/>
              <w:bottom w:val="single" w:color="auto" w:sz="4" w:space="0"/>
              <w:right w:val="single" w:color="auto" w:sz="4" w:space="0"/>
            </w:tcBorders>
            <w:vAlign w:val="center"/>
          </w:tcPr>
          <w:p w14:paraId="2F6268D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X＜100</w:t>
            </w:r>
          </w:p>
        </w:tc>
      </w:tr>
      <w:tr w14:paraId="66283A70">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229C0ED7">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4F819F3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资产总额（Z）</w:t>
            </w:r>
          </w:p>
        </w:tc>
        <w:tc>
          <w:tcPr>
            <w:tcW w:w="1466" w:type="dxa"/>
            <w:tcBorders>
              <w:top w:val="nil"/>
              <w:left w:val="nil"/>
              <w:bottom w:val="single" w:color="auto" w:sz="4" w:space="0"/>
              <w:right w:val="single" w:color="auto" w:sz="4" w:space="0"/>
            </w:tcBorders>
            <w:vAlign w:val="center"/>
          </w:tcPr>
          <w:p w14:paraId="0F008D3C">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09CC05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5000≤Z＜10000</w:t>
            </w:r>
          </w:p>
        </w:tc>
        <w:tc>
          <w:tcPr>
            <w:tcW w:w="1692" w:type="dxa"/>
            <w:tcBorders>
              <w:top w:val="nil"/>
              <w:left w:val="nil"/>
              <w:bottom w:val="single" w:color="auto" w:sz="4" w:space="0"/>
              <w:right w:val="single" w:color="auto" w:sz="4" w:space="0"/>
            </w:tcBorders>
            <w:vAlign w:val="center"/>
          </w:tcPr>
          <w:p w14:paraId="039AACB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2000≤Y＜5000</w:t>
            </w:r>
          </w:p>
        </w:tc>
        <w:tc>
          <w:tcPr>
            <w:tcW w:w="1087" w:type="dxa"/>
            <w:tcBorders>
              <w:top w:val="nil"/>
              <w:left w:val="nil"/>
              <w:bottom w:val="single" w:color="auto" w:sz="4" w:space="0"/>
              <w:right w:val="single" w:color="auto" w:sz="4" w:space="0"/>
            </w:tcBorders>
            <w:vAlign w:val="center"/>
          </w:tcPr>
          <w:p w14:paraId="786C112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Y＜2000</w:t>
            </w:r>
          </w:p>
        </w:tc>
      </w:tr>
      <w:tr w14:paraId="70C25E65">
        <w:tblPrEx>
          <w:tblCellMar>
            <w:top w:w="0" w:type="dxa"/>
            <w:left w:w="108" w:type="dxa"/>
            <w:bottom w:w="0" w:type="dxa"/>
            <w:right w:w="108" w:type="dxa"/>
          </w:tblCellMar>
        </w:tblPrEx>
        <w:trPr>
          <w:trHeight w:val="199"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6F939B06">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物业管理</w:t>
            </w:r>
          </w:p>
        </w:tc>
        <w:tc>
          <w:tcPr>
            <w:tcW w:w="1660" w:type="dxa"/>
            <w:tcBorders>
              <w:top w:val="nil"/>
              <w:left w:val="nil"/>
              <w:bottom w:val="single" w:color="auto" w:sz="4" w:space="0"/>
              <w:right w:val="single" w:color="auto" w:sz="4" w:space="0"/>
            </w:tcBorders>
            <w:vAlign w:val="center"/>
          </w:tcPr>
          <w:p w14:paraId="38ABB4B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61F293EB">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63C3E14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300≤X＜1000</w:t>
            </w:r>
          </w:p>
        </w:tc>
        <w:tc>
          <w:tcPr>
            <w:tcW w:w="1692" w:type="dxa"/>
            <w:tcBorders>
              <w:top w:val="nil"/>
              <w:left w:val="nil"/>
              <w:bottom w:val="single" w:color="auto" w:sz="4" w:space="0"/>
              <w:right w:val="single" w:color="auto" w:sz="4" w:space="0"/>
            </w:tcBorders>
            <w:vAlign w:val="center"/>
          </w:tcPr>
          <w:p w14:paraId="5021D29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087" w:type="dxa"/>
            <w:tcBorders>
              <w:top w:val="nil"/>
              <w:left w:val="nil"/>
              <w:bottom w:val="single" w:color="auto" w:sz="4" w:space="0"/>
              <w:right w:val="single" w:color="auto" w:sz="4" w:space="0"/>
            </w:tcBorders>
            <w:vAlign w:val="center"/>
          </w:tcPr>
          <w:p w14:paraId="102B47A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X＜100</w:t>
            </w:r>
          </w:p>
        </w:tc>
      </w:tr>
      <w:tr w14:paraId="0D1C813E">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1EBC5330">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55D0772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营业收入（Y）</w:t>
            </w:r>
          </w:p>
        </w:tc>
        <w:tc>
          <w:tcPr>
            <w:tcW w:w="1466" w:type="dxa"/>
            <w:tcBorders>
              <w:top w:val="nil"/>
              <w:left w:val="nil"/>
              <w:bottom w:val="single" w:color="auto" w:sz="4" w:space="0"/>
              <w:right w:val="single" w:color="auto" w:sz="4" w:space="0"/>
            </w:tcBorders>
            <w:vAlign w:val="center"/>
          </w:tcPr>
          <w:p w14:paraId="3189BFA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2768218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1000≤Y＜5000</w:t>
            </w:r>
          </w:p>
        </w:tc>
        <w:tc>
          <w:tcPr>
            <w:tcW w:w="1692" w:type="dxa"/>
            <w:tcBorders>
              <w:top w:val="nil"/>
              <w:left w:val="nil"/>
              <w:bottom w:val="single" w:color="auto" w:sz="4" w:space="0"/>
              <w:right w:val="single" w:color="auto" w:sz="4" w:space="0"/>
            </w:tcBorders>
            <w:vAlign w:val="center"/>
          </w:tcPr>
          <w:p w14:paraId="3677B20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500≤Y＜1000</w:t>
            </w:r>
          </w:p>
        </w:tc>
        <w:tc>
          <w:tcPr>
            <w:tcW w:w="1087" w:type="dxa"/>
            <w:tcBorders>
              <w:top w:val="nil"/>
              <w:left w:val="nil"/>
              <w:bottom w:val="single" w:color="auto" w:sz="4" w:space="0"/>
              <w:right w:val="single" w:color="auto" w:sz="4" w:space="0"/>
            </w:tcBorders>
            <w:vAlign w:val="center"/>
          </w:tcPr>
          <w:p w14:paraId="433FFC7F">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Y＜500</w:t>
            </w:r>
          </w:p>
        </w:tc>
      </w:tr>
      <w:tr w14:paraId="16C59B56">
        <w:tblPrEx>
          <w:tblCellMar>
            <w:top w:w="0" w:type="dxa"/>
            <w:left w:w="108" w:type="dxa"/>
            <w:bottom w:w="0" w:type="dxa"/>
            <w:right w:w="108" w:type="dxa"/>
          </w:tblCellMar>
        </w:tblPrEx>
        <w:trPr>
          <w:trHeight w:val="242" w:hRule="atLeast"/>
          <w:jc w:val="center"/>
        </w:trPr>
        <w:tc>
          <w:tcPr>
            <w:tcW w:w="1570" w:type="dxa"/>
            <w:vMerge w:val="restart"/>
            <w:tcBorders>
              <w:top w:val="nil"/>
              <w:left w:val="single" w:color="auto" w:sz="4" w:space="0"/>
              <w:bottom w:val="single" w:color="auto" w:sz="4" w:space="0"/>
              <w:right w:val="single" w:color="auto" w:sz="4" w:space="0"/>
            </w:tcBorders>
            <w:vAlign w:val="center"/>
          </w:tcPr>
          <w:p w14:paraId="500F95A0">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租赁和商务服务业</w:t>
            </w:r>
          </w:p>
        </w:tc>
        <w:tc>
          <w:tcPr>
            <w:tcW w:w="1660" w:type="dxa"/>
            <w:tcBorders>
              <w:top w:val="nil"/>
              <w:left w:val="nil"/>
              <w:bottom w:val="single" w:color="auto" w:sz="4" w:space="0"/>
              <w:right w:val="single" w:color="auto" w:sz="4" w:space="0"/>
            </w:tcBorders>
            <w:vAlign w:val="center"/>
          </w:tcPr>
          <w:p w14:paraId="415B915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24E07563">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3A06FFF8">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692" w:type="dxa"/>
            <w:tcBorders>
              <w:top w:val="nil"/>
              <w:left w:val="nil"/>
              <w:bottom w:val="single" w:color="auto" w:sz="4" w:space="0"/>
              <w:right w:val="single" w:color="auto" w:sz="4" w:space="0"/>
            </w:tcBorders>
            <w:vAlign w:val="center"/>
          </w:tcPr>
          <w:p w14:paraId="7D05054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67FE8531">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r w14:paraId="12BE4869">
        <w:tblPrEx>
          <w:tblCellMar>
            <w:top w:w="0" w:type="dxa"/>
            <w:left w:w="108" w:type="dxa"/>
            <w:bottom w:w="0" w:type="dxa"/>
            <w:right w:w="108" w:type="dxa"/>
          </w:tblCellMar>
        </w:tblPrEx>
        <w:trPr>
          <w:trHeight w:val="199" w:hRule="atLeast"/>
          <w:jc w:val="center"/>
        </w:trPr>
        <w:tc>
          <w:tcPr>
            <w:tcW w:w="1570" w:type="dxa"/>
            <w:vMerge w:val="continue"/>
            <w:tcBorders>
              <w:top w:val="nil"/>
              <w:left w:val="single" w:color="auto" w:sz="4" w:space="0"/>
              <w:bottom w:val="single" w:color="auto" w:sz="4" w:space="0"/>
              <w:right w:val="single" w:color="auto" w:sz="4" w:space="0"/>
            </w:tcBorders>
            <w:vAlign w:val="center"/>
          </w:tcPr>
          <w:p w14:paraId="680422B7">
            <w:pPr>
              <w:widowControl/>
              <w:snapToGrid w:val="0"/>
              <w:spacing w:line="320" w:lineRule="exact"/>
              <w:contextualSpacing/>
              <w:jc w:val="center"/>
              <w:rPr>
                <w:rFonts w:ascii="宋体" w:hAnsi="宋体" w:eastAsia="宋体" w:cs="宋体"/>
                <w:b/>
                <w:bCs/>
                <w:kern w:val="0"/>
                <w:szCs w:val="21"/>
              </w:rPr>
            </w:pPr>
          </w:p>
        </w:tc>
        <w:tc>
          <w:tcPr>
            <w:tcW w:w="1660" w:type="dxa"/>
            <w:tcBorders>
              <w:top w:val="nil"/>
              <w:left w:val="nil"/>
              <w:bottom w:val="single" w:color="auto" w:sz="4" w:space="0"/>
              <w:right w:val="single" w:color="auto" w:sz="4" w:space="0"/>
            </w:tcBorders>
            <w:vAlign w:val="center"/>
          </w:tcPr>
          <w:p w14:paraId="6B412F10">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资产总额（Z）</w:t>
            </w:r>
          </w:p>
        </w:tc>
        <w:tc>
          <w:tcPr>
            <w:tcW w:w="1466" w:type="dxa"/>
            <w:tcBorders>
              <w:top w:val="nil"/>
              <w:left w:val="nil"/>
              <w:bottom w:val="single" w:color="auto" w:sz="4" w:space="0"/>
              <w:right w:val="single" w:color="auto" w:sz="4" w:space="0"/>
            </w:tcBorders>
            <w:vAlign w:val="center"/>
          </w:tcPr>
          <w:p w14:paraId="36B7F01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万元</w:t>
            </w:r>
          </w:p>
        </w:tc>
        <w:tc>
          <w:tcPr>
            <w:tcW w:w="1903" w:type="dxa"/>
            <w:tcBorders>
              <w:top w:val="nil"/>
              <w:left w:val="nil"/>
              <w:bottom w:val="single" w:color="auto" w:sz="4" w:space="0"/>
              <w:right w:val="single" w:color="auto" w:sz="4" w:space="0"/>
            </w:tcBorders>
            <w:vAlign w:val="center"/>
          </w:tcPr>
          <w:p w14:paraId="5AECB2CA">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8000≤Z＜120000</w:t>
            </w:r>
          </w:p>
        </w:tc>
        <w:tc>
          <w:tcPr>
            <w:tcW w:w="1692" w:type="dxa"/>
            <w:tcBorders>
              <w:top w:val="nil"/>
              <w:left w:val="nil"/>
              <w:bottom w:val="single" w:color="auto" w:sz="4" w:space="0"/>
              <w:right w:val="single" w:color="auto" w:sz="4" w:space="0"/>
            </w:tcBorders>
            <w:vAlign w:val="center"/>
          </w:tcPr>
          <w:p w14:paraId="446361E5">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100≤Z＜8000</w:t>
            </w:r>
          </w:p>
        </w:tc>
        <w:tc>
          <w:tcPr>
            <w:tcW w:w="1087" w:type="dxa"/>
            <w:tcBorders>
              <w:top w:val="nil"/>
              <w:left w:val="nil"/>
              <w:bottom w:val="single" w:color="auto" w:sz="4" w:space="0"/>
              <w:right w:val="single" w:color="auto" w:sz="4" w:space="0"/>
            </w:tcBorders>
            <w:vAlign w:val="center"/>
          </w:tcPr>
          <w:p w14:paraId="7717498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Y＜100</w:t>
            </w:r>
          </w:p>
        </w:tc>
      </w:tr>
      <w:tr w14:paraId="55019F56">
        <w:tblPrEx>
          <w:tblCellMar>
            <w:top w:w="0" w:type="dxa"/>
            <w:left w:w="108" w:type="dxa"/>
            <w:bottom w:w="0" w:type="dxa"/>
            <w:right w:w="108" w:type="dxa"/>
          </w:tblCellMar>
        </w:tblPrEx>
        <w:trPr>
          <w:trHeight w:val="199" w:hRule="atLeast"/>
          <w:jc w:val="center"/>
        </w:trPr>
        <w:tc>
          <w:tcPr>
            <w:tcW w:w="1570" w:type="dxa"/>
            <w:tcBorders>
              <w:top w:val="nil"/>
              <w:left w:val="single" w:color="auto" w:sz="4" w:space="0"/>
              <w:bottom w:val="single" w:color="auto" w:sz="4" w:space="0"/>
              <w:right w:val="single" w:color="auto" w:sz="4" w:space="0"/>
            </w:tcBorders>
            <w:vAlign w:val="center"/>
          </w:tcPr>
          <w:p w14:paraId="18ECE6BF">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b/>
                <w:bCs/>
                <w:kern w:val="0"/>
                <w:szCs w:val="21"/>
              </w:rPr>
              <w:t>其他未列明行业</w:t>
            </w:r>
          </w:p>
          <w:p w14:paraId="6177FF09">
            <w:pPr>
              <w:widowControl/>
              <w:snapToGrid w:val="0"/>
              <w:spacing w:line="320" w:lineRule="exact"/>
              <w:contextualSpacing/>
              <w:jc w:val="center"/>
              <w:rPr>
                <w:rFonts w:ascii="宋体" w:hAnsi="宋体" w:eastAsia="宋体" w:cs="宋体"/>
                <w:b/>
                <w:bCs/>
                <w:kern w:val="0"/>
                <w:szCs w:val="21"/>
              </w:rPr>
            </w:pPr>
            <w:r>
              <w:rPr>
                <w:rFonts w:hint="eastAsia" w:ascii="宋体" w:hAnsi="宋体" w:eastAsia="宋体" w:cs="宋体"/>
                <w:kern w:val="0"/>
                <w:szCs w:val="21"/>
              </w:rPr>
              <w:t>（包括科学研究和技术服务业，水利、环境和公共设施管理业，居民服务、修理和其他服务业，社会工作，文化、体育和娱乐业等）</w:t>
            </w:r>
          </w:p>
        </w:tc>
        <w:tc>
          <w:tcPr>
            <w:tcW w:w="1660" w:type="dxa"/>
            <w:tcBorders>
              <w:top w:val="nil"/>
              <w:left w:val="nil"/>
              <w:bottom w:val="single" w:color="auto" w:sz="4" w:space="0"/>
              <w:right w:val="single" w:color="auto" w:sz="4" w:space="0"/>
            </w:tcBorders>
            <w:vAlign w:val="center"/>
          </w:tcPr>
          <w:p w14:paraId="315B3E69">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从业人员（X）</w:t>
            </w:r>
          </w:p>
        </w:tc>
        <w:tc>
          <w:tcPr>
            <w:tcW w:w="1466" w:type="dxa"/>
            <w:tcBorders>
              <w:top w:val="nil"/>
              <w:left w:val="nil"/>
              <w:bottom w:val="single" w:color="auto" w:sz="4" w:space="0"/>
              <w:right w:val="single" w:color="auto" w:sz="4" w:space="0"/>
            </w:tcBorders>
            <w:vAlign w:val="center"/>
          </w:tcPr>
          <w:p w14:paraId="3578AB64">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人</w:t>
            </w:r>
          </w:p>
        </w:tc>
        <w:tc>
          <w:tcPr>
            <w:tcW w:w="1903" w:type="dxa"/>
            <w:tcBorders>
              <w:top w:val="nil"/>
              <w:left w:val="nil"/>
              <w:bottom w:val="single" w:color="auto" w:sz="4" w:space="0"/>
              <w:right w:val="single" w:color="auto" w:sz="4" w:space="0"/>
            </w:tcBorders>
            <w:vAlign w:val="center"/>
          </w:tcPr>
          <w:p w14:paraId="4B6220D7">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100≤X＜300</w:t>
            </w:r>
          </w:p>
        </w:tc>
        <w:tc>
          <w:tcPr>
            <w:tcW w:w="1692" w:type="dxa"/>
            <w:tcBorders>
              <w:top w:val="nil"/>
              <w:left w:val="nil"/>
              <w:bottom w:val="single" w:color="auto" w:sz="4" w:space="0"/>
              <w:right w:val="single" w:color="auto" w:sz="4" w:space="0"/>
            </w:tcBorders>
            <w:vAlign w:val="center"/>
          </w:tcPr>
          <w:p w14:paraId="482220C6">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10≤X＜100</w:t>
            </w:r>
          </w:p>
        </w:tc>
        <w:tc>
          <w:tcPr>
            <w:tcW w:w="1087" w:type="dxa"/>
            <w:tcBorders>
              <w:top w:val="nil"/>
              <w:left w:val="nil"/>
              <w:bottom w:val="single" w:color="auto" w:sz="4" w:space="0"/>
              <w:right w:val="single" w:color="auto" w:sz="4" w:space="0"/>
            </w:tcBorders>
            <w:vAlign w:val="center"/>
          </w:tcPr>
          <w:p w14:paraId="76F819D2">
            <w:pPr>
              <w:widowControl/>
              <w:snapToGrid w:val="0"/>
              <w:spacing w:line="320" w:lineRule="exact"/>
              <w:contextualSpacing/>
              <w:jc w:val="center"/>
              <w:rPr>
                <w:rFonts w:ascii="宋体" w:hAnsi="宋体" w:eastAsia="宋体" w:cs="宋体"/>
                <w:kern w:val="0"/>
                <w:szCs w:val="21"/>
              </w:rPr>
            </w:pPr>
            <w:r>
              <w:rPr>
                <w:rFonts w:hint="eastAsia" w:ascii="宋体" w:hAnsi="宋体" w:eastAsia="宋体" w:cs="宋体"/>
                <w:kern w:val="0"/>
                <w:szCs w:val="21"/>
              </w:rPr>
              <w:t>X＜10</w:t>
            </w:r>
          </w:p>
        </w:tc>
      </w:tr>
    </w:tbl>
    <w:p w14:paraId="56CA845A">
      <w:pPr>
        <w:snapToGrid w:val="0"/>
        <w:spacing w:line="400" w:lineRule="exact"/>
        <w:ind w:firstLine="422" w:firstLineChars="200"/>
        <w:contextualSpacing/>
        <w:jc w:val="left"/>
        <w:rPr>
          <w:rFonts w:ascii="宋体" w:hAnsi="宋体" w:eastAsia="宋体" w:cs="宋体"/>
          <w:b/>
          <w:szCs w:val="21"/>
        </w:rPr>
      </w:pPr>
    </w:p>
    <w:p w14:paraId="7C2EE883">
      <w:pPr>
        <w:snapToGrid w:val="0"/>
        <w:spacing w:line="400" w:lineRule="exact"/>
        <w:ind w:firstLine="422" w:firstLineChars="200"/>
        <w:contextualSpacing/>
        <w:jc w:val="left"/>
        <w:rPr>
          <w:rFonts w:ascii="宋体" w:hAnsi="宋体" w:eastAsia="宋体" w:cs="宋体"/>
          <w:szCs w:val="21"/>
        </w:rPr>
      </w:pPr>
      <w:r>
        <w:rPr>
          <w:rFonts w:hint="eastAsia" w:ascii="宋体" w:hAnsi="宋体" w:eastAsia="宋体" w:cs="宋体"/>
          <w:b/>
          <w:szCs w:val="21"/>
        </w:rPr>
        <w:t>说明：</w:t>
      </w:r>
      <w:r>
        <w:rPr>
          <w:rFonts w:hint="eastAsia" w:ascii="宋体" w:hAnsi="宋体" w:eastAsia="宋体" w:cs="宋体"/>
          <w:szCs w:val="21"/>
        </w:rPr>
        <w:t>上述标准参照《关于印发中小企业划型标准规定的通知》（工信部联企业[2011]300号），大型、中型和小型企业须同时满足所列指标的下限，否则下划一档；微型企业只须满足所列指标中的一项即可。</w:t>
      </w:r>
    </w:p>
    <w:p w14:paraId="1F4BD163">
      <w:pPr>
        <w:snapToGrid w:val="0"/>
        <w:spacing w:line="400" w:lineRule="exact"/>
        <w:ind w:firstLine="420" w:firstLineChars="200"/>
        <w:contextualSpacing/>
        <w:jc w:val="left"/>
        <w:textAlignment w:val="center"/>
        <w:rPr>
          <w:rFonts w:ascii="宋体" w:hAnsi="宋体" w:eastAsia="宋体" w:cs="宋体"/>
          <w:szCs w:val="21"/>
        </w:rPr>
      </w:pPr>
      <w:r>
        <w:rPr>
          <w:rFonts w:hint="eastAsia" w:ascii="宋体" w:hAnsi="宋体" w:eastAsia="宋体" w:cs="宋体"/>
          <w:szCs w:val="21"/>
        </w:rPr>
        <w:t>本招标文件所称中小企业，是指在中华人民共和国境内依法设立，依据国务院批准的</w:t>
      </w:r>
    </w:p>
    <w:p w14:paraId="54BB12D1">
      <w:pPr>
        <w:snapToGrid w:val="0"/>
        <w:spacing w:line="400" w:lineRule="exact"/>
        <w:ind w:firstLine="420" w:firstLineChars="200"/>
        <w:contextualSpacing/>
        <w:jc w:val="left"/>
        <w:textAlignment w:val="center"/>
        <w:rPr>
          <w:rFonts w:ascii="宋体" w:hAnsi="宋体" w:eastAsia="宋体" w:cs="宋体"/>
          <w:szCs w:val="21"/>
        </w:rPr>
      </w:pPr>
      <w:r>
        <w:rPr>
          <w:rFonts w:hint="eastAsia" w:ascii="宋体" w:hAnsi="宋体" w:eastAsia="宋体" w:cs="宋体"/>
          <w:szCs w:val="21"/>
        </w:rPr>
        <w:t>中小企业划分标准确定的中型企业、小型企业和微型企业，但与大企业的负责人为同一人，或者与大企业存在直接控股、管理关系的除外。符合中小企业划分标准的个体工商户，在政府采购活动中视同中小企业。在政府采购活动中，供应商提供的货物、工程或者服务符合下列情形的，享受本招标文件规定的中小企业扶持政策：</w:t>
      </w:r>
    </w:p>
    <w:p w14:paraId="07A9178A">
      <w:pPr>
        <w:snapToGrid w:val="0"/>
        <w:spacing w:line="400" w:lineRule="exact"/>
        <w:ind w:firstLine="420" w:firstLineChars="200"/>
        <w:contextualSpacing/>
        <w:jc w:val="left"/>
        <w:rPr>
          <w:rFonts w:ascii="宋体" w:hAnsi="宋体" w:eastAsia="宋体" w:cs="宋体"/>
          <w:kern w:val="0"/>
          <w:szCs w:val="21"/>
        </w:rPr>
      </w:pPr>
      <w:r>
        <w:rPr>
          <w:rFonts w:hint="eastAsia" w:ascii="宋体" w:hAnsi="宋体" w:eastAsia="宋体" w:cs="宋体"/>
          <w:kern w:val="0"/>
          <w:szCs w:val="21"/>
        </w:rPr>
        <w:t>（1）在货物采购项目中，货物由中小企业制造，即货物由中小企业生产且使用该中小企业商号或者注册商标，不对其中涉及的工程承建商和服务的承接商作出要求；</w:t>
      </w:r>
    </w:p>
    <w:p w14:paraId="5CDF2693">
      <w:pPr>
        <w:snapToGrid w:val="0"/>
        <w:spacing w:line="400" w:lineRule="exact"/>
        <w:ind w:firstLine="420" w:firstLineChars="200"/>
        <w:contextualSpacing/>
        <w:jc w:val="left"/>
        <w:rPr>
          <w:rFonts w:ascii="宋体" w:hAnsi="宋体" w:eastAsia="宋体" w:cs="宋体"/>
          <w:kern w:val="0"/>
          <w:szCs w:val="21"/>
        </w:rPr>
      </w:pPr>
      <w:r>
        <w:rPr>
          <w:rFonts w:hint="eastAsia" w:ascii="宋体" w:hAnsi="宋体" w:eastAsia="宋体" w:cs="宋体"/>
          <w:kern w:val="0"/>
          <w:szCs w:val="21"/>
        </w:rPr>
        <w:t>（2）在工程采购项目中，工程由中小企业承建，即工程施工单位为中小企业，不对其中涉及的货物的制造商和服务的承接商作出要求；</w:t>
      </w:r>
    </w:p>
    <w:p w14:paraId="5648614E">
      <w:pPr>
        <w:snapToGrid w:val="0"/>
        <w:spacing w:line="400" w:lineRule="exact"/>
        <w:ind w:firstLine="420" w:firstLineChars="200"/>
        <w:contextualSpacing/>
        <w:jc w:val="left"/>
        <w:rPr>
          <w:rFonts w:ascii="宋体" w:hAnsi="宋体" w:eastAsia="宋体" w:cs="宋体"/>
          <w:kern w:val="0"/>
          <w:szCs w:val="21"/>
        </w:rPr>
      </w:pPr>
      <w:r>
        <w:rPr>
          <w:rFonts w:hint="eastAsia" w:ascii="宋体" w:hAnsi="宋体" w:eastAsia="宋体" w:cs="宋体"/>
          <w:kern w:val="0"/>
          <w:szCs w:val="21"/>
        </w:rPr>
        <w:t>（3）在服务采购项目中，服务由中小企业承接，即提供服务的人员为中小企业依照《中华人民共和国劳动合同法》订立劳动合同的从业人员，不对其中涉及的货物的制造商和工程承建商作出要求。</w:t>
      </w:r>
    </w:p>
    <w:p w14:paraId="2C745987">
      <w:pPr>
        <w:snapToGrid w:val="0"/>
        <w:spacing w:line="400" w:lineRule="exact"/>
        <w:ind w:firstLine="420" w:firstLineChars="200"/>
        <w:contextualSpacing/>
        <w:jc w:val="left"/>
        <w:textAlignment w:val="center"/>
        <w:rPr>
          <w:rFonts w:ascii="宋体" w:hAnsi="宋体" w:eastAsia="宋体" w:cs="宋体"/>
          <w:szCs w:val="21"/>
        </w:rPr>
      </w:pPr>
      <w:r>
        <w:rPr>
          <w:rFonts w:hint="eastAsia" w:ascii="宋体" w:hAnsi="宋体" w:eastAsia="宋体" w:cs="宋体"/>
          <w:szCs w:val="21"/>
        </w:rPr>
        <w:t>在货物采购项目中，供应商提供的货物既有中小企业制造货物，也有大型企业制造货物的，不享受本招标文件规定的中小企业扶持政策。以联合体形式参加政府采购活动，联合体各方均为中小企业的，联合体视同中小企业。其中，联合体各方均为小微企业的，联合体视同小微企业。</w:t>
      </w:r>
    </w:p>
    <w:p w14:paraId="680AEE34">
      <w:pPr>
        <w:snapToGrid w:val="0"/>
        <w:spacing w:line="400" w:lineRule="exact"/>
        <w:ind w:firstLine="420" w:firstLineChars="200"/>
        <w:contextualSpacing/>
        <w:jc w:val="left"/>
        <w:textAlignment w:val="center"/>
        <w:rPr>
          <w:rFonts w:ascii="宋体" w:hAnsi="宋体" w:eastAsia="宋体" w:cs="宋体"/>
          <w:szCs w:val="21"/>
        </w:rPr>
      </w:pPr>
      <w:r>
        <w:rPr>
          <w:rFonts w:hint="eastAsia" w:ascii="宋体" w:hAnsi="宋体" w:eastAsia="宋体" w:cs="宋体"/>
          <w:szCs w:val="21"/>
        </w:rPr>
        <w:t>依据本招标文件规定享受扶持政策获得政府采购合同的，小微企业不得将合同分包给大中型企业，中型企业不得将合同分包给大型企业。</w:t>
      </w:r>
    </w:p>
    <w:p w14:paraId="16D0831F">
      <w:pPr>
        <w:rPr>
          <w:rFonts w:ascii="宋体" w:hAnsi="宋体" w:eastAsia="宋体" w:cs="宋体"/>
          <w:b/>
          <w:bCs/>
          <w:sz w:val="24"/>
        </w:rPr>
      </w:pPr>
      <w:r>
        <w:rPr>
          <w:rFonts w:hint="eastAsia" w:ascii="宋体" w:hAnsi="宋体" w:eastAsia="宋体" w:cs="宋体"/>
          <w:b/>
          <w:bCs/>
          <w:sz w:val="24"/>
        </w:rPr>
        <w:br w:type="page"/>
      </w:r>
    </w:p>
    <w:p w14:paraId="11D0F458">
      <w:pPr>
        <w:jc w:val="center"/>
        <w:rPr>
          <w:rFonts w:ascii="宋体" w:hAnsi="宋体" w:eastAsia="宋体" w:cs="宋体"/>
          <w:b/>
          <w:bCs/>
          <w:sz w:val="24"/>
        </w:rPr>
      </w:pPr>
      <w:r>
        <w:rPr>
          <w:rFonts w:hint="eastAsia" w:ascii="宋体" w:hAnsi="宋体" w:eastAsia="宋体" w:cs="宋体"/>
          <w:b/>
          <w:bCs/>
          <w:sz w:val="24"/>
        </w:rPr>
        <w:t xml:space="preserve">3-2  </w:t>
      </w:r>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Start w:id="1906" w:name="_Toc15294"/>
      <w:bookmarkStart w:id="1907" w:name="_Toc14454"/>
      <w:bookmarkStart w:id="1908" w:name="_Toc4244"/>
      <w:bookmarkStart w:id="1909" w:name="_Toc32586"/>
      <w:bookmarkStart w:id="1910" w:name="_Toc23068"/>
      <w:bookmarkStart w:id="1911" w:name="_Toc3420"/>
      <w:bookmarkStart w:id="1912" w:name="_Toc515647825"/>
      <w:bookmarkStart w:id="1913" w:name="_Toc26931"/>
      <w:bookmarkStart w:id="1914" w:name="_Toc2621"/>
      <w:bookmarkStart w:id="1915" w:name="_Toc19284"/>
      <w:bookmarkStart w:id="1916" w:name="_Toc24860"/>
      <w:bookmarkStart w:id="1917" w:name="_Toc13947"/>
      <w:bookmarkStart w:id="1918" w:name="_Toc30849"/>
      <w:bookmarkStart w:id="1919" w:name="OLE_LINK14"/>
      <w:bookmarkStart w:id="1920" w:name="OLE_LINK13"/>
      <w:r>
        <w:rPr>
          <w:rFonts w:hint="eastAsia" w:ascii="宋体" w:hAnsi="宋体" w:eastAsia="宋体" w:cs="宋体"/>
          <w:b/>
          <w:bCs/>
          <w:sz w:val="24"/>
        </w:rPr>
        <w:t>残疾人福利性单位声明函</w:t>
      </w:r>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r>
        <w:rPr>
          <w:rFonts w:hint="eastAsia" w:ascii="宋体" w:hAnsi="宋体" w:eastAsia="宋体" w:cs="宋体"/>
          <w:b/>
          <w:bCs/>
          <w:sz w:val="24"/>
        </w:rPr>
        <w:t>（本项目不适用）</w:t>
      </w:r>
    </w:p>
    <w:bookmarkEnd w:id="1919"/>
    <w:bookmarkEnd w:id="1920"/>
    <w:p w14:paraId="61B4CE91">
      <w:pPr>
        <w:spacing w:line="240" w:lineRule="atLeast"/>
        <w:ind w:left="1080" w:leftChars="257" w:hanging="540"/>
        <w:jc w:val="center"/>
        <w:rPr>
          <w:rFonts w:ascii="宋体" w:hAnsi="宋体" w:eastAsia="宋体" w:cs="宋体"/>
          <w:sz w:val="24"/>
        </w:rPr>
      </w:pPr>
    </w:p>
    <w:p w14:paraId="6CD2486F">
      <w:pPr>
        <w:snapToGrid w:val="0"/>
        <w:spacing w:line="400" w:lineRule="exact"/>
        <w:ind w:firstLine="480" w:firstLineChars="200"/>
        <w:contextualSpacing/>
        <w:jc w:val="left"/>
        <w:textAlignment w:val="center"/>
        <w:rPr>
          <w:rFonts w:ascii="宋体" w:hAnsi="宋体" w:eastAsia="宋体" w:cs="宋体"/>
          <w:sz w:val="24"/>
        </w:rPr>
      </w:pPr>
      <w:r>
        <w:rPr>
          <w:rFonts w:hint="eastAsia" w:ascii="宋体" w:hAnsi="宋体" w:eastAsia="宋体" w:cs="宋体"/>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的服务，或者提供其他残疾人福利性单位的服务（不包括使用非残疾人福利性单位注册商标的服务）。</w:t>
      </w:r>
    </w:p>
    <w:p w14:paraId="30A52408">
      <w:pPr>
        <w:snapToGrid w:val="0"/>
        <w:spacing w:line="400" w:lineRule="exact"/>
        <w:ind w:firstLine="480" w:firstLineChars="200"/>
        <w:contextualSpacing/>
        <w:jc w:val="left"/>
        <w:textAlignment w:val="center"/>
        <w:rPr>
          <w:rFonts w:ascii="宋体" w:hAnsi="宋体" w:eastAsia="宋体" w:cs="宋体"/>
          <w:sz w:val="24"/>
        </w:rPr>
      </w:pPr>
      <w:r>
        <w:rPr>
          <w:rFonts w:hint="eastAsia" w:ascii="宋体" w:hAnsi="宋体" w:eastAsia="宋体" w:cs="宋体"/>
          <w:sz w:val="24"/>
        </w:rPr>
        <w:t>本单位对上述声明的真实性负责。如有虚假，将依法承担相应责任。</w:t>
      </w:r>
    </w:p>
    <w:p w14:paraId="6EE08D38">
      <w:pPr>
        <w:spacing w:line="240" w:lineRule="atLeast"/>
        <w:ind w:left="1080" w:leftChars="257" w:hanging="540"/>
        <w:jc w:val="center"/>
        <w:rPr>
          <w:rFonts w:ascii="宋体" w:hAnsi="宋体" w:eastAsia="宋体" w:cs="宋体"/>
          <w:sz w:val="24"/>
        </w:rPr>
      </w:pPr>
    </w:p>
    <w:p w14:paraId="16C53963">
      <w:pPr>
        <w:spacing w:line="240" w:lineRule="atLeast"/>
        <w:ind w:left="1080" w:leftChars="257" w:hanging="540"/>
        <w:jc w:val="center"/>
        <w:rPr>
          <w:rFonts w:ascii="宋体" w:hAnsi="宋体" w:eastAsia="宋体" w:cs="宋体"/>
          <w:sz w:val="24"/>
        </w:rPr>
      </w:pPr>
    </w:p>
    <w:p w14:paraId="42AEE795">
      <w:pPr>
        <w:spacing w:line="240" w:lineRule="atLeast"/>
        <w:ind w:left="1080" w:leftChars="257" w:hanging="540"/>
        <w:jc w:val="center"/>
        <w:rPr>
          <w:rFonts w:ascii="宋体" w:hAnsi="宋体" w:eastAsia="宋体" w:cs="宋体"/>
          <w:sz w:val="24"/>
          <w:u w:val="single"/>
        </w:rPr>
      </w:pPr>
      <w:r>
        <w:rPr>
          <w:rFonts w:hint="eastAsia" w:ascii="宋体" w:hAnsi="宋体" w:eastAsia="宋体" w:cs="宋体"/>
          <w:sz w:val="24"/>
        </w:rPr>
        <w:t xml:space="preserve">              残疾人福利性单位名称（公章）：</w:t>
      </w:r>
      <w:r>
        <w:rPr>
          <w:rFonts w:hint="eastAsia" w:ascii="宋体" w:hAnsi="宋体" w:eastAsia="宋体" w:cs="宋体"/>
          <w:sz w:val="24"/>
          <w:u w:val="single"/>
        </w:rPr>
        <w:t xml:space="preserve">               </w:t>
      </w:r>
    </w:p>
    <w:p w14:paraId="3CFC46FF">
      <w:pPr>
        <w:spacing w:line="240" w:lineRule="atLeast"/>
        <w:ind w:left="1080" w:leftChars="257" w:hanging="540"/>
        <w:jc w:val="center"/>
        <w:rPr>
          <w:rFonts w:ascii="宋体" w:hAnsi="宋体" w:eastAsia="宋体" w:cs="宋体"/>
          <w:sz w:val="24"/>
          <w:u w:val="single"/>
        </w:rPr>
      </w:pPr>
      <w:r>
        <w:rPr>
          <w:rFonts w:hint="eastAsia" w:ascii="宋体" w:hAnsi="宋体" w:eastAsia="宋体" w:cs="宋体"/>
          <w:sz w:val="24"/>
        </w:rPr>
        <w:t xml:space="preserve">         日  期：</w:t>
      </w:r>
      <w:r>
        <w:rPr>
          <w:rFonts w:hint="eastAsia" w:ascii="宋体" w:hAnsi="宋体" w:eastAsia="宋体" w:cs="宋体"/>
          <w:sz w:val="24"/>
          <w:u w:val="single"/>
        </w:rPr>
        <w:t xml:space="preserve">                </w:t>
      </w:r>
    </w:p>
    <w:p w14:paraId="58FAF462">
      <w:pPr>
        <w:spacing w:line="240" w:lineRule="atLeast"/>
        <w:ind w:left="1080" w:leftChars="257" w:hanging="540"/>
        <w:jc w:val="center"/>
        <w:rPr>
          <w:rFonts w:ascii="宋体" w:hAnsi="宋体" w:eastAsia="宋体" w:cs="宋体"/>
          <w:sz w:val="24"/>
        </w:rPr>
      </w:pPr>
    </w:p>
    <w:p w14:paraId="0D67C63F">
      <w:pPr>
        <w:spacing w:line="240" w:lineRule="atLeast"/>
        <w:ind w:left="1080" w:leftChars="257" w:hanging="540"/>
        <w:jc w:val="center"/>
        <w:rPr>
          <w:rFonts w:ascii="宋体" w:hAnsi="宋体" w:eastAsia="宋体" w:cs="宋体"/>
          <w:sz w:val="24"/>
        </w:rPr>
      </w:pPr>
    </w:p>
    <w:p w14:paraId="20DFFC0F">
      <w:pPr>
        <w:autoSpaceDE w:val="0"/>
        <w:autoSpaceDN w:val="0"/>
        <w:adjustRightInd w:val="0"/>
        <w:ind w:firstLine="420"/>
        <w:jc w:val="left"/>
        <w:rPr>
          <w:rFonts w:ascii="宋体" w:hAnsi="宋体" w:eastAsia="宋体" w:cs="宋体"/>
          <w:sz w:val="24"/>
          <w:szCs w:val="20"/>
        </w:rPr>
      </w:pPr>
    </w:p>
    <w:p w14:paraId="6F615321">
      <w:pPr>
        <w:spacing w:before="120"/>
        <w:rPr>
          <w:rFonts w:ascii="宋体" w:hAnsi="宋体" w:eastAsia="宋体" w:cs="宋体"/>
          <w:sz w:val="24"/>
        </w:rPr>
      </w:pPr>
    </w:p>
    <w:p w14:paraId="2D1C91A3">
      <w:pPr>
        <w:rPr>
          <w:rFonts w:ascii="宋体" w:hAnsi="宋体" w:eastAsia="宋体" w:cs="宋体"/>
          <w:sz w:val="24"/>
        </w:rPr>
      </w:pPr>
    </w:p>
    <w:p w14:paraId="1DA5EF08">
      <w:pPr>
        <w:rPr>
          <w:rFonts w:ascii="宋体" w:hAnsi="宋体" w:eastAsia="宋体" w:cs="宋体"/>
          <w:sz w:val="24"/>
        </w:rPr>
      </w:pPr>
    </w:p>
    <w:p w14:paraId="20579AC1">
      <w:pPr>
        <w:pStyle w:val="8"/>
        <w:outlineLvl w:val="9"/>
        <w:rPr>
          <w:rFonts w:hint="eastAsia" w:ascii="宋体" w:hAnsi="宋体" w:eastAsia="宋体" w:cs="宋体"/>
          <w:highlight w:val="none"/>
        </w:rPr>
      </w:pPr>
    </w:p>
    <w:p w14:paraId="00B90345">
      <w:pPr>
        <w:pStyle w:val="12"/>
        <w:tabs>
          <w:tab w:val="left" w:pos="5580"/>
        </w:tabs>
        <w:spacing w:line="240" w:lineRule="atLeast"/>
        <w:jc w:val="center"/>
        <w:outlineLvl w:val="2"/>
        <w:rPr>
          <w:rFonts w:hint="eastAsia" w:ascii="宋体" w:hAnsi="宋体" w:eastAsia="宋体" w:cs="宋体"/>
          <w:b/>
          <w:color w:val="auto"/>
          <w:sz w:val="28"/>
          <w:szCs w:val="28"/>
          <w:highlight w:val="none"/>
        </w:rPr>
      </w:pPr>
      <w:bookmarkStart w:id="1921" w:name="_Toc26328"/>
      <w:bookmarkStart w:id="1922" w:name="_Toc6004"/>
      <w:bookmarkStart w:id="1923" w:name="_Toc23926"/>
      <w:bookmarkStart w:id="1924" w:name="_Toc30795"/>
      <w:bookmarkStart w:id="1925" w:name="_Toc17401"/>
      <w:bookmarkStart w:id="1926" w:name="_Toc28099"/>
      <w:bookmarkStart w:id="1927" w:name="_Toc22102"/>
      <w:bookmarkStart w:id="1928" w:name="_Toc26573"/>
      <w:bookmarkStart w:id="1929" w:name="_Toc515647827"/>
      <w:bookmarkStart w:id="1930" w:name="_Toc13135"/>
      <w:r>
        <w:rPr>
          <w:rFonts w:hint="eastAsia" w:ascii="宋体" w:hAnsi="宋体" w:eastAsia="宋体" w:cs="宋体"/>
          <w:b/>
          <w:color w:val="auto"/>
          <w:sz w:val="28"/>
          <w:szCs w:val="28"/>
          <w:highlight w:val="none"/>
          <w:lang w:val="en-US" w:eastAsia="zh-CN"/>
        </w:rPr>
        <w:t>4</w:t>
      </w:r>
      <w:r>
        <w:rPr>
          <w:rFonts w:hint="eastAsia" w:ascii="宋体" w:hAnsi="宋体" w:eastAsia="宋体" w:cs="宋体"/>
          <w:b/>
          <w:color w:val="auto"/>
          <w:sz w:val="28"/>
          <w:szCs w:val="28"/>
          <w:highlight w:val="none"/>
        </w:rPr>
        <w:t>、供应商关联单位的说明</w:t>
      </w:r>
      <w:bookmarkEnd w:id="1921"/>
      <w:bookmarkEnd w:id="1922"/>
      <w:bookmarkEnd w:id="1923"/>
      <w:bookmarkEnd w:id="1924"/>
      <w:bookmarkEnd w:id="1925"/>
      <w:bookmarkEnd w:id="1926"/>
      <w:bookmarkEnd w:id="1927"/>
      <w:bookmarkEnd w:id="1928"/>
      <w:bookmarkEnd w:id="1929"/>
      <w:r>
        <w:rPr>
          <w:rFonts w:hint="eastAsia" w:ascii="宋体" w:hAnsi="宋体" w:eastAsia="宋体" w:cs="宋体"/>
          <w:b/>
          <w:color w:val="auto"/>
          <w:sz w:val="28"/>
          <w:szCs w:val="28"/>
          <w:highlight w:val="none"/>
        </w:rPr>
        <w:t>（格式自拟）</w:t>
      </w:r>
      <w:bookmarkEnd w:id="1930"/>
    </w:p>
    <w:p w14:paraId="3BD2A9A7">
      <w:pPr>
        <w:pStyle w:val="7"/>
        <w:spacing w:line="400" w:lineRule="exact"/>
        <w:jc w:val="center"/>
        <w:rPr>
          <w:rFonts w:hint="eastAsia" w:ascii="宋体" w:hAnsi="宋体" w:eastAsia="宋体" w:cs="宋体"/>
          <w:color w:val="auto"/>
          <w:szCs w:val="24"/>
          <w:highlight w:val="none"/>
        </w:rPr>
      </w:pPr>
    </w:p>
    <w:p w14:paraId="25C16764">
      <w:pPr>
        <w:pStyle w:val="7"/>
        <w:spacing w:line="400" w:lineRule="exact"/>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说明：供应商应当如实披露与本单位存在下列关联关系的单位名称：</w:t>
      </w:r>
    </w:p>
    <w:p w14:paraId="543AE3F0">
      <w:pPr>
        <w:pStyle w:val="7"/>
        <w:spacing w:line="400" w:lineRule="exact"/>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（1）与供应商单位负责人为同一人的其他单位；</w:t>
      </w:r>
    </w:p>
    <w:p w14:paraId="56827C51">
      <w:pPr>
        <w:pStyle w:val="7"/>
        <w:spacing w:line="400" w:lineRule="exact"/>
        <w:ind w:firstLine="482"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rPr>
        <w:t>（2）与供应商存在直接控股、管理关系的其他单位。</w:t>
      </w:r>
    </w:p>
    <w:p w14:paraId="0B1FACAB">
      <w:pPr>
        <w:pStyle w:val="8"/>
        <w:rPr>
          <w:rFonts w:hint="eastAsia" w:ascii="宋体" w:hAnsi="宋体" w:eastAsia="宋体" w:cs="宋体"/>
          <w:color w:val="auto"/>
          <w:sz w:val="24"/>
          <w:highlight w:val="none"/>
        </w:rPr>
      </w:pPr>
    </w:p>
    <w:p w14:paraId="074BBD6D">
      <w:pPr>
        <w:rPr>
          <w:rFonts w:hint="eastAsia" w:ascii="宋体" w:hAnsi="宋体" w:eastAsia="宋体" w:cs="宋体"/>
          <w:color w:val="auto"/>
          <w:sz w:val="24"/>
          <w:highlight w:val="none"/>
        </w:rPr>
      </w:pPr>
    </w:p>
    <w:p w14:paraId="3BC3A244">
      <w:pPr>
        <w:pStyle w:val="27"/>
        <w:rPr>
          <w:rFonts w:hint="eastAsia" w:ascii="宋体" w:hAnsi="宋体" w:eastAsia="宋体" w:cs="宋体"/>
          <w:color w:val="auto"/>
          <w:sz w:val="24"/>
          <w:highlight w:val="none"/>
        </w:rPr>
      </w:pPr>
    </w:p>
    <w:p w14:paraId="3B39AF42">
      <w:pPr>
        <w:pStyle w:val="7"/>
        <w:rPr>
          <w:rFonts w:hint="eastAsia" w:ascii="宋体" w:hAnsi="宋体" w:eastAsia="宋体" w:cs="宋体"/>
          <w:highlight w:val="none"/>
        </w:rPr>
      </w:pPr>
    </w:p>
    <w:p w14:paraId="2410483A">
      <w:pPr>
        <w:pStyle w:val="19"/>
        <w:rPr>
          <w:rFonts w:hint="eastAsia" w:ascii="宋体" w:hAnsi="宋体" w:eastAsia="宋体" w:cs="宋体"/>
          <w:b/>
          <w:color w:val="auto"/>
          <w:kern w:val="0"/>
          <w:sz w:val="24"/>
          <w:highlight w:val="none"/>
        </w:rPr>
      </w:pPr>
    </w:p>
    <w:p w14:paraId="455EBF5C">
      <w:pPr>
        <w:rPr>
          <w:rFonts w:hint="eastAsia" w:ascii="宋体" w:hAnsi="宋体" w:eastAsia="宋体" w:cs="宋体"/>
          <w:b/>
          <w:bCs/>
          <w:color w:val="auto"/>
          <w:sz w:val="24"/>
          <w:szCs w:val="24"/>
          <w:highlight w:val="none"/>
        </w:rPr>
      </w:pPr>
      <w:bookmarkStart w:id="1931" w:name="_Toc29270"/>
      <w:bookmarkStart w:id="1932" w:name="_Toc7414"/>
      <w:bookmarkStart w:id="1933" w:name="_Toc17333"/>
      <w:bookmarkStart w:id="1934" w:name="_Toc10352"/>
      <w:bookmarkStart w:id="1935" w:name="_Toc515647828"/>
      <w:bookmarkStart w:id="1936" w:name="_Toc3088"/>
      <w:bookmarkStart w:id="1937" w:name="_Toc10917"/>
      <w:bookmarkStart w:id="1938" w:name="_Toc32332"/>
      <w:bookmarkStart w:id="1939" w:name="_Toc1363"/>
      <w:r>
        <w:rPr>
          <w:rFonts w:hint="eastAsia" w:ascii="宋体" w:hAnsi="宋体" w:eastAsia="宋体" w:cs="宋体"/>
          <w:b/>
          <w:bCs/>
          <w:color w:val="auto"/>
          <w:sz w:val="24"/>
          <w:szCs w:val="24"/>
          <w:highlight w:val="none"/>
        </w:rPr>
        <w:br w:type="page"/>
      </w:r>
    </w:p>
    <w:p w14:paraId="10F49FFF">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40" w:name="_Toc18428"/>
      <w:bookmarkStart w:id="1941" w:name="_Toc4833"/>
      <w:r>
        <w:rPr>
          <w:rFonts w:hint="eastAsia" w:ascii="宋体" w:hAnsi="宋体" w:eastAsia="宋体" w:cs="宋体"/>
          <w:b/>
          <w:color w:val="auto"/>
          <w:sz w:val="28"/>
          <w:szCs w:val="28"/>
          <w:highlight w:val="none"/>
          <w:lang w:val="en-US" w:eastAsia="zh-CN"/>
        </w:rPr>
        <w:t>5、企业承诺函</w:t>
      </w:r>
      <w:bookmarkEnd w:id="1940"/>
      <w:bookmarkEnd w:id="1941"/>
    </w:p>
    <w:p w14:paraId="5029F735">
      <w:pPr>
        <w:jc w:val="left"/>
        <w:rPr>
          <w:rFonts w:ascii="宋体" w:hAnsi="宋体" w:eastAsia="宋体" w:cs="宋体"/>
          <w:b/>
          <w:sz w:val="24"/>
        </w:rPr>
      </w:pPr>
      <w:r>
        <w:rPr>
          <w:rFonts w:hint="eastAsia" w:ascii="宋体" w:hAnsi="宋体" w:eastAsia="宋体" w:cs="宋体"/>
          <w:b/>
          <w:sz w:val="24"/>
        </w:rPr>
        <w:t>致：</w:t>
      </w:r>
      <w:r>
        <w:rPr>
          <w:rFonts w:hint="eastAsia" w:ascii="宋体" w:hAnsi="宋体" w:eastAsia="宋体" w:cs="宋体"/>
          <w:b/>
          <w:sz w:val="24"/>
          <w:u w:val="single"/>
        </w:rPr>
        <w:t>莎车县英吾斯塘乡人民政府</w:t>
      </w:r>
    </w:p>
    <w:p w14:paraId="4EA8AD8D">
      <w:pPr>
        <w:tabs>
          <w:tab w:val="left" w:pos="567"/>
        </w:tabs>
        <w:spacing w:line="400" w:lineRule="exact"/>
        <w:rPr>
          <w:rFonts w:ascii="宋体" w:hAnsi="宋体" w:eastAsia="宋体" w:cs="宋体"/>
          <w:sz w:val="24"/>
        </w:rPr>
      </w:pPr>
      <w:r>
        <w:rPr>
          <w:rFonts w:hint="eastAsia" w:ascii="宋体" w:hAnsi="宋体" w:eastAsia="宋体" w:cs="宋体"/>
          <w:sz w:val="24"/>
        </w:rPr>
        <w:t>我单位参与本项目投标，现郑重承诺如下：</w:t>
      </w:r>
    </w:p>
    <w:p w14:paraId="08C9DF81">
      <w:pPr>
        <w:tabs>
          <w:tab w:val="left" w:pos="567"/>
        </w:tabs>
        <w:spacing w:line="400" w:lineRule="exact"/>
        <w:ind w:firstLine="440" w:firstLineChars="200"/>
        <w:rPr>
          <w:rFonts w:ascii="宋体" w:hAnsi="宋体" w:eastAsia="宋体" w:cs="宋体"/>
          <w:sz w:val="24"/>
        </w:rPr>
      </w:pPr>
      <w:r>
        <w:rPr>
          <w:rFonts w:hint="eastAsia" w:ascii="宋体" w:hAnsi="宋体" w:eastAsia="宋体" w:cs="宋体"/>
          <w:spacing w:val="-10"/>
          <w:sz w:val="24"/>
        </w:rPr>
        <w:t>一、我单位对正常运行及经营的合法性、真实性及有效性负完全责任，并随</w:t>
      </w:r>
      <w:r>
        <w:rPr>
          <w:rFonts w:hint="eastAsia" w:ascii="宋体" w:hAnsi="宋体" w:eastAsia="宋体" w:cs="宋体"/>
          <w:sz w:val="24"/>
        </w:rPr>
        <w:t>时无条件配合采购人对我单位营业执照有效性进一步核查。</w:t>
      </w:r>
    </w:p>
    <w:p w14:paraId="7AB62B65">
      <w:pPr>
        <w:tabs>
          <w:tab w:val="left" w:pos="567"/>
        </w:tabs>
        <w:spacing w:line="400" w:lineRule="exact"/>
        <w:ind w:firstLine="436" w:firstLineChars="200"/>
        <w:rPr>
          <w:rFonts w:ascii="宋体" w:hAnsi="宋体" w:eastAsia="宋体" w:cs="宋体"/>
          <w:sz w:val="24"/>
        </w:rPr>
      </w:pPr>
      <w:r>
        <w:rPr>
          <w:rFonts w:hint="eastAsia" w:ascii="宋体" w:hAnsi="宋体" w:eastAsia="宋体" w:cs="宋体"/>
          <w:spacing w:val="-11"/>
          <w:sz w:val="24"/>
        </w:rPr>
        <w:t>二、若我单位中标，将严格按照国家及省市行业主管部门规定在项目所在地</w:t>
      </w:r>
      <w:r>
        <w:rPr>
          <w:rFonts w:hint="eastAsia" w:ascii="宋体" w:hAnsi="宋体" w:eastAsia="宋体" w:cs="宋体"/>
          <w:sz w:val="24"/>
        </w:rPr>
        <w:t>办理施工许可（如需），并在项目所在地交纳相关税费。</w:t>
      </w:r>
    </w:p>
    <w:p w14:paraId="2EC53ADC">
      <w:pPr>
        <w:spacing w:line="400" w:lineRule="exact"/>
        <w:ind w:firstLine="480" w:firstLineChars="200"/>
        <w:rPr>
          <w:rFonts w:ascii="宋体" w:hAnsi="宋体" w:eastAsia="宋体" w:cs="宋体"/>
          <w:sz w:val="24"/>
        </w:rPr>
      </w:pPr>
      <w:r>
        <w:rPr>
          <w:rFonts w:hint="eastAsia" w:ascii="宋体" w:hAnsi="宋体" w:eastAsia="宋体" w:cs="宋体"/>
          <w:sz w:val="24"/>
        </w:rPr>
        <w:t>三、我单位近三年内，未发生重大质量事故和重大安全事故；</w:t>
      </w:r>
    </w:p>
    <w:p w14:paraId="68C61F7F">
      <w:pPr>
        <w:tabs>
          <w:tab w:val="left" w:pos="567"/>
        </w:tabs>
        <w:spacing w:line="400" w:lineRule="exact"/>
        <w:ind w:firstLine="480" w:firstLineChars="200"/>
        <w:rPr>
          <w:rFonts w:ascii="宋体" w:hAnsi="宋体" w:eastAsia="宋体" w:cs="宋体"/>
          <w:sz w:val="24"/>
        </w:rPr>
      </w:pPr>
      <w:r>
        <w:rPr>
          <w:rFonts w:hint="eastAsia" w:ascii="宋体" w:hAnsi="宋体" w:eastAsia="宋体" w:cs="宋体"/>
          <w:sz w:val="24"/>
        </w:rPr>
        <w:t>四、我单位在本项目</w:t>
      </w:r>
      <w:r>
        <w:rPr>
          <w:rFonts w:hint="eastAsia" w:ascii="宋体" w:hAnsi="宋体" w:eastAsia="宋体" w:cs="宋体"/>
          <w:sz w:val="24"/>
          <w:lang w:eastAsia="zh-CN"/>
        </w:rPr>
        <w:t>投标有效期</w:t>
      </w:r>
      <w:r>
        <w:rPr>
          <w:rFonts w:hint="eastAsia" w:ascii="宋体" w:hAnsi="宋体" w:eastAsia="宋体" w:cs="宋体"/>
          <w:sz w:val="24"/>
        </w:rPr>
        <w:t>内，在本项目所在区域未存在因质量事故、安全事故等被限期承包工程或市场不良行为等被限制磋商资格行为，且处于处罚期内的情况；</w:t>
      </w:r>
    </w:p>
    <w:p w14:paraId="2A195294">
      <w:pPr>
        <w:tabs>
          <w:tab w:val="left" w:pos="567"/>
        </w:tabs>
        <w:spacing w:line="400" w:lineRule="exact"/>
        <w:ind w:firstLine="480" w:firstLineChars="200"/>
        <w:rPr>
          <w:rFonts w:ascii="宋体" w:hAnsi="宋体" w:eastAsia="宋体" w:cs="宋体"/>
          <w:sz w:val="24"/>
        </w:rPr>
      </w:pPr>
      <w:r>
        <w:rPr>
          <w:rFonts w:hint="eastAsia" w:ascii="宋体" w:hAnsi="宋体" w:eastAsia="宋体" w:cs="宋体"/>
          <w:sz w:val="24"/>
        </w:rPr>
        <w:t xml:space="preserve">五、我单位近一年内，未发生因拖欠农民工工资被行业管理部门处罚情况； </w:t>
      </w:r>
    </w:p>
    <w:p w14:paraId="6F29736C">
      <w:pPr>
        <w:tabs>
          <w:tab w:val="left" w:pos="567"/>
        </w:tabs>
        <w:spacing w:line="400" w:lineRule="exact"/>
        <w:ind w:firstLine="480" w:firstLineChars="200"/>
        <w:rPr>
          <w:rFonts w:ascii="宋体" w:hAnsi="宋体" w:eastAsia="宋体" w:cs="宋体"/>
          <w:sz w:val="24"/>
        </w:rPr>
      </w:pPr>
      <w:r>
        <w:rPr>
          <w:rFonts w:hint="eastAsia" w:ascii="宋体" w:hAnsi="宋体" w:eastAsia="宋体" w:cs="宋体"/>
          <w:sz w:val="24"/>
        </w:rPr>
        <w:t>六、我单位近一年内，在项目所在地未出现被相关行业主管部门限制磋商资</w:t>
      </w:r>
    </w:p>
    <w:p w14:paraId="4BE16B80">
      <w:pPr>
        <w:tabs>
          <w:tab w:val="left" w:pos="567"/>
        </w:tabs>
        <w:spacing w:line="400" w:lineRule="exact"/>
        <w:ind w:firstLine="480" w:firstLineChars="200"/>
        <w:rPr>
          <w:rFonts w:ascii="宋体" w:hAnsi="宋体" w:eastAsia="宋体" w:cs="宋体"/>
          <w:sz w:val="24"/>
        </w:rPr>
      </w:pPr>
      <w:r>
        <w:rPr>
          <w:rFonts w:hint="eastAsia" w:ascii="宋体" w:hAnsi="宋体" w:eastAsia="宋体" w:cs="宋体"/>
          <w:sz w:val="24"/>
        </w:rPr>
        <w:t>格情况。</w:t>
      </w:r>
    </w:p>
    <w:p w14:paraId="5AACC129">
      <w:pPr>
        <w:tabs>
          <w:tab w:val="left" w:pos="567"/>
        </w:tabs>
        <w:spacing w:line="400" w:lineRule="exact"/>
        <w:ind w:firstLine="440" w:firstLineChars="200"/>
        <w:rPr>
          <w:rFonts w:ascii="宋体" w:hAnsi="宋体" w:eastAsia="宋体" w:cs="宋体"/>
          <w:sz w:val="24"/>
        </w:rPr>
      </w:pPr>
      <w:r>
        <w:rPr>
          <w:rFonts w:hint="eastAsia" w:ascii="宋体" w:hAnsi="宋体" w:eastAsia="宋体" w:cs="宋体"/>
          <w:spacing w:val="-10"/>
          <w:sz w:val="24"/>
        </w:rPr>
        <w:t>七、我单位近一年内，未受到在市场行为、施工质量、安全等方面被市级及</w:t>
      </w:r>
      <w:r>
        <w:rPr>
          <w:rFonts w:hint="eastAsia" w:ascii="宋体" w:hAnsi="宋体" w:eastAsia="宋体" w:cs="宋体"/>
          <w:sz w:val="24"/>
        </w:rPr>
        <w:t>以上行业管理部门处罚的情况。</w:t>
      </w:r>
    </w:p>
    <w:p w14:paraId="006710EF">
      <w:pPr>
        <w:tabs>
          <w:tab w:val="left" w:pos="567"/>
        </w:tabs>
        <w:spacing w:line="400" w:lineRule="exact"/>
        <w:ind w:firstLine="440" w:firstLineChars="200"/>
        <w:rPr>
          <w:rFonts w:ascii="宋体" w:hAnsi="宋体" w:eastAsia="宋体" w:cs="宋体"/>
          <w:sz w:val="24"/>
        </w:rPr>
      </w:pPr>
      <w:r>
        <w:rPr>
          <w:rFonts w:hint="eastAsia" w:ascii="宋体" w:hAnsi="宋体" w:eastAsia="宋体" w:cs="宋体"/>
          <w:spacing w:val="-10"/>
          <w:sz w:val="24"/>
        </w:rPr>
        <w:t>八、本项目授权委托人为我单位人员，不存在挂靠行为，否则承担相应法律</w:t>
      </w:r>
      <w:r>
        <w:rPr>
          <w:rFonts w:hint="eastAsia" w:ascii="宋体" w:hAnsi="宋体" w:eastAsia="宋体" w:cs="宋体"/>
          <w:sz w:val="24"/>
        </w:rPr>
        <w:t>责任，并随时无条件配合监管部门调查取证。</w:t>
      </w:r>
    </w:p>
    <w:p w14:paraId="2FEB082B">
      <w:pPr>
        <w:tabs>
          <w:tab w:val="left" w:pos="567"/>
        </w:tabs>
        <w:spacing w:line="400" w:lineRule="exact"/>
        <w:ind w:firstLine="436" w:firstLineChars="200"/>
        <w:rPr>
          <w:rFonts w:ascii="宋体" w:hAnsi="宋体" w:eastAsia="宋体" w:cs="宋体"/>
          <w:sz w:val="24"/>
        </w:rPr>
      </w:pPr>
      <w:r>
        <w:rPr>
          <w:rFonts w:hint="eastAsia" w:ascii="宋体" w:hAnsi="宋体" w:eastAsia="宋体" w:cs="宋体"/>
          <w:spacing w:val="-11"/>
          <w:sz w:val="24"/>
        </w:rPr>
        <w:t>九、我单位一旦中标，将在招标文件规定时间内缴纳相关费用、领取中标通</w:t>
      </w:r>
      <w:r>
        <w:rPr>
          <w:rFonts w:hint="eastAsia" w:ascii="宋体" w:hAnsi="宋体" w:eastAsia="宋体" w:cs="宋体"/>
          <w:spacing w:val="-10"/>
          <w:sz w:val="24"/>
        </w:rPr>
        <w:t>知书，并与采购人联系并签订合同，组织进场施工事宜，否则贵单位有权取消我</w:t>
      </w:r>
      <w:r>
        <w:rPr>
          <w:rFonts w:hint="eastAsia" w:ascii="宋体" w:hAnsi="宋体" w:eastAsia="宋体" w:cs="宋体"/>
          <w:sz w:val="24"/>
        </w:rPr>
        <w:t>单位中标资格。</w:t>
      </w:r>
    </w:p>
    <w:p w14:paraId="265D52DB">
      <w:pPr>
        <w:spacing w:line="360" w:lineRule="auto"/>
        <w:ind w:firstLine="570"/>
        <w:rPr>
          <w:rFonts w:ascii="宋体" w:hAnsi="宋体" w:eastAsia="宋体" w:cs="宋体"/>
          <w:sz w:val="24"/>
        </w:rPr>
      </w:pPr>
    </w:p>
    <w:p w14:paraId="5ABF5980">
      <w:pPr>
        <w:tabs>
          <w:tab w:val="left" w:pos="5539"/>
          <w:tab w:val="left" w:pos="7639"/>
          <w:tab w:val="left" w:pos="8865"/>
        </w:tabs>
        <w:spacing w:line="400" w:lineRule="exact"/>
        <w:ind w:left="3780" w:firstLine="420"/>
        <w:rPr>
          <w:rFonts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p>
    <w:p w14:paraId="5C5F7D77">
      <w:pPr>
        <w:tabs>
          <w:tab w:val="left" w:pos="5539"/>
          <w:tab w:val="left" w:pos="7639"/>
          <w:tab w:val="left" w:pos="8865"/>
        </w:tabs>
        <w:spacing w:line="400" w:lineRule="exact"/>
        <w:ind w:left="3780" w:firstLine="420"/>
        <w:rPr>
          <w:rFonts w:ascii="宋体" w:hAnsi="宋体" w:eastAsia="宋体" w:cs="宋体"/>
          <w:spacing w:val="26"/>
          <w:sz w:val="24"/>
          <w:u w:val="single"/>
        </w:rPr>
      </w:pPr>
      <w:r>
        <w:rPr>
          <w:rFonts w:hint="eastAsia" w:ascii="宋体" w:hAnsi="宋体" w:eastAsia="宋体" w:cs="宋体"/>
          <w:sz w:val="24"/>
        </w:rPr>
        <w:t>法定代表人（签/章）：</w:t>
      </w:r>
      <w:r>
        <w:rPr>
          <w:rFonts w:hint="eastAsia" w:ascii="宋体" w:hAnsi="宋体" w:eastAsia="宋体" w:cs="宋体"/>
          <w:spacing w:val="26"/>
          <w:sz w:val="24"/>
          <w:u w:val="single"/>
        </w:rPr>
        <w:t xml:space="preserve">            </w:t>
      </w:r>
    </w:p>
    <w:p w14:paraId="56322C19">
      <w:pPr>
        <w:tabs>
          <w:tab w:val="left" w:pos="5539"/>
          <w:tab w:val="left" w:pos="7639"/>
          <w:tab w:val="left" w:pos="8865"/>
        </w:tabs>
        <w:spacing w:line="400" w:lineRule="exact"/>
        <w:ind w:left="3780" w:firstLine="42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0ACCD2D8">
      <w:pPr>
        <w:spacing w:line="240" w:lineRule="atLeast"/>
        <w:jc w:val="left"/>
        <w:rPr>
          <w:rFonts w:ascii="宋体" w:hAnsi="宋体" w:eastAsia="宋体" w:cs="宋体"/>
          <w:sz w:val="24"/>
        </w:rPr>
      </w:pPr>
    </w:p>
    <w:p w14:paraId="08D9FE75">
      <w:pPr>
        <w:autoSpaceDE w:val="0"/>
        <w:autoSpaceDN w:val="0"/>
        <w:adjustRightInd w:val="0"/>
        <w:ind w:firstLine="420"/>
        <w:jc w:val="left"/>
        <w:rPr>
          <w:rFonts w:ascii="宋体" w:hAnsi="宋体" w:eastAsia="宋体" w:cs="宋体"/>
          <w:kern w:val="0"/>
          <w:sz w:val="24"/>
          <w:szCs w:val="20"/>
        </w:rPr>
      </w:pPr>
    </w:p>
    <w:p w14:paraId="7E70B953">
      <w:pPr>
        <w:autoSpaceDE w:val="0"/>
        <w:autoSpaceDN w:val="0"/>
        <w:rPr>
          <w:rFonts w:ascii="宋体" w:hAnsi="宋体" w:eastAsia="宋体" w:cs="宋体"/>
          <w:sz w:val="24"/>
        </w:rPr>
      </w:pPr>
    </w:p>
    <w:p w14:paraId="0565F4FA">
      <w:pPr>
        <w:autoSpaceDE w:val="0"/>
        <w:autoSpaceDN w:val="0"/>
        <w:rPr>
          <w:rFonts w:ascii="宋体" w:hAnsi="宋体" w:eastAsia="宋体" w:cs="宋体"/>
          <w:sz w:val="24"/>
        </w:rPr>
      </w:pPr>
    </w:p>
    <w:p w14:paraId="45E12358">
      <w:pPr>
        <w:rPr>
          <w:rFonts w:ascii="宋体" w:hAnsi="宋体" w:eastAsia="宋体" w:cs="宋体"/>
          <w:b/>
          <w:kern w:val="0"/>
          <w:sz w:val="24"/>
        </w:rPr>
      </w:pPr>
      <w:r>
        <w:rPr>
          <w:rFonts w:hint="eastAsia" w:ascii="宋体" w:hAnsi="宋体" w:eastAsia="宋体" w:cs="宋体"/>
          <w:b/>
          <w:kern w:val="0"/>
          <w:sz w:val="24"/>
        </w:rPr>
        <w:br w:type="page"/>
      </w:r>
    </w:p>
    <w:p w14:paraId="257A790C">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42" w:name="_Toc684"/>
      <w:bookmarkStart w:id="1943" w:name="_Toc31328"/>
      <w:r>
        <w:rPr>
          <w:rFonts w:hint="eastAsia" w:ascii="宋体" w:hAnsi="宋体" w:eastAsia="宋体" w:cs="宋体"/>
          <w:b/>
          <w:color w:val="auto"/>
          <w:sz w:val="28"/>
          <w:szCs w:val="28"/>
          <w:highlight w:val="none"/>
          <w:lang w:val="en-US" w:eastAsia="zh-CN"/>
        </w:rPr>
        <w:t>6、供应商基本情况表</w:t>
      </w:r>
      <w:bookmarkEnd w:id="1942"/>
      <w:bookmarkEnd w:id="1943"/>
    </w:p>
    <w:p w14:paraId="6E7091D2">
      <w:pPr>
        <w:spacing w:line="360" w:lineRule="auto"/>
        <w:rPr>
          <w:rFonts w:ascii="宋体" w:hAnsi="宋体" w:eastAsia="宋体" w:cs="宋体"/>
          <w:sz w:val="24"/>
        </w:rPr>
      </w:pPr>
    </w:p>
    <w:tbl>
      <w:tblPr>
        <w:tblStyle w:val="28"/>
        <w:tblW w:w="955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533"/>
        <w:gridCol w:w="900"/>
        <w:gridCol w:w="1080"/>
        <w:gridCol w:w="529"/>
        <w:gridCol w:w="731"/>
        <w:gridCol w:w="1260"/>
        <w:gridCol w:w="901"/>
        <w:gridCol w:w="1619"/>
      </w:tblGrid>
      <w:tr w14:paraId="4076953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32C2A11E">
            <w:pPr>
              <w:spacing w:before="152"/>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供应商名称</w:t>
            </w:r>
          </w:p>
        </w:tc>
        <w:tc>
          <w:tcPr>
            <w:tcW w:w="7020" w:type="dxa"/>
            <w:gridSpan w:val="7"/>
            <w:vAlign w:val="top"/>
          </w:tcPr>
          <w:p w14:paraId="750697DC">
            <w:pPr>
              <w:rPr>
                <w:rFonts w:ascii="宋体" w:hAnsi="宋体" w:eastAsia="宋体" w:cs="宋体"/>
                <w:szCs w:val="21"/>
                <w:lang w:val="zh-CN" w:bidi="zh-CN"/>
              </w:rPr>
            </w:pPr>
          </w:p>
        </w:tc>
      </w:tr>
      <w:tr w14:paraId="0DA72A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7F0592E6">
            <w:pPr>
              <w:spacing w:before="153"/>
              <w:ind w:left="130" w:right="123"/>
              <w:jc w:val="center"/>
              <w:rPr>
                <w:rFonts w:ascii="宋体" w:hAnsi="宋体" w:eastAsia="宋体" w:cs="宋体"/>
                <w:b/>
                <w:bCs/>
                <w:szCs w:val="21"/>
                <w:lang w:val="zh-CN" w:bidi="zh-CN"/>
              </w:rPr>
            </w:pPr>
            <w:r>
              <w:rPr>
                <w:rFonts w:hint="eastAsia" w:ascii="宋体" w:hAnsi="宋体" w:eastAsia="宋体" w:cs="宋体"/>
                <w:b/>
                <w:bCs/>
                <w:szCs w:val="21"/>
                <w:lang w:val="zh-CN" w:bidi="zh-CN"/>
              </w:rPr>
              <w:t>注册地址</w:t>
            </w:r>
          </w:p>
        </w:tc>
        <w:tc>
          <w:tcPr>
            <w:tcW w:w="3240" w:type="dxa"/>
            <w:gridSpan w:val="4"/>
            <w:vAlign w:val="top"/>
          </w:tcPr>
          <w:p w14:paraId="084442FA">
            <w:pPr>
              <w:rPr>
                <w:rFonts w:ascii="宋体" w:hAnsi="宋体" w:eastAsia="宋体" w:cs="宋体"/>
                <w:szCs w:val="21"/>
                <w:lang w:val="zh-CN" w:bidi="zh-CN"/>
              </w:rPr>
            </w:pPr>
          </w:p>
        </w:tc>
        <w:tc>
          <w:tcPr>
            <w:tcW w:w="1260" w:type="dxa"/>
            <w:vAlign w:val="top"/>
          </w:tcPr>
          <w:p w14:paraId="366CEBD9">
            <w:pPr>
              <w:spacing w:before="153"/>
              <w:ind w:left="119" w:right="109"/>
              <w:jc w:val="center"/>
              <w:rPr>
                <w:rFonts w:ascii="宋体" w:hAnsi="宋体" w:eastAsia="宋体" w:cs="宋体"/>
                <w:b/>
                <w:bCs/>
                <w:szCs w:val="21"/>
                <w:lang w:val="zh-CN" w:bidi="zh-CN"/>
              </w:rPr>
            </w:pPr>
            <w:r>
              <w:rPr>
                <w:rFonts w:hint="eastAsia" w:ascii="宋体" w:hAnsi="宋体" w:eastAsia="宋体" w:cs="宋体"/>
                <w:b/>
                <w:bCs/>
                <w:szCs w:val="21"/>
                <w:lang w:val="zh-CN" w:bidi="zh-CN"/>
              </w:rPr>
              <w:t>邮政编码</w:t>
            </w:r>
          </w:p>
        </w:tc>
        <w:tc>
          <w:tcPr>
            <w:tcW w:w="2520" w:type="dxa"/>
            <w:gridSpan w:val="2"/>
            <w:vAlign w:val="top"/>
          </w:tcPr>
          <w:p w14:paraId="076FBD12">
            <w:pPr>
              <w:rPr>
                <w:rFonts w:ascii="宋体" w:hAnsi="宋体" w:eastAsia="宋体" w:cs="宋体"/>
                <w:szCs w:val="21"/>
                <w:lang w:val="zh-CN" w:bidi="zh-CN"/>
              </w:rPr>
            </w:pPr>
          </w:p>
        </w:tc>
      </w:tr>
      <w:tr w14:paraId="70D3AF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Merge w:val="restart"/>
            <w:vAlign w:val="top"/>
          </w:tcPr>
          <w:p w14:paraId="63FBE473">
            <w:pPr>
              <w:spacing w:before="6"/>
              <w:rPr>
                <w:rFonts w:ascii="宋体" w:hAnsi="宋体" w:eastAsia="宋体" w:cs="宋体"/>
                <w:b/>
                <w:bCs/>
                <w:szCs w:val="21"/>
                <w:lang w:val="zh-CN" w:bidi="zh-CN"/>
              </w:rPr>
            </w:pPr>
          </w:p>
          <w:p w14:paraId="283F337A">
            <w:pPr>
              <w:ind w:left="551"/>
              <w:rPr>
                <w:rFonts w:ascii="宋体" w:hAnsi="宋体" w:eastAsia="宋体" w:cs="宋体"/>
                <w:b/>
                <w:bCs/>
                <w:szCs w:val="21"/>
                <w:lang w:val="zh-CN" w:bidi="zh-CN"/>
              </w:rPr>
            </w:pPr>
            <w:r>
              <w:rPr>
                <w:rFonts w:hint="eastAsia" w:ascii="宋体" w:hAnsi="宋体" w:eastAsia="宋体" w:cs="宋体"/>
                <w:b/>
                <w:bCs/>
                <w:szCs w:val="21"/>
                <w:lang w:val="zh-CN" w:bidi="zh-CN"/>
              </w:rPr>
              <w:t>联系方式</w:t>
            </w:r>
          </w:p>
        </w:tc>
        <w:tc>
          <w:tcPr>
            <w:tcW w:w="900" w:type="dxa"/>
            <w:vAlign w:val="top"/>
          </w:tcPr>
          <w:p w14:paraId="181A0818">
            <w:pPr>
              <w:spacing w:before="152"/>
              <w:ind w:left="8"/>
              <w:jc w:val="center"/>
              <w:rPr>
                <w:rFonts w:ascii="宋体" w:hAnsi="宋体" w:eastAsia="宋体" w:cs="宋体"/>
                <w:b/>
                <w:bCs/>
                <w:szCs w:val="21"/>
                <w:lang w:val="zh-CN" w:bidi="zh-CN"/>
              </w:rPr>
            </w:pPr>
            <w:r>
              <w:rPr>
                <w:rFonts w:hint="eastAsia" w:ascii="宋体" w:hAnsi="宋体" w:eastAsia="宋体" w:cs="宋体"/>
                <w:b/>
                <w:bCs/>
                <w:szCs w:val="21"/>
                <w:lang w:val="zh-CN" w:bidi="zh-CN"/>
              </w:rPr>
              <w:t>联系人</w:t>
            </w:r>
          </w:p>
        </w:tc>
        <w:tc>
          <w:tcPr>
            <w:tcW w:w="2340" w:type="dxa"/>
            <w:gridSpan w:val="3"/>
            <w:vAlign w:val="top"/>
          </w:tcPr>
          <w:p w14:paraId="330C0836">
            <w:pPr>
              <w:rPr>
                <w:rFonts w:ascii="宋体" w:hAnsi="宋体" w:eastAsia="宋体" w:cs="宋体"/>
                <w:szCs w:val="21"/>
                <w:lang w:val="zh-CN" w:bidi="zh-CN"/>
              </w:rPr>
            </w:pPr>
          </w:p>
        </w:tc>
        <w:tc>
          <w:tcPr>
            <w:tcW w:w="1260" w:type="dxa"/>
            <w:vAlign w:val="top"/>
          </w:tcPr>
          <w:p w14:paraId="766B8D8F">
            <w:pPr>
              <w:spacing w:before="152"/>
              <w:ind w:left="116" w:right="109"/>
              <w:jc w:val="center"/>
              <w:rPr>
                <w:rFonts w:ascii="宋体" w:hAnsi="宋体" w:eastAsia="宋体" w:cs="宋体"/>
                <w:b/>
                <w:bCs/>
                <w:szCs w:val="21"/>
                <w:lang w:val="zh-CN" w:bidi="zh-CN"/>
              </w:rPr>
            </w:pPr>
            <w:r>
              <w:rPr>
                <w:rFonts w:hint="eastAsia" w:ascii="宋体" w:hAnsi="宋体" w:eastAsia="宋体" w:cs="宋体"/>
                <w:b/>
                <w:bCs/>
                <w:szCs w:val="21"/>
                <w:lang w:val="zh-CN" w:bidi="zh-CN"/>
              </w:rPr>
              <w:t>电 话</w:t>
            </w:r>
          </w:p>
        </w:tc>
        <w:tc>
          <w:tcPr>
            <w:tcW w:w="2520" w:type="dxa"/>
            <w:gridSpan w:val="2"/>
            <w:vAlign w:val="top"/>
          </w:tcPr>
          <w:p w14:paraId="5298341A">
            <w:pPr>
              <w:rPr>
                <w:rFonts w:ascii="宋体" w:hAnsi="宋体" w:eastAsia="宋体" w:cs="宋体"/>
                <w:szCs w:val="21"/>
                <w:lang w:val="zh-CN" w:bidi="zh-CN"/>
              </w:rPr>
            </w:pPr>
          </w:p>
        </w:tc>
      </w:tr>
      <w:tr w14:paraId="231AE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Merge w:val="continue"/>
            <w:tcBorders>
              <w:top w:val="nil"/>
            </w:tcBorders>
            <w:vAlign w:val="top"/>
          </w:tcPr>
          <w:p w14:paraId="62FBD88F">
            <w:pPr>
              <w:rPr>
                <w:rFonts w:ascii="宋体" w:hAnsi="宋体" w:eastAsia="宋体" w:cs="宋体"/>
                <w:b/>
                <w:bCs/>
                <w:szCs w:val="21"/>
              </w:rPr>
            </w:pPr>
          </w:p>
        </w:tc>
        <w:tc>
          <w:tcPr>
            <w:tcW w:w="900" w:type="dxa"/>
            <w:vAlign w:val="top"/>
          </w:tcPr>
          <w:p w14:paraId="1F1FDA2E">
            <w:pPr>
              <w:tabs>
                <w:tab w:val="left" w:pos="408"/>
              </w:tabs>
              <w:spacing w:before="153"/>
              <w:ind w:left="8"/>
              <w:jc w:val="center"/>
              <w:rPr>
                <w:rFonts w:ascii="宋体" w:hAnsi="宋体" w:eastAsia="宋体" w:cs="宋体"/>
                <w:b/>
                <w:bCs/>
                <w:szCs w:val="21"/>
                <w:lang w:val="zh-CN" w:bidi="zh-CN"/>
              </w:rPr>
            </w:pPr>
            <w:r>
              <w:rPr>
                <w:rFonts w:hint="eastAsia" w:ascii="宋体" w:hAnsi="宋体" w:eastAsia="宋体" w:cs="宋体"/>
                <w:b/>
                <w:bCs/>
                <w:szCs w:val="21"/>
                <w:lang w:val="zh-CN" w:bidi="zh-CN"/>
              </w:rPr>
              <w:t>传</w:t>
            </w:r>
            <w:r>
              <w:rPr>
                <w:rFonts w:hint="eastAsia" w:ascii="宋体" w:hAnsi="宋体" w:eastAsia="宋体" w:cs="宋体"/>
                <w:b/>
                <w:bCs/>
                <w:szCs w:val="21"/>
                <w:lang w:val="zh-CN" w:bidi="zh-CN"/>
              </w:rPr>
              <w:tab/>
            </w:r>
            <w:r>
              <w:rPr>
                <w:rFonts w:hint="eastAsia" w:ascii="宋体" w:hAnsi="宋体" w:eastAsia="宋体" w:cs="宋体"/>
                <w:b/>
                <w:bCs/>
                <w:szCs w:val="21"/>
                <w:lang w:val="zh-CN" w:bidi="zh-CN"/>
              </w:rPr>
              <w:t>真</w:t>
            </w:r>
          </w:p>
        </w:tc>
        <w:tc>
          <w:tcPr>
            <w:tcW w:w="2340" w:type="dxa"/>
            <w:gridSpan w:val="3"/>
            <w:vAlign w:val="top"/>
          </w:tcPr>
          <w:p w14:paraId="4FB9838A">
            <w:pPr>
              <w:rPr>
                <w:rFonts w:ascii="宋体" w:hAnsi="宋体" w:eastAsia="宋体" w:cs="宋体"/>
                <w:szCs w:val="21"/>
                <w:lang w:val="zh-CN" w:bidi="zh-CN"/>
              </w:rPr>
            </w:pPr>
          </w:p>
        </w:tc>
        <w:tc>
          <w:tcPr>
            <w:tcW w:w="1260" w:type="dxa"/>
            <w:vAlign w:val="top"/>
          </w:tcPr>
          <w:p w14:paraId="1832FFFF">
            <w:pPr>
              <w:spacing w:before="153"/>
              <w:ind w:left="119" w:right="109"/>
              <w:jc w:val="center"/>
              <w:rPr>
                <w:rFonts w:ascii="宋体" w:hAnsi="宋体" w:eastAsia="宋体" w:cs="宋体"/>
                <w:b/>
                <w:bCs/>
                <w:szCs w:val="21"/>
                <w:lang w:val="zh-CN" w:bidi="zh-CN"/>
              </w:rPr>
            </w:pPr>
            <w:r>
              <w:rPr>
                <w:rFonts w:hint="eastAsia" w:ascii="宋体" w:hAnsi="宋体" w:eastAsia="宋体" w:cs="宋体"/>
                <w:b/>
                <w:bCs/>
                <w:szCs w:val="21"/>
                <w:lang w:val="zh-CN" w:bidi="zh-CN"/>
              </w:rPr>
              <w:t>电子邮件</w:t>
            </w:r>
          </w:p>
        </w:tc>
        <w:tc>
          <w:tcPr>
            <w:tcW w:w="2520" w:type="dxa"/>
            <w:gridSpan w:val="2"/>
            <w:vAlign w:val="top"/>
          </w:tcPr>
          <w:p w14:paraId="56009E88">
            <w:pPr>
              <w:rPr>
                <w:rFonts w:ascii="宋体" w:hAnsi="宋体" w:eastAsia="宋体" w:cs="宋体"/>
                <w:szCs w:val="21"/>
                <w:lang w:val="zh-CN" w:bidi="zh-CN"/>
              </w:rPr>
            </w:pPr>
          </w:p>
        </w:tc>
      </w:tr>
      <w:tr w14:paraId="2E55EA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4F26DE97">
            <w:pPr>
              <w:spacing w:before="152"/>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法定代表人</w:t>
            </w:r>
          </w:p>
        </w:tc>
        <w:tc>
          <w:tcPr>
            <w:tcW w:w="900" w:type="dxa"/>
            <w:vAlign w:val="top"/>
          </w:tcPr>
          <w:p w14:paraId="553A2C5E">
            <w:pPr>
              <w:spacing w:before="152"/>
              <w:ind w:left="8"/>
              <w:jc w:val="center"/>
              <w:rPr>
                <w:rFonts w:ascii="宋体" w:hAnsi="宋体" w:eastAsia="宋体" w:cs="宋体"/>
                <w:b/>
                <w:bCs/>
                <w:szCs w:val="21"/>
                <w:lang w:val="zh-CN" w:bidi="zh-CN"/>
              </w:rPr>
            </w:pPr>
            <w:r>
              <w:rPr>
                <w:rFonts w:hint="eastAsia" w:ascii="宋体" w:hAnsi="宋体" w:eastAsia="宋体" w:cs="宋体"/>
                <w:b/>
                <w:bCs/>
                <w:szCs w:val="21"/>
                <w:lang w:val="zh-CN" w:bidi="zh-CN"/>
              </w:rPr>
              <w:t>姓名</w:t>
            </w:r>
          </w:p>
        </w:tc>
        <w:tc>
          <w:tcPr>
            <w:tcW w:w="1080" w:type="dxa"/>
            <w:vAlign w:val="top"/>
          </w:tcPr>
          <w:p w14:paraId="759A92AE">
            <w:pPr>
              <w:rPr>
                <w:rFonts w:ascii="宋体" w:hAnsi="宋体" w:eastAsia="宋体" w:cs="宋体"/>
                <w:szCs w:val="21"/>
                <w:lang w:val="zh-CN" w:bidi="zh-CN"/>
              </w:rPr>
            </w:pPr>
          </w:p>
        </w:tc>
        <w:tc>
          <w:tcPr>
            <w:tcW w:w="1260" w:type="dxa"/>
            <w:gridSpan w:val="2"/>
            <w:vAlign w:val="top"/>
          </w:tcPr>
          <w:p w14:paraId="7C3F849B">
            <w:pPr>
              <w:spacing w:before="152"/>
              <w:ind w:left="230"/>
              <w:rPr>
                <w:rFonts w:ascii="宋体" w:hAnsi="宋体" w:eastAsia="宋体" w:cs="宋体"/>
                <w:b/>
                <w:bCs/>
                <w:szCs w:val="21"/>
                <w:lang w:val="zh-CN" w:bidi="zh-CN"/>
              </w:rPr>
            </w:pPr>
            <w:r>
              <w:rPr>
                <w:rFonts w:hint="eastAsia" w:ascii="宋体" w:hAnsi="宋体" w:eastAsia="宋体" w:cs="宋体"/>
                <w:b/>
                <w:bCs/>
                <w:szCs w:val="21"/>
                <w:lang w:val="zh-CN" w:bidi="zh-CN"/>
              </w:rPr>
              <w:t>技术职称</w:t>
            </w:r>
          </w:p>
        </w:tc>
        <w:tc>
          <w:tcPr>
            <w:tcW w:w="1260" w:type="dxa"/>
            <w:vAlign w:val="top"/>
          </w:tcPr>
          <w:p w14:paraId="19F29750">
            <w:pPr>
              <w:rPr>
                <w:rFonts w:ascii="宋体" w:hAnsi="宋体" w:eastAsia="宋体" w:cs="宋体"/>
                <w:szCs w:val="21"/>
                <w:lang w:val="zh-CN" w:bidi="zh-CN"/>
              </w:rPr>
            </w:pPr>
          </w:p>
        </w:tc>
        <w:tc>
          <w:tcPr>
            <w:tcW w:w="901" w:type="dxa"/>
            <w:vAlign w:val="top"/>
          </w:tcPr>
          <w:p w14:paraId="642EC668">
            <w:pPr>
              <w:spacing w:before="152"/>
              <w:ind w:left="340"/>
              <w:rPr>
                <w:rFonts w:ascii="宋体" w:hAnsi="宋体" w:eastAsia="宋体" w:cs="宋体"/>
                <w:b/>
                <w:bCs/>
                <w:szCs w:val="21"/>
                <w:lang w:val="zh-CN" w:bidi="zh-CN"/>
              </w:rPr>
            </w:pPr>
            <w:r>
              <w:rPr>
                <w:rFonts w:hint="eastAsia" w:ascii="宋体" w:hAnsi="宋体" w:eastAsia="宋体" w:cs="宋体"/>
                <w:b/>
                <w:bCs/>
                <w:szCs w:val="21"/>
                <w:lang w:val="zh-CN" w:bidi="zh-CN"/>
              </w:rPr>
              <w:t>电话</w:t>
            </w:r>
          </w:p>
        </w:tc>
        <w:tc>
          <w:tcPr>
            <w:tcW w:w="1619" w:type="dxa"/>
            <w:vAlign w:val="top"/>
          </w:tcPr>
          <w:p w14:paraId="03AE95F7">
            <w:pPr>
              <w:rPr>
                <w:rFonts w:ascii="宋体" w:hAnsi="宋体" w:eastAsia="宋体" w:cs="宋体"/>
                <w:szCs w:val="21"/>
                <w:lang w:val="zh-CN" w:bidi="zh-CN"/>
              </w:rPr>
            </w:pPr>
          </w:p>
        </w:tc>
      </w:tr>
      <w:tr w14:paraId="14D12D4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6E156703">
            <w:pPr>
              <w:spacing w:before="153"/>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技术负责人</w:t>
            </w:r>
          </w:p>
        </w:tc>
        <w:tc>
          <w:tcPr>
            <w:tcW w:w="900" w:type="dxa"/>
            <w:vAlign w:val="top"/>
          </w:tcPr>
          <w:p w14:paraId="382E171D">
            <w:pPr>
              <w:spacing w:before="153"/>
              <w:ind w:left="8"/>
              <w:jc w:val="center"/>
              <w:rPr>
                <w:rFonts w:ascii="宋体" w:hAnsi="宋体" w:eastAsia="宋体" w:cs="宋体"/>
                <w:b/>
                <w:bCs/>
                <w:szCs w:val="21"/>
                <w:lang w:val="zh-CN" w:bidi="zh-CN"/>
              </w:rPr>
            </w:pPr>
            <w:r>
              <w:rPr>
                <w:rFonts w:hint="eastAsia" w:ascii="宋体" w:hAnsi="宋体" w:eastAsia="宋体" w:cs="宋体"/>
                <w:b/>
                <w:bCs/>
                <w:szCs w:val="21"/>
                <w:lang w:val="zh-CN" w:bidi="zh-CN"/>
              </w:rPr>
              <w:t>姓名</w:t>
            </w:r>
          </w:p>
        </w:tc>
        <w:tc>
          <w:tcPr>
            <w:tcW w:w="1080" w:type="dxa"/>
            <w:vAlign w:val="top"/>
          </w:tcPr>
          <w:p w14:paraId="1BE615A2">
            <w:pPr>
              <w:rPr>
                <w:rFonts w:ascii="宋体" w:hAnsi="宋体" w:eastAsia="宋体" w:cs="宋体"/>
                <w:szCs w:val="21"/>
                <w:lang w:val="zh-CN" w:bidi="zh-CN"/>
              </w:rPr>
            </w:pPr>
          </w:p>
        </w:tc>
        <w:tc>
          <w:tcPr>
            <w:tcW w:w="1260" w:type="dxa"/>
            <w:gridSpan w:val="2"/>
            <w:vAlign w:val="top"/>
          </w:tcPr>
          <w:p w14:paraId="52981457">
            <w:pPr>
              <w:spacing w:before="153"/>
              <w:ind w:left="230"/>
              <w:rPr>
                <w:rFonts w:ascii="宋体" w:hAnsi="宋体" w:eastAsia="宋体" w:cs="宋体"/>
                <w:b/>
                <w:bCs/>
                <w:szCs w:val="21"/>
                <w:lang w:val="zh-CN" w:bidi="zh-CN"/>
              </w:rPr>
            </w:pPr>
            <w:r>
              <w:rPr>
                <w:rFonts w:hint="eastAsia" w:ascii="宋体" w:hAnsi="宋体" w:eastAsia="宋体" w:cs="宋体"/>
                <w:b/>
                <w:bCs/>
                <w:szCs w:val="21"/>
                <w:lang w:val="zh-CN" w:bidi="zh-CN"/>
              </w:rPr>
              <w:t>技术职称</w:t>
            </w:r>
          </w:p>
        </w:tc>
        <w:tc>
          <w:tcPr>
            <w:tcW w:w="1260" w:type="dxa"/>
            <w:vAlign w:val="top"/>
          </w:tcPr>
          <w:p w14:paraId="5422E052">
            <w:pPr>
              <w:rPr>
                <w:rFonts w:ascii="宋体" w:hAnsi="宋体" w:eastAsia="宋体" w:cs="宋体"/>
                <w:szCs w:val="21"/>
                <w:lang w:val="zh-CN" w:bidi="zh-CN"/>
              </w:rPr>
            </w:pPr>
          </w:p>
        </w:tc>
        <w:tc>
          <w:tcPr>
            <w:tcW w:w="901" w:type="dxa"/>
            <w:vAlign w:val="top"/>
          </w:tcPr>
          <w:p w14:paraId="79C28923">
            <w:pPr>
              <w:spacing w:before="153"/>
              <w:ind w:left="340"/>
              <w:rPr>
                <w:rFonts w:ascii="宋体" w:hAnsi="宋体" w:eastAsia="宋体" w:cs="宋体"/>
                <w:b/>
                <w:bCs/>
                <w:szCs w:val="21"/>
                <w:lang w:val="zh-CN" w:bidi="zh-CN"/>
              </w:rPr>
            </w:pPr>
            <w:r>
              <w:rPr>
                <w:rFonts w:hint="eastAsia" w:ascii="宋体" w:hAnsi="宋体" w:eastAsia="宋体" w:cs="宋体"/>
                <w:b/>
                <w:bCs/>
                <w:szCs w:val="21"/>
                <w:lang w:val="zh-CN" w:bidi="zh-CN"/>
              </w:rPr>
              <w:t>电话</w:t>
            </w:r>
          </w:p>
        </w:tc>
        <w:tc>
          <w:tcPr>
            <w:tcW w:w="1619" w:type="dxa"/>
            <w:vAlign w:val="top"/>
          </w:tcPr>
          <w:p w14:paraId="4A34B81A">
            <w:pPr>
              <w:rPr>
                <w:rFonts w:ascii="宋体" w:hAnsi="宋体" w:eastAsia="宋体" w:cs="宋体"/>
                <w:szCs w:val="21"/>
                <w:lang w:val="zh-CN" w:bidi="zh-CN"/>
              </w:rPr>
            </w:pPr>
          </w:p>
        </w:tc>
      </w:tr>
      <w:tr w14:paraId="21C9D2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0B280173">
            <w:pPr>
              <w:spacing w:before="152"/>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营业执照号</w:t>
            </w:r>
          </w:p>
        </w:tc>
        <w:tc>
          <w:tcPr>
            <w:tcW w:w="1980" w:type="dxa"/>
            <w:gridSpan w:val="2"/>
            <w:vAlign w:val="top"/>
          </w:tcPr>
          <w:p w14:paraId="6492C980">
            <w:pPr>
              <w:rPr>
                <w:rFonts w:ascii="宋体" w:hAnsi="宋体" w:eastAsia="宋体" w:cs="宋体"/>
                <w:szCs w:val="21"/>
                <w:lang w:val="zh-CN" w:bidi="zh-CN"/>
              </w:rPr>
            </w:pPr>
          </w:p>
        </w:tc>
        <w:tc>
          <w:tcPr>
            <w:tcW w:w="5040" w:type="dxa"/>
            <w:gridSpan w:val="5"/>
            <w:vAlign w:val="top"/>
          </w:tcPr>
          <w:p w14:paraId="2BE98973">
            <w:pPr>
              <w:spacing w:before="152"/>
              <w:ind w:left="1950" w:right="1839"/>
              <w:jc w:val="center"/>
              <w:rPr>
                <w:rFonts w:ascii="宋体" w:hAnsi="宋体" w:eastAsia="宋体" w:cs="宋体"/>
                <w:szCs w:val="21"/>
                <w:lang w:val="zh-CN" w:bidi="zh-CN"/>
              </w:rPr>
            </w:pPr>
            <w:r>
              <w:rPr>
                <w:rFonts w:hint="eastAsia" w:ascii="宋体" w:hAnsi="宋体" w:eastAsia="宋体" w:cs="宋体"/>
                <w:b/>
                <w:bCs/>
                <w:szCs w:val="21"/>
                <w:lang w:val="zh-CN" w:bidi="zh-CN"/>
              </w:rPr>
              <w:t>员工总人数：</w:t>
            </w:r>
          </w:p>
        </w:tc>
      </w:tr>
      <w:tr w14:paraId="2DB25E2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7E063095">
            <w:pPr>
              <w:spacing w:before="153"/>
              <w:ind w:left="130" w:right="121"/>
              <w:jc w:val="center"/>
              <w:rPr>
                <w:rFonts w:ascii="宋体" w:hAnsi="宋体" w:eastAsia="宋体" w:cs="宋体"/>
                <w:b/>
                <w:bCs/>
                <w:szCs w:val="21"/>
                <w:lang w:val="zh-CN" w:bidi="zh-CN"/>
              </w:rPr>
            </w:pPr>
            <w:r>
              <w:rPr>
                <w:rFonts w:hint="eastAsia" w:ascii="宋体" w:hAnsi="宋体" w:eastAsia="宋体" w:cs="宋体"/>
                <w:b/>
                <w:bCs/>
                <w:szCs w:val="21"/>
                <w:lang w:val="zh-CN" w:bidi="zh-CN"/>
              </w:rPr>
              <w:t>企业资质等级</w:t>
            </w:r>
          </w:p>
        </w:tc>
        <w:tc>
          <w:tcPr>
            <w:tcW w:w="1980" w:type="dxa"/>
            <w:gridSpan w:val="2"/>
            <w:vAlign w:val="top"/>
          </w:tcPr>
          <w:p w14:paraId="628FE781">
            <w:pPr>
              <w:rPr>
                <w:rFonts w:ascii="宋体" w:hAnsi="宋体" w:eastAsia="宋体" w:cs="宋体"/>
                <w:szCs w:val="21"/>
                <w:lang w:val="zh-CN" w:bidi="zh-CN"/>
              </w:rPr>
            </w:pPr>
          </w:p>
        </w:tc>
        <w:tc>
          <w:tcPr>
            <w:tcW w:w="529" w:type="dxa"/>
            <w:vMerge w:val="restart"/>
            <w:vAlign w:val="top"/>
          </w:tcPr>
          <w:p w14:paraId="37715F6A">
            <w:pPr>
              <w:rPr>
                <w:rFonts w:ascii="宋体" w:hAnsi="宋体" w:eastAsia="宋体" w:cs="宋体"/>
                <w:szCs w:val="21"/>
                <w:lang w:val="zh-CN" w:bidi="zh-CN"/>
              </w:rPr>
            </w:pPr>
          </w:p>
          <w:p w14:paraId="6CB8A0B1">
            <w:pPr>
              <w:rPr>
                <w:rFonts w:ascii="宋体" w:hAnsi="宋体" w:eastAsia="宋体" w:cs="宋体"/>
                <w:szCs w:val="21"/>
                <w:lang w:val="zh-CN" w:bidi="zh-CN"/>
              </w:rPr>
            </w:pPr>
          </w:p>
          <w:p w14:paraId="64688A20">
            <w:pPr>
              <w:spacing w:before="12"/>
              <w:rPr>
                <w:rFonts w:ascii="宋体" w:hAnsi="宋体" w:eastAsia="宋体" w:cs="宋体"/>
                <w:szCs w:val="21"/>
                <w:lang w:val="zh-CN" w:bidi="zh-CN"/>
              </w:rPr>
            </w:pPr>
          </w:p>
          <w:p w14:paraId="20350532">
            <w:pPr>
              <w:spacing w:before="1" w:line="410" w:lineRule="auto"/>
              <w:ind w:left="108" w:right="209"/>
              <w:rPr>
                <w:rFonts w:ascii="宋体" w:hAnsi="宋体" w:eastAsia="宋体" w:cs="宋体"/>
                <w:szCs w:val="21"/>
                <w:lang w:val="zh-CN" w:bidi="zh-CN"/>
              </w:rPr>
            </w:pPr>
            <w:r>
              <w:rPr>
                <w:rFonts w:hint="eastAsia" w:ascii="宋体" w:hAnsi="宋体" w:eastAsia="宋体" w:cs="宋体"/>
                <w:szCs w:val="21"/>
                <w:lang w:val="zh-CN" w:bidi="zh-CN"/>
              </w:rPr>
              <w:t>其中</w:t>
            </w:r>
          </w:p>
        </w:tc>
        <w:tc>
          <w:tcPr>
            <w:tcW w:w="1991" w:type="dxa"/>
            <w:gridSpan w:val="2"/>
            <w:vAlign w:val="top"/>
          </w:tcPr>
          <w:p w14:paraId="072466D1">
            <w:pPr>
              <w:spacing w:before="153"/>
              <w:ind w:left="594"/>
              <w:rPr>
                <w:rFonts w:ascii="宋体" w:hAnsi="宋体" w:eastAsia="宋体" w:cs="宋体"/>
                <w:b/>
                <w:bCs/>
                <w:szCs w:val="21"/>
                <w:lang w:val="zh-CN" w:bidi="zh-CN"/>
              </w:rPr>
            </w:pPr>
            <w:r>
              <w:rPr>
                <w:rFonts w:hint="eastAsia" w:ascii="宋体" w:hAnsi="宋体" w:eastAsia="宋体" w:cs="宋体"/>
                <w:b/>
                <w:bCs/>
                <w:szCs w:val="21"/>
                <w:lang w:val="zh-CN" w:bidi="zh-CN"/>
              </w:rPr>
              <w:t>项目经理</w:t>
            </w:r>
          </w:p>
        </w:tc>
        <w:tc>
          <w:tcPr>
            <w:tcW w:w="2520" w:type="dxa"/>
            <w:gridSpan w:val="2"/>
            <w:vAlign w:val="top"/>
          </w:tcPr>
          <w:p w14:paraId="7BA466C5">
            <w:pPr>
              <w:rPr>
                <w:rFonts w:ascii="宋体" w:hAnsi="宋体" w:eastAsia="宋体" w:cs="宋体"/>
                <w:szCs w:val="21"/>
                <w:lang w:val="zh-CN" w:bidi="zh-CN"/>
              </w:rPr>
            </w:pPr>
          </w:p>
        </w:tc>
      </w:tr>
      <w:tr w14:paraId="382F83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5FDBF562">
            <w:pPr>
              <w:spacing w:before="152"/>
              <w:ind w:left="130" w:right="123"/>
              <w:jc w:val="center"/>
              <w:rPr>
                <w:rFonts w:ascii="宋体" w:hAnsi="宋体" w:eastAsia="宋体" w:cs="宋体"/>
                <w:b/>
                <w:bCs/>
                <w:szCs w:val="21"/>
                <w:lang w:val="zh-CN" w:bidi="zh-CN"/>
              </w:rPr>
            </w:pPr>
            <w:r>
              <w:rPr>
                <w:rFonts w:hint="eastAsia" w:ascii="宋体" w:hAnsi="宋体" w:eastAsia="宋体" w:cs="宋体"/>
                <w:b/>
                <w:bCs/>
                <w:szCs w:val="21"/>
                <w:lang w:val="zh-CN" w:bidi="zh-CN"/>
              </w:rPr>
              <w:t>注册资本</w:t>
            </w:r>
          </w:p>
        </w:tc>
        <w:tc>
          <w:tcPr>
            <w:tcW w:w="1980" w:type="dxa"/>
            <w:gridSpan w:val="2"/>
            <w:vAlign w:val="top"/>
          </w:tcPr>
          <w:p w14:paraId="4EDF5E23">
            <w:pPr>
              <w:rPr>
                <w:rFonts w:ascii="宋体" w:hAnsi="宋体" w:eastAsia="宋体" w:cs="宋体"/>
                <w:szCs w:val="21"/>
                <w:lang w:val="zh-CN" w:bidi="zh-CN"/>
              </w:rPr>
            </w:pPr>
          </w:p>
        </w:tc>
        <w:tc>
          <w:tcPr>
            <w:tcW w:w="529" w:type="dxa"/>
            <w:vMerge w:val="continue"/>
            <w:tcBorders>
              <w:top w:val="nil"/>
            </w:tcBorders>
            <w:vAlign w:val="top"/>
          </w:tcPr>
          <w:p w14:paraId="35BA04A4">
            <w:pPr>
              <w:rPr>
                <w:rFonts w:ascii="宋体" w:hAnsi="宋体" w:eastAsia="宋体" w:cs="宋体"/>
                <w:szCs w:val="21"/>
              </w:rPr>
            </w:pPr>
          </w:p>
        </w:tc>
        <w:tc>
          <w:tcPr>
            <w:tcW w:w="1991" w:type="dxa"/>
            <w:gridSpan w:val="2"/>
            <w:vAlign w:val="top"/>
          </w:tcPr>
          <w:p w14:paraId="24CD9C85">
            <w:pPr>
              <w:spacing w:before="152"/>
              <w:ind w:left="395"/>
              <w:rPr>
                <w:rFonts w:ascii="宋体" w:hAnsi="宋体" w:eastAsia="宋体" w:cs="宋体"/>
                <w:b/>
                <w:bCs/>
                <w:szCs w:val="21"/>
                <w:lang w:val="zh-CN" w:bidi="zh-CN"/>
              </w:rPr>
            </w:pPr>
            <w:r>
              <w:rPr>
                <w:rFonts w:hint="eastAsia" w:ascii="宋体" w:hAnsi="宋体" w:eastAsia="宋体" w:cs="宋体"/>
                <w:b/>
                <w:bCs/>
                <w:szCs w:val="21"/>
                <w:lang w:val="zh-CN" w:bidi="zh-CN"/>
              </w:rPr>
              <w:t>高级职称人员</w:t>
            </w:r>
          </w:p>
        </w:tc>
        <w:tc>
          <w:tcPr>
            <w:tcW w:w="2520" w:type="dxa"/>
            <w:gridSpan w:val="2"/>
            <w:vAlign w:val="top"/>
          </w:tcPr>
          <w:p w14:paraId="306254B4">
            <w:pPr>
              <w:rPr>
                <w:rFonts w:ascii="宋体" w:hAnsi="宋体" w:eastAsia="宋体" w:cs="宋体"/>
                <w:szCs w:val="21"/>
                <w:lang w:val="zh-CN" w:bidi="zh-CN"/>
              </w:rPr>
            </w:pPr>
          </w:p>
        </w:tc>
      </w:tr>
      <w:tr w14:paraId="6543A45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52F037DD">
            <w:pPr>
              <w:spacing w:before="153"/>
              <w:ind w:left="130" w:right="123"/>
              <w:jc w:val="center"/>
              <w:rPr>
                <w:rFonts w:ascii="宋体" w:hAnsi="宋体" w:eastAsia="宋体" w:cs="宋体"/>
                <w:b/>
                <w:bCs/>
                <w:szCs w:val="21"/>
                <w:lang w:val="zh-CN" w:bidi="zh-CN"/>
              </w:rPr>
            </w:pPr>
            <w:r>
              <w:rPr>
                <w:rFonts w:hint="eastAsia" w:ascii="宋体" w:hAnsi="宋体" w:eastAsia="宋体" w:cs="宋体"/>
                <w:b/>
                <w:bCs/>
                <w:szCs w:val="21"/>
                <w:lang w:val="zh-CN" w:bidi="zh-CN"/>
              </w:rPr>
              <w:t>成立日期</w:t>
            </w:r>
          </w:p>
        </w:tc>
        <w:tc>
          <w:tcPr>
            <w:tcW w:w="1980" w:type="dxa"/>
            <w:gridSpan w:val="2"/>
            <w:vAlign w:val="top"/>
          </w:tcPr>
          <w:p w14:paraId="18521DDB">
            <w:pPr>
              <w:rPr>
                <w:rFonts w:ascii="宋体" w:hAnsi="宋体" w:eastAsia="宋体" w:cs="宋体"/>
                <w:szCs w:val="21"/>
                <w:lang w:val="zh-CN" w:bidi="zh-CN"/>
              </w:rPr>
            </w:pPr>
          </w:p>
        </w:tc>
        <w:tc>
          <w:tcPr>
            <w:tcW w:w="529" w:type="dxa"/>
            <w:vMerge w:val="continue"/>
            <w:tcBorders>
              <w:top w:val="nil"/>
            </w:tcBorders>
            <w:vAlign w:val="top"/>
          </w:tcPr>
          <w:p w14:paraId="68DE2FBB">
            <w:pPr>
              <w:rPr>
                <w:rFonts w:ascii="宋体" w:hAnsi="宋体" w:eastAsia="宋体" w:cs="宋体"/>
                <w:szCs w:val="21"/>
              </w:rPr>
            </w:pPr>
          </w:p>
        </w:tc>
        <w:tc>
          <w:tcPr>
            <w:tcW w:w="1991" w:type="dxa"/>
            <w:gridSpan w:val="2"/>
            <w:vAlign w:val="top"/>
          </w:tcPr>
          <w:p w14:paraId="7B6E4685">
            <w:pPr>
              <w:spacing w:before="153"/>
              <w:ind w:left="395"/>
              <w:rPr>
                <w:rFonts w:ascii="宋体" w:hAnsi="宋体" w:eastAsia="宋体" w:cs="宋体"/>
                <w:b/>
                <w:bCs/>
                <w:szCs w:val="21"/>
                <w:lang w:val="zh-CN" w:bidi="zh-CN"/>
              </w:rPr>
            </w:pPr>
            <w:r>
              <w:rPr>
                <w:rFonts w:hint="eastAsia" w:ascii="宋体" w:hAnsi="宋体" w:eastAsia="宋体" w:cs="宋体"/>
                <w:b/>
                <w:bCs/>
                <w:szCs w:val="21"/>
                <w:lang w:val="zh-CN" w:bidi="zh-CN"/>
              </w:rPr>
              <w:t>中级职称人员</w:t>
            </w:r>
          </w:p>
        </w:tc>
        <w:tc>
          <w:tcPr>
            <w:tcW w:w="2520" w:type="dxa"/>
            <w:gridSpan w:val="2"/>
            <w:vAlign w:val="top"/>
          </w:tcPr>
          <w:p w14:paraId="00BB00E7">
            <w:pPr>
              <w:rPr>
                <w:rFonts w:ascii="宋体" w:hAnsi="宋体" w:eastAsia="宋体" w:cs="宋体"/>
                <w:szCs w:val="21"/>
                <w:lang w:val="zh-CN" w:bidi="zh-CN"/>
              </w:rPr>
            </w:pPr>
          </w:p>
        </w:tc>
      </w:tr>
      <w:tr w14:paraId="1F33BA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7061597E">
            <w:pPr>
              <w:spacing w:before="152"/>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基本账户开户银行</w:t>
            </w:r>
          </w:p>
        </w:tc>
        <w:tc>
          <w:tcPr>
            <w:tcW w:w="1980" w:type="dxa"/>
            <w:gridSpan w:val="2"/>
            <w:vAlign w:val="top"/>
          </w:tcPr>
          <w:p w14:paraId="20E1C7DF">
            <w:pPr>
              <w:rPr>
                <w:rFonts w:ascii="宋体" w:hAnsi="宋体" w:eastAsia="宋体" w:cs="宋体"/>
                <w:szCs w:val="21"/>
                <w:lang w:val="zh-CN" w:bidi="zh-CN"/>
              </w:rPr>
            </w:pPr>
          </w:p>
        </w:tc>
        <w:tc>
          <w:tcPr>
            <w:tcW w:w="529" w:type="dxa"/>
            <w:vMerge w:val="continue"/>
            <w:tcBorders>
              <w:top w:val="nil"/>
            </w:tcBorders>
            <w:vAlign w:val="top"/>
          </w:tcPr>
          <w:p w14:paraId="53A336D1">
            <w:pPr>
              <w:rPr>
                <w:rFonts w:ascii="宋体" w:hAnsi="宋体" w:eastAsia="宋体" w:cs="宋体"/>
                <w:szCs w:val="21"/>
              </w:rPr>
            </w:pPr>
          </w:p>
        </w:tc>
        <w:tc>
          <w:tcPr>
            <w:tcW w:w="1991" w:type="dxa"/>
            <w:gridSpan w:val="2"/>
            <w:vAlign w:val="top"/>
          </w:tcPr>
          <w:p w14:paraId="0B54AC05">
            <w:pPr>
              <w:spacing w:before="152"/>
              <w:ind w:left="395"/>
              <w:rPr>
                <w:rFonts w:ascii="宋体" w:hAnsi="宋体" w:eastAsia="宋体" w:cs="宋体"/>
                <w:b/>
                <w:bCs/>
                <w:szCs w:val="21"/>
                <w:lang w:val="zh-CN" w:bidi="zh-CN"/>
              </w:rPr>
            </w:pPr>
            <w:r>
              <w:rPr>
                <w:rFonts w:hint="eastAsia" w:ascii="宋体" w:hAnsi="宋体" w:eastAsia="宋体" w:cs="宋体"/>
                <w:b/>
                <w:bCs/>
                <w:szCs w:val="21"/>
                <w:lang w:val="zh-CN" w:bidi="zh-CN"/>
              </w:rPr>
              <w:t>初级职称人员</w:t>
            </w:r>
          </w:p>
        </w:tc>
        <w:tc>
          <w:tcPr>
            <w:tcW w:w="2520" w:type="dxa"/>
            <w:gridSpan w:val="2"/>
            <w:vAlign w:val="top"/>
          </w:tcPr>
          <w:p w14:paraId="0DFA0B48">
            <w:pPr>
              <w:rPr>
                <w:rFonts w:ascii="宋体" w:hAnsi="宋体" w:eastAsia="宋体" w:cs="宋体"/>
                <w:szCs w:val="21"/>
                <w:lang w:val="zh-CN" w:bidi="zh-CN"/>
              </w:rPr>
            </w:pPr>
          </w:p>
        </w:tc>
      </w:tr>
      <w:tr w14:paraId="5FC98B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5BAB98E5">
            <w:pPr>
              <w:spacing w:before="153"/>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基本账户银行账号</w:t>
            </w:r>
          </w:p>
        </w:tc>
        <w:tc>
          <w:tcPr>
            <w:tcW w:w="1980" w:type="dxa"/>
            <w:gridSpan w:val="2"/>
            <w:vAlign w:val="top"/>
          </w:tcPr>
          <w:p w14:paraId="2108E9C3">
            <w:pPr>
              <w:rPr>
                <w:rFonts w:ascii="宋体" w:hAnsi="宋体" w:eastAsia="宋体" w:cs="宋体"/>
                <w:szCs w:val="21"/>
                <w:lang w:val="zh-CN" w:bidi="zh-CN"/>
              </w:rPr>
            </w:pPr>
          </w:p>
        </w:tc>
        <w:tc>
          <w:tcPr>
            <w:tcW w:w="529" w:type="dxa"/>
            <w:vMerge w:val="continue"/>
            <w:tcBorders>
              <w:top w:val="nil"/>
            </w:tcBorders>
            <w:vAlign w:val="top"/>
          </w:tcPr>
          <w:p w14:paraId="2C5BEA74">
            <w:pPr>
              <w:rPr>
                <w:rFonts w:ascii="宋体" w:hAnsi="宋体" w:eastAsia="宋体" w:cs="宋体"/>
                <w:szCs w:val="21"/>
              </w:rPr>
            </w:pPr>
          </w:p>
        </w:tc>
        <w:tc>
          <w:tcPr>
            <w:tcW w:w="1991" w:type="dxa"/>
            <w:gridSpan w:val="2"/>
            <w:vAlign w:val="top"/>
          </w:tcPr>
          <w:p w14:paraId="5F249B58">
            <w:pPr>
              <w:spacing w:before="91"/>
              <w:ind w:left="772" w:right="768"/>
              <w:jc w:val="center"/>
              <w:rPr>
                <w:rFonts w:ascii="宋体" w:hAnsi="宋体" w:eastAsia="宋体" w:cs="宋体"/>
                <w:b/>
                <w:bCs/>
                <w:szCs w:val="21"/>
                <w:lang w:val="zh-CN" w:bidi="zh-CN"/>
              </w:rPr>
            </w:pPr>
            <w:r>
              <w:rPr>
                <w:rFonts w:hint="eastAsia" w:ascii="宋体" w:hAnsi="宋体" w:eastAsia="宋体" w:cs="宋体"/>
                <w:b/>
                <w:bCs/>
                <w:szCs w:val="21"/>
                <w:lang w:val="zh-CN" w:bidi="zh-CN"/>
              </w:rPr>
              <w:t>技工</w:t>
            </w:r>
          </w:p>
        </w:tc>
        <w:tc>
          <w:tcPr>
            <w:tcW w:w="2520" w:type="dxa"/>
            <w:gridSpan w:val="2"/>
            <w:vAlign w:val="top"/>
          </w:tcPr>
          <w:p w14:paraId="18020FAA">
            <w:pPr>
              <w:rPr>
                <w:rFonts w:ascii="宋体" w:hAnsi="宋体" w:eastAsia="宋体" w:cs="宋体"/>
                <w:szCs w:val="21"/>
                <w:lang w:val="zh-CN" w:bidi="zh-CN"/>
              </w:rPr>
            </w:pPr>
          </w:p>
        </w:tc>
      </w:tr>
      <w:tr w14:paraId="1455B45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760" w:hRule="atLeast"/>
          <w:jc w:val="center"/>
        </w:trPr>
        <w:tc>
          <w:tcPr>
            <w:tcW w:w="2533" w:type="dxa"/>
            <w:vAlign w:val="top"/>
          </w:tcPr>
          <w:p w14:paraId="2803FEB4">
            <w:pPr>
              <w:rPr>
                <w:rFonts w:ascii="宋体" w:hAnsi="宋体" w:eastAsia="宋体" w:cs="宋体"/>
                <w:b/>
                <w:bCs/>
                <w:szCs w:val="21"/>
                <w:lang w:val="zh-CN" w:bidi="zh-CN"/>
              </w:rPr>
            </w:pPr>
          </w:p>
          <w:p w14:paraId="49499B2F">
            <w:pPr>
              <w:rPr>
                <w:rFonts w:ascii="宋体" w:hAnsi="宋体" w:eastAsia="宋体" w:cs="宋体"/>
                <w:b/>
                <w:bCs/>
                <w:szCs w:val="21"/>
                <w:lang w:val="zh-CN" w:bidi="zh-CN"/>
              </w:rPr>
            </w:pPr>
          </w:p>
          <w:p w14:paraId="7D1239FC">
            <w:pPr>
              <w:spacing w:before="5"/>
              <w:rPr>
                <w:rFonts w:ascii="宋体" w:hAnsi="宋体" w:eastAsia="宋体" w:cs="宋体"/>
                <w:b/>
                <w:bCs/>
                <w:szCs w:val="21"/>
                <w:lang w:val="zh-CN" w:bidi="zh-CN"/>
              </w:rPr>
            </w:pPr>
          </w:p>
          <w:p w14:paraId="0D3DF7D6">
            <w:pPr>
              <w:ind w:left="130" w:right="123"/>
              <w:jc w:val="center"/>
              <w:rPr>
                <w:rFonts w:ascii="宋体" w:hAnsi="宋体" w:eastAsia="宋体" w:cs="宋体"/>
                <w:b/>
                <w:bCs/>
                <w:szCs w:val="21"/>
                <w:lang w:val="zh-CN" w:bidi="zh-CN"/>
              </w:rPr>
            </w:pPr>
            <w:r>
              <w:rPr>
                <w:rFonts w:hint="eastAsia" w:ascii="宋体" w:hAnsi="宋体" w:eastAsia="宋体" w:cs="宋体"/>
                <w:b/>
                <w:bCs/>
                <w:szCs w:val="21"/>
                <w:lang w:val="zh-CN" w:bidi="zh-CN"/>
              </w:rPr>
              <w:t>经营范围</w:t>
            </w:r>
          </w:p>
        </w:tc>
        <w:tc>
          <w:tcPr>
            <w:tcW w:w="7020" w:type="dxa"/>
            <w:gridSpan w:val="7"/>
            <w:vAlign w:val="top"/>
          </w:tcPr>
          <w:p w14:paraId="6782C8BD">
            <w:pPr>
              <w:rPr>
                <w:rFonts w:ascii="宋体" w:hAnsi="宋体" w:eastAsia="宋体" w:cs="宋体"/>
                <w:szCs w:val="21"/>
                <w:lang w:val="zh-CN" w:bidi="zh-CN"/>
              </w:rPr>
            </w:pPr>
          </w:p>
        </w:tc>
      </w:tr>
      <w:tr w14:paraId="5FDCC4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040" w:hRule="atLeast"/>
          <w:jc w:val="center"/>
        </w:trPr>
        <w:tc>
          <w:tcPr>
            <w:tcW w:w="2533" w:type="dxa"/>
            <w:vAlign w:val="top"/>
          </w:tcPr>
          <w:p w14:paraId="6D241562">
            <w:pPr>
              <w:rPr>
                <w:rFonts w:ascii="宋体" w:hAnsi="宋体" w:eastAsia="宋体" w:cs="宋体"/>
                <w:b/>
                <w:bCs/>
                <w:szCs w:val="21"/>
                <w:lang w:val="zh-CN" w:bidi="zh-CN"/>
              </w:rPr>
            </w:pPr>
          </w:p>
          <w:p w14:paraId="04C7128A">
            <w:pPr>
              <w:rPr>
                <w:rFonts w:ascii="宋体" w:hAnsi="宋体" w:eastAsia="宋体" w:cs="宋体"/>
                <w:b/>
                <w:bCs/>
                <w:szCs w:val="21"/>
                <w:lang w:val="zh-CN" w:bidi="zh-CN"/>
              </w:rPr>
            </w:pPr>
          </w:p>
          <w:p w14:paraId="74679D01">
            <w:pPr>
              <w:spacing w:before="1"/>
              <w:rPr>
                <w:rFonts w:ascii="宋体" w:hAnsi="宋体" w:eastAsia="宋体" w:cs="宋体"/>
                <w:b/>
                <w:bCs/>
                <w:szCs w:val="21"/>
                <w:lang w:val="zh-CN" w:bidi="zh-CN"/>
              </w:rPr>
            </w:pPr>
          </w:p>
          <w:p w14:paraId="7BC21EBE">
            <w:pPr>
              <w:spacing w:line="412" w:lineRule="auto"/>
              <w:ind w:left="750" w:right="242" w:hanging="500"/>
              <w:rPr>
                <w:rFonts w:ascii="宋体" w:hAnsi="宋体" w:eastAsia="宋体" w:cs="宋体"/>
                <w:b/>
                <w:bCs/>
                <w:szCs w:val="21"/>
                <w:lang w:val="zh-CN" w:bidi="zh-CN"/>
              </w:rPr>
            </w:pPr>
            <w:r>
              <w:rPr>
                <w:rFonts w:hint="eastAsia" w:ascii="宋体" w:hAnsi="宋体" w:eastAsia="宋体" w:cs="宋体"/>
                <w:b/>
                <w:bCs/>
                <w:szCs w:val="21"/>
                <w:lang w:val="zh-CN" w:bidi="zh-CN"/>
              </w:rPr>
              <w:t>供应商关联企业情况</w:t>
            </w:r>
          </w:p>
        </w:tc>
        <w:tc>
          <w:tcPr>
            <w:tcW w:w="7020" w:type="dxa"/>
            <w:gridSpan w:val="7"/>
            <w:vAlign w:val="top"/>
          </w:tcPr>
          <w:p w14:paraId="7F409BD5">
            <w:pPr>
              <w:spacing w:before="144"/>
              <w:ind w:left="108"/>
              <w:rPr>
                <w:rFonts w:ascii="宋体" w:hAnsi="宋体" w:eastAsia="宋体" w:cs="宋体"/>
                <w:szCs w:val="21"/>
                <w:lang w:val="zh-CN" w:bidi="zh-CN"/>
              </w:rPr>
            </w:pPr>
            <w:r>
              <w:rPr>
                <w:rFonts w:hint="eastAsia" w:ascii="宋体" w:hAnsi="宋体" w:eastAsia="宋体" w:cs="宋体"/>
                <w:szCs w:val="21"/>
                <w:lang w:val="zh-CN" w:bidi="zh-CN"/>
              </w:rPr>
              <w:t>供应商应提供关联企业情况，包括：</w:t>
            </w:r>
          </w:p>
          <w:p w14:paraId="69367E29">
            <w:pPr>
              <w:numPr>
                <w:ilvl w:val="0"/>
                <w:numId w:val="6"/>
              </w:numPr>
              <w:tabs>
                <w:tab w:val="left" w:pos="508"/>
              </w:tabs>
              <w:spacing w:before="142"/>
              <w:ind w:hanging="501"/>
              <w:rPr>
                <w:rFonts w:ascii="宋体" w:hAnsi="宋体" w:eastAsia="宋体" w:cs="宋体"/>
                <w:szCs w:val="21"/>
                <w:lang w:val="zh-CN" w:bidi="zh-CN"/>
              </w:rPr>
            </w:pPr>
            <w:r>
              <w:rPr>
                <w:rFonts w:hint="eastAsia" w:ascii="宋体" w:hAnsi="宋体" w:eastAsia="宋体" w:cs="宋体"/>
                <w:szCs w:val="21"/>
                <w:lang w:val="zh-CN" w:bidi="zh-CN"/>
              </w:rPr>
              <w:t>供应商的所有股东名称及相应股权（出资额）比例</w:t>
            </w:r>
          </w:p>
          <w:p w14:paraId="6FB03A55">
            <w:pPr>
              <w:numPr>
                <w:ilvl w:val="0"/>
                <w:numId w:val="6"/>
              </w:numPr>
              <w:tabs>
                <w:tab w:val="left" w:pos="508"/>
              </w:tabs>
              <w:spacing w:before="144"/>
              <w:ind w:hanging="501"/>
              <w:rPr>
                <w:rFonts w:ascii="宋体" w:hAnsi="宋体" w:eastAsia="宋体" w:cs="宋体"/>
                <w:szCs w:val="21"/>
                <w:lang w:val="zh-CN" w:bidi="zh-CN"/>
              </w:rPr>
            </w:pPr>
            <w:r>
              <w:rPr>
                <w:rFonts w:hint="eastAsia" w:ascii="宋体" w:hAnsi="宋体" w:eastAsia="宋体" w:cs="宋体"/>
                <w:szCs w:val="21"/>
                <w:lang w:val="zh-CN" w:bidi="zh-CN"/>
              </w:rPr>
              <w:t>供应商投资（控股）或管理的下属企业名称、持有股权（出资额）比例；</w:t>
            </w:r>
          </w:p>
          <w:p w14:paraId="7B1A2C49">
            <w:pPr>
              <w:numPr>
                <w:ilvl w:val="0"/>
                <w:numId w:val="6"/>
              </w:numPr>
              <w:tabs>
                <w:tab w:val="left" w:pos="508"/>
              </w:tabs>
              <w:spacing w:before="145"/>
              <w:ind w:hanging="501"/>
              <w:rPr>
                <w:rFonts w:ascii="宋体" w:hAnsi="宋体" w:eastAsia="宋体" w:cs="宋体"/>
                <w:szCs w:val="21"/>
                <w:lang w:val="zh-CN" w:bidi="zh-CN"/>
              </w:rPr>
            </w:pPr>
            <w:r>
              <w:rPr>
                <w:rFonts w:hint="eastAsia" w:ascii="宋体" w:hAnsi="宋体" w:eastAsia="宋体" w:cs="宋体"/>
                <w:szCs w:val="21"/>
                <w:lang w:val="zh-CN" w:bidi="zh-CN"/>
              </w:rPr>
              <w:t>与供应商单位负责人（即法定代表人）为同一人的其他单位名称</w:t>
            </w:r>
          </w:p>
        </w:tc>
      </w:tr>
      <w:tr w14:paraId="70CE0F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40" w:hRule="atLeast"/>
          <w:jc w:val="center"/>
        </w:trPr>
        <w:tc>
          <w:tcPr>
            <w:tcW w:w="2533" w:type="dxa"/>
            <w:vAlign w:val="top"/>
          </w:tcPr>
          <w:p w14:paraId="2C0DFD83">
            <w:pPr>
              <w:spacing w:before="153"/>
              <w:ind w:left="130" w:right="125"/>
              <w:jc w:val="center"/>
              <w:rPr>
                <w:rFonts w:ascii="宋体" w:hAnsi="宋体" w:eastAsia="宋体" w:cs="宋体"/>
                <w:b/>
                <w:bCs/>
                <w:szCs w:val="21"/>
                <w:lang w:val="zh-CN" w:bidi="zh-CN"/>
              </w:rPr>
            </w:pPr>
            <w:r>
              <w:rPr>
                <w:rFonts w:hint="eastAsia" w:ascii="宋体" w:hAnsi="宋体" w:eastAsia="宋体" w:cs="宋体"/>
                <w:b/>
                <w:bCs/>
                <w:szCs w:val="21"/>
                <w:lang w:val="zh-CN" w:bidi="zh-CN"/>
              </w:rPr>
              <w:t>备注</w:t>
            </w:r>
          </w:p>
        </w:tc>
        <w:tc>
          <w:tcPr>
            <w:tcW w:w="7020" w:type="dxa"/>
            <w:gridSpan w:val="7"/>
            <w:vAlign w:val="top"/>
          </w:tcPr>
          <w:p w14:paraId="2E0C48E3">
            <w:pPr>
              <w:rPr>
                <w:rFonts w:ascii="宋体" w:hAnsi="宋体" w:eastAsia="宋体" w:cs="宋体"/>
                <w:szCs w:val="21"/>
                <w:lang w:val="zh-CN" w:bidi="zh-CN"/>
              </w:rPr>
            </w:pPr>
          </w:p>
        </w:tc>
      </w:tr>
    </w:tbl>
    <w:p w14:paraId="77980CE4">
      <w:pPr>
        <w:tabs>
          <w:tab w:val="left" w:pos="567"/>
        </w:tabs>
        <w:spacing w:before="120" w:line="22" w:lineRule="atLeast"/>
        <w:rPr>
          <w:rFonts w:ascii="宋体" w:hAnsi="宋体" w:eastAsia="宋体" w:cs="宋体"/>
          <w:sz w:val="24"/>
        </w:rPr>
      </w:pPr>
      <w:r>
        <w:rPr>
          <w:rFonts w:hint="eastAsia" w:ascii="宋体" w:hAnsi="宋体" w:eastAsia="宋体" w:cs="宋体"/>
          <w:sz w:val="24"/>
        </w:rPr>
        <w:t>注：供应商应附统一社会信用代码的营业执照、资质证书、安全生产许可证、基本账户开户许可证。</w:t>
      </w:r>
    </w:p>
    <w:p w14:paraId="394953D1">
      <w:pPr>
        <w:rPr>
          <w:rFonts w:ascii="宋体" w:hAnsi="宋体" w:eastAsia="宋体" w:cs="宋体"/>
          <w:b/>
          <w:kern w:val="0"/>
          <w:sz w:val="24"/>
        </w:rPr>
      </w:pPr>
      <w:r>
        <w:rPr>
          <w:rFonts w:hint="eastAsia" w:ascii="宋体" w:hAnsi="宋体" w:eastAsia="宋体" w:cs="宋体"/>
          <w:b/>
          <w:kern w:val="0"/>
          <w:sz w:val="24"/>
        </w:rPr>
        <w:br w:type="page"/>
      </w:r>
    </w:p>
    <w:p w14:paraId="4E1D92BF">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44" w:name="_Toc10040"/>
      <w:bookmarkStart w:id="1945" w:name="_Toc28800"/>
      <w:r>
        <w:rPr>
          <w:rFonts w:hint="eastAsia" w:ascii="宋体" w:hAnsi="宋体" w:eastAsia="宋体" w:cs="宋体"/>
          <w:b/>
          <w:color w:val="auto"/>
          <w:sz w:val="28"/>
          <w:szCs w:val="28"/>
          <w:highlight w:val="none"/>
          <w:lang w:val="en-US" w:eastAsia="zh-CN"/>
        </w:rPr>
        <w:t>7、供应商的信誉情况表</w:t>
      </w:r>
      <w:bookmarkEnd w:id="1944"/>
      <w:bookmarkEnd w:id="1945"/>
    </w:p>
    <w:p w14:paraId="3F0BC331">
      <w:pPr>
        <w:tabs>
          <w:tab w:val="left" w:pos="567"/>
        </w:tabs>
        <w:spacing w:before="12" w:line="22" w:lineRule="atLeast"/>
        <w:rPr>
          <w:rFonts w:ascii="宋体" w:hAnsi="宋体" w:eastAsia="宋体" w:cs="宋体"/>
          <w:sz w:val="28"/>
          <w:szCs w:val="28"/>
        </w:rPr>
      </w:pPr>
    </w:p>
    <w:tbl>
      <w:tblPr>
        <w:tblStyle w:val="2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3031"/>
        <w:gridCol w:w="5287"/>
      </w:tblGrid>
      <w:tr w14:paraId="7B2B057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vAlign w:val="center"/>
          </w:tcPr>
          <w:p w14:paraId="434040DB">
            <w:pPr>
              <w:jc w:val="center"/>
              <w:rPr>
                <w:rFonts w:ascii="宋体" w:hAnsi="宋体" w:eastAsia="宋体" w:cs="宋体"/>
                <w:b/>
                <w:bCs/>
                <w:sz w:val="28"/>
                <w:szCs w:val="28"/>
                <w:lang w:bidi="zh-CN"/>
              </w:rPr>
            </w:pPr>
            <w:r>
              <w:rPr>
                <w:rFonts w:hint="eastAsia" w:ascii="宋体" w:hAnsi="宋体" w:eastAsia="宋体" w:cs="宋体"/>
                <w:b/>
                <w:bCs/>
                <w:sz w:val="28"/>
                <w:szCs w:val="28"/>
                <w:lang w:bidi="zh-CN"/>
              </w:rPr>
              <w:t>项目名称</w:t>
            </w:r>
          </w:p>
        </w:tc>
        <w:tc>
          <w:tcPr>
            <w:tcW w:w="3177" w:type="pct"/>
            <w:vAlign w:val="center"/>
          </w:tcPr>
          <w:p w14:paraId="40A82A34">
            <w:pPr>
              <w:jc w:val="center"/>
              <w:rPr>
                <w:rFonts w:ascii="宋体" w:hAnsi="宋体" w:eastAsia="宋体" w:cs="宋体"/>
                <w:b/>
                <w:bCs/>
                <w:sz w:val="28"/>
                <w:szCs w:val="28"/>
                <w:lang w:val="zh-CN" w:bidi="zh-CN"/>
              </w:rPr>
            </w:pPr>
            <w:r>
              <w:rPr>
                <w:rFonts w:hint="eastAsia" w:ascii="宋体" w:hAnsi="宋体" w:eastAsia="宋体" w:cs="宋体"/>
                <w:b/>
                <w:bCs/>
                <w:sz w:val="28"/>
                <w:szCs w:val="28"/>
                <w:lang w:bidi="zh-CN"/>
              </w:rPr>
              <w:t>供应商</w:t>
            </w:r>
            <w:r>
              <w:rPr>
                <w:rFonts w:hint="eastAsia" w:ascii="宋体" w:hAnsi="宋体" w:eastAsia="宋体" w:cs="宋体"/>
                <w:b/>
                <w:bCs/>
                <w:sz w:val="28"/>
                <w:szCs w:val="28"/>
                <w:lang w:val="zh-CN" w:bidi="zh-CN"/>
              </w:rPr>
              <w:t>情况说明</w:t>
            </w:r>
          </w:p>
        </w:tc>
      </w:tr>
      <w:tr w14:paraId="781E62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27BBFBF0">
            <w:pPr>
              <w:rPr>
                <w:rFonts w:ascii="宋体" w:hAnsi="宋体" w:eastAsia="宋体" w:cs="宋体"/>
                <w:sz w:val="28"/>
                <w:szCs w:val="28"/>
                <w:lang w:val="zh-CN" w:bidi="zh-CN"/>
              </w:rPr>
            </w:pPr>
          </w:p>
        </w:tc>
        <w:tc>
          <w:tcPr>
            <w:tcW w:w="3177" w:type="pct"/>
          </w:tcPr>
          <w:p w14:paraId="294C1F67">
            <w:pPr>
              <w:rPr>
                <w:rFonts w:ascii="宋体" w:hAnsi="宋体" w:eastAsia="宋体" w:cs="宋体"/>
                <w:sz w:val="28"/>
                <w:szCs w:val="28"/>
                <w:lang w:val="zh-CN" w:bidi="zh-CN"/>
              </w:rPr>
            </w:pPr>
          </w:p>
        </w:tc>
      </w:tr>
      <w:tr w14:paraId="5D3A5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209B1DD4">
            <w:pPr>
              <w:rPr>
                <w:rFonts w:ascii="宋体" w:hAnsi="宋体" w:eastAsia="宋体" w:cs="宋体"/>
                <w:sz w:val="28"/>
                <w:szCs w:val="28"/>
                <w:lang w:val="zh-CN" w:bidi="zh-CN"/>
              </w:rPr>
            </w:pPr>
          </w:p>
        </w:tc>
        <w:tc>
          <w:tcPr>
            <w:tcW w:w="3177" w:type="pct"/>
          </w:tcPr>
          <w:p w14:paraId="3FC0069E">
            <w:pPr>
              <w:rPr>
                <w:rFonts w:ascii="宋体" w:hAnsi="宋体" w:eastAsia="宋体" w:cs="宋体"/>
                <w:sz w:val="28"/>
                <w:szCs w:val="28"/>
                <w:lang w:val="zh-CN" w:bidi="zh-CN"/>
              </w:rPr>
            </w:pPr>
          </w:p>
        </w:tc>
      </w:tr>
      <w:tr w14:paraId="59A599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166B438E">
            <w:pPr>
              <w:rPr>
                <w:rFonts w:ascii="宋体" w:hAnsi="宋体" w:eastAsia="宋体" w:cs="宋体"/>
                <w:sz w:val="28"/>
                <w:szCs w:val="28"/>
                <w:lang w:val="zh-CN" w:bidi="zh-CN"/>
              </w:rPr>
            </w:pPr>
          </w:p>
        </w:tc>
        <w:tc>
          <w:tcPr>
            <w:tcW w:w="3177" w:type="pct"/>
          </w:tcPr>
          <w:p w14:paraId="24B48646">
            <w:pPr>
              <w:rPr>
                <w:rFonts w:ascii="宋体" w:hAnsi="宋体" w:eastAsia="宋体" w:cs="宋体"/>
                <w:sz w:val="28"/>
                <w:szCs w:val="28"/>
                <w:lang w:val="zh-CN" w:bidi="zh-CN"/>
              </w:rPr>
            </w:pPr>
          </w:p>
        </w:tc>
      </w:tr>
      <w:tr w14:paraId="04065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1ED6F6A6">
            <w:pPr>
              <w:rPr>
                <w:rFonts w:ascii="宋体" w:hAnsi="宋体" w:eastAsia="宋体" w:cs="宋体"/>
                <w:sz w:val="28"/>
                <w:szCs w:val="28"/>
                <w:lang w:val="zh-CN" w:bidi="zh-CN"/>
              </w:rPr>
            </w:pPr>
          </w:p>
        </w:tc>
        <w:tc>
          <w:tcPr>
            <w:tcW w:w="3177" w:type="pct"/>
          </w:tcPr>
          <w:p w14:paraId="495D0A22">
            <w:pPr>
              <w:rPr>
                <w:rFonts w:ascii="宋体" w:hAnsi="宋体" w:eastAsia="宋体" w:cs="宋体"/>
                <w:sz w:val="28"/>
                <w:szCs w:val="28"/>
                <w:lang w:val="zh-CN" w:bidi="zh-CN"/>
              </w:rPr>
            </w:pPr>
          </w:p>
        </w:tc>
      </w:tr>
      <w:tr w14:paraId="606D26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04488D1C">
            <w:pPr>
              <w:rPr>
                <w:rFonts w:ascii="宋体" w:hAnsi="宋体" w:eastAsia="宋体" w:cs="宋体"/>
                <w:sz w:val="28"/>
                <w:szCs w:val="28"/>
                <w:lang w:val="zh-CN" w:bidi="zh-CN"/>
              </w:rPr>
            </w:pPr>
          </w:p>
        </w:tc>
        <w:tc>
          <w:tcPr>
            <w:tcW w:w="3177" w:type="pct"/>
          </w:tcPr>
          <w:p w14:paraId="2B647537">
            <w:pPr>
              <w:rPr>
                <w:rFonts w:ascii="宋体" w:hAnsi="宋体" w:eastAsia="宋体" w:cs="宋体"/>
                <w:sz w:val="28"/>
                <w:szCs w:val="28"/>
                <w:lang w:val="zh-CN" w:bidi="zh-CN"/>
              </w:rPr>
            </w:pPr>
          </w:p>
        </w:tc>
      </w:tr>
      <w:tr w14:paraId="0489561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42C40137">
            <w:pPr>
              <w:rPr>
                <w:rFonts w:ascii="宋体" w:hAnsi="宋体" w:eastAsia="宋体" w:cs="宋体"/>
                <w:sz w:val="28"/>
                <w:szCs w:val="28"/>
                <w:lang w:val="zh-CN" w:bidi="zh-CN"/>
              </w:rPr>
            </w:pPr>
          </w:p>
        </w:tc>
        <w:tc>
          <w:tcPr>
            <w:tcW w:w="3177" w:type="pct"/>
          </w:tcPr>
          <w:p w14:paraId="247DEEA4">
            <w:pPr>
              <w:rPr>
                <w:rFonts w:ascii="宋体" w:hAnsi="宋体" w:eastAsia="宋体" w:cs="宋体"/>
                <w:sz w:val="28"/>
                <w:szCs w:val="28"/>
                <w:lang w:val="zh-CN" w:bidi="zh-CN"/>
              </w:rPr>
            </w:pPr>
          </w:p>
        </w:tc>
      </w:tr>
      <w:tr w14:paraId="0CBE7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23" w:hRule="atLeast"/>
          <w:jc w:val="center"/>
        </w:trPr>
        <w:tc>
          <w:tcPr>
            <w:tcW w:w="1822" w:type="pct"/>
          </w:tcPr>
          <w:p w14:paraId="49F20375">
            <w:pPr>
              <w:rPr>
                <w:rFonts w:ascii="宋体" w:hAnsi="宋体" w:eastAsia="宋体" w:cs="宋体"/>
                <w:sz w:val="28"/>
                <w:szCs w:val="28"/>
                <w:lang w:val="zh-CN" w:bidi="zh-CN"/>
              </w:rPr>
            </w:pPr>
          </w:p>
        </w:tc>
        <w:tc>
          <w:tcPr>
            <w:tcW w:w="3177" w:type="pct"/>
          </w:tcPr>
          <w:p w14:paraId="27BFE0C2">
            <w:pPr>
              <w:rPr>
                <w:rFonts w:ascii="宋体" w:hAnsi="宋体" w:eastAsia="宋体" w:cs="宋体"/>
                <w:sz w:val="28"/>
                <w:szCs w:val="28"/>
                <w:lang w:val="zh-CN" w:bidi="zh-CN"/>
              </w:rPr>
            </w:pPr>
          </w:p>
        </w:tc>
      </w:tr>
    </w:tbl>
    <w:p w14:paraId="4D5B018B">
      <w:pPr>
        <w:tabs>
          <w:tab w:val="left" w:pos="567"/>
        </w:tabs>
        <w:spacing w:before="120" w:line="360" w:lineRule="auto"/>
        <w:ind w:firstLine="560" w:firstLineChars="200"/>
        <w:rPr>
          <w:rFonts w:ascii="宋体" w:hAnsi="宋体" w:eastAsia="宋体" w:cs="宋体"/>
          <w:sz w:val="28"/>
          <w:szCs w:val="28"/>
        </w:rPr>
      </w:pPr>
    </w:p>
    <w:p w14:paraId="545D0596">
      <w:pPr>
        <w:tabs>
          <w:tab w:val="left" w:pos="567"/>
        </w:tabs>
        <w:spacing w:before="120" w:line="360" w:lineRule="auto"/>
        <w:ind w:firstLine="562" w:firstLineChars="200"/>
        <w:rPr>
          <w:rFonts w:ascii="宋体" w:hAnsi="宋体" w:eastAsia="宋体" w:cs="宋体"/>
          <w:b/>
          <w:bCs/>
          <w:sz w:val="28"/>
          <w:szCs w:val="28"/>
        </w:rPr>
      </w:pPr>
      <w:r>
        <w:rPr>
          <w:rFonts w:hint="eastAsia" w:ascii="宋体" w:hAnsi="宋体" w:eastAsia="宋体" w:cs="宋体"/>
          <w:b/>
          <w:bCs/>
          <w:sz w:val="28"/>
          <w:szCs w:val="28"/>
        </w:rPr>
        <w:t>注：“供应商的信誉情况表”应附供应商</w:t>
      </w:r>
      <w:r>
        <w:rPr>
          <w:rFonts w:hint="eastAsia" w:ascii="宋体" w:hAnsi="宋体" w:eastAsia="宋体" w:cs="宋体"/>
          <w:b/>
          <w:bCs/>
          <w:spacing w:val="-11"/>
          <w:sz w:val="28"/>
          <w:szCs w:val="28"/>
        </w:rPr>
        <w:t>、法定代表人、拟委任的</w:t>
      </w:r>
      <w:r>
        <w:rPr>
          <w:rFonts w:hint="eastAsia" w:ascii="宋体" w:hAnsi="宋体" w:eastAsia="宋体" w:cs="宋体"/>
          <w:b/>
          <w:bCs/>
          <w:sz w:val="28"/>
          <w:szCs w:val="28"/>
        </w:rPr>
        <w:t>项目经理近三年无行贿犯罪行为进行承诺。</w:t>
      </w:r>
    </w:p>
    <w:p w14:paraId="40B3F10D">
      <w:pPr>
        <w:spacing w:line="360" w:lineRule="auto"/>
        <w:ind w:left="840"/>
        <w:rPr>
          <w:rFonts w:ascii="宋体" w:hAnsi="宋体" w:eastAsia="宋体" w:cs="宋体"/>
          <w:sz w:val="28"/>
          <w:szCs w:val="28"/>
        </w:rPr>
      </w:pPr>
    </w:p>
    <w:p w14:paraId="7BCA22B5">
      <w:pPr>
        <w:rPr>
          <w:rFonts w:ascii="宋体" w:hAnsi="宋体" w:eastAsia="宋体" w:cs="宋体"/>
          <w:b/>
          <w:bCs/>
          <w:sz w:val="28"/>
          <w:szCs w:val="28"/>
        </w:rPr>
      </w:pPr>
      <w:r>
        <w:rPr>
          <w:rFonts w:hint="eastAsia" w:ascii="宋体" w:hAnsi="宋体" w:eastAsia="宋体" w:cs="宋体"/>
          <w:b/>
          <w:bCs/>
          <w:sz w:val="28"/>
          <w:szCs w:val="28"/>
        </w:rPr>
        <w:br w:type="page"/>
      </w:r>
    </w:p>
    <w:p w14:paraId="60828BB1">
      <w:pPr>
        <w:tabs>
          <w:tab w:val="left" w:pos="567"/>
        </w:tabs>
        <w:spacing w:before="120" w:line="22" w:lineRule="atLeast"/>
        <w:ind w:left="1" w:right="199"/>
        <w:jc w:val="center"/>
        <w:rPr>
          <w:rFonts w:ascii="宋体" w:hAnsi="宋体" w:eastAsia="宋体" w:cs="宋体"/>
          <w:b/>
          <w:bCs/>
          <w:sz w:val="28"/>
          <w:szCs w:val="28"/>
        </w:rPr>
      </w:pPr>
      <w:r>
        <w:rPr>
          <w:rFonts w:hint="eastAsia" w:ascii="宋体" w:hAnsi="宋体" w:eastAsia="宋体" w:cs="宋体"/>
          <w:b/>
          <w:bCs/>
          <w:sz w:val="28"/>
          <w:szCs w:val="28"/>
        </w:rPr>
        <w:t>投标无行贿犯罪记录承诺函</w:t>
      </w:r>
    </w:p>
    <w:p w14:paraId="21237CB9">
      <w:pPr>
        <w:tabs>
          <w:tab w:val="left" w:pos="567"/>
        </w:tabs>
        <w:spacing w:before="120" w:line="22" w:lineRule="atLeast"/>
        <w:rPr>
          <w:rFonts w:ascii="宋体" w:hAnsi="宋体" w:eastAsia="宋体" w:cs="宋体"/>
          <w:sz w:val="28"/>
          <w:szCs w:val="28"/>
        </w:rPr>
      </w:pPr>
    </w:p>
    <w:p w14:paraId="6BE64D02">
      <w:pPr>
        <w:tabs>
          <w:tab w:val="left" w:pos="3359"/>
        </w:tabs>
        <w:spacing w:before="228" w:line="22" w:lineRule="atLeast"/>
        <w:ind w:left="480"/>
        <w:rPr>
          <w:rFonts w:ascii="宋体" w:hAnsi="宋体" w:eastAsia="宋体" w:cs="宋体"/>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（采购人名称）：</w:t>
      </w:r>
    </w:p>
    <w:p w14:paraId="47151C98">
      <w:pPr>
        <w:tabs>
          <w:tab w:val="left" w:pos="567"/>
        </w:tabs>
        <w:spacing w:before="5" w:line="22" w:lineRule="atLeast"/>
        <w:rPr>
          <w:rFonts w:ascii="宋体" w:hAnsi="宋体" w:eastAsia="宋体" w:cs="宋体"/>
          <w:sz w:val="28"/>
          <w:szCs w:val="28"/>
        </w:rPr>
      </w:pPr>
    </w:p>
    <w:p w14:paraId="082EFCF8">
      <w:pPr>
        <w:tabs>
          <w:tab w:val="left" w:pos="567"/>
        </w:tabs>
        <w:spacing w:before="120" w:line="360" w:lineRule="auto"/>
        <w:ind w:firstLine="560" w:firstLineChars="200"/>
        <w:rPr>
          <w:rFonts w:ascii="宋体" w:hAnsi="宋体" w:eastAsia="宋体" w:cs="宋体"/>
          <w:sz w:val="28"/>
          <w:szCs w:val="28"/>
        </w:rPr>
      </w:pPr>
      <w:r>
        <w:rPr>
          <w:rFonts w:hint="eastAsia" w:ascii="宋体" w:hAnsi="宋体" w:eastAsia="宋体" w:cs="宋体"/>
          <w:sz w:val="28"/>
          <w:szCs w:val="28"/>
        </w:rPr>
        <w:t>我方参加了</w:t>
      </w:r>
      <w:r>
        <w:rPr>
          <w:rFonts w:hint="eastAsia" w:ascii="宋体" w:hAnsi="宋体" w:eastAsia="宋体" w:cs="宋体"/>
          <w:sz w:val="28"/>
          <w:szCs w:val="28"/>
          <w:u w:val="single"/>
        </w:rPr>
        <w:t xml:space="preserve">    （项目名称） </w:t>
      </w:r>
      <w:r>
        <w:rPr>
          <w:rFonts w:hint="eastAsia" w:ascii="宋体" w:hAnsi="宋体" w:eastAsia="宋体" w:cs="宋体"/>
          <w:sz w:val="28"/>
          <w:szCs w:val="28"/>
        </w:rPr>
        <w:t>投标，我方承诺，我公司近三年内无行贿犯罪行为，法定代表人</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及拟委任的项目经理</w:t>
      </w:r>
      <w:r>
        <w:rPr>
          <w:rFonts w:hint="eastAsia" w:ascii="宋体" w:hAnsi="宋体" w:eastAsia="宋体" w:cs="宋体"/>
          <w:sz w:val="28"/>
          <w:szCs w:val="28"/>
          <w:u w:val="single"/>
        </w:rPr>
        <w:t xml:space="preserve">    </w:t>
      </w:r>
      <w:r>
        <w:rPr>
          <w:rFonts w:hint="eastAsia" w:ascii="宋体" w:hAnsi="宋体" w:eastAsia="宋体" w:cs="宋体"/>
          <w:sz w:val="28"/>
          <w:szCs w:val="28"/>
          <w:u w:val="single"/>
        </w:rPr>
        <w:tab/>
      </w:r>
      <w:r>
        <w:rPr>
          <w:rFonts w:hint="eastAsia" w:ascii="宋体" w:hAnsi="宋体" w:eastAsia="宋体" w:cs="宋体"/>
          <w:sz w:val="28"/>
          <w:szCs w:val="28"/>
        </w:rPr>
        <w:t>近三年内也无行贿犯罪行为。</w:t>
      </w:r>
    </w:p>
    <w:p w14:paraId="3310408A">
      <w:pPr>
        <w:tabs>
          <w:tab w:val="left" w:pos="567"/>
        </w:tabs>
        <w:spacing w:before="120" w:line="360" w:lineRule="auto"/>
        <w:ind w:firstLine="560" w:firstLineChars="200"/>
        <w:rPr>
          <w:rFonts w:ascii="宋体" w:hAnsi="宋体" w:eastAsia="宋体" w:cs="宋体"/>
          <w:sz w:val="28"/>
          <w:szCs w:val="28"/>
        </w:rPr>
      </w:pPr>
      <w:r>
        <w:rPr>
          <w:rFonts w:hint="eastAsia" w:ascii="宋体" w:hAnsi="宋体" w:eastAsia="宋体" w:cs="宋体"/>
          <w:sz w:val="28"/>
          <w:szCs w:val="28"/>
        </w:rPr>
        <w:t>如我方上述承诺不实，采购人可认为我方弄虚作假骗取中标，按照相关规定进行处理，并由采购人将我方的违约行为上报行业主管部门，作为不良记录纳入行业建设市场信息管理系统。</w:t>
      </w:r>
    </w:p>
    <w:p w14:paraId="6F2016ED">
      <w:pPr>
        <w:tabs>
          <w:tab w:val="left" w:pos="567"/>
        </w:tabs>
        <w:spacing w:before="120" w:line="22" w:lineRule="atLeast"/>
        <w:rPr>
          <w:rFonts w:ascii="宋体" w:hAnsi="宋体" w:eastAsia="宋体" w:cs="宋体"/>
          <w:sz w:val="28"/>
          <w:szCs w:val="28"/>
        </w:rPr>
      </w:pPr>
    </w:p>
    <w:p w14:paraId="4209AE35">
      <w:pPr>
        <w:tabs>
          <w:tab w:val="left" w:pos="5539"/>
          <w:tab w:val="left" w:pos="7639"/>
          <w:tab w:val="left" w:pos="8865"/>
        </w:tabs>
        <w:spacing w:line="400" w:lineRule="exact"/>
        <w:ind w:left="3780" w:firstLine="420"/>
        <w:rPr>
          <w:rFonts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p>
    <w:p w14:paraId="1F26E18C">
      <w:pPr>
        <w:tabs>
          <w:tab w:val="left" w:pos="5539"/>
          <w:tab w:val="left" w:pos="7639"/>
          <w:tab w:val="left" w:pos="8865"/>
        </w:tabs>
        <w:spacing w:line="400" w:lineRule="exact"/>
        <w:ind w:left="3780" w:firstLine="420"/>
        <w:rPr>
          <w:rFonts w:ascii="宋体" w:hAnsi="宋体" w:eastAsia="宋体" w:cs="宋体"/>
          <w:spacing w:val="26"/>
          <w:sz w:val="24"/>
          <w:u w:val="single"/>
        </w:rPr>
      </w:pPr>
      <w:r>
        <w:rPr>
          <w:rFonts w:hint="eastAsia" w:ascii="宋体" w:hAnsi="宋体" w:eastAsia="宋体" w:cs="宋体"/>
          <w:sz w:val="24"/>
        </w:rPr>
        <w:t>法定代表人（签/章）：</w:t>
      </w:r>
      <w:r>
        <w:rPr>
          <w:rFonts w:hint="eastAsia" w:ascii="宋体" w:hAnsi="宋体" w:eastAsia="宋体" w:cs="宋体"/>
          <w:spacing w:val="26"/>
          <w:sz w:val="24"/>
          <w:u w:val="single"/>
        </w:rPr>
        <w:t xml:space="preserve">            </w:t>
      </w:r>
    </w:p>
    <w:p w14:paraId="1F4539F0">
      <w:pPr>
        <w:tabs>
          <w:tab w:val="left" w:pos="5539"/>
          <w:tab w:val="left" w:pos="7639"/>
          <w:tab w:val="left" w:pos="8865"/>
        </w:tabs>
        <w:spacing w:line="400" w:lineRule="exact"/>
        <w:ind w:left="3780" w:firstLine="420"/>
        <w:rPr>
          <w:rFonts w:ascii="宋体" w:hAnsi="宋体" w:eastAsia="宋体" w:cs="宋体"/>
          <w:sz w:val="24"/>
        </w:rPr>
      </w:pPr>
      <w:r>
        <w:rPr>
          <w:rFonts w:hint="eastAsia" w:ascii="宋体" w:hAnsi="宋体" w:eastAsia="宋体" w:cs="宋体"/>
          <w:sz w:val="24"/>
        </w:rPr>
        <w:t>日 期：</w:t>
      </w:r>
      <w:r>
        <w:rPr>
          <w:rFonts w:hint="eastAsia" w:ascii="宋体" w:hAnsi="宋体" w:eastAsia="宋体" w:cs="宋体"/>
          <w:sz w:val="24"/>
          <w:u w:val="single"/>
        </w:rPr>
        <w:t xml:space="preserve">                               </w:t>
      </w:r>
    </w:p>
    <w:p w14:paraId="667A346E">
      <w:pPr>
        <w:spacing w:before="120" w:line="22" w:lineRule="atLeast"/>
        <w:ind w:firstLine="280" w:firstLineChars="100"/>
        <w:rPr>
          <w:rFonts w:ascii="宋体" w:hAnsi="宋体" w:eastAsia="宋体" w:cs="宋体"/>
          <w:sz w:val="28"/>
          <w:szCs w:val="28"/>
        </w:rPr>
      </w:pPr>
    </w:p>
    <w:p w14:paraId="6050F574">
      <w:pPr>
        <w:rPr>
          <w:rFonts w:ascii="宋体" w:hAnsi="宋体" w:eastAsia="宋体" w:cs="宋体"/>
          <w:sz w:val="24"/>
        </w:rPr>
      </w:pPr>
    </w:p>
    <w:p w14:paraId="489B9296">
      <w:pPr>
        <w:rPr>
          <w:rFonts w:ascii="宋体" w:hAnsi="宋体" w:cs="宋体"/>
        </w:rPr>
        <w:sectPr>
          <w:footerReference r:id="rId6" w:type="default"/>
          <w:pgSz w:w="11910" w:h="16840"/>
          <w:pgMar w:top="1440" w:right="1800" w:bottom="1440" w:left="1800" w:header="882" w:footer="989" w:gutter="0"/>
          <w:pgNumType w:fmt="decimal"/>
          <w:cols w:space="720" w:num="1"/>
        </w:sectPr>
      </w:pPr>
    </w:p>
    <w:p w14:paraId="0AF94525">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46" w:name="_Toc11163"/>
      <w:bookmarkStart w:id="1947" w:name="_Toc16254"/>
      <w:r>
        <w:rPr>
          <w:rFonts w:hint="eastAsia" w:ascii="宋体" w:hAnsi="宋体" w:eastAsia="宋体" w:cs="宋体"/>
          <w:b/>
          <w:color w:val="auto"/>
          <w:sz w:val="28"/>
          <w:szCs w:val="28"/>
          <w:highlight w:val="none"/>
          <w:lang w:val="en-US" w:eastAsia="zh-CN"/>
        </w:rPr>
        <w:t>8、项目管理机构</w:t>
      </w:r>
      <w:bookmarkEnd w:id="1946"/>
      <w:bookmarkEnd w:id="1947"/>
    </w:p>
    <w:p w14:paraId="3EC2DD79">
      <w:pPr>
        <w:spacing w:line="360" w:lineRule="auto"/>
        <w:jc w:val="center"/>
        <w:outlineLvl w:val="3"/>
        <w:rPr>
          <w:rFonts w:ascii="宋体" w:hAnsi="宋体" w:eastAsia="宋体" w:cs="宋体"/>
          <w:b/>
          <w:bCs/>
          <w:sz w:val="24"/>
        </w:rPr>
      </w:pPr>
      <w:r>
        <w:rPr>
          <w:rFonts w:hint="eastAsia" w:ascii="宋体" w:hAnsi="宋体" w:eastAsia="宋体" w:cs="宋体"/>
          <w:b/>
          <w:bCs/>
          <w:sz w:val="24"/>
        </w:rPr>
        <w:t>8.1项目管理机构组成表</w:t>
      </w:r>
    </w:p>
    <w:p w14:paraId="3A7E0958">
      <w:pPr>
        <w:spacing w:line="360" w:lineRule="auto"/>
        <w:rPr>
          <w:rFonts w:ascii="宋体" w:hAnsi="宋体" w:eastAsia="宋体" w:cs="宋体"/>
          <w:sz w:val="24"/>
        </w:rPr>
      </w:pPr>
      <w:r>
        <w:rPr>
          <w:rFonts w:hint="eastAsia" w:ascii="宋体" w:hAnsi="宋体" w:eastAsia="宋体" w:cs="宋体"/>
          <w:sz w:val="24"/>
        </w:rPr>
        <w:t xml:space="preserve">项目名称:                  项目编号:             </w:t>
      </w:r>
      <w:r>
        <w:rPr>
          <w:rFonts w:hint="eastAsia" w:ascii="宋体" w:hAnsi="宋体" w:eastAsia="宋体" w:cs="宋体"/>
          <w:sz w:val="24"/>
          <w:lang w:eastAsia="zh-CN"/>
        </w:rPr>
        <w:t>标项</w:t>
      </w:r>
      <w:r>
        <w:rPr>
          <w:rFonts w:hint="eastAsia" w:ascii="宋体" w:hAnsi="宋体" w:eastAsia="宋体" w:cs="宋体"/>
          <w:sz w:val="24"/>
          <w:lang w:val="en-US" w:eastAsia="zh-CN"/>
        </w:rPr>
        <w:t>号</w:t>
      </w:r>
      <w:r>
        <w:rPr>
          <w:rFonts w:hint="eastAsia" w:ascii="宋体" w:hAnsi="宋体" w:eastAsia="宋体" w:cs="宋体"/>
          <w:sz w:val="24"/>
        </w:rPr>
        <w:t>：（如有）</w:t>
      </w:r>
    </w:p>
    <w:tbl>
      <w:tblPr>
        <w:tblStyle w:val="28"/>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17"/>
        <w:gridCol w:w="745"/>
        <w:gridCol w:w="745"/>
        <w:gridCol w:w="1261"/>
        <w:gridCol w:w="745"/>
        <w:gridCol w:w="745"/>
        <w:gridCol w:w="745"/>
        <w:gridCol w:w="1269"/>
        <w:gridCol w:w="745"/>
      </w:tblGrid>
      <w:tr w14:paraId="7587D8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891" w:type="pct"/>
            <w:vMerge w:val="restart"/>
            <w:vAlign w:val="center"/>
          </w:tcPr>
          <w:p w14:paraId="060A4012">
            <w:pPr>
              <w:jc w:val="center"/>
              <w:rPr>
                <w:rFonts w:ascii="宋体" w:hAnsi="宋体" w:eastAsia="宋体" w:cs="宋体"/>
                <w:b/>
                <w:bCs/>
                <w:sz w:val="24"/>
              </w:rPr>
            </w:pPr>
            <w:r>
              <w:rPr>
                <w:rFonts w:hint="eastAsia" w:ascii="宋体" w:hAnsi="宋体" w:eastAsia="宋体" w:cs="宋体"/>
                <w:b/>
                <w:bCs/>
                <w:sz w:val="24"/>
              </w:rPr>
              <w:t>职务</w:t>
            </w:r>
          </w:p>
        </w:tc>
        <w:tc>
          <w:tcPr>
            <w:tcW w:w="437" w:type="pct"/>
            <w:vMerge w:val="restart"/>
            <w:vAlign w:val="center"/>
          </w:tcPr>
          <w:p w14:paraId="59AA7499">
            <w:pPr>
              <w:jc w:val="center"/>
              <w:rPr>
                <w:rFonts w:ascii="宋体" w:hAnsi="宋体" w:eastAsia="宋体" w:cs="宋体"/>
                <w:b/>
                <w:bCs/>
                <w:sz w:val="24"/>
              </w:rPr>
            </w:pPr>
            <w:r>
              <w:rPr>
                <w:rFonts w:hint="eastAsia" w:ascii="宋体" w:hAnsi="宋体" w:eastAsia="宋体" w:cs="宋体"/>
                <w:b/>
                <w:bCs/>
                <w:sz w:val="24"/>
              </w:rPr>
              <w:t>姓名</w:t>
            </w:r>
          </w:p>
        </w:tc>
        <w:tc>
          <w:tcPr>
            <w:tcW w:w="437" w:type="pct"/>
            <w:vMerge w:val="restart"/>
            <w:vAlign w:val="center"/>
          </w:tcPr>
          <w:p w14:paraId="3320E4F3">
            <w:pPr>
              <w:jc w:val="center"/>
              <w:rPr>
                <w:rFonts w:ascii="宋体" w:hAnsi="宋体" w:eastAsia="宋体" w:cs="宋体"/>
                <w:b/>
                <w:bCs/>
                <w:sz w:val="24"/>
              </w:rPr>
            </w:pPr>
            <w:r>
              <w:rPr>
                <w:rFonts w:hint="eastAsia" w:ascii="宋体" w:hAnsi="宋体" w:eastAsia="宋体" w:cs="宋体"/>
                <w:b/>
                <w:bCs/>
                <w:sz w:val="24"/>
              </w:rPr>
              <w:t>职称</w:t>
            </w:r>
          </w:p>
        </w:tc>
        <w:tc>
          <w:tcPr>
            <w:tcW w:w="2796" w:type="pct"/>
            <w:gridSpan w:val="5"/>
            <w:vAlign w:val="center"/>
          </w:tcPr>
          <w:p w14:paraId="273375B6">
            <w:pPr>
              <w:jc w:val="center"/>
              <w:rPr>
                <w:rFonts w:ascii="宋体" w:hAnsi="宋体" w:eastAsia="宋体" w:cs="宋体"/>
                <w:b/>
                <w:bCs/>
                <w:sz w:val="24"/>
              </w:rPr>
            </w:pPr>
            <w:r>
              <w:rPr>
                <w:rFonts w:hint="eastAsia" w:ascii="宋体" w:hAnsi="宋体" w:eastAsia="宋体" w:cs="宋体"/>
                <w:b/>
                <w:bCs/>
                <w:sz w:val="24"/>
              </w:rPr>
              <w:t>执业或职业资格证明</w:t>
            </w:r>
          </w:p>
        </w:tc>
        <w:tc>
          <w:tcPr>
            <w:tcW w:w="437" w:type="pct"/>
            <w:vMerge w:val="restart"/>
            <w:vAlign w:val="center"/>
          </w:tcPr>
          <w:p w14:paraId="183CCE68">
            <w:pPr>
              <w:jc w:val="center"/>
              <w:rPr>
                <w:rFonts w:ascii="宋体" w:hAnsi="宋体" w:eastAsia="宋体" w:cs="宋体"/>
                <w:b/>
                <w:bCs/>
                <w:sz w:val="24"/>
              </w:rPr>
            </w:pPr>
            <w:r>
              <w:rPr>
                <w:rFonts w:hint="eastAsia" w:ascii="宋体" w:hAnsi="宋体" w:eastAsia="宋体" w:cs="宋体"/>
                <w:b/>
                <w:bCs/>
                <w:sz w:val="24"/>
              </w:rPr>
              <w:t>备注</w:t>
            </w:r>
          </w:p>
        </w:tc>
      </w:tr>
      <w:tr w14:paraId="260EA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891" w:type="pct"/>
            <w:vMerge w:val="continue"/>
            <w:vAlign w:val="center"/>
          </w:tcPr>
          <w:p w14:paraId="0992EC71">
            <w:pPr>
              <w:jc w:val="center"/>
              <w:rPr>
                <w:rFonts w:ascii="宋体" w:hAnsi="宋体" w:eastAsia="宋体" w:cs="宋体"/>
                <w:b/>
                <w:bCs/>
                <w:sz w:val="24"/>
              </w:rPr>
            </w:pPr>
          </w:p>
        </w:tc>
        <w:tc>
          <w:tcPr>
            <w:tcW w:w="437" w:type="pct"/>
            <w:vMerge w:val="continue"/>
            <w:vAlign w:val="center"/>
          </w:tcPr>
          <w:p w14:paraId="31D1781E">
            <w:pPr>
              <w:jc w:val="center"/>
              <w:rPr>
                <w:rFonts w:ascii="宋体" w:hAnsi="宋体" w:eastAsia="宋体" w:cs="宋体"/>
                <w:b/>
                <w:bCs/>
                <w:sz w:val="24"/>
              </w:rPr>
            </w:pPr>
          </w:p>
        </w:tc>
        <w:tc>
          <w:tcPr>
            <w:tcW w:w="437" w:type="pct"/>
            <w:vMerge w:val="continue"/>
            <w:vAlign w:val="center"/>
          </w:tcPr>
          <w:p w14:paraId="75B5CDA0">
            <w:pPr>
              <w:jc w:val="center"/>
              <w:rPr>
                <w:rFonts w:ascii="宋体" w:hAnsi="宋体" w:eastAsia="宋体" w:cs="宋体"/>
                <w:b/>
                <w:bCs/>
                <w:sz w:val="24"/>
              </w:rPr>
            </w:pPr>
          </w:p>
        </w:tc>
        <w:tc>
          <w:tcPr>
            <w:tcW w:w="740" w:type="pct"/>
            <w:vAlign w:val="center"/>
          </w:tcPr>
          <w:p w14:paraId="03EA6644">
            <w:pPr>
              <w:jc w:val="center"/>
              <w:rPr>
                <w:rFonts w:ascii="宋体" w:hAnsi="宋体" w:eastAsia="宋体" w:cs="宋体"/>
                <w:b/>
                <w:bCs/>
                <w:sz w:val="24"/>
              </w:rPr>
            </w:pPr>
            <w:r>
              <w:rPr>
                <w:rFonts w:hint="eastAsia" w:ascii="宋体" w:hAnsi="宋体" w:eastAsia="宋体" w:cs="宋体"/>
                <w:b/>
                <w:bCs/>
                <w:sz w:val="24"/>
              </w:rPr>
              <w:t>证书名称</w:t>
            </w:r>
          </w:p>
        </w:tc>
        <w:tc>
          <w:tcPr>
            <w:tcW w:w="437" w:type="pct"/>
            <w:vAlign w:val="center"/>
          </w:tcPr>
          <w:p w14:paraId="6BF04446">
            <w:pPr>
              <w:jc w:val="center"/>
              <w:rPr>
                <w:rFonts w:ascii="宋体" w:hAnsi="宋体" w:eastAsia="宋体" w:cs="宋体"/>
                <w:b/>
                <w:bCs/>
                <w:sz w:val="24"/>
              </w:rPr>
            </w:pPr>
            <w:r>
              <w:rPr>
                <w:rFonts w:hint="eastAsia" w:ascii="宋体" w:hAnsi="宋体" w:eastAsia="宋体" w:cs="宋体"/>
                <w:b/>
                <w:bCs/>
                <w:sz w:val="24"/>
              </w:rPr>
              <w:t>级别</w:t>
            </w:r>
          </w:p>
        </w:tc>
        <w:tc>
          <w:tcPr>
            <w:tcW w:w="437" w:type="pct"/>
            <w:vAlign w:val="center"/>
          </w:tcPr>
          <w:p w14:paraId="791F5846">
            <w:pPr>
              <w:jc w:val="center"/>
              <w:rPr>
                <w:rFonts w:ascii="宋体" w:hAnsi="宋体" w:eastAsia="宋体" w:cs="宋体"/>
                <w:b/>
                <w:bCs/>
                <w:sz w:val="24"/>
              </w:rPr>
            </w:pPr>
            <w:r>
              <w:rPr>
                <w:rFonts w:hint="eastAsia" w:ascii="宋体" w:hAnsi="宋体" w:eastAsia="宋体" w:cs="宋体"/>
                <w:b/>
                <w:bCs/>
                <w:sz w:val="24"/>
              </w:rPr>
              <w:t>证号</w:t>
            </w:r>
          </w:p>
        </w:tc>
        <w:tc>
          <w:tcPr>
            <w:tcW w:w="437" w:type="pct"/>
            <w:vAlign w:val="center"/>
          </w:tcPr>
          <w:p w14:paraId="1B498719">
            <w:pPr>
              <w:jc w:val="center"/>
              <w:rPr>
                <w:rFonts w:ascii="宋体" w:hAnsi="宋体" w:eastAsia="宋体" w:cs="宋体"/>
                <w:b/>
                <w:bCs/>
                <w:sz w:val="24"/>
              </w:rPr>
            </w:pPr>
            <w:r>
              <w:rPr>
                <w:rFonts w:hint="eastAsia" w:ascii="宋体" w:hAnsi="宋体" w:eastAsia="宋体" w:cs="宋体"/>
                <w:b/>
                <w:bCs/>
                <w:sz w:val="24"/>
              </w:rPr>
              <w:t>专业</w:t>
            </w:r>
          </w:p>
        </w:tc>
        <w:tc>
          <w:tcPr>
            <w:tcW w:w="744" w:type="pct"/>
            <w:vAlign w:val="center"/>
          </w:tcPr>
          <w:p w14:paraId="68BBC893">
            <w:pPr>
              <w:jc w:val="center"/>
              <w:rPr>
                <w:rFonts w:ascii="宋体" w:hAnsi="宋体" w:eastAsia="宋体" w:cs="宋体"/>
                <w:b/>
                <w:bCs/>
                <w:sz w:val="24"/>
              </w:rPr>
            </w:pPr>
            <w:r>
              <w:rPr>
                <w:rFonts w:hint="eastAsia" w:ascii="宋体" w:hAnsi="宋体" w:eastAsia="宋体" w:cs="宋体"/>
                <w:b/>
                <w:bCs/>
                <w:sz w:val="24"/>
              </w:rPr>
              <w:t>养老保险</w:t>
            </w:r>
          </w:p>
        </w:tc>
        <w:tc>
          <w:tcPr>
            <w:tcW w:w="437" w:type="pct"/>
            <w:vMerge w:val="continue"/>
            <w:vAlign w:val="center"/>
          </w:tcPr>
          <w:p w14:paraId="14624A54">
            <w:pPr>
              <w:jc w:val="center"/>
              <w:rPr>
                <w:rFonts w:ascii="宋体" w:hAnsi="宋体" w:eastAsia="宋体" w:cs="宋体"/>
                <w:b/>
                <w:bCs/>
                <w:sz w:val="24"/>
              </w:rPr>
            </w:pPr>
          </w:p>
        </w:tc>
      </w:tr>
      <w:tr w14:paraId="1907E8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891" w:type="pct"/>
            <w:vAlign w:val="center"/>
          </w:tcPr>
          <w:p w14:paraId="01396E58">
            <w:pPr>
              <w:jc w:val="center"/>
              <w:rPr>
                <w:rFonts w:ascii="宋体" w:hAnsi="宋体" w:eastAsia="宋体" w:cs="宋体"/>
                <w:b/>
                <w:bCs/>
                <w:sz w:val="24"/>
              </w:rPr>
            </w:pPr>
            <w:r>
              <w:rPr>
                <w:rFonts w:hint="eastAsia" w:ascii="宋体" w:hAnsi="宋体" w:eastAsia="宋体" w:cs="宋体"/>
                <w:b/>
                <w:bCs/>
                <w:sz w:val="24"/>
              </w:rPr>
              <w:t>项目经理</w:t>
            </w:r>
          </w:p>
        </w:tc>
        <w:tc>
          <w:tcPr>
            <w:tcW w:w="437" w:type="pct"/>
            <w:vAlign w:val="center"/>
          </w:tcPr>
          <w:p w14:paraId="7DEBC4EA">
            <w:pPr>
              <w:jc w:val="center"/>
              <w:rPr>
                <w:rFonts w:ascii="宋体" w:hAnsi="宋体" w:eastAsia="宋体" w:cs="宋体"/>
                <w:b/>
                <w:bCs/>
                <w:sz w:val="24"/>
              </w:rPr>
            </w:pPr>
          </w:p>
        </w:tc>
        <w:tc>
          <w:tcPr>
            <w:tcW w:w="437" w:type="pct"/>
            <w:vAlign w:val="center"/>
          </w:tcPr>
          <w:p w14:paraId="3C81F874">
            <w:pPr>
              <w:jc w:val="center"/>
              <w:rPr>
                <w:rFonts w:ascii="宋体" w:hAnsi="宋体" w:eastAsia="宋体" w:cs="宋体"/>
                <w:b/>
                <w:bCs/>
                <w:sz w:val="24"/>
              </w:rPr>
            </w:pPr>
          </w:p>
        </w:tc>
        <w:tc>
          <w:tcPr>
            <w:tcW w:w="740" w:type="pct"/>
            <w:vAlign w:val="center"/>
          </w:tcPr>
          <w:p w14:paraId="197AE736">
            <w:pPr>
              <w:jc w:val="center"/>
              <w:rPr>
                <w:rFonts w:ascii="宋体" w:hAnsi="宋体" w:eastAsia="宋体" w:cs="宋体"/>
                <w:b/>
                <w:bCs/>
                <w:sz w:val="24"/>
              </w:rPr>
            </w:pPr>
          </w:p>
        </w:tc>
        <w:tc>
          <w:tcPr>
            <w:tcW w:w="437" w:type="pct"/>
            <w:vAlign w:val="center"/>
          </w:tcPr>
          <w:p w14:paraId="5858BAD1">
            <w:pPr>
              <w:jc w:val="center"/>
              <w:rPr>
                <w:rFonts w:ascii="宋体" w:hAnsi="宋体" w:eastAsia="宋体" w:cs="宋体"/>
                <w:b/>
                <w:bCs/>
                <w:sz w:val="24"/>
              </w:rPr>
            </w:pPr>
          </w:p>
        </w:tc>
        <w:tc>
          <w:tcPr>
            <w:tcW w:w="437" w:type="pct"/>
            <w:vAlign w:val="center"/>
          </w:tcPr>
          <w:p w14:paraId="4D46A36C">
            <w:pPr>
              <w:jc w:val="center"/>
              <w:rPr>
                <w:rFonts w:ascii="宋体" w:hAnsi="宋体" w:eastAsia="宋体" w:cs="宋体"/>
                <w:b/>
                <w:bCs/>
                <w:sz w:val="24"/>
              </w:rPr>
            </w:pPr>
          </w:p>
        </w:tc>
        <w:tc>
          <w:tcPr>
            <w:tcW w:w="437" w:type="pct"/>
            <w:vAlign w:val="center"/>
          </w:tcPr>
          <w:p w14:paraId="19C6CFF6">
            <w:pPr>
              <w:jc w:val="center"/>
              <w:rPr>
                <w:rFonts w:ascii="宋体" w:hAnsi="宋体" w:eastAsia="宋体" w:cs="宋体"/>
                <w:b/>
                <w:bCs/>
                <w:sz w:val="24"/>
              </w:rPr>
            </w:pPr>
          </w:p>
        </w:tc>
        <w:tc>
          <w:tcPr>
            <w:tcW w:w="744" w:type="pct"/>
            <w:vAlign w:val="center"/>
          </w:tcPr>
          <w:p w14:paraId="6B149ECC">
            <w:pPr>
              <w:jc w:val="center"/>
              <w:rPr>
                <w:rFonts w:ascii="宋体" w:hAnsi="宋体" w:eastAsia="宋体" w:cs="宋体"/>
                <w:b/>
                <w:bCs/>
                <w:sz w:val="24"/>
              </w:rPr>
            </w:pPr>
          </w:p>
        </w:tc>
        <w:tc>
          <w:tcPr>
            <w:tcW w:w="437" w:type="pct"/>
            <w:vAlign w:val="center"/>
          </w:tcPr>
          <w:p w14:paraId="258DEF98">
            <w:pPr>
              <w:jc w:val="center"/>
              <w:rPr>
                <w:rFonts w:ascii="宋体" w:hAnsi="宋体" w:eastAsia="宋体" w:cs="宋体"/>
                <w:b/>
                <w:bCs/>
                <w:sz w:val="24"/>
              </w:rPr>
            </w:pPr>
          </w:p>
        </w:tc>
      </w:tr>
      <w:tr w14:paraId="587AE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7B35AD22">
            <w:pPr>
              <w:jc w:val="center"/>
              <w:rPr>
                <w:rFonts w:ascii="宋体" w:hAnsi="宋体" w:eastAsia="宋体" w:cs="宋体"/>
                <w:b/>
                <w:bCs/>
                <w:sz w:val="24"/>
              </w:rPr>
            </w:pPr>
            <w:r>
              <w:rPr>
                <w:rFonts w:hint="eastAsia" w:ascii="宋体" w:hAnsi="宋体" w:eastAsia="宋体" w:cs="宋体"/>
                <w:b/>
                <w:bCs/>
                <w:sz w:val="24"/>
              </w:rPr>
              <w:t>技术负责人</w:t>
            </w:r>
          </w:p>
        </w:tc>
        <w:tc>
          <w:tcPr>
            <w:tcW w:w="437" w:type="pct"/>
            <w:vAlign w:val="center"/>
          </w:tcPr>
          <w:p w14:paraId="773ECE16">
            <w:pPr>
              <w:jc w:val="center"/>
              <w:rPr>
                <w:rFonts w:ascii="宋体" w:hAnsi="宋体" w:eastAsia="宋体" w:cs="宋体"/>
                <w:b/>
                <w:bCs/>
                <w:sz w:val="24"/>
              </w:rPr>
            </w:pPr>
          </w:p>
        </w:tc>
        <w:tc>
          <w:tcPr>
            <w:tcW w:w="437" w:type="pct"/>
            <w:vAlign w:val="center"/>
          </w:tcPr>
          <w:p w14:paraId="466525CE">
            <w:pPr>
              <w:jc w:val="center"/>
              <w:rPr>
                <w:rFonts w:ascii="宋体" w:hAnsi="宋体" w:eastAsia="宋体" w:cs="宋体"/>
                <w:b/>
                <w:bCs/>
                <w:sz w:val="24"/>
              </w:rPr>
            </w:pPr>
          </w:p>
        </w:tc>
        <w:tc>
          <w:tcPr>
            <w:tcW w:w="740" w:type="pct"/>
            <w:vAlign w:val="center"/>
          </w:tcPr>
          <w:p w14:paraId="2F22ED7D">
            <w:pPr>
              <w:jc w:val="center"/>
              <w:rPr>
                <w:rFonts w:ascii="宋体" w:hAnsi="宋体" w:eastAsia="宋体" w:cs="宋体"/>
                <w:b/>
                <w:bCs/>
                <w:sz w:val="24"/>
              </w:rPr>
            </w:pPr>
          </w:p>
        </w:tc>
        <w:tc>
          <w:tcPr>
            <w:tcW w:w="437" w:type="pct"/>
            <w:vAlign w:val="center"/>
          </w:tcPr>
          <w:p w14:paraId="356C5B12">
            <w:pPr>
              <w:jc w:val="center"/>
              <w:rPr>
                <w:rFonts w:ascii="宋体" w:hAnsi="宋体" w:eastAsia="宋体" w:cs="宋体"/>
                <w:b/>
                <w:bCs/>
                <w:sz w:val="24"/>
              </w:rPr>
            </w:pPr>
          </w:p>
        </w:tc>
        <w:tc>
          <w:tcPr>
            <w:tcW w:w="437" w:type="pct"/>
            <w:vAlign w:val="center"/>
          </w:tcPr>
          <w:p w14:paraId="00352C60">
            <w:pPr>
              <w:jc w:val="center"/>
              <w:rPr>
                <w:rFonts w:ascii="宋体" w:hAnsi="宋体" w:eastAsia="宋体" w:cs="宋体"/>
                <w:b/>
                <w:bCs/>
                <w:sz w:val="24"/>
              </w:rPr>
            </w:pPr>
          </w:p>
        </w:tc>
        <w:tc>
          <w:tcPr>
            <w:tcW w:w="437" w:type="pct"/>
            <w:vAlign w:val="center"/>
          </w:tcPr>
          <w:p w14:paraId="3F99A6DE">
            <w:pPr>
              <w:jc w:val="center"/>
              <w:rPr>
                <w:rFonts w:ascii="宋体" w:hAnsi="宋体" w:eastAsia="宋体" w:cs="宋体"/>
                <w:b/>
                <w:bCs/>
                <w:sz w:val="24"/>
              </w:rPr>
            </w:pPr>
          </w:p>
        </w:tc>
        <w:tc>
          <w:tcPr>
            <w:tcW w:w="744" w:type="pct"/>
            <w:vAlign w:val="center"/>
          </w:tcPr>
          <w:p w14:paraId="469D0622">
            <w:pPr>
              <w:jc w:val="center"/>
              <w:rPr>
                <w:rFonts w:ascii="宋体" w:hAnsi="宋体" w:eastAsia="宋体" w:cs="宋体"/>
                <w:b/>
                <w:bCs/>
                <w:sz w:val="24"/>
              </w:rPr>
            </w:pPr>
          </w:p>
        </w:tc>
        <w:tc>
          <w:tcPr>
            <w:tcW w:w="437" w:type="pct"/>
            <w:vAlign w:val="center"/>
          </w:tcPr>
          <w:p w14:paraId="74F39726">
            <w:pPr>
              <w:jc w:val="center"/>
              <w:rPr>
                <w:rFonts w:ascii="宋体" w:hAnsi="宋体" w:eastAsia="宋体" w:cs="宋体"/>
                <w:b/>
                <w:bCs/>
                <w:sz w:val="24"/>
              </w:rPr>
            </w:pPr>
          </w:p>
        </w:tc>
      </w:tr>
      <w:tr w14:paraId="3EFDB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jc w:val="center"/>
        </w:trPr>
        <w:tc>
          <w:tcPr>
            <w:tcW w:w="891" w:type="pct"/>
            <w:vAlign w:val="center"/>
          </w:tcPr>
          <w:p w14:paraId="45BB78FA">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57AEA19B">
            <w:pPr>
              <w:jc w:val="center"/>
              <w:rPr>
                <w:rFonts w:ascii="宋体" w:hAnsi="宋体" w:eastAsia="宋体" w:cs="宋体"/>
                <w:b/>
                <w:bCs/>
                <w:sz w:val="24"/>
              </w:rPr>
            </w:pPr>
          </w:p>
        </w:tc>
        <w:tc>
          <w:tcPr>
            <w:tcW w:w="437" w:type="pct"/>
            <w:vAlign w:val="center"/>
          </w:tcPr>
          <w:p w14:paraId="6AE936F5">
            <w:pPr>
              <w:jc w:val="center"/>
              <w:rPr>
                <w:rFonts w:ascii="宋体" w:hAnsi="宋体" w:eastAsia="宋体" w:cs="宋体"/>
                <w:b/>
                <w:bCs/>
                <w:sz w:val="24"/>
              </w:rPr>
            </w:pPr>
          </w:p>
        </w:tc>
        <w:tc>
          <w:tcPr>
            <w:tcW w:w="740" w:type="pct"/>
            <w:vAlign w:val="center"/>
          </w:tcPr>
          <w:p w14:paraId="6AF21083">
            <w:pPr>
              <w:jc w:val="center"/>
              <w:rPr>
                <w:rFonts w:ascii="宋体" w:hAnsi="宋体" w:eastAsia="宋体" w:cs="宋体"/>
                <w:b/>
                <w:bCs/>
                <w:sz w:val="24"/>
              </w:rPr>
            </w:pPr>
          </w:p>
        </w:tc>
        <w:tc>
          <w:tcPr>
            <w:tcW w:w="437" w:type="pct"/>
            <w:vAlign w:val="center"/>
          </w:tcPr>
          <w:p w14:paraId="16EECB4D">
            <w:pPr>
              <w:jc w:val="center"/>
              <w:rPr>
                <w:rFonts w:ascii="宋体" w:hAnsi="宋体" w:eastAsia="宋体" w:cs="宋体"/>
                <w:b/>
                <w:bCs/>
                <w:sz w:val="24"/>
              </w:rPr>
            </w:pPr>
          </w:p>
        </w:tc>
        <w:tc>
          <w:tcPr>
            <w:tcW w:w="437" w:type="pct"/>
            <w:vAlign w:val="center"/>
          </w:tcPr>
          <w:p w14:paraId="27181B75">
            <w:pPr>
              <w:jc w:val="center"/>
              <w:rPr>
                <w:rFonts w:ascii="宋体" w:hAnsi="宋体" w:eastAsia="宋体" w:cs="宋体"/>
                <w:b/>
                <w:bCs/>
                <w:sz w:val="24"/>
              </w:rPr>
            </w:pPr>
          </w:p>
        </w:tc>
        <w:tc>
          <w:tcPr>
            <w:tcW w:w="437" w:type="pct"/>
            <w:vAlign w:val="center"/>
          </w:tcPr>
          <w:p w14:paraId="42BCE69F">
            <w:pPr>
              <w:jc w:val="center"/>
              <w:rPr>
                <w:rFonts w:ascii="宋体" w:hAnsi="宋体" w:eastAsia="宋体" w:cs="宋体"/>
                <w:b/>
                <w:bCs/>
                <w:sz w:val="24"/>
              </w:rPr>
            </w:pPr>
          </w:p>
        </w:tc>
        <w:tc>
          <w:tcPr>
            <w:tcW w:w="744" w:type="pct"/>
            <w:vAlign w:val="center"/>
          </w:tcPr>
          <w:p w14:paraId="76A7342C">
            <w:pPr>
              <w:jc w:val="center"/>
              <w:rPr>
                <w:rFonts w:ascii="宋体" w:hAnsi="宋体" w:eastAsia="宋体" w:cs="宋体"/>
                <w:b/>
                <w:bCs/>
                <w:sz w:val="24"/>
              </w:rPr>
            </w:pPr>
          </w:p>
        </w:tc>
        <w:tc>
          <w:tcPr>
            <w:tcW w:w="437" w:type="pct"/>
            <w:vAlign w:val="center"/>
          </w:tcPr>
          <w:p w14:paraId="2D43F270">
            <w:pPr>
              <w:jc w:val="center"/>
              <w:rPr>
                <w:rFonts w:ascii="宋体" w:hAnsi="宋体" w:eastAsia="宋体" w:cs="宋体"/>
                <w:b/>
                <w:bCs/>
                <w:sz w:val="24"/>
              </w:rPr>
            </w:pPr>
          </w:p>
        </w:tc>
      </w:tr>
      <w:tr w14:paraId="4590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5695C99C">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6E3F1A5F">
            <w:pPr>
              <w:jc w:val="center"/>
              <w:rPr>
                <w:rFonts w:ascii="宋体" w:hAnsi="宋体" w:eastAsia="宋体" w:cs="宋体"/>
                <w:b/>
                <w:bCs/>
                <w:sz w:val="24"/>
              </w:rPr>
            </w:pPr>
          </w:p>
        </w:tc>
        <w:tc>
          <w:tcPr>
            <w:tcW w:w="437" w:type="pct"/>
            <w:vAlign w:val="center"/>
          </w:tcPr>
          <w:p w14:paraId="0E593A95">
            <w:pPr>
              <w:jc w:val="center"/>
              <w:rPr>
                <w:rFonts w:ascii="宋体" w:hAnsi="宋体" w:eastAsia="宋体" w:cs="宋体"/>
                <w:b/>
                <w:bCs/>
                <w:sz w:val="24"/>
              </w:rPr>
            </w:pPr>
          </w:p>
        </w:tc>
        <w:tc>
          <w:tcPr>
            <w:tcW w:w="740" w:type="pct"/>
            <w:vAlign w:val="center"/>
          </w:tcPr>
          <w:p w14:paraId="03070B29">
            <w:pPr>
              <w:jc w:val="center"/>
              <w:rPr>
                <w:rFonts w:ascii="宋体" w:hAnsi="宋体" w:eastAsia="宋体" w:cs="宋体"/>
                <w:b/>
                <w:bCs/>
                <w:sz w:val="24"/>
              </w:rPr>
            </w:pPr>
          </w:p>
        </w:tc>
        <w:tc>
          <w:tcPr>
            <w:tcW w:w="437" w:type="pct"/>
            <w:vAlign w:val="center"/>
          </w:tcPr>
          <w:p w14:paraId="715F72ED">
            <w:pPr>
              <w:jc w:val="center"/>
              <w:rPr>
                <w:rFonts w:ascii="宋体" w:hAnsi="宋体" w:eastAsia="宋体" w:cs="宋体"/>
                <w:b/>
                <w:bCs/>
                <w:sz w:val="24"/>
              </w:rPr>
            </w:pPr>
          </w:p>
        </w:tc>
        <w:tc>
          <w:tcPr>
            <w:tcW w:w="437" w:type="pct"/>
            <w:vAlign w:val="center"/>
          </w:tcPr>
          <w:p w14:paraId="7E823541">
            <w:pPr>
              <w:jc w:val="center"/>
              <w:rPr>
                <w:rFonts w:ascii="宋体" w:hAnsi="宋体" w:eastAsia="宋体" w:cs="宋体"/>
                <w:b/>
                <w:bCs/>
                <w:sz w:val="24"/>
              </w:rPr>
            </w:pPr>
          </w:p>
        </w:tc>
        <w:tc>
          <w:tcPr>
            <w:tcW w:w="437" w:type="pct"/>
            <w:vAlign w:val="center"/>
          </w:tcPr>
          <w:p w14:paraId="4A495184">
            <w:pPr>
              <w:jc w:val="center"/>
              <w:rPr>
                <w:rFonts w:ascii="宋体" w:hAnsi="宋体" w:eastAsia="宋体" w:cs="宋体"/>
                <w:b/>
                <w:bCs/>
                <w:sz w:val="24"/>
              </w:rPr>
            </w:pPr>
          </w:p>
        </w:tc>
        <w:tc>
          <w:tcPr>
            <w:tcW w:w="744" w:type="pct"/>
            <w:vAlign w:val="center"/>
          </w:tcPr>
          <w:p w14:paraId="7A4376EE">
            <w:pPr>
              <w:jc w:val="center"/>
              <w:rPr>
                <w:rFonts w:ascii="宋体" w:hAnsi="宋体" w:eastAsia="宋体" w:cs="宋体"/>
                <w:b/>
                <w:bCs/>
                <w:sz w:val="24"/>
              </w:rPr>
            </w:pPr>
          </w:p>
        </w:tc>
        <w:tc>
          <w:tcPr>
            <w:tcW w:w="437" w:type="pct"/>
            <w:vAlign w:val="center"/>
          </w:tcPr>
          <w:p w14:paraId="2A05085B">
            <w:pPr>
              <w:jc w:val="center"/>
              <w:rPr>
                <w:rFonts w:ascii="宋体" w:hAnsi="宋体" w:eastAsia="宋体" w:cs="宋体"/>
                <w:b/>
                <w:bCs/>
                <w:sz w:val="24"/>
              </w:rPr>
            </w:pPr>
          </w:p>
        </w:tc>
      </w:tr>
      <w:tr w14:paraId="329C4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57C52602">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08643D7C">
            <w:pPr>
              <w:jc w:val="center"/>
              <w:rPr>
                <w:rFonts w:ascii="宋体" w:hAnsi="宋体" w:eastAsia="宋体" w:cs="宋体"/>
                <w:b/>
                <w:bCs/>
                <w:sz w:val="24"/>
              </w:rPr>
            </w:pPr>
          </w:p>
        </w:tc>
        <w:tc>
          <w:tcPr>
            <w:tcW w:w="437" w:type="pct"/>
            <w:vAlign w:val="center"/>
          </w:tcPr>
          <w:p w14:paraId="1DF96879">
            <w:pPr>
              <w:jc w:val="center"/>
              <w:rPr>
                <w:rFonts w:ascii="宋体" w:hAnsi="宋体" w:eastAsia="宋体" w:cs="宋体"/>
                <w:b/>
                <w:bCs/>
                <w:sz w:val="24"/>
              </w:rPr>
            </w:pPr>
          </w:p>
        </w:tc>
        <w:tc>
          <w:tcPr>
            <w:tcW w:w="740" w:type="pct"/>
            <w:vAlign w:val="center"/>
          </w:tcPr>
          <w:p w14:paraId="494116CF">
            <w:pPr>
              <w:jc w:val="center"/>
              <w:rPr>
                <w:rFonts w:ascii="宋体" w:hAnsi="宋体" w:eastAsia="宋体" w:cs="宋体"/>
                <w:b/>
                <w:bCs/>
                <w:sz w:val="24"/>
              </w:rPr>
            </w:pPr>
          </w:p>
        </w:tc>
        <w:tc>
          <w:tcPr>
            <w:tcW w:w="437" w:type="pct"/>
            <w:vAlign w:val="center"/>
          </w:tcPr>
          <w:p w14:paraId="7B18963B">
            <w:pPr>
              <w:jc w:val="center"/>
              <w:rPr>
                <w:rFonts w:ascii="宋体" w:hAnsi="宋体" w:eastAsia="宋体" w:cs="宋体"/>
                <w:b/>
                <w:bCs/>
                <w:sz w:val="24"/>
              </w:rPr>
            </w:pPr>
          </w:p>
        </w:tc>
        <w:tc>
          <w:tcPr>
            <w:tcW w:w="437" w:type="pct"/>
            <w:vAlign w:val="center"/>
          </w:tcPr>
          <w:p w14:paraId="3F046443">
            <w:pPr>
              <w:jc w:val="center"/>
              <w:rPr>
                <w:rFonts w:ascii="宋体" w:hAnsi="宋体" w:eastAsia="宋体" w:cs="宋体"/>
                <w:b/>
                <w:bCs/>
                <w:sz w:val="24"/>
              </w:rPr>
            </w:pPr>
          </w:p>
        </w:tc>
        <w:tc>
          <w:tcPr>
            <w:tcW w:w="437" w:type="pct"/>
            <w:vAlign w:val="center"/>
          </w:tcPr>
          <w:p w14:paraId="6803778E">
            <w:pPr>
              <w:jc w:val="center"/>
              <w:rPr>
                <w:rFonts w:ascii="宋体" w:hAnsi="宋体" w:eastAsia="宋体" w:cs="宋体"/>
                <w:b/>
                <w:bCs/>
                <w:sz w:val="24"/>
              </w:rPr>
            </w:pPr>
          </w:p>
        </w:tc>
        <w:tc>
          <w:tcPr>
            <w:tcW w:w="744" w:type="pct"/>
            <w:vAlign w:val="center"/>
          </w:tcPr>
          <w:p w14:paraId="710208DC">
            <w:pPr>
              <w:jc w:val="center"/>
              <w:rPr>
                <w:rFonts w:ascii="宋体" w:hAnsi="宋体" w:eastAsia="宋体" w:cs="宋体"/>
                <w:b/>
                <w:bCs/>
                <w:sz w:val="24"/>
              </w:rPr>
            </w:pPr>
          </w:p>
        </w:tc>
        <w:tc>
          <w:tcPr>
            <w:tcW w:w="437" w:type="pct"/>
            <w:vAlign w:val="center"/>
          </w:tcPr>
          <w:p w14:paraId="187A9779">
            <w:pPr>
              <w:jc w:val="center"/>
              <w:rPr>
                <w:rFonts w:ascii="宋体" w:hAnsi="宋体" w:eastAsia="宋体" w:cs="宋体"/>
                <w:b/>
                <w:bCs/>
                <w:sz w:val="24"/>
              </w:rPr>
            </w:pPr>
          </w:p>
        </w:tc>
      </w:tr>
      <w:tr w14:paraId="44773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33D2F631">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02F4F35E">
            <w:pPr>
              <w:jc w:val="center"/>
              <w:rPr>
                <w:rFonts w:ascii="宋体" w:hAnsi="宋体" w:eastAsia="宋体" w:cs="宋体"/>
                <w:b/>
                <w:bCs/>
                <w:sz w:val="24"/>
              </w:rPr>
            </w:pPr>
          </w:p>
        </w:tc>
        <w:tc>
          <w:tcPr>
            <w:tcW w:w="437" w:type="pct"/>
            <w:vAlign w:val="center"/>
          </w:tcPr>
          <w:p w14:paraId="7BC51C6F">
            <w:pPr>
              <w:jc w:val="center"/>
              <w:rPr>
                <w:rFonts w:ascii="宋体" w:hAnsi="宋体" w:eastAsia="宋体" w:cs="宋体"/>
                <w:b/>
                <w:bCs/>
                <w:sz w:val="24"/>
              </w:rPr>
            </w:pPr>
          </w:p>
        </w:tc>
        <w:tc>
          <w:tcPr>
            <w:tcW w:w="740" w:type="pct"/>
            <w:vAlign w:val="center"/>
          </w:tcPr>
          <w:p w14:paraId="3A5B1FC3">
            <w:pPr>
              <w:jc w:val="center"/>
              <w:rPr>
                <w:rFonts w:ascii="宋体" w:hAnsi="宋体" w:eastAsia="宋体" w:cs="宋体"/>
                <w:b/>
                <w:bCs/>
                <w:sz w:val="24"/>
              </w:rPr>
            </w:pPr>
          </w:p>
        </w:tc>
        <w:tc>
          <w:tcPr>
            <w:tcW w:w="437" w:type="pct"/>
            <w:vAlign w:val="center"/>
          </w:tcPr>
          <w:p w14:paraId="4C7FEC7A">
            <w:pPr>
              <w:jc w:val="center"/>
              <w:rPr>
                <w:rFonts w:ascii="宋体" w:hAnsi="宋体" w:eastAsia="宋体" w:cs="宋体"/>
                <w:b/>
                <w:bCs/>
                <w:sz w:val="24"/>
              </w:rPr>
            </w:pPr>
          </w:p>
        </w:tc>
        <w:tc>
          <w:tcPr>
            <w:tcW w:w="437" w:type="pct"/>
            <w:vAlign w:val="center"/>
          </w:tcPr>
          <w:p w14:paraId="2EFA4CD7">
            <w:pPr>
              <w:jc w:val="center"/>
              <w:rPr>
                <w:rFonts w:ascii="宋体" w:hAnsi="宋体" w:eastAsia="宋体" w:cs="宋体"/>
                <w:b/>
                <w:bCs/>
                <w:sz w:val="24"/>
              </w:rPr>
            </w:pPr>
          </w:p>
        </w:tc>
        <w:tc>
          <w:tcPr>
            <w:tcW w:w="437" w:type="pct"/>
            <w:vAlign w:val="center"/>
          </w:tcPr>
          <w:p w14:paraId="332A0369">
            <w:pPr>
              <w:jc w:val="center"/>
              <w:rPr>
                <w:rFonts w:ascii="宋体" w:hAnsi="宋体" w:eastAsia="宋体" w:cs="宋体"/>
                <w:b/>
                <w:bCs/>
                <w:sz w:val="24"/>
              </w:rPr>
            </w:pPr>
          </w:p>
        </w:tc>
        <w:tc>
          <w:tcPr>
            <w:tcW w:w="744" w:type="pct"/>
            <w:vAlign w:val="center"/>
          </w:tcPr>
          <w:p w14:paraId="76FA649F">
            <w:pPr>
              <w:jc w:val="center"/>
              <w:rPr>
                <w:rFonts w:ascii="宋体" w:hAnsi="宋体" w:eastAsia="宋体" w:cs="宋体"/>
                <w:b/>
                <w:bCs/>
                <w:sz w:val="24"/>
              </w:rPr>
            </w:pPr>
          </w:p>
        </w:tc>
        <w:tc>
          <w:tcPr>
            <w:tcW w:w="437" w:type="pct"/>
            <w:vAlign w:val="center"/>
          </w:tcPr>
          <w:p w14:paraId="24FE53DB">
            <w:pPr>
              <w:jc w:val="center"/>
              <w:rPr>
                <w:rFonts w:ascii="宋体" w:hAnsi="宋体" w:eastAsia="宋体" w:cs="宋体"/>
                <w:b/>
                <w:bCs/>
                <w:sz w:val="24"/>
              </w:rPr>
            </w:pPr>
          </w:p>
        </w:tc>
      </w:tr>
      <w:tr w14:paraId="68A6A1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1320ED07">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70F7274D">
            <w:pPr>
              <w:jc w:val="center"/>
              <w:rPr>
                <w:rFonts w:ascii="宋体" w:hAnsi="宋体" w:eastAsia="宋体" w:cs="宋体"/>
                <w:b/>
                <w:bCs/>
                <w:sz w:val="24"/>
              </w:rPr>
            </w:pPr>
          </w:p>
        </w:tc>
        <w:tc>
          <w:tcPr>
            <w:tcW w:w="437" w:type="pct"/>
            <w:vAlign w:val="center"/>
          </w:tcPr>
          <w:p w14:paraId="64CD0210">
            <w:pPr>
              <w:jc w:val="center"/>
              <w:rPr>
                <w:rFonts w:ascii="宋体" w:hAnsi="宋体" w:eastAsia="宋体" w:cs="宋体"/>
                <w:b/>
                <w:bCs/>
                <w:sz w:val="24"/>
              </w:rPr>
            </w:pPr>
          </w:p>
        </w:tc>
        <w:tc>
          <w:tcPr>
            <w:tcW w:w="740" w:type="pct"/>
            <w:vAlign w:val="center"/>
          </w:tcPr>
          <w:p w14:paraId="606D00BF">
            <w:pPr>
              <w:jc w:val="center"/>
              <w:rPr>
                <w:rFonts w:ascii="宋体" w:hAnsi="宋体" w:eastAsia="宋体" w:cs="宋体"/>
                <w:b/>
                <w:bCs/>
                <w:sz w:val="24"/>
              </w:rPr>
            </w:pPr>
          </w:p>
        </w:tc>
        <w:tc>
          <w:tcPr>
            <w:tcW w:w="437" w:type="pct"/>
            <w:vAlign w:val="center"/>
          </w:tcPr>
          <w:p w14:paraId="6E94BC9A">
            <w:pPr>
              <w:jc w:val="center"/>
              <w:rPr>
                <w:rFonts w:ascii="宋体" w:hAnsi="宋体" w:eastAsia="宋体" w:cs="宋体"/>
                <w:b/>
                <w:bCs/>
                <w:sz w:val="24"/>
              </w:rPr>
            </w:pPr>
          </w:p>
        </w:tc>
        <w:tc>
          <w:tcPr>
            <w:tcW w:w="437" w:type="pct"/>
            <w:vAlign w:val="center"/>
          </w:tcPr>
          <w:p w14:paraId="5F150C03">
            <w:pPr>
              <w:jc w:val="center"/>
              <w:rPr>
                <w:rFonts w:ascii="宋体" w:hAnsi="宋体" w:eastAsia="宋体" w:cs="宋体"/>
                <w:b/>
                <w:bCs/>
                <w:sz w:val="24"/>
              </w:rPr>
            </w:pPr>
          </w:p>
        </w:tc>
        <w:tc>
          <w:tcPr>
            <w:tcW w:w="437" w:type="pct"/>
            <w:vAlign w:val="center"/>
          </w:tcPr>
          <w:p w14:paraId="7834D98F">
            <w:pPr>
              <w:jc w:val="center"/>
              <w:rPr>
                <w:rFonts w:ascii="宋体" w:hAnsi="宋体" w:eastAsia="宋体" w:cs="宋体"/>
                <w:b/>
                <w:bCs/>
                <w:sz w:val="24"/>
              </w:rPr>
            </w:pPr>
          </w:p>
        </w:tc>
        <w:tc>
          <w:tcPr>
            <w:tcW w:w="744" w:type="pct"/>
            <w:vAlign w:val="center"/>
          </w:tcPr>
          <w:p w14:paraId="28F0239B">
            <w:pPr>
              <w:jc w:val="center"/>
              <w:rPr>
                <w:rFonts w:ascii="宋体" w:hAnsi="宋体" w:eastAsia="宋体" w:cs="宋体"/>
                <w:b/>
                <w:bCs/>
                <w:sz w:val="24"/>
              </w:rPr>
            </w:pPr>
          </w:p>
        </w:tc>
        <w:tc>
          <w:tcPr>
            <w:tcW w:w="437" w:type="pct"/>
            <w:vAlign w:val="center"/>
          </w:tcPr>
          <w:p w14:paraId="24455200">
            <w:pPr>
              <w:jc w:val="center"/>
              <w:rPr>
                <w:rFonts w:ascii="宋体" w:hAnsi="宋体" w:eastAsia="宋体" w:cs="宋体"/>
                <w:b/>
                <w:bCs/>
                <w:sz w:val="24"/>
              </w:rPr>
            </w:pPr>
          </w:p>
        </w:tc>
      </w:tr>
      <w:tr w14:paraId="49FE7D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891" w:type="pct"/>
            <w:vAlign w:val="center"/>
          </w:tcPr>
          <w:p w14:paraId="0AF216B6">
            <w:pPr>
              <w:jc w:val="center"/>
              <w:rPr>
                <w:rFonts w:ascii="宋体" w:hAnsi="宋体" w:eastAsia="宋体" w:cs="宋体"/>
                <w:b/>
                <w:bCs/>
                <w:sz w:val="24"/>
              </w:rPr>
            </w:pPr>
            <w:r>
              <w:rPr>
                <w:rFonts w:hint="eastAsia" w:ascii="宋体" w:hAnsi="宋体" w:eastAsia="宋体" w:cs="宋体"/>
                <w:b/>
                <w:bCs/>
                <w:sz w:val="24"/>
              </w:rPr>
              <w:t>...</w:t>
            </w:r>
          </w:p>
        </w:tc>
        <w:tc>
          <w:tcPr>
            <w:tcW w:w="437" w:type="pct"/>
            <w:vAlign w:val="center"/>
          </w:tcPr>
          <w:p w14:paraId="0E360394">
            <w:pPr>
              <w:jc w:val="center"/>
              <w:rPr>
                <w:rFonts w:ascii="宋体" w:hAnsi="宋体" w:eastAsia="宋体" w:cs="宋体"/>
                <w:b/>
                <w:bCs/>
                <w:sz w:val="24"/>
              </w:rPr>
            </w:pPr>
          </w:p>
        </w:tc>
        <w:tc>
          <w:tcPr>
            <w:tcW w:w="437" w:type="pct"/>
            <w:vAlign w:val="center"/>
          </w:tcPr>
          <w:p w14:paraId="1E4A2714">
            <w:pPr>
              <w:jc w:val="center"/>
              <w:rPr>
                <w:rFonts w:ascii="宋体" w:hAnsi="宋体" w:eastAsia="宋体" w:cs="宋体"/>
                <w:b/>
                <w:bCs/>
                <w:sz w:val="24"/>
              </w:rPr>
            </w:pPr>
          </w:p>
        </w:tc>
        <w:tc>
          <w:tcPr>
            <w:tcW w:w="740" w:type="pct"/>
            <w:vAlign w:val="center"/>
          </w:tcPr>
          <w:p w14:paraId="6F9C8CC2">
            <w:pPr>
              <w:jc w:val="center"/>
              <w:rPr>
                <w:rFonts w:ascii="宋体" w:hAnsi="宋体" w:eastAsia="宋体" w:cs="宋体"/>
                <w:b/>
                <w:bCs/>
                <w:sz w:val="24"/>
              </w:rPr>
            </w:pPr>
          </w:p>
        </w:tc>
        <w:tc>
          <w:tcPr>
            <w:tcW w:w="437" w:type="pct"/>
            <w:vAlign w:val="center"/>
          </w:tcPr>
          <w:p w14:paraId="36EE7EEB">
            <w:pPr>
              <w:jc w:val="center"/>
              <w:rPr>
                <w:rFonts w:ascii="宋体" w:hAnsi="宋体" w:eastAsia="宋体" w:cs="宋体"/>
                <w:b/>
                <w:bCs/>
                <w:sz w:val="24"/>
              </w:rPr>
            </w:pPr>
          </w:p>
        </w:tc>
        <w:tc>
          <w:tcPr>
            <w:tcW w:w="437" w:type="pct"/>
            <w:vAlign w:val="center"/>
          </w:tcPr>
          <w:p w14:paraId="52C7B098">
            <w:pPr>
              <w:jc w:val="center"/>
              <w:rPr>
                <w:rFonts w:ascii="宋体" w:hAnsi="宋体" w:eastAsia="宋体" w:cs="宋体"/>
                <w:b/>
                <w:bCs/>
                <w:sz w:val="24"/>
              </w:rPr>
            </w:pPr>
          </w:p>
        </w:tc>
        <w:tc>
          <w:tcPr>
            <w:tcW w:w="437" w:type="pct"/>
            <w:vAlign w:val="center"/>
          </w:tcPr>
          <w:p w14:paraId="5419282A">
            <w:pPr>
              <w:jc w:val="center"/>
              <w:rPr>
                <w:rFonts w:ascii="宋体" w:hAnsi="宋体" w:eastAsia="宋体" w:cs="宋体"/>
                <w:b/>
                <w:bCs/>
                <w:sz w:val="24"/>
              </w:rPr>
            </w:pPr>
          </w:p>
        </w:tc>
        <w:tc>
          <w:tcPr>
            <w:tcW w:w="744" w:type="pct"/>
            <w:vAlign w:val="center"/>
          </w:tcPr>
          <w:p w14:paraId="0DE1DAEE">
            <w:pPr>
              <w:jc w:val="center"/>
              <w:rPr>
                <w:rFonts w:ascii="宋体" w:hAnsi="宋体" w:eastAsia="宋体" w:cs="宋体"/>
                <w:b/>
                <w:bCs/>
                <w:sz w:val="24"/>
              </w:rPr>
            </w:pPr>
          </w:p>
        </w:tc>
        <w:tc>
          <w:tcPr>
            <w:tcW w:w="437" w:type="pct"/>
            <w:vAlign w:val="center"/>
          </w:tcPr>
          <w:p w14:paraId="1C0BA381">
            <w:pPr>
              <w:jc w:val="center"/>
              <w:rPr>
                <w:rFonts w:ascii="宋体" w:hAnsi="宋体" w:eastAsia="宋体" w:cs="宋体"/>
                <w:b/>
                <w:bCs/>
                <w:sz w:val="24"/>
              </w:rPr>
            </w:pPr>
          </w:p>
        </w:tc>
      </w:tr>
    </w:tbl>
    <w:p w14:paraId="6B01B2D4">
      <w:pPr>
        <w:spacing w:line="240" w:lineRule="atLeast"/>
        <w:rPr>
          <w:rFonts w:ascii="宋体" w:hAnsi="宋体" w:eastAsia="宋体" w:cs="宋体"/>
          <w:b/>
          <w:sz w:val="24"/>
        </w:rPr>
      </w:pPr>
      <w:r>
        <w:rPr>
          <w:rFonts w:hint="eastAsia" w:ascii="宋体" w:hAnsi="宋体" w:eastAsia="宋体" w:cs="宋体"/>
          <w:b/>
          <w:sz w:val="24"/>
        </w:rPr>
        <w:t>注：</w:t>
      </w:r>
    </w:p>
    <w:p w14:paraId="37655798">
      <w:pPr>
        <w:spacing w:line="240" w:lineRule="atLeast"/>
        <w:rPr>
          <w:rFonts w:ascii="宋体" w:hAnsi="宋体" w:eastAsia="宋体" w:cs="宋体"/>
          <w:b/>
          <w:sz w:val="24"/>
        </w:rPr>
      </w:pPr>
      <w:r>
        <w:rPr>
          <w:rFonts w:hint="eastAsia" w:ascii="宋体" w:hAnsi="宋体" w:eastAsia="宋体" w:cs="宋体"/>
          <w:b/>
          <w:sz w:val="24"/>
        </w:rPr>
        <w:t>1、本项目一旦我单位中标，将配备上述项目管理人员。上述填报内容真实，如不真实，将按照有关规定接受处理。</w:t>
      </w:r>
    </w:p>
    <w:p w14:paraId="3943658E">
      <w:pPr>
        <w:spacing w:line="240" w:lineRule="atLeast"/>
        <w:rPr>
          <w:rFonts w:ascii="宋体" w:hAnsi="宋体" w:eastAsia="宋体" w:cs="宋体"/>
          <w:b/>
          <w:sz w:val="24"/>
        </w:rPr>
      </w:pPr>
      <w:r>
        <w:rPr>
          <w:rFonts w:hint="eastAsia" w:ascii="宋体" w:hAnsi="宋体" w:eastAsia="宋体" w:cs="宋体"/>
          <w:b/>
          <w:sz w:val="24"/>
        </w:rPr>
        <w:t>2、我单位若需要更换本项目投标文件中原有人员时须经采购人同意。未经采购人同意，我单位更换人员应承担违约责任，并且按照中标金额5％给采购人支付违约金。</w:t>
      </w:r>
    </w:p>
    <w:p w14:paraId="10BDEC1B">
      <w:pPr>
        <w:spacing w:line="240" w:lineRule="atLeast"/>
        <w:rPr>
          <w:rFonts w:ascii="宋体" w:hAnsi="宋体" w:eastAsia="宋体" w:cs="宋体"/>
          <w:b/>
          <w:sz w:val="24"/>
        </w:rPr>
      </w:pPr>
      <w:r>
        <w:rPr>
          <w:rFonts w:hint="eastAsia" w:ascii="宋体" w:hAnsi="宋体" w:eastAsia="宋体" w:cs="宋体"/>
          <w:b/>
          <w:sz w:val="24"/>
        </w:rPr>
        <w:t>4、表格不够填写可添加。</w:t>
      </w:r>
    </w:p>
    <w:p w14:paraId="4F557157">
      <w:pPr>
        <w:tabs>
          <w:tab w:val="left" w:pos="5539"/>
          <w:tab w:val="left" w:pos="7639"/>
          <w:tab w:val="left" w:pos="8865"/>
        </w:tabs>
        <w:spacing w:line="400" w:lineRule="exact"/>
        <w:ind w:firstLine="1200"/>
        <w:jc w:val="right"/>
        <w:rPr>
          <w:rFonts w:ascii="宋体" w:hAnsi="宋体" w:eastAsia="宋体" w:cs="宋体"/>
          <w:sz w:val="24"/>
        </w:rPr>
      </w:pPr>
    </w:p>
    <w:p w14:paraId="3CC8E082">
      <w:pPr>
        <w:tabs>
          <w:tab w:val="left" w:pos="5539"/>
          <w:tab w:val="left" w:pos="7639"/>
          <w:tab w:val="left" w:pos="8865"/>
        </w:tabs>
        <w:spacing w:line="400" w:lineRule="exact"/>
        <w:ind w:firstLine="1200"/>
        <w:jc w:val="right"/>
        <w:rPr>
          <w:rFonts w:ascii="宋体" w:hAnsi="宋体" w:eastAsia="宋体" w:cs="宋体"/>
          <w:sz w:val="24"/>
          <w:u w:val="single"/>
        </w:rPr>
      </w:pPr>
      <w:r>
        <w:rPr>
          <w:rFonts w:hint="eastAsia" w:ascii="宋体" w:hAnsi="宋体" w:eastAsia="宋体" w:cs="宋体"/>
          <w:sz w:val="24"/>
        </w:rPr>
        <w:t>供应商名称（公章）：</w:t>
      </w:r>
      <w:r>
        <w:rPr>
          <w:rFonts w:hint="eastAsia" w:ascii="宋体" w:hAnsi="宋体" w:eastAsia="宋体" w:cs="宋体"/>
          <w:sz w:val="24"/>
          <w:u w:val="single"/>
        </w:rPr>
        <w:t xml:space="preserve"> </w:t>
      </w:r>
      <w:r>
        <w:rPr>
          <w:rFonts w:hint="eastAsia" w:ascii="宋体" w:hAnsi="宋体" w:eastAsia="宋体" w:cs="宋体"/>
          <w:sz w:val="24"/>
          <w:u w:val="single"/>
        </w:rPr>
        <w:tab/>
      </w:r>
    </w:p>
    <w:p w14:paraId="1D18F730">
      <w:pPr>
        <w:tabs>
          <w:tab w:val="left" w:pos="5539"/>
          <w:tab w:val="left" w:pos="7639"/>
          <w:tab w:val="left" w:pos="8865"/>
        </w:tabs>
        <w:spacing w:line="400" w:lineRule="exact"/>
        <w:ind w:firstLine="1200"/>
        <w:jc w:val="center"/>
        <w:rPr>
          <w:rFonts w:ascii="宋体" w:hAnsi="宋体" w:eastAsia="宋体" w:cs="宋体"/>
          <w:spacing w:val="26"/>
          <w:sz w:val="24"/>
          <w:u w:val="single"/>
        </w:rPr>
      </w:pPr>
      <w:r>
        <w:rPr>
          <w:rFonts w:hint="eastAsia" w:ascii="宋体" w:hAnsi="宋体" w:eastAsia="宋体" w:cs="宋体"/>
          <w:sz w:val="24"/>
        </w:rPr>
        <w:t xml:space="preserve">       法定代表人（签/章）：</w:t>
      </w:r>
      <w:r>
        <w:rPr>
          <w:rFonts w:hint="eastAsia" w:ascii="宋体" w:hAnsi="宋体" w:eastAsia="宋体" w:cs="宋体"/>
          <w:spacing w:val="26"/>
          <w:sz w:val="24"/>
          <w:u w:val="single"/>
        </w:rPr>
        <w:t xml:space="preserve">            </w:t>
      </w:r>
    </w:p>
    <w:p w14:paraId="252FAFE3">
      <w:pPr>
        <w:tabs>
          <w:tab w:val="left" w:pos="5539"/>
          <w:tab w:val="left" w:pos="7639"/>
          <w:tab w:val="left" w:pos="8865"/>
        </w:tabs>
        <w:spacing w:line="400" w:lineRule="exact"/>
        <w:ind w:firstLine="1200"/>
        <w:jc w:val="right"/>
        <w:rPr>
          <w:rFonts w:ascii="宋体" w:hAnsi="宋体" w:eastAsia="宋体" w:cs="宋体"/>
          <w:sz w:val="24"/>
        </w:rPr>
      </w:pPr>
      <w:r>
        <w:rPr>
          <w:rFonts w:hint="eastAsia" w:ascii="宋体" w:hAnsi="宋体" w:eastAsia="宋体" w:cs="宋体"/>
          <w:spacing w:val="26"/>
          <w:sz w:val="24"/>
        </w:rPr>
        <w:t xml:space="preserve">         </w:t>
      </w:r>
      <w:r>
        <w:rPr>
          <w:rFonts w:hint="eastAsia" w:ascii="宋体" w:hAnsi="宋体" w:eastAsia="宋体" w:cs="宋体"/>
          <w:sz w:val="24"/>
        </w:rPr>
        <w:t>日 期：</w:t>
      </w:r>
      <w:r>
        <w:rPr>
          <w:rFonts w:hint="eastAsia" w:ascii="宋体" w:hAnsi="宋体" w:eastAsia="宋体" w:cs="宋体"/>
          <w:sz w:val="24"/>
          <w:u w:val="single"/>
        </w:rPr>
        <w:t xml:space="preserve"> </w:t>
      </w:r>
      <w:r>
        <w:rPr>
          <w:rFonts w:hint="eastAsia" w:ascii="宋体" w:hAnsi="宋体" w:eastAsia="宋体" w:cs="宋体"/>
          <w:sz w:val="24"/>
          <w:u w:val="single"/>
        </w:rPr>
        <w:tab/>
      </w:r>
    </w:p>
    <w:p w14:paraId="1BF8E03D">
      <w:pPr>
        <w:spacing w:line="240" w:lineRule="atLeast"/>
        <w:jc w:val="center"/>
        <w:outlineLvl w:val="3"/>
        <w:rPr>
          <w:rFonts w:ascii="宋体" w:hAnsi="宋体" w:eastAsia="宋体" w:cs="宋体"/>
          <w:b/>
          <w:sz w:val="24"/>
        </w:rPr>
      </w:pPr>
      <w:r>
        <w:rPr>
          <w:rFonts w:hint="eastAsia" w:ascii="宋体" w:hAnsi="宋体" w:eastAsia="宋体" w:cs="宋体"/>
          <w:sz w:val="24"/>
        </w:rPr>
        <w:br w:type="page"/>
      </w:r>
      <w:r>
        <w:rPr>
          <w:rFonts w:hint="eastAsia" w:ascii="宋体" w:hAnsi="宋体" w:eastAsia="宋体" w:cs="宋体"/>
          <w:b/>
          <w:sz w:val="24"/>
        </w:rPr>
        <w:t>8.2主要人员简历表</w:t>
      </w:r>
    </w:p>
    <w:p w14:paraId="60A1F1C4">
      <w:pPr>
        <w:spacing w:line="240" w:lineRule="atLeast"/>
        <w:outlineLvl w:val="4"/>
        <w:rPr>
          <w:rFonts w:ascii="宋体" w:hAnsi="宋体" w:eastAsia="宋体" w:cs="宋体"/>
          <w:b/>
          <w:sz w:val="24"/>
        </w:rPr>
      </w:pPr>
      <w:r>
        <w:rPr>
          <w:rFonts w:hint="eastAsia" w:ascii="宋体" w:hAnsi="宋体" w:eastAsia="宋体" w:cs="宋体"/>
          <w:b/>
          <w:sz w:val="24"/>
        </w:rPr>
        <w:t xml:space="preserve">附1：项目经理简历表 </w:t>
      </w:r>
    </w:p>
    <w:p w14:paraId="4CF14106">
      <w:pPr>
        <w:spacing w:line="240" w:lineRule="atLeast"/>
        <w:ind w:firstLine="480" w:firstLineChars="200"/>
        <w:rPr>
          <w:rFonts w:ascii="宋体" w:hAnsi="宋体" w:eastAsia="宋体" w:cs="宋体"/>
          <w:bCs/>
          <w:sz w:val="24"/>
        </w:rPr>
      </w:pPr>
      <w:r>
        <w:rPr>
          <w:rFonts w:hint="eastAsia" w:ascii="宋体" w:hAnsi="宋体" w:eastAsia="宋体" w:cs="宋体"/>
          <w:bCs/>
          <w:sz w:val="24"/>
        </w:rPr>
        <w:t>项目经理应附建造师注册证书、安全生产考核证书、身份证、职称证（如有）、社保（近6个月中任意1个月，若为入职不足3个月的员工需据实提供劳务合同</w:t>
      </w:r>
      <w:r>
        <w:rPr>
          <w:rFonts w:hint="eastAsia" w:ascii="宋体" w:hAnsi="宋体" w:eastAsia="宋体" w:cs="宋体"/>
          <w:bCs/>
          <w:sz w:val="24"/>
          <w:lang w:eastAsia="zh-CN"/>
        </w:rPr>
        <w:t>或</w:t>
      </w:r>
      <w:r>
        <w:rPr>
          <w:rFonts w:hint="eastAsia" w:ascii="宋体" w:hAnsi="宋体" w:eastAsia="宋体" w:cs="宋体"/>
          <w:bCs/>
          <w:sz w:val="24"/>
        </w:rPr>
        <w:t>目前已交社保证明）等资料复印件及未担任其他在施建设工程项目项目经理的承诺书，管理过的项目业绩（如有）须附中标通知书、合同协议书复印件。类似项目限于以项目经理身份参与的项目。</w:t>
      </w:r>
    </w:p>
    <w:tbl>
      <w:tblPr>
        <w:tblStyle w:val="29"/>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60"/>
        <w:gridCol w:w="540"/>
        <w:gridCol w:w="1972"/>
        <w:gridCol w:w="1592"/>
        <w:gridCol w:w="1818"/>
        <w:gridCol w:w="1138"/>
      </w:tblGrid>
      <w:tr w14:paraId="11FE8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1177639D">
            <w:pPr>
              <w:spacing w:line="240" w:lineRule="atLeast"/>
              <w:jc w:val="center"/>
              <w:rPr>
                <w:rFonts w:ascii="宋体" w:hAnsi="宋体" w:eastAsia="宋体" w:cs="宋体"/>
                <w:b/>
                <w:sz w:val="24"/>
              </w:rPr>
            </w:pPr>
            <w:r>
              <w:rPr>
                <w:rFonts w:hint="eastAsia" w:ascii="宋体" w:hAnsi="宋体" w:eastAsia="宋体" w:cs="宋体"/>
                <w:b/>
                <w:sz w:val="24"/>
              </w:rPr>
              <w:t>姓 名</w:t>
            </w:r>
          </w:p>
        </w:tc>
        <w:tc>
          <w:tcPr>
            <w:tcW w:w="317" w:type="pct"/>
            <w:vAlign w:val="center"/>
          </w:tcPr>
          <w:p w14:paraId="78A73EF1">
            <w:pPr>
              <w:spacing w:line="240" w:lineRule="atLeast"/>
              <w:jc w:val="center"/>
              <w:rPr>
                <w:rFonts w:ascii="宋体" w:hAnsi="宋体" w:eastAsia="宋体" w:cs="宋体"/>
                <w:b/>
                <w:sz w:val="24"/>
              </w:rPr>
            </w:pPr>
          </w:p>
        </w:tc>
        <w:tc>
          <w:tcPr>
            <w:tcW w:w="1156" w:type="pct"/>
            <w:vAlign w:val="center"/>
          </w:tcPr>
          <w:p w14:paraId="46A25B99">
            <w:pPr>
              <w:spacing w:line="240" w:lineRule="atLeast"/>
              <w:jc w:val="center"/>
              <w:rPr>
                <w:rFonts w:ascii="宋体" w:hAnsi="宋体" w:eastAsia="宋体" w:cs="宋体"/>
                <w:b/>
                <w:sz w:val="24"/>
              </w:rPr>
            </w:pPr>
            <w:r>
              <w:rPr>
                <w:rFonts w:hint="eastAsia" w:ascii="宋体" w:hAnsi="宋体" w:eastAsia="宋体" w:cs="宋体"/>
                <w:b/>
                <w:sz w:val="24"/>
              </w:rPr>
              <w:t>年 龄</w:t>
            </w:r>
          </w:p>
        </w:tc>
        <w:tc>
          <w:tcPr>
            <w:tcW w:w="934" w:type="pct"/>
            <w:vAlign w:val="center"/>
          </w:tcPr>
          <w:p w14:paraId="41AC0420">
            <w:pPr>
              <w:spacing w:line="240" w:lineRule="atLeast"/>
              <w:jc w:val="center"/>
              <w:rPr>
                <w:rFonts w:ascii="宋体" w:hAnsi="宋体" w:eastAsia="宋体" w:cs="宋体"/>
                <w:b/>
                <w:sz w:val="24"/>
              </w:rPr>
            </w:pPr>
          </w:p>
        </w:tc>
        <w:tc>
          <w:tcPr>
            <w:tcW w:w="1067" w:type="pct"/>
            <w:vAlign w:val="center"/>
          </w:tcPr>
          <w:p w14:paraId="3332372D">
            <w:pPr>
              <w:spacing w:line="240" w:lineRule="atLeast"/>
              <w:jc w:val="center"/>
              <w:rPr>
                <w:rFonts w:ascii="宋体" w:hAnsi="宋体" w:eastAsia="宋体" w:cs="宋体"/>
                <w:b/>
                <w:sz w:val="24"/>
              </w:rPr>
            </w:pPr>
            <w:r>
              <w:rPr>
                <w:rFonts w:hint="eastAsia" w:ascii="宋体" w:hAnsi="宋体" w:eastAsia="宋体" w:cs="宋体"/>
                <w:b/>
                <w:sz w:val="24"/>
              </w:rPr>
              <w:t>学历</w:t>
            </w:r>
          </w:p>
        </w:tc>
        <w:tc>
          <w:tcPr>
            <w:tcW w:w="667" w:type="pct"/>
            <w:vAlign w:val="center"/>
          </w:tcPr>
          <w:p w14:paraId="0388C5CC">
            <w:pPr>
              <w:spacing w:line="240" w:lineRule="atLeast"/>
              <w:jc w:val="center"/>
              <w:rPr>
                <w:rFonts w:ascii="宋体" w:hAnsi="宋体" w:eastAsia="宋体" w:cs="宋体"/>
                <w:b/>
                <w:sz w:val="24"/>
              </w:rPr>
            </w:pPr>
          </w:p>
        </w:tc>
      </w:tr>
      <w:tr w14:paraId="06C53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jc w:val="center"/>
        </w:trPr>
        <w:tc>
          <w:tcPr>
            <w:tcW w:w="857" w:type="pct"/>
            <w:vAlign w:val="center"/>
          </w:tcPr>
          <w:p w14:paraId="34BC1128">
            <w:pPr>
              <w:spacing w:line="240" w:lineRule="atLeast"/>
              <w:jc w:val="center"/>
              <w:rPr>
                <w:rFonts w:ascii="宋体" w:hAnsi="宋体" w:eastAsia="宋体" w:cs="宋体"/>
                <w:b/>
                <w:sz w:val="24"/>
              </w:rPr>
            </w:pPr>
            <w:r>
              <w:rPr>
                <w:rFonts w:hint="eastAsia" w:ascii="宋体" w:hAnsi="宋体" w:eastAsia="宋体" w:cs="宋体"/>
                <w:b/>
                <w:sz w:val="24"/>
              </w:rPr>
              <w:t>职 称</w:t>
            </w:r>
          </w:p>
        </w:tc>
        <w:tc>
          <w:tcPr>
            <w:tcW w:w="317" w:type="pct"/>
            <w:vAlign w:val="center"/>
          </w:tcPr>
          <w:p w14:paraId="0ABE5394">
            <w:pPr>
              <w:spacing w:line="240" w:lineRule="atLeast"/>
              <w:jc w:val="center"/>
              <w:rPr>
                <w:rFonts w:ascii="宋体" w:hAnsi="宋体" w:eastAsia="宋体" w:cs="宋体"/>
                <w:b/>
                <w:sz w:val="24"/>
              </w:rPr>
            </w:pPr>
          </w:p>
        </w:tc>
        <w:tc>
          <w:tcPr>
            <w:tcW w:w="1156" w:type="pct"/>
            <w:vAlign w:val="center"/>
          </w:tcPr>
          <w:p w14:paraId="5A1EA58E">
            <w:pPr>
              <w:spacing w:line="240" w:lineRule="atLeast"/>
              <w:jc w:val="center"/>
              <w:rPr>
                <w:rFonts w:ascii="宋体" w:hAnsi="宋体" w:eastAsia="宋体" w:cs="宋体"/>
                <w:b/>
                <w:sz w:val="24"/>
              </w:rPr>
            </w:pPr>
            <w:r>
              <w:rPr>
                <w:rFonts w:hint="eastAsia" w:ascii="宋体" w:hAnsi="宋体" w:eastAsia="宋体" w:cs="宋体"/>
                <w:b/>
                <w:sz w:val="24"/>
              </w:rPr>
              <w:t>职 务</w:t>
            </w:r>
          </w:p>
        </w:tc>
        <w:tc>
          <w:tcPr>
            <w:tcW w:w="934" w:type="pct"/>
            <w:vAlign w:val="center"/>
          </w:tcPr>
          <w:p w14:paraId="7289CB66">
            <w:pPr>
              <w:spacing w:line="240" w:lineRule="atLeast"/>
              <w:jc w:val="center"/>
              <w:rPr>
                <w:rFonts w:ascii="宋体" w:hAnsi="宋体" w:eastAsia="宋体" w:cs="宋体"/>
                <w:b/>
                <w:sz w:val="24"/>
              </w:rPr>
            </w:pPr>
          </w:p>
        </w:tc>
        <w:tc>
          <w:tcPr>
            <w:tcW w:w="1067" w:type="pct"/>
            <w:vAlign w:val="center"/>
          </w:tcPr>
          <w:p w14:paraId="3172CD7D">
            <w:pPr>
              <w:spacing w:line="240" w:lineRule="atLeast"/>
              <w:jc w:val="center"/>
              <w:rPr>
                <w:rFonts w:ascii="宋体" w:hAnsi="宋体" w:eastAsia="宋体" w:cs="宋体"/>
                <w:b/>
                <w:sz w:val="24"/>
              </w:rPr>
            </w:pPr>
            <w:r>
              <w:rPr>
                <w:rFonts w:hint="eastAsia" w:ascii="宋体" w:hAnsi="宋体" w:eastAsia="宋体" w:cs="宋体"/>
                <w:b/>
                <w:sz w:val="24"/>
              </w:rPr>
              <w:t>拟在本工程任职</w:t>
            </w:r>
          </w:p>
        </w:tc>
        <w:tc>
          <w:tcPr>
            <w:tcW w:w="667" w:type="pct"/>
            <w:vAlign w:val="center"/>
          </w:tcPr>
          <w:p w14:paraId="3DA142BB">
            <w:pPr>
              <w:spacing w:line="240" w:lineRule="atLeast"/>
              <w:jc w:val="center"/>
              <w:rPr>
                <w:rFonts w:ascii="宋体" w:hAnsi="宋体" w:eastAsia="宋体" w:cs="宋体"/>
                <w:b/>
                <w:sz w:val="24"/>
              </w:rPr>
            </w:pPr>
            <w:r>
              <w:rPr>
                <w:rFonts w:hint="eastAsia" w:ascii="宋体" w:hAnsi="宋体" w:eastAsia="宋体" w:cs="宋体"/>
                <w:b/>
                <w:sz w:val="24"/>
              </w:rPr>
              <w:t>项目经理</w:t>
            </w:r>
          </w:p>
        </w:tc>
      </w:tr>
      <w:tr w14:paraId="5E840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331" w:type="pct"/>
            <w:gridSpan w:val="3"/>
            <w:vAlign w:val="center"/>
          </w:tcPr>
          <w:p w14:paraId="26312BBD">
            <w:pPr>
              <w:spacing w:line="240" w:lineRule="atLeast"/>
              <w:jc w:val="center"/>
              <w:rPr>
                <w:rFonts w:ascii="宋体" w:hAnsi="宋体" w:eastAsia="宋体" w:cs="宋体"/>
                <w:b/>
                <w:sz w:val="24"/>
              </w:rPr>
            </w:pPr>
            <w:r>
              <w:rPr>
                <w:rFonts w:hint="eastAsia" w:ascii="宋体" w:hAnsi="宋体" w:eastAsia="宋体" w:cs="宋体"/>
                <w:b/>
                <w:sz w:val="24"/>
              </w:rPr>
              <w:t>注册建造师执业资格等级</w:t>
            </w:r>
          </w:p>
        </w:tc>
        <w:tc>
          <w:tcPr>
            <w:tcW w:w="934" w:type="pct"/>
            <w:vAlign w:val="center"/>
          </w:tcPr>
          <w:p w14:paraId="0639CA16">
            <w:pPr>
              <w:spacing w:line="240" w:lineRule="atLeast"/>
              <w:jc w:val="center"/>
              <w:rPr>
                <w:rFonts w:ascii="宋体" w:hAnsi="宋体" w:eastAsia="宋体" w:cs="宋体"/>
                <w:b/>
                <w:sz w:val="24"/>
              </w:rPr>
            </w:pPr>
            <w:r>
              <w:rPr>
                <w:rFonts w:hint="eastAsia" w:ascii="宋体" w:hAnsi="宋体" w:eastAsia="宋体" w:cs="宋体"/>
                <w:b/>
                <w:sz w:val="24"/>
              </w:rPr>
              <w:t>级</w:t>
            </w:r>
          </w:p>
        </w:tc>
        <w:tc>
          <w:tcPr>
            <w:tcW w:w="1067" w:type="pct"/>
            <w:vAlign w:val="center"/>
          </w:tcPr>
          <w:p w14:paraId="54689648">
            <w:pPr>
              <w:spacing w:line="240" w:lineRule="atLeast"/>
              <w:jc w:val="center"/>
              <w:rPr>
                <w:rFonts w:ascii="宋体" w:hAnsi="宋体" w:eastAsia="宋体" w:cs="宋体"/>
                <w:b/>
                <w:sz w:val="24"/>
              </w:rPr>
            </w:pPr>
            <w:r>
              <w:rPr>
                <w:rFonts w:hint="eastAsia" w:ascii="宋体" w:hAnsi="宋体" w:eastAsia="宋体" w:cs="宋体"/>
                <w:b/>
                <w:sz w:val="24"/>
              </w:rPr>
              <w:t>建造师专业</w:t>
            </w:r>
          </w:p>
        </w:tc>
        <w:tc>
          <w:tcPr>
            <w:tcW w:w="667" w:type="pct"/>
            <w:vAlign w:val="center"/>
          </w:tcPr>
          <w:p w14:paraId="156FE0D5">
            <w:pPr>
              <w:spacing w:line="240" w:lineRule="atLeast"/>
              <w:jc w:val="center"/>
              <w:rPr>
                <w:rFonts w:ascii="宋体" w:hAnsi="宋体" w:eastAsia="宋体" w:cs="宋体"/>
                <w:b/>
                <w:sz w:val="24"/>
              </w:rPr>
            </w:pPr>
          </w:p>
        </w:tc>
      </w:tr>
      <w:tr w14:paraId="67EFE3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2331" w:type="pct"/>
            <w:gridSpan w:val="3"/>
            <w:vAlign w:val="center"/>
          </w:tcPr>
          <w:p w14:paraId="1CCC2625">
            <w:pPr>
              <w:spacing w:line="240" w:lineRule="atLeast"/>
              <w:jc w:val="center"/>
              <w:rPr>
                <w:rFonts w:ascii="宋体" w:hAnsi="宋体" w:eastAsia="宋体" w:cs="宋体"/>
                <w:b/>
                <w:sz w:val="24"/>
              </w:rPr>
            </w:pPr>
            <w:r>
              <w:rPr>
                <w:rFonts w:hint="eastAsia" w:ascii="宋体" w:hAnsi="宋体" w:eastAsia="宋体" w:cs="宋体"/>
                <w:b/>
                <w:sz w:val="24"/>
              </w:rPr>
              <w:t>安全生产考核合格证书</w:t>
            </w:r>
          </w:p>
        </w:tc>
        <w:tc>
          <w:tcPr>
            <w:tcW w:w="2668" w:type="pct"/>
            <w:gridSpan w:val="3"/>
            <w:vAlign w:val="center"/>
          </w:tcPr>
          <w:p w14:paraId="2A871CB6">
            <w:pPr>
              <w:spacing w:line="240" w:lineRule="atLeast"/>
              <w:jc w:val="center"/>
              <w:rPr>
                <w:rFonts w:ascii="宋体" w:hAnsi="宋体" w:eastAsia="宋体" w:cs="宋体"/>
                <w:b/>
                <w:sz w:val="24"/>
              </w:rPr>
            </w:pPr>
          </w:p>
        </w:tc>
      </w:tr>
      <w:tr w14:paraId="3DEBB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085AF025">
            <w:pPr>
              <w:spacing w:line="240" w:lineRule="atLeast"/>
              <w:jc w:val="center"/>
              <w:rPr>
                <w:rFonts w:ascii="宋体" w:hAnsi="宋体" w:eastAsia="宋体" w:cs="宋体"/>
                <w:b/>
                <w:sz w:val="24"/>
              </w:rPr>
            </w:pPr>
            <w:r>
              <w:rPr>
                <w:rFonts w:hint="eastAsia" w:ascii="宋体" w:hAnsi="宋体" w:eastAsia="宋体" w:cs="宋体"/>
                <w:b/>
                <w:sz w:val="24"/>
              </w:rPr>
              <w:t>毕业学校</w:t>
            </w:r>
          </w:p>
        </w:tc>
        <w:tc>
          <w:tcPr>
            <w:tcW w:w="4142" w:type="pct"/>
            <w:gridSpan w:val="5"/>
            <w:vAlign w:val="center"/>
          </w:tcPr>
          <w:p w14:paraId="6D6E6AB8">
            <w:pPr>
              <w:spacing w:line="240" w:lineRule="atLeast"/>
              <w:jc w:val="center"/>
              <w:rPr>
                <w:rFonts w:ascii="宋体" w:hAnsi="宋体" w:eastAsia="宋体" w:cs="宋体"/>
                <w:b/>
                <w:sz w:val="24"/>
              </w:rPr>
            </w:pPr>
            <w:r>
              <w:rPr>
                <w:rFonts w:hint="eastAsia" w:ascii="宋体" w:hAnsi="宋体" w:eastAsia="宋体" w:cs="宋体"/>
                <w:b/>
                <w:sz w:val="24"/>
              </w:rPr>
              <w:t>年毕业于  学校   专业</w:t>
            </w:r>
          </w:p>
        </w:tc>
      </w:tr>
      <w:tr w14:paraId="1BEC5B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5000" w:type="pct"/>
            <w:gridSpan w:val="6"/>
            <w:vAlign w:val="center"/>
          </w:tcPr>
          <w:p w14:paraId="797B12E2">
            <w:pPr>
              <w:spacing w:line="240" w:lineRule="atLeast"/>
              <w:jc w:val="center"/>
              <w:rPr>
                <w:rFonts w:ascii="宋体" w:hAnsi="宋体" w:eastAsia="宋体" w:cs="宋体"/>
                <w:b/>
                <w:sz w:val="24"/>
              </w:rPr>
            </w:pPr>
            <w:r>
              <w:rPr>
                <w:rFonts w:hint="eastAsia" w:ascii="宋体" w:hAnsi="宋体" w:eastAsia="宋体" w:cs="宋体"/>
                <w:b/>
                <w:sz w:val="24"/>
              </w:rPr>
              <w:t>主要工作经历</w:t>
            </w:r>
          </w:p>
        </w:tc>
      </w:tr>
      <w:tr w14:paraId="56F825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24752F0C">
            <w:pPr>
              <w:spacing w:line="240" w:lineRule="atLeast"/>
              <w:jc w:val="center"/>
              <w:rPr>
                <w:rFonts w:ascii="宋体" w:hAnsi="宋体" w:eastAsia="宋体" w:cs="宋体"/>
                <w:b/>
                <w:sz w:val="24"/>
              </w:rPr>
            </w:pPr>
            <w:r>
              <w:rPr>
                <w:rFonts w:hint="eastAsia" w:ascii="宋体" w:hAnsi="宋体" w:eastAsia="宋体" w:cs="宋体"/>
                <w:b/>
                <w:sz w:val="24"/>
              </w:rPr>
              <w:t>时 间</w:t>
            </w:r>
          </w:p>
        </w:tc>
        <w:tc>
          <w:tcPr>
            <w:tcW w:w="1473" w:type="pct"/>
            <w:gridSpan w:val="2"/>
            <w:vAlign w:val="center"/>
          </w:tcPr>
          <w:p w14:paraId="77F0A6E6">
            <w:pPr>
              <w:spacing w:line="240" w:lineRule="atLeast"/>
              <w:jc w:val="center"/>
              <w:rPr>
                <w:rFonts w:ascii="宋体" w:hAnsi="宋体" w:eastAsia="宋体" w:cs="宋体"/>
                <w:b/>
                <w:sz w:val="24"/>
              </w:rPr>
            </w:pPr>
            <w:r>
              <w:rPr>
                <w:rFonts w:hint="eastAsia" w:ascii="宋体" w:hAnsi="宋体" w:eastAsia="宋体" w:cs="宋体"/>
                <w:b/>
                <w:sz w:val="24"/>
              </w:rPr>
              <w:t>参加过的类似项目名称</w:t>
            </w:r>
          </w:p>
        </w:tc>
        <w:tc>
          <w:tcPr>
            <w:tcW w:w="934" w:type="pct"/>
            <w:vAlign w:val="center"/>
          </w:tcPr>
          <w:p w14:paraId="2FEB634C">
            <w:pPr>
              <w:spacing w:line="240" w:lineRule="atLeast"/>
              <w:jc w:val="center"/>
              <w:rPr>
                <w:rFonts w:ascii="宋体" w:hAnsi="宋体" w:eastAsia="宋体" w:cs="宋体"/>
                <w:b/>
                <w:sz w:val="24"/>
              </w:rPr>
            </w:pPr>
            <w:r>
              <w:rPr>
                <w:rFonts w:hint="eastAsia" w:ascii="宋体" w:hAnsi="宋体" w:eastAsia="宋体" w:cs="宋体"/>
                <w:b/>
                <w:sz w:val="24"/>
              </w:rPr>
              <w:t>工程概况说明</w:t>
            </w:r>
          </w:p>
        </w:tc>
        <w:tc>
          <w:tcPr>
            <w:tcW w:w="1067" w:type="pct"/>
            <w:vAlign w:val="center"/>
          </w:tcPr>
          <w:p w14:paraId="3B8B4B61">
            <w:pPr>
              <w:spacing w:line="240" w:lineRule="atLeast"/>
              <w:jc w:val="center"/>
              <w:rPr>
                <w:rFonts w:ascii="宋体" w:hAnsi="宋体" w:eastAsia="宋体" w:cs="宋体"/>
                <w:b/>
                <w:sz w:val="24"/>
              </w:rPr>
            </w:pPr>
            <w:r>
              <w:rPr>
                <w:rFonts w:hint="eastAsia" w:ascii="宋体" w:hAnsi="宋体" w:eastAsia="宋体" w:cs="宋体"/>
                <w:b/>
                <w:sz w:val="24"/>
              </w:rPr>
              <w:t>招标人</w:t>
            </w:r>
          </w:p>
        </w:tc>
        <w:tc>
          <w:tcPr>
            <w:tcW w:w="667" w:type="pct"/>
            <w:vAlign w:val="center"/>
          </w:tcPr>
          <w:p w14:paraId="48F7E13F">
            <w:pPr>
              <w:spacing w:line="240" w:lineRule="atLeast"/>
              <w:jc w:val="center"/>
              <w:rPr>
                <w:rFonts w:ascii="宋体" w:hAnsi="宋体" w:eastAsia="宋体" w:cs="宋体"/>
                <w:b/>
                <w:sz w:val="24"/>
              </w:rPr>
            </w:pPr>
            <w:r>
              <w:rPr>
                <w:rFonts w:hint="eastAsia" w:ascii="宋体" w:hAnsi="宋体" w:eastAsia="宋体" w:cs="宋体"/>
                <w:b/>
                <w:sz w:val="24"/>
              </w:rPr>
              <w:t>联系电话</w:t>
            </w:r>
          </w:p>
        </w:tc>
      </w:tr>
      <w:tr w14:paraId="129F9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6531E185">
            <w:pPr>
              <w:spacing w:line="240" w:lineRule="atLeast"/>
              <w:jc w:val="center"/>
              <w:rPr>
                <w:rFonts w:ascii="宋体" w:hAnsi="宋体" w:eastAsia="宋体" w:cs="宋体"/>
                <w:b/>
                <w:sz w:val="24"/>
              </w:rPr>
            </w:pPr>
          </w:p>
        </w:tc>
        <w:tc>
          <w:tcPr>
            <w:tcW w:w="1473" w:type="pct"/>
            <w:gridSpan w:val="2"/>
            <w:vAlign w:val="center"/>
          </w:tcPr>
          <w:p w14:paraId="23808D1F">
            <w:pPr>
              <w:spacing w:line="240" w:lineRule="atLeast"/>
              <w:jc w:val="center"/>
              <w:rPr>
                <w:rFonts w:ascii="宋体" w:hAnsi="宋体" w:eastAsia="宋体" w:cs="宋体"/>
                <w:b/>
                <w:sz w:val="24"/>
              </w:rPr>
            </w:pPr>
          </w:p>
        </w:tc>
        <w:tc>
          <w:tcPr>
            <w:tcW w:w="934" w:type="pct"/>
            <w:vAlign w:val="center"/>
          </w:tcPr>
          <w:p w14:paraId="11D38F29">
            <w:pPr>
              <w:spacing w:line="240" w:lineRule="atLeast"/>
              <w:jc w:val="center"/>
              <w:rPr>
                <w:rFonts w:ascii="宋体" w:hAnsi="宋体" w:eastAsia="宋体" w:cs="宋体"/>
                <w:b/>
                <w:sz w:val="24"/>
              </w:rPr>
            </w:pPr>
          </w:p>
        </w:tc>
        <w:tc>
          <w:tcPr>
            <w:tcW w:w="1067" w:type="pct"/>
            <w:vAlign w:val="center"/>
          </w:tcPr>
          <w:p w14:paraId="64829AA0">
            <w:pPr>
              <w:spacing w:line="240" w:lineRule="atLeast"/>
              <w:jc w:val="center"/>
              <w:rPr>
                <w:rFonts w:ascii="宋体" w:hAnsi="宋体" w:eastAsia="宋体" w:cs="宋体"/>
                <w:b/>
                <w:sz w:val="24"/>
              </w:rPr>
            </w:pPr>
          </w:p>
        </w:tc>
        <w:tc>
          <w:tcPr>
            <w:tcW w:w="667" w:type="pct"/>
            <w:vAlign w:val="center"/>
          </w:tcPr>
          <w:p w14:paraId="64D64663">
            <w:pPr>
              <w:spacing w:line="240" w:lineRule="atLeast"/>
              <w:jc w:val="center"/>
              <w:rPr>
                <w:rFonts w:ascii="宋体" w:hAnsi="宋体" w:eastAsia="宋体" w:cs="宋体"/>
                <w:b/>
                <w:sz w:val="24"/>
              </w:rPr>
            </w:pPr>
          </w:p>
        </w:tc>
      </w:tr>
      <w:tr w14:paraId="6F85F9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140AD149">
            <w:pPr>
              <w:spacing w:line="240" w:lineRule="atLeast"/>
              <w:jc w:val="center"/>
              <w:rPr>
                <w:rFonts w:ascii="宋体" w:hAnsi="宋体" w:eastAsia="宋体" w:cs="宋体"/>
                <w:b/>
                <w:sz w:val="24"/>
              </w:rPr>
            </w:pPr>
          </w:p>
        </w:tc>
        <w:tc>
          <w:tcPr>
            <w:tcW w:w="1473" w:type="pct"/>
            <w:gridSpan w:val="2"/>
            <w:vAlign w:val="center"/>
          </w:tcPr>
          <w:p w14:paraId="74072854">
            <w:pPr>
              <w:spacing w:line="240" w:lineRule="atLeast"/>
              <w:jc w:val="center"/>
              <w:rPr>
                <w:rFonts w:ascii="宋体" w:hAnsi="宋体" w:eastAsia="宋体" w:cs="宋体"/>
                <w:b/>
                <w:sz w:val="24"/>
              </w:rPr>
            </w:pPr>
          </w:p>
        </w:tc>
        <w:tc>
          <w:tcPr>
            <w:tcW w:w="934" w:type="pct"/>
            <w:vAlign w:val="center"/>
          </w:tcPr>
          <w:p w14:paraId="03449862">
            <w:pPr>
              <w:spacing w:line="240" w:lineRule="atLeast"/>
              <w:jc w:val="center"/>
              <w:rPr>
                <w:rFonts w:ascii="宋体" w:hAnsi="宋体" w:eastAsia="宋体" w:cs="宋体"/>
                <w:b/>
                <w:sz w:val="24"/>
              </w:rPr>
            </w:pPr>
          </w:p>
        </w:tc>
        <w:tc>
          <w:tcPr>
            <w:tcW w:w="1067" w:type="pct"/>
            <w:vAlign w:val="center"/>
          </w:tcPr>
          <w:p w14:paraId="1D0F68F4">
            <w:pPr>
              <w:spacing w:line="240" w:lineRule="atLeast"/>
              <w:jc w:val="center"/>
              <w:rPr>
                <w:rFonts w:ascii="宋体" w:hAnsi="宋体" w:eastAsia="宋体" w:cs="宋体"/>
                <w:b/>
                <w:sz w:val="24"/>
              </w:rPr>
            </w:pPr>
          </w:p>
        </w:tc>
        <w:tc>
          <w:tcPr>
            <w:tcW w:w="667" w:type="pct"/>
            <w:vAlign w:val="center"/>
          </w:tcPr>
          <w:p w14:paraId="47AD39B3">
            <w:pPr>
              <w:spacing w:line="240" w:lineRule="atLeast"/>
              <w:jc w:val="center"/>
              <w:rPr>
                <w:rFonts w:ascii="宋体" w:hAnsi="宋体" w:eastAsia="宋体" w:cs="宋体"/>
                <w:b/>
                <w:sz w:val="24"/>
              </w:rPr>
            </w:pPr>
          </w:p>
        </w:tc>
      </w:tr>
      <w:tr w14:paraId="24309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77BCF282">
            <w:pPr>
              <w:spacing w:line="240" w:lineRule="atLeast"/>
              <w:jc w:val="center"/>
              <w:rPr>
                <w:rFonts w:ascii="宋体" w:hAnsi="宋体" w:eastAsia="宋体" w:cs="宋体"/>
                <w:b/>
                <w:sz w:val="24"/>
              </w:rPr>
            </w:pPr>
          </w:p>
        </w:tc>
        <w:tc>
          <w:tcPr>
            <w:tcW w:w="1473" w:type="pct"/>
            <w:gridSpan w:val="2"/>
            <w:vAlign w:val="center"/>
          </w:tcPr>
          <w:p w14:paraId="1FFF052E">
            <w:pPr>
              <w:spacing w:line="240" w:lineRule="atLeast"/>
              <w:jc w:val="center"/>
              <w:rPr>
                <w:rFonts w:ascii="宋体" w:hAnsi="宋体" w:eastAsia="宋体" w:cs="宋体"/>
                <w:b/>
                <w:sz w:val="24"/>
              </w:rPr>
            </w:pPr>
          </w:p>
        </w:tc>
        <w:tc>
          <w:tcPr>
            <w:tcW w:w="934" w:type="pct"/>
            <w:vAlign w:val="center"/>
          </w:tcPr>
          <w:p w14:paraId="5D8E0540">
            <w:pPr>
              <w:spacing w:line="240" w:lineRule="atLeast"/>
              <w:jc w:val="center"/>
              <w:rPr>
                <w:rFonts w:ascii="宋体" w:hAnsi="宋体" w:eastAsia="宋体" w:cs="宋体"/>
                <w:b/>
                <w:sz w:val="24"/>
              </w:rPr>
            </w:pPr>
          </w:p>
        </w:tc>
        <w:tc>
          <w:tcPr>
            <w:tcW w:w="1067" w:type="pct"/>
            <w:vAlign w:val="center"/>
          </w:tcPr>
          <w:p w14:paraId="25787A92">
            <w:pPr>
              <w:spacing w:line="240" w:lineRule="atLeast"/>
              <w:jc w:val="center"/>
              <w:rPr>
                <w:rFonts w:ascii="宋体" w:hAnsi="宋体" w:eastAsia="宋体" w:cs="宋体"/>
                <w:b/>
                <w:sz w:val="24"/>
              </w:rPr>
            </w:pPr>
          </w:p>
        </w:tc>
        <w:tc>
          <w:tcPr>
            <w:tcW w:w="667" w:type="pct"/>
            <w:vAlign w:val="center"/>
          </w:tcPr>
          <w:p w14:paraId="59875B02">
            <w:pPr>
              <w:spacing w:line="240" w:lineRule="atLeast"/>
              <w:jc w:val="center"/>
              <w:rPr>
                <w:rFonts w:ascii="宋体" w:hAnsi="宋体" w:eastAsia="宋体" w:cs="宋体"/>
                <w:b/>
                <w:sz w:val="24"/>
              </w:rPr>
            </w:pPr>
          </w:p>
        </w:tc>
      </w:tr>
      <w:tr w14:paraId="0F7664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65FC0E9B">
            <w:pPr>
              <w:spacing w:line="240" w:lineRule="atLeast"/>
              <w:jc w:val="center"/>
              <w:rPr>
                <w:rFonts w:ascii="宋体" w:hAnsi="宋体" w:eastAsia="宋体" w:cs="宋体"/>
                <w:b/>
                <w:sz w:val="24"/>
              </w:rPr>
            </w:pPr>
          </w:p>
        </w:tc>
        <w:tc>
          <w:tcPr>
            <w:tcW w:w="1473" w:type="pct"/>
            <w:gridSpan w:val="2"/>
            <w:vAlign w:val="center"/>
          </w:tcPr>
          <w:p w14:paraId="2DB02A3A">
            <w:pPr>
              <w:spacing w:line="240" w:lineRule="atLeast"/>
              <w:jc w:val="center"/>
              <w:rPr>
                <w:rFonts w:ascii="宋体" w:hAnsi="宋体" w:eastAsia="宋体" w:cs="宋体"/>
                <w:b/>
                <w:sz w:val="24"/>
              </w:rPr>
            </w:pPr>
          </w:p>
        </w:tc>
        <w:tc>
          <w:tcPr>
            <w:tcW w:w="934" w:type="pct"/>
            <w:vAlign w:val="center"/>
          </w:tcPr>
          <w:p w14:paraId="796CCFDA">
            <w:pPr>
              <w:spacing w:line="240" w:lineRule="atLeast"/>
              <w:jc w:val="center"/>
              <w:rPr>
                <w:rFonts w:ascii="宋体" w:hAnsi="宋体" w:eastAsia="宋体" w:cs="宋体"/>
                <w:b/>
                <w:sz w:val="24"/>
              </w:rPr>
            </w:pPr>
          </w:p>
        </w:tc>
        <w:tc>
          <w:tcPr>
            <w:tcW w:w="1067" w:type="pct"/>
            <w:vAlign w:val="center"/>
          </w:tcPr>
          <w:p w14:paraId="290DE96B">
            <w:pPr>
              <w:spacing w:line="240" w:lineRule="atLeast"/>
              <w:jc w:val="center"/>
              <w:rPr>
                <w:rFonts w:ascii="宋体" w:hAnsi="宋体" w:eastAsia="宋体" w:cs="宋体"/>
                <w:b/>
                <w:sz w:val="24"/>
              </w:rPr>
            </w:pPr>
          </w:p>
        </w:tc>
        <w:tc>
          <w:tcPr>
            <w:tcW w:w="667" w:type="pct"/>
            <w:vAlign w:val="center"/>
          </w:tcPr>
          <w:p w14:paraId="44BC7EAA">
            <w:pPr>
              <w:spacing w:line="240" w:lineRule="atLeast"/>
              <w:jc w:val="center"/>
              <w:rPr>
                <w:rFonts w:ascii="宋体" w:hAnsi="宋体" w:eastAsia="宋体" w:cs="宋体"/>
                <w:b/>
                <w:sz w:val="24"/>
              </w:rPr>
            </w:pPr>
          </w:p>
        </w:tc>
      </w:tr>
      <w:tr w14:paraId="3443BE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1D420E07">
            <w:pPr>
              <w:spacing w:line="240" w:lineRule="atLeast"/>
              <w:jc w:val="center"/>
              <w:rPr>
                <w:rFonts w:ascii="宋体" w:hAnsi="宋体" w:eastAsia="宋体" w:cs="宋体"/>
                <w:b/>
                <w:sz w:val="24"/>
              </w:rPr>
            </w:pPr>
          </w:p>
        </w:tc>
        <w:tc>
          <w:tcPr>
            <w:tcW w:w="1473" w:type="pct"/>
            <w:gridSpan w:val="2"/>
            <w:vAlign w:val="center"/>
          </w:tcPr>
          <w:p w14:paraId="04679ADF">
            <w:pPr>
              <w:spacing w:line="240" w:lineRule="atLeast"/>
              <w:jc w:val="center"/>
              <w:rPr>
                <w:rFonts w:ascii="宋体" w:hAnsi="宋体" w:eastAsia="宋体" w:cs="宋体"/>
                <w:b/>
                <w:sz w:val="24"/>
              </w:rPr>
            </w:pPr>
          </w:p>
        </w:tc>
        <w:tc>
          <w:tcPr>
            <w:tcW w:w="934" w:type="pct"/>
            <w:vAlign w:val="center"/>
          </w:tcPr>
          <w:p w14:paraId="1C649086">
            <w:pPr>
              <w:spacing w:line="240" w:lineRule="atLeast"/>
              <w:jc w:val="center"/>
              <w:rPr>
                <w:rFonts w:ascii="宋体" w:hAnsi="宋体" w:eastAsia="宋体" w:cs="宋体"/>
                <w:b/>
                <w:sz w:val="24"/>
              </w:rPr>
            </w:pPr>
          </w:p>
        </w:tc>
        <w:tc>
          <w:tcPr>
            <w:tcW w:w="1067" w:type="pct"/>
            <w:vAlign w:val="center"/>
          </w:tcPr>
          <w:p w14:paraId="3BEE38F6">
            <w:pPr>
              <w:spacing w:line="240" w:lineRule="atLeast"/>
              <w:jc w:val="center"/>
              <w:rPr>
                <w:rFonts w:ascii="宋体" w:hAnsi="宋体" w:eastAsia="宋体" w:cs="宋体"/>
                <w:b/>
                <w:sz w:val="24"/>
              </w:rPr>
            </w:pPr>
          </w:p>
        </w:tc>
        <w:tc>
          <w:tcPr>
            <w:tcW w:w="667" w:type="pct"/>
            <w:vAlign w:val="center"/>
          </w:tcPr>
          <w:p w14:paraId="317BA17F">
            <w:pPr>
              <w:spacing w:line="240" w:lineRule="atLeast"/>
              <w:jc w:val="center"/>
              <w:rPr>
                <w:rFonts w:ascii="宋体" w:hAnsi="宋体" w:eastAsia="宋体" w:cs="宋体"/>
                <w:b/>
                <w:sz w:val="24"/>
              </w:rPr>
            </w:pPr>
          </w:p>
        </w:tc>
      </w:tr>
      <w:tr w14:paraId="3CE60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exact"/>
          <w:jc w:val="center"/>
        </w:trPr>
        <w:tc>
          <w:tcPr>
            <w:tcW w:w="857" w:type="pct"/>
            <w:vAlign w:val="center"/>
          </w:tcPr>
          <w:p w14:paraId="1A107CD3">
            <w:pPr>
              <w:spacing w:line="240" w:lineRule="atLeast"/>
              <w:jc w:val="center"/>
              <w:rPr>
                <w:rFonts w:ascii="宋体" w:hAnsi="宋体" w:eastAsia="宋体" w:cs="宋体"/>
                <w:b/>
                <w:sz w:val="24"/>
              </w:rPr>
            </w:pPr>
          </w:p>
        </w:tc>
        <w:tc>
          <w:tcPr>
            <w:tcW w:w="1473" w:type="pct"/>
            <w:gridSpan w:val="2"/>
            <w:vAlign w:val="center"/>
          </w:tcPr>
          <w:p w14:paraId="5928F9EB">
            <w:pPr>
              <w:spacing w:line="240" w:lineRule="atLeast"/>
              <w:jc w:val="center"/>
              <w:rPr>
                <w:rFonts w:ascii="宋体" w:hAnsi="宋体" w:eastAsia="宋体" w:cs="宋体"/>
                <w:b/>
                <w:sz w:val="24"/>
              </w:rPr>
            </w:pPr>
          </w:p>
        </w:tc>
        <w:tc>
          <w:tcPr>
            <w:tcW w:w="934" w:type="pct"/>
            <w:vAlign w:val="center"/>
          </w:tcPr>
          <w:p w14:paraId="2CD7D25F">
            <w:pPr>
              <w:spacing w:line="240" w:lineRule="atLeast"/>
              <w:jc w:val="center"/>
              <w:rPr>
                <w:rFonts w:ascii="宋体" w:hAnsi="宋体" w:eastAsia="宋体" w:cs="宋体"/>
                <w:b/>
                <w:sz w:val="24"/>
              </w:rPr>
            </w:pPr>
          </w:p>
        </w:tc>
        <w:tc>
          <w:tcPr>
            <w:tcW w:w="1067" w:type="pct"/>
            <w:vAlign w:val="center"/>
          </w:tcPr>
          <w:p w14:paraId="7E25B065">
            <w:pPr>
              <w:spacing w:line="240" w:lineRule="atLeast"/>
              <w:jc w:val="center"/>
              <w:rPr>
                <w:rFonts w:ascii="宋体" w:hAnsi="宋体" w:eastAsia="宋体" w:cs="宋体"/>
                <w:b/>
                <w:sz w:val="24"/>
              </w:rPr>
            </w:pPr>
          </w:p>
        </w:tc>
        <w:tc>
          <w:tcPr>
            <w:tcW w:w="667" w:type="pct"/>
            <w:vAlign w:val="center"/>
          </w:tcPr>
          <w:p w14:paraId="37B8A883">
            <w:pPr>
              <w:spacing w:line="240" w:lineRule="atLeast"/>
              <w:jc w:val="center"/>
              <w:rPr>
                <w:rFonts w:ascii="宋体" w:hAnsi="宋体" w:eastAsia="宋体" w:cs="宋体"/>
                <w:b/>
                <w:sz w:val="24"/>
              </w:rPr>
            </w:pPr>
          </w:p>
        </w:tc>
      </w:tr>
      <w:tr w14:paraId="0062E6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9" w:hRule="exact"/>
          <w:jc w:val="center"/>
        </w:trPr>
        <w:tc>
          <w:tcPr>
            <w:tcW w:w="857" w:type="pct"/>
            <w:vAlign w:val="center"/>
          </w:tcPr>
          <w:p w14:paraId="23E84FE3">
            <w:pPr>
              <w:spacing w:line="240" w:lineRule="atLeast"/>
              <w:jc w:val="center"/>
              <w:rPr>
                <w:rFonts w:ascii="宋体" w:hAnsi="宋体" w:eastAsia="宋体" w:cs="宋体"/>
                <w:b/>
                <w:sz w:val="24"/>
              </w:rPr>
            </w:pPr>
          </w:p>
        </w:tc>
        <w:tc>
          <w:tcPr>
            <w:tcW w:w="1473" w:type="pct"/>
            <w:gridSpan w:val="2"/>
            <w:vAlign w:val="center"/>
          </w:tcPr>
          <w:p w14:paraId="5F9D4C09">
            <w:pPr>
              <w:spacing w:line="240" w:lineRule="atLeast"/>
              <w:jc w:val="center"/>
              <w:rPr>
                <w:rFonts w:ascii="宋体" w:hAnsi="宋体" w:eastAsia="宋体" w:cs="宋体"/>
                <w:b/>
                <w:sz w:val="24"/>
              </w:rPr>
            </w:pPr>
          </w:p>
        </w:tc>
        <w:tc>
          <w:tcPr>
            <w:tcW w:w="934" w:type="pct"/>
            <w:vAlign w:val="center"/>
          </w:tcPr>
          <w:p w14:paraId="20DED9F1">
            <w:pPr>
              <w:spacing w:line="240" w:lineRule="atLeast"/>
              <w:jc w:val="center"/>
              <w:rPr>
                <w:rFonts w:ascii="宋体" w:hAnsi="宋体" w:eastAsia="宋体" w:cs="宋体"/>
                <w:b/>
                <w:sz w:val="24"/>
              </w:rPr>
            </w:pPr>
          </w:p>
        </w:tc>
        <w:tc>
          <w:tcPr>
            <w:tcW w:w="1067" w:type="pct"/>
            <w:vAlign w:val="center"/>
          </w:tcPr>
          <w:p w14:paraId="3D34726B">
            <w:pPr>
              <w:spacing w:line="240" w:lineRule="atLeast"/>
              <w:jc w:val="center"/>
              <w:rPr>
                <w:rFonts w:ascii="宋体" w:hAnsi="宋体" w:eastAsia="宋体" w:cs="宋体"/>
                <w:b/>
                <w:sz w:val="24"/>
              </w:rPr>
            </w:pPr>
          </w:p>
        </w:tc>
        <w:tc>
          <w:tcPr>
            <w:tcW w:w="667" w:type="pct"/>
            <w:vAlign w:val="center"/>
          </w:tcPr>
          <w:p w14:paraId="77B77486">
            <w:pPr>
              <w:spacing w:line="240" w:lineRule="atLeast"/>
              <w:jc w:val="center"/>
              <w:rPr>
                <w:rFonts w:ascii="宋体" w:hAnsi="宋体" w:eastAsia="宋体" w:cs="宋体"/>
                <w:b/>
                <w:sz w:val="24"/>
              </w:rPr>
            </w:pPr>
          </w:p>
        </w:tc>
      </w:tr>
    </w:tbl>
    <w:p w14:paraId="4BCF40D6">
      <w:pPr>
        <w:spacing w:line="240" w:lineRule="atLeast"/>
        <w:rPr>
          <w:rFonts w:ascii="宋体" w:hAnsi="宋体" w:eastAsia="宋体" w:cs="宋体"/>
          <w:b/>
          <w:sz w:val="24"/>
        </w:rPr>
      </w:pPr>
    </w:p>
    <w:p w14:paraId="4A25A67F">
      <w:pPr>
        <w:spacing w:line="240" w:lineRule="atLeast"/>
        <w:rPr>
          <w:rFonts w:ascii="宋体" w:hAnsi="宋体" w:eastAsia="宋体" w:cs="宋体"/>
          <w:b/>
          <w:sz w:val="24"/>
        </w:rPr>
      </w:pPr>
    </w:p>
    <w:p w14:paraId="0531AE55">
      <w:pPr>
        <w:rPr>
          <w:rFonts w:ascii="宋体" w:hAnsi="宋体" w:eastAsia="宋体" w:cs="宋体"/>
          <w:b/>
          <w:sz w:val="24"/>
        </w:rPr>
      </w:pPr>
      <w:r>
        <w:rPr>
          <w:rFonts w:hint="eastAsia" w:ascii="宋体" w:hAnsi="宋体" w:eastAsia="宋体" w:cs="宋体"/>
          <w:b/>
          <w:sz w:val="24"/>
        </w:rPr>
        <w:br w:type="page"/>
      </w:r>
    </w:p>
    <w:p w14:paraId="5BCB84F1">
      <w:pPr>
        <w:spacing w:line="240" w:lineRule="atLeast"/>
        <w:outlineLvl w:val="4"/>
        <w:rPr>
          <w:rFonts w:ascii="宋体" w:hAnsi="宋体" w:eastAsia="宋体" w:cs="宋体"/>
          <w:b/>
          <w:sz w:val="24"/>
        </w:rPr>
      </w:pPr>
      <w:r>
        <w:rPr>
          <w:rFonts w:hint="eastAsia" w:ascii="宋体" w:hAnsi="宋体" w:eastAsia="宋体" w:cs="宋体"/>
          <w:b/>
          <w:sz w:val="24"/>
        </w:rPr>
        <w:t>附2：主要项目管理人员简历表</w:t>
      </w:r>
    </w:p>
    <w:p w14:paraId="38299BB5">
      <w:pPr>
        <w:spacing w:line="240" w:lineRule="atLeast"/>
        <w:ind w:firstLine="480" w:firstLineChars="200"/>
        <w:rPr>
          <w:rFonts w:ascii="宋体" w:hAnsi="宋体" w:eastAsia="宋体" w:cs="宋体"/>
          <w:bCs/>
          <w:sz w:val="24"/>
        </w:rPr>
      </w:pPr>
      <w:r>
        <w:rPr>
          <w:rFonts w:hint="eastAsia" w:ascii="宋体" w:hAnsi="宋体" w:eastAsia="宋体" w:cs="宋体"/>
          <w:bCs/>
          <w:sz w:val="24"/>
        </w:rPr>
        <w:t>主要项目管理人员指技术负责人、专职安全生产管理人员等岗位人员。应附资格（岗位）证书（如有）、身份证、职称证（如有）、社保（近6个月中任意1个月，若为入职不足3个月的员工需据实提供劳务合同</w:t>
      </w:r>
      <w:r>
        <w:rPr>
          <w:rFonts w:hint="eastAsia" w:ascii="宋体" w:hAnsi="宋体" w:eastAsia="宋体" w:cs="宋体"/>
          <w:bCs/>
          <w:sz w:val="24"/>
          <w:lang w:eastAsia="zh-CN"/>
        </w:rPr>
        <w:t>或</w:t>
      </w:r>
      <w:r>
        <w:rPr>
          <w:rFonts w:hint="eastAsia" w:ascii="宋体" w:hAnsi="宋体" w:eastAsia="宋体" w:cs="宋体"/>
          <w:bCs/>
          <w:sz w:val="24"/>
        </w:rPr>
        <w:t>目前已交社保证明）等资料复印件，专职安全生产管理人员应附安全生产考核合格证书，主要业绩（如有）须附合同协议书。</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96"/>
        <w:gridCol w:w="2165"/>
        <w:gridCol w:w="2197"/>
        <w:gridCol w:w="1962"/>
      </w:tblGrid>
      <w:tr w14:paraId="2DDE5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63BF2AD7">
            <w:pPr>
              <w:spacing w:line="240" w:lineRule="atLeast"/>
              <w:jc w:val="center"/>
              <w:rPr>
                <w:rFonts w:ascii="宋体" w:hAnsi="宋体" w:eastAsia="宋体" w:cs="宋体"/>
                <w:b/>
                <w:sz w:val="24"/>
              </w:rPr>
            </w:pPr>
            <w:r>
              <w:rPr>
                <w:rFonts w:hint="eastAsia" w:ascii="宋体" w:hAnsi="宋体" w:eastAsia="宋体" w:cs="宋体"/>
                <w:b/>
                <w:sz w:val="24"/>
              </w:rPr>
              <w:t>岗位名称</w:t>
            </w:r>
          </w:p>
        </w:tc>
        <w:tc>
          <w:tcPr>
            <w:tcW w:w="7179" w:type="dxa"/>
            <w:gridSpan w:val="3"/>
            <w:vAlign w:val="center"/>
          </w:tcPr>
          <w:p w14:paraId="1E7E9028">
            <w:pPr>
              <w:spacing w:line="240" w:lineRule="atLeast"/>
              <w:jc w:val="center"/>
              <w:rPr>
                <w:rFonts w:ascii="宋体" w:hAnsi="宋体" w:eastAsia="宋体" w:cs="宋体"/>
                <w:b/>
                <w:sz w:val="24"/>
              </w:rPr>
            </w:pPr>
          </w:p>
        </w:tc>
      </w:tr>
      <w:tr w14:paraId="5626FD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03C58889">
            <w:pPr>
              <w:spacing w:line="240" w:lineRule="atLeast"/>
              <w:jc w:val="center"/>
              <w:rPr>
                <w:rFonts w:ascii="宋体" w:hAnsi="宋体" w:eastAsia="宋体" w:cs="宋体"/>
                <w:b/>
                <w:sz w:val="24"/>
              </w:rPr>
            </w:pPr>
            <w:r>
              <w:rPr>
                <w:rFonts w:hint="eastAsia" w:ascii="宋体" w:hAnsi="宋体" w:eastAsia="宋体" w:cs="宋体"/>
                <w:b/>
                <w:sz w:val="24"/>
              </w:rPr>
              <w:t>姓名</w:t>
            </w:r>
          </w:p>
        </w:tc>
        <w:tc>
          <w:tcPr>
            <w:tcW w:w="2471" w:type="dxa"/>
            <w:vAlign w:val="center"/>
          </w:tcPr>
          <w:p w14:paraId="2E8F2417">
            <w:pPr>
              <w:spacing w:line="240" w:lineRule="atLeast"/>
              <w:jc w:val="center"/>
              <w:rPr>
                <w:rFonts w:ascii="宋体" w:hAnsi="宋体" w:eastAsia="宋体" w:cs="宋体"/>
                <w:b/>
                <w:sz w:val="24"/>
              </w:rPr>
            </w:pPr>
          </w:p>
        </w:tc>
        <w:tc>
          <w:tcPr>
            <w:tcW w:w="2472" w:type="dxa"/>
            <w:vAlign w:val="center"/>
          </w:tcPr>
          <w:p w14:paraId="3A440A85">
            <w:pPr>
              <w:spacing w:line="240" w:lineRule="atLeast"/>
              <w:jc w:val="center"/>
              <w:rPr>
                <w:rFonts w:ascii="宋体" w:hAnsi="宋体" w:eastAsia="宋体" w:cs="宋体"/>
                <w:b/>
                <w:sz w:val="24"/>
              </w:rPr>
            </w:pPr>
            <w:r>
              <w:rPr>
                <w:rFonts w:hint="eastAsia" w:ascii="宋体" w:hAnsi="宋体" w:eastAsia="宋体" w:cs="宋体"/>
                <w:b/>
                <w:sz w:val="24"/>
              </w:rPr>
              <w:t>年龄</w:t>
            </w:r>
          </w:p>
          <w:p w14:paraId="7920876A">
            <w:pPr>
              <w:spacing w:line="240" w:lineRule="atLeast"/>
              <w:jc w:val="center"/>
              <w:rPr>
                <w:rFonts w:ascii="宋体" w:hAnsi="宋体" w:eastAsia="宋体" w:cs="宋体"/>
                <w:b/>
                <w:sz w:val="24"/>
              </w:rPr>
            </w:pPr>
          </w:p>
        </w:tc>
        <w:tc>
          <w:tcPr>
            <w:tcW w:w="2236" w:type="dxa"/>
            <w:vAlign w:val="center"/>
          </w:tcPr>
          <w:p w14:paraId="03FD23EE">
            <w:pPr>
              <w:spacing w:line="240" w:lineRule="atLeast"/>
              <w:jc w:val="center"/>
              <w:rPr>
                <w:rFonts w:ascii="宋体" w:hAnsi="宋体" w:eastAsia="宋体" w:cs="宋体"/>
                <w:b/>
                <w:sz w:val="24"/>
              </w:rPr>
            </w:pPr>
          </w:p>
        </w:tc>
      </w:tr>
      <w:tr w14:paraId="34722B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1FEC8F60">
            <w:pPr>
              <w:spacing w:line="240" w:lineRule="atLeast"/>
              <w:jc w:val="center"/>
              <w:rPr>
                <w:rFonts w:ascii="宋体" w:hAnsi="宋体" w:eastAsia="宋体" w:cs="宋体"/>
                <w:b/>
                <w:sz w:val="24"/>
              </w:rPr>
            </w:pPr>
            <w:r>
              <w:rPr>
                <w:rFonts w:hint="eastAsia" w:ascii="宋体" w:hAnsi="宋体" w:eastAsia="宋体" w:cs="宋体"/>
                <w:b/>
                <w:sz w:val="24"/>
              </w:rPr>
              <w:t>性别</w:t>
            </w:r>
          </w:p>
        </w:tc>
        <w:tc>
          <w:tcPr>
            <w:tcW w:w="2471" w:type="dxa"/>
            <w:vAlign w:val="center"/>
          </w:tcPr>
          <w:p w14:paraId="364B0ECC">
            <w:pPr>
              <w:spacing w:line="240" w:lineRule="atLeast"/>
              <w:jc w:val="center"/>
              <w:rPr>
                <w:rFonts w:ascii="宋体" w:hAnsi="宋体" w:eastAsia="宋体" w:cs="宋体"/>
                <w:b/>
                <w:sz w:val="24"/>
              </w:rPr>
            </w:pPr>
          </w:p>
        </w:tc>
        <w:tc>
          <w:tcPr>
            <w:tcW w:w="2472" w:type="dxa"/>
            <w:vAlign w:val="center"/>
          </w:tcPr>
          <w:p w14:paraId="317C6283">
            <w:pPr>
              <w:spacing w:line="240" w:lineRule="atLeast"/>
              <w:jc w:val="center"/>
              <w:rPr>
                <w:rFonts w:ascii="宋体" w:hAnsi="宋体" w:eastAsia="宋体" w:cs="宋体"/>
                <w:b/>
                <w:sz w:val="24"/>
              </w:rPr>
            </w:pPr>
            <w:r>
              <w:rPr>
                <w:rFonts w:hint="eastAsia" w:ascii="宋体" w:hAnsi="宋体" w:eastAsia="宋体" w:cs="宋体"/>
                <w:b/>
                <w:sz w:val="24"/>
              </w:rPr>
              <w:t>毕业学校</w:t>
            </w:r>
          </w:p>
          <w:p w14:paraId="3BFA5A7C">
            <w:pPr>
              <w:spacing w:line="240" w:lineRule="atLeast"/>
              <w:jc w:val="center"/>
              <w:rPr>
                <w:rFonts w:ascii="宋体" w:hAnsi="宋体" w:eastAsia="宋体" w:cs="宋体"/>
                <w:b/>
                <w:sz w:val="24"/>
              </w:rPr>
            </w:pPr>
          </w:p>
        </w:tc>
        <w:tc>
          <w:tcPr>
            <w:tcW w:w="2236" w:type="dxa"/>
            <w:vAlign w:val="center"/>
          </w:tcPr>
          <w:p w14:paraId="03825089">
            <w:pPr>
              <w:spacing w:line="240" w:lineRule="atLeast"/>
              <w:jc w:val="center"/>
              <w:rPr>
                <w:rFonts w:ascii="宋体" w:hAnsi="宋体" w:eastAsia="宋体" w:cs="宋体"/>
                <w:b/>
                <w:sz w:val="24"/>
              </w:rPr>
            </w:pPr>
          </w:p>
        </w:tc>
      </w:tr>
      <w:tr w14:paraId="7713E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4CAF2D4F">
            <w:pPr>
              <w:spacing w:line="240" w:lineRule="atLeast"/>
              <w:jc w:val="center"/>
              <w:rPr>
                <w:rFonts w:ascii="宋体" w:hAnsi="宋体" w:eastAsia="宋体" w:cs="宋体"/>
                <w:b/>
                <w:sz w:val="24"/>
              </w:rPr>
            </w:pPr>
            <w:r>
              <w:rPr>
                <w:rFonts w:hint="eastAsia" w:ascii="宋体" w:hAnsi="宋体" w:eastAsia="宋体" w:cs="宋体"/>
                <w:b/>
                <w:sz w:val="24"/>
              </w:rPr>
              <w:t>学历和专业</w:t>
            </w:r>
          </w:p>
        </w:tc>
        <w:tc>
          <w:tcPr>
            <w:tcW w:w="2471" w:type="dxa"/>
            <w:vAlign w:val="center"/>
          </w:tcPr>
          <w:p w14:paraId="6DC04EFC">
            <w:pPr>
              <w:spacing w:line="240" w:lineRule="atLeast"/>
              <w:jc w:val="center"/>
              <w:rPr>
                <w:rFonts w:ascii="宋体" w:hAnsi="宋体" w:eastAsia="宋体" w:cs="宋体"/>
                <w:b/>
                <w:sz w:val="24"/>
              </w:rPr>
            </w:pPr>
          </w:p>
        </w:tc>
        <w:tc>
          <w:tcPr>
            <w:tcW w:w="2472" w:type="dxa"/>
            <w:vAlign w:val="center"/>
          </w:tcPr>
          <w:p w14:paraId="24675E1B">
            <w:pPr>
              <w:spacing w:line="240" w:lineRule="atLeast"/>
              <w:jc w:val="center"/>
              <w:rPr>
                <w:rFonts w:ascii="宋体" w:hAnsi="宋体" w:eastAsia="宋体" w:cs="宋体"/>
                <w:b/>
                <w:sz w:val="24"/>
              </w:rPr>
            </w:pPr>
            <w:r>
              <w:rPr>
                <w:rFonts w:hint="eastAsia" w:ascii="宋体" w:hAnsi="宋体" w:eastAsia="宋体" w:cs="宋体"/>
                <w:b/>
                <w:sz w:val="24"/>
              </w:rPr>
              <w:t>毕业时间</w:t>
            </w:r>
          </w:p>
        </w:tc>
        <w:tc>
          <w:tcPr>
            <w:tcW w:w="2236" w:type="dxa"/>
            <w:vAlign w:val="center"/>
          </w:tcPr>
          <w:p w14:paraId="27B9A8AD">
            <w:pPr>
              <w:spacing w:line="240" w:lineRule="atLeast"/>
              <w:jc w:val="center"/>
              <w:rPr>
                <w:rFonts w:ascii="宋体" w:hAnsi="宋体" w:eastAsia="宋体" w:cs="宋体"/>
                <w:b/>
                <w:sz w:val="24"/>
              </w:rPr>
            </w:pPr>
          </w:p>
        </w:tc>
      </w:tr>
      <w:tr w14:paraId="0E8A09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52DA7F27">
            <w:pPr>
              <w:spacing w:line="240" w:lineRule="atLeast"/>
              <w:jc w:val="center"/>
              <w:rPr>
                <w:rFonts w:ascii="宋体" w:hAnsi="宋体" w:eastAsia="宋体" w:cs="宋体"/>
                <w:b/>
                <w:sz w:val="24"/>
              </w:rPr>
            </w:pPr>
            <w:r>
              <w:rPr>
                <w:rFonts w:hint="eastAsia" w:ascii="宋体" w:hAnsi="宋体" w:eastAsia="宋体" w:cs="宋体"/>
                <w:b/>
                <w:sz w:val="24"/>
              </w:rPr>
              <w:t>拥有的执业资格</w:t>
            </w:r>
          </w:p>
        </w:tc>
        <w:tc>
          <w:tcPr>
            <w:tcW w:w="2471" w:type="dxa"/>
            <w:vAlign w:val="center"/>
          </w:tcPr>
          <w:p w14:paraId="64D891AF">
            <w:pPr>
              <w:spacing w:line="240" w:lineRule="atLeast"/>
              <w:jc w:val="center"/>
              <w:rPr>
                <w:rFonts w:ascii="宋体" w:hAnsi="宋体" w:eastAsia="宋体" w:cs="宋体"/>
                <w:b/>
                <w:sz w:val="24"/>
              </w:rPr>
            </w:pPr>
          </w:p>
        </w:tc>
        <w:tc>
          <w:tcPr>
            <w:tcW w:w="2472" w:type="dxa"/>
            <w:vAlign w:val="center"/>
          </w:tcPr>
          <w:p w14:paraId="0B5203EA">
            <w:pPr>
              <w:spacing w:line="240" w:lineRule="atLeast"/>
              <w:jc w:val="center"/>
              <w:rPr>
                <w:rFonts w:ascii="宋体" w:hAnsi="宋体" w:eastAsia="宋体" w:cs="宋体"/>
                <w:b/>
                <w:sz w:val="24"/>
              </w:rPr>
            </w:pPr>
            <w:r>
              <w:rPr>
                <w:rFonts w:hint="eastAsia" w:ascii="宋体" w:hAnsi="宋体" w:eastAsia="宋体" w:cs="宋体"/>
                <w:b/>
                <w:sz w:val="24"/>
              </w:rPr>
              <w:t>专业职称</w:t>
            </w:r>
          </w:p>
        </w:tc>
        <w:tc>
          <w:tcPr>
            <w:tcW w:w="2236" w:type="dxa"/>
            <w:vAlign w:val="center"/>
          </w:tcPr>
          <w:p w14:paraId="48083B35">
            <w:pPr>
              <w:spacing w:line="240" w:lineRule="atLeast"/>
              <w:jc w:val="center"/>
              <w:rPr>
                <w:rFonts w:ascii="宋体" w:hAnsi="宋体" w:eastAsia="宋体" w:cs="宋体"/>
                <w:b/>
                <w:sz w:val="24"/>
              </w:rPr>
            </w:pPr>
          </w:p>
        </w:tc>
      </w:tr>
      <w:tr w14:paraId="4B4345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Align w:val="center"/>
          </w:tcPr>
          <w:p w14:paraId="477926AF">
            <w:pPr>
              <w:spacing w:line="240" w:lineRule="atLeast"/>
              <w:jc w:val="center"/>
              <w:rPr>
                <w:rFonts w:ascii="宋体" w:hAnsi="宋体" w:eastAsia="宋体" w:cs="宋体"/>
                <w:b/>
                <w:sz w:val="24"/>
              </w:rPr>
            </w:pPr>
            <w:r>
              <w:rPr>
                <w:rFonts w:hint="eastAsia" w:ascii="宋体" w:hAnsi="宋体" w:eastAsia="宋体" w:cs="宋体"/>
                <w:b/>
                <w:sz w:val="24"/>
              </w:rPr>
              <w:t>执业资格证书编号</w:t>
            </w:r>
          </w:p>
        </w:tc>
        <w:tc>
          <w:tcPr>
            <w:tcW w:w="2471" w:type="dxa"/>
            <w:vAlign w:val="center"/>
          </w:tcPr>
          <w:p w14:paraId="22C809FC">
            <w:pPr>
              <w:spacing w:line="240" w:lineRule="atLeast"/>
              <w:jc w:val="center"/>
              <w:rPr>
                <w:rFonts w:ascii="宋体" w:hAnsi="宋体" w:eastAsia="宋体" w:cs="宋体"/>
                <w:b/>
                <w:sz w:val="24"/>
              </w:rPr>
            </w:pPr>
          </w:p>
        </w:tc>
        <w:tc>
          <w:tcPr>
            <w:tcW w:w="2472" w:type="dxa"/>
            <w:vAlign w:val="center"/>
          </w:tcPr>
          <w:p w14:paraId="2451FF71">
            <w:pPr>
              <w:spacing w:line="240" w:lineRule="atLeast"/>
              <w:jc w:val="center"/>
              <w:rPr>
                <w:rFonts w:ascii="宋体" w:hAnsi="宋体" w:eastAsia="宋体" w:cs="宋体"/>
                <w:b/>
                <w:sz w:val="24"/>
              </w:rPr>
            </w:pPr>
            <w:r>
              <w:rPr>
                <w:rFonts w:hint="eastAsia" w:ascii="宋体" w:hAnsi="宋体" w:eastAsia="宋体" w:cs="宋体"/>
                <w:b/>
                <w:sz w:val="24"/>
              </w:rPr>
              <w:t>工作年限</w:t>
            </w:r>
          </w:p>
        </w:tc>
        <w:tc>
          <w:tcPr>
            <w:tcW w:w="2236" w:type="dxa"/>
            <w:vAlign w:val="center"/>
          </w:tcPr>
          <w:p w14:paraId="12FE053D">
            <w:pPr>
              <w:spacing w:line="240" w:lineRule="atLeast"/>
              <w:jc w:val="center"/>
              <w:rPr>
                <w:rFonts w:ascii="宋体" w:hAnsi="宋体" w:eastAsia="宋体" w:cs="宋体"/>
                <w:b/>
                <w:sz w:val="24"/>
              </w:rPr>
            </w:pPr>
          </w:p>
        </w:tc>
      </w:tr>
      <w:tr w14:paraId="67BF28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restart"/>
            <w:vAlign w:val="center"/>
          </w:tcPr>
          <w:p w14:paraId="6ED4E872">
            <w:pPr>
              <w:spacing w:line="240" w:lineRule="atLeast"/>
              <w:jc w:val="center"/>
              <w:rPr>
                <w:rFonts w:ascii="宋体" w:hAnsi="宋体" w:eastAsia="宋体" w:cs="宋体"/>
                <w:b/>
                <w:sz w:val="24"/>
              </w:rPr>
            </w:pPr>
            <w:r>
              <w:rPr>
                <w:rFonts w:hint="eastAsia" w:ascii="宋体" w:hAnsi="宋体" w:eastAsia="宋体" w:cs="宋体"/>
                <w:b/>
                <w:sz w:val="24"/>
              </w:rPr>
              <w:t>主</w:t>
            </w:r>
          </w:p>
          <w:p w14:paraId="78EBFEAC">
            <w:pPr>
              <w:spacing w:line="240" w:lineRule="atLeast"/>
              <w:jc w:val="center"/>
              <w:rPr>
                <w:rFonts w:ascii="宋体" w:hAnsi="宋体" w:eastAsia="宋体" w:cs="宋体"/>
                <w:b/>
                <w:sz w:val="24"/>
              </w:rPr>
            </w:pPr>
            <w:r>
              <w:rPr>
                <w:rFonts w:hint="eastAsia" w:ascii="宋体" w:hAnsi="宋体" w:eastAsia="宋体" w:cs="宋体"/>
                <w:b/>
                <w:sz w:val="24"/>
              </w:rPr>
              <w:t>要</w:t>
            </w:r>
          </w:p>
          <w:p w14:paraId="5710540B">
            <w:pPr>
              <w:spacing w:line="240" w:lineRule="atLeast"/>
              <w:jc w:val="center"/>
              <w:rPr>
                <w:rFonts w:ascii="宋体" w:hAnsi="宋体" w:eastAsia="宋体" w:cs="宋体"/>
                <w:b/>
                <w:sz w:val="24"/>
              </w:rPr>
            </w:pPr>
            <w:r>
              <w:rPr>
                <w:rFonts w:hint="eastAsia" w:ascii="宋体" w:hAnsi="宋体" w:eastAsia="宋体" w:cs="宋体"/>
                <w:b/>
                <w:sz w:val="24"/>
              </w:rPr>
              <w:t>工</w:t>
            </w:r>
          </w:p>
          <w:p w14:paraId="103E7144">
            <w:pPr>
              <w:spacing w:line="240" w:lineRule="atLeast"/>
              <w:jc w:val="center"/>
              <w:rPr>
                <w:rFonts w:ascii="宋体" w:hAnsi="宋体" w:eastAsia="宋体" w:cs="宋体"/>
                <w:b/>
                <w:sz w:val="24"/>
              </w:rPr>
            </w:pPr>
            <w:r>
              <w:rPr>
                <w:rFonts w:hint="eastAsia" w:ascii="宋体" w:hAnsi="宋体" w:eastAsia="宋体" w:cs="宋体"/>
                <w:b/>
                <w:sz w:val="24"/>
              </w:rPr>
              <w:t>作</w:t>
            </w:r>
          </w:p>
          <w:p w14:paraId="4096CF8B">
            <w:pPr>
              <w:spacing w:line="240" w:lineRule="atLeast"/>
              <w:jc w:val="center"/>
              <w:rPr>
                <w:rFonts w:ascii="宋体" w:hAnsi="宋体" w:eastAsia="宋体" w:cs="宋体"/>
                <w:b/>
                <w:sz w:val="24"/>
              </w:rPr>
            </w:pPr>
            <w:r>
              <w:rPr>
                <w:rFonts w:hint="eastAsia" w:ascii="宋体" w:hAnsi="宋体" w:eastAsia="宋体" w:cs="宋体"/>
                <w:b/>
                <w:sz w:val="24"/>
              </w:rPr>
              <w:t>业</w:t>
            </w:r>
          </w:p>
          <w:p w14:paraId="1F177D74">
            <w:pPr>
              <w:spacing w:line="240" w:lineRule="atLeast"/>
              <w:jc w:val="center"/>
              <w:rPr>
                <w:rFonts w:ascii="宋体" w:hAnsi="宋体" w:eastAsia="宋体" w:cs="宋体"/>
                <w:b/>
                <w:sz w:val="24"/>
              </w:rPr>
            </w:pPr>
            <w:r>
              <w:rPr>
                <w:rFonts w:hint="eastAsia" w:ascii="宋体" w:hAnsi="宋体" w:eastAsia="宋体" w:cs="宋体"/>
                <w:b/>
                <w:sz w:val="24"/>
              </w:rPr>
              <w:t>绩</w:t>
            </w:r>
          </w:p>
          <w:p w14:paraId="1D42698C">
            <w:pPr>
              <w:spacing w:line="240" w:lineRule="atLeast"/>
              <w:jc w:val="center"/>
              <w:rPr>
                <w:rFonts w:ascii="宋体" w:hAnsi="宋体" w:eastAsia="宋体" w:cs="宋体"/>
                <w:b/>
                <w:sz w:val="24"/>
              </w:rPr>
            </w:pPr>
            <w:r>
              <w:rPr>
                <w:rFonts w:hint="eastAsia" w:ascii="宋体" w:hAnsi="宋体" w:eastAsia="宋体" w:cs="宋体"/>
                <w:b/>
                <w:sz w:val="24"/>
              </w:rPr>
              <w:t>及</w:t>
            </w:r>
          </w:p>
          <w:p w14:paraId="17BC7EE5">
            <w:pPr>
              <w:spacing w:line="240" w:lineRule="atLeast"/>
              <w:jc w:val="center"/>
              <w:rPr>
                <w:rFonts w:ascii="宋体" w:hAnsi="宋体" w:eastAsia="宋体" w:cs="宋体"/>
                <w:b/>
                <w:sz w:val="24"/>
              </w:rPr>
            </w:pPr>
            <w:r>
              <w:rPr>
                <w:rFonts w:hint="eastAsia" w:ascii="宋体" w:hAnsi="宋体" w:eastAsia="宋体" w:cs="宋体"/>
                <w:b/>
                <w:sz w:val="24"/>
              </w:rPr>
              <w:t>担</w:t>
            </w:r>
          </w:p>
          <w:p w14:paraId="4873A479">
            <w:pPr>
              <w:spacing w:line="240" w:lineRule="atLeast"/>
              <w:jc w:val="center"/>
              <w:rPr>
                <w:rFonts w:ascii="宋体" w:hAnsi="宋体" w:eastAsia="宋体" w:cs="宋体"/>
                <w:b/>
                <w:sz w:val="24"/>
              </w:rPr>
            </w:pPr>
            <w:r>
              <w:rPr>
                <w:rFonts w:hint="eastAsia" w:ascii="宋体" w:hAnsi="宋体" w:eastAsia="宋体" w:cs="宋体"/>
                <w:b/>
                <w:sz w:val="24"/>
              </w:rPr>
              <w:t>任</w:t>
            </w:r>
          </w:p>
          <w:p w14:paraId="702AB8DC">
            <w:pPr>
              <w:spacing w:line="240" w:lineRule="atLeast"/>
              <w:jc w:val="center"/>
              <w:rPr>
                <w:rFonts w:ascii="宋体" w:hAnsi="宋体" w:eastAsia="宋体" w:cs="宋体"/>
                <w:b/>
                <w:sz w:val="24"/>
              </w:rPr>
            </w:pPr>
            <w:r>
              <w:rPr>
                <w:rFonts w:hint="eastAsia" w:ascii="宋体" w:hAnsi="宋体" w:eastAsia="宋体" w:cs="宋体"/>
                <w:b/>
                <w:sz w:val="24"/>
              </w:rPr>
              <w:t>的</w:t>
            </w:r>
          </w:p>
          <w:p w14:paraId="4B556E46">
            <w:pPr>
              <w:spacing w:line="240" w:lineRule="atLeast"/>
              <w:jc w:val="center"/>
              <w:rPr>
                <w:rFonts w:ascii="宋体" w:hAnsi="宋体" w:eastAsia="宋体" w:cs="宋体"/>
                <w:b/>
                <w:sz w:val="24"/>
              </w:rPr>
            </w:pPr>
            <w:r>
              <w:rPr>
                <w:rFonts w:hint="eastAsia" w:ascii="宋体" w:hAnsi="宋体" w:eastAsia="宋体" w:cs="宋体"/>
                <w:b/>
                <w:sz w:val="24"/>
              </w:rPr>
              <w:t>主</w:t>
            </w:r>
          </w:p>
          <w:p w14:paraId="5D559F7A">
            <w:pPr>
              <w:spacing w:line="240" w:lineRule="atLeast"/>
              <w:jc w:val="center"/>
              <w:rPr>
                <w:rFonts w:ascii="宋体" w:hAnsi="宋体" w:eastAsia="宋体" w:cs="宋体"/>
                <w:b/>
                <w:sz w:val="24"/>
              </w:rPr>
            </w:pPr>
            <w:r>
              <w:rPr>
                <w:rFonts w:hint="eastAsia" w:ascii="宋体" w:hAnsi="宋体" w:eastAsia="宋体" w:cs="宋体"/>
                <w:b/>
                <w:sz w:val="24"/>
              </w:rPr>
              <w:t>要</w:t>
            </w:r>
          </w:p>
          <w:p w14:paraId="079A5955">
            <w:pPr>
              <w:spacing w:line="240" w:lineRule="atLeast"/>
              <w:jc w:val="center"/>
              <w:rPr>
                <w:rFonts w:ascii="宋体" w:hAnsi="宋体" w:eastAsia="宋体" w:cs="宋体"/>
                <w:b/>
                <w:sz w:val="24"/>
              </w:rPr>
            </w:pPr>
            <w:r>
              <w:rPr>
                <w:rFonts w:hint="eastAsia" w:ascii="宋体" w:hAnsi="宋体" w:eastAsia="宋体" w:cs="宋体"/>
                <w:b/>
                <w:sz w:val="24"/>
              </w:rPr>
              <w:t>工</w:t>
            </w:r>
          </w:p>
          <w:p w14:paraId="4F2FBE53">
            <w:pPr>
              <w:spacing w:line="240" w:lineRule="atLeast"/>
              <w:jc w:val="center"/>
              <w:rPr>
                <w:rFonts w:ascii="宋体" w:hAnsi="宋体" w:eastAsia="宋体" w:cs="宋体"/>
                <w:b/>
                <w:sz w:val="24"/>
              </w:rPr>
            </w:pPr>
            <w:r>
              <w:rPr>
                <w:rFonts w:hint="eastAsia" w:ascii="宋体" w:hAnsi="宋体" w:eastAsia="宋体" w:cs="宋体"/>
                <w:b/>
                <w:sz w:val="24"/>
              </w:rPr>
              <w:t>作</w:t>
            </w:r>
          </w:p>
        </w:tc>
        <w:tc>
          <w:tcPr>
            <w:tcW w:w="2471" w:type="dxa"/>
            <w:vAlign w:val="center"/>
          </w:tcPr>
          <w:p w14:paraId="7E8DF49B">
            <w:pPr>
              <w:spacing w:line="240" w:lineRule="atLeast"/>
              <w:jc w:val="center"/>
              <w:rPr>
                <w:rFonts w:ascii="宋体" w:hAnsi="宋体" w:eastAsia="宋体" w:cs="宋体"/>
                <w:b/>
                <w:sz w:val="24"/>
              </w:rPr>
            </w:pPr>
          </w:p>
        </w:tc>
        <w:tc>
          <w:tcPr>
            <w:tcW w:w="2472" w:type="dxa"/>
            <w:vAlign w:val="center"/>
          </w:tcPr>
          <w:p w14:paraId="7EADB070">
            <w:pPr>
              <w:spacing w:line="240" w:lineRule="atLeast"/>
              <w:jc w:val="center"/>
              <w:rPr>
                <w:rFonts w:ascii="宋体" w:hAnsi="宋体" w:eastAsia="宋体" w:cs="宋体"/>
                <w:b/>
                <w:sz w:val="24"/>
              </w:rPr>
            </w:pPr>
          </w:p>
        </w:tc>
        <w:tc>
          <w:tcPr>
            <w:tcW w:w="2236" w:type="dxa"/>
            <w:vAlign w:val="center"/>
          </w:tcPr>
          <w:p w14:paraId="75851B28">
            <w:pPr>
              <w:spacing w:line="240" w:lineRule="atLeast"/>
              <w:jc w:val="center"/>
              <w:rPr>
                <w:rFonts w:ascii="宋体" w:hAnsi="宋体" w:eastAsia="宋体" w:cs="宋体"/>
                <w:b/>
                <w:sz w:val="24"/>
              </w:rPr>
            </w:pPr>
          </w:p>
        </w:tc>
      </w:tr>
      <w:tr w14:paraId="045B0B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61328FEB">
            <w:pPr>
              <w:spacing w:line="240" w:lineRule="atLeast"/>
              <w:jc w:val="center"/>
              <w:rPr>
                <w:rFonts w:ascii="宋体" w:hAnsi="宋体" w:eastAsia="宋体" w:cs="宋体"/>
                <w:b/>
                <w:sz w:val="24"/>
              </w:rPr>
            </w:pPr>
          </w:p>
        </w:tc>
        <w:tc>
          <w:tcPr>
            <w:tcW w:w="2471" w:type="dxa"/>
            <w:vAlign w:val="center"/>
          </w:tcPr>
          <w:p w14:paraId="0412B936">
            <w:pPr>
              <w:spacing w:line="240" w:lineRule="atLeast"/>
              <w:jc w:val="center"/>
              <w:rPr>
                <w:rFonts w:ascii="宋体" w:hAnsi="宋体" w:eastAsia="宋体" w:cs="宋体"/>
                <w:b/>
                <w:sz w:val="24"/>
              </w:rPr>
            </w:pPr>
          </w:p>
        </w:tc>
        <w:tc>
          <w:tcPr>
            <w:tcW w:w="2472" w:type="dxa"/>
            <w:vAlign w:val="center"/>
          </w:tcPr>
          <w:p w14:paraId="60660249">
            <w:pPr>
              <w:spacing w:line="240" w:lineRule="atLeast"/>
              <w:jc w:val="center"/>
              <w:rPr>
                <w:rFonts w:ascii="宋体" w:hAnsi="宋体" w:eastAsia="宋体" w:cs="宋体"/>
                <w:b/>
                <w:sz w:val="24"/>
              </w:rPr>
            </w:pPr>
          </w:p>
        </w:tc>
        <w:tc>
          <w:tcPr>
            <w:tcW w:w="2236" w:type="dxa"/>
            <w:vAlign w:val="center"/>
          </w:tcPr>
          <w:p w14:paraId="408B3ED0">
            <w:pPr>
              <w:spacing w:line="240" w:lineRule="atLeast"/>
              <w:jc w:val="center"/>
              <w:rPr>
                <w:rFonts w:ascii="宋体" w:hAnsi="宋体" w:eastAsia="宋体" w:cs="宋体"/>
                <w:b/>
                <w:sz w:val="24"/>
              </w:rPr>
            </w:pPr>
          </w:p>
        </w:tc>
      </w:tr>
      <w:tr w14:paraId="6020FA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777DB65B">
            <w:pPr>
              <w:spacing w:line="240" w:lineRule="atLeast"/>
              <w:jc w:val="center"/>
              <w:rPr>
                <w:rFonts w:ascii="宋体" w:hAnsi="宋体" w:eastAsia="宋体" w:cs="宋体"/>
                <w:b/>
                <w:sz w:val="24"/>
              </w:rPr>
            </w:pPr>
          </w:p>
        </w:tc>
        <w:tc>
          <w:tcPr>
            <w:tcW w:w="2471" w:type="dxa"/>
            <w:vAlign w:val="center"/>
          </w:tcPr>
          <w:p w14:paraId="0A1BAFAB">
            <w:pPr>
              <w:spacing w:line="240" w:lineRule="atLeast"/>
              <w:jc w:val="center"/>
              <w:rPr>
                <w:rFonts w:ascii="宋体" w:hAnsi="宋体" w:eastAsia="宋体" w:cs="宋体"/>
                <w:b/>
                <w:sz w:val="24"/>
              </w:rPr>
            </w:pPr>
          </w:p>
        </w:tc>
        <w:tc>
          <w:tcPr>
            <w:tcW w:w="2472" w:type="dxa"/>
            <w:vAlign w:val="center"/>
          </w:tcPr>
          <w:p w14:paraId="08592C17">
            <w:pPr>
              <w:spacing w:line="240" w:lineRule="atLeast"/>
              <w:jc w:val="center"/>
              <w:rPr>
                <w:rFonts w:ascii="宋体" w:hAnsi="宋体" w:eastAsia="宋体" w:cs="宋体"/>
                <w:b/>
                <w:sz w:val="24"/>
              </w:rPr>
            </w:pPr>
          </w:p>
        </w:tc>
        <w:tc>
          <w:tcPr>
            <w:tcW w:w="2236" w:type="dxa"/>
            <w:vAlign w:val="center"/>
          </w:tcPr>
          <w:p w14:paraId="434F80CA">
            <w:pPr>
              <w:spacing w:line="240" w:lineRule="atLeast"/>
              <w:jc w:val="center"/>
              <w:rPr>
                <w:rFonts w:ascii="宋体" w:hAnsi="宋体" w:eastAsia="宋体" w:cs="宋体"/>
                <w:b/>
                <w:sz w:val="24"/>
              </w:rPr>
            </w:pPr>
          </w:p>
        </w:tc>
      </w:tr>
      <w:tr w14:paraId="0233F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547727ED">
            <w:pPr>
              <w:spacing w:line="240" w:lineRule="atLeast"/>
              <w:jc w:val="center"/>
              <w:rPr>
                <w:rFonts w:ascii="宋体" w:hAnsi="宋体" w:eastAsia="宋体" w:cs="宋体"/>
                <w:b/>
                <w:sz w:val="24"/>
              </w:rPr>
            </w:pPr>
          </w:p>
        </w:tc>
        <w:tc>
          <w:tcPr>
            <w:tcW w:w="2471" w:type="dxa"/>
            <w:vAlign w:val="center"/>
          </w:tcPr>
          <w:p w14:paraId="34AB5143">
            <w:pPr>
              <w:spacing w:line="240" w:lineRule="atLeast"/>
              <w:jc w:val="center"/>
              <w:rPr>
                <w:rFonts w:ascii="宋体" w:hAnsi="宋体" w:eastAsia="宋体" w:cs="宋体"/>
                <w:b/>
                <w:sz w:val="24"/>
              </w:rPr>
            </w:pPr>
          </w:p>
        </w:tc>
        <w:tc>
          <w:tcPr>
            <w:tcW w:w="2472" w:type="dxa"/>
            <w:vAlign w:val="center"/>
          </w:tcPr>
          <w:p w14:paraId="59B2C174">
            <w:pPr>
              <w:spacing w:line="240" w:lineRule="atLeast"/>
              <w:jc w:val="center"/>
              <w:rPr>
                <w:rFonts w:ascii="宋体" w:hAnsi="宋体" w:eastAsia="宋体" w:cs="宋体"/>
                <w:b/>
                <w:sz w:val="24"/>
              </w:rPr>
            </w:pPr>
          </w:p>
        </w:tc>
        <w:tc>
          <w:tcPr>
            <w:tcW w:w="2236" w:type="dxa"/>
            <w:vAlign w:val="center"/>
          </w:tcPr>
          <w:p w14:paraId="56C7897E">
            <w:pPr>
              <w:spacing w:line="240" w:lineRule="atLeast"/>
              <w:jc w:val="center"/>
              <w:rPr>
                <w:rFonts w:ascii="宋体" w:hAnsi="宋体" w:eastAsia="宋体" w:cs="宋体"/>
                <w:b/>
                <w:sz w:val="24"/>
              </w:rPr>
            </w:pPr>
          </w:p>
        </w:tc>
      </w:tr>
      <w:tr w14:paraId="761ED1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05111696">
            <w:pPr>
              <w:spacing w:line="240" w:lineRule="atLeast"/>
              <w:jc w:val="center"/>
              <w:rPr>
                <w:rFonts w:ascii="宋体" w:hAnsi="宋体" w:eastAsia="宋体" w:cs="宋体"/>
                <w:b/>
                <w:sz w:val="24"/>
              </w:rPr>
            </w:pPr>
          </w:p>
        </w:tc>
        <w:tc>
          <w:tcPr>
            <w:tcW w:w="2471" w:type="dxa"/>
            <w:vAlign w:val="center"/>
          </w:tcPr>
          <w:p w14:paraId="22272065">
            <w:pPr>
              <w:spacing w:line="240" w:lineRule="atLeast"/>
              <w:jc w:val="center"/>
              <w:rPr>
                <w:rFonts w:ascii="宋体" w:hAnsi="宋体" w:eastAsia="宋体" w:cs="宋体"/>
                <w:b/>
                <w:sz w:val="24"/>
              </w:rPr>
            </w:pPr>
          </w:p>
        </w:tc>
        <w:tc>
          <w:tcPr>
            <w:tcW w:w="2472" w:type="dxa"/>
            <w:vAlign w:val="center"/>
          </w:tcPr>
          <w:p w14:paraId="309F4CA2">
            <w:pPr>
              <w:spacing w:line="240" w:lineRule="atLeast"/>
              <w:jc w:val="center"/>
              <w:rPr>
                <w:rFonts w:ascii="宋体" w:hAnsi="宋体" w:eastAsia="宋体" w:cs="宋体"/>
                <w:b/>
                <w:sz w:val="24"/>
              </w:rPr>
            </w:pPr>
          </w:p>
        </w:tc>
        <w:tc>
          <w:tcPr>
            <w:tcW w:w="2236" w:type="dxa"/>
            <w:vAlign w:val="center"/>
          </w:tcPr>
          <w:p w14:paraId="6A2E83B5">
            <w:pPr>
              <w:spacing w:line="240" w:lineRule="atLeast"/>
              <w:jc w:val="center"/>
              <w:rPr>
                <w:rFonts w:ascii="宋体" w:hAnsi="宋体" w:eastAsia="宋体" w:cs="宋体"/>
                <w:b/>
                <w:sz w:val="24"/>
              </w:rPr>
            </w:pPr>
          </w:p>
        </w:tc>
      </w:tr>
      <w:tr w14:paraId="4B8EA3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19601D45">
            <w:pPr>
              <w:spacing w:line="240" w:lineRule="atLeast"/>
              <w:jc w:val="center"/>
              <w:rPr>
                <w:rFonts w:ascii="宋体" w:hAnsi="宋体" w:eastAsia="宋体" w:cs="宋体"/>
                <w:b/>
                <w:sz w:val="24"/>
              </w:rPr>
            </w:pPr>
          </w:p>
        </w:tc>
        <w:tc>
          <w:tcPr>
            <w:tcW w:w="2471" w:type="dxa"/>
            <w:vAlign w:val="center"/>
          </w:tcPr>
          <w:p w14:paraId="0A33C779">
            <w:pPr>
              <w:spacing w:line="240" w:lineRule="atLeast"/>
              <w:jc w:val="center"/>
              <w:rPr>
                <w:rFonts w:ascii="宋体" w:hAnsi="宋体" w:eastAsia="宋体" w:cs="宋体"/>
                <w:b/>
                <w:sz w:val="24"/>
              </w:rPr>
            </w:pPr>
          </w:p>
        </w:tc>
        <w:tc>
          <w:tcPr>
            <w:tcW w:w="2472" w:type="dxa"/>
            <w:vAlign w:val="center"/>
          </w:tcPr>
          <w:p w14:paraId="6A404DC6">
            <w:pPr>
              <w:spacing w:line="240" w:lineRule="atLeast"/>
              <w:jc w:val="center"/>
              <w:rPr>
                <w:rFonts w:ascii="宋体" w:hAnsi="宋体" w:eastAsia="宋体" w:cs="宋体"/>
                <w:b/>
                <w:sz w:val="24"/>
              </w:rPr>
            </w:pPr>
          </w:p>
        </w:tc>
        <w:tc>
          <w:tcPr>
            <w:tcW w:w="2236" w:type="dxa"/>
            <w:vAlign w:val="center"/>
          </w:tcPr>
          <w:p w14:paraId="7A89B446">
            <w:pPr>
              <w:spacing w:line="240" w:lineRule="atLeast"/>
              <w:jc w:val="center"/>
              <w:rPr>
                <w:rFonts w:ascii="宋体" w:hAnsi="宋体" w:eastAsia="宋体" w:cs="宋体"/>
                <w:b/>
                <w:sz w:val="24"/>
              </w:rPr>
            </w:pPr>
          </w:p>
        </w:tc>
      </w:tr>
      <w:tr w14:paraId="44EB8B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7DF3444B">
            <w:pPr>
              <w:spacing w:line="240" w:lineRule="atLeast"/>
              <w:jc w:val="center"/>
              <w:rPr>
                <w:rFonts w:ascii="宋体" w:hAnsi="宋体" w:eastAsia="宋体" w:cs="宋体"/>
                <w:b/>
                <w:sz w:val="24"/>
              </w:rPr>
            </w:pPr>
          </w:p>
        </w:tc>
        <w:tc>
          <w:tcPr>
            <w:tcW w:w="2471" w:type="dxa"/>
            <w:vAlign w:val="center"/>
          </w:tcPr>
          <w:p w14:paraId="6A1C7CE0">
            <w:pPr>
              <w:spacing w:line="240" w:lineRule="atLeast"/>
              <w:jc w:val="center"/>
              <w:rPr>
                <w:rFonts w:ascii="宋体" w:hAnsi="宋体" w:eastAsia="宋体" w:cs="宋体"/>
                <w:b/>
                <w:sz w:val="24"/>
              </w:rPr>
            </w:pPr>
          </w:p>
        </w:tc>
        <w:tc>
          <w:tcPr>
            <w:tcW w:w="2472" w:type="dxa"/>
            <w:vAlign w:val="center"/>
          </w:tcPr>
          <w:p w14:paraId="202DF3AA">
            <w:pPr>
              <w:spacing w:line="240" w:lineRule="atLeast"/>
              <w:jc w:val="center"/>
              <w:rPr>
                <w:rFonts w:ascii="宋体" w:hAnsi="宋体" w:eastAsia="宋体" w:cs="宋体"/>
                <w:b/>
                <w:sz w:val="24"/>
              </w:rPr>
            </w:pPr>
          </w:p>
        </w:tc>
        <w:tc>
          <w:tcPr>
            <w:tcW w:w="2236" w:type="dxa"/>
            <w:vAlign w:val="center"/>
          </w:tcPr>
          <w:p w14:paraId="153C21FA">
            <w:pPr>
              <w:spacing w:line="240" w:lineRule="atLeast"/>
              <w:jc w:val="center"/>
              <w:rPr>
                <w:rFonts w:ascii="宋体" w:hAnsi="宋体" w:eastAsia="宋体" w:cs="宋体"/>
                <w:b/>
                <w:sz w:val="24"/>
              </w:rPr>
            </w:pPr>
          </w:p>
        </w:tc>
      </w:tr>
      <w:tr w14:paraId="7A220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trPr>
        <w:tc>
          <w:tcPr>
            <w:tcW w:w="2471" w:type="dxa"/>
            <w:vMerge w:val="continue"/>
            <w:vAlign w:val="center"/>
          </w:tcPr>
          <w:p w14:paraId="16C9FA4F">
            <w:pPr>
              <w:spacing w:line="240" w:lineRule="atLeast"/>
              <w:jc w:val="center"/>
              <w:rPr>
                <w:rFonts w:ascii="宋体" w:hAnsi="宋体" w:eastAsia="宋体" w:cs="宋体"/>
                <w:b/>
                <w:sz w:val="24"/>
              </w:rPr>
            </w:pPr>
          </w:p>
        </w:tc>
        <w:tc>
          <w:tcPr>
            <w:tcW w:w="2471" w:type="dxa"/>
            <w:vAlign w:val="center"/>
          </w:tcPr>
          <w:p w14:paraId="2346AC04">
            <w:pPr>
              <w:spacing w:line="240" w:lineRule="atLeast"/>
              <w:jc w:val="center"/>
              <w:rPr>
                <w:rFonts w:ascii="宋体" w:hAnsi="宋体" w:eastAsia="宋体" w:cs="宋体"/>
                <w:b/>
                <w:sz w:val="24"/>
              </w:rPr>
            </w:pPr>
          </w:p>
        </w:tc>
        <w:tc>
          <w:tcPr>
            <w:tcW w:w="2472" w:type="dxa"/>
            <w:vAlign w:val="center"/>
          </w:tcPr>
          <w:p w14:paraId="36258F3B">
            <w:pPr>
              <w:spacing w:line="240" w:lineRule="atLeast"/>
              <w:jc w:val="center"/>
              <w:rPr>
                <w:rFonts w:ascii="宋体" w:hAnsi="宋体" w:eastAsia="宋体" w:cs="宋体"/>
                <w:b/>
                <w:sz w:val="24"/>
              </w:rPr>
            </w:pPr>
          </w:p>
        </w:tc>
        <w:tc>
          <w:tcPr>
            <w:tcW w:w="2236" w:type="dxa"/>
            <w:vAlign w:val="center"/>
          </w:tcPr>
          <w:p w14:paraId="2CD8D390">
            <w:pPr>
              <w:spacing w:line="240" w:lineRule="atLeast"/>
              <w:jc w:val="center"/>
              <w:rPr>
                <w:rFonts w:ascii="宋体" w:hAnsi="宋体" w:eastAsia="宋体" w:cs="宋体"/>
                <w:b/>
                <w:sz w:val="24"/>
              </w:rPr>
            </w:pPr>
          </w:p>
        </w:tc>
      </w:tr>
      <w:tr w14:paraId="26FA7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8" w:hRule="exact"/>
        </w:trPr>
        <w:tc>
          <w:tcPr>
            <w:tcW w:w="2471" w:type="dxa"/>
            <w:vMerge w:val="continue"/>
            <w:vAlign w:val="center"/>
          </w:tcPr>
          <w:p w14:paraId="09E7B0D6">
            <w:pPr>
              <w:spacing w:line="240" w:lineRule="atLeast"/>
              <w:jc w:val="center"/>
              <w:rPr>
                <w:rFonts w:ascii="宋体" w:hAnsi="宋体" w:eastAsia="宋体" w:cs="宋体"/>
                <w:b/>
                <w:sz w:val="24"/>
              </w:rPr>
            </w:pPr>
          </w:p>
        </w:tc>
        <w:tc>
          <w:tcPr>
            <w:tcW w:w="2471" w:type="dxa"/>
            <w:vAlign w:val="center"/>
          </w:tcPr>
          <w:p w14:paraId="0BF1C0BD">
            <w:pPr>
              <w:spacing w:line="240" w:lineRule="atLeast"/>
              <w:jc w:val="center"/>
              <w:rPr>
                <w:rFonts w:ascii="宋体" w:hAnsi="宋体" w:eastAsia="宋体" w:cs="宋体"/>
                <w:b/>
                <w:sz w:val="24"/>
              </w:rPr>
            </w:pPr>
          </w:p>
        </w:tc>
        <w:tc>
          <w:tcPr>
            <w:tcW w:w="2472" w:type="dxa"/>
            <w:vAlign w:val="center"/>
          </w:tcPr>
          <w:p w14:paraId="5F4D3CFC">
            <w:pPr>
              <w:spacing w:line="240" w:lineRule="atLeast"/>
              <w:jc w:val="center"/>
              <w:rPr>
                <w:rFonts w:ascii="宋体" w:hAnsi="宋体" w:eastAsia="宋体" w:cs="宋体"/>
                <w:b/>
                <w:sz w:val="24"/>
              </w:rPr>
            </w:pPr>
          </w:p>
        </w:tc>
        <w:tc>
          <w:tcPr>
            <w:tcW w:w="2236" w:type="dxa"/>
            <w:vAlign w:val="center"/>
          </w:tcPr>
          <w:p w14:paraId="6C6B349A">
            <w:pPr>
              <w:spacing w:line="240" w:lineRule="atLeast"/>
              <w:jc w:val="center"/>
              <w:rPr>
                <w:rFonts w:ascii="宋体" w:hAnsi="宋体" w:eastAsia="宋体" w:cs="宋体"/>
                <w:b/>
                <w:sz w:val="24"/>
              </w:rPr>
            </w:pPr>
          </w:p>
        </w:tc>
      </w:tr>
    </w:tbl>
    <w:p w14:paraId="7B37D376">
      <w:pPr>
        <w:spacing w:line="240" w:lineRule="atLeast"/>
        <w:rPr>
          <w:rFonts w:ascii="宋体" w:hAnsi="宋体" w:eastAsia="宋体" w:cs="宋体"/>
          <w:b/>
          <w:sz w:val="24"/>
        </w:rPr>
      </w:pPr>
      <w:r>
        <w:rPr>
          <w:rFonts w:hint="eastAsia" w:ascii="宋体" w:hAnsi="宋体" w:eastAsia="宋体" w:cs="宋体"/>
          <w:b/>
          <w:sz w:val="24"/>
        </w:rPr>
        <w:br w:type="page"/>
      </w:r>
    </w:p>
    <w:p w14:paraId="19EEDE02">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48" w:name="_Toc22602"/>
      <w:bookmarkStart w:id="1949" w:name="_Toc32735"/>
      <w:r>
        <w:rPr>
          <w:rFonts w:hint="eastAsia" w:ascii="宋体" w:hAnsi="宋体" w:eastAsia="宋体" w:cs="宋体"/>
          <w:b/>
          <w:color w:val="auto"/>
          <w:sz w:val="28"/>
          <w:szCs w:val="28"/>
          <w:highlight w:val="none"/>
          <w:lang w:val="en-US" w:eastAsia="zh-CN"/>
        </w:rPr>
        <w:t>9、近年完成的类似项目情况表</w:t>
      </w:r>
      <w:bookmarkEnd w:id="1948"/>
      <w:bookmarkEnd w:id="1949"/>
    </w:p>
    <w:tbl>
      <w:tblPr>
        <w:tblStyle w:val="28"/>
        <w:tblW w:w="8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6039"/>
      </w:tblGrid>
      <w:tr w14:paraId="75EF5E4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vAlign w:val="center"/>
          </w:tcPr>
          <w:p w14:paraId="407A5394">
            <w:pPr>
              <w:tabs>
                <w:tab w:val="left" w:pos="608"/>
              </w:tabs>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序</w:t>
            </w:r>
            <w:r>
              <w:rPr>
                <w:rFonts w:hint="eastAsia" w:ascii="宋体" w:hAnsi="宋体" w:eastAsia="宋体" w:cs="宋体"/>
                <w:b/>
                <w:bCs/>
                <w:sz w:val="22"/>
                <w:szCs w:val="32"/>
                <w:lang w:val="zh-CN" w:bidi="zh-CN"/>
              </w:rPr>
              <w:tab/>
            </w:r>
            <w:r>
              <w:rPr>
                <w:rFonts w:hint="eastAsia" w:ascii="宋体" w:hAnsi="宋体" w:eastAsia="宋体" w:cs="宋体"/>
                <w:b/>
                <w:bCs/>
                <w:sz w:val="22"/>
                <w:szCs w:val="32"/>
                <w:lang w:val="zh-CN" w:bidi="zh-CN"/>
              </w:rPr>
              <w:t>号</w:t>
            </w:r>
          </w:p>
        </w:tc>
        <w:tc>
          <w:tcPr>
            <w:tcW w:w="6039" w:type="dxa"/>
            <w:vAlign w:val="center"/>
          </w:tcPr>
          <w:p w14:paraId="3F0A3E47">
            <w:pPr>
              <w:jc w:val="center"/>
              <w:rPr>
                <w:rFonts w:ascii="宋体" w:hAnsi="宋体" w:eastAsia="宋体" w:cs="宋体"/>
                <w:sz w:val="20"/>
                <w:lang w:val="zh-CN" w:bidi="zh-CN"/>
              </w:rPr>
            </w:pPr>
          </w:p>
        </w:tc>
      </w:tr>
      <w:tr w14:paraId="6F2A450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vAlign w:val="center"/>
          </w:tcPr>
          <w:p w14:paraId="71BAA715">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项目名称</w:t>
            </w:r>
          </w:p>
        </w:tc>
        <w:tc>
          <w:tcPr>
            <w:tcW w:w="6039" w:type="dxa"/>
            <w:vAlign w:val="center"/>
          </w:tcPr>
          <w:p w14:paraId="41421A1A">
            <w:pPr>
              <w:jc w:val="center"/>
              <w:rPr>
                <w:rFonts w:ascii="宋体" w:hAnsi="宋体" w:eastAsia="宋体" w:cs="宋体"/>
                <w:sz w:val="20"/>
                <w:lang w:val="zh-CN" w:bidi="zh-CN"/>
              </w:rPr>
            </w:pPr>
          </w:p>
        </w:tc>
      </w:tr>
      <w:tr w14:paraId="619485A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42" w:type="dxa"/>
            <w:vAlign w:val="center"/>
          </w:tcPr>
          <w:p w14:paraId="73FC3B7E">
            <w:pPr>
              <w:spacing w:before="1"/>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项目所在地</w:t>
            </w:r>
          </w:p>
        </w:tc>
        <w:tc>
          <w:tcPr>
            <w:tcW w:w="6039" w:type="dxa"/>
            <w:vAlign w:val="center"/>
          </w:tcPr>
          <w:p w14:paraId="5E248FBB">
            <w:pPr>
              <w:jc w:val="center"/>
              <w:rPr>
                <w:rFonts w:ascii="宋体" w:hAnsi="宋体" w:eastAsia="宋体" w:cs="宋体"/>
                <w:sz w:val="20"/>
                <w:lang w:val="zh-CN" w:bidi="zh-CN"/>
              </w:rPr>
            </w:pPr>
          </w:p>
        </w:tc>
      </w:tr>
      <w:tr w14:paraId="109F74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2" w:type="dxa"/>
            <w:vAlign w:val="center"/>
          </w:tcPr>
          <w:p w14:paraId="777917CF">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招标人名称</w:t>
            </w:r>
          </w:p>
        </w:tc>
        <w:tc>
          <w:tcPr>
            <w:tcW w:w="6039" w:type="dxa"/>
            <w:vAlign w:val="center"/>
          </w:tcPr>
          <w:p w14:paraId="0A6C8E14">
            <w:pPr>
              <w:jc w:val="center"/>
              <w:rPr>
                <w:rFonts w:ascii="宋体" w:hAnsi="宋体" w:eastAsia="宋体" w:cs="宋体"/>
                <w:sz w:val="20"/>
                <w:lang w:val="zh-CN" w:bidi="zh-CN"/>
              </w:rPr>
            </w:pPr>
          </w:p>
        </w:tc>
      </w:tr>
      <w:tr w14:paraId="03D465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vAlign w:val="center"/>
          </w:tcPr>
          <w:p w14:paraId="4144ABF5">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招标人地址</w:t>
            </w:r>
          </w:p>
        </w:tc>
        <w:tc>
          <w:tcPr>
            <w:tcW w:w="6039" w:type="dxa"/>
            <w:vAlign w:val="center"/>
          </w:tcPr>
          <w:p w14:paraId="6F439D3A">
            <w:pPr>
              <w:jc w:val="center"/>
              <w:rPr>
                <w:rFonts w:ascii="宋体" w:hAnsi="宋体" w:eastAsia="宋体" w:cs="宋体"/>
                <w:sz w:val="20"/>
                <w:lang w:val="zh-CN" w:bidi="zh-CN"/>
              </w:rPr>
            </w:pPr>
          </w:p>
        </w:tc>
      </w:tr>
      <w:tr w14:paraId="3E889E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vAlign w:val="center"/>
          </w:tcPr>
          <w:p w14:paraId="0CA7C6EF">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招标人电话</w:t>
            </w:r>
          </w:p>
        </w:tc>
        <w:tc>
          <w:tcPr>
            <w:tcW w:w="6039" w:type="dxa"/>
            <w:vAlign w:val="center"/>
          </w:tcPr>
          <w:p w14:paraId="4162E1F1">
            <w:pPr>
              <w:jc w:val="center"/>
              <w:rPr>
                <w:rFonts w:ascii="宋体" w:hAnsi="宋体" w:eastAsia="宋体" w:cs="宋体"/>
                <w:sz w:val="20"/>
                <w:lang w:val="zh-CN" w:bidi="zh-CN"/>
              </w:rPr>
            </w:pPr>
          </w:p>
        </w:tc>
      </w:tr>
      <w:tr w14:paraId="4F2921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vAlign w:val="center"/>
          </w:tcPr>
          <w:p w14:paraId="78813245">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合同价格</w:t>
            </w:r>
          </w:p>
        </w:tc>
        <w:tc>
          <w:tcPr>
            <w:tcW w:w="6039" w:type="dxa"/>
            <w:vAlign w:val="center"/>
          </w:tcPr>
          <w:p w14:paraId="4AE9E70F">
            <w:pPr>
              <w:jc w:val="center"/>
              <w:rPr>
                <w:rFonts w:ascii="宋体" w:hAnsi="宋体" w:eastAsia="宋体" w:cs="宋体"/>
                <w:sz w:val="20"/>
                <w:lang w:val="zh-CN" w:bidi="zh-CN"/>
              </w:rPr>
            </w:pPr>
          </w:p>
        </w:tc>
      </w:tr>
      <w:tr w14:paraId="540E21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442" w:type="dxa"/>
            <w:vAlign w:val="center"/>
          </w:tcPr>
          <w:p w14:paraId="5C4F9760">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开工日期</w:t>
            </w:r>
          </w:p>
        </w:tc>
        <w:tc>
          <w:tcPr>
            <w:tcW w:w="6039" w:type="dxa"/>
            <w:vAlign w:val="center"/>
          </w:tcPr>
          <w:p w14:paraId="78329392">
            <w:pPr>
              <w:jc w:val="center"/>
              <w:rPr>
                <w:rFonts w:ascii="宋体" w:hAnsi="宋体" w:eastAsia="宋体" w:cs="宋体"/>
                <w:sz w:val="20"/>
                <w:lang w:val="zh-CN" w:bidi="zh-CN"/>
              </w:rPr>
            </w:pPr>
          </w:p>
        </w:tc>
      </w:tr>
      <w:tr w14:paraId="604D9D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2" w:type="dxa"/>
            <w:vAlign w:val="center"/>
          </w:tcPr>
          <w:p w14:paraId="1C2F5C9C">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交工日期</w:t>
            </w:r>
          </w:p>
        </w:tc>
        <w:tc>
          <w:tcPr>
            <w:tcW w:w="6039" w:type="dxa"/>
            <w:vAlign w:val="center"/>
          </w:tcPr>
          <w:p w14:paraId="7FD4D4FD">
            <w:pPr>
              <w:jc w:val="center"/>
              <w:rPr>
                <w:rFonts w:ascii="宋体" w:hAnsi="宋体" w:eastAsia="宋体" w:cs="宋体"/>
                <w:sz w:val="20"/>
                <w:lang w:val="zh-CN" w:bidi="zh-CN"/>
              </w:rPr>
            </w:pPr>
          </w:p>
        </w:tc>
      </w:tr>
      <w:tr w14:paraId="1FDB14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442" w:type="dxa"/>
            <w:vAlign w:val="center"/>
          </w:tcPr>
          <w:p w14:paraId="06BA6270">
            <w:pPr>
              <w:spacing w:before="1"/>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承担的工作</w:t>
            </w:r>
          </w:p>
        </w:tc>
        <w:tc>
          <w:tcPr>
            <w:tcW w:w="6039" w:type="dxa"/>
            <w:vAlign w:val="center"/>
          </w:tcPr>
          <w:p w14:paraId="4406E1C0">
            <w:pPr>
              <w:jc w:val="center"/>
              <w:rPr>
                <w:rFonts w:ascii="宋体" w:hAnsi="宋体" w:eastAsia="宋体" w:cs="宋体"/>
                <w:sz w:val="20"/>
                <w:lang w:val="zh-CN" w:bidi="zh-CN"/>
              </w:rPr>
            </w:pPr>
          </w:p>
        </w:tc>
      </w:tr>
      <w:tr w14:paraId="6CE154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vAlign w:val="center"/>
          </w:tcPr>
          <w:p w14:paraId="43CA8059">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工程质量</w:t>
            </w:r>
          </w:p>
        </w:tc>
        <w:tc>
          <w:tcPr>
            <w:tcW w:w="6039" w:type="dxa"/>
            <w:vAlign w:val="center"/>
          </w:tcPr>
          <w:p w14:paraId="6E13631F">
            <w:pPr>
              <w:jc w:val="center"/>
              <w:rPr>
                <w:rFonts w:ascii="宋体" w:hAnsi="宋体" w:eastAsia="宋体" w:cs="宋体"/>
                <w:sz w:val="20"/>
                <w:lang w:val="zh-CN" w:bidi="zh-CN"/>
              </w:rPr>
            </w:pPr>
          </w:p>
        </w:tc>
      </w:tr>
      <w:tr w14:paraId="6E08747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vAlign w:val="center"/>
          </w:tcPr>
          <w:p w14:paraId="20D2E2A3">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项目经理</w:t>
            </w:r>
          </w:p>
        </w:tc>
        <w:tc>
          <w:tcPr>
            <w:tcW w:w="6039" w:type="dxa"/>
            <w:vAlign w:val="center"/>
          </w:tcPr>
          <w:p w14:paraId="4AD90F25">
            <w:pPr>
              <w:jc w:val="center"/>
              <w:rPr>
                <w:rFonts w:ascii="宋体" w:hAnsi="宋体" w:eastAsia="宋体" w:cs="宋体"/>
                <w:sz w:val="20"/>
                <w:lang w:val="zh-CN" w:bidi="zh-CN"/>
              </w:rPr>
            </w:pPr>
          </w:p>
        </w:tc>
      </w:tr>
      <w:tr w14:paraId="783C8FA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442" w:type="dxa"/>
            <w:vAlign w:val="center"/>
          </w:tcPr>
          <w:p w14:paraId="3D4C090E">
            <w:pPr>
              <w:ind w:left="8"/>
              <w:jc w:val="center"/>
              <w:rPr>
                <w:rFonts w:ascii="宋体" w:hAnsi="宋体" w:eastAsia="宋体" w:cs="宋体"/>
                <w:b/>
                <w:bCs/>
                <w:sz w:val="22"/>
                <w:szCs w:val="32"/>
                <w:lang w:bidi="zh-CN"/>
              </w:rPr>
            </w:pPr>
            <w:r>
              <w:rPr>
                <w:rFonts w:hint="eastAsia" w:ascii="宋体" w:hAnsi="宋体" w:eastAsia="宋体" w:cs="宋体"/>
                <w:b/>
                <w:bCs/>
                <w:sz w:val="22"/>
                <w:szCs w:val="32"/>
                <w:lang w:bidi="zh-CN"/>
              </w:rPr>
              <w:t>技术负责人</w:t>
            </w:r>
          </w:p>
        </w:tc>
        <w:tc>
          <w:tcPr>
            <w:tcW w:w="6039" w:type="dxa"/>
            <w:vAlign w:val="center"/>
          </w:tcPr>
          <w:p w14:paraId="51650BF0">
            <w:pPr>
              <w:jc w:val="center"/>
              <w:rPr>
                <w:rFonts w:ascii="宋体" w:hAnsi="宋体" w:eastAsia="宋体" w:cs="宋体"/>
                <w:sz w:val="20"/>
                <w:lang w:val="zh-CN" w:bidi="zh-CN"/>
              </w:rPr>
            </w:pPr>
          </w:p>
        </w:tc>
      </w:tr>
      <w:tr w14:paraId="2F16A4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vAlign w:val="center"/>
          </w:tcPr>
          <w:p w14:paraId="6B67AFA1">
            <w:pPr>
              <w:ind w:left="10"/>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总监理工程师及电话</w:t>
            </w:r>
          </w:p>
        </w:tc>
        <w:tc>
          <w:tcPr>
            <w:tcW w:w="6039" w:type="dxa"/>
            <w:vAlign w:val="center"/>
          </w:tcPr>
          <w:p w14:paraId="42702A31">
            <w:pPr>
              <w:jc w:val="center"/>
              <w:rPr>
                <w:rFonts w:ascii="宋体" w:hAnsi="宋体" w:eastAsia="宋体" w:cs="宋体"/>
                <w:sz w:val="20"/>
                <w:lang w:val="zh-CN" w:bidi="zh-CN"/>
              </w:rPr>
            </w:pPr>
          </w:p>
        </w:tc>
      </w:tr>
      <w:tr w14:paraId="7574DE4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442" w:type="dxa"/>
            <w:vAlign w:val="center"/>
          </w:tcPr>
          <w:p w14:paraId="108CE458">
            <w:pPr>
              <w:spacing w:before="1"/>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项目描述</w:t>
            </w:r>
          </w:p>
        </w:tc>
        <w:tc>
          <w:tcPr>
            <w:tcW w:w="6039" w:type="dxa"/>
            <w:vAlign w:val="center"/>
          </w:tcPr>
          <w:p w14:paraId="30AF5D94">
            <w:pPr>
              <w:jc w:val="center"/>
              <w:rPr>
                <w:rFonts w:ascii="宋体" w:hAnsi="宋体" w:eastAsia="宋体" w:cs="宋体"/>
                <w:sz w:val="20"/>
                <w:lang w:val="zh-CN" w:bidi="zh-CN"/>
              </w:rPr>
            </w:pPr>
          </w:p>
        </w:tc>
      </w:tr>
      <w:tr w14:paraId="71D840F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42" w:type="dxa"/>
            <w:vAlign w:val="center"/>
          </w:tcPr>
          <w:p w14:paraId="1766ECE5">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备注</w:t>
            </w:r>
          </w:p>
        </w:tc>
        <w:tc>
          <w:tcPr>
            <w:tcW w:w="6039" w:type="dxa"/>
            <w:vAlign w:val="center"/>
          </w:tcPr>
          <w:p w14:paraId="779362F1">
            <w:pPr>
              <w:jc w:val="center"/>
              <w:rPr>
                <w:rFonts w:ascii="宋体" w:hAnsi="宋体" w:eastAsia="宋体" w:cs="宋体"/>
                <w:sz w:val="20"/>
                <w:lang w:val="zh-CN" w:bidi="zh-CN"/>
              </w:rPr>
            </w:pPr>
          </w:p>
        </w:tc>
      </w:tr>
    </w:tbl>
    <w:p w14:paraId="5AE6B1AC">
      <w:pPr>
        <w:spacing w:line="200" w:lineRule="exact"/>
        <w:ind w:firstLine="3614" w:firstLineChars="1500"/>
        <w:rPr>
          <w:rFonts w:ascii="宋体" w:hAnsi="宋体" w:eastAsia="宋体" w:cs="宋体"/>
          <w:b/>
          <w:sz w:val="24"/>
        </w:rPr>
      </w:pPr>
    </w:p>
    <w:p w14:paraId="454B4C62">
      <w:pPr>
        <w:rPr>
          <w:rFonts w:ascii="宋体" w:hAnsi="宋体" w:eastAsia="宋体" w:cs="宋体"/>
          <w:b/>
          <w:sz w:val="24"/>
        </w:rPr>
      </w:pPr>
      <w:r>
        <w:rPr>
          <w:rFonts w:hint="eastAsia" w:ascii="宋体" w:hAnsi="宋体" w:eastAsia="宋体" w:cs="宋体"/>
          <w:b/>
          <w:sz w:val="24"/>
        </w:rPr>
        <w:t>注：1、类似项目指</w:t>
      </w:r>
      <w:r>
        <w:rPr>
          <w:rFonts w:hint="eastAsia" w:ascii="宋体" w:hAnsi="宋体" w:eastAsia="宋体" w:cs="宋体"/>
          <w:b/>
          <w:sz w:val="24"/>
          <w:u w:val="single"/>
        </w:rPr>
        <w:t xml:space="preserve"> 规模、使用功能相似 </w:t>
      </w:r>
      <w:r>
        <w:rPr>
          <w:rFonts w:hint="eastAsia" w:ascii="宋体" w:hAnsi="宋体" w:eastAsia="宋体" w:cs="宋体"/>
          <w:b/>
          <w:sz w:val="24"/>
        </w:rPr>
        <w:t>工程。</w:t>
      </w:r>
    </w:p>
    <w:p w14:paraId="44612703">
      <w:pPr>
        <w:rPr>
          <w:rFonts w:ascii="宋体" w:hAnsi="宋体" w:eastAsia="宋体" w:cs="宋体"/>
          <w:b/>
          <w:sz w:val="28"/>
          <w:szCs w:val="28"/>
        </w:rPr>
      </w:pPr>
      <w:r>
        <w:rPr>
          <w:rFonts w:hint="eastAsia" w:ascii="宋体" w:hAnsi="宋体" w:eastAsia="宋体" w:cs="宋体"/>
          <w:b/>
          <w:sz w:val="24"/>
        </w:rPr>
        <w:t>2、本表后附202</w:t>
      </w:r>
      <w:r>
        <w:rPr>
          <w:rFonts w:hint="eastAsia" w:ascii="宋体" w:hAnsi="宋体" w:eastAsia="宋体" w:cs="宋体"/>
          <w:b/>
          <w:sz w:val="24"/>
          <w:lang w:val="en-US" w:eastAsia="zh-CN"/>
        </w:rPr>
        <w:t>3</w:t>
      </w:r>
      <w:r>
        <w:rPr>
          <w:rFonts w:hint="eastAsia" w:ascii="宋体" w:hAnsi="宋体" w:eastAsia="宋体" w:cs="宋体"/>
          <w:b/>
          <w:sz w:val="24"/>
        </w:rPr>
        <w:t>年</w:t>
      </w:r>
      <w:r>
        <w:rPr>
          <w:rFonts w:hint="eastAsia" w:ascii="宋体" w:hAnsi="宋体" w:eastAsia="宋体" w:cs="宋体"/>
          <w:b/>
          <w:sz w:val="24"/>
          <w:lang w:val="en-US" w:eastAsia="zh-CN"/>
        </w:rPr>
        <w:t>5</w:t>
      </w:r>
      <w:r>
        <w:rPr>
          <w:rFonts w:hint="eastAsia" w:ascii="宋体" w:hAnsi="宋体" w:eastAsia="宋体" w:cs="宋体"/>
          <w:b/>
          <w:sz w:val="24"/>
        </w:rPr>
        <w:t>月1日至今项目的中标（成交）通知书和合同协议书、工程接收证书或工程竣工验收证书（表）复印件。每张表格只填写一个项目，并标明序号。</w:t>
      </w:r>
    </w:p>
    <w:p w14:paraId="652A296C">
      <w:pPr>
        <w:rPr>
          <w:rFonts w:ascii="宋体" w:hAnsi="宋体" w:eastAsia="宋体" w:cs="宋体"/>
          <w:b/>
          <w:sz w:val="28"/>
          <w:szCs w:val="28"/>
        </w:rPr>
      </w:pPr>
      <w:r>
        <w:rPr>
          <w:rFonts w:hint="eastAsia" w:ascii="宋体" w:hAnsi="宋体" w:eastAsia="宋体" w:cs="宋体"/>
          <w:b/>
          <w:sz w:val="28"/>
          <w:szCs w:val="28"/>
        </w:rPr>
        <w:br w:type="page"/>
      </w:r>
    </w:p>
    <w:p w14:paraId="17F45DE6">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50" w:name="_Toc21742"/>
      <w:bookmarkStart w:id="1951" w:name="_Toc4693"/>
      <w:r>
        <w:rPr>
          <w:rFonts w:hint="eastAsia" w:ascii="宋体" w:hAnsi="宋体" w:eastAsia="宋体" w:cs="宋体"/>
          <w:b/>
          <w:color w:val="auto"/>
          <w:sz w:val="28"/>
          <w:szCs w:val="28"/>
          <w:highlight w:val="none"/>
          <w:lang w:val="en-US" w:eastAsia="zh-CN"/>
        </w:rPr>
        <w:t>10、正在施工的和新承接的项目情况表</w:t>
      </w:r>
      <w:bookmarkEnd w:id="1950"/>
      <w:bookmarkEnd w:id="1951"/>
    </w:p>
    <w:p w14:paraId="25321CBE">
      <w:pPr>
        <w:spacing w:line="200" w:lineRule="exact"/>
        <w:ind w:firstLine="3614" w:firstLineChars="1500"/>
        <w:rPr>
          <w:rFonts w:ascii="宋体" w:hAnsi="宋体" w:eastAsia="宋体" w:cs="宋体"/>
          <w:b/>
          <w:sz w:val="24"/>
        </w:rPr>
      </w:pPr>
    </w:p>
    <w:tbl>
      <w:tblPr>
        <w:tblStyle w:val="28"/>
        <w:tblW w:w="8481"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442"/>
        <w:gridCol w:w="6039"/>
      </w:tblGrid>
      <w:tr w14:paraId="469D78A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vAlign w:val="center"/>
          </w:tcPr>
          <w:p w14:paraId="14FDAA26">
            <w:pPr>
              <w:tabs>
                <w:tab w:val="left" w:pos="608"/>
              </w:tabs>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序</w:t>
            </w:r>
            <w:r>
              <w:rPr>
                <w:rFonts w:hint="eastAsia" w:ascii="宋体" w:hAnsi="宋体" w:eastAsia="宋体" w:cs="宋体"/>
                <w:b/>
                <w:bCs/>
                <w:sz w:val="22"/>
                <w:szCs w:val="32"/>
                <w:lang w:val="zh-CN" w:bidi="zh-CN"/>
              </w:rPr>
              <w:tab/>
            </w:r>
            <w:r>
              <w:rPr>
                <w:rFonts w:hint="eastAsia" w:ascii="宋体" w:hAnsi="宋体" w:eastAsia="宋体" w:cs="宋体"/>
                <w:b/>
                <w:bCs/>
                <w:sz w:val="22"/>
                <w:szCs w:val="32"/>
                <w:lang w:val="zh-CN" w:bidi="zh-CN"/>
              </w:rPr>
              <w:t>号</w:t>
            </w:r>
          </w:p>
        </w:tc>
        <w:tc>
          <w:tcPr>
            <w:tcW w:w="6039" w:type="dxa"/>
            <w:vAlign w:val="center"/>
          </w:tcPr>
          <w:p w14:paraId="7DD48AB1">
            <w:pPr>
              <w:jc w:val="center"/>
              <w:rPr>
                <w:rFonts w:ascii="宋体" w:hAnsi="宋体" w:eastAsia="宋体" w:cs="宋体"/>
                <w:sz w:val="20"/>
                <w:lang w:val="zh-CN" w:bidi="zh-CN"/>
              </w:rPr>
            </w:pPr>
          </w:p>
        </w:tc>
      </w:tr>
      <w:tr w14:paraId="0FDCB7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2442" w:type="dxa"/>
            <w:vAlign w:val="center"/>
          </w:tcPr>
          <w:p w14:paraId="5AD9AC7F">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项目名称</w:t>
            </w:r>
          </w:p>
        </w:tc>
        <w:tc>
          <w:tcPr>
            <w:tcW w:w="6039" w:type="dxa"/>
            <w:vAlign w:val="center"/>
          </w:tcPr>
          <w:p w14:paraId="6F8984A6">
            <w:pPr>
              <w:jc w:val="center"/>
              <w:rPr>
                <w:rFonts w:ascii="宋体" w:hAnsi="宋体" w:eastAsia="宋体" w:cs="宋体"/>
                <w:sz w:val="20"/>
                <w:lang w:val="zh-CN" w:bidi="zh-CN"/>
              </w:rPr>
            </w:pPr>
          </w:p>
        </w:tc>
      </w:tr>
      <w:tr w14:paraId="3A00A3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5" w:hRule="atLeast"/>
        </w:trPr>
        <w:tc>
          <w:tcPr>
            <w:tcW w:w="2442" w:type="dxa"/>
            <w:vAlign w:val="center"/>
          </w:tcPr>
          <w:p w14:paraId="5BFAA363">
            <w:pPr>
              <w:spacing w:before="1"/>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项目所在地</w:t>
            </w:r>
          </w:p>
        </w:tc>
        <w:tc>
          <w:tcPr>
            <w:tcW w:w="6039" w:type="dxa"/>
            <w:vAlign w:val="center"/>
          </w:tcPr>
          <w:p w14:paraId="3638F019">
            <w:pPr>
              <w:jc w:val="center"/>
              <w:rPr>
                <w:rFonts w:ascii="宋体" w:hAnsi="宋体" w:eastAsia="宋体" w:cs="宋体"/>
                <w:sz w:val="20"/>
                <w:lang w:val="zh-CN" w:bidi="zh-CN"/>
              </w:rPr>
            </w:pPr>
          </w:p>
        </w:tc>
      </w:tr>
      <w:tr w14:paraId="35357E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4" w:hRule="atLeast"/>
        </w:trPr>
        <w:tc>
          <w:tcPr>
            <w:tcW w:w="2442" w:type="dxa"/>
            <w:vAlign w:val="center"/>
          </w:tcPr>
          <w:p w14:paraId="7492BBE4">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招标人名称</w:t>
            </w:r>
          </w:p>
        </w:tc>
        <w:tc>
          <w:tcPr>
            <w:tcW w:w="6039" w:type="dxa"/>
            <w:vAlign w:val="center"/>
          </w:tcPr>
          <w:p w14:paraId="28FA5A98">
            <w:pPr>
              <w:jc w:val="center"/>
              <w:rPr>
                <w:rFonts w:ascii="宋体" w:hAnsi="宋体" w:eastAsia="宋体" w:cs="宋体"/>
                <w:sz w:val="20"/>
                <w:lang w:val="zh-CN" w:bidi="zh-CN"/>
              </w:rPr>
            </w:pPr>
          </w:p>
        </w:tc>
      </w:tr>
      <w:tr w14:paraId="668477C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vAlign w:val="center"/>
          </w:tcPr>
          <w:p w14:paraId="15B5CBB0">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招标人地址</w:t>
            </w:r>
          </w:p>
        </w:tc>
        <w:tc>
          <w:tcPr>
            <w:tcW w:w="6039" w:type="dxa"/>
            <w:vAlign w:val="center"/>
          </w:tcPr>
          <w:p w14:paraId="56723820">
            <w:pPr>
              <w:jc w:val="center"/>
              <w:rPr>
                <w:rFonts w:ascii="宋体" w:hAnsi="宋体" w:eastAsia="宋体" w:cs="宋体"/>
                <w:sz w:val="20"/>
                <w:lang w:val="zh-CN" w:bidi="zh-CN"/>
              </w:rPr>
            </w:pPr>
          </w:p>
        </w:tc>
      </w:tr>
      <w:tr w14:paraId="1F95850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vAlign w:val="center"/>
          </w:tcPr>
          <w:p w14:paraId="66E272AA">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招标人电话</w:t>
            </w:r>
          </w:p>
        </w:tc>
        <w:tc>
          <w:tcPr>
            <w:tcW w:w="6039" w:type="dxa"/>
            <w:vAlign w:val="center"/>
          </w:tcPr>
          <w:p w14:paraId="45BD3145">
            <w:pPr>
              <w:jc w:val="center"/>
              <w:rPr>
                <w:rFonts w:ascii="宋体" w:hAnsi="宋体" w:eastAsia="宋体" w:cs="宋体"/>
                <w:sz w:val="20"/>
                <w:lang w:val="zh-CN" w:bidi="zh-CN"/>
              </w:rPr>
            </w:pPr>
          </w:p>
        </w:tc>
      </w:tr>
      <w:tr w14:paraId="6F8F4A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vAlign w:val="center"/>
          </w:tcPr>
          <w:p w14:paraId="35F1F5A2">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合同价格</w:t>
            </w:r>
          </w:p>
        </w:tc>
        <w:tc>
          <w:tcPr>
            <w:tcW w:w="6039" w:type="dxa"/>
            <w:vAlign w:val="center"/>
          </w:tcPr>
          <w:p w14:paraId="1D3F3223">
            <w:pPr>
              <w:jc w:val="center"/>
              <w:rPr>
                <w:rFonts w:ascii="宋体" w:hAnsi="宋体" w:eastAsia="宋体" w:cs="宋体"/>
                <w:sz w:val="20"/>
                <w:lang w:val="zh-CN" w:bidi="zh-CN"/>
              </w:rPr>
            </w:pPr>
          </w:p>
        </w:tc>
      </w:tr>
      <w:tr w14:paraId="0B20B00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3" w:hRule="atLeast"/>
        </w:trPr>
        <w:tc>
          <w:tcPr>
            <w:tcW w:w="2442" w:type="dxa"/>
            <w:vAlign w:val="center"/>
          </w:tcPr>
          <w:p w14:paraId="79ABA449">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开工日期</w:t>
            </w:r>
          </w:p>
        </w:tc>
        <w:tc>
          <w:tcPr>
            <w:tcW w:w="6039" w:type="dxa"/>
            <w:vAlign w:val="center"/>
          </w:tcPr>
          <w:p w14:paraId="2925434B">
            <w:pPr>
              <w:jc w:val="center"/>
              <w:rPr>
                <w:rFonts w:ascii="宋体" w:hAnsi="宋体" w:eastAsia="宋体" w:cs="宋体"/>
                <w:sz w:val="20"/>
                <w:lang w:val="zh-CN" w:bidi="zh-CN"/>
              </w:rPr>
            </w:pPr>
          </w:p>
        </w:tc>
      </w:tr>
      <w:tr w14:paraId="53247C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6" w:hRule="atLeast"/>
        </w:trPr>
        <w:tc>
          <w:tcPr>
            <w:tcW w:w="2442" w:type="dxa"/>
            <w:vAlign w:val="center"/>
          </w:tcPr>
          <w:p w14:paraId="5B224161">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交工日期</w:t>
            </w:r>
          </w:p>
        </w:tc>
        <w:tc>
          <w:tcPr>
            <w:tcW w:w="6039" w:type="dxa"/>
            <w:vAlign w:val="center"/>
          </w:tcPr>
          <w:p w14:paraId="555155B5">
            <w:pPr>
              <w:jc w:val="center"/>
              <w:rPr>
                <w:rFonts w:ascii="宋体" w:hAnsi="宋体" w:eastAsia="宋体" w:cs="宋体"/>
                <w:sz w:val="20"/>
                <w:lang w:val="zh-CN" w:bidi="zh-CN"/>
              </w:rPr>
            </w:pPr>
          </w:p>
        </w:tc>
      </w:tr>
      <w:tr w14:paraId="7DA78E9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7" w:hRule="atLeast"/>
        </w:trPr>
        <w:tc>
          <w:tcPr>
            <w:tcW w:w="2442" w:type="dxa"/>
            <w:vAlign w:val="center"/>
          </w:tcPr>
          <w:p w14:paraId="63562C08">
            <w:pPr>
              <w:spacing w:before="1"/>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承担的工作</w:t>
            </w:r>
          </w:p>
        </w:tc>
        <w:tc>
          <w:tcPr>
            <w:tcW w:w="6039" w:type="dxa"/>
            <w:vAlign w:val="center"/>
          </w:tcPr>
          <w:p w14:paraId="603D85CA">
            <w:pPr>
              <w:jc w:val="center"/>
              <w:rPr>
                <w:rFonts w:ascii="宋体" w:hAnsi="宋体" w:eastAsia="宋体" w:cs="宋体"/>
                <w:sz w:val="20"/>
                <w:lang w:val="zh-CN" w:bidi="zh-CN"/>
              </w:rPr>
            </w:pPr>
          </w:p>
        </w:tc>
      </w:tr>
      <w:tr w14:paraId="480B89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5" w:hRule="atLeast"/>
        </w:trPr>
        <w:tc>
          <w:tcPr>
            <w:tcW w:w="2442" w:type="dxa"/>
            <w:vAlign w:val="center"/>
          </w:tcPr>
          <w:p w14:paraId="64AD2F19">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工程质量</w:t>
            </w:r>
          </w:p>
        </w:tc>
        <w:tc>
          <w:tcPr>
            <w:tcW w:w="6039" w:type="dxa"/>
            <w:vAlign w:val="center"/>
          </w:tcPr>
          <w:p w14:paraId="65D68A80">
            <w:pPr>
              <w:jc w:val="center"/>
              <w:rPr>
                <w:rFonts w:ascii="宋体" w:hAnsi="宋体" w:eastAsia="宋体" w:cs="宋体"/>
                <w:sz w:val="20"/>
                <w:lang w:val="zh-CN" w:bidi="zh-CN"/>
              </w:rPr>
            </w:pPr>
          </w:p>
        </w:tc>
      </w:tr>
      <w:tr w14:paraId="3C5CF06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2442" w:type="dxa"/>
            <w:vAlign w:val="center"/>
          </w:tcPr>
          <w:p w14:paraId="222E151D">
            <w:pPr>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项目经理</w:t>
            </w:r>
          </w:p>
        </w:tc>
        <w:tc>
          <w:tcPr>
            <w:tcW w:w="6039" w:type="dxa"/>
            <w:vAlign w:val="center"/>
          </w:tcPr>
          <w:p w14:paraId="57E4A882">
            <w:pPr>
              <w:jc w:val="center"/>
              <w:rPr>
                <w:rFonts w:ascii="宋体" w:hAnsi="宋体" w:eastAsia="宋体" w:cs="宋体"/>
                <w:sz w:val="20"/>
                <w:lang w:val="zh-CN" w:bidi="zh-CN"/>
              </w:rPr>
            </w:pPr>
          </w:p>
        </w:tc>
      </w:tr>
      <w:tr w14:paraId="7DAC86D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6" w:hRule="atLeast"/>
        </w:trPr>
        <w:tc>
          <w:tcPr>
            <w:tcW w:w="2442" w:type="dxa"/>
            <w:vAlign w:val="center"/>
          </w:tcPr>
          <w:p w14:paraId="71F6C8CA">
            <w:pPr>
              <w:ind w:left="8"/>
              <w:jc w:val="center"/>
              <w:rPr>
                <w:rFonts w:ascii="宋体" w:hAnsi="宋体" w:eastAsia="宋体" w:cs="宋体"/>
                <w:b/>
                <w:bCs/>
                <w:sz w:val="22"/>
                <w:szCs w:val="32"/>
                <w:lang w:bidi="zh-CN"/>
              </w:rPr>
            </w:pPr>
            <w:r>
              <w:rPr>
                <w:rFonts w:hint="eastAsia" w:ascii="宋体" w:hAnsi="宋体" w:eastAsia="宋体" w:cs="宋体"/>
                <w:b/>
                <w:bCs/>
                <w:sz w:val="22"/>
                <w:szCs w:val="32"/>
                <w:lang w:bidi="zh-CN"/>
              </w:rPr>
              <w:t>技术负责人</w:t>
            </w:r>
          </w:p>
        </w:tc>
        <w:tc>
          <w:tcPr>
            <w:tcW w:w="6039" w:type="dxa"/>
            <w:vAlign w:val="center"/>
          </w:tcPr>
          <w:p w14:paraId="0B9E058C">
            <w:pPr>
              <w:jc w:val="center"/>
              <w:rPr>
                <w:rFonts w:ascii="宋体" w:hAnsi="宋体" w:eastAsia="宋体" w:cs="宋体"/>
                <w:sz w:val="20"/>
                <w:lang w:val="zh-CN" w:bidi="zh-CN"/>
              </w:rPr>
            </w:pPr>
          </w:p>
        </w:tc>
      </w:tr>
      <w:tr w14:paraId="324680A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2442" w:type="dxa"/>
            <w:vAlign w:val="center"/>
          </w:tcPr>
          <w:p w14:paraId="379DB650">
            <w:pPr>
              <w:ind w:left="10"/>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总监理工程师及电话</w:t>
            </w:r>
          </w:p>
        </w:tc>
        <w:tc>
          <w:tcPr>
            <w:tcW w:w="6039" w:type="dxa"/>
            <w:vAlign w:val="center"/>
          </w:tcPr>
          <w:p w14:paraId="08321C67">
            <w:pPr>
              <w:jc w:val="center"/>
              <w:rPr>
                <w:rFonts w:ascii="宋体" w:hAnsi="宋体" w:eastAsia="宋体" w:cs="宋体"/>
                <w:sz w:val="20"/>
                <w:lang w:val="zh-CN" w:bidi="zh-CN"/>
              </w:rPr>
            </w:pPr>
          </w:p>
        </w:tc>
      </w:tr>
      <w:tr w14:paraId="7A4AAF2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73" w:hRule="atLeast"/>
        </w:trPr>
        <w:tc>
          <w:tcPr>
            <w:tcW w:w="2442" w:type="dxa"/>
            <w:vAlign w:val="center"/>
          </w:tcPr>
          <w:p w14:paraId="1DA4A183">
            <w:pPr>
              <w:spacing w:before="1"/>
              <w:ind w:left="8"/>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项目描述</w:t>
            </w:r>
          </w:p>
        </w:tc>
        <w:tc>
          <w:tcPr>
            <w:tcW w:w="6039" w:type="dxa"/>
            <w:vAlign w:val="center"/>
          </w:tcPr>
          <w:p w14:paraId="20D45CEB">
            <w:pPr>
              <w:jc w:val="center"/>
              <w:rPr>
                <w:rFonts w:ascii="宋体" w:hAnsi="宋体" w:eastAsia="宋体" w:cs="宋体"/>
                <w:sz w:val="20"/>
                <w:lang w:val="zh-CN" w:bidi="zh-CN"/>
              </w:rPr>
            </w:pPr>
          </w:p>
        </w:tc>
      </w:tr>
      <w:tr w14:paraId="27F4F3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442" w:type="dxa"/>
            <w:vAlign w:val="center"/>
          </w:tcPr>
          <w:p w14:paraId="6FD7AFE8">
            <w:pPr>
              <w:ind w:left="5"/>
              <w:jc w:val="center"/>
              <w:rPr>
                <w:rFonts w:ascii="宋体" w:hAnsi="宋体" w:eastAsia="宋体" w:cs="宋体"/>
                <w:b/>
                <w:bCs/>
                <w:sz w:val="22"/>
                <w:szCs w:val="32"/>
                <w:lang w:val="zh-CN" w:bidi="zh-CN"/>
              </w:rPr>
            </w:pPr>
            <w:r>
              <w:rPr>
                <w:rFonts w:hint="eastAsia" w:ascii="宋体" w:hAnsi="宋体" w:eastAsia="宋体" w:cs="宋体"/>
                <w:b/>
                <w:bCs/>
                <w:sz w:val="22"/>
                <w:szCs w:val="32"/>
                <w:lang w:val="zh-CN" w:bidi="zh-CN"/>
              </w:rPr>
              <w:t>备注</w:t>
            </w:r>
          </w:p>
        </w:tc>
        <w:tc>
          <w:tcPr>
            <w:tcW w:w="6039" w:type="dxa"/>
            <w:vAlign w:val="center"/>
          </w:tcPr>
          <w:p w14:paraId="23C07BAE">
            <w:pPr>
              <w:jc w:val="center"/>
              <w:rPr>
                <w:rFonts w:ascii="宋体" w:hAnsi="宋体" w:eastAsia="宋体" w:cs="宋体"/>
                <w:sz w:val="20"/>
                <w:lang w:val="zh-CN" w:bidi="zh-CN"/>
              </w:rPr>
            </w:pPr>
          </w:p>
        </w:tc>
      </w:tr>
    </w:tbl>
    <w:p w14:paraId="14FD949B">
      <w:pPr>
        <w:rPr>
          <w:rFonts w:ascii="宋体" w:hAnsi="宋体" w:eastAsia="宋体" w:cs="宋体"/>
          <w:b/>
          <w:sz w:val="24"/>
        </w:rPr>
      </w:pPr>
    </w:p>
    <w:p w14:paraId="3BBFB4CC">
      <w:pPr>
        <w:rPr>
          <w:rFonts w:ascii="宋体" w:hAnsi="宋体" w:eastAsia="宋体" w:cs="宋体"/>
          <w:b/>
          <w:sz w:val="28"/>
          <w:szCs w:val="28"/>
        </w:rPr>
      </w:pPr>
      <w:r>
        <w:rPr>
          <w:rFonts w:hint="eastAsia" w:ascii="宋体" w:hAnsi="宋体" w:eastAsia="宋体" w:cs="宋体"/>
          <w:b/>
          <w:sz w:val="24"/>
        </w:rPr>
        <w:t>注：本表后附中标通知书和合同协议书复印件。每张表格只填写一个项目，并标明序号。</w:t>
      </w:r>
    </w:p>
    <w:p w14:paraId="35360482">
      <w:pPr>
        <w:spacing w:line="400" w:lineRule="exact"/>
        <w:ind w:firstLine="4216" w:firstLineChars="1500"/>
        <w:rPr>
          <w:rFonts w:ascii="宋体" w:hAnsi="宋体" w:eastAsia="宋体" w:cs="宋体"/>
          <w:b/>
          <w:sz w:val="28"/>
          <w:szCs w:val="28"/>
        </w:rPr>
      </w:pPr>
    </w:p>
    <w:p w14:paraId="78848F01">
      <w:pPr>
        <w:rPr>
          <w:rFonts w:ascii="宋体" w:hAnsi="宋体" w:eastAsia="宋体" w:cs="宋体"/>
          <w:sz w:val="24"/>
        </w:rPr>
      </w:pPr>
      <w:r>
        <w:rPr>
          <w:rFonts w:hint="eastAsia" w:ascii="宋体" w:hAnsi="宋体" w:eastAsia="宋体" w:cs="宋体"/>
          <w:sz w:val="24"/>
        </w:rPr>
        <w:br w:type="page"/>
      </w:r>
    </w:p>
    <w:p w14:paraId="04F23439">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52" w:name="_Toc16604"/>
      <w:bookmarkStart w:id="1953" w:name="_Toc21139"/>
      <w:r>
        <w:rPr>
          <w:rFonts w:hint="eastAsia" w:ascii="宋体" w:hAnsi="宋体" w:eastAsia="宋体" w:cs="宋体"/>
          <w:b/>
          <w:color w:val="auto"/>
          <w:sz w:val="28"/>
          <w:szCs w:val="28"/>
          <w:highlight w:val="none"/>
          <w:lang w:val="en-US" w:eastAsia="zh-CN"/>
        </w:rPr>
        <w:t>11、近年发生的诉讼及仲裁情况</w:t>
      </w:r>
      <w:bookmarkEnd w:id="1952"/>
      <w:bookmarkEnd w:id="1953"/>
    </w:p>
    <w:p w14:paraId="02F38B42">
      <w:pPr>
        <w:rPr>
          <w:rFonts w:ascii="宋体" w:hAnsi="宋体" w:eastAsia="宋体" w:cs="宋体"/>
          <w:bCs/>
          <w:sz w:val="24"/>
        </w:rPr>
      </w:pPr>
      <w:r>
        <w:rPr>
          <w:rFonts w:hint="eastAsia" w:ascii="宋体" w:hAnsi="宋体" w:eastAsia="宋体" w:cs="宋体"/>
          <w:bCs/>
          <w:sz w:val="24"/>
        </w:rPr>
        <w:t>说明：近三年发生的诉讼和仲裁情况仅限于供应商败诉的，且与履行施工承包合同有关的案件，不包括调解结案以及未裁决的仲裁或未终审判决的诉讼。</w:t>
      </w:r>
    </w:p>
    <w:p w14:paraId="6EDE8C49">
      <w:pPr>
        <w:rPr>
          <w:rFonts w:ascii="宋体" w:hAnsi="宋体" w:eastAsia="宋体" w:cs="宋体"/>
          <w:sz w:val="24"/>
        </w:rPr>
      </w:pPr>
    </w:p>
    <w:p w14:paraId="7099E418">
      <w:pPr>
        <w:tabs>
          <w:tab w:val="left" w:pos="567"/>
        </w:tabs>
        <w:spacing w:before="120" w:line="22" w:lineRule="atLeast"/>
        <w:rPr>
          <w:rFonts w:ascii="宋体" w:hAnsi="宋体" w:eastAsia="宋体" w:cs="宋体"/>
          <w:sz w:val="24"/>
        </w:rPr>
      </w:pPr>
    </w:p>
    <w:p w14:paraId="1D989F9B">
      <w:pPr>
        <w:tabs>
          <w:tab w:val="left" w:pos="567"/>
        </w:tabs>
        <w:spacing w:before="120" w:line="22" w:lineRule="atLeast"/>
        <w:rPr>
          <w:rFonts w:ascii="宋体" w:hAnsi="宋体" w:eastAsia="宋体" w:cs="宋体"/>
          <w:sz w:val="24"/>
        </w:rPr>
      </w:pPr>
    </w:p>
    <w:p w14:paraId="70F7E972">
      <w:pPr>
        <w:tabs>
          <w:tab w:val="left" w:pos="567"/>
        </w:tabs>
        <w:spacing w:before="120" w:line="22" w:lineRule="atLeast"/>
        <w:rPr>
          <w:rFonts w:ascii="宋体" w:hAnsi="宋体" w:eastAsia="宋体" w:cs="宋体"/>
          <w:sz w:val="24"/>
        </w:rPr>
      </w:pPr>
    </w:p>
    <w:p w14:paraId="7B093458">
      <w:pPr>
        <w:tabs>
          <w:tab w:val="left" w:pos="567"/>
        </w:tabs>
        <w:spacing w:before="120" w:line="22" w:lineRule="atLeast"/>
        <w:rPr>
          <w:rFonts w:ascii="宋体" w:hAnsi="宋体" w:eastAsia="宋体" w:cs="宋体"/>
          <w:sz w:val="24"/>
        </w:rPr>
      </w:pPr>
    </w:p>
    <w:p w14:paraId="3A0B90E5">
      <w:pPr>
        <w:tabs>
          <w:tab w:val="left" w:pos="567"/>
        </w:tabs>
        <w:spacing w:before="120" w:line="22" w:lineRule="atLeast"/>
        <w:rPr>
          <w:rFonts w:ascii="宋体" w:hAnsi="宋体" w:eastAsia="宋体" w:cs="宋体"/>
          <w:sz w:val="24"/>
        </w:rPr>
      </w:pPr>
    </w:p>
    <w:p w14:paraId="773AD15B">
      <w:pPr>
        <w:tabs>
          <w:tab w:val="left" w:pos="567"/>
        </w:tabs>
        <w:spacing w:before="120" w:line="22" w:lineRule="atLeast"/>
        <w:rPr>
          <w:rFonts w:ascii="宋体" w:hAnsi="宋体" w:eastAsia="宋体" w:cs="宋体"/>
          <w:sz w:val="24"/>
        </w:rPr>
      </w:pPr>
    </w:p>
    <w:p w14:paraId="04740745">
      <w:pPr>
        <w:rPr>
          <w:rFonts w:ascii="宋体" w:hAnsi="宋体" w:eastAsia="宋体" w:cs="宋体"/>
          <w:sz w:val="24"/>
        </w:rPr>
      </w:pPr>
    </w:p>
    <w:p w14:paraId="6070CACE">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54" w:name="_Toc5026"/>
      <w:bookmarkStart w:id="1955" w:name="_Toc22961"/>
      <w:r>
        <w:rPr>
          <w:rFonts w:hint="eastAsia" w:ascii="宋体" w:hAnsi="宋体" w:eastAsia="宋体" w:cs="宋体"/>
          <w:b/>
          <w:color w:val="auto"/>
          <w:sz w:val="28"/>
          <w:szCs w:val="28"/>
          <w:highlight w:val="none"/>
          <w:lang w:val="en-US" w:eastAsia="zh-CN"/>
        </w:rPr>
        <w:t>12、企业其他信誉情况</w:t>
      </w:r>
      <w:bookmarkEnd w:id="1954"/>
      <w:bookmarkEnd w:id="1955"/>
    </w:p>
    <w:p w14:paraId="473D11C6">
      <w:pPr>
        <w:jc w:val="center"/>
        <w:rPr>
          <w:rFonts w:ascii="宋体" w:hAnsi="宋体" w:eastAsia="宋体" w:cs="宋体"/>
          <w:bCs/>
          <w:sz w:val="24"/>
        </w:rPr>
      </w:pPr>
      <w:r>
        <w:rPr>
          <w:rFonts w:hint="eastAsia" w:ascii="宋体" w:hAnsi="宋体" w:eastAsia="宋体" w:cs="宋体"/>
          <w:bCs/>
          <w:sz w:val="24"/>
        </w:rPr>
        <w:t>（年份要求同诉讼及仲裁情况年份要求）</w:t>
      </w:r>
    </w:p>
    <w:p w14:paraId="44259F1F">
      <w:pPr>
        <w:rPr>
          <w:rFonts w:ascii="宋体" w:hAnsi="宋体" w:eastAsia="宋体" w:cs="宋体"/>
          <w:b/>
          <w:sz w:val="24"/>
        </w:rPr>
      </w:pPr>
      <w:r>
        <w:rPr>
          <w:rFonts w:hint="eastAsia" w:ascii="宋体" w:hAnsi="宋体" w:eastAsia="宋体" w:cs="宋体"/>
          <w:b/>
          <w:sz w:val="24"/>
        </w:rPr>
        <w:t>12.1近年企业不良行为记录情况</w:t>
      </w:r>
    </w:p>
    <w:p w14:paraId="594F6E76">
      <w:pPr>
        <w:tabs>
          <w:tab w:val="left" w:pos="567"/>
        </w:tabs>
        <w:spacing w:before="120" w:line="22" w:lineRule="atLeast"/>
        <w:rPr>
          <w:rFonts w:ascii="宋体" w:hAnsi="宋体" w:eastAsia="宋体" w:cs="宋体"/>
          <w:b/>
          <w:sz w:val="24"/>
        </w:rPr>
      </w:pPr>
    </w:p>
    <w:p w14:paraId="20C78F67">
      <w:pPr>
        <w:rPr>
          <w:rFonts w:ascii="宋体" w:hAnsi="宋体" w:eastAsia="宋体" w:cs="宋体"/>
          <w:b/>
          <w:sz w:val="24"/>
        </w:rPr>
      </w:pPr>
      <w:r>
        <w:rPr>
          <w:rFonts w:hint="eastAsia" w:ascii="宋体" w:hAnsi="宋体" w:eastAsia="宋体" w:cs="宋体"/>
          <w:b/>
          <w:sz w:val="24"/>
        </w:rPr>
        <w:t>12.2在施工程以及近年已竣工工程合同履行情况</w:t>
      </w:r>
    </w:p>
    <w:p w14:paraId="291E49C1">
      <w:pPr>
        <w:tabs>
          <w:tab w:val="left" w:pos="567"/>
        </w:tabs>
        <w:spacing w:before="120" w:line="22" w:lineRule="atLeast"/>
        <w:rPr>
          <w:rFonts w:ascii="宋体" w:hAnsi="宋体" w:eastAsia="宋体" w:cs="宋体"/>
          <w:b/>
          <w:sz w:val="24"/>
        </w:rPr>
      </w:pPr>
    </w:p>
    <w:p w14:paraId="05C91E2F">
      <w:pPr>
        <w:rPr>
          <w:rFonts w:ascii="宋体" w:hAnsi="宋体" w:eastAsia="宋体" w:cs="宋体"/>
          <w:b/>
          <w:sz w:val="24"/>
        </w:rPr>
      </w:pPr>
      <w:r>
        <w:rPr>
          <w:rFonts w:hint="eastAsia" w:ascii="宋体" w:hAnsi="宋体" w:eastAsia="宋体" w:cs="宋体"/>
          <w:b/>
          <w:sz w:val="24"/>
        </w:rPr>
        <w:t>12.3其 他</w:t>
      </w:r>
    </w:p>
    <w:p w14:paraId="2C77AA18">
      <w:pPr>
        <w:tabs>
          <w:tab w:val="left" w:pos="567"/>
        </w:tabs>
        <w:spacing w:before="120" w:line="22" w:lineRule="atLeast"/>
        <w:rPr>
          <w:rFonts w:ascii="宋体" w:hAnsi="宋体" w:eastAsia="宋体" w:cs="宋体"/>
          <w:b/>
          <w:sz w:val="24"/>
        </w:rPr>
      </w:pPr>
    </w:p>
    <w:p w14:paraId="23F1429E">
      <w:pPr>
        <w:rPr>
          <w:rFonts w:ascii="宋体" w:hAnsi="宋体" w:eastAsia="宋体" w:cs="宋体"/>
          <w:bCs/>
          <w:sz w:val="24"/>
        </w:rPr>
      </w:pPr>
      <w:r>
        <w:rPr>
          <w:rFonts w:hint="eastAsia" w:ascii="宋体" w:hAnsi="宋体" w:eastAsia="宋体" w:cs="宋体"/>
          <w:bCs/>
          <w:sz w:val="24"/>
        </w:rPr>
        <w:t>备注：1、供应商可对自身近年发生的诉讼及仲裁情况、企业其他信誉情况等内容进行说明或承诺或提供相应的网页截图或其他能反应具体内容的证明文件。</w:t>
      </w:r>
    </w:p>
    <w:p w14:paraId="4590DB04">
      <w:pPr>
        <w:rPr>
          <w:rFonts w:ascii="宋体" w:hAnsi="宋体" w:eastAsia="宋体" w:cs="宋体"/>
          <w:sz w:val="24"/>
        </w:rPr>
      </w:pPr>
    </w:p>
    <w:p w14:paraId="6A1362DD">
      <w:pPr>
        <w:tabs>
          <w:tab w:val="left" w:pos="567"/>
        </w:tabs>
        <w:spacing w:before="120" w:line="22" w:lineRule="atLeast"/>
        <w:rPr>
          <w:rFonts w:ascii="宋体" w:hAnsi="宋体" w:eastAsia="宋体" w:cs="宋体"/>
          <w:sz w:val="24"/>
        </w:rPr>
      </w:pPr>
    </w:p>
    <w:p w14:paraId="6F8B6A9F">
      <w:pPr>
        <w:tabs>
          <w:tab w:val="left" w:pos="567"/>
        </w:tabs>
        <w:spacing w:before="120" w:line="22" w:lineRule="atLeast"/>
        <w:rPr>
          <w:rFonts w:ascii="宋体" w:hAnsi="宋体" w:eastAsia="宋体" w:cs="宋体"/>
          <w:sz w:val="24"/>
        </w:rPr>
      </w:pPr>
    </w:p>
    <w:p w14:paraId="3C0874B2">
      <w:pPr>
        <w:tabs>
          <w:tab w:val="left" w:pos="567"/>
        </w:tabs>
        <w:spacing w:before="120" w:line="22" w:lineRule="atLeast"/>
        <w:rPr>
          <w:rFonts w:ascii="宋体" w:hAnsi="宋体" w:eastAsia="宋体" w:cs="宋体"/>
          <w:sz w:val="24"/>
        </w:rPr>
      </w:pPr>
    </w:p>
    <w:p w14:paraId="1F14A26C">
      <w:pPr>
        <w:tabs>
          <w:tab w:val="left" w:pos="567"/>
        </w:tabs>
        <w:spacing w:before="120" w:line="22" w:lineRule="atLeast"/>
        <w:rPr>
          <w:rFonts w:ascii="宋体" w:hAnsi="宋体" w:eastAsia="宋体" w:cs="宋体"/>
          <w:sz w:val="24"/>
        </w:rPr>
      </w:pPr>
    </w:p>
    <w:p w14:paraId="75ADB457">
      <w:pPr>
        <w:tabs>
          <w:tab w:val="left" w:pos="567"/>
        </w:tabs>
        <w:spacing w:before="120" w:line="22" w:lineRule="atLeast"/>
        <w:rPr>
          <w:rFonts w:ascii="宋体" w:hAnsi="宋体" w:eastAsia="宋体" w:cs="宋体"/>
          <w:sz w:val="24"/>
        </w:rPr>
      </w:pPr>
    </w:p>
    <w:p w14:paraId="661D716C">
      <w:pPr>
        <w:tabs>
          <w:tab w:val="left" w:pos="567"/>
        </w:tabs>
        <w:spacing w:before="120" w:line="22" w:lineRule="atLeast"/>
        <w:rPr>
          <w:rFonts w:ascii="宋体" w:hAnsi="宋体" w:eastAsia="宋体" w:cs="宋体"/>
          <w:sz w:val="24"/>
        </w:rPr>
      </w:pPr>
    </w:p>
    <w:p w14:paraId="5A677523">
      <w:pPr>
        <w:tabs>
          <w:tab w:val="left" w:pos="567"/>
        </w:tabs>
        <w:spacing w:before="120" w:line="22" w:lineRule="atLeast"/>
        <w:rPr>
          <w:rFonts w:ascii="宋体" w:hAnsi="宋体" w:eastAsia="宋体" w:cs="宋体"/>
          <w:sz w:val="24"/>
        </w:rPr>
      </w:pPr>
    </w:p>
    <w:p w14:paraId="626515D4">
      <w:pPr>
        <w:tabs>
          <w:tab w:val="left" w:pos="567"/>
        </w:tabs>
        <w:spacing w:before="120" w:line="22" w:lineRule="atLeast"/>
        <w:rPr>
          <w:rFonts w:ascii="宋体" w:hAnsi="宋体" w:eastAsia="宋体" w:cs="宋体"/>
          <w:sz w:val="24"/>
        </w:rPr>
      </w:pPr>
    </w:p>
    <w:p w14:paraId="6D565807">
      <w:pPr>
        <w:tabs>
          <w:tab w:val="left" w:pos="567"/>
        </w:tabs>
        <w:spacing w:before="120" w:line="22" w:lineRule="atLeast"/>
        <w:rPr>
          <w:rFonts w:ascii="宋体" w:hAnsi="宋体" w:eastAsia="宋体" w:cs="宋体"/>
          <w:sz w:val="24"/>
        </w:rPr>
      </w:pPr>
    </w:p>
    <w:p w14:paraId="1ECF1AE3">
      <w:pPr>
        <w:tabs>
          <w:tab w:val="left" w:pos="567"/>
        </w:tabs>
        <w:spacing w:before="120" w:line="22" w:lineRule="atLeast"/>
        <w:rPr>
          <w:rFonts w:ascii="宋体" w:hAnsi="宋体" w:eastAsia="宋体" w:cs="宋体"/>
          <w:sz w:val="24"/>
        </w:rPr>
      </w:pPr>
    </w:p>
    <w:p w14:paraId="6E59DDB0">
      <w:pPr>
        <w:tabs>
          <w:tab w:val="left" w:pos="567"/>
        </w:tabs>
        <w:spacing w:before="120" w:line="22" w:lineRule="atLeast"/>
        <w:rPr>
          <w:rFonts w:ascii="宋体" w:hAnsi="宋体" w:eastAsia="宋体" w:cs="宋体"/>
          <w:sz w:val="24"/>
        </w:rPr>
      </w:pPr>
    </w:p>
    <w:p w14:paraId="7D81609E">
      <w:pPr>
        <w:tabs>
          <w:tab w:val="left" w:pos="567"/>
        </w:tabs>
        <w:spacing w:before="120" w:line="22" w:lineRule="atLeast"/>
        <w:rPr>
          <w:rFonts w:ascii="宋体" w:hAnsi="宋体" w:eastAsia="宋体" w:cs="宋体"/>
          <w:sz w:val="24"/>
        </w:rPr>
      </w:pPr>
    </w:p>
    <w:p w14:paraId="1093552E">
      <w:pPr>
        <w:tabs>
          <w:tab w:val="left" w:pos="567"/>
        </w:tabs>
        <w:spacing w:before="120" w:line="22" w:lineRule="atLeast"/>
        <w:rPr>
          <w:rFonts w:ascii="宋体" w:hAnsi="宋体" w:eastAsia="宋体" w:cs="宋体"/>
          <w:sz w:val="24"/>
        </w:rPr>
      </w:pPr>
    </w:p>
    <w:p w14:paraId="67694653">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56" w:name="_Toc20748"/>
      <w:bookmarkStart w:id="1957" w:name="_Toc12994"/>
      <w:r>
        <w:rPr>
          <w:rFonts w:hint="eastAsia" w:ascii="宋体" w:hAnsi="宋体" w:eastAsia="宋体" w:cs="宋体"/>
          <w:b/>
          <w:color w:val="auto"/>
          <w:sz w:val="28"/>
          <w:szCs w:val="28"/>
          <w:highlight w:val="none"/>
          <w:lang w:val="en-US" w:eastAsia="zh-CN"/>
        </w:rPr>
        <w:t>13、已标价的工程量清单</w:t>
      </w:r>
      <w:bookmarkEnd w:id="1956"/>
      <w:bookmarkEnd w:id="1957"/>
    </w:p>
    <w:p w14:paraId="043ADB1A">
      <w:pPr>
        <w:pStyle w:val="12"/>
        <w:tabs>
          <w:tab w:val="left" w:pos="5580"/>
        </w:tabs>
        <w:spacing w:line="400" w:lineRule="exact"/>
        <w:ind w:left="1080" w:leftChars="257" w:hanging="540"/>
        <w:rPr>
          <w:rFonts w:hint="eastAsia" w:ascii="宋体" w:hAnsi="宋体" w:eastAsia="宋体" w:cs="宋体"/>
          <w:sz w:val="24"/>
          <w:szCs w:val="24"/>
        </w:rPr>
      </w:pPr>
      <w:r>
        <w:rPr>
          <w:rFonts w:hint="eastAsia" w:ascii="宋体" w:hAnsi="宋体" w:eastAsia="宋体" w:cs="宋体"/>
          <w:sz w:val="24"/>
          <w:szCs w:val="24"/>
        </w:rPr>
        <w:t>磋商报价应包括本工程的设计施工图纸、工程量清单范围内全部工作内容。</w:t>
      </w:r>
    </w:p>
    <w:p w14:paraId="1E54ECB4">
      <w:pPr>
        <w:spacing w:after="120" w:line="480" w:lineRule="auto"/>
        <w:rPr>
          <w:rFonts w:ascii="宋体" w:hAnsi="宋体" w:eastAsia="宋体" w:cs="宋体"/>
          <w:sz w:val="24"/>
        </w:rPr>
      </w:pPr>
    </w:p>
    <w:p w14:paraId="1985B2A8">
      <w:pPr>
        <w:pStyle w:val="12"/>
        <w:tabs>
          <w:tab w:val="left" w:pos="5580"/>
        </w:tabs>
        <w:spacing w:line="400" w:lineRule="exact"/>
        <w:ind w:left="1080" w:leftChars="257" w:hanging="540"/>
        <w:rPr>
          <w:rFonts w:hint="eastAsia" w:ascii="宋体" w:hAnsi="宋体" w:eastAsia="宋体" w:cs="宋体"/>
          <w:sz w:val="24"/>
          <w:szCs w:val="24"/>
        </w:rPr>
        <w:sectPr>
          <w:pgSz w:w="11910" w:h="16840"/>
          <w:pgMar w:top="1440" w:right="1803" w:bottom="1440" w:left="1803" w:header="720" w:footer="720" w:gutter="0"/>
          <w:pgNumType w:fmt="decimal"/>
          <w:cols w:space="0" w:num="1"/>
          <w:rtlGutter w:val="0"/>
          <w:docGrid w:linePitch="0" w:charSpace="0"/>
        </w:sectPr>
      </w:pPr>
      <w:r>
        <w:rPr>
          <w:rFonts w:hint="eastAsia" w:ascii="宋体" w:hAnsi="宋体" w:eastAsia="宋体" w:cs="宋体"/>
          <w:sz w:val="24"/>
        </w:rPr>
        <w:br w:type="page"/>
      </w:r>
    </w:p>
    <w:p w14:paraId="179D484C">
      <w:pPr>
        <w:rPr>
          <w:rFonts w:ascii="宋体" w:hAnsi="宋体" w:eastAsia="宋体" w:cs="宋体"/>
          <w:sz w:val="24"/>
        </w:rPr>
      </w:pPr>
    </w:p>
    <w:p w14:paraId="01A08947">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58" w:name="_Toc20620"/>
      <w:bookmarkStart w:id="1959" w:name="_Toc17725"/>
      <w:r>
        <w:rPr>
          <w:rFonts w:hint="eastAsia" w:ascii="宋体" w:hAnsi="宋体" w:eastAsia="宋体" w:cs="宋体"/>
          <w:b/>
          <w:color w:val="auto"/>
          <w:sz w:val="28"/>
          <w:szCs w:val="28"/>
          <w:highlight w:val="none"/>
          <w:lang w:val="en-US" w:eastAsia="zh-CN"/>
        </w:rPr>
        <w:t>14、技术部分主要包括下列内容</w:t>
      </w:r>
      <w:bookmarkEnd w:id="1958"/>
      <w:bookmarkEnd w:id="1959"/>
    </w:p>
    <w:p w14:paraId="7CFBB77D">
      <w:pPr>
        <w:spacing w:line="360" w:lineRule="exact"/>
        <w:rPr>
          <w:rFonts w:ascii="宋体" w:hAnsi="宋体" w:eastAsia="宋体" w:cs="宋体"/>
          <w:sz w:val="24"/>
        </w:rPr>
      </w:pPr>
    </w:p>
    <w:p w14:paraId="6AB3F3FF">
      <w:pPr>
        <w:spacing w:line="360" w:lineRule="exact"/>
        <w:ind w:firstLine="420"/>
        <w:rPr>
          <w:rFonts w:ascii="宋体" w:hAnsi="宋体" w:eastAsia="宋体" w:cs="宋体"/>
          <w:sz w:val="24"/>
        </w:rPr>
      </w:pPr>
    </w:p>
    <w:p w14:paraId="6B15B23D">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1、全面性 </w:t>
      </w:r>
    </w:p>
    <w:p w14:paraId="0ED865AF">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1.1、工程概况、施工组织方案 </w:t>
      </w:r>
    </w:p>
    <w:p w14:paraId="47E38C55">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1.2、施工机械设备、劳动力投入计划 </w:t>
      </w:r>
    </w:p>
    <w:p w14:paraId="71B72DA0">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1.3、质量、工期、投资控制方案 </w:t>
      </w:r>
    </w:p>
    <w:p w14:paraId="3FF5E008">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1.4、文明施工措施 </w:t>
      </w:r>
    </w:p>
    <w:p w14:paraId="73EABCAC">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1.5、施工总进度计划（附图） </w:t>
      </w:r>
    </w:p>
    <w:p w14:paraId="13C5AF6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1.6、施工现场平面布置（附图） </w:t>
      </w:r>
    </w:p>
    <w:p w14:paraId="6E1229C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2、可行性 </w:t>
      </w:r>
    </w:p>
    <w:p w14:paraId="146B20B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2.1、施工措施及计划 </w:t>
      </w:r>
    </w:p>
    <w:p w14:paraId="38499CB7">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2.2、施工现场流水段的划分 </w:t>
      </w:r>
    </w:p>
    <w:p w14:paraId="4D97322B">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2.3、施工现场流水作业 </w:t>
      </w:r>
    </w:p>
    <w:p w14:paraId="24553E7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2.4、施工现场交叉作业 </w:t>
      </w:r>
    </w:p>
    <w:p w14:paraId="743681A8">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2.5、施工现场机具配置和布置 </w:t>
      </w:r>
    </w:p>
    <w:p w14:paraId="7EC40C54">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3、针对性 </w:t>
      </w:r>
    </w:p>
    <w:p w14:paraId="26802ACB">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3.1、施工的重点和关键部位处理 </w:t>
      </w:r>
    </w:p>
    <w:p w14:paraId="0A06B84F">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3.2、质保体系 </w:t>
      </w:r>
    </w:p>
    <w:p w14:paraId="4F5F8896">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3.3、安保体系 </w:t>
      </w:r>
    </w:p>
    <w:p w14:paraId="5334BE90">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3.4、创优措施 </w:t>
      </w:r>
    </w:p>
    <w:p w14:paraId="5A8C4047">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3.5、安全措施 </w:t>
      </w:r>
    </w:p>
    <w:p w14:paraId="169CCA37">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3.6、文明施工和防止扰民措施 </w:t>
      </w:r>
    </w:p>
    <w:p w14:paraId="3564B65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4、先进性 </w:t>
      </w:r>
    </w:p>
    <w:p w14:paraId="1BA522A6">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4.1、采用的新工艺、新技术、新设备 </w:t>
      </w:r>
    </w:p>
    <w:p w14:paraId="7889720B">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4.2、在确保工程质量前提下，有降低成本、缩短工期、减轻劳动强度、提 </w:t>
      </w:r>
    </w:p>
    <w:p w14:paraId="1B8E8352">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高进度的方案 </w:t>
      </w:r>
    </w:p>
    <w:p w14:paraId="3E2D3053">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4.3、在执行国家强制性条文前提下体现施工的先进性措施等 </w:t>
      </w:r>
    </w:p>
    <w:p w14:paraId="4DFE3D31">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5、强制性 </w:t>
      </w:r>
    </w:p>
    <w:p w14:paraId="7682088D">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5.1、防治质量通病的措施 </w:t>
      </w:r>
    </w:p>
    <w:p w14:paraId="41E7FC9A">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rPr>
      </w:pPr>
      <w:r>
        <w:rPr>
          <w:rFonts w:hint="eastAsia" w:ascii="宋体" w:hAnsi="宋体" w:eastAsia="宋体" w:cs="宋体"/>
          <w:spacing w:val="-1"/>
          <w:sz w:val="24"/>
          <w:szCs w:val="24"/>
          <w:lang w:val="en-US" w:eastAsia="zh-CN"/>
        </w:rPr>
        <w:t xml:space="preserve">5.2、执行国家强制性条文的保证措施等 </w:t>
      </w:r>
    </w:p>
    <w:p w14:paraId="27AE1DE0">
      <w:pPr>
        <w:pStyle w:val="10"/>
        <w:keepNext w:val="0"/>
        <w:keepLines w:val="0"/>
        <w:pageBreakBefore w:val="0"/>
        <w:widowControl w:val="0"/>
        <w:kinsoku/>
        <w:wordWrap/>
        <w:overflowPunct/>
        <w:topLinePunct w:val="0"/>
        <w:autoSpaceDE/>
        <w:autoSpaceDN/>
        <w:bidi w:val="0"/>
        <w:adjustRightInd/>
        <w:snapToGrid/>
        <w:spacing w:before="62" w:line="360" w:lineRule="auto"/>
        <w:textAlignment w:val="auto"/>
        <w:rPr>
          <w:rFonts w:hint="eastAsia" w:ascii="宋体" w:hAnsi="宋体" w:eastAsia="宋体" w:cs="宋体"/>
          <w:spacing w:val="-1"/>
          <w:sz w:val="24"/>
          <w:szCs w:val="24"/>
          <w:lang w:val="en-US" w:eastAsia="zh-CN"/>
        </w:rPr>
      </w:pPr>
      <w:r>
        <w:rPr>
          <w:rFonts w:hint="eastAsia" w:ascii="宋体" w:hAnsi="宋体" w:eastAsia="宋体" w:cs="宋体"/>
          <w:spacing w:val="-1"/>
          <w:sz w:val="24"/>
          <w:szCs w:val="24"/>
          <w:lang w:val="en-US" w:eastAsia="zh-CN"/>
        </w:rPr>
        <w:t>6、承诺</w:t>
      </w:r>
    </w:p>
    <w:p w14:paraId="47A3BB43">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 xml:space="preserve">6.1、保修承诺和违约经济处罚承诺 </w:t>
      </w:r>
    </w:p>
    <w:p w14:paraId="530A15BC">
      <w:pPr>
        <w:keepNext w:val="0"/>
        <w:keepLines w:val="0"/>
        <w:widowControl/>
        <w:suppressLineNumbers w:val="0"/>
        <w:spacing w:line="360" w:lineRule="auto"/>
        <w:jc w:val="left"/>
        <w:rPr>
          <w:rFonts w:hint="eastAsia" w:ascii="宋体" w:hAnsi="宋体" w:eastAsia="宋体" w:cs="宋体"/>
        </w:rPr>
      </w:pPr>
      <w:r>
        <w:rPr>
          <w:rFonts w:hint="eastAsia" w:ascii="宋体" w:hAnsi="宋体" w:eastAsia="宋体" w:cs="宋体"/>
          <w:color w:val="000000"/>
          <w:kern w:val="0"/>
          <w:sz w:val="24"/>
          <w:szCs w:val="24"/>
          <w:lang w:val="en-US" w:eastAsia="zh-CN" w:bidi="ar"/>
        </w:rPr>
        <w:t>6.2、工程质量争优承诺及保证质量措施承诺等</w:t>
      </w:r>
    </w:p>
    <w:p w14:paraId="49E041CE">
      <w:pPr>
        <w:spacing w:after="120" w:line="480" w:lineRule="auto"/>
        <w:rPr>
          <w:rFonts w:ascii="宋体" w:hAnsi="宋体" w:eastAsia="宋体" w:cs="宋体"/>
          <w:sz w:val="24"/>
        </w:rPr>
      </w:pPr>
    </w:p>
    <w:p w14:paraId="22E7A168">
      <w:pPr>
        <w:rPr>
          <w:rFonts w:ascii="宋体" w:hAnsi="宋体" w:eastAsia="宋体" w:cs="宋体"/>
          <w:sz w:val="28"/>
          <w:szCs w:val="28"/>
        </w:rPr>
      </w:pPr>
    </w:p>
    <w:p w14:paraId="3C3CFE4B">
      <w:pP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br w:type="page"/>
      </w:r>
    </w:p>
    <w:bookmarkEnd w:id="1931"/>
    <w:bookmarkEnd w:id="1932"/>
    <w:bookmarkEnd w:id="1933"/>
    <w:bookmarkEnd w:id="1934"/>
    <w:bookmarkEnd w:id="1935"/>
    <w:bookmarkEnd w:id="1936"/>
    <w:bookmarkEnd w:id="1937"/>
    <w:bookmarkEnd w:id="1938"/>
    <w:bookmarkEnd w:id="1939"/>
    <w:p w14:paraId="49CA3DA3">
      <w:pPr>
        <w:pStyle w:val="12"/>
        <w:tabs>
          <w:tab w:val="left" w:pos="5580"/>
        </w:tabs>
        <w:spacing w:line="240" w:lineRule="atLeast"/>
        <w:jc w:val="center"/>
        <w:outlineLvl w:val="2"/>
        <w:rPr>
          <w:rFonts w:hint="eastAsia" w:ascii="宋体" w:hAnsi="宋体" w:eastAsia="宋体" w:cs="宋体"/>
          <w:b/>
          <w:color w:val="auto"/>
          <w:sz w:val="28"/>
          <w:szCs w:val="28"/>
          <w:highlight w:val="none"/>
          <w:lang w:val="en-US" w:eastAsia="zh-CN"/>
        </w:rPr>
      </w:pPr>
      <w:bookmarkStart w:id="1960" w:name="_Toc6349"/>
      <w:r>
        <w:rPr>
          <w:rFonts w:hint="eastAsia" w:ascii="宋体" w:hAnsi="宋体" w:eastAsia="宋体" w:cs="宋体"/>
          <w:b/>
          <w:color w:val="auto"/>
          <w:sz w:val="28"/>
          <w:szCs w:val="28"/>
          <w:highlight w:val="none"/>
          <w:lang w:val="en-US" w:eastAsia="zh-CN"/>
        </w:rPr>
        <w:t>15、二轮报价表（此表用于磋商现场）</w:t>
      </w:r>
      <w:bookmarkEnd w:id="1960"/>
    </w:p>
    <w:p w14:paraId="2062DC8B">
      <w:pPr>
        <w:spacing w:beforeAutospacing="0" w:afterAutospacing="0" w:line="240" w:lineRule="atLeast"/>
        <w:ind w:left="1080" w:leftChars="257" w:hanging="540"/>
        <w:outlineLvl w:val="9"/>
        <w:rPr>
          <w:rFonts w:hint="eastAsia" w:ascii="宋体" w:hAnsi="宋体" w:eastAsia="宋体" w:cs="宋体"/>
          <w:b/>
          <w:color w:val="auto"/>
          <w:kern w:val="0"/>
          <w:sz w:val="24"/>
          <w:szCs w:val="20"/>
          <w:highlight w:val="none"/>
          <w:lang w:val="en-US" w:eastAsia="zh-CN"/>
        </w:rPr>
      </w:pPr>
    </w:p>
    <w:tbl>
      <w:tblPr>
        <w:tblStyle w:val="28"/>
        <w:tblW w:w="5000"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767"/>
        <w:gridCol w:w="6760"/>
      </w:tblGrid>
      <w:tr w14:paraId="6BEF1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7" w:hRule="exac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4FEDE114">
            <w:pPr>
              <w:keepNext w:val="0"/>
              <w:keepLines w:val="0"/>
              <w:widowControl/>
              <w:suppressLineNumbers w:val="0"/>
              <w:jc w:val="center"/>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b/>
                <w:bCs/>
                <w:i w:val="0"/>
                <w:iCs w:val="0"/>
                <w:color w:val="auto"/>
                <w:kern w:val="0"/>
                <w:sz w:val="32"/>
                <w:szCs w:val="32"/>
                <w:highlight w:val="none"/>
                <w:u w:val="none"/>
                <w:lang w:val="en-US" w:eastAsia="zh-CN" w:bidi="ar"/>
              </w:rPr>
              <w:t>第二轮报价</w:t>
            </w:r>
          </w:p>
        </w:tc>
      </w:tr>
      <w:tr w14:paraId="50487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04" w:hRule="exac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7F5318AC">
            <w:pPr>
              <w:keepNext w:val="0"/>
              <w:keepLines w:val="0"/>
              <w:widowControl/>
              <w:suppressLineNumbers w:val="0"/>
              <w:jc w:val="left"/>
              <w:textAlignment w:val="center"/>
              <w:rPr>
                <w:rFonts w:hint="eastAsia" w:ascii="宋体" w:hAnsi="宋体" w:eastAsia="宋体" w:cs="宋体"/>
                <w:b/>
                <w:bCs/>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供应商名称（盖章）：</w:t>
            </w:r>
          </w:p>
        </w:tc>
      </w:tr>
      <w:tr w14:paraId="38BAA4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52" w:hRule="exact"/>
          <w:jc w:val="center"/>
        </w:trPr>
        <w:tc>
          <w:tcPr>
            <w:tcW w:w="1036" w:type="pct"/>
            <w:tcBorders>
              <w:top w:val="single" w:color="000000" w:sz="4" w:space="0"/>
              <w:left w:val="single" w:color="000000" w:sz="4" w:space="0"/>
              <w:right w:val="single" w:color="000000" w:sz="4" w:space="0"/>
            </w:tcBorders>
            <w:noWrap w:val="0"/>
            <w:vAlign w:val="center"/>
          </w:tcPr>
          <w:p w14:paraId="3158AB8C">
            <w:pPr>
              <w:keepNext w:val="0"/>
              <w:keepLines w:val="0"/>
              <w:widowControl/>
              <w:suppressLineNumbers w:val="0"/>
              <w:jc w:val="center"/>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最终报价</w:t>
            </w:r>
          </w:p>
        </w:tc>
        <w:tc>
          <w:tcPr>
            <w:tcW w:w="3963" w:type="pct"/>
            <w:tcBorders>
              <w:top w:val="single" w:color="000000" w:sz="4" w:space="0"/>
              <w:left w:val="single" w:color="000000" w:sz="4" w:space="0"/>
              <w:bottom w:val="single" w:color="000000" w:sz="4" w:space="0"/>
              <w:right w:val="single" w:color="000000" w:sz="4" w:space="0"/>
            </w:tcBorders>
            <w:noWrap w:val="0"/>
            <w:vAlign w:val="center"/>
          </w:tcPr>
          <w:p w14:paraId="7316CC4A">
            <w:pPr>
              <w:tabs>
                <w:tab w:val="left" w:pos="5580"/>
              </w:tabs>
              <w:spacing w:line="400" w:lineRule="exact"/>
              <w:jc w:val="both"/>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小写：</w:t>
            </w:r>
            <w:r>
              <w:rPr>
                <w:rFonts w:hint="eastAsia" w:ascii="宋体" w:hAnsi="宋体" w:eastAsia="宋体" w:cs="宋体"/>
                <w:i w:val="0"/>
                <w:iCs w:val="0"/>
                <w:color w:val="auto"/>
                <w:kern w:val="0"/>
                <w:sz w:val="24"/>
                <w:szCs w:val="24"/>
                <w:highlight w:val="none"/>
                <w:u w:val="single"/>
                <w:lang w:val="en-US" w:eastAsia="zh-CN" w:bidi="ar"/>
              </w:rPr>
              <w:t>¥         元</w:t>
            </w:r>
          </w:p>
          <w:p w14:paraId="22EB2B82">
            <w:pPr>
              <w:tabs>
                <w:tab w:val="left" w:pos="5580"/>
              </w:tabs>
              <w:spacing w:line="400" w:lineRule="exact"/>
              <w:jc w:val="both"/>
              <w:rPr>
                <w:rFonts w:hint="default"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大写：</w:t>
            </w:r>
            <w:r>
              <w:rPr>
                <w:rFonts w:hint="eastAsia" w:ascii="宋体" w:hAnsi="宋体" w:eastAsia="宋体" w:cs="宋体"/>
                <w:i w:val="0"/>
                <w:iCs w:val="0"/>
                <w:color w:val="auto"/>
                <w:kern w:val="0"/>
                <w:sz w:val="24"/>
                <w:szCs w:val="24"/>
                <w:highlight w:val="none"/>
                <w:u w:val="single"/>
                <w:lang w:val="en-US" w:eastAsia="zh-CN" w:bidi="ar"/>
              </w:rPr>
              <w:t xml:space="preserve">人民币                </w:t>
            </w:r>
          </w:p>
        </w:tc>
      </w:tr>
      <w:tr w14:paraId="2A114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00" w:hRule="exac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0CB1359E">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承诺：</w:t>
            </w:r>
          </w:p>
        </w:tc>
      </w:tr>
      <w:tr w14:paraId="51393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36" w:hRule="exact"/>
          <w:jc w:val="center"/>
        </w:trPr>
        <w:tc>
          <w:tcPr>
            <w:tcW w:w="5000" w:type="pct"/>
            <w:gridSpan w:val="2"/>
            <w:tcBorders>
              <w:top w:val="single" w:color="000000" w:sz="4" w:space="0"/>
              <w:left w:val="single" w:color="000000" w:sz="4" w:space="0"/>
              <w:bottom w:val="single" w:color="000000" w:sz="4" w:space="0"/>
              <w:right w:val="single" w:color="000000" w:sz="4" w:space="0"/>
            </w:tcBorders>
            <w:noWrap w:val="0"/>
            <w:vAlign w:val="center"/>
          </w:tcPr>
          <w:p w14:paraId="533590D6">
            <w:pPr>
              <w:keepNext w:val="0"/>
              <w:keepLines w:val="0"/>
              <w:widowControl/>
              <w:suppressLineNumbers w:val="0"/>
              <w:jc w:val="both"/>
              <w:textAlignment w:val="center"/>
              <w:rPr>
                <w:rFonts w:hint="eastAsia" w:ascii="宋体" w:hAnsi="宋体" w:eastAsia="宋体" w:cs="宋体"/>
                <w:i w:val="0"/>
                <w:iCs w:val="0"/>
                <w:color w:val="auto"/>
                <w:kern w:val="0"/>
                <w:sz w:val="24"/>
                <w:szCs w:val="24"/>
                <w:highlight w:val="none"/>
                <w:u w:val="none"/>
                <w:lang w:val="en-US" w:eastAsia="zh-CN" w:bidi="ar"/>
              </w:rPr>
            </w:pPr>
            <w:r>
              <w:rPr>
                <w:rFonts w:hint="eastAsia" w:ascii="宋体" w:hAnsi="宋体" w:eastAsia="宋体" w:cs="宋体"/>
                <w:i w:val="0"/>
                <w:iCs w:val="0"/>
                <w:color w:val="auto"/>
                <w:kern w:val="0"/>
                <w:sz w:val="24"/>
                <w:szCs w:val="24"/>
                <w:highlight w:val="none"/>
                <w:u w:val="none"/>
                <w:lang w:val="en-US" w:eastAsia="zh-CN" w:bidi="ar"/>
              </w:rPr>
              <w:t>承诺人：                                           年   月   日</w:t>
            </w:r>
          </w:p>
        </w:tc>
      </w:tr>
    </w:tbl>
    <w:p w14:paraId="123FDDF6">
      <w:pPr>
        <w:pStyle w:val="8"/>
        <w:rPr>
          <w:rFonts w:hint="eastAsia" w:ascii="宋体" w:hAnsi="宋体" w:eastAsia="宋体" w:cs="宋体"/>
          <w:highlight w:val="none"/>
          <w:lang w:val="en-US" w:eastAsia="zh-CN"/>
        </w:rPr>
      </w:pPr>
    </w:p>
    <w:p w14:paraId="1F7A906B">
      <w:pPr>
        <w:spacing w:beforeAutospacing="0" w:afterAutospacing="0" w:line="240" w:lineRule="atLeast"/>
        <w:jc w:val="both"/>
        <w:rPr>
          <w:rFonts w:hint="eastAsia" w:ascii="宋体" w:hAnsi="宋体" w:eastAsia="宋体" w:cs="宋体"/>
          <w:b/>
          <w:color w:val="auto"/>
          <w:sz w:val="24"/>
          <w:szCs w:val="24"/>
          <w:highlight w:val="none"/>
          <w:lang w:val="en-US" w:eastAsia="zh-CN"/>
        </w:rPr>
      </w:pPr>
    </w:p>
    <w:p w14:paraId="1992F910">
      <w:pPr>
        <w:numPr>
          <w:ilvl w:val="0"/>
          <w:numId w:val="0"/>
        </w:numPr>
        <w:spacing w:beforeAutospacing="0" w:afterAutospacing="0" w:line="240" w:lineRule="atLeast"/>
        <w:ind w:firstLine="420" w:firstLineChars="0"/>
        <w:jc w:val="both"/>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注：二轮报价也是最终报价，此表只用于磋商现场，请各供应商根据以上内容提前考虑，在二轮报价时现场进行填写并上传至政采云平台。</w:t>
      </w:r>
    </w:p>
    <w:p w14:paraId="70F673AD">
      <w:pPr>
        <w:spacing w:line="240" w:lineRule="atLeast"/>
        <w:jc w:val="center"/>
        <w:rPr>
          <w:rFonts w:hint="eastAsia" w:ascii="宋体" w:hAnsi="宋体" w:cs="宋体"/>
          <w:b/>
          <w:sz w:val="44"/>
          <w:szCs w:val="44"/>
        </w:rPr>
      </w:pPr>
    </w:p>
    <w:p w14:paraId="55E01667">
      <w:bookmarkStart w:id="1961" w:name="_Toc16370"/>
      <w:bookmarkEnd w:id="1961"/>
      <w:bookmarkStart w:id="1962" w:name="_Toc507399902"/>
      <w:bookmarkEnd w:id="1962"/>
      <w:bookmarkStart w:id="1963" w:name="_Toc515647829"/>
      <w:bookmarkEnd w:id="1963"/>
      <w:bookmarkStart w:id="1964" w:name="_Toc218935350"/>
      <w:bookmarkEnd w:id="1964"/>
      <w:bookmarkStart w:id="1965" w:name="_Toc29715"/>
      <w:bookmarkEnd w:id="1965"/>
      <w:bookmarkStart w:id="1966" w:name="_Toc219175634"/>
      <w:bookmarkEnd w:id="1966"/>
      <w:bookmarkStart w:id="1967" w:name="_Toc216582822"/>
      <w:bookmarkEnd w:id="1967"/>
      <w:bookmarkStart w:id="1968" w:name="_Toc28765"/>
      <w:bookmarkEnd w:id="1968"/>
    </w:p>
    <w:sectPr>
      <w:footerReference r:id="rId7" w:type="default"/>
      <w:pgSz w:w="11905" w:h="16838"/>
      <w:pgMar w:top="1440" w:right="1797" w:bottom="1440" w:left="1797" w:header="851" w:footer="992" w:gutter="0"/>
      <w:pgBorders>
        <w:top w:val="none" w:sz="0" w:space="0"/>
        <w:left w:val="none" w:sz="0" w:space="0"/>
        <w:bottom w:val="none" w:sz="0" w:space="0"/>
        <w:right w:val="none" w:sz="0" w:space="0"/>
      </w:pgBorders>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ahoma">
    <w:panose1 w:val="020B0604030504040204"/>
    <w:charset w:val="00"/>
    <w:family w:val="swiss"/>
    <w:pitch w:val="default"/>
    <w:sig w:usb0="E1002EFF" w:usb1="C000605B" w:usb2="00000029" w:usb3="00000000" w:csb0="200101FF" w:csb1="2028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 w:name="Arial Unicode MS">
    <w:altName w:val="宋体"/>
    <w:panose1 w:val="020B0604020202020204"/>
    <w:charset w:val="86"/>
    <w:family w:val="auto"/>
    <w:pitch w:val="default"/>
    <w:sig w:usb0="00000000" w:usb1="00000000" w:usb2="0000003F" w:usb3="00000000" w:csb0="603F01FF" w:csb1="FFFF0000"/>
  </w:font>
  <w:font w:name="MicrosoftYaHei">
    <w:altName w:val="宋体"/>
    <w:panose1 w:val="020B0503020204020204"/>
    <w:charset w:val="86"/>
    <w:family w:val="auto"/>
    <w:pitch w:val="default"/>
    <w:sig w:usb0="00000000" w:usb1="0000000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83B3F0">
    <w:pPr>
      <w:pStyle w:val="15"/>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A1EF5F1">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7A1EF5F1">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D8B135">
    <w:pPr>
      <w:widowControl w:val="0"/>
      <w:autoSpaceDE w:val="0"/>
      <w:autoSpaceDN w:val="0"/>
      <w:adjustRightInd w:val="0"/>
      <w:snapToGrid w:val="0"/>
      <w:jc w:val="left"/>
      <w:rPr>
        <w:rFonts w:ascii="宋体" w:hAnsi="Times New Roman" w:eastAsia="宋体" w:cs="Times New Roman"/>
        <w:kern w:val="0"/>
        <w:sz w:val="18"/>
        <w:szCs w:val="20"/>
        <w:lang w:val="en-US" w:eastAsia="zh-CN" w:bidi="ar-SA"/>
      </w:rPr>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4A4ADB">
                          <w:pPr>
                            <w:pStyle w:val="15"/>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5WZn4y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lZmfjICAABjBAAADgAAAAAAAAABACAAAAAfAQAAZHJzL2Uyb0RvYy54bWxQSwUG&#10;AAAAAAYABgBZAQAAwwUAAAAA&#10;">
              <v:fill on="f" focussize="0,0"/>
              <v:stroke on="f" weight="0.5pt"/>
              <v:imagedata o:title=""/>
              <o:lock v:ext="edit" aspectratio="f"/>
              <v:textbox inset="0mm,0mm,0mm,0mm" style="mso-fit-shape-to-text:t;">
                <w:txbxContent>
                  <w:p w14:paraId="594A4ADB">
                    <w:pPr>
                      <w:pStyle w:val="15"/>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9B7427">
    <w:pPr>
      <w:pStyle w:val="15"/>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F91864D">
                          <w:pPr>
                            <w:pStyle w:val="15"/>
                          </w:pPr>
                          <w:r>
                            <w:t xml:space="preserve">— </w:t>
                          </w:r>
                          <w:r>
                            <w:fldChar w:fldCharType="begin"/>
                          </w:r>
                          <w:r>
                            <w:instrText xml:space="preserve"> PAGE  \* MERGEFORMAT </w:instrText>
                          </w:r>
                          <w:r>
                            <w:fldChar w:fldCharType="separate"/>
                          </w:r>
                          <w:r>
                            <w:t>62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F91864D">
                    <w:pPr>
                      <w:pStyle w:val="15"/>
                    </w:pPr>
                    <w:r>
                      <w:t xml:space="preserve">— </w:t>
                    </w:r>
                    <w:r>
                      <w:fldChar w:fldCharType="begin"/>
                    </w:r>
                    <w:r>
                      <w:instrText xml:space="preserve"> PAGE  \* MERGEFORMAT </w:instrText>
                    </w:r>
                    <w:r>
                      <w:fldChar w:fldCharType="separate"/>
                    </w:r>
                    <w:r>
                      <w:t>62</w:t>
                    </w:r>
                    <w:r>
                      <w:fldChar w:fldCharType="end"/>
                    </w:r>
                    <w: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2029C9">
    <w:pPr>
      <w:pBdr>
        <w:bottom w:val="double" w:color="000000" w:sz="8" w:space="0"/>
      </w:pBdr>
      <w:snapToGrid w:val="0"/>
      <w:jc w:val="left"/>
      <w:rPr>
        <w:sz w:val="18"/>
        <w:szCs w:val="18"/>
      </w:rPr>
    </w:pPr>
  </w:p>
  <w:p w14:paraId="28AFBFDE">
    <w:pPr>
      <w:pBdr>
        <w:bottom w:val="double" w:color="000000" w:sz="8" w:space="0"/>
      </w:pBdr>
      <w:snapToGrid w:val="0"/>
      <w:jc w:val="left"/>
      <w:rPr>
        <w:sz w:val="18"/>
        <w:szCs w:val="18"/>
      </w:rPr>
    </w:pPr>
  </w:p>
  <w:p w14:paraId="07AFE275">
    <w:pPr>
      <w:pBdr>
        <w:bottom w:val="double" w:color="000000" w:sz="8" w:space="0"/>
      </w:pBdr>
      <w:snapToGrid w:val="0"/>
      <w:jc w:val="left"/>
      <w:rPr>
        <w:sz w:val="18"/>
        <w:szCs w:val="18"/>
      </w:rPr>
    </w:pPr>
  </w:p>
  <w:p w14:paraId="5DF75C35">
    <w:pPr>
      <w:pBdr>
        <w:bottom w:val="double" w:color="000000" w:sz="8" w:space="0"/>
      </w:pBdr>
      <w:snapToGrid w:val="0"/>
      <w:jc w:val="left"/>
      <w:rPr>
        <w:sz w:val="18"/>
        <w:szCs w:val="18"/>
      </w:rPr>
    </w:pPr>
  </w:p>
  <w:p w14:paraId="3EBAE537">
    <w:pPr>
      <w:pBdr>
        <w:bottom w:val="double" w:color="000000" w:sz="8" w:space="0"/>
      </w:pBdr>
      <w:snapToGrid w:val="0"/>
      <w:jc w:val="left"/>
      <w:rPr>
        <w:sz w:val="18"/>
        <w:szCs w:val="18"/>
      </w:rPr>
    </w:pPr>
    <w:r>
      <w:rPr>
        <w:rFonts w:ascii="Calibri" w:hAnsi="Calibri"/>
        <w:sz w:val="18"/>
      </w:rPr>
      <w:drawing>
        <wp:anchor distT="0" distB="0" distL="114300" distR="114300" simplePos="0" relativeHeight="251661312" behindDoc="0" locked="0" layoutInCell="1" allowOverlap="1">
          <wp:simplePos x="0" y="0"/>
          <wp:positionH relativeFrom="column">
            <wp:posOffset>0</wp:posOffset>
          </wp:positionH>
          <wp:positionV relativeFrom="paragraph">
            <wp:posOffset>-325755</wp:posOffset>
          </wp:positionV>
          <wp:extent cx="2962275" cy="441960"/>
          <wp:effectExtent l="0" t="0" r="0" b="5715"/>
          <wp:wrapTopAndBottom/>
          <wp:docPr id="1998180315"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98180315" name="图片 3"/>
                  <pic:cNvPicPr>
                    <a:picLocks noChangeAspect="1"/>
                  </pic:cNvPicPr>
                </pic:nvPicPr>
                <pic:blipFill>
                  <a:blip r:embed="rId1"/>
                  <a:stretch>
                    <a:fillRect/>
                  </a:stretch>
                </pic:blipFill>
                <pic:spPr>
                  <a:xfrm>
                    <a:off x="0" y="0"/>
                    <a:ext cx="2962275" cy="441960"/>
                  </a:xfrm>
                  <a:prstGeom prst="rect">
                    <a:avLst/>
                  </a:prstGeom>
                  <a:noFill/>
                  <a:ln>
                    <a:noFill/>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CB96F">
    <w:pPr>
      <w:pStyle w:val="17"/>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21A01A"/>
    <w:multiLevelType w:val="multilevel"/>
    <w:tmpl w:val="A521A01A"/>
    <w:lvl w:ilvl="0" w:tentative="0">
      <w:start w:val="1"/>
      <w:numFmt w:val="decimal"/>
      <w:lvlText w:val="（%1）"/>
      <w:lvlJc w:val="left"/>
      <w:pPr>
        <w:ind w:left="507" w:hanging="500"/>
      </w:pPr>
      <w:rPr>
        <w:rFonts w:hint="default" w:ascii="宋体" w:hAnsi="宋体" w:eastAsia="宋体" w:cs="宋体"/>
        <w:w w:val="99"/>
        <w:sz w:val="18"/>
        <w:szCs w:val="18"/>
        <w:lang w:val="zh-CN" w:eastAsia="zh-CN" w:bidi="zh-CN"/>
      </w:rPr>
    </w:lvl>
    <w:lvl w:ilvl="1" w:tentative="0">
      <w:start w:val="0"/>
      <w:numFmt w:val="bullet"/>
      <w:lvlText w:val="•"/>
      <w:lvlJc w:val="left"/>
      <w:pPr>
        <w:ind w:left="1151" w:hanging="500"/>
      </w:pPr>
      <w:rPr>
        <w:rFonts w:hint="default"/>
        <w:lang w:val="zh-CN" w:eastAsia="zh-CN" w:bidi="zh-CN"/>
      </w:rPr>
    </w:lvl>
    <w:lvl w:ilvl="2" w:tentative="0">
      <w:start w:val="0"/>
      <w:numFmt w:val="bullet"/>
      <w:lvlText w:val="•"/>
      <w:lvlJc w:val="left"/>
      <w:pPr>
        <w:ind w:left="1802" w:hanging="500"/>
      </w:pPr>
      <w:rPr>
        <w:rFonts w:hint="default"/>
        <w:lang w:val="zh-CN" w:eastAsia="zh-CN" w:bidi="zh-CN"/>
      </w:rPr>
    </w:lvl>
    <w:lvl w:ilvl="3" w:tentative="0">
      <w:start w:val="0"/>
      <w:numFmt w:val="bullet"/>
      <w:lvlText w:val="•"/>
      <w:lvlJc w:val="left"/>
      <w:pPr>
        <w:ind w:left="2453" w:hanging="500"/>
      </w:pPr>
      <w:rPr>
        <w:rFonts w:hint="default"/>
        <w:lang w:val="zh-CN" w:eastAsia="zh-CN" w:bidi="zh-CN"/>
      </w:rPr>
    </w:lvl>
    <w:lvl w:ilvl="4" w:tentative="0">
      <w:start w:val="0"/>
      <w:numFmt w:val="bullet"/>
      <w:lvlText w:val="•"/>
      <w:lvlJc w:val="left"/>
      <w:pPr>
        <w:ind w:left="3104" w:hanging="500"/>
      </w:pPr>
      <w:rPr>
        <w:rFonts w:hint="default"/>
        <w:lang w:val="zh-CN" w:eastAsia="zh-CN" w:bidi="zh-CN"/>
      </w:rPr>
    </w:lvl>
    <w:lvl w:ilvl="5" w:tentative="0">
      <w:start w:val="0"/>
      <w:numFmt w:val="bullet"/>
      <w:lvlText w:val="•"/>
      <w:lvlJc w:val="left"/>
      <w:pPr>
        <w:ind w:left="3755" w:hanging="500"/>
      </w:pPr>
      <w:rPr>
        <w:rFonts w:hint="default"/>
        <w:lang w:val="zh-CN" w:eastAsia="zh-CN" w:bidi="zh-CN"/>
      </w:rPr>
    </w:lvl>
    <w:lvl w:ilvl="6" w:tentative="0">
      <w:start w:val="0"/>
      <w:numFmt w:val="bullet"/>
      <w:lvlText w:val="•"/>
      <w:lvlJc w:val="left"/>
      <w:pPr>
        <w:ind w:left="4406" w:hanging="500"/>
      </w:pPr>
      <w:rPr>
        <w:rFonts w:hint="default"/>
        <w:lang w:val="zh-CN" w:eastAsia="zh-CN" w:bidi="zh-CN"/>
      </w:rPr>
    </w:lvl>
    <w:lvl w:ilvl="7" w:tentative="0">
      <w:start w:val="0"/>
      <w:numFmt w:val="bullet"/>
      <w:lvlText w:val="•"/>
      <w:lvlJc w:val="left"/>
      <w:pPr>
        <w:ind w:left="5057" w:hanging="500"/>
      </w:pPr>
      <w:rPr>
        <w:rFonts w:hint="default"/>
        <w:lang w:val="zh-CN" w:eastAsia="zh-CN" w:bidi="zh-CN"/>
      </w:rPr>
    </w:lvl>
    <w:lvl w:ilvl="8" w:tentative="0">
      <w:start w:val="0"/>
      <w:numFmt w:val="bullet"/>
      <w:lvlText w:val="•"/>
      <w:lvlJc w:val="left"/>
      <w:pPr>
        <w:ind w:left="5708" w:hanging="500"/>
      </w:pPr>
      <w:rPr>
        <w:rFonts w:hint="default"/>
        <w:lang w:val="zh-CN" w:eastAsia="zh-CN" w:bidi="zh-CN"/>
      </w:rPr>
    </w:lvl>
  </w:abstractNum>
  <w:abstractNum w:abstractNumId="1">
    <w:nsid w:val="00000006"/>
    <w:multiLevelType w:val="multilevel"/>
    <w:tmpl w:val="00000006"/>
    <w:lvl w:ilvl="0" w:tentative="0">
      <w:start w:val="1"/>
      <w:numFmt w:val="upperLetter"/>
      <w:lvlText w:val="%1."/>
      <w:lvlJc w:val="left"/>
      <w:pPr>
        <w:widowControl/>
        <w:tabs>
          <w:tab w:val="left" w:pos="752"/>
        </w:tabs>
        <w:ind w:left="752" w:hanging="468"/>
        <w:textAlignment w:val="baseline"/>
      </w:pPr>
    </w:lvl>
    <w:lvl w:ilvl="1" w:tentative="0">
      <w:start w:val="1"/>
      <w:numFmt w:val="decimal"/>
      <w:lvlText w:val="%1."/>
      <w:lvlJc w:val="left"/>
      <w:pPr>
        <w:widowControl/>
        <w:tabs>
          <w:tab w:val="left" w:pos="1724"/>
        </w:tabs>
        <w:ind w:left="1724" w:hanging="360"/>
        <w:textAlignment w:val="baseline"/>
      </w:pPr>
    </w:lvl>
    <w:lvl w:ilvl="2" w:tentative="0">
      <w:start w:val="1"/>
      <w:numFmt w:val="decimal"/>
      <w:lvlText w:val="%1."/>
      <w:lvlJc w:val="left"/>
      <w:pPr>
        <w:widowControl/>
        <w:tabs>
          <w:tab w:val="left" w:pos="644"/>
        </w:tabs>
        <w:ind w:left="644" w:hanging="360"/>
        <w:textAlignment w:val="baseline"/>
      </w:pPr>
    </w:lvl>
    <w:lvl w:ilvl="3" w:tentative="0">
      <w:start w:val="1"/>
      <w:numFmt w:val="decimal"/>
      <w:lvlText w:val="%1."/>
      <w:lvlJc w:val="left"/>
      <w:pPr>
        <w:widowControl/>
        <w:tabs>
          <w:tab w:val="left" w:pos="3164"/>
        </w:tabs>
        <w:ind w:left="3164" w:hanging="360"/>
        <w:textAlignment w:val="baseline"/>
      </w:pPr>
    </w:lvl>
    <w:lvl w:ilvl="4" w:tentative="0">
      <w:start w:val="1"/>
      <w:numFmt w:val="decimal"/>
      <w:lvlText w:val="%1."/>
      <w:lvlJc w:val="left"/>
      <w:pPr>
        <w:widowControl/>
        <w:tabs>
          <w:tab w:val="left" w:pos="3884"/>
        </w:tabs>
        <w:ind w:left="3884" w:hanging="360"/>
        <w:textAlignment w:val="baseline"/>
      </w:pPr>
    </w:lvl>
    <w:lvl w:ilvl="5" w:tentative="0">
      <w:start w:val="1"/>
      <w:numFmt w:val="decimal"/>
      <w:lvlText w:val="%1."/>
      <w:lvlJc w:val="left"/>
      <w:pPr>
        <w:widowControl/>
        <w:tabs>
          <w:tab w:val="left" w:pos="4604"/>
        </w:tabs>
        <w:ind w:left="4604" w:hanging="360"/>
        <w:textAlignment w:val="baseline"/>
      </w:pPr>
    </w:lvl>
    <w:lvl w:ilvl="6" w:tentative="0">
      <w:start w:val="1"/>
      <w:numFmt w:val="decimal"/>
      <w:lvlText w:val="%1."/>
      <w:lvlJc w:val="left"/>
      <w:pPr>
        <w:widowControl/>
        <w:tabs>
          <w:tab w:val="left" w:pos="5324"/>
        </w:tabs>
        <w:ind w:left="5324" w:hanging="360"/>
        <w:textAlignment w:val="baseline"/>
      </w:pPr>
    </w:lvl>
    <w:lvl w:ilvl="7" w:tentative="0">
      <w:start w:val="1"/>
      <w:numFmt w:val="decimal"/>
      <w:lvlText w:val="%1."/>
      <w:lvlJc w:val="left"/>
      <w:pPr>
        <w:widowControl/>
        <w:tabs>
          <w:tab w:val="left" w:pos="6044"/>
        </w:tabs>
        <w:ind w:left="6044" w:hanging="360"/>
        <w:textAlignment w:val="baseline"/>
      </w:pPr>
    </w:lvl>
    <w:lvl w:ilvl="8" w:tentative="0">
      <w:start w:val="1"/>
      <w:numFmt w:val="decimal"/>
      <w:lvlText w:val="%1."/>
      <w:lvlJc w:val="left"/>
      <w:pPr>
        <w:widowControl/>
        <w:tabs>
          <w:tab w:val="left" w:pos="6764"/>
        </w:tabs>
        <w:ind w:left="6764" w:hanging="360"/>
        <w:textAlignment w:val="baseline"/>
      </w:pPr>
    </w:lvl>
  </w:abstractNum>
  <w:abstractNum w:abstractNumId="2">
    <w:nsid w:val="132077C2"/>
    <w:multiLevelType w:val="multilevel"/>
    <w:tmpl w:val="132077C2"/>
    <w:lvl w:ilvl="0" w:tentative="0">
      <w:start w:val="12"/>
      <w:numFmt w:val="decimal"/>
      <w:lvlText w:val="%1"/>
      <w:lvlJc w:val="left"/>
      <w:pPr>
        <w:ind w:left="630" w:hanging="630"/>
      </w:pPr>
      <w:rPr>
        <w:rFonts w:hint="default"/>
      </w:rPr>
    </w:lvl>
    <w:lvl w:ilvl="1" w:tentative="0">
      <w:start w:val="4"/>
      <w:numFmt w:val="decimal"/>
      <w:lvlText w:val="%1.%2"/>
      <w:lvlJc w:val="left"/>
      <w:pPr>
        <w:ind w:left="840" w:hanging="630"/>
      </w:pPr>
      <w:rPr>
        <w:rFonts w:hint="default"/>
      </w:rPr>
    </w:lvl>
    <w:lvl w:ilvl="2" w:tentative="0">
      <w:start w:val="6"/>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3">
    <w:nsid w:val="21520056"/>
    <w:multiLevelType w:val="multilevel"/>
    <w:tmpl w:val="21520056"/>
    <w:lvl w:ilvl="0" w:tentative="0">
      <w:start w:val="16"/>
      <w:numFmt w:val="decimal"/>
      <w:lvlText w:val="%1"/>
      <w:lvlJc w:val="left"/>
      <w:pPr>
        <w:ind w:left="630" w:hanging="630"/>
      </w:pPr>
      <w:rPr>
        <w:rFonts w:hint="default"/>
      </w:rPr>
    </w:lvl>
    <w:lvl w:ilvl="1" w:tentative="0">
      <w:start w:val="1"/>
      <w:numFmt w:val="decimal"/>
      <w:lvlText w:val="%1.%2"/>
      <w:lvlJc w:val="left"/>
      <w:pPr>
        <w:ind w:left="840" w:hanging="630"/>
      </w:pPr>
      <w:rPr>
        <w:rFonts w:hint="default"/>
      </w:rPr>
    </w:lvl>
    <w:lvl w:ilvl="2" w:tentative="0">
      <w:start w:val="2"/>
      <w:numFmt w:val="decimal"/>
      <w:lvlText w:val="%1.%2.%3"/>
      <w:lvlJc w:val="left"/>
      <w:pPr>
        <w:ind w:left="1140" w:hanging="720"/>
      </w:pPr>
      <w:rPr>
        <w:rFonts w:hint="default"/>
      </w:rPr>
    </w:lvl>
    <w:lvl w:ilvl="3" w:tentative="0">
      <w:start w:val="1"/>
      <w:numFmt w:val="decimal"/>
      <w:lvlText w:val="%1.%2.%3.%4"/>
      <w:lvlJc w:val="left"/>
      <w:pPr>
        <w:ind w:left="1710" w:hanging="1080"/>
      </w:pPr>
      <w:rPr>
        <w:rFonts w:hint="default"/>
      </w:rPr>
    </w:lvl>
    <w:lvl w:ilvl="4" w:tentative="0">
      <w:start w:val="1"/>
      <w:numFmt w:val="decimal"/>
      <w:lvlText w:val="%1.%2.%3.%4.%5"/>
      <w:lvlJc w:val="left"/>
      <w:pPr>
        <w:ind w:left="1920" w:hanging="1080"/>
      </w:pPr>
      <w:rPr>
        <w:rFonts w:hint="default"/>
      </w:rPr>
    </w:lvl>
    <w:lvl w:ilvl="5" w:tentative="0">
      <w:start w:val="1"/>
      <w:numFmt w:val="decimal"/>
      <w:lvlText w:val="%1.%2.%3.%4.%5.%6"/>
      <w:lvlJc w:val="left"/>
      <w:pPr>
        <w:ind w:left="2490" w:hanging="1440"/>
      </w:pPr>
      <w:rPr>
        <w:rFonts w:hint="default"/>
      </w:rPr>
    </w:lvl>
    <w:lvl w:ilvl="6" w:tentative="0">
      <w:start w:val="1"/>
      <w:numFmt w:val="decimal"/>
      <w:lvlText w:val="%1.%2.%3.%4.%5.%6.%7"/>
      <w:lvlJc w:val="left"/>
      <w:pPr>
        <w:ind w:left="2700" w:hanging="1440"/>
      </w:pPr>
      <w:rPr>
        <w:rFonts w:hint="default"/>
      </w:rPr>
    </w:lvl>
    <w:lvl w:ilvl="7" w:tentative="0">
      <w:start w:val="1"/>
      <w:numFmt w:val="decimal"/>
      <w:lvlText w:val="%1.%2.%3.%4.%5.%6.%7.%8"/>
      <w:lvlJc w:val="left"/>
      <w:pPr>
        <w:ind w:left="3270" w:hanging="1800"/>
      </w:pPr>
      <w:rPr>
        <w:rFonts w:hint="default"/>
      </w:rPr>
    </w:lvl>
    <w:lvl w:ilvl="8" w:tentative="0">
      <w:start w:val="1"/>
      <w:numFmt w:val="decimal"/>
      <w:lvlText w:val="%1.%2.%3.%4.%5.%6.%7.%8.%9"/>
      <w:lvlJc w:val="left"/>
      <w:pPr>
        <w:ind w:left="3480" w:hanging="1800"/>
      </w:pPr>
      <w:rPr>
        <w:rFonts w:hint="default"/>
      </w:rPr>
    </w:lvl>
  </w:abstractNum>
  <w:abstractNum w:abstractNumId="4">
    <w:nsid w:val="36E1116A"/>
    <w:multiLevelType w:val="multilevel"/>
    <w:tmpl w:val="36E1116A"/>
    <w:lvl w:ilvl="0" w:tentative="0">
      <w:start w:val="1"/>
      <w:numFmt w:val="decimal"/>
      <w:pStyle w:val="51"/>
      <w:lvlText w:val="%1"/>
      <w:lvlJc w:val="left"/>
      <w:pPr>
        <w:ind w:left="432" w:hanging="432"/>
        <w:textAlignment w:val="baseline"/>
      </w:pPr>
    </w:lvl>
    <w:lvl w:ilvl="1" w:tentative="0">
      <w:start w:val="1"/>
      <w:numFmt w:val="decimal"/>
      <w:pStyle w:val="53"/>
      <w:lvlText w:val="%1.%2"/>
      <w:lvlJc w:val="left"/>
      <w:pPr>
        <w:ind w:left="1710" w:hanging="576"/>
        <w:textAlignment w:val="baseline"/>
      </w:pPr>
    </w:lvl>
    <w:lvl w:ilvl="2" w:tentative="0">
      <w:start w:val="1"/>
      <w:numFmt w:val="decimal"/>
      <w:lvlText w:val="%1.%2.%3"/>
      <w:lvlJc w:val="left"/>
      <w:pPr>
        <w:ind w:left="720" w:hanging="720"/>
        <w:textAlignment w:val="baseline"/>
      </w:pPr>
    </w:lvl>
    <w:lvl w:ilvl="3" w:tentative="0">
      <w:start w:val="1"/>
      <w:numFmt w:val="decimal"/>
      <w:lvlText w:val="%1.%2.%3.%4"/>
      <w:lvlJc w:val="left"/>
      <w:pPr>
        <w:ind w:left="864" w:hanging="864"/>
        <w:textAlignment w:val="baseline"/>
      </w:pPr>
    </w:lvl>
    <w:lvl w:ilvl="4" w:tentative="0">
      <w:start w:val="1"/>
      <w:numFmt w:val="decimal"/>
      <w:lvlText w:val="%1.%2.%3.%4.%5"/>
      <w:lvlJc w:val="left"/>
      <w:pPr>
        <w:ind w:left="1008" w:hanging="1008"/>
        <w:textAlignment w:val="baseline"/>
      </w:pPr>
    </w:lvl>
    <w:lvl w:ilvl="5" w:tentative="0">
      <w:start w:val="1"/>
      <w:numFmt w:val="decimal"/>
      <w:lvlText w:val="%1.%2.%3.%4.%5.%6"/>
      <w:lvlJc w:val="left"/>
      <w:pPr>
        <w:ind w:left="1152" w:hanging="1152"/>
        <w:textAlignment w:val="baseline"/>
      </w:pPr>
    </w:lvl>
    <w:lvl w:ilvl="6" w:tentative="0">
      <w:start w:val="1"/>
      <w:numFmt w:val="decimal"/>
      <w:lvlText w:val="%1.%2.%3.%4.%5.%6.%7"/>
      <w:lvlJc w:val="left"/>
      <w:pPr>
        <w:ind w:left="1296" w:hanging="1296"/>
        <w:textAlignment w:val="baseline"/>
      </w:pPr>
    </w:lvl>
    <w:lvl w:ilvl="7" w:tentative="0">
      <w:start w:val="1"/>
      <w:numFmt w:val="decimal"/>
      <w:lvlText w:val="%1.%2.%3.%4.%5.%6.%7.%8"/>
      <w:lvlJc w:val="left"/>
      <w:pPr>
        <w:ind w:left="1440" w:hanging="1440"/>
        <w:textAlignment w:val="baseline"/>
      </w:pPr>
    </w:lvl>
    <w:lvl w:ilvl="8" w:tentative="0">
      <w:start w:val="1"/>
      <w:numFmt w:val="decimal"/>
      <w:lvlText w:val="%1.%2.%3.%4.%5.%6.%7.%8.%9"/>
      <w:lvlJc w:val="left"/>
      <w:pPr>
        <w:ind w:left="1584" w:hanging="1584"/>
        <w:textAlignment w:val="baseline"/>
      </w:pPr>
    </w:lvl>
  </w:abstractNum>
  <w:abstractNum w:abstractNumId="5">
    <w:nsid w:val="6D437D30"/>
    <w:multiLevelType w:val="singleLevel"/>
    <w:tmpl w:val="6D437D30"/>
    <w:lvl w:ilvl="0" w:tentative="0">
      <w:start w:val="7"/>
      <w:numFmt w:val="chineseCounting"/>
      <w:suff w:val="nothing"/>
      <w:lvlText w:val="%1、"/>
      <w:lvlJc w:val="left"/>
      <w:rPr>
        <w:rFonts w:hint="eastAsia"/>
      </w:rPr>
    </w:lvl>
  </w:abstractNum>
  <w:num w:numId="1">
    <w:abstractNumId w:val="4"/>
  </w:num>
  <w:num w:numId="2">
    <w:abstractNumId w:val="5"/>
  </w:num>
  <w:num w:numId="3">
    <w:abstractNumId w:val="1"/>
  </w:num>
  <w:num w:numId="4">
    <w:abstractNumId w:val="2"/>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00E73901"/>
    <w:rsid w:val="01DE1062"/>
    <w:rsid w:val="0A141A01"/>
    <w:rsid w:val="0DFB5814"/>
    <w:rsid w:val="0F0E0A78"/>
    <w:rsid w:val="0F130469"/>
    <w:rsid w:val="123A29F6"/>
    <w:rsid w:val="13B01DD4"/>
    <w:rsid w:val="157E75CB"/>
    <w:rsid w:val="18546294"/>
    <w:rsid w:val="1EEA2980"/>
    <w:rsid w:val="21093CBF"/>
    <w:rsid w:val="2162702C"/>
    <w:rsid w:val="21736403"/>
    <w:rsid w:val="235D022D"/>
    <w:rsid w:val="24C0322E"/>
    <w:rsid w:val="28C80903"/>
    <w:rsid w:val="2A0601DC"/>
    <w:rsid w:val="2AD446B9"/>
    <w:rsid w:val="2C1F3A83"/>
    <w:rsid w:val="2EBA484A"/>
    <w:rsid w:val="2F160FB8"/>
    <w:rsid w:val="2F253BE6"/>
    <w:rsid w:val="30894B5C"/>
    <w:rsid w:val="34153486"/>
    <w:rsid w:val="351A59B6"/>
    <w:rsid w:val="36D52D83"/>
    <w:rsid w:val="39AA11C4"/>
    <w:rsid w:val="39DC05E9"/>
    <w:rsid w:val="3D7F1199"/>
    <w:rsid w:val="3DEA45D3"/>
    <w:rsid w:val="42B51AA1"/>
    <w:rsid w:val="47F8383C"/>
    <w:rsid w:val="499F0DB5"/>
    <w:rsid w:val="4DE1374A"/>
    <w:rsid w:val="57B45D7D"/>
    <w:rsid w:val="59461A6C"/>
    <w:rsid w:val="66C84FB6"/>
    <w:rsid w:val="67D6379C"/>
    <w:rsid w:val="68CA67E9"/>
    <w:rsid w:val="6B48013F"/>
    <w:rsid w:val="6BB828FE"/>
    <w:rsid w:val="6EC86043"/>
    <w:rsid w:val="70283777"/>
    <w:rsid w:val="72C708B1"/>
    <w:rsid w:val="74D2226D"/>
    <w:rsid w:val="76CA7E67"/>
    <w:rsid w:val="78631C48"/>
    <w:rsid w:val="78911745"/>
    <w:rsid w:val="7A0C5665"/>
    <w:rsid w:val="7AB90B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qFormat="1"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37"/>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2"/>
    <w:next w:val="1"/>
    <w:qFormat/>
    <w:uiPriority w:val="0"/>
    <w:pPr>
      <w:spacing w:before="120"/>
      <w:outlineLvl w:val="1"/>
    </w:pPr>
    <w:rPr>
      <w:rFonts w:ascii="Arial" w:hAnsi="Arial" w:eastAsia="黑体"/>
      <w:kern w:val="0"/>
      <w:sz w:val="30"/>
    </w:rPr>
  </w:style>
  <w:style w:type="paragraph" w:styleId="4">
    <w:name w:val="heading 3"/>
    <w:basedOn w:val="1"/>
    <w:qFormat/>
    <w:uiPriority w:val="0"/>
    <w:pPr>
      <w:spacing w:before="360" w:after="120"/>
      <w:jc w:val="left"/>
      <w:outlineLvl w:val="2"/>
    </w:pPr>
    <w:rPr>
      <w:rFonts w:ascii="宋体"/>
      <w:b/>
      <w:sz w:val="24"/>
      <w:u w:val="single"/>
    </w:rPr>
  </w:style>
  <w:style w:type="paragraph" w:styleId="5">
    <w:name w:val="heading 4"/>
    <w:basedOn w:val="1"/>
    <w:next w:val="1"/>
    <w:qFormat/>
    <w:uiPriority w:val="0"/>
    <w:pPr>
      <w:keepNext/>
      <w:keepLines/>
      <w:spacing w:before="280" w:after="290" w:line="374" w:lineRule="auto"/>
      <w:ind w:left="1296" w:hanging="1296"/>
      <w:jc w:val="left"/>
      <w:outlineLvl w:val="3"/>
    </w:pPr>
    <w:rPr>
      <w:rFonts w:ascii="Cambria" w:hAnsi="Cambria" w:eastAsia="黑体"/>
      <w:bCs/>
      <w:kern w:val="0"/>
      <w:sz w:val="28"/>
      <w:szCs w:val="28"/>
    </w:rPr>
  </w:style>
  <w:style w:type="character" w:default="1" w:styleId="30">
    <w:name w:val="Default Paragraph Font"/>
    <w:unhideWhenUsed/>
    <w:qFormat/>
    <w:uiPriority w:val="1"/>
  </w:style>
  <w:style w:type="table" w:default="1" w:styleId="28">
    <w:name w:val="Normal Table"/>
    <w:unhideWhenUsed/>
    <w:qFormat/>
    <w:uiPriority w:val="99"/>
    <w:tblPr>
      <w:tblCellMar>
        <w:top w:w="0" w:type="dxa"/>
        <w:left w:w="108" w:type="dxa"/>
        <w:bottom w:w="0" w:type="dxa"/>
        <w:right w:w="108" w:type="dxa"/>
      </w:tblCellMar>
    </w:tblPr>
  </w:style>
  <w:style w:type="paragraph" w:styleId="6">
    <w:name w:val="table of authorities"/>
    <w:basedOn w:val="1"/>
    <w:next w:val="1"/>
    <w:qFormat/>
    <w:uiPriority w:val="0"/>
    <w:pPr>
      <w:ind w:left="420" w:leftChars="200"/>
    </w:pPr>
  </w:style>
  <w:style w:type="paragraph" w:styleId="7">
    <w:name w:val="Normal Indent"/>
    <w:basedOn w:val="1"/>
    <w:next w:val="8"/>
    <w:qFormat/>
    <w:uiPriority w:val="0"/>
    <w:pPr>
      <w:autoSpaceDE w:val="0"/>
      <w:autoSpaceDN w:val="0"/>
      <w:adjustRightInd w:val="0"/>
      <w:ind w:firstLine="420"/>
      <w:jc w:val="center"/>
    </w:pPr>
    <w:rPr>
      <w:rFonts w:ascii="宋体"/>
      <w:b/>
      <w:bCs/>
      <w:kern w:val="0"/>
      <w:sz w:val="24"/>
      <w:szCs w:val="20"/>
    </w:rPr>
  </w:style>
  <w:style w:type="paragraph" w:styleId="8">
    <w:name w:val="toa heading"/>
    <w:basedOn w:val="1"/>
    <w:next w:val="1"/>
    <w:qFormat/>
    <w:uiPriority w:val="0"/>
    <w:pPr>
      <w:spacing w:before="120"/>
    </w:pPr>
    <w:rPr>
      <w:rFonts w:ascii="Cambria" w:hAnsi="Cambria"/>
      <w:sz w:val="24"/>
    </w:rPr>
  </w:style>
  <w:style w:type="paragraph" w:styleId="9">
    <w:name w:val="annotation text"/>
    <w:basedOn w:val="1"/>
    <w:qFormat/>
    <w:uiPriority w:val="0"/>
    <w:pPr>
      <w:jc w:val="left"/>
    </w:pPr>
  </w:style>
  <w:style w:type="paragraph" w:styleId="10">
    <w:name w:val="Body Text"/>
    <w:basedOn w:val="1"/>
    <w:qFormat/>
    <w:uiPriority w:val="0"/>
    <w:pPr>
      <w:tabs>
        <w:tab w:val="left" w:pos="567"/>
      </w:tabs>
      <w:spacing w:before="120" w:line="22" w:lineRule="atLeast"/>
    </w:pPr>
    <w:rPr>
      <w:rFonts w:ascii="宋体" w:hAnsi="宋体"/>
      <w:sz w:val="24"/>
    </w:rPr>
  </w:style>
  <w:style w:type="paragraph" w:styleId="11">
    <w:name w:val="Body Text Indent"/>
    <w:basedOn w:val="1"/>
    <w:next w:val="10"/>
    <w:qFormat/>
    <w:uiPriority w:val="0"/>
    <w:pPr>
      <w:spacing w:line="360" w:lineRule="auto"/>
      <w:ind w:firstLine="570"/>
    </w:pPr>
    <w:rPr>
      <w:sz w:val="24"/>
    </w:rPr>
  </w:style>
  <w:style w:type="paragraph" w:styleId="12">
    <w:name w:val="Plain Text"/>
    <w:basedOn w:val="1"/>
    <w:next w:val="13"/>
    <w:link w:val="71"/>
    <w:qFormat/>
    <w:uiPriority w:val="0"/>
    <w:rPr>
      <w:rFonts w:ascii="宋体" w:hAnsi="Courier New"/>
      <w:szCs w:val="20"/>
    </w:rPr>
  </w:style>
  <w:style w:type="paragraph" w:styleId="13">
    <w:name w:val="Subtitle"/>
    <w:next w:val="1"/>
    <w:qFormat/>
    <w:uiPriority w:val="0"/>
    <w:pPr>
      <w:wordWrap w:val="0"/>
      <w:spacing w:after="60"/>
      <w:jc w:val="center"/>
    </w:pPr>
    <w:rPr>
      <w:rFonts w:ascii="Calibri" w:hAnsi="Calibri" w:eastAsia="宋体" w:cs="Times New Roman"/>
      <w:sz w:val="24"/>
      <w:lang w:val="en-US" w:eastAsia="zh-CN" w:bidi="ar-SA"/>
    </w:rPr>
  </w:style>
  <w:style w:type="paragraph" w:styleId="14">
    <w:name w:val="Date"/>
    <w:basedOn w:val="1"/>
    <w:next w:val="1"/>
    <w:qFormat/>
    <w:uiPriority w:val="0"/>
    <w:rPr>
      <w:color w:val="000000"/>
      <w:kern w:val="0"/>
      <w:sz w:val="30"/>
    </w:rPr>
  </w:style>
  <w:style w:type="paragraph" w:styleId="15">
    <w:name w:val="footer"/>
    <w:basedOn w:val="1"/>
    <w:qFormat/>
    <w:uiPriority w:val="0"/>
    <w:pPr>
      <w:tabs>
        <w:tab w:val="center" w:pos="4153"/>
        <w:tab w:val="right" w:pos="8306"/>
      </w:tabs>
      <w:autoSpaceDE w:val="0"/>
      <w:autoSpaceDN w:val="0"/>
      <w:adjustRightInd w:val="0"/>
      <w:snapToGrid w:val="0"/>
      <w:jc w:val="left"/>
    </w:pPr>
    <w:rPr>
      <w:rFonts w:ascii="宋体"/>
      <w:kern w:val="0"/>
      <w:sz w:val="18"/>
      <w:szCs w:val="20"/>
    </w:rPr>
  </w:style>
  <w:style w:type="paragraph" w:styleId="16">
    <w:name w:val="envelope return"/>
    <w:qFormat/>
    <w:uiPriority w:val="99"/>
    <w:pPr>
      <w:widowControl w:val="0"/>
      <w:jc w:val="both"/>
    </w:pPr>
    <w:rPr>
      <w:rFonts w:ascii="Calibri" w:hAnsi="Calibri" w:eastAsia="宋体" w:cs="Times New Roman"/>
      <w:kern w:val="2"/>
      <w:sz w:val="21"/>
      <w:szCs w:val="24"/>
      <w:lang w:val="en-US" w:eastAsia="zh-CN" w:bidi="ar-SA"/>
    </w:rPr>
  </w:style>
  <w:style w:type="paragraph" w:styleId="1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8">
    <w:name w:val="toc 1"/>
    <w:basedOn w:val="1"/>
    <w:next w:val="1"/>
    <w:qFormat/>
    <w:uiPriority w:val="0"/>
  </w:style>
  <w:style w:type="paragraph" w:styleId="19">
    <w:name w:val="footnote text"/>
    <w:basedOn w:val="1"/>
    <w:next w:val="10"/>
    <w:qFormat/>
    <w:uiPriority w:val="0"/>
    <w:pPr>
      <w:snapToGrid w:val="0"/>
      <w:jc w:val="left"/>
    </w:pPr>
    <w:rPr>
      <w:sz w:val="18"/>
    </w:rPr>
  </w:style>
  <w:style w:type="paragraph" w:styleId="20">
    <w:name w:val="index 7"/>
    <w:basedOn w:val="1"/>
    <w:next w:val="1"/>
    <w:qFormat/>
    <w:uiPriority w:val="0"/>
    <w:pPr>
      <w:ind w:left="2520"/>
    </w:pPr>
  </w:style>
  <w:style w:type="paragraph" w:styleId="21">
    <w:name w:val="toc 2"/>
    <w:basedOn w:val="1"/>
    <w:next w:val="1"/>
    <w:qFormat/>
    <w:uiPriority w:val="0"/>
    <w:pPr>
      <w:ind w:left="420" w:leftChars="200"/>
    </w:pPr>
  </w:style>
  <w:style w:type="paragraph" w:styleId="22">
    <w:name w:val="Body Text 2"/>
    <w:basedOn w:val="1"/>
    <w:qFormat/>
    <w:uiPriority w:val="0"/>
    <w:pPr>
      <w:spacing w:after="120" w:line="480" w:lineRule="auto"/>
    </w:pPr>
  </w:style>
  <w:style w:type="paragraph" w:styleId="23">
    <w:name w:val="List Continue 2"/>
    <w:basedOn w:val="1"/>
    <w:qFormat/>
    <w:uiPriority w:val="0"/>
    <w:pPr>
      <w:spacing w:after="120"/>
      <w:ind w:left="840" w:leftChars="400"/>
    </w:pPr>
  </w:style>
  <w:style w:type="paragraph" w:styleId="24">
    <w:name w:val="Normal (Web)"/>
    <w:basedOn w:val="1"/>
    <w:qFormat/>
    <w:uiPriority w:val="0"/>
    <w:pPr>
      <w:spacing w:before="100" w:beforeAutospacing="1" w:after="100" w:afterAutospacing="1"/>
      <w:jc w:val="left"/>
    </w:pPr>
    <w:rPr>
      <w:rFonts w:ascii="Calibri" w:hAnsi="Calibri"/>
      <w:kern w:val="0"/>
      <w:sz w:val="24"/>
    </w:rPr>
  </w:style>
  <w:style w:type="paragraph" w:styleId="25">
    <w:name w:val="Title"/>
    <w:basedOn w:val="1"/>
    <w:next w:val="1"/>
    <w:qFormat/>
    <w:uiPriority w:val="10"/>
    <w:pPr>
      <w:jc w:val="center"/>
      <w:outlineLvl w:val="0"/>
    </w:pPr>
    <w:rPr>
      <w:rFonts w:ascii="Cambria" w:hAnsi="Cambria"/>
      <w:b/>
      <w:bCs/>
      <w:kern w:val="28"/>
      <w:szCs w:val="32"/>
    </w:rPr>
  </w:style>
  <w:style w:type="paragraph" w:styleId="26">
    <w:name w:val="Body Text First Indent"/>
    <w:basedOn w:val="10"/>
    <w:next w:val="1"/>
    <w:qFormat/>
    <w:uiPriority w:val="0"/>
    <w:pPr>
      <w:ind w:firstLine="420" w:firstLineChars="100"/>
    </w:pPr>
    <w:rPr>
      <w:rFonts w:ascii="Times New Roman" w:hAnsi="Times New Roman"/>
    </w:rPr>
  </w:style>
  <w:style w:type="paragraph" w:styleId="27">
    <w:name w:val="Body Text First Indent 2"/>
    <w:basedOn w:val="11"/>
    <w:qFormat/>
    <w:uiPriority w:val="0"/>
    <w:pPr>
      <w:ind w:firstLine="420" w:firstLineChars="200"/>
    </w:p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1">
    <w:name w:val="Strong"/>
    <w:basedOn w:val="30"/>
    <w:qFormat/>
    <w:uiPriority w:val="0"/>
    <w:rPr>
      <w:b/>
    </w:rPr>
  </w:style>
  <w:style w:type="character" w:styleId="32">
    <w:name w:val="page number"/>
    <w:basedOn w:val="30"/>
    <w:qFormat/>
    <w:uiPriority w:val="0"/>
    <w:rPr>
      <w:rFonts w:ascii="Times New Roman" w:hAnsi="Times New Roman" w:eastAsia="宋体" w:cs="Times New Roman"/>
    </w:rPr>
  </w:style>
  <w:style w:type="character" w:styleId="33">
    <w:name w:val="Hyperlink"/>
    <w:basedOn w:val="30"/>
    <w:qFormat/>
    <w:uiPriority w:val="0"/>
    <w:rPr>
      <w:color w:val="0000FF"/>
      <w:u w:val="single"/>
    </w:rPr>
  </w:style>
  <w:style w:type="character" w:styleId="34">
    <w:name w:val="HTML Sample"/>
    <w:basedOn w:val="30"/>
    <w:qFormat/>
    <w:uiPriority w:val="0"/>
    <w:rPr>
      <w:rFonts w:ascii="Courier New" w:hAnsi="Courier New"/>
    </w:rPr>
  </w:style>
  <w:style w:type="paragraph" w:customStyle="1" w:styleId="35">
    <w:name w:val="_Style 2"/>
    <w:basedOn w:val="1"/>
    <w:next w:val="1"/>
    <w:qFormat/>
    <w:uiPriority w:val="0"/>
    <w:pPr>
      <w:ind w:firstLine="200" w:firstLineChars="200"/>
    </w:pPr>
    <w:rPr>
      <w:rFonts w:ascii="Calibri" w:hAnsi="Calibri"/>
      <w:sz w:val="28"/>
      <w:szCs w:val="22"/>
    </w:rPr>
  </w:style>
  <w:style w:type="character" w:customStyle="1" w:styleId="36">
    <w:name w:val="默认段落字体1"/>
    <w:qFormat/>
    <w:uiPriority w:val="0"/>
  </w:style>
  <w:style w:type="character" w:customStyle="1" w:styleId="37">
    <w:name w:val="标题 1 字符"/>
    <w:link w:val="2"/>
    <w:qFormat/>
    <w:uiPriority w:val="0"/>
    <w:rPr>
      <w:rFonts w:ascii="宋体" w:hAnsi="Times New Roman" w:eastAsia="宋体" w:cs="Times New Roman"/>
      <w:b/>
      <w:kern w:val="44"/>
      <w:sz w:val="32"/>
      <w:szCs w:val="20"/>
    </w:rPr>
  </w:style>
  <w:style w:type="character" w:customStyle="1" w:styleId="38">
    <w:name w:val="NormalCharacter"/>
    <w:qFormat/>
    <w:uiPriority w:val="0"/>
    <w:rPr>
      <w:rFonts w:ascii="Times New Roman" w:hAnsi="Times New Roman" w:eastAsia="宋体" w:cs="Times New Roman"/>
      <w:kern w:val="2"/>
      <w:sz w:val="21"/>
      <w:szCs w:val="24"/>
      <w:lang w:val="en-US" w:eastAsia="zh-CN" w:bidi="ar-SA"/>
    </w:rPr>
  </w:style>
  <w:style w:type="paragraph" w:customStyle="1" w:styleId="39">
    <w:name w:val="Default"/>
    <w:qFormat/>
    <w:uiPriority w:val="0"/>
    <w:pPr>
      <w:widowControl w:val="0"/>
      <w:autoSpaceDE w:val="0"/>
      <w:autoSpaceDN w:val="0"/>
    </w:pPr>
    <w:rPr>
      <w:rFonts w:ascii="宋体" w:hAnsi="Times New Roman" w:eastAsia="宋体" w:cs="宋体"/>
      <w:color w:val="000000"/>
      <w:sz w:val="24"/>
      <w:szCs w:val="24"/>
      <w:lang w:val="en-US" w:eastAsia="zh-CN" w:bidi="ar-SA"/>
    </w:rPr>
  </w:style>
  <w:style w:type="paragraph" w:customStyle="1" w:styleId="40">
    <w:name w:val="正文缩进1"/>
    <w:basedOn w:val="1"/>
    <w:qFormat/>
    <w:uiPriority w:val="0"/>
    <w:pPr>
      <w:autoSpaceDE w:val="0"/>
      <w:autoSpaceDN w:val="0"/>
      <w:adjustRightInd w:val="0"/>
      <w:ind w:firstLine="420"/>
      <w:jc w:val="left"/>
    </w:pPr>
    <w:rPr>
      <w:rFonts w:ascii="宋体"/>
      <w:kern w:val="0"/>
      <w:sz w:val="24"/>
      <w:szCs w:val="20"/>
    </w:rPr>
  </w:style>
  <w:style w:type="paragraph" w:customStyle="1" w:styleId="41">
    <w:name w:val="索引 11"/>
    <w:basedOn w:val="1"/>
    <w:next w:val="1"/>
    <w:qFormat/>
    <w:uiPriority w:val="0"/>
    <w:pPr>
      <w:spacing w:line="360" w:lineRule="auto"/>
    </w:pPr>
    <w:rPr>
      <w:rFonts w:ascii="仿宋_GB2312" w:eastAsia="仿宋_GB2312"/>
      <w:sz w:val="24"/>
      <w:szCs w:val="20"/>
    </w:rPr>
  </w:style>
  <w:style w:type="paragraph" w:customStyle="1" w:styleId="42">
    <w:name w:val="纯文本1"/>
    <w:basedOn w:val="1"/>
    <w:qFormat/>
    <w:uiPriority w:val="0"/>
    <w:rPr>
      <w:rFonts w:ascii="宋体" w:hAnsi="Courier New"/>
      <w:kern w:val="0"/>
      <w:sz w:val="20"/>
      <w:szCs w:val="20"/>
    </w:rPr>
  </w:style>
  <w:style w:type="paragraph" w:customStyle="1" w:styleId="43">
    <w:name w:val="UserStyle_44"/>
    <w:basedOn w:val="1"/>
    <w:qFormat/>
    <w:uiPriority w:val="0"/>
    <w:pPr>
      <w:spacing w:before="120" w:after="120" w:line="360" w:lineRule="auto"/>
      <w:jc w:val="center"/>
    </w:pPr>
    <w:rPr>
      <w:rFonts w:eastAsia="仿宋_GB2312"/>
      <w:b/>
      <w:sz w:val="24"/>
    </w:rPr>
  </w:style>
  <w:style w:type="paragraph" w:customStyle="1" w:styleId="44">
    <w:name w:val="NormalIndent"/>
    <w:basedOn w:val="1"/>
    <w:qFormat/>
    <w:uiPriority w:val="0"/>
    <w:pPr>
      <w:ind w:firstLine="420"/>
      <w:jc w:val="left"/>
    </w:pPr>
    <w:rPr>
      <w:rFonts w:ascii="宋体"/>
      <w:kern w:val="0"/>
      <w:sz w:val="24"/>
      <w:szCs w:val="20"/>
    </w:rPr>
  </w:style>
  <w:style w:type="paragraph" w:customStyle="1" w:styleId="45">
    <w:name w:val="图例"/>
    <w:basedOn w:val="1"/>
    <w:qFormat/>
    <w:uiPriority w:val="0"/>
    <w:pPr>
      <w:spacing w:before="120" w:after="120" w:line="360" w:lineRule="auto"/>
      <w:jc w:val="center"/>
    </w:pPr>
    <w:rPr>
      <w:rFonts w:eastAsia="仿宋_GB2312"/>
      <w:b/>
      <w:sz w:val="24"/>
    </w:rPr>
  </w:style>
  <w:style w:type="character" w:customStyle="1" w:styleId="46">
    <w:name w:val="font11"/>
    <w:basedOn w:val="30"/>
    <w:qFormat/>
    <w:uiPriority w:val="0"/>
    <w:rPr>
      <w:rFonts w:hint="eastAsia" w:ascii="宋体" w:hAnsi="宋体" w:eastAsia="宋体" w:cs="宋体"/>
      <w:color w:val="FF0000"/>
      <w:sz w:val="16"/>
      <w:szCs w:val="16"/>
      <w:u w:val="none"/>
    </w:rPr>
  </w:style>
  <w:style w:type="character" w:customStyle="1" w:styleId="47">
    <w:name w:val="font21"/>
    <w:basedOn w:val="30"/>
    <w:qFormat/>
    <w:uiPriority w:val="0"/>
    <w:rPr>
      <w:rFonts w:hint="eastAsia" w:ascii="宋体" w:hAnsi="宋体" w:eastAsia="宋体" w:cs="宋体"/>
      <w:color w:val="000000"/>
      <w:sz w:val="16"/>
      <w:szCs w:val="16"/>
      <w:u w:val="none"/>
    </w:rPr>
  </w:style>
  <w:style w:type="character" w:customStyle="1" w:styleId="48">
    <w:name w:val="style23"/>
    <w:basedOn w:val="30"/>
    <w:qFormat/>
    <w:uiPriority w:val="0"/>
  </w:style>
  <w:style w:type="paragraph" w:customStyle="1" w:styleId="49">
    <w:name w:val="表格文字"/>
    <w:basedOn w:val="1"/>
    <w:qFormat/>
    <w:uiPriority w:val="0"/>
    <w:pPr>
      <w:spacing w:before="25" w:after="25"/>
      <w:jc w:val="left"/>
    </w:pPr>
    <w:rPr>
      <w:bCs/>
      <w:spacing w:val="10"/>
      <w:kern w:val="0"/>
      <w:sz w:val="24"/>
    </w:rPr>
  </w:style>
  <w:style w:type="paragraph" w:customStyle="1" w:styleId="50">
    <w:name w:val="List Paragraph"/>
    <w:basedOn w:val="1"/>
    <w:qFormat/>
    <w:uiPriority w:val="34"/>
    <w:pPr>
      <w:ind w:firstLine="420" w:firstLineChars="200"/>
    </w:pPr>
  </w:style>
  <w:style w:type="paragraph" w:customStyle="1" w:styleId="51">
    <w:name w:val="Heading1"/>
    <w:basedOn w:val="1"/>
    <w:qFormat/>
    <w:uiPriority w:val="0"/>
    <w:pPr>
      <w:keepNext/>
      <w:numPr>
        <w:ilvl w:val="0"/>
        <w:numId w:val="1"/>
      </w:numPr>
      <w:spacing w:before="240" w:after="60"/>
      <w:ind w:left="100" w:firstLine="0"/>
      <w:contextualSpacing/>
      <w:jc w:val="left"/>
    </w:pPr>
    <w:rPr>
      <w:rFonts w:ascii="Cambria" w:hAnsi="Cambria"/>
      <w:bCs/>
      <w:iCs/>
      <w:kern w:val="32"/>
      <w:sz w:val="24"/>
      <w:szCs w:val="32"/>
      <w:lang w:eastAsia="en-US"/>
    </w:rPr>
  </w:style>
  <w:style w:type="paragraph" w:customStyle="1" w:styleId="52">
    <w:name w:val="UserStyle_15"/>
    <w:basedOn w:val="53"/>
    <w:qFormat/>
    <w:uiPriority w:val="0"/>
    <w:pPr>
      <w:spacing w:before="100" w:beforeAutospacing="1" w:after="100" w:afterAutospacing="1"/>
      <w:ind w:right="100" w:rightChars="100"/>
    </w:pPr>
    <w:rPr>
      <w:sz w:val="21"/>
    </w:rPr>
  </w:style>
  <w:style w:type="paragraph" w:customStyle="1" w:styleId="53">
    <w:name w:val="Heading2"/>
    <w:basedOn w:val="1"/>
    <w:qFormat/>
    <w:uiPriority w:val="0"/>
    <w:pPr>
      <w:keepNext/>
      <w:numPr>
        <w:ilvl w:val="1"/>
        <w:numId w:val="1"/>
      </w:numPr>
      <w:spacing w:before="240" w:after="60"/>
      <w:jc w:val="left"/>
    </w:pPr>
    <w:rPr>
      <w:rFonts w:ascii="Cambria" w:hAnsi="Cambria"/>
      <w:b/>
      <w:bCs/>
      <w:i/>
      <w:iCs/>
      <w:kern w:val="0"/>
      <w:sz w:val="28"/>
      <w:szCs w:val="28"/>
      <w:lang w:eastAsia="en-US"/>
    </w:rPr>
  </w:style>
  <w:style w:type="paragraph" w:customStyle="1" w:styleId="54">
    <w:name w:val="列出段落1"/>
    <w:basedOn w:val="1"/>
    <w:qFormat/>
    <w:uiPriority w:val="34"/>
    <w:pPr>
      <w:ind w:firstLine="420" w:firstLineChars="200"/>
    </w:pPr>
  </w:style>
  <w:style w:type="paragraph" w:customStyle="1" w:styleId="55">
    <w:name w:val="章标题"/>
    <w:qFormat/>
    <w:uiPriority w:val="0"/>
    <w:pPr>
      <w:spacing w:before="156" w:beforeLines="50" w:after="156" w:afterLines="50"/>
      <w:jc w:val="both"/>
      <w:outlineLvl w:val="1"/>
    </w:pPr>
    <w:rPr>
      <w:rFonts w:ascii="黑体" w:hAnsi="Times New Roman" w:eastAsia="黑体" w:cs="Times New Roman"/>
      <w:sz w:val="21"/>
      <w:lang w:val="en-US" w:eastAsia="zh-CN" w:bidi="ar-SA"/>
    </w:rPr>
  </w:style>
  <w:style w:type="character" w:customStyle="1" w:styleId="56">
    <w:name w:val="font31"/>
    <w:basedOn w:val="30"/>
    <w:qFormat/>
    <w:uiPriority w:val="0"/>
    <w:rPr>
      <w:rFonts w:hint="eastAsia" w:ascii="宋体" w:hAnsi="宋体" w:eastAsia="宋体" w:cs="宋体"/>
      <w:color w:val="000000"/>
      <w:sz w:val="24"/>
      <w:szCs w:val="24"/>
      <w:u w:val="none"/>
    </w:rPr>
  </w:style>
  <w:style w:type="paragraph" w:customStyle="1" w:styleId="57">
    <w:name w:val="_Style 1"/>
    <w:qFormat/>
    <w:uiPriority w:val="99"/>
    <w:pPr>
      <w:widowControl w:val="0"/>
      <w:ind w:firstLine="200" w:firstLineChars="200"/>
      <w:jc w:val="both"/>
    </w:pPr>
    <w:rPr>
      <w:rFonts w:ascii="Times New Roman" w:hAnsi="Times New Roman" w:eastAsia="仿宋_GB2312" w:cs="Times New Roman"/>
      <w:kern w:val="2"/>
      <w:sz w:val="24"/>
      <w:szCs w:val="22"/>
      <w:lang w:val="en-US" w:eastAsia="zh-CN" w:bidi="ar-SA"/>
    </w:rPr>
  </w:style>
  <w:style w:type="paragraph" w:customStyle="1" w:styleId="58">
    <w:name w:val="p0"/>
    <w:basedOn w:val="1"/>
    <w:qFormat/>
    <w:uiPriority w:val="0"/>
    <w:pPr>
      <w:widowControl/>
    </w:pPr>
    <w:rPr>
      <w:kern w:val="0"/>
      <w:szCs w:val="21"/>
    </w:rPr>
  </w:style>
  <w:style w:type="paragraph" w:customStyle="1" w:styleId="59">
    <w:name w:val="正文1"/>
    <w:qFormat/>
    <w:uiPriority w:val="0"/>
    <w:rPr>
      <w:rFonts w:ascii="Times New Roman" w:hAnsi="Times New Roman" w:eastAsia="Times New Roman" w:cs="Times New Roman"/>
      <w:sz w:val="24"/>
      <w:szCs w:val="24"/>
      <w:lang w:val="en-US" w:eastAsia="zh-CN" w:bidi="ar-SA"/>
    </w:rPr>
  </w:style>
  <w:style w:type="paragraph" w:customStyle="1" w:styleId="60">
    <w:name w:val="LO-Normal"/>
    <w:qFormat/>
    <w:uiPriority w:val="0"/>
    <w:pPr>
      <w:suppressAutoHyphens/>
    </w:pPr>
    <w:rPr>
      <w:rFonts w:ascii="Times New Roman" w:hAnsi="Times New Roman" w:eastAsia="宋体" w:cs="Times New Roman"/>
      <w:sz w:val="24"/>
      <w:szCs w:val="24"/>
      <w:lang w:val="en-US" w:eastAsia="zh-CN" w:bidi="ar-SA"/>
    </w:rPr>
  </w:style>
  <w:style w:type="paragraph" w:customStyle="1" w:styleId="61">
    <w:name w:val="Heading3"/>
    <w:basedOn w:val="1"/>
    <w:qFormat/>
    <w:uiPriority w:val="0"/>
    <w:pPr>
      <w:keepNext/>
      <w:keepLines/>
      <w:widowControl/>
      <w:spacing w:before="260" w:after="260" w:line="416" w:lineRule="auto"/>
      <w:textAlignment w:val="baseline"/>
    </w:pPr>
    <w:rPr>
      <w:sz w:val="32"/>
      <w:szCs w:val="32"/>
    </w:rPr>
  </w:style>
  <w:style w:type="paragraph" w:customStyle="1" w:styleId="62">
    <w:name w:val="样式 样式 样式 左侧:  2 字符1 + 首行缩进:  2 字符1 + 首行缩进:  2 字符"/>
    <w:basedOn w:val="1"/>
    <w:qFormat/>
    <w:uiPriority w:val="0"/>
    <w:pPr>
      <w:widowControl/>
      <w:adjustRightInd w:val="0"/>
      <w:spacing w:before="60" w:after="120" w:line="440" w:lineRule="atLeast"/>
      <w:ind w:firstLine="480"/>
      <w:textAlignment w:val="baseline"/>
    </w:pPr>
    <w:rPr>
      <w:sz w:val="24"/>
    </w:rPr>
  </w:style>
  <w:style w:type="character" w:customStyle="1" w:styleId="63">
    <w:name w:val="content1"/>
    <w:qFormat/>
    <w:uiPriority w:val="99"/>
    <w:rPr>
      <w:rFonts w:ascii="Tahoma" w:hAnsi="Tahoma" w:cs="Tahoma"/>
      <w:sz w:val="21"/>
      <w:szCs w:val="21"/>
    </w:rPr>
  </w:style>
  <w:style w:type="paragraph" w:customStyle="1" w:styleId="64">
    <w:name w:val="pa-0"/>
    <w:basedOn w:val="1"/>
    <w:qFormat/>
    <w:uiPriority w:val="0"/>
    <w:pPr>
      <w:widowControl/>
      <w:spacing w:before="150" w:after="150"/>
      <w:jc w:val="left"/>
    </w:pPr>
    <w:rPr>
      <w:rFonts w:ascii="宋体" w:hAnsi="宋体" w:cs="宋体"/>
      <w:kern w:val="0"/>
      <w:sz w:val="24"/>
      <w:szCs w:val="20"/>
    </w:rPr>
  </w:style>
  <w:style w:type="character" w:customStyle="1" w:styleId="65">
    <w:name w:val="ca-0"/>
    <w:basedOn w:val="30"/>
    <w:qFormat/>
    <w:uiPriority w:val="0"/>
  </w:style>
  <w:style w:type="character" w:customStyle="1" w:styleId="66">
    <w:name w:val="concon"/>
    <w:qFormat/>
    <w:uiPriority w:val="0"/>
  </w:style>
  <w:style w:type="paragraph" w:customStyle="1" w:styleId="67">
    <w:name w:val="列出段落5"/>
    <w:basedOn w:val="1"/>
    <w:qFormat/>
    <w:uiPriority w:val="34"/>
    <w:pPr>
      <w:ind w:firstLine="420" w:firstLineChars="200"/>
    </w:pPr>
    <w:rPr>
      <w:szCs w:val="20"/>
    </w:rPr>
  </w:style>
  <w:style w:type="paragraph" w:customStyle="1" w:styleId="68">
    <w:name w:val="Table Paragraph"/>
    <w:qFormat/>
    <w:uiPriority w:val="1"/>
    <w:pPr>
      <w:widowControl w:val="0"/>
      <w:jc w:val="both"/>
    </w:pPr>
    <w:rPr>
      <w:rFonts w:ascii="宋体" w:hAnsi="宋体" w:eastAsia="宋体" w:cs="宋体"/>
      <w:kern w:val="2"/>
      <w:sz w:val="21"/>
      <w:szCs w:val="22"/>
      <w:lang w:val="zh-CN" w:eastAsia="zh-CN" w:bidi="zh-CN"/>
    </w:rPr>
  </w:style>
  <w:style w:type="table" w:customStyle="1" w:styleId="69">
    <w:name w:val="Table Normal"/>
    <w:unhideWhenUsed/>
    <w:qFormat/>
    <w:uiPriority w:val="0"/>
    <w:tblPr>
      <w:tblCellMar>
        <w:top w:w="0" w:type="dxa"/>
        <w:left w:w="0" w:type="dxa"/>
        <w:bottom w:w="0" w:type="dxa"/>
        <w:right w:w="0" w:type="dxa"/>
      </w:tblCellMar>
    </w:tblPr>
  </w:style>
  <w:style w:type="paragraph" w:customStyle="1" w:styleId="70">
    <w:name w:val="Table Text"/>
    <w:basedOn w:val="1"/>
    <w:semiHidden/>
    <w:qFormat/>
    <w:uiPriority w:val="0"/>
    <w:rPr>
      <w:rFonts w:ascii="等线" w:hAnsi="等线" w:eastAsia="等线" w:cs="等线"/>
      <w:sz w:val="22"/>
      <w:szCs w:val="22"/>
      <w:lang w:eastAsia="en-US"/>
    </w:rPr>
  </w:style>
  <w:style w:type="character" w:customStyle="1" w:styleId="71">
    <w:name w:val="纯文本 字符"/>
    <w:basedOn w:val="30"/>
    <w:link w:val="12"/>
    <w:qFormat/>
    <w:uiPriority w:val="0"/>
    <w:rPr>
      <w:rFonts w:ascii="宋体" w:hAnsi="Courier New"/>
      <w:kern w:val="2"/>
      <w:sz w:val="21"/>
    </w:rPr>
  </w:style>
  <w:style w:type="paragraph" w:customStyle="1" w:styleId="72">
    <w:name w:val="BodyText1I2"/>
    <w:basedOn w:val="73"/>
    <w:qFormat/>
    <w:uiPriority w:val="0"/>
    <w:pPr>
      <w:spacing w:after="120" w:line="580" w:lineRule="exact"/>
      <w:ind w:left="420" w:leftChars="200" w:firstLine="420" w:firstLineChars="200"/>
      <w:textAlignment w:val="baseline"/>
    </w:pPr>
    <w:rPr>
      <w:rFonts w:ascii="Calibri" w:hAnsi="Calibri" w:eastAsia="仿宋_GB2312" w:cs="宋体"/>
      <w:sz w:val="32"/>
    </w:rPr>
  </w:style>
  <w:style w:type="paragraph" w:customStyle="1" w:styleId="73">
    <w:name w:val="BodyTextIndent"/>
    <w:basedOn w:val="1"/>
    <w:qFormat/>
    <w:uiPriority w:val="99"/>
    <w:pPr>
      <w:spacing w:after="120"/>
      <w:ind w:left="420" w:leftChars="200"/>
      <w:textAlignment w:val="baseline"/>
    </w:pPr>
  </w:style>
  <w:style w:type="paragraph" w:customStyle="1" w:styleId="74">
    <w:name w:val="石墨文档正文"/>
    <w:qFormat/>
    <w:uiPriority w:val="0"/>
    <w:rPr>
      <w:rFonts w:ascii="Arial Unicode MS" w:hAnsi="Arial Unicode MS" w:eastAsia="MicrosoftYaHei" w:cs="Arial Unicode MS"/>
      <w:sz w:val="22"/>
      <w:szCs w:val="22"/>
    </w:rPr>
  </w:style>
  <w:style w:type="paragraph" w:customStyle="1" w:styleId="75">
    <w:name w:val="样式 首行缩进:  2 字符"/>
    <w:basedOn w:val="1"/>
    <w:qFormat/>
    <w:uiPriority w:val="0"/>
    <w:pPr>
      <w:spacing w:line="360" w:lineRule="auto"/>
      <w:ind w:firstLine="480" w:firstLineChars="200"/>
    </w:pPr>
    <w:rPr>
      <w:rFonts w:ascii="宋体" w:hAnsi="宋体" w:cs="宋体"/>
      <w:szCs w:val="20"/>
    </w:rPr>
  </w:style>
</w:styles>
</file>

<file path=word/_rels/document.xml.rels><?xml version="1.0" encoding="UTF-8" standalone="yes"?>
<Relationships xmlns="http://schemas.openxmlformats.org/package/2006/relationships"><Relationship Id="rId9" Type="http://schemas.openxmlformats.org/officeDocument/2006/relationships/oleObject" Target="embeddings/oleObject1.bin"/><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numbering" Target="numbering.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6.wmf"/><Relationship Id="rId17" Type="http://schemas.openxmlformats.org/officeDocument/2006/relationships/oleObject" Target="embeddings/oleObject5.bin"/><Relationship Id="rId16" Type="http://schemas.openxmlformats.org/officeDocument/2006/relationships/image" Target="media/image5.wmf"/><Relationship Id="rId15" Type="http://schemas.openxmlformats.org/officeDocument/2006/relationships/oleObject" Target="embeddings/oleObject4.bin"/><Relationship Id="rId14" Type="http://schemas.openxmlformats.org/officeDocument/2006/relationships/image" Target="media/image4.wmf"/><Relationship Id="rId13" Type="http://schemas.openxmlformats.org/officeDocument/2006/relationships/oleObject" Target="embeddings/oleObject3.bin"/><Relationship Id="rId12" Type="http://schemas.openxmlformats.org/officeDocument/2006/relationships/image" Target="media/image3.wmf"/><Relationship Id="rId11" Type="http://schemas.openxmlformats.org/officeDocument/2006/relationships/oleObject" Target="embeddings/oleObject2.bin"/><Relationship Id="rId10" Type="http://schemas.openxmlformats.org/officeDocument/2006/relationships/image" Target="media/image2.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177</Pages>
  <Words>10137</Words>
  <Characters>11385</Characters>
  <Lines>357</Lines>
  <Paragraphs>100</Paragraphs>
  <TotalTime>27</TotalTime>
  <ScaleCrop>false</ScaleCrop>
  <LinksUpToDate>false</LinksUpToDate>
  <CharactersWithSpaces>11839</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2024-10-22T23:48:00Z</dcterms:created>
  <dc:creator>Administrator</dc:creator>
  <cp:lastModifiedBy>Administrator</cp:lastModifiedBy>
  <cp:lastPrinted>2024-04-21T01:16:00Z</cp:lastPrinted>
  <dcterms:modified xsi:type="dcterms:W3CDTF">2026-05-15T09:00:06Z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DBA274A8AAF24B2E9ACA8E2140D1AA8E_13</vt:lpwstr>
  </property>
  <property fmtid="{D5CDD505-2E9C-101B-9397-08002B2CF9AE}" pid="4" name="KSOTemplateDocerSaveRecord">
    <vt:lpwstr>eyJoZGlkIjoiMDY5OGVjMGY2OWE5YzBiMzJmNmY0YjAxYTAwZDBkNzQiLCJ1c2VySWQiOiIxNTk5NDEwOTQyIn0=</vt:lpwstr>
  </property>
</Properties>
</file>