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0C36C">
      <w:pPr>
        <w:tabs>
          <w:tab w:val="left" w:pos="6300"/>
        </w:tabs>
        <w:spacing w:line="240" w:lineRule="atLeast"/>
        <w:jc w:val="center"/>
        <w:outlineLvl w:val="9"/>
        <w:rPr>
          <w:rFonts w:hint="eastAsia" w:ascii="仿宋" w:hAnsi="仿宋" w:eastAsia="仿宋" w:cs="仿宋"/>
          <w:b/>
          <w:color w:val="auto"/>
          <w:kern w:val="44"/>
          <w:sz w:val="40"/>
          <w:szCs w:val="22"/>
          <w:highlight w:val="none"/>
          <w:lang w:val="en-US" w:eastAsia="zh-CN"/>
        </w:rPr>
      </w:pPr>
      <w:bookmarkStart w:id="0" w:name="_Toc17321"/>
      <w:bookmarkStart w:id="1" w:name="_Toc27286"/>
      <w:bookmarkStart w:id="2" w:name="_Toc3501"/>
      <w:bookmarkStart w:id="3" w:name="_Toc16093"/>
      <w:bookmarkStart w:id="4" w:name="_Toc1934"/>
      <w:bookmarkStart w:id="5" w:name="_Toc11880"/>
      <w:bookmarkStart w:id="6" w:name="_Toc31636"/>
      <w:bookmarkStart w:id="7" w:name="_Toc29241"/>
      <w:bookmarkStart w:id="8" w:name="_Toc4177"/>
      <w:bookmarkStart w:id="9" w:name="_Toc13297"/>
      <w:bookmarkStart w:id="10" w:name="_Toc22083"/>
      <w:bookmarkStart w:id="11" w:name="_Toc12442"/>
      <w:bookmarkStart w:id="12" w:name="_Toc13057"/>
      <w:bookmarkStart w:id="13" w:name="_Toc31645"/>
      <w:bookmarkStart w:id="14" w:name="_Toc219175639"/>
      <w:bookmarkStart w:id="15" w:name="_Toc507399907"/>
      <w:bookmarkStart w:id="16" w:name="_Toc218935355"/>
      <w:bookmarkStart w:id="17" w:name="_Toc515647832"/>
      <w:bookmarkStart w:id="18" w:name="_Toc216582826"/>
      <w:bookmarkStart w:id="19" w:name="_Toc32647"/>
      <w:bookmarkStart w:id="20" w:name="_Toc7971"/>
      <w:r>
        <w:rPr>
          <w:rFonts w:hint="eastAsia" w:ascii="仿宋" w:hAnsi="仿宋" w:eastAsia="仿宋" w:cs="仿宋"/>
          <w:b/>
          <w:color w:val="auto"/>
          <w:kern w:val="44"/>
          <w:sz w:val="40"/>
          <w:szCs w:val="22"/>
          <w:highlight w:val="none"/>
          <w:lang w:val="en-US" w:eastAsia="zh-CN"/>
        </w:rPr>
        <w:t xml:space="preserve"> </w:t>
      </w:r>
    </w:p>
    <w:p w14:paraId="380A185C">
      <w:pPr>
        <w:spacing w:line="240" w:lineRule="atLeast"/>
        <w:jc w:val="center"/>
        <w:outlineLvl w:val="9"/>
        <w:rPr>
          <w:rFonts w:hint="eastAsia" w:ascii="仿宋" w:hAnsi="仿宋" w:eastAsia="仿宋" w:cs="仿宋"/>
          <w:b/>
          <w:bCs w:val="0"/>
          <w:color w:val="auto"/>
          <w:sz w:val="48"/>
          <w:szCs w:val="48"/>
          <w:highlight w:val="none"/>
        </w:rPr>
      </w:pPr>
      <w:r>
        <w:rPr>
          <w:rFonts w:hint="eastAsia" w:ascii="仿宋" w:hAnsi="仿宋" w:eastAsia="仿宋" w:cs="仿宋"/>
          <w:b/>
          <w:bCs w:val="0"/>
          <w:color w:val="auto"/>
          <w:sz w:val="48"/>
          <w:szCs w:val="48"/>
          <w:highlight w:val="none"/>
        </w:rPr>
        <w:t>喀什地区体育局关于筹备自治区第十五届体育运动会竞赛相关服装器材采购项目</w:t>
      </w:r>
    </w:p>
    <w:p w14:paraId="14CDFD61">
      <w:pPr>
        <w:spacing w:line="240" w:lineRule="atLeast"/>
        <w:jc w:val="center"/>
        <w:outlineLvl w:val="9"/>
        <w:rPr>
          <w:rFonts w:hint="eastAsia" w:ascii="仿宋" w:hAnsi="仿宋" w:eastAsia="仿宋" w:cs="仿宋"/>
          <w:b/>
          <w:bCs w:val="0"/>
          <w:color w:val="auto"/>
          <w:sz w:val="48"/>
          <w:szCs w:val="48"/>
          <w:highlight w:val="none"/>
        </w:rPr>
      </w:pPr>
    </w:p>
    <w:p w14:paraId="28CEE041">
      <w:pPr>
        <w:spacing w:line="240" w:lineRule="atLeast"/>
        <w:jc w:val="center"/>
        <w:outlineLvl w:val="9"/>
        <w:rPr>
          <w:rFonts w:hint="eastAsia" w:ascii="仿宋" w:hAnsi="仿宋" w:eastAsia="仿宋" w:cs="仿宋"/>
          <w:color w:val="auto"/>
          <w:highlight w:val="none"/>
        </w:rPr>
      </w:pPr>
      <w:r>
        <w:rPr>
          <w:rFonts w:hint="eastAsia" w:ascii="仿宋" w:hAnsi="仿宋" w:eastAsia="仿宋" w:cs="仿宋"/>
          <w:b/>
          <w:bCs w:val="0"/>
          <w:color w:val="auto"/>
          <w:sz w:val="48"/>
          <w:szCs w:val="48"/>
          <w:highlight w:val="none"/>
        </w:rPr>
        <w:t>招 标 文 件</w:t>
      </w:r>
    </w:p>
    <w:p w14:paraId="7ECB9A20">
      <w:pPr>
        <w:outlineLvl w:val="9"/>
        <w:rPr>
          <w:rFonts w:hint="eastAsia" w:ascii="仿宋" w:hAnsi="仿宋" w:eastAsia="仿宋" w:cs="仿宋"/>
          <w:color w:val="auto"/>
          <w:highlight w:val="none"/>
        </w:rPr>
      </w:pPr>
    </w:p>
    <w:p w14:paraId="63084BC0">
      <w:pPr>
        <w:spacing w:line="240" w:lineRule="atLeast"/>
        <w:jc w:val="center"/>
        <w:outlineLvl w:val="9"/>
        <w:rPr>
          <w:rFonts w:hint="eastAsia" w:ascii="仿宋" w:hAnsi="仿宋" w:eastAsia="仿宋" w:cs="仿宋"/>
          <w:b/>
          <w:color w:val="auto"/>
          <w:sz w:val="32"/>
          <w:highlight w:val="none"/>
        </w:rPr>
      </w:pPr>
      <w:r>
        <w:rPr>
          <w:rFonts w:hint="eastAsia" w:ascii="仿宋" w:hAnsi="仿宋" w:eastAsia="仿宋" w:cs="仿宋"/>
          <w:b/>
          <w:color w:val="auto"/>
          <w:sz w:val="32"/>
          <w:highlight w:val="none"/>
        </w:rPr>
        <w:t xml:space="preserve">项目编号：XJJY(Z)2026-022  </w:t>
      </w:r>
    </w:p>
    <w:p w14:paraId="36DD9C4D">
      <w:pPr>
        <w:spacing w:line="240" w:lineRule="atLeast"/>
        <w:ind w:firstLine="1120" w:firstLineChars="400"/>
        <w:outlineLvl w:val="9"/>
        <w:rPr>
          <w:rFonts w:hint="eastAsia" w:ascii="仿宋" w:hAnsi="仿宋" w:eastAsia="仿宋" w:cs="仿宋"/>
          <w:b/>
          <w:color w:val="auto"/>
          <w:sz w:val="28"/>
          <w:szCs w:val="28"/>
          <w:highlight w:val="none"/>
        </w:rPr>
      </w:pPr>
    </w:p>
    <w:p w14:paraId="7288D50D">
      <w:pPr>
        <w:spacing w:line="240" w:lineRule="atLeast"/>
        <w:outlineLvl w:val="9"/>
        <w:rPr>
          <w:rFonts w:hint="eastAsia" w:ascii="仿宋" w:hAnsi="仿宋" w:eastAsia="仿宋" w:cs="仿宋"/>
          <w:b/>
          <w:bCs w:val="0"/>
          <w:color w:val="auto"/>
          <w:sz w:val="28"/>
          <w:szCs w:val="28"/>
          <w:highlight w:val="none"/>
          <w:u w:val="single"/>
          <w:lang w:val="en-US" w:eastAsia="zh-CN"/>
        </w:rPr>
      </w:pPr>
      <w:r>
        <w:rPr>
          <w:rFonts w:hint="eastAsia" w:ascii="仿宋" w:hAnsi="仿宋" w:eastAsia="仿宋" w:cs="仿宋"/>
          <w:b/>
          <w:bCs w:val="0"/>
          <w:color w:val="auto"/>
          <w:sz w:val="28"/>
          <w:szCs w:val="28"/>
          <w:highlight w:val="none"/>
          <w:u w:val="single"/>
          <w:lang w:val="en-US" w:eastAsia="zh-CN"/>
        </w:rPr>
        <w:t xml:space="preserve">采 购 人：             喀什地区体育局                </w:t>
      </w:r>
    </w:p>
    <w:p w14:paraId="4E7AF4D1">
      <w:pPr>
        <w:spacing w:line="240" w:lineRule="atLeast"/>
        <w:outlineLvl w:val="9"/>
        <w:rPr>
          <w:rFonts w:hint="eastAsia" w:ascii="仿宋" w:hAnsi="仿宋" w:eastAsia="仿宋" w:cs="仿宋"/>
          <w:b/>
          <w:color w:val="auto"/>
          <w:sz w:val="28"/>
          <w:szCs w:val="28"/>
          <w:highlight w:val="none"/>
          <w:u w:val="single"/>
          <w:lang w:val="en-US" w:eastAsia="zh-CN"/>
        </w:rPr>
      </w:pPr>
      <w:r>
        <w:rPr>
          <w:rFonts w:hint="eastAsia" w:ascii="仿宋" w:hAnsi="仿宋" w:eastAsia="仿宋" w:cs="仿宋"/>
          <w:b/>
          <w:color w:val="auto"/>
          <w:sz w:val="28"/>
          <w:szCs w:val="28"/>
          <w:highlight w:val="none"/>
          <w:u w:val="single"/>
          <w:lang w:val="en-US" w:eastAsia="zh-CN"/>
        </w:rPr>
        <w:t xml:space="preserve">联 系 人：                 王学才                    </w:t>
      </w:r>
    </w:p>
    <w:p w14:paraId="4BBC3DF2">
      <w:pPr>
        <w:spacing w:line="240" w:lineRule="atLeast"/>
        <w:outlineLvl w:val="9"/>
        <w:rPr>
          <w:rFonts w:hint="eastAsia" w:ascii="仿宋" w:hAnsi="仿宋" w:eastAsia="仿宋" w:cs="仿宋"/>
          <w:b/>
          <w:color w:val="auto"/>
          <w:sz w:val="28"/>
          <w:szCs w:val="28"/>
          <w:highlight w:val="none"/>
          <w:u w:val="single"/>
          <w:lang w:val="en-US" w:eastAsia="zh-CN"/>
        </w:rPr>
      </w:pPr>
      <w:r>
        <w:rPr>
          <w:rFonts w:hint="eastAsia" w:ascii="仿宋" w:hAnsi="仿宋" w:eastAsia="仿宋" w:cs="仿宋"/>
          <w:b/>
          <w:color w:val="auto"/>
          <w:sz w:val="28"/>
          <w:szCs w:val="28"/>
          <w:highlight w:val="none"/>
          <w:u w:val="single"/>
          <w:lang w:val="en-US" w:eastAsia="zh-CN"/>
        </w:rPr>
        <w:t xml:space="preserve">联系方式：              15569161602                  </w:t>
      </w:r>
    </w:p>
    <w:p w14:paraId="12B108A7">
      <w:pPr>
        <w:spacing w:line="240" w:lineRule="atLeast"/>
        <w:outlineLvl w:val="9"/>
        <w:rPr>
          <w:rFonts w:hint="eastAsia" w:ascii="仿宋" w:hAnsi="仿宋" w:eastAsia="仿宋" w:cs="仿宋"/>
          <w:b/>
          <w:color w:val="auto"/>
          <w:sz w:val="28"/>
          <w:szCs w:val="28"/>
          <w:highlight w:val="none"/>
          <w:u w:val="single"/>
          <w:lang w:val="en-US" w:eastAsia="zh-CN"/>
        </w:rPr>
      </w:pPr>
    </w:p>
    <w:p w14:paraId="1796C1DC">
      <w:pPr>
        <w:spacing w:line="240" w:lineRule="atLeast"/>
        <w:outlineLvl w:val="9"/>
        <w:rPr>
          <w:rFonts w:hint="eastAsia" w:ascii="仿宋" w:hAnsi="仿宋" w:eastAsia="仿宋" w:cs="仿宋"/>
          <w:b/>
          <w:color w:val="auto"/>
          <w:sz w:val="28"/>
          <w:szCs w:val="28"/>
          <w:highlight w:val="none"/>
          <w:u w:val="single"/>
          <w:lang w:val="en-US" w:eastAsia="zh-CN"/>
        </w:rPr>
      </w:pPr>
    </w:p>
    <w:p w14:paraId="4661BDCC">
      <w:pPr>
        <w:spacing w:line="240" w:lineRule="atLeast"/>
        <w:outlineLvl w:val="9"/>
        <w:rPr>
          <w:rFonts w:hint="eastAsia" w:ascii="仿宋" w:hAnsi="仿宋" w:eastAsia="仿宋" w:cs="仿宋"/>
          <w:b/>
          <w:color w:val="auto"/>
          <w:sz w:val="28"/>
          <w:szCs w:val="28"/>
          <w:highlight w:val="none"/>
          <w:u w:val="single"/>
          <w:lang w:val="en-US" w:eastAsia="zh-CN"/>
        </w:rPr>
      </w:pPr>
    </w:p>
    <w:p w14:paraId="12A9E196">
      <w:pPr>
        <w:spacing w:line="240" w:lineRule="atLeast"/>
        <w:outlineLvl w:val="9"/>
        <w:rPr>
          <w:rFonts w:hint="default" w:ascii="仿宋" w:hAnsi="仿宋" w:eastAsia="仿宋" w:cs="仿宋"/>
          <w:b/>
          <w:color w:val="auto"/>
          <w:sz w:val="28"/>
          <w:szCs w:val="28"/>
          <w:highlight w:val="none"/>
          <w:u w:val="single"/>
          <w:lang w:val="en-US" w:eastAsia="zh-CN"/>
        </w:rPr>
      </w:pPr>
      <w:r>
        <w:rPr>
          <w:rFonts w:hint="eastAsia" w:ascii="仿宋" w:hAnsi="仿宋" w:eastAsia="仿宋" w:cs="仿宋"/>
          <w:b/>
          <w:color w:val="auto"/>
          <w:sz w:val="28"/>
          <w:szCs w:val="28"/>
          <w:highlight w:val="none"/>
          <w:u w:val="single"/>
          <w:lang w:val="en-US" w:eastAsia="zh-CN"/>
        </w:rPr>
        <w:t xml:space="preserve">代理机构：        新疆玖域招标代理有限公司            </w:t>
      </w:r>
    </w:p>
    <w:p w14:paraId="6C287D10">
      <w:pPr>
        <w:spacing w:line="240" w:lineRule="atLeast"/>
        <w:outlineLvl w:val="9"/>
        <w:rPr>
          <w:rFonts w:hint="eastAsia" w:ascii="仿宋" w:hAnsi="仿宋" w:eastAsia="仿宋" w:cs="仿宋"/>
          <w:b/>
          <w:color w:val="auto"/>
          <w:sz w:val="28"/>
          <w:szCs w:val="28"/>
          <w:highlight w:val="none"/>
          <w:u w:val="single"/>
          <w:lang w:val="en-US" w:eastAsia="zh-CN"/>
        </w:rPr>
      </w:pPr>
      <w:r>
        <w:rPr>
          <w:rFonts w:hint="eastAsia" w:ascii="仿宋" w:hAnsi="仿宋" w:eastAsia="仿宋" w:cs="仿宋"/>
          <w:b/>
          <w:color w:val="auto"/>
          <w:sz w:val="28"/>
          <w:szCs w:val="28"/>
          <w:highlight w:val="none"/>
          <w:u w:val="single"/>
          <w:lang w:val="en-US" w:eastAsia="zh-CN"/>
        </w:rPr>
        <w:t xml:space="preserve">联 系 人：               秦鹏                         </w:t>
      </w:r>
    </w:p>
    <w:p w14:paraId="2F5AC096">
      <w:pPr>
        <w:spacing w:line="240" w:lineRule="atLeast"/>
        <w:outlineLvl w:val="9"/>
        <w:rPr>
          <w:rFonts w:hint="eastAsia" w:ascii="仿宋" w:hAnsi="仿宋" w:eastAsia="仿宋" w:cs="仿宋"/>
          <w:b/>
          <w:bCs/>
          <w:color w:val="FF0000"/>
          <w:sz w:val="32"/>
          <w:szCs w:val="40"/>
          <w:highlight w:val="none"/>
        </w:rPr>
      </w:pPr>
      <w:r>
        <w:rPr>
          <w:rFonts w:hint="eastAsia" w:ascii="仿宋" w:hAnsi="仿宋" w:eastAsia="仿宋" w:cs="仿宋"/>
          <w:b/>
          <w:color w:val="auto"/>
          <w:sz w:val="28"/>
          <w:szCs w:val="28"/>
          <w:highlight w:val="none"/>
          <w:u w:val="single"/>
          <w:lang w:val="en-US" w:eastAsia="zh-CN"/>
        </w:rPr>
        <w:t xml:space="preserve">联系电话：            18699865669                     </w:t>
      </w:r>
      <w:r>
        <w:rPr>
          <w:rFonts w:hint="eastAsia" w:ascii="仿宋" w:hAnsi="仿宋" w:eastAsia="仿宋" w:cs="仿宋"/>
          <w:b/>
          <w:color w:val="FF0000"/>
          <w:sz w:val="28"/>
          <w:szCs w:val="28"/>
          <w:highlight w:val="none"/>
        </w:rPr>
        <w:t xml:space="preserve"> </w:t>
      </w:r>
    </w:p>
    <w:p w14:paraId="40B70343">
      <w:pPr>
        <w:spacing w:line="240" w:lineRule="atLeast"/>
        <w:jc w:val="center"/>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  </w:t>
      </w:r>
    </w:p>
    <w:p w14:paraId="29EAEB3B">
      <w:pPr>
        <w:spacing w:line="240" w:lineRule="atLeast"/>
        <w:jc w:val="center"/>
        <w:outlineLvl w:val="9"/>
        <w:rPr>
          <w:rFonts w:hint="eastAsia" w:ascii="仿宋" w:hAnsi="仿宋" w:eastAsia="仿宋" w:cs="仿宋"/>
          <w:b/>
          <w:color w:val="auto"/>
          <w:sz w:val="28"/>
          <w:szCs w:val="28"/>
          <w:highlight w:val="none"/>
          <w:lang w:val="en-US" w:eastAsia="zh-CN"/>
        </w:rPr>
      </w:pPr>
    </w:p>
    <w:p w14:paraId="2DF6695E">
      <w:pPr>
        <w:spacing w:line="240" w:lineRule="atLeast"/>
        <w:jc w:val="center"/>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    </w:t>
      </w:r>
    </w:p>
    <w:p w14:paraId="063C7DD9">
      <w:pPr>
        <w:spacing w:line="240" w:lineRule="atLeast"/>
        <w:jc w:val="center"/>
        <w:outlineLvl w:val="9"/>
        <w:rPr>
          <w:rFonts w:hint="eastAsia" w:ascii="仿宋" w:hAnsi="仿宋" w:eastAsia="仿宋" w:cs="仿宋"/>
          <w:b/>
          <w:color w:val="auto"/>
          <w:sz w:val="28"/>
          <w:szCs w:val="28"/>
          <w:highlight w:val="none"/>
          <w:lang w:val="en-US" w:eastAsia="zh-CN"/>
        </w:rPr>
      </w:pPr>
    </w:p>
    <w:p w14:paraId="2D2A39B0">
      <w:pPr>
        <w:spacing w:line="240" w:lineRule="atLeast"/>
        <w:jc w:val="center"/>
        <w:outlineLvl w:val="9"/>
        <w:rPr>
          <w:rFonts w:hint="eastAsia" w:ascii="仿宋" w:hAnsi="仿宋" w:eastAsia="仿宋" w:cs="仿宋"/>
          <w:b/>
          <w:color w:val="auto"/>
          <w:sz w:val="28"/>
          <w:szCs w:val="28"/>
          <w:highlight w:val="none"/>
          <w:lang w:val="en-US" w:eastAsia="zh-CN"/>
        </w:rPr>
        <w:sectPr>
          <w:head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日期：20</w:t>
      </w:r>
      <w:r>
        <w:rPr>
          <w:rFonts w:hint="eastAsia" w:ascii="仿宋" w:hAnsi="仿宋" w:eastAsia="仿宋" w:cs="仿宋"/>
          <w:b/>
          <w:color w:val="auto"/>
          <w:sz w:val="28"/>
          <w:szCs w:val="28"/>
          <w:highlight w:val="none"/>
          <w:lang w:val="en-US" w:eastAsia="zh-CN"/>
        </w:rPr>
        <w:t>26</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4月</w:t>
      </w:r>
    </w:p>
    <w:p w14:paraId="090381F6">
      <w:pPr>
        <w:jc w:val="center"/>
        <w:rPr>
          <w:rFonts w:hint="eastAsia" w:ascii="仿宋" w:hAnsi="仿宋" w:eastAsia="仿宋" w:cs="仿宋"/>
          <w:b/>
          <w:bCs/>
          <w:color w:val="auto"/>
          <w:sz w:val="32"/>
          <w:szCs w:val="40"/>
          <w:highlight w:val="none"/>
        </w:rPr>
      </w:pPr>
      <w:bookmarkStart w:id="21" w:name="_Toc17230"/>
      <w:bookmarkStart w:id="22" w:name="_Toc8627"/>
      <w:bookmarkStart w:id="23" w:name="_Toc216582804"/>
      <w:bookmarkStart w:id="24" w:name="_Toc22782"/>
      <w:bookmarkStart w:id="25" w:name="_Toc25253"/>
      <w:bookmarkStart w:id="26" w:name="_Toc16548"/>
      <w:bookmarkStart w:id="27" w:name="_Toc515647798"/>
      <w:bookmarkStart w:id="28" w:name="_Toc11115"/>
      <w:bookmarkStart w:id="29" w:name="_Toc1148"/>
      <w:r>
        <w:rPr>
          <w:rFonts w:hint="eastAsia" w:ascii="仿宋" w:hAnsi="仿宋" w:eastAsia="仿宋" w:cs="仿宋"/>
          <w:b/>
          <w:bCs/>
          <w:color w:val="auto"/>
          <w:sz w:val="32"/>
          <w:szCs w:val="40"/>
          <w:highlight w:val="none"/>
        </w:rPr>
        <w:t>目   录</w:t>
      </w:r>
    </w:p>
    <w:p w14:paraId="5192FE2D">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TOC \o "1-3" \h \u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_Toc12897 </w:instrText>
      </w:r>
      <w:r>
        <w:rPr>
          <w:rFonts w:hint="eastAsia" w:ascii="仿宋" w:hAnsi="仿宋" w:eastAsia="仿宋" w:cs="仿宋"/>
          <w:color w:val="auto"/>
          <w:szCs w:val="21"/>
          <w:highlight w:val="none"/>
        </w:rPr>
        <w:fldChar w:fldCharType="separate"/>
      </w:r>
      <w:r>
        <w:rPr>
          <w:rFonts w:hint="eastAsia" w:ascii="仿宋" w:hAnsi="仿宋" w:eastAsia="仿宋" w:cs="仿宋"/>
          <w:bCs/>
          <w:color w:val="auto"/>
          <w:szCs w:val="32"/>
          <w:highlight w:val="none"/>
        </w:rPr>
        <w:t>第1章</w:t>
      </w:r>
      <w:r>
        <w:rPr>
          <w:rFonts w:hint="eastAsia" w:ascii="仿宋" w:hAnsi="仿宋" w:eastAsia="仿宋" w:cs="仿宋"/>
          <w:bCs/>
          <w:color w:val="auto"/>
          <w:szCs w:val="32"/>
          <w:highlight w:val="none"/>
          <w:lang w:val="en-US" w:eastAsia="zh-CN"/>
        </w:rPr>
        <w:t xml:space="preserve">  </w:t>
      </w:r>
      <w:r>
        <w:rPr>
          <w:rFonts w:hint="eastAsia" w:ascii="仿宋" w:hAnsi="仿宋" w:eastAsia="仿宋" w:cs="仿宋"/>
          <w:bCs/>
          <w:color w:val="auto"/>
          <w:szCs w:val="32"/>
          <w:highlight w:val="none"/>
          <w:lang w:eastAsia="zh-CN"/>
        </w:rPr>
        <w:t>供应商</w:t>
      </w:r>
      <w:r>
        <w:rPr>
          <w:rFonts w:hint="eastAsia" w:ascii="仿宋" w:hAnsi="仿宋" w:eastAsia="仿宋" w:cs="仿宋"/>
          <w:bCs/>
          <w:color w:val="auto"/>
          <w:szCs w:val="32"/>
          <w:highlight w:val="none"/>
        </w:rPr>
        <w:t>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_Toc12897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w:t>
      </w:r>
      <w:r>
        <w:rPr>
          <w:rFonts w:hint="eastAsia" w:ascii="仿宋" w:hAnsi="仿宋" w:eastAsia="仿宋" w:cs="仿宋"/>
          <w:color w:val="auto"/>
          <w:highlight w:val="none"/>
        </w:rPr>
        <w:fldChar w:fldCharType="end"/>
      </w:r>
      <w:r>
        <w:rPr>
          <w:rFonts w:hint="eastAsia" w:ascii="仿宋" w:hAnsi="仿宋" w:eastAsia="仿宋" w:cs="仿宋"/>
          <w:color w:val="auto"/>
          <w:szCs w:val="21"/>
          <w:highlight w:val="none"/>
        </w:rPr>
        <w:fldChar w:fldCharType="end"/>
      </w:r>
    </w:p>
    <w:p w14:paraId="1A764BA3">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_Toc29004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4"/>
          <w:highlight w:val="none"/>
        </w:rPr>
        <w:t>一   总 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_Toc29004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5A295B4A">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_Toc13790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4"/>
          <w:highlight w:val="none"/>
        </w:rPr>
        <w:t>二   招标文件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_Toc13790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5C86A075">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_Toc3736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4"/>
          <w:highlight w:val="none"/>
        </w:rPr>
        <w:t>三   投标文件的编制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_Toc3736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21A1FB44">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_Toc20477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4"/>
          <w:highlight w:val="none"/>
        </w:rPr>
        <w:t>四   投标文件的递交</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_Toc20477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6507A2CF">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_Toc10548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4"/>
          <w:highlight w:val="none"/>
        </w:rPr>
        <w:t>五   开标及评标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_Toc10548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10</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0205B20E">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_Toc27430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4"/>
          <w:highlight w:val="none"/>
        </w:rPr>
        <w:t>六   确定中标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_Toc27430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01184A95">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_Toc22390 </w:instrText>
      </w:r>
      <w:r>
        <w:rPr>
          <w:rFonts w:hint="eastAsia" w:ascii="仿宋" w:hAnsi="仿宋" w:eastAsia="仿宋" w:cs="仿宋"/>
          <w:color w:val="auto"/>
          <w:kern w:val="2"/>
          <w:szCs w:val="21"/>
          <w:highlight w:val="none"/>
        </w:rPr>
        <w:fldChar w:fldCharType="separate"/>
      </w:r>
      <w:r>
        <w:rPr>
          <w:rFonts w:hint="eastAsia" w:ascii="仿宋" w:hAnsi="仿宋" w:eastAsia="仿宋" w:cs="仿宋"/>
          <w:bCs/>
          <w:color w:val="auto"/>
          <w:kern w:val="0"/>
          <w:szCs w:val="32"/>
          <w:highlight w:val="none"/>
          <w:lang w:val="en-US" w:eastAsia="zh-CN" w:bidi="ar-SA"/>
        </w:rPr>
        <w:t>第2章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_Toc22390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21</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0D9AADD9">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_Toc26858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4"/>
          <w:highlight w:val="none"/>
        </w:rPr>
        <w:t>第一部分 开标一览表及资格证明文件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_Toc26858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21</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1B8312C7">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_Toc29944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rPr>
        <w:t>1.开标一览表；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_Toc29944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48764AF7">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_Toc16252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合格有效的三证合一的营业执照（三证合一）或电子营业执照（需加盖公章）或同等法律效力的证明文件（发证机关或公证机关出具的证明材料）；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_Toc16252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5204DE02">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_Toc14661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 xml:space="preserve">. </w:t>
      </w:r>
      <w:r>
        <w:rPr>
          <w:rFonts w:hint="eastAsia" w:ascii="仿宋" w:hAnsi="仿宋" w:eastAsia="仿宋" w:cs="仿宋"/>
          <w:color w:val="auto"/>
          <w:szCs w:val="28"/>
          <w:highlight w:val="none"/>
          <w:lang w:val="en-US" w:eastAsia="zh-CN"/>
        </w:rPr>
        <w:t>法定代表人资格证明及授权书、被授权人身份证(法定代表人投标需提供法定代表人身份证)；</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_Toc14661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4AEFEB65">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_Toc31929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4.提供近两年内任意一年的财务审计报告（新成立未满一年的新公司可提供近三个月内任意一个月的银行资信证明）；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_Toc31929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600369C6">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_Toc21555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5.依法缴纳近3个月内任意一个月社会保险证明；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_Toc21555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6F42B0F4">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_Toc7759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kern w:val="2"/>
          <w:szCs w:val="21"/>
          <w:highlight w:val="none"/>
          <w:lang w:val="en-US" w:eastAsia="zh-CN"/>
        </w:rPr>
        <w:t>6</w:t>
      </w:r>
      <w:r>
        <w:rPr>
          <w:rFonts w:hint="eastAsia" w:ascii="仿宋" w:hAnsi="仿宋" w:eastAsia="仿宋" w:cs="仿宋"/>
          <w:color w:val="auto"/>
          <w:szCs w:val="28"/>
          <w:highlight w:val="none"/>
          <w:lang w:val="en-US" w:eastAsia="zh-CN"/>
        </w:rPr>
        <w:t>.依法缴纳近3个月内任意一个月税收证明；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_Toc7759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7A2924D8">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_Toc19599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w:t>
      </w:r>
      <w:r>
        <w:rPr>
          <w:rFonts w:hint="eastAsia" w:ascii="仿宋" w:hAnsi="仿宋" w:eastAsia="仿宋" w:cs="仿宋"/>
          <w:color w:val="auto"/>
          <w:spacing w:val="-2"/>
          <w:szCs w:val="21"/>
          <w:highlight w:val="none"/>
        </w:rPr>
        <w:t>（以采购代理机构或采购人查询为准）</w:t>
      </w:r>
      <w:r>
        <w:rPr>
          <w:rFonts w:hint="eastAsia" w:ascii="仿宋" w:hAnsi="仿宋" w:eastAsia="仿宋" w:cs="仿宋"/>
          <w:color w:val="auto"/>
          <w:spacing w:val="-2"/>
          <w:szCs w:val="21"/>
          <w:highlight w:val="none"/>
          <w:lang w:eastAsia="zh-CN"/>
        </w:rPr>
        <w:t>；</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_Toc19599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2D426A9D">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_Toc24966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8.参与政府采购活动前3年内未被列入失信、重大税收违法案件、财政部门禁止参加政府采购活动的承诺书；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_Toc24966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795FCCCB">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_Toc13096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9.提供针对本次项目的《反商业贿赂承诺书》；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_Toc13096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471436A0">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_Toc32156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10.缴纳投标保证金的有效凭证；</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_Toc32156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26</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4706981B">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_Toc19813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11.银行开户许可证复印件或银行基本账户信息(包含：银行账号及开户行名称）；</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_Toc19813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26</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0F1D9255">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_Toc18703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12.供应商可提供有利于投标的其他资格证明材料。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_Toc18703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26</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6C3AD450">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_Toc27567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highlight w:val="none"/>
        </w:rPr>
        <w:t>第二部分  商务及技术文件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_Toc27567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27</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786768FB">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_Toc32484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1.投标书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_Toc32484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28</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66E41598">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_Toc24631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2.投标分项报价表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_Toc24631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29</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145AA798">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_Toc1758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3.货物说明一览表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_Toc1758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31</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61DED38E">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_Toc8378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4.技术规格偏离表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_Toc8378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5EF5BC26">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_Toc8354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5.商务条款偏离表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_Toc8354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33</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080B8A4E">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_Toc5026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6-1中小企业声明函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_Toc5026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34</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504DEBFB">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_Toc4327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6-2 残疾人福利性单位声明函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_Toc4327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2F53391F">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_Toc19192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7.供应商关联单位的说明（格式自拟）</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_Toc19192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1AA77375">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_Toc10519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8.供应商可提供有利于投标的其他证明材料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_Toc10519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132DA0AA">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_Toc17398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szCs w:val="28"/>
          <w:highlight w:val="none"/>
          <w:lang w:val="en-US" w:eastAsia="zh-CN"/>
        </w:rPr>
        <w:t>9.投标文件格式范本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_Toc17398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3A3B3D5C">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_Toc1297 </w:instrText>
      </w:r>
      <w:r>
        <w:rPr>
          <w:rFonts w:hint="eastAsia" w:ascii="仿宋" w:hAnsi="仿宋" w:eastAsia="仿宋" w:cs="仿宋"/>
          <w:color w:val="auto"/>
          <w:kern w:val="2"/>
          <w:szCs w:val="21"/>
          <w:highlight w:val="none"/>
        </w:rPr>
        <w:fldChar w:fldCharType="separate"/>
      </w:r>
      <w:r>
        <w:rPr>
          <w:rFonts w:hint="eastAsia" w:ascii="仿宋" w:hAnsi="仿宋" w:eastAsia="仿宋" w:cs="仿宋"/>
          <w:bCs/>
          <w:color w:val="auto"/>
          <w:kern w:val="0"/>
          <w:szCs w:val="32"/>
          <w:highlight w:val="none"/>
          <w:lang w:val="en-US" w:eastAsia="zh-CN" w:bidi="ar-SA"/>
        </w:rPr>
        <w:t>第3章  投标邀请</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36A3BEAB">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_Toc14411 </w:instrText>
      </w:r>
      <w:r>
        <w:rPr>
          <w:rFonts w:hint="eastAsia" w:ascii="仿宋" w:hAnsi="仿宋" w:eastAsia="仿宋" w:cs="仿宋"/>
          <w:color w:val="auto"/>
          <w:kern w:val="2"/>
          <w:szCs w:val="21"/>
          <w:highlight w:val="none"/>
        </w:rPr>
        <w:fldChar w:fldCharType="separate"/>
      </w:r>
      <w:r>
        <w:rPr>
          <w:rFonts w:hint="eastAsia" w:ascii="仿宋" w:hAnsi="仿宋" w:eastAsia="仿宋" w:cs="仿宋"/>
          <w:bCs/>
          <w:color w:val="auto"/>
          <w:kern w:val="0"/>
          <w:szCs w:val="32"/>
          <w:highlight w:val="none"/>
          <w:lang w:val="en-US" w:eastAsia="zh-CN" w:bidi="ar-SA"/>
        </w:rPr>
        <w:t>第4章  供应商须知资料表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_Toc14411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43</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3FC4AB21">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_Toc30701 </w:instrText>
      </w:r>
      <w:r>
        <w:rPr>
          <w:rFonts w:hint="eastAsia" w:ascii="仿宋" w:hAnsi="仿宋" w:eastAsia="仿宋" w:cs="仿宋"/>
          <w:color w:val="auto"/>
          <w:kern w:val="2"/>
          <w:szCs w:val="21"/>
          <w:highlight w:val="none"/>
        </w:rPr>
        <w:fldChar w:fldCharType="separate"/>
      </w:r>
      <w:r>
        <w:rPr>
          <w:rFonts w:hint="eastAsia" w:ascii="仿宋" w:hAnsi="仿宋" w:eastAsia="仿宋" w:cs="仿宋"/>
          <w:bCs/>
          <w:color w:val="auto"/>
          <w:kern w:val="0"/>
          <w:szCs w:val="32"/>
          <w:highlight w:val="none"/>
          <w:lang w:val="en-US" w:eastAsia="zh-CN" w:bidi="ar-SA"/>
        </w:rPr>
        <w:t>第5章  货物内容及项目要求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_Toc30701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47</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7DA63462">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_Toc13893 </w:instrText>
      </w:r>
      <w:r>
        <w:rPr>
          <w:rFonts w:hint="eastAsia" w:ascii="仿宋" w:hAnsi="仿宋" w:eastAsia="仿宋" w:cs="仿宋"/>
          <w:color w:val="auto"/>
          <w:kern w:val="2"/>
          <w:szCs w:val="21"/>
          <w:highlight w:val="none"/>
        </w:rPr>
        <w:fldChar w:fldCharType="separate"/>
      </w:r>
      <w:r>
        <w:rPr>
          <w:rFonts w:hint="eastAsia" w:ascii="仿宋" w:hAnsi="仿宋" w:eastAsia="仿宋" w:cs="仿宋"/>
          <w:bCs/>
          <w:i w:val="0"/>
          <w:caps w:val="0"/>
          <w:color w:val="auto"/>
          <w:spacing w:val="0"/>
          <w:w w:val="100"/>
          <w:kern w:val="0"/>
          <w:szCs w:val="28"/>
          <w:highlight w:val="none"/>
          <w:lang w:val="en-US" w:eastAsia="zh-CN" w:bidi="ar-SA"/>
        </w:rPr>
        <w:t>一、货物需求：</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4</w:t>
      </w:r>
      <w:r>
        <w:rPr>
          <w:rFonts w:hint="eastAsia" w:ascii="仿宋" w:hAnsi="仿宋" w:eastAsia="仿宋" w:cs="仿宋"/>
          <w:color w:val="auto"/>
          <w:kern w:val="2"/>
          <w:szCs w:val="21"/>
          <w:highlight w:val="none"/>
        </w:rPr>
        <w:fldChar w:fldCharType="end"/>
      </w:r>
      <w:r>
        <w:rPr>
          <w:rFonts w:hint="eastAsia" w:ascii="仿宋" w:hAnsi="仿宋" w:eastAsia="仿宋" w:cs="仿宋"/>
          <w:color w:val="auto"/>
          <w:kern w:val="2"/>
          <w:szCs w:val="21"/>
          <w:highlight w:val="none"/>
          <w:lang w:val="en-US" w:eastAsia="zh-CN"/>
        </w:rPr>
        <w:t>7</w:t>
      </w:r>
    </w:p>
    <w:p w14:paraId="5D2D0B0C">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_Toc20225 </w:instrText>
      </w:r>
      <w:r>
        <w:rPr>
          <w:rFonts w:hint="eastAsia" w:ascii="仿宋" w:hAnsi="仿宋" w:eastAsia="仿宋" w:cs="仿宋"/>
          <w:color w:val="auto"/>
          <w:kern w:val="2"/>
          <w:szCs w:val="21"/>
          <w:highlight w:val="none"/>
        </w:rPr>
        <w:fldChar w:fldCharType="separate"/>
      </w:r>
      <w:r>
        <w:rPr>
          <w:rFonts w:hint="eastAsia" w:ascii="仿宋" w:hAnsi="仿宋" w:eastAsia="仿宋" w:cs="仿宋"/>
          <w:bCs/>
          <w:color w:val="auto"/>
          <w:szCs w:val="24"/>
          <w:highlight w:val="none"/>
          <w:lang w:val="en-US" w:eastAsia="zh-CN"/>
        </w:rPr>
        <w:t>二、 项目要求：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_Toc20225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47</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65755C0F">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_Toc26305 </w:instrText>
      </w:r>
      <w:r>
        <w:rPr>
          <w:rFonts w:hint="eastAsia" w:ascii="仿宋" w:hAnsi="仿宋" w:eastAsia="仿宋" w:cs="仿宋"/>
          <w:color w:val="auto"/>
          <w:kern w:val="2"/>
          <w:szCs w:val="21"/>
          <w:highlight w:val="none"/>
        </w:rPr>
        <w:fldChar w:fldCharType="separate"/>
      </w:r>
      <w:r>
        <w:rPr>
          <w:rFonts w:hint="eastAsia" w:ascii="仿宋" w:hAnsi="仿宋" w:eastAsia="仿宋" w:cs="仿宋"/>
          <w:bCs/>
          <w:color w:val="auto"/>
          <w:kern w:val="0"/>
          <w:szCs w:val="32"/>
          <w:highlight w:val="none"/>
          <w:lang w:val="en-US" w:eastAsia="zh-CN" w:bidi="ar-SA"/>
        </w:rPr>
        <w:t>第6章  评标方法和标准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_Toc26305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59</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67574567">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_Toc19552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highlight w:val="none"/>
        </w:rPr>
        <w:t>初步评审—资格性审查表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_Toc19552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64</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4E65D17A">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_Toc6970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highlight w:val="none"/>
        </w:rPr>
        <w:t>初步评审—符合性审查表</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7</w:t>
      </w:r>
      <w:r>
        <w:rPr>
          <w:rFonts w:hint="eastAsia" w:ascii="仿宋" w:hAnsi="仿宋" w:eastAsia="仿宋" w:cs="仿宋"/>
          <w:color w:val="auto"/>
          <w:kern w:val="2"/>
          <w:szCs w:val="21"/>
          <w:highlight w:val="none"/>
        </w:rPr>
        <w:fldChar w:fldCharType="end"/>
      </w:r>
      <w:r>
        <w:rPr>
          <w:rFonts w:hint="eastAsia" w:ascii="仿宋" w:hAnsi="仿宋" w:eastAsia="仿宋" w:cs="仿宋"/>
          <w:color w:val="auto"/>
          <w:kern w:val="2"/>
          <w:szCs w:val="21"/>
          <w:highlight w:val="none"/>
          <w:lang w:val="en-US" w:eastAsia="zh-CN"/>
        </w:rPr>
        <w:t>6</w:t>
      </w:r>
    </w:p>
    <w:p w14:paraId="435D2FFB">
      <w:pPr>
        <w:pStyle w:val="24"/>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_Toc3259 </w:instrText>
      </w:r>
      <w:r>
        <w:rPr>
          <w:rFonts w:hint="eastAsia" w:ascii="仿宋" w:hAnsi="仿宋" w:eastAsia="仿宋" w:cs="仿宋"/>
          <w:color w:val="auto"/>
          <w:kern w:val="2"/>
          <w:szCs w:val="21"/>
          <w:highlight w:val="none"/>
        </w:rPr>
        <w:fldChar w:fldCharType="separate"/>
      </w:r>
      <w:r>
        <w:rPr>
          <w:rFonts w:hint="eastAsia" w:ascii="仿宋" w:hAnsi="仿宋" w:eastAsia="仿宋" w:cs="仿宋"/>
          <w:color w:val="auto"/>
          <w:highlight w:val="none"/>
        </w:rPr>
        <w:t>综合评分表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_Toc3259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66</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4493F557">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begin"/>
      </w:r>
      <w:r>
        <w:rPr>
          <w:rFonts w:hint="eastAsia" w:ascii="仿宋" w:hAnsi="仿宋" w:eastAsia="仿宋" w:cs="仿宋"/>
          <w:color w:val="auto"/>
          <w:kern w:val="2"/>
          <w:szCs w:val="21"/>
          <w:highlight w:val="none"/>
        </w:rPr>
        <w:instrText xml:space="preserve"> HYPERLINK \l _Toc18042 </w:instrText>
      </w:r>
      <w:r>
        <w:rPr>
          <w:rFonts w:hint="eastAsia" w:ascii="仿宋" w:hAnsi="仿宋" w:eastAsia="仿宋" w:cs="仿宋"/>
          <w:color w:val="auto"/>
          <w:kern w:val="2"/>
          <w:szCs w:val="21"/>
          <w:highlight w:val="none"/>
        </w:rPr>
        <w:fldChar w:fldCharType="separate"/>
      </w:r>
      <w:r>
        <w:rPr>
          <w:rFonts w:hint="eastAsia" w:ascii="仿宋" w:hAnsi="仿宋" w:eastAsia="仿宋" w:cs="仿宋"/>
          <w:bCs/>
          <w:color w:val="auto"/>
          <w:kern w:val="0"/>
          <w:szCs w:val="32"/>
          <w:highlight w:val="none"/>
          <w:lang w:val="en-US" w:eastAsia="zh-CN" w:bidi="ar-SA"/>
        </w:rPr>
        <w:t>第7章  政府采购合同</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_Toc18042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69</w:t>
      </w:r>
      <w:r>
        <w:rPr>
          <w:rFonts w:hint="eastAsia" w:ascii="仿宋" w:hAnsi="仿宋" w:eastAsia="仿宋" w:cs="仿宋"/>
          <w:color w:val="auto"/>
          <w:highlight w:val="none"/>
        </w:rPr>
        <w:fldChar w:fldCharType="end"/>
      </w:r>
      <w:r>
        <w:rPr>
          <w:rFonts w:hint="eastAsia" w:ascii="仿宋" w:hAnsi="仿宋" w:eastAsia="仿宋" w:cs="仿宋"/>
          <w:color w:val="auto"/>
          <w:kern w:val="2"/>
          <w:szCs w:val="21"/>
          <w:highlight w:val="none"/>
        </w:rPr>
        <w:fldChar w:fldCharType="end"/>
      </w:r>
    </w:p>
    <w:p w14:paraId="51395D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kern w:val="2"/>
          <w:szCs w:val="21"/>
          <w:highlight w:val="none"/>
        </w:rPr>
        <w:fldChar w:fldCharType="end"/>
      </w:r>
      <w:r>
        <w:rPr>
          <w:rFonts w:hint="eastAsia" w:ascii="仿宋" w:hAnsi="仿宋" w:eastAsia="仿宋" w:cs="仿宋"/>
          <w:color w:val="auto"/>
          <w:highlight w:val="none"/>
        </w:rPr>
        <w:br w:type="page"/>
      </w:r>
    </w:p>
    <w:p w14:paraId="371E1164">
      <w:pPr>
        <w:spacing w:line="240" w:lineRule="atLeast"/>
        <w:jc w:val="center"/>
        <w:rPr>
          <w:rFonts w:hint="eastAsia" w:ascii="仿宋" w:hAnsi="仿宋" w:eastAsia="仿宋" w:cs="仿宋"/>
          <w:color w:val="auto"/>
          <w:sz w:val="32"/>
          <w:szCs w:val="32"/>
          <w:highlight w:val="none"/>
        </w:rPr>
      </w:pPr>
    </w:p>
    <w:p w14:paraId="770F2971">
      <w:pPr>
        <w:spacing w:line="240" w:lineRule="atLeast"/>
        <w:jc w:val="center"/>
        <w:rPr>
          <w:rFonts w:hint="eastAsia" w:ascii="仿宋" w:hAnsi="仿宋" w:eastAsia="仿宋" w:cs="仿宋"/>
          <w:color w:val="auto"/>
          <w:sz w:val="32"/>
          <w:szCs w:val="32"/>
          <w:highlight w:val="none"/>
        </w:rPr>
      </w:pPr>
    </w:p>
    <w:p w14:paraId="0B33C4C9">
      <w:pPr>
        <w:spacing w:line="240" w:lineRule="atLeast"/>
        <w:jc w:val="center"/>
        <w:rPr>
          <w:rFonts w:hint="eastAsia" w:ascii="仿宋" w:hAnsi="仿宋" w:eastAsia="仿宋" w:cs="仿宋"/>
          <w:color w:val="auto"/>
          <w:sz w:val="32"/>
          <w:szCs w:val="32"/>
          <w:highlight w:val="none"/>
        </w:rPr>
      </w:pPr>
    </w:p>
    <w:p w14:paraId="1C607C4D">
      <w:pPr>
        <w:spacing w:line="240" w:lineRule="atLeast"/>
        <w:jc w:val="center"/>
        <w:rPr>
          <w:rFonts w:hint="eastAsia" w:ascii="仿宋" w:hAnsi="仿宋" w:eastAsia="仿宋" w:cs="仿宋"/>
          <w:color w:val="auto"/>
          <w:sz w:val="32"/>
          <w:szCs w:val="32"/>
          <w:highlight w:val="none"/>
        </w:rPr>
      </w:pPr>
    </w:p>
    <w:p w14:paraId="505DC87A">
      <w:pPr>
        <w:spacing w:line="240" w:lineRule="atLeast"/>
        <w:jc w:val="center"/>
        <w:rPr>
          <w:rFonts w:hint="eastAsia" w:ascii="仿宋" w:hAnsi="仿宋" w:eastAsia="仿宋" w:cs="仿宋"/>
          <w:color w:val="auto"/>
          <w:sz w:val="32"/>
          <w:szCs w:val="32"/>
          <w:highlight w:val="none"/>
        </w:rPr>
      </w:pPr>
    </w:p>
    <w:p w14:paraId="5C1125FD">
      <w:pPr>
        <w:spacing w:line="240" w:lineRule="atLeast"/>
        <w:jc w:val="both"/>
        <w:rPr>
          <w:rFonts w:hint="eastAsia" w:ascii="仿宋" w:hAnsi="仿宋" w:eastAsia="仿宋" w:cs="仿宋"/>
          <w:color w:val="auto"/>
          <w:sz w:val="32"/>
          <w:szCs w:val="32"/>
          <w:highlight w:val="none"/>
        </w:rPr>
      </w:pPr>
    </w:p>
    <w:p w14:paraId="59D24A3B">
      <w:pPr>
        <w:spacing w:line="240" w:lineRule="atLeast"/>
        <w:jc w:val="center"/>
        <w:rPr>
          <w:rFonts w:hint="eastAsia" w:ascii="仿宋" w:hAnsi="仿宋" w:eastAsia="仿宋" w:cs="仿宋"/>
          <w:color w:val="auto"/>
          <w:sz w:val="32"/>
          <w:szCs w:val="32"/>
          <w:highlight w:val="none"/>
        </w:rPr>
      </w:pPr>
    </w:p>
    <w:p w14:paraId="55C7C412">
      <w:pPr>
        <w:spacing w:line="240" w:lineRule="atLeast"/>
        <w:jc w:val="center"/>
        <w:rPr>
          <w:rFonts w:hint="eastAsia" w:ascii="仿宋" w:hAnsi="仿宋" w:eastAsia="仿宋" w:cs="仿宋"/>
          <w:color w:val="auto"/>
          <w:sz w:val="32"/>
          <w:szCs w:val="32"/>
          <w:highlight w:val="none"/>
        </w:rPr>
      </w:pPr>
    </w:p>
    <w:p w14:paraId="6D123776">
      <w:pPr>
        <w:spacing w:line="240" w:lineRule="atLeast"/>
        <w:jc w:val="center"/>
        <w:outlineLvl w:val="9"/>
        <w:rPr>
          <w:rFonts w:hint="eastAsia" w:ascii="仿宋" w:hAnsi="仿宋" w:eastAsia="仿宋" w:cs="仿宋"/>
          <w:b/>
          <w:color w:val="auto"/>
          <w:sz w:val="44"/>
          <w:szCs w:val="44"/>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color w:val="auto"/>
          <w:sz w:val="44"/>
          <w:szCs w:val="44"/>
          <w:highlight w:val="none"/>
        </w:rPr>
        <w:t>招 标 文 件</w:t>
      </w:r>
    </w:p>
    <w:p w14:paraId="3F22FEB8">
      <w:pPr>
        <w:spacing w:line="360" w:lineRule="auto"/>
        <w:outlineLvl w:val="9"/>
        <w:rPr>
          <w:rFonts w:hint="eastAsia" w:ascii="仿宋" w:hAnsi="仿宋" w:eastAsia="仿宋" w:cs="仿宋"/>
          <w:b/>
          <w:color w:val="auto"/>
          <w:sz w:val="40"/>
          <w:szCs w:val="40"/>
          <w:highlight w:val="none"/>
        </w:rPr>
      </w:pPr>
    </w:p>
    <w:p w14:paraId="7082861E">
      <w:pPr>
        <w:spacing w:line="360" w:lineRule="auto"/>
        <w:jc w:val="center"/>
        <w:outlineLvl w:val="9"/>
        <w:rPr>
          <w:rFonts w:hint="default" w:ascii="仿宋" w:hAnsi="仿宋" w:eastAsia="仿宋" w:cs="仿宋"/>
          <w:b/>
          <w:color w:val="auto"/>
          <w:sz w:val="32"/>
          <w:highlight w:val="none"/>
          <w:lang w:val="en-US" w:eastAsia="zh-CN"/>
        </w:rPr>
      </w:pPr>
      <w:r>
        <w:rPr>
          <w:rFonts w:hint="eastAsia" w:ascii="仿宋" w:hAnsi="仿宋" w:eastAsia="仿宋" w:cs="仿宋"/>
          <w:b/>
          <w:color w:val="auto"/>
          <w:sz w:val="40"/>
          <w:szCs w:val="40"/>
          <w:highlight w:val="none"/>
        </w:rPr>
        <w:t>项目编号：</w:t>
      </w:r>
      <w:r>
        <w:rPr>
          <w:rFonts w:hint="eastAsia" w:ascii="仿宋" w:hAnsi="仿宋" w:eastAsia="仿宋" w:cs="仿宋"/>
          <w:b/>
          <w:color w:val="auto"/>
          <w:sz w:val="32"/>
          <w:highlight w:val="none"/>
        </w:rPr>
        <w:t>XJJY(Z)2026-022</w:t>
      </w:r>
    </w:p>
    <w:p w14:paraId="5F2C40EB">
      <w:pPr>
        <w:spacing w:line="360" w:lineRule="auto"/>
        <w:jc w:val="center"/>
        <w:outlineLvl w:val="9"/>
        <w:rPr>
          <w:rFonts w:hint="eastAsia" w:ascii="仿宋" w:hAnsi="仿宋" w:eastAsia="仿宋" w:cs="仿宋"/>
          <w:b/>
          <w:color w:val="auto"/>
          <w:sz w:val="40"/>
          <w:szCs w:val="40"/>
          <w:highlight w:val="none"/>
          <w:lang w:val="en-US" w:eastAsia="zh-CN"/>
        </w:rPr>
      </w:pPr>
    </w:p>
    <w:p w14:paraId="16CD0FC0">
      <w:pPr>
        <w:spacing w:line="240" w:lineRule="atLeast"/>
        <w:jc w:val="center"/>
        <w:outlineLvl w:val="9"/>
        <w:rPr>
          <w:rFonts w:hint="eastAsia" w:ascii="仿宋" w:hAnsi="仿宋" w:eastAsia="仿宋" w:cs="仿宋"/>
          <w:b/>
          <w:color w:val="auto"/>
          <w:sz w:val="32"/>
          <w:highlight w:val="none"/>
        </w:rPr>
      </w:pPr>
    </w:p>
    <w:p w14:paraId="0F39DF27">
      <w:pPr>
        <w:spacing w:line="240" w:lineRule="atLeast"/>
        <w:jc w:val="center"/>
        <w:outlineLvl w:val="9"/>
        <w:rPr>
          <w:rFonts w:hint="eastAsia" w:ascii="仿宋" w:hAnsi="仿宋" w:eastAsia="仿宋" w:cs="仿宋"/>
          <w:b/>
          <w:color w:val="auto"/>
          <w:sz w:val="32"/>
          <w:highlight w:val="none"/>
        </w:rPr>
      </w:pPr>
    </w:p>
    <w:p w14:paraId="03FAF815">
      <w:pPr>
        <w:pStyle w:val="6"/>
        <w:ind w:firstLine="0"/>
        <w:jc w:val="center"/>
        <w:outlineLvl w:val="9"/>
        <w:rPr>
          <w:rFonts w:hint="eastAsia" w:ascii="仿宋" w:hAnsi="仿宋" w:eastAsia="仿宋" w:cs="仿宋"/>
          <w:b/>
          <w:color w:val="auto"/>
          <w:sz w:val="44"/>
          <w:szCs w:val="36"/>
          <w:highlight w:val="none"/>
        </w:rPr>
      </w:pPr>
      <w:r>
        <w:rPr>
          <w:rFonts w:hint="eastAsia" w:ascii="仿宋" w:hAnsi="仿宋" w:eastAsia="仿宋" w:cs="仿宋"/>
          <w:b/>
          <w:color w:val="auto"/>
          <w:sz w:val="44"/>
          <w:szCs w:val="36"/>
          <w:highlight w:val="none"/>
        </w:rPr>
        <w:t xml:space="preserve">第 </w:t>
      </w:r>
      <w:r>
        <w:rPr>
          <w:rFonts w:hint="eastAsia" w:ascii="仿宋" w:hAnsi="仿宋" w:eastAsia="仿宋" w:cs="仿宋"/>
          <w:b/>
          <w:color w:val="auto"/>
          <w:sz w:val="44"/>
          <w:szCs w:val="36"/>
          <w:highlight w:val="none"/>
          <w:lang w:val="en-US" w:eastAsia="zh-CN"/>
        </w:rPr>
        <w:t>一</w:t>
      </w:r>
      <w:r>
        <w:rPr>
          <w:rFonts w:hint="eastAsia" w:ascii="仿宋" w:hAnsi="仿宋" w:eastAsia="仿宋" w:cs="仿宋"/>
          <w:b/>
          <w:color w:val="auto"/>
          <w:sz w:val="44"/>
          <w:szCs w:val="36"/>
          <w:highlight w:val="none"/>
        </w:rPr>
        <w:t xml:space="preserve"> 册</w:t>
      </w:r>
    </w:p>
    <w:p w14:paraId="1F3C8DDD">
      <w:pPr>
        <w:outlineLvl w:val="9"/>
        <w:rPr>
          <w:rFonts w:hint="eastAsia" w:ascii="仿宋" w:hAnsi="仿宋" w:eastAsia="仿宋" w:cs="仿宋"/>
          <w:b/>
          <w:color w:val="auto"/>
          <w:sz w:val="44"/>
          <w:szCs w:val="36"/>
          <w:highlight w:val="none"/>
        </w:rPr>
      </w:pPr>
      <w:r>
        <w:rPr>
          <w:rFonts w:hint="eastAsia" w:ascii="仿宋" w:hAnsi="仿宋" w:eastAsia="仿宋" w:cs="仿宋"/>
          <w:b/>
          <w:color w:val="auto"/>
          <w:sz w:val="44"/>
          <w:szCs w:val="36"/>
          <w:highlight w:val="none"/>
        </w:rPr>
        <w:br w:type="page"/>
      </w:r>
    </w:p>
    <w:p w14:paraId="4C8DC67D">
      <w:pPr>
        <w:pStyle w:val="6"/>
        <w:ind w:firstLine="0"/>
        <w:jc w:val="center"/>
        <w:outlineLvl w:val="0"/>
        <w:rPr>
          <w:rFonts w:hint="eastAsia" w:ascii="仿宋" w:hAnsi="仿宋" w:eastAsia="仿宋" w:cs="仿宋"/>
          <w:color w:val="auto"/>
          <w:sz w:val="32"/>
          <w:szCs w:val="32"/>
          <w:highlight w:val="none"/>
        </w:rPr>
      </w:pPr>
      <w:bookmarkStart w:id="30" w:name="_Toc12897"/>
      <w:bookmarkStart w:id="31" w:name="_Toc16201"/>
      <w:r>
        <w:rPr>
          <w:rFonts w:hint="eastAsia" w:ascii="仿宋" w:hAnsi="仿宋" w:eastAsia="仿宋" w:cs="仿宋"/>
          <w:b/>
          <w:bCs/>
          <w:color w:val="auto"/>
          <w:sz w:val="32"/>
          <w:szCs w:val="32"/>
          <w:highlight w:val="none"/>
        </w:rPr>
        <w:t>第1章</w:t>
      </w:r>
      <w:bookmarkStart w:id="32" w:name="_Toc515647756"/>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须知</w:t>
      </w:r>
      <w:bookmarkEnd w:id="21"/>
      <w:bookmarkEnd w:id="22"/>
      <w:bookmarkEnd w:id="23"/>
      <w:bookmarkEnd w:id="24"/>
      <w:bookmarkEnd w:id="30"/>
      <w:bookmarkEnd w:id="31"/>
      <w:bookmarkEnd w:id="32"/>
    </w:p>
    <w:p w14:paraId="2E5D3846">
      <w:pPr>
        <w:pStyle w:val="3"/>
        <w:pageBreakBefore w:val="0"/>
        <w:kinsoku/>
        <w:wordWrap/>
        <w:overflowPunct/>
        <w:topLinePunct w:val="0"/>
        <w:bidi w:val="0"/>
        <w:spacing w:before="0" w:line="360" w:lineRule="exact"/>
        <w:ind w:left="1080" w:leftChars="257" w:hanging="540"/>
        <w:rPr>
          <w:rFonts w:hint="eastAsia" w:ascii="仿宋" w:hAnsi="仿宋" w:eastAsia="仿宋" w:cs="仿宋"/>
          <w:color w:val="auto"/>
          <w:sz w:val="24"/>
          <w:szCs w:val="24"/>
          <w:highlight w:val="none"/>
        </w:rPr>
      </w:pPr>
      <w:bookmarkStart w:id="33" w:name="_Toc520356143"/>
      <w:bookmarkStart w:id="34" w:name="_Toc515647757"/>
      <w:bookmarkStart w:id="35" w:name="_Toc216582805"/>
      <w:bookmarkStart w:id="36" w:name="_Toc29004"/>
      <w:bookmarkStart w:id="37" w:name="_Toc21215"/>
      <w:bookmarkStart w:id="38" w:name="_Toc21015"/>
      <w:bookmarkStart w:id="39" w:name="_Toc4604"/>
      <w:bookmarkStart w:id="40" w:name="_Toc11227"/>
      <w:r>
        <w:rPr>
          <w:rFonts w:hint="eastAsia" w:ascii="仿宋" w:hAnsi="仿宋" w:eastAsia="仿宋" w:cs="仿宋"/>
          <w:color w:val="auto"/>
          <w:sz w:val="24"/>
          <w:szCs w:val="24"/>
          <w:highlight w:val="none"/>
        </w:rPr>
        <w:t xml:space="preserve">一   </w:t>
      </w:r>
      <w:bookmarkEnd w:id="33"/>
      <w:bookmarkEnd w:id="34"/>
      <w:bookmarkEnd w:id="35"/>
      <w:r>
        <w:rPr>
          <w:rFonts w:hint="eastAsia" w:ascii="仿宋" w:hAnsi="仿宋" w:eastAsia="仿宋" w:cs="仿宋"/>
          <w:color w:val="auto"/>
          <w:sz w:val="24"/>
          <w:szCs w:val="24"/>
          <w:highlight w:val="none"/>
        </w:rPr>
        <w:t>总 则</w:t>
      </w:r>
      <w:bookmarkEnd w:id="36"/>
      <w:bookmarkEnd w:id="37"/>
      <w:bookmarkEnd w:id="38"/>
      <w:bookmarkEnd w:id="39"/>
      <w:bookmarkEnd w:id="40"/>
    </w:p>
    <w:p w14:paraId="19C4AAED">
      <w:pPr>
        <w:pStyle w:val="5"/>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41" w:name="_Toc31685"/>
      <w:bookmarkStart w:id="42" w:name="_Toc11808"/>
      <w:bookmarkStart w:id="43" w:name="_Toc4880"/>
      <w:bookmarkStart w:id="44" w:name="_Toc515647758"/>
      <w:bookmarkStart w:id="45" w:name="_Toc29554"/>
      <w:bookmarkStart w:id="46" w:name="_Toc520356144"/>
      <w:bookmarkStart w:id="47" w:name="_Toc32189"/>
      <w:bookmarkStart w:id="48" w:name="_Toc23985"/>
      <w:bookmarkStart w:id="49" w:name="_Toc12861"/>
      <w:bookmarkStart w:id="50" w:name="_Toc333"/>
      <w:bookmarkStart w:id="51" w:name="_Toc32623"/>
      <w:bookmarkStart w:id="52" w:name="_Toc28967"/>
      <w:bookmarkStart w:id="53" w:name="_Toc9452"/>
      <w:bookmarkStart w:id="54" w:name="_Toc27367"/>
      <w:bookmarkStart w:id="55" w:name="_Toc18135"/>
      <w:bookmarkStart w:id="56" w:name="_Toc25783"/>
      <w:bookmarkStart w:id="57" w:name="_Toc16228"/>
      <w:bookmarkStart w:id="58" w:name="_Toc30123"/>
      <w:bookmarkStart w:id="59" w:name="_Toc32697"/>
      <w:bookmarkStart w:id="60" w:name="_Toc32450"/>
      <w:bookmarkStart w:id="61" w:name="_Toc12038"/>
      <w:bookmarkStart w:id="62" w:name="_Toc22141"/>
      <w:bookmarkStart w:id="63" w:name="_Toc18221"/>
      <w:bookmarkStart w:id="64" w:name="_Toc5164"/>
      <w:bookmarkStart w:id="65" w:name="_Toc15043"/>
      <w:bookmarkStart w:id="66" w:name="_Toc32742"/>
      <w:bookmarkStart w:id="67" w:name="_Toc8320"/>
      <w:r>
        <w:rPr>
          <w:rFonts w:hint="eastAsia" w:ascii="仿宋" w:hAnsi="仿宋" w:eastAsia="仿宋" w:cs="仿宋"/>
          <w:b/>
          <w:bCs/>
          <w:color w:val="auto"/>
          <w:sz w:val="24"/>
          <w:szCs w:val="24"/>
          <w:highlight w:val="none"/>
          <w:u w:val="none"/>
        </w:rPr>
        <w:t>采购人、采购代理机构及</w:t>
      </w:r>
      <w:bookmarkEnd w:id="41"/>
      <w:bookmarkEnd w:id="42"/>
      <w:bookmarkEnd w:id="43"/>
      <w:bookmarkEnd w:id="44"/>
      <w:bookmarkEnd w:id="45"/>
      <w:bookmarkEnd w:id="46"/>
      <w:bookmarkEnd w:id="47"/>
      <w:bookmarkEnd w:id="48"/>
      <w:bookmarkEnd w:id="49"/>
      <w:bookmarkEnd w:id="50"/>
      <w:bookmarkEnd w:id="51"/>
      <w:bookmarkEnd w:id="52"/>
      <w:r>
        <w:rPr>
          <w:rFonts w:hint="eastAsia" w:ascii="仿宋" w:hAnsi="仿宋" w:eastAsia="仿宋" w:cs="仿宋"/>
          <w:b/>
          <w:bCs/>
          <w:color w:val="auto"/>
          <w:sz w:val="24"/>
          <w:szCs w:val="24"/>
          <w:highlight w:val="none"/>
          <w:u w:val="none"/>
          <w:lang w:eastAsia="zh-CN"/>
        </w:rPr>
        <w:t>供应商</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3825FBE">
      <w:pPr>
        <w:pageBreakBefore w:val="0"/>
        <w:widowControl w:val="0"/>
        <w:numPr>
          <w:ilvl w:val="0"/>
          <w:numId w:val="0"/>
        </w:numPr>
        <w:tabs>
          <w:tab w:val="left" w:pos="0"/>
        </w:tabs>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 xml:space="preserve">   采购人：是指依法开展政府采购活动的国家机关、事业单位、团体组织。</w:t>
      </w:r>
    </w:p>
    <w:p w14:paraId="496FAED4">
      <w:pPr>
        <w:pageBreakBefore w:val="0"/>
        <w:widowControl w:val="0"/>
        <w:tabs>
          <w:tab w:val="left" w:pos="0"/>
        </w:tabs>
        <w:kinsoku/>
        <w:wordWrap/>
        <w:overflowPunct/>
        <w:topLinePunct w:val="0"/>
        <w:bidi w:val="0"/>
        <w:spacing w:line="36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本项目的采购人见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719307EE">
      <w:pPr>
        <w:pageBreakBefore w:val="0"/>
        <w:widowControl w:val="0"/>
        <w:numPr>
          <w:ilvl w:val="0"/>
          <w:numId w:val="0"/>
        </w:numPr>
        <w:tabs>
          <w:tab w:val="left" w:pos="0"/>
        </w:tabs>
        <w:kinsoku/>
        <w:wordWrap/>
        <w:overflowPunct/>
        <w:topLinePunct w:val="0"/>
        <w:bidi w:val="0"/>
        <w:spacing w:line="360" w:lineRule="exact"/>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 xml:space="preserve">   采购代理机构：是指在集中采购机构或从事采购代理业务的社会中介机构。本项目的采购代理机构见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14361E3F">
      <w:pPr>
        <w:pageBreakBefore w:val="0"/>
        <w:widowControl w:val="0"/>
        <w:numPr>
          <w:ilvl w:val="0"/>
          <w:numId w:val="0"/>
        </w:numPr>
        <w:kinsoku/>
        <w:wordWrap/>
        <w:overflowPunct/>
        <w:topLinePunct w:val="0"/>
        <w:bidi w:val="0"/>
        <w:spacing w:line="360" w:lineRule="exact"/>
        <w:ind w:left="96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：是指向采购人提供货物、工程或者服务的法人、非法人组织或者自然人。本项目的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及其投标货物须满足以下条件：</w:t>
      </w:r>
    </w:p>
    <w:p w14:paraId="71CC70BA">
      <w:pPr>
        <w:pageBreakBefore w:val="0"/>
        <w:widowControl w:val="0"/>
        <w:kinsoku/>
        <w:wordWrap/>
        <w:overflowPunct/>
        <w:topLinePunct w:val="0"/>
        <w:bidi w:val="0"/>
        <w:spacing w:line="360" w:lineRule="exact"/>
        <w:ind w:left="849" w:leftChars="0" w:hanging="849" w:hangingChars="35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在中华人民共和国境内注册，能够独立承担民事责任，有生产或供应能力的本国供应商。</w:t>
      </w:r>
    </w:p>
    <w:p w14:paraId="54B021F8">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具备《中华人民共和国政府采购法》第二十二条关于供应商条件的规定，遵守本项目采购人本级和上级财政部门政府采购的有关规定。</w:t>
      </w:r>
    </w:p>
    <w:p w14:paraId="13C050D3">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以采购代理机构认可的方式获得了本项目的招标文件。</w:t>
      </w:r>
    </w:p>
    <w:p w14:paraId="5FEC2F2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   符合</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中规定的其他要求。</w:t>
      </w:r>
    </w:p>
    <w:p w14:paraId="466416FF">
      <w:pPr>
        <w:pageBreakBefore w:val="0"/>
        <w:widowControl w:val="0"/>
        <w:kinsoku/>
        <w:wordWrap/>
        <w:overflowPunct/>
        <w:topLinePunct w:val="0"/>
        <w:bidi w:val="0"/>
        <w:spacing w:line="360" w:lineRule="exact"/>
        <w:ind w:left="840" w:leftChars="0" w:hanging="840" w:hangingChars="3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   若</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中写明专门面向中小企业采购的，如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为非中小企业且所投产品为非中小企业产品，其投标将被认定为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1EF4BD57">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如</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中允许联合体投标，对联合体规定如下：</w:t>
      </w:r>
    </w:p>
    <w:p w14:paraId="09B659F7">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两个以上供应商可以组成一个投标联合体，以一个</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的身份投标。</w:t>
      </w:r>
    </w:p>
    <w:p w14:paraId="757F23B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联合体各方均应符合《中华人民共和国政府采购法》第二十二条规定的条件。</w:t>
      </w:r>
    </w:p>
    <w:p w14:paraId="2324A31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采购人根据采购项目对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的特殊要求，联合体中至少应当有一方符合相关规定。</w:t>
      </w:r>
    </w:p>
    <w:p w14:paraId="7E1BD0B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   联合体各方应签订共同投标协议，明确约定联合体各方承担的工作和相应的责任，并将共同投标协议连同作为投标文件第一部分的内容提交。</w:t>
      </w:r>
    </w:p>
    <w:p w14:paraId="3148527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26D77D08">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1.4.6  联合体中有同类资质的供应商按照联合体分工承担相同工作的，按照较低的资质等级确定联合体的资质等级。</w:t>
      </w:r>
    </w:p>
    <w:p w14:paraId="44D9B16D">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131E8E11">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1.4.8   对联合体投标的其他资格要求见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6F7A767D">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单位负责人为同一人或者存在直接控股、管理关系的不同供应商，其相关投标将被认定为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428C1C28">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在投标过程中不得向采购人提供、给予任何有价值的物品，影响其正常决策行为。一经发现，其将被认定为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0FC6D57D">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68" w:name="_Toc4816"/>
      <w:bookmarkStart w:id="69" w:name="_Toc13065"/>
      <w:bookmarkStart w:id="70" w:name="_Toc1760"/>
      <w:bookmarkStart w:id="71" w:name="_Toc30940"/>
      <w:bookmarkStart w:id="72" w:name="_Toc28008"/>
      <w:bookmarkStart w:id="73" w:name="_Toc16369"/>
      <w:bookmarkStart w:id="74" w:name="_Toc10189"/>
      <w:bookmarkStart w:id="75" w:name="_Toc18986"/>
      <w:bookmarkStart w:id="76" w:name="_Toc515647759"/>
      <w:bookmarkStart w:id="77" w:name="_Toc1685"/>
      <w:bookmarkStart w:id="78" w:name="_Toc15091"/>
      <w:bookmarkStart w:id="79" w:name="_Toc5286"/>
      <w:bookmarkStart w:id="80" w:name="_Toc19970"/>
      <w:bookmarkStart w:id="81" w:name="_Toc4311"/>
      <w:bookmarkStart w:id="82" w:name="_Toc13272"/>
      <w:bookmarkStart w:id="83" w:name="_Toc10699"/>
      <w:bookmarkStart w:id="84" w:name="_Toc12139"/>
      <w:bookmarkStart w:id="85" w:name="_Toc11068"/>
      <w:bookmarkStart w:id="86" w:name="_Toc16822"/>
      <w:bookmarkStart w:id="87" w:name="_Toc4016"/>
      <w:bookmarkStart w:id="88" w:name="_Toc27814"/>
      <w:bookmarkStart w:id="89" w:name="_Toc21286"/>
      <w:bookmarkStart w:id="90" w:name="_Toc1403"/>
      <w:bookmarkStart w:id="91" w:name="_Toc1973"/>
      <w:bookmarkStart w:id="92" w:name="_Toc7800"/>
      <w:bookmarkStart w:id="93" w:name="_Toc28511"/>
      <w:r>
        <w:rPr>
          <w:rFonts w:hint="eastAsia" w:ascii="仿宋" w:hAnsi="仿宋" w:eastAsia="仿宋" w:cs="仿宋"/>
          <w:b/>
          <w:bCs/>
          <w:color w:val="auto"/>
          <w:sz w:val="24"/>
          <w:szCs w:val="24"/>
          <w:highlight w:val="none"/>
          <w:u w:val="none"/>
        </w:rPr>
        <w:t>资金来源</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E6D743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本项目的采购人已获得足以支付本次招标后所签订的合同项下的资金（包括财政性资金和本项目采购中无法与财政性资金分割的非财政性资金）。</w:t>
      </w:r>
    </w:p>
    <w:p w14:paraId="7918A4FD">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项目预算金额和分项或分包最高限价</w:t>
      </w:r>
      <w:r>
        <w:rPr>
          <w:rFonts w:hint="eastAsia" w:ascii="仿宋" w:hAnsi="仿宋" w:eastAsia="仿宋" w:cs="仿宋"/>
          <w:color w:val="auto"/>
          <w:sz w:val="24"/>
          <w:szCs w:val="24"/>
          <w:highlight w:val="none"/>
          <w:u w:val="single"/>
        </w:rPr>
        <w:t>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01A4FDE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报价超过招标文件规定的预算金额或者分项、分包最高限价的，其投标将被认定为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66826DAF">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94" w:name="_Toc515647760"/>
      <w:bookmarkStart w:id="95" w:name="_Toc20044"/>
      <w:bookmarkStart w:id="96" w:name="_Toc30650"/>
      <w:bookmarkStart w:id="97" w:name="_Toc15936"/>
      <w:bookmarkStart w:id="98" w:name="_Toc10963"/>
      <w:bookmarkStart w:id="99" w:name="_Toc29041"/>
      <w:bookmarkStart w:id="100" w:name="_Toc5207"/>
      <w:bookmarkStart w:id="101" w:name="_Toc903"/>
      <w:bookmarkStart w:id="102" w:name="_Toc27479"/>
      <w:bookmarkStart w:id="103" w:name="_Toc5757"/>
      <w:bookmarkStart w:id="104" w:name="_Toc29504"/>
      <w:bookmarkStart w:id="105" w:name="_Toc20799"/>
      <w:bookmarkStart w:id="106" w:name="_Toc12188"/>
      <w:bookmarkStart w:id="107" w:name="_Toc27044"/>
      <w:bookmarkStart w:id="108" w:name="_Toc144"/>
      <w:bookmarkStart w:id="109" w:name="_Toc6389"/>
      <w:bookmarkStart w:id="110" w:name="_Toc29481"/>
      <w:bookmarkStart w:id="111" w:name="_Toc23959"/>
      <w:bookmarkStart w:id="112" w:name="_Toc20526"/>
      <w:bookmarkStart w:id="113" w:name="_Toc15518"/>
      <w:bookmarkStart w:id="114" w:name="_Toc32114"/>
      <w:bookmarkStart w:id="115" w:name="_Toc520356145"/>
      <w:bookmarkStart w:id="116" w:name="_Toc30708"/>
      <w:bookmarkStart w:id="117" w:name="_Toc22731"/>
      <w:bookmarkStart w:id="118" w:name="_Toc14612"/>
      <w:bookmarkStart w:id="119" w:name="_Toc26559"/>
      <w:bookmarkStart w:id="120" w:name="_Toc6415"/>
      <w:r>
        <w:rPr>
          <w:rFonts w:hint="eastAsia" w:ascii="仿宋" w:hAnsi="仿宋" w:eastAsia="仿宋" w:cs="仿宋"/>
          <w:b/>
          <w:bCs/>
          <w:color w:val="auto"/>
          <w:sz w:val="24"/>
          <w:szCs w:val="24"/>
          <w:highlight w:val="none"/>
          <w:u w:val="none"/>
        </w:rPr>
        <w:t>投标费用</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3B7621E3">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不论投标的结果如何，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应承担所有与准备和参加投标有关的费用。</w:t>
      </w:r>
    </w:p>
    <w:p w14:paraId="43F9A5EC">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121" w:name="_Toc25242"/>
      <w:bookmarkStart w:id="122" w:name="_Toc24881"/>
      <w:bookmarkStart w:id="123" w:name="_Toc21641"/>
      <w:bookmarkStart w:id="124" w:name="_Toc16751"/>
      <w:bookmarkStart w:id="125" w:name="_Toc5853"/>
      <w:bookmarkStart w:id="126" w:name="_Toc16328"/>
      <w:bookmarkStart w:id="127" w:name="_Toc10109"/>
      <w:bookmarkStart w:id="128" w:name="_Toc15600"/>
      <w:bookmarkStart w:id="129" w:name="_Toc11355"/>
      <w:bookmarkStart w:id="130" w:name="_Toc6116"/>
      <w:bookmarkStart w:id="131" w:name="_Toc26349"/>
      <w:bookmarkStart w:id="132" w:name="_Toc6759"/>
      <w:bookmarkStart w:id="133" w:name="_Toc2839"/>
      <w:bookmarkStart w:id="134" w:name="_Toc2389"/>
      <w:bookmarkStart w:id="135" w:name="_Toc1198"/>
      <w:bookmarkStart w:id="136" w:name="_Toc7511"/>
      <w:bookmarkStart w:id="137" w:name="_Toc4463"/>
      <w:bookmarkStart w:id="138" w:name="_Toc11505"/>
      <w:bookmarkStart w:id="139" w:name="_Toc12920"/>
      <w:bookmarkStart w:id="140" w:name="_Toc32103"/>
      <w:bookmarkStart w:id="141" w:name="_Toc515647761"/>
      <w:bookmarkStart w:id="142" w:name="_Toc13524"/>
      <w:bookmarkStart w:id="143" w:name="_Toc29011"/>
      <w:bookmarkStart w:id="144" w:name="_Toc17308"/>
      <w:bookmarkStart w:id="145" w:name="_Toc27687"/>
      <w:bookmarkStart w:id="146" w:name="_Toc27739"/>
      <w:r>
        <w:rPr>
          <w:rFonts w:hint="eastAsia" w:ascii="仿宋" w:hAnsi="仿宋" w:eastAsia="仿宋" w:cs="仿宋"/>
          <w:b/>
          <w:bCs/>
          <w:color w:val="auto"/>
          <w:sz w:val="24"/>
          <w:szCs w:val="24"/>
          <w:highlight w:val="none"/>
          <w:u w:val="none"/>
        </w:rPr>
        <w:t>适用法律</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A18F75D">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本项目采购人、采购代理机构、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、评标委员会的相关行为均受《中华人民共和国政府采购法》、《中华人民共和国政府采购法实施条例》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中华人民共和国财政部令第87号--政府采购货物和货物招标投标管理办法</w:t>
      </w:r>
      <w:r>
        <w:rPr>
          <w:rFonts w:hint="eastAsia" w:ascii="仿宋" w:hAnsi="仿宋" w:eastAsia="仿宋" w:cs="仿宋"/>
          <w:color w:val="auto"/>
          <w:sz w:val="24"/>
          <w:szCs w:val="24"/>
          <w:highlight w:val="none"/>
        </w:rPr>
        <w:t>》及本项目本级和上级财政部门政府采购有关规定的约束，其权利受到上述法律法规的保护。</w:t>
      </w:r>
    </w:p>
    <w:p w14:paraId="71907969">
      <w:pPr>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p>
    <w:p w14:paraId="0E9FC405">
      <w:pPr>
        <w:pStyle w:val="3"/>
        <w:pageBreakBefore w:val="0"/>
        <w:widowControl w:val="0"/>
        <w:kinsoku/>
        <w:wordWrap/>
        <w:overflowPunct/>
        <w:topLinePunct w:val="0"/>
        <w:bidi w:val="0"/>
        <w:spacing w:before="0" w:line="360" w:lineRule="exact"/>
        <w:ind w:left="0" w:leftChars="0"/>
        <w:textAlignment w:val="auto"/>
        <w:outlineLvl w:val="1"/>
        <w:rPr>
          <w:rFonts w:hint="eastAsia" w:ascii="仿宋" w:hAnsi="仿宋" w:eastAsia="仿宋" w:cs="仿宋"/>
          <w:color w:val="auto"/>
          <w:sz w:val="24"/>
          <w:szCs w:val="24"/>
          <w:highlight w:val="none"/>
        </w:rPr>
      </w:pPr>
      <w:bookmarkStart w:id="147" w:name="_Toc216582806"/>
      <w:bookmarkStart w:id="148" w:name="_Toc4365"/>
      <w:bookmarkStart w:id="149" w:name="_Toc515647762"/>
      <w:bookmarkStart w:id="150" w:name="_Toc22711"/>
      <w:bookmarkStart w:id="151" w:name="_Toc520356146"/>
      <w:bookmarkStart w:id="152" w:name="_Toc6385"/>
      <w:bookmarkStart w:id="153" w:name="_Toc13790"/>
      <w:bookmarkStart w:id="154" w:name="_Toc21566"/>
      <w:r>
        <w:rPr>
          <w:rFonts w:hint="eastAsia" w:ascii="仿宋" w:hAnsi="仿宋" w:eastAsia="仿宋" w:cs="仿宋"/>
          <w:color w:val="auto"/>
          <w:sz w:val="24"/>
          <w:szCs w:val="24"/>
          <w:highlight w:val="none"/>
        </w:rPr>
        <w:t>二   招标文件</w:t>
      </w:r>
      <w:bookmarkEnd w:id="147"/>
      <w:bookmarkEnd w:id="148"/>
      <w:bookmarkEnd w:id="149"/>
      <w:bookmarkEnd w:id="150"/>
      <w:bookmarkEnd w:id="151"/>
      <w:bookmarkEnd w:id="152"/>
      <w:bookmarkEnd w:id="153"/>
      <w:bookmarkEnd w:id="154"/>
    </w:p>
    <w:p w14:paraId="72E4F23B">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155" w:name="_Toc14447"/>
      <w:bookmarkStart w:id="156" w:name="_Toc25743"/>
      <w:bookmarkStart w:id="157" w:name="_Toc24971"/>
      <w:bookmarkStart w:id="158" w:name="_Toc12831"/>
      <w:bookmarkStart w:id="159" w:name="_Toc17343"/>
      <w:bookmarkStart w:id="160" w:name="_Toc30280"/>
      <w:bookmarkStart w:id="161" w:name="_Toc3517"/>
      <w:bookmarkStart w:id="162" w:name="_Toc29550"/>
      <w:bookmarkStart w:id="163" w:name="_Toc515647763"/>
      <w:bookmarkStart w:id="164" w:name="_Toc21734"/>
      <w:bookmarkStart w:id="165" w:name="_Toc15203"/>
      <w:bookmarkStart w:id="166" w:name="_Toc520356147"/>
      <w:bookmarkStart w:id="167" w:name="_Toc31428"/>
      <w:bookmarkStart w:id="168" w:name="_Toc7177"/>
      <w:bookmarkStart w:id="169" w:name="_Toc31526"/>
      <w:bookmarkStart w:id="170" w:name="_Toc202"/>
      <w:bookmarkStart w:id="171" w:name="_Toc14084"/>
      <w:bookmarkStart w:id="172" w:name="_Toc27237"/>
      <w:bookmarkStart w:id="173" w:name="_Toc18714"/>
      <w:bookmarkStart w:id="174" w:name="_Toc27288"/>
      <w:bookmarkStart w:id="175" w:name="_Toc27186"/>
      <w:bookmarkStart w:id="176" w:name="_Toc18213"/>
      <w:bookmarkStart w:id="177" w:name="_Toc5479"/>
      <w:bookmarkStart w:id="178" w:name="_Toc1044"/>
      <w:bookmarkStart w:id="179" w:name="_Toc5875"/>
      <w:bookmarkStart w:id="180" w:name="_Toc21275"/>
      <w:bookmarkStart w:id="181" w:name="_Toc2876"/>
      <w:r>
        <w:rPr>
          <w:rFonts w:hint="eastAsia" w:ascii="仿宋" w:hAnsi="仿宋" w:eastAsia="仿宋" w:cs="仿宋"/>
          <w:b/>
          <w:bCs/>
          <w:color w:val="auto"/>
          <w:sz w:val="24"/>
          <w:szCs w:val="24"/>
          <w:highlight w:val="none"/>
          <w:u w:val="none"/>
        </w:rPr>
        <w:t>招标文件构成</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7A84D22">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招标文件分为三册共7章，内容如下：</w:t>
      </w:r>
    </w:p>
    <w:p w14:paraId="488621F6">
      <w:pPr>
        <w:pageBreakBefore w:val="0"/>
        <w:widowControl w:val="0"/>
        <w:kinsoku/>
        <w:wordWrap/>
        <w:overflowPunct/>
        <w:topLinePunct w:val="0"/>
        <w:bidi w:val="0"/>
        <w:spacing w:line="360" w:lineRule="exact"/>
        <w:ind w:left="0" w:leftChars="0" w:firstLine="60" w:firstLineChars="2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第一册</w:t>
      </w:r>
    </w:p>
    <w:p w14:paraId="2C5D39B3">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w:t>
      </w:r>
    </w:p>
    <w:p w14:paraId="0CE201F1">
      <w:pPr>
        <w:pageBreakBefore w:val="0"/>
        <w:widowControl w:val="0"/>
        <w:kinsoku/>
        <w:wordWrap/>
        <w:overflowPunct/>
        <w:topLinePunct w:val="0"/>
        <w:bidi w:val="0"/>
        <w:spacing w:line="36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2投标文件格式</w:t>
      </w:r>
    </w:p>
    <w:p w14:paraId="39CC5B79">
      <w:pPr>
        <w:pageBreakBefore w:val="0"/>
        <w:widowControl w:val="0"/>
        <w:kinsoku/>
        <w:wordWrap/>
        <w:overflowPunct/>
        <w:topLinePunct w:val="0"/>
        <w:bidi w:val="0"/>
        <w:spacing w:line="360" w:lineRule="exact"/>
        <w:ind w:left="0" w:leftChars="0" w:firstLine="33" w:firstLineChars="1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第二册</w:t>
      </w:r>
    </w:p>
    <w:p w14:paraId="74F0947D">
      <w:pPr>
        <w:pageBreakBefore w:val="0"/>
        <w:widowControl w:val="0"/>
        <w:kinsoku/>
        <w:wordWrap/>
        <w:overflowPunct/>
        <w:topLinePunct w:val="0"/>
        <w:bidi w:val="0"/>
        <w:spacing w:line="36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投标邀请</w:t>
      </w:r>
    </w:p>
    <w:p w14:paraId="3B97D9D6">
      <w:pPr>
        <w:pageBreakBefore w:val="0"/>
        <w:widowControl w:val="0"/>
        <w:kinsoku/>
        <w:wordWrap/>
        <w:overflowPunct/>
        <w:topLinePunct w:val="0"/>
        <w:bidi w:val="0"/>
        <w:spacing w:line="36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须知资料表</w:t>
      </w:r>
    </w:p>
    <w:p w14:paraId="3757E402">
      <w:pPr>
        <w:pageBreakBefore w:val="0"/>
        <w:widowControl w:val="0"/>
        <w:kinsoku/>
        <w:wordWrap/>
        <w:overflowPunct/>
        <w:topLinePunct w:val="0"/>
        <w:bidi w:val="0"/>
        <w:spacing w:line="36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 xml:space="preserve">内容及项目要求 </w:t>
      </w:r>
    </w:p>
    <w:p w14:paraId="104724D0">
      <w:pPr>
        <w:pageBreakBefore w:val="0"/>
        <w:widowControl w:val="0"/>
        <w:kinsoku/>
        <w:wordWrap/>
        <w:overflowPunct/>
        <w:topLinePunct w:val="0"/>
        <w:bidi w:val="0"/>
        <w:spacing w:line="36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评标方法和标准</w:t>
      </w:r>
    </w:p>
    <w:p w14:paraId="2C74C421">
      <w:pPr>
        <w:pageBreakBefore w:val="0"/>
        <w:widowControl w:val="0"/>
        <w:kinsoku/>
        <w:wordWrap/>
        <w:overflowPunct/>
        <w:topLinePunct w:val="0"/>
        <w:bidi w:val="0"/>
        <w:spacing w:line="36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第三册</w:t>
      </w:r>
    </w:p>
    <w:p w14:paraId="0921C100">
      <w:pPr>
        <w:pageBreakBefore w:val="0"/>
        <w:widowControl w:val="0"/>
        <w:kinsoku/>
        <w:wordWrap/>
        <w:overflowPunct/>
        <w:topLinePunct w:val="0"/>
        <w:bidi w:val="0"/>
        <w:spacing w:line="360" w:lineRule="exact"/>
        <w:ind w:left="0" w:leftChars="0" w:firstLine="240" w:firstLine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政府采购合同格式</w:t>
      </w:r>
    </w:p>
    <w:p w14:paraId="525DB661">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如本文件的前后内容不一致，以最后描述为准。</w:t>
      </w:r>
    </w:p>
    <w:p w14:paraId="753DB98B">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应认真阅读招标文件所有的事项、格式、条款和技术规范等。如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没有按照招标文件要求提交全部资料，或者投标文件没有对招标文件在各方面都做出实质性响应，可能导致其投标将被认定为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9132580">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182" w:name="_Toc515904805"/>
      <w:bookmarkStart w:id="183" w:name="_Toc520356148"/>
      <w:bookmarkStart w:id="184" w:name="_Toc19275"/>
      <w:bookmarkStart w:id="185" w:name="_Toc12813"/>
      <w:bookmarkStart w:id="186" w:name="_Toc4559"/>
      <w:bookmarkStart w:id="187" w:name="_Toc10034"/>
      <w:bookmarkStart w:id="188" w:name="_Toc31486"/>
      <w:bookmarkStart w:id="189" w:name="_Toc26044"/>
      <w:bookmarkStart w:id="190" w:name="_Toc19551"/>
      <w:bookmarkStart w:id="191" w:name="_Toc32213"/>
      <w:bookmarkStart w:id="192" w:name="_Toc20202"/>
      <w:bookmarkStart w:id="193" w:name="_Toc21098"/>
      <w:bookmarkStart w:id="194" w:name="_Toc25866"/>
      <w:bookmarkStart w:id="195" w:name="_Toc5991"/>
      <w:bookmarkStart w:id="196" w:name="_Toc20825"/>
      <w:bookmarkStart w:id="197" w:name="_Toc20604"/>
      <w:bookmarkStart w:id="198" w:name="_Toc29804"/>
      <w:bookmarkStart w:id="199" w:name="_Toc21165"/>
      <w:bookmarkStart w:id="200" w:name="_Toc1117"/>
      <w:bookmarkStart w:id="201" w:name="_Toc28731"/>
      <w:bookmarkStart w:id="202" w:name="_Toc20995"/>
      <w:bookmarkStart w:id="203" w:name="_Toc7764"/>
      <w:bookmarkStart w:id="204" w:name="_Toc10213"/>
      <w:bookmarkStart w:id="205" w:name="_Toc13020"/>
      <w:bookmarkStart w:id="206" w:name="_Toc9232"/>
      <w:bookmarkStart w:id="207" w:name="_Toc20556"/>
      <w:bookmarkStart w:id="208" w:name="_Toc27465"/>
      <w:r>
        <w:rPr>
          <w:rFonts w:hint="eastAsia" w:ascii="仿宋" w:hAnsi="仿宋" w:eastAsia="仿宋" w:cs="仿宋"/>
          <w:b/>
          <w:bCs/>
          <w:color w:val="auto"/>
          <w:sz w:val="24"/>
          <w:szCs w:val="24"/>
          <w:highlight w:val="none"/>
          <w:u w:val="none"/>
        </w:rPr>
        <w:t>招标文件的澄清</w:t>
      </w:r>
      <w:bookmarkEnd w:id="182"/>
      <w:bookmarkEnd w:id="183"/>
      <w:r>
        <w:rPr>
          <w:rFonts w:hint="eastAsia" w:ascii="仿宋" w:hAnsi="仿宋" w:eastAsia="仿宋" w:cs="仿宋"/>
          <w:b/>
          <w:bCs/>
          <w:color w:val="auto"/>
          <w:sz w:val="24"/>
          <w:szCs w:val="24"/>
          <w:highlight w:val="none"/>
          <w:u w:val="none"/>
        </w:rPr>
        <w:t>与修改</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6C37920B">
      <w:pPr>
        <w:pStyle w:val="6"/>
        <w:pageBreakBefore w:val="0"/>
        <w:widowControl w:val="0"/>
        <w:kinsoku/>
        <w:wordWrap/>
        <w:overflowPunct/>
        <w:topLinePunct w:val="0"/>
        <w:bidi w:val="0"/>
        <w:spacing w:line="360" w:lineRule="exact"/>
        <w:ind w:left="840" w:leftChars="0" w:hanging="840" w:hangingChars="3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为了保证对招标文件的澄清和修改满足法律的时限要求，任何要求对招标文件进行澄清的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，均应在投标截止期十五日前，以书面形式将澄清要求通知采购人或采购代理机构。</w:t>
      </w:r>
    </w:p>
    <w:p w14:paraId="4223776F">
      <w:pPr>
        <w:pStyle w:val="6"/>
        <w:pageBreakBefore w:val="0"/>
        <w:widowControl w:val="0"/>
        <w:kinsoku/>
        <w:wordWrap/>
        <w:overflowPunct/>
        <w:topLinePunct w:val="0"/>
        <w:bidi w:val="0"/>
        <w:spacing w:line="360" w:lineRule="exact"/>
        <w:ind w:left="840" w:leftChars="0" w:hanging="840" w:hangingChars="350"/>
        <w:textAlignment w:val="auto"/>
        <w:rPr>
          <w:rFonts w:hint="eastAsia" w:ascii="仿宋" w:hAnsi="仿宋" w:eastAsia="仿宋" w:cs="仿宋"/>
          <w:color w:val="auto"/>
          <w:sz w:val="24"/>
          <w:szCs w:val="24"/>
          <w:highlight w:val="none"/>
        </w:rPr>
      </w:pPr>
      <w:bookmarkStart w:id="209" w:name="_Toc515904806"/>
      <w:bookmarkStart w:id="210" w:name="_Ref467378678"/>
      <w:bookmarkStart w:id="211" w:name="_Toc520356149"/>
      <w:r>
        <w:rPr>
          <w:rFonts w:hint="eastAsia" w:ascii="仿宋" w:hAnsi="仿宋" w:eastAsia="仿宋" w:cs="仿宋"/>
          <w:color w:val="auto"/>
          <w:sz w:val="24"/>
          <w:szCs w:val="24"/>
          <w:highlight w:val="none"/>
        </w:rPr>
        <w:t>6.2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采购人可主动地或在解答</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提出的澄清问题时对招标文件进行澄清或修改。采购代理机构将以发布澄清（更正）公告的方式，澄清或修改招标文件，澄清或修改内容作为招标文件的组成部分。</w:t>
      </w:r>
    </w:p>
    <w:p w14:paraId="2FC33F4E">
      <w:pPr>
        <w:pStyle w:val="6"/>
        <w:pageBreakBefore w:val="0"/>
        <w:widowControl w:val="0"/>
        <w:kinsoku/>
        <w:wordWrap/>
        <w:overflowPunct/>
        <w:topLinePunct w:val="0"/>
        <w:bidi w:val="0"/>
        <w:spacing w:line="360" w:lineRule="exact"/>
        <w:ind w:left="840" w:leftChars="0" w:hanging="840" w:hangingChars="3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澄清或者修改的内容可能影响投标文件编制的，采购代理机构将以书面形式通知所有购买招标文件的潜在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，并对其具有约束力。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在收到上述通知后，应及时向采购代理机构回函确认。</w:t>
      </w:r>
    </w:p>
    <w:bookmarkEnd w:id="209"/>
    <w:bookmarkEnd w:id="210"/>
    <w:bookmarkEnd w:id="211"/>
    <w:p w14:paraId="3CAA704A">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212" w:name="_Toc21187"/>
      <w:bookmarkStart w:id="213" w:name="_Toc6936"/>
      <w:bookmarkStart w:id="214" w:name="_Toc25578"/>
      <w:bookmarkStart w:id="215" w:name="_Toc18300"/>
      <w:bookmarkStart w:id="216" w:name="_Toc6199"/>
      <w:bookmarkStart w:id="217" w:name="_Toc7468"/>
      <w:bookmarkStart w:id="218" w:name="_Toc32529"/>
      <w:bookmarkStart w:id="219" w:name="_Toc7919"/>
      <w:bookmarkStart w:id="220" w:name="_Toc14569"/>
      <w:bookmarkStart w:id="221" w:name="_Toc32714"/>
      <w:bookmarkStart w:id="222" w:name="_Toc22107"/>
      <w:bookmarkStart w:id="223" w:name="_Toc14901"/>
      <w:bookmarkStart w:id="224" w:name="_Toc5103"/>
      <w:bookmarkStart w:id="225" w:name="_Toc27811"/>
      <w:bookmarkStart w:id="226" w:name="_Toc11082"/>
      <w:bookmarkStart w:id="227" w:name="_Toc978"/>
      <w:bookmarkStart w:id="228" w:name="_Toc10823"/>
      <w:bookmarkStart w:id="229" w:name="_Toc1073"/>
      <w:bookmarkStart w:id="230" w:name="_Toc9080"/>
      <w:bookmarkStart w:id="231" w:name="_Toc24028"/>
      <w:bookmarkStart w:id="232" w:name="_Toc30435"/>
      <w:bookmarkStart w:id="233" w:name="_Toc517"/>
      <w:bookmarkStart w:id="234" w:name="_Toc28126"/>
      <w:bookmarkStart w:id="235" w:name="_Toc25635"/>
      <w:bookmarkStart w:id="236" w:name="_Toc72"/>
      <w:r>
        <w:rPr>
          <w:rFonts w:hint="eastAsia" w:ascii="仿宋" w:hAnsi="仿宋" w:eastAsia="仿宋" w:cs="仿宋"/>
          <w:b/>
          <w:bCs/>
          <w:color w:val="auto"/>
          <w:sz w:val="24"/>
          <w:szCs w:val="24"/>
          <w:highlight w:val="none"/>
          <w:u w:val="none"/>
        </w:rPr>
        <w:t>投标截止时间的顺延</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336BE4C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为使</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准备投标时有足够的时间对招标文件的澄清或者修改部分进行研究，采购人将依法决定是否顺延投标截止时间。</w:t>
      </w:r>
      <w:bookmarkStart w:id="237" w:name="_Toc516367020"/>
      <w:bookmarkStart w:id="238" w:name="_Toc216582807"/>
      <w:bookmarkStart w:id="239" w:name="_Toc7636"/>
      <w:bookmarkStart w:id="240" w:name="_Toc520356150"/>
      <w:bookmarkStart w:id="241" w:name="_Toc30808"/>
      <w:bookmarkStart w:id="242" w:name="_Toc515647766"/>
    </w:p>
    <w:p w14:paraId="57D18898">
      <w:pPr>
        <w:pageBreakBefore w:val="0"/>
        <w:widowControl w:val="0"/>
        <w:tabs>
          <w:tab w:val="left" w:pos="900"/>
        </w:tabs>
        <w:kinsoku/>
        <w:wordWrap/>
        <w:overflowPunct/>
        <w:topLinePunct w:val="0"/>
        <w:bidi w:val="0"/>
        <w:spacing w:line="360" w:lineRule="exact"/>
        <w:ind w:left="0" w:leftChars="0" w:hanging="540"/>
        <w:textAlignment w:val="auto"/>
        <w:rPr>
          <w:rFonts w:hint="eastAsia" w:ascii="仿宋" w:hAnsi="仿宋" w:eastAsia="仿宋" w:cs="仿宋"/>
          <w:color w:val="auto"/>
          <w:sz w:val="24"/>
          <w:szCs w:val="24"/>
          <w:highlight w:val="none"/>
        </w:rPr>
      </w:pPr>
    </w:p>
    <w:p w14:paraId="7937E00D">
      <w:pPr>
        <w:pStyle w:val="3"/>
        <w:pageBreakBefore w:val="0"/>
        <w:widowControl w:val="0"/>
        <w:tabs>
          <w:tab w:val="left" w:pos="900"/>
        </w:tabs>
        <w:kinsoku/>
        <w:wordWrap/>
        <w:overflowPunct/>
        <w:topLinePunct w:val="0"/>
        <w:bidi w:val="0"/>
        <w:spacing w:before="0" w:line="360" w:lineRule="exact"/>
        <w:ind w:left="0" w:leftChars="0" w:hanging="540"/>
        <w:textAlignment w:val="auto"/>
        <w:outlineLvl w:val="1"/>
        <w:rPr>
          <w:rFonts w:hint="eastAsia" w:ascii="仿宋" w:hAnsi="仿宋" w:eastAsia="仿宋" w:cs="仿宋"/>
          <w:color w:val="auto"/>
          <w:sz w:val="24"/>
          <w:szCs w:val="24"/>
          <w:highlight w:val="none"/>
        </w:rPr>
      </w:pPr>
      <w:bookmarkStart w:id="243" w:name="_Toc3736"/>
      <w:bookmarkStart w:id="244" w:name="_Toc29522"/>
      <w:bookmarkStart w:id="245" w:name="_Toc26987"/>
      <w:r>
        <w:rPr>
          <w:rFonts w:hint="eastAsia" w:ascii="仿宋" w:hAnsi="仿宋" w:eastAsia="仿宋" w:cs="仿宋"/>
          <w:color w:val="auto"/>
          <w:sz w:val="24"/>
          <w:szCs w:val="24"/>
          <w:highlight w:val="none"/>
        </w:rPr>
        <w:t>三   投标文件</w:t>
      </w:r>
      <w:bookmarkEnd w:id="237"/>
      <w:r>
        <w:rPr>
          <w:rFonts w:hint="eastAsia" w:ascii="仿宋" w:hAnsi="仿宋" w:eastAsia="仿宋" w:cs="仿宋"/>
          <w:color w:val="auto"/>
          <w:sz w:val="24"/>
          <w:szCs w:val="24"/>
          <w:highlight w:val="none"/>
        </w:rPr>
        <w:t>的编制</w:t>
      </w:r>
      <w:bookmarkEnd w:id="238"/>
      <w:bookmarkEnd w:id="239"/>
      <w:bookmarkEnd w:id="240"/>
      <w:bookmarkEnd w:id="241"/>
      <w:bookmarkEnd w:id="242"/>
      <w:bookmarkEnd w:id="243"/>
      <w:bookmarkEnd w:id="244"/>
      <w:bookmarkEnd w:id="245"/>
    </w:p>
    <w:p w14:paraId="208A1E55">
      <w:pPr>
        <w:pStyle w:val="6"/>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p>
    <w:p w14:paraId="016CB08D">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246" w:name="_Toc18295"/>
      <w:bookmarkStart w:id="247" w:name="_Toc16526"/>
      <w:bookmarkStart w:id="248" w:name="_Toc5025"/>
      <w:bookmarkStart w:id="249" w:name="_Toc14466"/>
      <w:bookmarkStart w:id="250" w:name="_Toc2420"/>
      <w:bookmarkStart w:id="251" w:name="_Toc13375"/>
      <w:bookmarkStart w:id="252" w:name="_Toc7120"/>
      <w:bookmarkStart w:id="253" w:name="_Toc10118"/>
      <w:bookmarkStart w:id="254" w:name="_Toc2539"/>
      <w:bookmarkStart w:id="255" w:name="_Toc7224"/>
      <w:bookmarkStart w:id="256" w:name="_Toc1632"/>
      <w:bookmarkStart w:id="257" w:name="_Toc10748"/>
      <w:bookmarkStart w:id="258" w:name="_Toc14739"/>
      <w:bookmarkStart w:id="259" w:name="_Toc3553"/>
      <w:bookmarkStart w:id="260" w:name="_Toc15642"/>
      <w:bookmarkStart w:id="261" w:name="_Toc29965"/>
      <w:bookmarkStart w:id="262" w:name="_Toc520356151"/>
      <w:bookmarkStart w:id="263" w:name="_Toc28980"/>
      <w:bookmarkStart w:id="264" w:name="_Toc32487"/>
      <w:bookmarkStart w:id="265" w:name="_Toc515647767"/>
      <w:bookmarkStart w:id="266" w:name="_Toc7786"/>
      <w:bookmarkStart w:id="267" w:name="_Toc9725"/>
      <w:bookmarkStart w:id="268" w:name="_Toc516367021"/>
      <w:bookmarkStart w:id="269" w:name="_Toc30652"/>
      <w:bookmarkStart w:id="270" w:name="_Toc10810"/>
      <w:bookmarkStart w:id="271" w:name="_Toc14086"/>
      <w:bookmarkStart w:id="272" w:name="_Toc20486"/>
      <w:bookmarkStart w:id="273" w:name="_Toc2129"/>
      <w:r>
        <w:rPr>
          <w:rFonts w:hint="eastAsia" w:ascii="仿宋" w:hAnsi="仿宋" w:eastAsia="仿宋" w:cs="仿宋"/>
          <w:b/>
          <w:bCs/>
          <w:color w:val="auto"/>
          <w:sz w:val="24"/>
          <w:szCs w:val="24"/>
          <w:highlight w:val="none"/>
          <w:u w:val="none"/>
        </w:rPr>
        <w:t>投标范围及投标文件中标准和计量单位的使用</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5A481D0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项目有分包的，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可对招标文件其中某一个或几个分包服务进行投标，除非在</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中另有规定。</w:t>
      </w:r>
    </w:p>
    <w:p w14:paraId="532B50F2">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应当对所投分包招标文件中“</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内容及项目要求”所列的所有内容进行投标，如仅响应某一包中的部分内容，其该包投标将被认定为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441A834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     除招标文件中有特殊要求外，投标文件中所使用的计量单位，应采用中华人民共和国法定计量单位。</w:t>
      </w:r>
    </w:p>
    <w:p w14:paraId="3B974750">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274" w:name="_Ref467306676"/>
      <w:bookmarkStart w:id="275" w:name="_Ref467306195"/>
      <w:bookmarkStart w:id="276" w:name="_Toc516367022"/>
      <w:bookmarkStart w:id="277" w:name="_Toc15740"/>
      <w:bookmarkStart w:id="278" w:name="_Toc24338"/>
      <w:bookmarkStart w:id="279" w:name="_Toc23658"/>
      <w:bookmarkStart w:id="280" w:name="_Toc258"/>
      <w:bookmarkStart w:id="281" w:name="_Toc22417"/>
      <w:bookmarkStart w:id="282" w:name="_Toc25596"/>
      <w:bookmarkStart w:id="283" w:name="_Toc10992"/>
      <w:bookmarkStart w:id="284" w:name="_Toc22958"/>
      <w:bookmarkStart w:id="285" w:name="_Toc515647768"/>
      <w:bookmarkStart w:id="286" w:name="_Toc23291"/>
      <w:bookmarkStart w:id="287" w:name="_Toc16016"/>
      <w:bookmarkStart w:id="288" w:name="_Toc20101"/>
      <w:bookmarkStart w:id="289" w:name="_Toc10364"/>
      <w:bookmarkStart w:id="290" w:name="_Toc28307"/>
      <w:bookmarkStart w:id="291" w:name="_Toc520356152"/>
      <w:bookmarkStart w:id="292" w:name="_Toc12220"/>
      <w:bookmarkStart w:id="293" w:name="_Toc22037"/>
      <w:bookmarkStart w:id="294" w:name="_Toc22897"/>
      <w:bookmarkStart w:id="295" w:name="_Toc11888"/>
      <w:bookmarkStart w:id="296" w:name="_Toc29634"/>
      <w:bookmarkStart w:id="297" w:name="_Toc18673"/>
      <w:bookmarkStart w:id="298" w:name="_Toc9418"/>
      <w:bookmarkStart w:id="299" w:name="_Toc3591"/>
      <w:bookmarkStart w:id="300" w:name="_Toc13425"/>
      <w:bookmarkStart w:id="301" w:name="_Toc3144"/>
      <w:bookmarkStart w:id="302" w:name="_Toc12343"/>
      <w:bookmarkStart w:id="303" w:name="_Toc6152"/>
      <w:r>
        <w:rPr>
          <w:rFonts w:hint="eastAsia" w:ascii="仿宋" w:hAnsi="仿宋" w:eastAsia="仿宋" w:cs="仿宋"/>
          <w:b/>
          <w:bCs/>
          <w:color w:val="auto"/>
          <w:sz w:val="24"/>
          <w:szCs w:val="24"/>
          <w:highlight w:val="none"/>
          <w:u w:val="none"/>
        </w:rPr>
        <w:t>投标文件</w:t>
      </w:r>
      <w:bookmarkEnd w:id="274"/>
      <w:bookmarkEnd w:id="275"/>
      <w:bookmarkEnd w:id="276"/>
      <w:r>
        <w:rPr>
          <w:rFonts w:hint="eastAsia" w:ascii="仿宋" w:hAnsi="仿宋" w:eastAsia="仿宋" w:cs="仿宋"/>
          <w:b/>
          <w:bCs/>
          <w:color w:val="auto"/>
          <w:sz w:val="24"/>
          <w:szCs w:val="24"/>
          <w:highlight w:val="none"/>
          <w:u w:val="none"/>
        </w:rPr>
        <w:t>构成</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44EFD523">
      <w:pPr>
        <w:pageBreakBefore w:val="0"/>
        <w:widowControl w:val="0"/>
        <w:tabs>
          <w:tab w:val="left" w:pos="900"/>
          <w:tab w:val="left" w:pos="5580"/>
        </w:tabs>
        <w:kinsoku/>
        <w:wordWrap/>
        <w:overflowPunct/>
        <w:topLinePunct w:val="0"/>
        <w:bidi w:val="0"/>
        <w:spacing w:line="360" w:lineRule="exact"/>
        <w:ind w:left="960" w:leftChars="0" w:hanging="960" w:hangingChars="400"/>
        <w:jc w:val="left"/>
        <w:textAlignment w:val="auto"/>
        <w:rPr>
          <w:rFonts w:hint="eastAsia" w:ascii="仿宋" w:hAnsi="仿宋" w:eastAsia="仿宋" w:cs="仿宋"/>
          <w:color w:val="auto"/>
          <w:sz w:val="24"/>
          <w:szCs w:val="24"/>
          <w:highlight w:val="none"/>
          <w:u w:val="single"/>
        </w:rPr>
      </w:pPr>
      <w:bookmarkStart w:id="304" w:name="_Ref467052588"/>
      <w:r>
        <w:rPr>
          <w:rFonts w:hint="eastAsia" w:ascii="仿宋" w:hAnsi="仿宋" w:eastAsia="仿宋" w:cs="仿宋"/>
          <w:color w:val="auto"/>
          <w:sz w:val="24"/>
          <w:szCs w:val="24"/>
          <w:highlight w:val="none"/>
        </w:rPr>
        <w:t xml:space="preserve">9.1    </w:t>
      </w:r>
      <w:r>
        <w:rPr>
          <w:rFonts w:hint="eastAsia" w:ascii="仿宋" w:hAnsi="仿宋" w:eastAsia="仿宋" w:cs="仿宋"/>
          <w:b/>
          <w:bCs/>
          <w:color w:val="auto"/>
          <w:sz w:val="24"/>
          <w:highlight w:val="none"/>
          <w:u w:val="single"/>
          <w:lang w:eastAsia="zh-CN"/>
        </w:rPr>
        <w:t>供应商应完整地按招标文件提供的投标文件格式及要求编写投标文件，根据平台关联点上传对应佐证资料，投标文件应包括“开标一览表及资格证明文件”和“商务及技术文件”两部分，两部分合并成完整一册上传至政采云平台。供应商应承担上传失误产生的任何后果。</w:t>
      </w:r>
    </w:p>
    <w:p w14:paraId="4D1BED42">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上述文件应按照招标文件规定的格式填写、签署和盖章。</w:t>
      </w:r>
      <w:bookmarkEnd w:id="304"/>
    </w:p>
    <w:p w14:paraId="53C1C9A0">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lang w:eastAsia="zh-CN"/>
        </w:rPr>
      </w:pPr>
      <w:bookmarkStart w:id="305" w:name="_Toc17150"/>
      <w:bookmarkStart w:id="306" w:name="_Toc516367023"/>
      <w:bookmarkStart w:id="307" w:name="_Toc15151"/>
      <w:bookmarkStart w:id="308" w:name="_Toc4601"/>
      <w:bookmarkStart w:id="309" w:name="_Toc10584"/>
      <w:bookmarkStart w:id="310" w:name="_Toc12338"/>
      <w:bookmarkStart w:id="311" w:name="_Toc17715"/>
      <w:bookmarkStart w:id="312" w:name="_Toc515647769"/>
      <w:bookmarkStart w:id="313" w:name="_Toc14035"/>
      <w:bookmarkStart w:id="314" w:name="_Toc30354"/>
      <w:bookmarkStart w:id="315" w:name="_Toc10379"/>
      <w:bookmarkStart w:id="316" w:name="_Toc2056"/>
      <w:bookmarkStart w:id="317" w:name="_Toc22195"/>
      <w:bookmarkStart w:id="318" w:name="_Toc520356153"/>
      <w:bookmarkStart w:id="319" w:name="_Toc6978"/>
      <w:bookmarkStart w:id="320" w:name="_Toc12121"/>
      <w:bookmarkStart w:id="321" w:name="_Toc8150"/>
      <w:bookmarkStart w:id="322" w:name="_Toc18045"/>
      <w:bookmarkStart w:id="323" w:name="_Toc2503"/>
      <w:bookmarkStart w:id="324" w:name="_Toc10531"/>
      <w:bookmarkStart w:id="325" w:name="_Toc1879"/>
      <w:bookmarkStart w:id="326" w:name="_Toc1845"/>
      <w:bookmarkStart w:id="327" w:name="_Toc23028"/>
      <w:bookmarkStart w:id="328" w:name="_Toc10487"/>
      <w:bookmarkStart w:id="329" w:name="_Toc31364"/>
      <w:bookmarkStart w:id="330" w:name="_Toc25894"/>
      <w:bookmarkStart w:id="331" w:name="_Toc26648"/>
      <w:bookmarkStart w:id="332" w:name="_Toc17390"/>
      <w:r>
        <w:rPr>
          <w:rFonts w:hint="eastAsia" w:ascii="仿宋" w:hAnsi="仿宋" w:eastAsia="仿宋" w:cs="仿宋"/>
          <w:b/>
          <w:bCs/>
          <w:color w:val="auto"/>
          <w:sz w:val="24"/>
          <w:szCs w:val="24"/>
          <w:highlight w:val="none"/>
          <w:u w:val="none"/>
        </w:rPr>
        <w:t>证明投标的的合格性和符合招标文件规定的技术文件</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hint="eastAsia" w:ascii="仿宋" w:hAnsi="仿宋" w:eastAsia="仿宋" w:cs="仿宋"/>
          <w:b/>
          <w:bCs/>
          <w:color w:val="auto"/>
          <w:sz w:val="24"/>
          <w:szCs w:val="24"/>
          <w:highlight w:val="none"/>
          <w:u w:val="none"/>
          <w:lang w:eastAsia="zh-CN"/>
        </w:rPr>
        <w:t>。</w:t>
      </w:r>
      <w:bookmarkEnd w:id="321"/>
      <w:bookmarkEnd w:id="322"/>
      <w:bookmarkEnd w:id="323"/>
      <w:bookmarkEnd w:id="324"/>
      <w:bookmarkEnd w:id="325"/>
      <w:bookmarkEnd w:id="326"/>
      <w:bookmarkEnd w:id="327"/>
      <w:bookmarkEnd w:id="328"/>
      <w:bookmarkEnd w:id="329"/>
      <w:bookmarkEnd w:id="330"/>
      <w:bookmarkEnd w:id="331"/>
      <w:bookmarkEnd w:id="332"/>
    </w:p>
    <w:p w14:paraId="281B8D8E">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应提交证明文件，证明其投标内容符合招标文件规定。该证明文件是投标文件的一部分。</w:t>
      </w:r>
    </w:p>
    <w:p w14:paraId="45C8A8A3">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bookmarkStart w:id="333" w:name="_Ref467306244"/>
      <w:r>
        <w:rPr>
          <w:rFonts w:hint="eastAsia" w:ascii="仿宋" w:hAnsi="仿宋" w:eastAsia="仿宋" w:cs="仿宋"/>
          <w:color w:val="auto"/>
          <w:sz w:val="24"/>
          <w:szCs w:val="24"/>
          <w:highlight w:val="none"/>
        </w:rPr>
        <w:t>10.2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上款所述的证明文件，可以是文字资料、图纸和数据，</w:t>
      </w:r>
      <w:bookmarkEnd w:id="333"/>
      <w:r>
        <w:rPr>
          <w:rFonts w:hint="eastAsia" w:ascii="仿宋" w:hAnsi="仿宋" w:eastAsia="仿宋" w:cs="仿宋"/>
          <w:color w:val="auto"/>
          <w:sz w:val="24"/>
          <w:szCs w:val="24"/>
          <w:highlight w:val="none"/>
        </w:rPr>
        <w:t>它包括：</w:t>
      </w:r>
    </w:p>
    <w:p w14:paraId="09C6E6CC">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主要技术指标的详细说明；</w:t>
      </w:r>
    </w:p>
    <w:p w14:paraId="08DDCBDD">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货物从买方开始使用至</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文件规定的保质期内正常、连续地使用所必须的备件和专用工具清单，包括备件和专用工具的货源及现行价格；</w:t>
      </w:r>
    </w:p>
    <w:p w14:paraId="7C6090F8">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对照招标文件技术规格，逐条说明所提供</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及伴随的工程和</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已对招标文件的技术规格做出了实质性的响应，或申明与技术规格条文的偏差和例外。</w:t>
      </w:r>
    </w:p>
    <w:p w14:paraId="5F4F56CE">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在投标中可以选用替代牌号或分类号，但这些替代要实质上相当于技术规格的要求。采购人、采购代理机构承诺不以上述参照品牌型号或分类号作为评标时判定其投标是否有效的标准。</w:t>
      </w:r>
    </w:p>
    <w:p w14:paraId="41AD1D90">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334" w:name="_Toc15670"/>
      <w:bookmarkStart w:id="335" w:name="_Toc26145"/>
      <w:bookmarkStart w:id="336" w:name="_Toc25641"/>
      <w:bookmarkStart w:id="337" w:name="_Toc30792"/>
      <w:bookmarkStart w:id="338" w:name="_Toc24261"/>
      <w:bookmarkStart w:id="339" w:name="_Toc28480"/>
      <w:bookmarkStart w:id="340" w:name="_Toc520356155"/>
      <w:bookmarkStart w:id="341" w:name="_Toc710"/>
      <w:bookmarkStart w:id="342" w:name="_Toc2248"/>
      <w:bookmarkStart w:id="343" w:name="_Toc30467"/>
      <w:bookmarkStart w:id="344" w:name="_Toc21396"/>
      <w:bookmarkStart w:id="345" w:name="_Toc5144"/>
      <w:bookmarkStart w:id="346" w:name="_Toc301"/>
      <w:bookmarkStart w:id="347" w:name="_Toc29220"/>
      <w:bookmarkStart w:id="348" w:name="_Toc25118"/>
      <w:bookmarkStart w:id="349" w:name="_Toc23231"/>
      <w:bookmarkStart w:id="350" w:name="_Toc7731"/>
      <w:bookmarkStart w:id="351" w:name="_Toc515647770"/>
      <w:bookmarkStart w:id="352" w:name="_Toc5930"/>
      <w:bookmarkStart w:id="353" w:name="_Toc25685"/>
      <w:bookmarkStart w:id="354" w:name="_Toc24468"/>
      <w:bookmarkStart w:id="355" w:name="_Toc6035"/>
      <w:bookmarkStart w:id="356" w:name="_Toc3868"/>
      <w:bookmarkStart w:id="357" w:name="_Toc11160"/>
      <w:bookmarkStart w:id="358" w:name="_Toc29204"/>
      <w:bookmarkStart w:id="359" w:name="_Toc15832"/>
      <w:bookmarkStart w:id="360" w:name="_Toc2311"/>
      <w:r>
        <w:rPr>
          <w:rFonts w:hint="eastAsia" w:ascii="仿宋" w:hAnsi="仿宋" w:eastAsia="仿宋" w:cs="仿宋"/>
          <w:b/>
          <w:bCs/>
          <w:color w:val="auto"/>
          <w:sz w:val="24"/>
          <w:szCs w:val="24"/>
          <w:highlight w:val="none"/>
          <w:u w:val="none"/>
        </w:rPr>
        <w:t>投标报价</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632F215B">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所有投标均以人民币报价。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的投标报价应遵守《中华人民共和国价格法》。同时，根据《中华人民共和国政府采购法》第二条的规定，为保证公平竞争，如有主体部分的赠与行为，其投标将被认定为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277B982">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应在投标分项报价表上标明投标相关</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的单价（如适用）和总价，并由法定代表人或其授权代表签署。</w:t>
      </w:r>
    </w:p>
    <w:p w14:paraId="78450AC1">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投标分项报价表上的价格应按下列方式填写；</w:t>
      </w:r>
    </w:p>
    <w:p w14:paraId="322C00F4">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所报的各分项投标单价在合同履行过程中是固定不变的，不得以任何理由予以变更。任何包含价格调整要求的投标，其投标将被认定为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DA4B483">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每种</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只能有一个投标报价。采购人不接受具有附加条件的报价。</w:t>
      </w:r>
    </w:p>
    <w:p w14:paraId="1757C3C8">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361" w:name="_Toc21719"/>
      <w:bookmarkStart w:id="362" w:name="_Toc24283"/>
      <w:bookmarkStart w:id="363" w:name="_Toc23666"/>
      <w:bookmarkStart w:id="364" w:name="_Toc5648"/>
      <w:bookmarkStart w:id="365" w:name="_Toc18556"/>
      <w:bookmarkStart w:id="366" w:name="_Toc26371"/>
      <w:bookmarkStart w:id="367" w:name="_Toc22618"/>
      <w:bookmarkStart w:id="368" w:name="_Toc5799"/>
      <w:bookmarkStart w:id="369" w:name="_Toc14189"/>
      <w:bookmarkStart w:id="370" w:name="_Toc30245"/>
      <w:bookmarkStart w:id="371" w:name="_Toc1683"/>
      <w:bookmarkStart w:id="372" w:name="_Toc23784"/>
      <w:bookmarkStart w:id="373" w:name="_Toc3670"/>
      <w:bookmarkStart w:id="374" w:name="_Toc28730"/>
      <w:bookmarkStart w:id="375" w:name="_Toc28149"/>
      <w:bookmarkStart w:id="376" w:name="_Toc13010"/>
      <w:bookmarkStart w:id="377" w:name="_Toc17788"/>
      <w:bookmarkStart w:id="378" w:name="_Toc2547"/>
      <w:bookmarkStart w:id="379" w:name="_Toc25003"/>
      <w:bookmarkStart w:id="380" w:name="_Toc515647771"/>
      <w:bookmarkStart w:id="381" w:name="_Toc30071"/>
      <w:bookmarkStart w:id="382" w:name="_Toc10329"/>
      <w:bookmarkStart w:id="383" w:name="_Toc520356156"/>
      <w:bookmarkStart w:id="384" w:name="_Ref467306513"/>
      <w:bookmarkStart w:id="385" w:name="_Toc15349"/>
      <w:bookmarkStart w:id="386" w:name="_Toc11514"/>
      <w:bookmarkStart w:id="387" w:name="_Toc12354"/>
      <w:bookmarkStart w:id="388" w:name="_Toc21776"/>
      <w:r>
        <w:rPr>
          <w:rFonts w:hint="eastAsia" w:ascii="仿宋" w:hAnsi="仿宋" w:eastAsia="仿宋" w:cs="仿宋"/>
          <w:b/>
          <w:bCs/>
          <w:color w:val="auto"/>
          <w:sz w:val="24"/>
          <w:szCs w:val="24"/>
          <w:highlight w:val="none"/>
          <w:u w:val="none"/>
        </w:rPr>
        <w:t>投标保证金</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6A348B0C">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bookmarkStart w:id="389" w:name="_Ref467306302"/>
      <w:r>
        <w:rPr>
          <w:rFonts w:hint="eastAsia" w:ascii="仿宋" w:hAnsi="仿宋" w:eastAsia="仿宋" w:cs="仿宋"/>
          <w:color w:val="auto"/>
          <w:sz w:val="24"/>
          <w:szCs w:val="24"/>
          <w:highlight w:val="none"/>
        </w:rPr>
        <w:t>12.1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应提交</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中规定的投标保证金</w:t>
      </w:r>
      <w:bookmarkEnd w:id="389"/>
      <w:r>
        <w:rPr>
          <w:rFonts w:hint="eastAsia" w:ascii="仿宋" w:hAnsi="仿宋" w:eastAsia="仿宋" w:cs="仿宋"/>
          <w:color w:val="auto"/>
          <w:sz w:val="24"/>
          <w:szCs w:val="24"/>
          <w:highlight w:val="none"/>
        </w:rPr>
        <w:t>，并作为其投标的一部分。</w:t>
      </w:r>
    </w:p>
    <w:p w14:paraId="7DB7E3AA">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存在下列情形的，投标保证金不予退还：</w:t>
      </w:r>
    </w:p>
    <w:p w14:paraId="721A5009">
      <w:pPr>
        <w:pStyle w:val="16"/>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（1）在投标有效期内，撤销投标的；</w:t>
      </w:r>
    </w:p>
    <w:p w14:paraId="5E953CB9">
      <w:pPr>
        <w:pStyle w:val="16"/>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（2）中标后不按本须知第30条的规定与采购人签订合同的；</w:t>
      </w:r>
    </w:p>
    <w:p w14:paraId="2F68BCFC">
      <w:pPr>
        <w:pStyle w:val="16"/>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（3）中标后不按本须知第31条的规定提交履约保证金的；</w:t>
      </w:r>
    </w:p>
    <w:p w14:paraId="7B7FD36D">
      <w:pPr>
        <w:pStyle w:val="16"/>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（4）中标后不按本须知第32条的规定缴纳中标服务费的；</w:t>
      </w:r>
    </w:p>
    <w:p w14:paraId="555A643E">
      <w:pPr>
        <w:pStyle w:val="16"/>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（5）存在其他违法违规行为的。</w:t>
      </w:r>
    </w:p>
    <w:p w14:paraId="722D5DA2">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bookmarkStart w:id="390" w:name="_Ref467306336"/>
      <w:r>
        <w:rPr>
          <w:rFonts w:hint="eastAsia" w:ascii="仿宋" w:hAnsi="仿宋" w:eastAsia="仿宋" w:cs="仿宋"/>
          <w:color w:val="auto"/>
          <w:sz w:val="24"/>
          <w:szCs w:val="24"/>
          <w:highlight w:val="none"/>
        </w:rPr>
        <w:t>12.3</w:t>
      </w:r>
      <w:r>
        <w:rPr>
          <w:rFonts w:hint="eastAsia" w:ascii="仿宋" w:hAnsi="仿宋" w:eastAsia="仿宋" w:cs="仿宋"/>
          <w:color w:val="auto"/>
          <w:sz w:val="24"/>
          <w:szCs w:val="24"/>
          <w:highlight w:val="none"/>
        </w:rPr>
        <w:tab/>
      </w:r>
      <w:bookmarkEnd w:id="390"/>
      <w:r>
        <w:rPr>
          <w:rFonts w:hint="eastAsia" w:ascii="仿宋" w:hAnsi="仿宋" w:eastAsia="仿宋" w:cs="仿宋"/>
          <w:color w:val="auto"/>
          <w:sz w:val="24"/>
          <w:szCs w:val="24"/>
          <w:highlight w:val="none"/>
        </w:rPr>
        <w:t>政府采购信用担保试点范围内的项目，接受符合财政部门规定的政府采购投标担</w:t>
      </w:r>
      <w:r>
        <w:rPr>
          <w:rFonts w:hint="eastAsia" w:ascii="仿宋" w:hAnsi="仿宋" w:eastAsia="仿宋" w:cs="仿宋"/>
          <w:color w:val="auto"/>
          <w:sz w:val="24"/>
          <w:szCs w:val="24"/>
          <w:highlight w:val="none"/>
          <w:lang w:eastAsia="zh-CN"/>
        </w:rPr>
        <w:t>开户行银行保函</w:t>
      </w:r>
      <w:r>
        <w:rPr>
          <w:rFonts w:hint="eastAsia" w:ascii="仿宋" w:hAnsi="仿宋" w:eastAsia="仿宋" w:cs="仿宋"/>
          <w:color w:val="auto"/>
          <w:sz w:val="24"/>
          <w:szCs w:val="24"/>
          <w:highlight w:val="none"/>
        </w:rPr>
        <w:t>原件。</w:t>
      </w:r>
    </w:p>
    <w:p w14:paraId="24160D2E">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未按本须知第12.1和12.3条规定提交投标保证金的，其投标将被认定为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6AB0876B">
      <w:pPr>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12.4.1  采用电汇形式的，一般可以实时入账。</w:t>
      </w:r>
    </w:p>
    <w:p w14:paraId="2F0D7D37">
      <w:pPr>
        <w:pageBreakBefore w:val="0"/>
        <w:widowControl w:val="0"/>
        <w:kinsoku/>
        <w:wordWrap/>
        <w:overflowPunct/>
        <w:topLinePunct w:val="0"/>
        <w:bidi w:val="0"/>
        <w:spacing w:line="360" w:lineRule="exact"/>
        <w:ind w:left="960" w:leftChars="0" w:hanging="960" w:hangingChars="4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采用支票形式的，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则应充分考虑支票入账时间，以确保投标保证金能按时进入指定账户。根据银行信息交换和付款时间，支票从递交至实际入账一般需要4-5个工作日。如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未及时提交支票或支票不符合银行委托收款要求（如污损、折叠、胶装等），导致投标保证金不能按时进入指定账户的，将按照招标文件的第22.2条相关规定处理。</w:t>
      </w:r>
    </w:p>
    <w:p w14:paraId="4A9C01E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   联合体投标的，可以由联合体中的一方或者共同提交投标保证金。以一方名义提交投标保证金的，对联合体各方均具有约束力。</w:t>
      </w:r>
    </w:p>
    <w:p w14:paraId="2DB0F03F">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投标保证金的退还</w:t>
      </w:r>
    </w:p>
    <w:p w14:paraId="33A76DE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12.6.1  中标人应在与采购人签订合同之日起5个工作日内，及时联系保证金收受机构办理投标保证金无息退还手续。</w:t>
      </w:r>
    </w:p>
    <w:p w14:paraId="1182EFA5">
      <w:pPr>
        <w:pageBreakBefore w:val="0"/>
        <w:widowControl w:val="0"/>
        <w:kinsoku/>
        <w:wordWrap/>
        <w:overflowPunct/>
        <w:topLinePunct w:val="0"/>
        <w:bidi w:val="0"/>
        <w:spacing w:line="360" w:lineRule="exact"/>
        <w:ind w:left="960" w:leftChars="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12.6.2  未中标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的投标保证金将在中标通知书发出之日暨中标结果公告公布之日起5个工作日内无息退还。</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应及时联系保证金收受机构办理退还投标保证金手续。</w:t>
      </w:r>
    </w:p>
    <w:p w14:paraId="10BFE8C7">
      <w:pPr>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12.6.3  政府采购投标担</w:t>
      </w:r>
      <w:r>
        <w:rPr>
          <w:rFonts w:hint="eastAsia" w:ascii="仿宋" w:hAnsi="仿宋" w:eastAsia="仿宋" w:cs="仿宋"/>
          <w:color w:val="auto"/>
          <w:sz w:val="24"/>
          <w:szCs w:val="24"/>
          <w:highlight w:val="none"/>
          <w:lang w:eastAsia="zh-CN"/>
        </w:rPr>
        <w:t>开户行银行保函</w:t>
      </w:r>
      <w:r>
        <w:rPr>
          <w:rFonts w:hint="eastAsia" w:ascii="仿宋" w:hAnsi="仿宋" w:eastAsia="仿宋" w:cs="仿宋"/>
          <w:color w:val="auto"/>
          <w:sz w:val="24"/>
          <w:szCs w:val="24"/>
          <w:highlight w:val="none"/>
        </w:rPr>
        <w:t>不予退回。</w:t>
      </w:r>
    </w:p>
    <w:p w14:paraId="597E73FE">
      <w:pPr>
        <w:pageBreakBefore w:val="0"/>
        <w:widowControl w:val="0"/>
        <w:kinsoku/>
        <w:wordWrap/>
        <w:overflowPunct/>
        <w:topLinePunct w:val="0"/>
        <w:bidi w:val="0"/>
        <w:spacing w:line="360" w:lineRule="exact"/>
        <w:ind w:left="960" w:leftChars="0" w:hanging="960" w:hanging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12.7    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自身原因导致无法及时退还的，采购人或采购代理机构将不承担相应责任。</w:t>
      </w:r>
    </w:p>
    <w:p w14:paraId="4296368E">
      <w:pPr>
        <w:pStyle w:val="4"/>
        <w:pageBreakBefore w:val="0"/>
        <w:widowControl w:val="0"/>
        <w:numPr>
          <w:ilvl w:val="0"/>
          <w:numId w:val="4"/>
        </w:numPr>
        <w:kinsoku/>
        <w:wordWrap/>
        <w:overflowPunct/>
        <w:topLinePunct w:val="0"/>
        <w:bidi w:val="0"/>
        <w:spacing w:before="0" w:after="0" w:line="360" w:lineRule="exact"/>
        <w:ind w:left="0" w:leftChars="0"/>
        <w:textAlignment w:val="auto"/>
        <w:outlineLvl w:val="1"/>
        <w:rPr>
          <w:rFonts w:hint="eastAsia" w:ascii="仿宋" w:hAnsi="仿宋" w:eastAsia="仿宋" w:cs="仿宋"/>
          <w:b/>
          <w:bCs/>
          <w:color w:val="auto"/>
          <w:sz w:val="24"/>
          <w:szCs w:val="24"/>
          <w:highlight w:val="none"/>
          <w:u w:val="none"/>
        </w:rPr>
      </w:pPr>
      <w:bookmarkStart w:id="391" w:name="_Toc13507"/>
      <w:bookmarkStart w:id="392" w:name="_Toc11132"/>
      <w:bookmarkStart w:id="393" w:name="_Toc23590"/>
      <w:bookmarkStart w:id="394" w:name="_Toc9333"/>
      <w:bookmarkStart w:id="395" w:name="_Toc32569"/>
      <w:bookmarkStart w:id="396" w:name="_Toc11120"/>
      <w:bookmarkStart w:id="397" w:name="_Toc5678"/>
      <w:bookmarkStart w:id="398" w:name="_Toc520356157"/>
      <w:bookmarkStart w:id="399" w:name="_Toc19152"/>
      <w:bookmarkStart w:id="400" w:name="_Toc7349"/>
      <w:bookmarkStart w:id="401" w:name="_Toc28650"/>
      <w:bookmarkStart w:id="402" w:name="_Toc12947"/>
      <w:bookmarkStart w:id="403" w:name="_Toc32477"/>
      <w:bookmarkStart w:id="404" w:name="_Toc12620"/>
      <w:bookmarkStart w:id="405" w:name="_Toc515647772"/>
      <w:bookmarkStart w:id="406" w:name="_Toc1719"/>
      <w:bookmarkStart w:id="407" w:name="_Toc31306"/>
      <w:bookmarkStart w:id="408" w:name="_Toc25261"/>
      <w:bookmarkStart w:id="409" w:name="_Toc7882"/>
      <w:bookmarkStart w:id="410" w:name="_Toc19931"/>
      <w:bookmarkStart w:id="411" w:name="_Toc1255"/>
      <w:bookmarkStart w:id="412" w:name="_Toc23657"/>
      <w:bookmarkStart w:id="413" w:name="_Toc27999"/>
      <w:bookmarkStart w:id="414" w:name="_Toc3015"/>
      <w:bookmarkStart w:id="415" w:name="_Toc4526"/>
      <w:bookmarkStart w:id="416" w:name="_Toc17927"/>
      <w:bookmarkStart w:id="417" w:name="_Toc30519"/>
      <w:r>
        <w:rPr>
          <w:rFonts w:hint="eastAsia" w:ascii="仿宋" w:hAnsi="仿宋" w:eastAsia="仿宋" w:cs="仿宋"/>
          <w:b/>
          <w:bCs/>
          <w:color w:val="auto"/>
          <w:sz w:val="24"/>
          <w:szCs w:val="24"/>
          <w:highlight w:val="none"/>
          <w:u w:val="none"/>
        </w:rPr>
        <w:t>投标有效期</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66F76EF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投标应在</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中规定时间内保持有效。投标有效期不满足要求的投标，其投标将被认定为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980DC85">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为保证有充分时间签订合同，采购人或采购代理机构可根据实际情况，在原投标有效期截止之前，要求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延长投标文件的有效期。接受该要求的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将不会被要求和允许修正其投标，且本须知中有关投标保证金的要求须在延长的有效期内继续有效。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可以拒绝延长投标有效期的要求，其投标保证金将及时无息退还。上述要求和答复都应以书面形式提交。</w:t>
      </w:r>
    </w:p>
    <w:p w14:paraId="30501F5B">
      <w:pPr>
        <w:numPr>
          <w:ilvl w:val="0"/>
          <w:numId w:val="0"/>
        </w:numPr>
        <w:shd w:val="clear"/>
        <w:spacing w:line="360" w:lineRule="exact"/>
        <w:outlineLvl w:val="1"/>
        <w:rPr>
          <w:rFonts w:hint="eastAsia" w:ascii="仿宋" w:hAnsi="仿宋" w:eastAsia="仿宋" w:cs="仿宋"/>
          <w:b/>
          <w:bCs/>
          <w:color w:val="auto"/>
          <w:sz w:val="24"/>
          <w:szCs w:val="24"/>
          <w:highlight w:val="none"/>
          <w:u w:val="none"/>
        </w:rPr>
      </w:pPr>
      <w:bookmarkStart w:id="418" w:name="_Toc520356158"/>
      <w:bookmarkStart w:id="419" w:name="_Toc16503"/>
      <w:bookmarkStart w:id="420" w:name="_Toc4425"/>
      <w:bookmarkStart w:id="421" w:name="_Toc31098"/>
      <w:bookmarkStart w:id="422" w:name="_Toc9672"/>
      <w:bookmarkStart w:id="423" w:name="_Toc493"/>
      <w:bookmarkStart w:id="424" w:name="_Toc1080"/>
      <w:bookmarkStart w:id="425" w:name="_Toc10391"/>
      <w:bookmarkStart w:id="426" w:name="_Toc515647773"/>
      <w:bookmarkStart w:id="427" w:name="_Toc21504"/>
      <w:bookmarkStart w:id="428" w:name="_Toc12276"/>
      <w:bookmarkStart w:id="429" w:name="_Toc5874"/>
      <w:bookmarkStart w:id="430" w:name="_Toc30127"/>
      <w:bookmarkStart w:id="431" w:name="_Toc3558"/>
      <w:bookmarkStart w:id="432" w:name="_Toc29619"/>
      <w:bookmarkStart w:id="433" w:name="_Toc6286"/>
      <w:bookmarkStart w:id="434" w:name="_Toc17074"/>
      <w:bookmarkStart w:id="435" w:name="_Toc12203"/>
      <w:bookmarkStart w:id="436" w:name="_Toc18546"/>
      <w:bookmarkStart w:id="437" w:name="_Toc11669"/>
      <w:bookmarkStart w:id="438" w:name="_Toc24787"/>
      <w:bookmarkStart w:id="439" w:name="_Toc3325"/>
      <w:bookmarkStart w:id="440" w:name="_Toc30562"/>
      <w:r>
        <w:rPr>
          <w:rFonts w:hint="eastAsia" w:ascii="仿宋" w:hAnsi="仿宋" w:eastAsia="仿宋" w:cs="仿宋"/>
          <w:b/>
          <w:bCs/>
          <w:color w:val="auto"/>
          <w:sz w:val="24"/>
          <w:szCs w:val="24"/>
          <w:highlight w:val="none"/>
          <w:u w:val="none"/>
          <w:lang w:val="en-US" w:eastAsia="zh-CN"/>
        </w:rPr>
        <w:t>14.</w:t>
      </w:r>
      <w:r>
        <w:rPr>
          <w:rFonts w:hint="eastAsia" w:ascii="仿宋" w:hAnsi="仿宋" w:eastAsia="仿宋" w:cs="仿宋"/>
          <w:b/>
          <w:bCs/>
          <w:color w:val="auto"/>
          <w:sz w:val="24"/>
          <w:szCs w:val="24"/>
          <w:highlight w:val="none"/>
          <w:u w:val="none"/>
        </w:rPr>
        <w:t>投标文件的签署</w:t>
      </w:r>
      <w:bookmarkEnd w:id="418"/>
      <w:r>
        <w:rPr>
          <w:rFonts w:hint="eastAsia" w:ascii="仿宋" w:hAnsi="仿宋" w:eastAsia="仿宋" w:cs="仿宋"/>
          <w:b/>
          <w:bCs/>
          <w:color w:val="auto"/>
          <w:sz w:val="24"/>
          <w:szCs w:val="24"/>
          <w:highlight w:val="none"/>
          <w:u w:val="none"/>
        </w:rPr>
        <w:t>及规定</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Pr>
          <w:rFonts w:hint="eastAsia" w:ascii="仿宋" w:hAnsi="仿宋" w:eastAsia="仿宋" w:cs="仿宋"/>
          <w:b/>
          <w:i w:val="0"/>
          <w:caps w:val="0"/>
          <w:color w:val="auto"/>
          <w:spacing w:val="0"/>
          <w:w w:val="100"/>
          <w:sz w:val="24"/>
          <w:highlight w:val="none"/>
          <w:u w:val="single" w:color="000000"/>
          <w:lang w:val="en-US" w:eastAsia="zh-CN"/>
        </w:rPr>
        <w:t>（全面电子标）</w:t>
      </w:r>
      <w:bookmarkEnd w:id="439"/>
      <w:bookmarkEnd w:id="440"/>
    </w:p>
    <w:p w14:paraId="52127F2A">
      <w:pPr>
        <w:pageBreakBefore w:val="0"/>
        <w:shd w:val="clear"/>
        <w:kinsoku/>
        <w:wordWrap/>
        <w:overflowPunct/>
        <w:topLinePunct w:val="0"/>
        <w:bidi w:val="0"/>
        <w:spacing w:line="360" w:lineRule="exac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供应商应按供应商须知资料表中的规定，准备和</w:t>
      </w:r>
      <w:r>
        <w:rPr>
          <w:rFonts w:hint="eastAsia" w:ascii="仿宋" w:hAnsi="仿宋" w:eastAsia="仿宋" w:cs="仿宋"/>
          <w:color w:val="auto"/>
          <w:sz w:val="24"/>
          <w:szCs w:val="24"/>
          <w:highlight w:val="none"/>
          <w:lang w:val="en-US" w:eastAsia="zh-CN"/>
        </w:rPr>
        <w:t>上传</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p>
    <w:p w14:paraId="4A31E4FB">
      <w:pPr>
        <w:pStyle w:val="22"/>
        <w:pageBreakBefore w:val="0"/>
        <w:kinsoku/>
        <w:wordWrap/>
        <w:overflowPunct/>
        <w:topLinePunct w:val="0"/>
        <w:bidi w:val="0"/>
        <w:spacing w:line="360" w:lineRule="exact"/>
        <w:rPr>
          <w:rFonts w:hint="eastAsia" w:ascii="仿宋" w:hAnsi="仿宋" w:eastAsia="仿宋" w:cs="仿宋"/>
          <w:color w:val="auto"/>
          <w:sz w:val="24"/>
          <w:szCs w:val="24"/>
          <w:highlight w:val="none"/>
        </w:rPr>
      </w:pPr>
      <w:bookmarkStart w:id="441" w:name="_Toc216582808"/>
      <w:bookmarkStart w:id="442" w:name="_Toc11179"/>
      <w:bookmarkStart w:id="443" w:name="_Toc515647774"/>
      <w:bookmarkStart w:id="444" w:name="_Toc16865"/>
      <w:bookmarkStart w:id="445" w:name="_Toc520356159"/>
    </w:p>
    <w:p w14:paraId="049035A2">
      <w:pPr>
        <w:pStyle w:val="3"/>
        <w:pageBreakBefore w:val="0"/>
        <w:shd w:val="clear"/>
        <w:kinsoku/>
        <w:wordWrap/>
        <w:overflowPunct/>
        <w:topLinePunct w:val="0"/>
        <w:bidi w:val="0"/>
        <w:spacing w:before="0" w:line="360" w:lineRule="exact"/>
        <w:ind w:hanging="540"/>
        <w:outlineLvl w:val="1"/>
        <w:rPr>
          <w:rFonts w:hint="eastAsia" w:ascii="仿宋" w:hAnsi="仿宋" w:eastAsia="仿宋" w:cs="仿宋"/>
          <w:color w:val="auto"/>
          <w:sz w:val="24"/>
          <w:szCs w:val="24"/>
          <w:highlight w:val="none"/>
          <w:lang w:val="en-US" w:eastAsia="zh-CN"/>
        </w:rPr>
      </w:pPr>
      <w:bookmarkStart w:id="446" w:name="_Toc1143"/>
      <w:bookmarkStart w:id="447" w:name="_Toc20477"/>
      <w:bookmarkStart w:id="448" w:name="_Toc25125"/>
      <w:bookmarkStart w:id="449" w:name="_Toc30935"/>
      <w:r>
        <w:rPr>
          <w:rFonts w:hint="eastAsia" w:ascii="仿宋" w:hAnsi="仿宋" w:eastAsia="仿宋" w:cs="仿宋"/>
          <w:color w:val="auto"/>
          <w:sz w:val="24"/>
          <w:szCs w:val="24"/>
          <w:highlight w:val="none"/>
        </w:rPr>
        <w:t>四   投标文件的递交</w:t>
      </w:r>
      <w:bookmarkEnd w:id="441"/>
      <w:bookmarkEnd w:id="442"/>
      <w:bookmarkEnd w:id="443"/>
      <w:bookmarkEnd w:id="444"/>
      <w:bookmarkEnd w:id="445"/>
      <w:bookmarkEnd w:id="446"/>
      <w:bookmarkEnd w:id="447"/>
      <w:bookmarkEnd w:id="448"/>
      <w:bookmarkEnd w:id="449"/>
    </w:p>
    <w:p w14:paraId="38CB8A03">
      <w:pPr>
        <w:pageBreakBefore w:val="0"/>
        <w:kinsoku/>
        <w:wordWrap/>
        <w:overflowPunct/>
        <w:topLinePunct w:val="0"/>
        <w:bidi w:val="0"/>
        <w:spacing w:line="360" w:lineRule="exact"/>
        <w:rPr>
          <w:rFonts w:hint="eastAsia" w:ascii="仿宋" w:hAnsi="仿宋" w:eastAsia="仿宋" w:cs="仿宋"/>
          <w:color w:val="auto"/>
          <w:sz w:val="24"/>
          <w:szCs w:val="24"/>
          <w:highlight w:val="none"/>
        </w:rPr>
      </w:pPr>
    </w:p>
    <w:p w14:paraId="783360C0">
      <w:pPr>
        <w:pStyle w:val="4"/>
        <w:keepNext w:val="0"/>
        <w:keepLines w:val="0"/>
        <w:pageBreakBefore w:val="0"/>
        <w:widowControl w:val="0"/>
        <w:numPr>
          <w:ilvl w:val="0"/>
          <w:numId w:val="0"/>
        </w:numPr>
        <w:kinsoku/>
        <w:wordWrap/>
        <w:overflowPunct/>
        <w:topLinePunct w:val="0"/>
        <w:bidi w:val="0"/>
        <w:snapToGrid/>
        <w:spacing w:before="0" w:after="0" w:line="420" w:lineRule="exact"/>
        <w:ind w:leftChars="0"/>
        <w:textAlignment w:val="auto"/>
        <w:outlineLvl w:val="1"/>
        <w:rPr>
          <w:rFonts w:hint="eastAsia" w:ascii="仿宋" w:hAnsi="仿宋" w:eastAsia="仿宋" w:cs="仿宋"/>
          <w:b/>
          <w:bCs/>
          <w:color w:val="auto"/>
          <w:kern w:val="2"/>
          <w:sz w:val="24"/>
          <w:szCs w:val="24"/>
          <w:highlight w:val="none"/>
          <w:u w:val="none"/>
          <w:lang w:val="en-US" w:eastAsia="zh-CN" w:bidi="ar-SA"/>
        </w:rPr>
      </w:pPr>
      <w:bookmarkStart w:id="450" w:name="_Toc801"/>
      <w:bookmarkStart w:id="451" w:name="_Toc24289"/>
      <w:bookmarkStart w:id="452" w:name="_Toc7981"/>
      <w:bookmarkStart w:id="453" w:name="_Toc17213"/>
      <w:bookmarkStart w:id="454" w:name="_Toc19259"/>
      <w:bookmarkStart w:id="455" w:name="_Toc14788"/>
      <w:bookmarkStart w:id="456" w:name="_Toc17407"/>
      <w:bookmarkStart w:id="457" w:name="_Toc25334"/>
      <w:bookmarkStart w:id="458" w:name="_Toc32322"/>
      <w:r>
        <w:rPr>
          <w:rFonts w:hint="eastAsia" w:ascii="仿宋" w:hAnsi="仿宋" w:eastAsia="仿宋" w:cs="仿宋"/>
          <w:b/>
          <w:bCs/>
          <w:color w:val="auto"/>
          <w:kern w:val="2"/>
          <w:sz w:val="24"/>
          <w:szCs w:val="24"/>
          <w:highlight w:val="none"/>
          <w:u w:val="none"/>
          <w:lang w:val="en-US" w:eastAsia="zh-CN" w:bidi="ar-SA"/>
        </w:rPr>
        <w:t>15.投标文件的密封和标记</w:t>
      </w:r>
      <w:bookmarkEnd w:id="450"/>
      <w:bookmarkEnd w:id="451"/>
      <w:bookmarkEnd w:id="452"/>
      <w:bookmarkEnd w:id="453"/>
      <w:bookmarkEnd w:id="454"/>
      <w:bookmarkEnd w:id="455"/>
      <w:bookmarkEnd w:id="456"/>
      <w:r>
        <w:rPr>
          <w:rFonts w:hint="eastAsia" w:ascii="仿宋" w:hAnsi="仿宋" w:eastAsia="仿宋" w:cs="仿宋"/>
          <w:b/>
          <w:bCs/>
          <w:color w:val="auto"/>
          <w:kern w:val="2"/>
          <w:sz w:val="24"/>
          <w:szCs w:val="24"/>
          <w:highlight w:val="none"/>
          <w:u w:val="none"/>
          <w:lang w:val="en-US" w:eastAsia="zh-CN" w:bidi="ar-SA"/>
        </w:rPr>
        <w:t>（全面电子标）</w:t>
      </w:r>
      <w:bookmarkEnd w:id="457"/>
      <w:bookmarkEnd w:id="458"/>
    </w:p>
    <w:p w14:paraId="345873FF">
      <w:pPr>
        <w:keepNext w:val="0"/>
        <w:keepLines w:val="0"/>
        <w:pageBreakBefore w:val="0"/>
        <w:widowControl w:val="0"/>
        <w:kinsoku/>
        <w:wordWrap/>
        <w:overflowPunct/>
        <w:topLinePunct w:val="0"/>
        <w:autoSpaceDE/>
        <w:autoSpaceDN/>
        <w:bidi w:val="0"/>
        <w:adjustRightInd/>
        <w:snapToGrid/>
        <w:spacing w:line="420" w:lineRule="exact"/>
        <w:ind w:left="0" w:firstLine="0" w:firstLineChars="0"/>
        <w:jc w:val="left"/>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15.1为方便评审及进行资格审查，投标单位应完整地按招标文件提供的投标文件格式及要求编写投标文件，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14:paraId="354EE27C">
      <w:pPr>
        <w:keepNext w:val="0"/>
        <w:keepLines w:val="0"/>
        <w:pageBreakBefore w:val="0"/>
        <w:widowControl w:val="0"/>
        <w:kinsoku/>
        <w:wordWrap/>
        <w:overflowPunct/>
        <w:topLinePunct w:val="0"/>
        <w:bidi w:val="0"/>
        <w:snapToGrid/>
        <w:spacing w:line="420" w:lineRule="exact"/>
        <w:ind w:left="0" w:firstLine="0" w:firstLineChars="0"/>
        <w:textAlignment w:val="auto"/>
        <w:rPr>
          <w:rFonts w:hint="eastAsia" w:ascii="仿宋" w:hAnsi="仿宋" w:eastAsia="仿宋" w:cs="仿宋"/>
          <w:color w:val="auto"/>
          <w:kern w:val="2"/>
          <w:sz w:val="24"/>
          <w:szCs w:val="24"/>
          <w:highlight w:val="none"/>
          <w:u w:val="none"/>
          <w:lang w:val="en-US" w:eastAsia="zh-CN" w:bidi="ar-SA"/>
        </w:rPr>
      </w:pPr>
      <w:bookmarkStart w:id="459" w:name="_Toc28106"/>
      <w:r>
        <w:rPr>
          <w:rFonts w:hint="eastAsia" w:ascii="仿宋" w:hAnsi="仿宋" w:eastAsia="仿宋" w:cs="仿宋"/>
          <w:color w:val="auto"/>
          <w:kern w:val="2"/>
          <w:sz w:val="24"/>
          <w:szCs w:val="24"/>
          <w:highlight w:val="none"/>
          <w:u w:val="none"/>
          <w:lang w:val="en-US" w:eastAsia="zh-CN" w:bidi="ar-SA"/>
        </w:rPr>
        <w:t xml:space="preserve">15.2 </w:t>
      </w:r>
      <w:bookmarkEnd w:id="459"/>
      <w:r>
        <w:rPr>
          <w:rFonts w:hint="eastAsia" w:ascii="仿宋" w:hAnsi="仿宋" w:eastAsia="仿宋" w:cs="仿宋"/>
          <w:color w:val="auto"/>
          <w:kern w:val="2"/>
          <w:sz w:val="24"/>
          <w:szCs w:val="24"/>
          <w:highlight w:val="none"/>
          <w:u w:val="none"/>
          <w:lang w:val="en-US" w:eastAsia="zh-CN" w:bidi="ar-SA"/>
        </w:rPr>
        <w:t>供应商因自身原因导致电子投标文件无法导入电子评标系统的，该响应文件视为无效文件。</w:t>
      </w:r>
    </w:p>
    <w:p w14:paraId="3D091F9D">
      <w:pPr>
        <w:pStyle w:val="6"/>
        <w:keepNext w:val="0"/>
        <w:keepLines w:val="0"/>
        <w:pageBreakBefore w:val="0"/>
        <w:widowControl w:val="0"/>
        <w:numPr>
          <w:ilvl w:val="0"/>
          <w:numId w:val="0"/>
        </w:numPr>
        <w:kinsoku/>
        <w:wordWrap/>
        <w:overflowPunct/>
        <w:topLinePunct w:val="0"/>
        <w:bidi w:val="0"/>
        <w:snapToGrid/>
        <w:spacing w:line="420" w:lineRule="exact"/>
        <w:ind w:left="0" w:leftChars="0" w:firstLine="0" w:firstLineChars="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15.3 电子投标文件具有法律效力,与其他形式的响应文件在内容和格式上等同，若投标文件与招标文件要求不一致，其内容影响成交结果时，责任由供应商自行承担。</w:t>
      </w:r>
    </w:p>
    <w:p w14:paraId="17F52B5F">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460" w:name="_Toc7506"/>
      <w:bookmarkStart w:id="461" w:name="_Toc15282"/>
      <w:bookmarkStart w:id="462" w:name="_Toc20806"/>
      <w:bookmarkStart w:id="463" w:name="_Toc9344"/>
      <w:bookmarkStart w:id="464" w:name="_Toc28578"/>
      <w:bookmarkStart w:id="465" w:name="_Toc5284"/>
      <w:bookmarkStart w:id="466" w:name="_Toc27205"/>
      <w:bookmarkStart w:id="467" w:name="_Toc6497"/>
      <w:bookmarkStart w:id="468" w:name="_Toc27812"/>
      <w:r>
        <w:rPr>
          <w:rFonts w:hint="eastAsia" w:ascii="仿宋" w:hAnsi="仿宋" w:eastAsia="仿宋" w:cs="仿宋"/>
          <w:b/>
          <w:bCs/>
          <w:color w:val="auto"/>
          <w:sz w:val="24"/>
          <w:szCs w:val="24"/>
          <w:highlight w:val="none"/>
          <w:u w:val="none"/>
          <w:lang w:val="en-US" w:eastAsia="zh-CN"/>
        </w:rPr>
        <w:t>16.投标</w:t>
      </w:r>
      <w:r>
        <w:rPr>
          <w:rFonts w:hint="eastAsia" w:ascii="仿宋" w:hAnsi="仿宋" w:eastAsia="仿宋" w:cs="仿宋"/>
          <w:b/>
          <w:bCs/>
          <w:color w:val="auto"/>
          <w:sz w:val="24"/>
          <w:szCs w:val="24"/>
          <w:highlight w:val="none"/>
          <w:u w:val="none"/>
        </w:rPr>
        <w:t>截止</w:t>
      </w:r>
      <w:bookmarkEnd w:id="460"/>
      <w:bookmarkEnd w:id="461"/>
      <w:bookmarkEnd w:id="462"/>
      <w:bookmarkEnd w:id="463"/>
      <w:bookmarkEnd w:id="464"/>
      <w:bookmarkEnd w:id="465"/>
      <w:bookmarkEnd w:id="466"/>
      <w:bookmarkEnd w:id="467"/>
      <w:bookmarkEnd w:id="468"/>
    </w:p>
    <w:p w14:paraId="232F861D">
      <w:pPr>
        <w:spacing w:line="240" w:lineRule="atLeast"/>
        <w:ind w:left="900" w:hanging="900" w:hanging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供应商应在供应商须知资料表中规定的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截止时间前，将</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上传到</w:t>
      </w:r>
      <w:r>
        <w:rPr>
          <w:rFonts w:hint="eastAsia" w:ascii="仿宋" w:hAnsi="仿宋" w:eastAsia="仿宋" w:cs="仿宋"/>
          <w:color w:val="auto"/>
          <w:sz w:val="24"/>
          <w:szCs w:val="24"/>
          <w:highlight w:val="none"/>
          <w:lang w:val="en-US" w:eastAsia="zh-CN"/>
        </w:rPr>
        <w:t>公开招标</w:t>
      </w:r>
      <w:r>
        <w:rPr>
          <w:rFonts w:hint="eastAsia" w:ascii="仿宋" w:hAnsi="仿宋" w:eastAsia="仿宋" w:cs="仿宋"/>
          <w:color w:val="auto"/>
          <w:sz w:val="24"/>
          <w:szCs w:val="24"/>
          <w:highlight w:val="none"/>
        </w:rPr>
        <w:t>公告中规定的地点。</w:t>
      </w:r>
      <w:r>
        <w:rPr>
          <w:rFonts w:hint="eastAsia" w:ascii="仿宋" w:hAnsi="仿宋" w:eastAsia="仿宋" w:cs="仿宋"/>
          <w:b/>
          <w:bCs/>
          <w:color w:val="auto"/>
          <w:sz w:val="24"/>
          <w:highlight w:val="none"/>
          <w:lang w:eastAsia="zh-CN"/>
        </w:rPr>
        <w:t>解密时间</w:t>
      </w:r>
      <w:r>
        <w:rPr>
          <w:rFonts w:hint="eastAsia" w:ascii="仿宋" w:hAnsi="仿宋" w:eastAsia="仿宋" w:cs="仿宋"/>
          <w:b/>
          <w:bCs/>
          <w:color w:val="auto"/>
          <w:sz w:val="24"/>
          <w:highlight w:val="none"/>
          <w:lang w:val="en-US" w:eastAsia="zh-CN"/>
        </w:rPr>
        <w:t>30分钟，逾期未解密的视为投标无效。</w:t>
      </w:r>
    </w:p>
    <w:p w14:paraId="32A93BA2">
      <w:pPr>
        <w:pageBreakBefore w:val="0"/>
        <w:shd w:val="clear"/>
        <w:kinsoku/>
        <w:wordWrap/>
        <w:overflowPunct/>
        <w:topLinePunct w:val="0"/>
        <w:bidi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采购人和采购代理机构有权按本须知的规定，延迟</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截止时间。在此情况下，采购人、采购代理机构和供应商受</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截止时间制约的所有权利和义务均应延长至新的截止时间。</w:t>
      </w:r>
    </w:p>
    <w:p w14:paraId="4623BF2B">
      <w:pPr>
        <w:pageBreakBefore w:val="0"/>
        <w:shd w:val="clear"/>
        <w:kinsoku/>
        <w:wordWrap/>
        <w:overflowPunct/>
        <w:topLinePunct w:val="0"/>
        <w:bidi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采购人和采购代理机构将拒绝接收在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截止时间后上传的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p>
    <w:p w14:paraId="0F81D6D5">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469" w:name="_Toc4342"/>
      <w:bookmarkStart w:id="470" w:name="_Toc10568"/>
      <w:bookmarkStart w:id="471" w:name="_Toc16085"/>
      <w:bookmarkStart w:id="472" w:name="_Toc32019"/>
      <w:bookmarkStart w:id="473" w:name="_Toc31990"/>
      <w:bookmarkStart w:id="474" w:name="_Toc3194"/>
      <w:bookmarkStart w:id="475" w:name="_Toc29733"/>
      <w:bookmarkStart w:id="476" w:name="_Toc27841"/>
      <w:bookmarkStart w:id="477" w:name="_Toc9352"/>
      <w:r>
        <w:rPr>
          <w:rFonts w:hint="eastAsia" w:ascii="仿宋" w:hAnsi="仿宋" w:eastAsia="仿宋" w:cs="仿宋"/>
          <w:b/>
          <w:bCs/>
          <w:color w:val="auto"/>
          <w:sz w:val="24"/>
          <w:szCs w:val="24"/>
          <w:highlight w:val="none"/>
          <w:u w:val="none"/>
          <w:lang w:val="en-US" w:eastAsia="zh-CN"/>
        </w:rPr>
        <w:t>17.</w:t>
      </w:r>
      <w:r>
        <w:rPr>
          <w:rFonts w:hint="eastAsia" w:ascii="仿宋" w:hAnsi="仿宋" w:eastAsia="仿宋" w:cs="仿宋"/>
          <w:b/>
          <w:bCs/>
          <w:color w:val="auto"/>
          <w:sz w:val="24"/>
          <w:szCs w:val="24"/>
          <w:highlight w:val="none"/>
          <w:u w:val="none"/>
          <w:lang w:eastAsia="zh-CN"/>
        </w:rPr>
        <w:t>投标文件</w:t>
      </w:r>
      <w:r>
        <w:rPr>
          <w:rFonts w:hint="eastAsia" w:ascii="仿宋" w:hAnsi="仿宋" w:eastAsia="仿宋" w:cs="仿宋"/>
          <w:b/>
          <w:bCs/>
          <w:color w:val="auto"/>
          <w:sz w:val="24"/>
          <w:szCs w:val="24"/>
          <w:highlight w:val="none"/>
          <w:u w:val="none"/>
        </w:rPr>
        <w:t>的接收、修改与撤回</w:t>
      </w:r>
      <w:bookmarkEnd w:id="469"/>
      <w:bookmarkEnd w:id="470"/>
      <w:bookmarkEnd w:id="471"/>
      <w:bookmarkEnd w:id="472"/>
      <w:bookmarkEnd w:id="473"/>
      <w:bookmarkEnd w:id="474"/>
      <w:bookmarkEnd w:id="475"/>
      <w:bookmarkEnd w:id="476"/>
      <w:bookmarkEnd w:id="477"/>
    </w:p>
    <w:p w14:paraId="79DA1A6C">
      <w:pPr>
        <w:pageBreakBefore w:val="0"/>
        <w:shd w:val="clear"/>
        <w:kinsoku/>
        <w:wordWrap/>
        <w:overflowPunct/>
        <w:topLinePunct w:val="0"/>
        <w:bidi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截止时间后上传的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的，采购人和采购代理机构将拒绝接收。</w:t>
      </w:r>
    </w:p>
    <w:p w14:paraId="23BCA281">
      <w:pPr>
        <w:pageBreakBefore w:val="0"/>
        <w:shd w:val="clear"/>
        <w:kinsoku/>
        <w:wordWrap/>
        <w:overflowPunct/>
        <w:topLinePunct w:val="0"/>
        <w:bidi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上传</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以后，如果供应商要进行修改或撤回</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，供应商对</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的修改或撤回通知应按本须知规定编制、标记。采购人和采购代理机构将予以接收，并视为</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的组成部分。</w:t>
      </w:r>
    </w:p>
    <w:p w14:paraId="54590304">
      <w:pPr>
        <w:pageBreakBefore w:val="0"/>
        <w:shd w:val="clear"/>
        <w:kinsoku/>
        <w:wordWrap/>
        <w:overflowPunct/>
        <w:topLinePunct w:val="0"/>
        <w:bidi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截止期之后，采购人和采购代理机构不接受供应商主动对其</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做任何修改。</w:t>
      </w:r>
    </w:p>
    <w:p w14:paraId="14FDCE7D">
      <w:pPr>
        <w:pageBreakBefore w:val="0"/>
        <w:shd w:val="clear"/>
        <w:kinsoku/>
        <w:wordWrap/>
        <w:overflowPunct/>
        <w:topLinePunct w:val="0"/>
        <w:bidi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采购人和采购代理机构对所接收</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概不退回。</w:t>
      </w:r>
    </w:p>
    <w:p w14:paraId="00351E0F">
      <w:pPr>
        <w:pageBreakBefore w:val="0"/>
        <w:widowControl w:val="0"/>
        <w:kinsoku/>
        <w:wordWrap/>
        <w:overflowPunct/>
        <w:topLinePunct w:val="0"/>
        <w:bidi w:val="0"/>
        <w:spacing w:before="0" w:line="360" w:lineRule="exact"/>
        <w:ind w:left="0" w:leftChars="0" w:hanging="540"/>
        <w:textAlignment w:val="auto"/>
        <w:outlineLvl w:val="9"/>
        <w:rPr>
          <w:rFonts w:hint="eastAsia" w:ascii="仿宋" w:hAnsi="仿宋" w:eastAsia="仿宋" w:cs="仿宋"/>
          <w:color w:val="auto"/>
          <w:sz w:val="24"/>
          <w:szCs w:val="24"/>
          <w:highlight w:val="none"/>
        </w:rPr>
      </w:pPr>
      <w:bookmarkStart w:id="478" w:name="_Toc28398"/>
      <w:bookmarkStart w:id="479" w:name="_Toc216582809"/>
      <w:bookmarkStart w:id="480" w:name="_Toc515647778"/>
      <w:bookmarkStart w:id="481" w:name="_Toc520356163"/>
      <w:bookmarkStart w:id="482" w:name="_Toc7470"/>
      <w:bookmarkStart w:id="483" w:name="_Toc12436"/>
    </w:p>
    <w:p w14:paraId="16D48BAD">
      <w:pPr>
        <w:pStyle w:val="3"/>
        <w:pageBreakBefore w:val="0"/>
        <w:widowControl w:val="0"/>
        <w:kinsoku/>
        <w:wordWrap/>
        <w:overflowPunct/>
        <w:topLinePunct w:val="0"/>
        <w:bidi w:val="0"/>
        <w:spacing w:before="0" w:line="360" w:lineRule="exact"/>
        <w:ind w:left="0" w:leftChars="0" w:hanging="540"/>
        <w:textAlignment w:val="auto"/>
        <w:rPr>
          <w:rFonts w:hint="eastAsia" w:ascii="仿宋" w:hAnsi="仿宋" w:eastAsia="仿宋" w:cs="仿宋"/>
          <w:color w:val="auto"/>
          <w:sz w:val="24"/>
          <w:szCs w:val="24"/>
          <w:highlight w:val="none"/>
        </w:rPr>
      </w:pPr>
      <w:bookmarkStart w:id="484" w:name="_Toc10548"/>
      <w:bookmarkStart w:id="485" w:name="_Toc12049"/>
      <w:r>
        <w:rPr>
          <w:rFonts w:hint="eastAsia" w:ascii="仿宋" w:hAnsi="仿宋" w:eastAsia="仿宋" w:cs="仿宋"/>
          <w:color w:val="auto"/>
          <w:sz w:val="24"/>
          <w:szCs w:val="24"/>
          <w:highlight w:val="none"/>
        </w:rPr>
        <w:t>五   开标及评标</w:t>
      </w:r>
      <w:bookmarkEnd w:id="478"/>
      <w:bookmarkEnd w:id="479"/>
      <w:bookmarkEnd w:id="480"/>
      <w:bookmarkEnd w:id="481"/>
      <w:bookmarkEnd w:id="482"/>
      <w:bookmarkEnd w:id="483"/>
      <w:bookmarkEnd w:id="484"/>
      <w:bookmarkEnd w:id="485"/>
    </w:p>
    <w:p w14:paraId="3D22C87C">
      <w:pPr>
        <w:pageBreakBefore w:val="0"/>
        <w:kinsoku/>
        <w:wordWrap/>
        <w:overflowPunct/>
        <w:topLinePunct w:val="0"/>
        <w:bidi w:val="0"/>
        <w:spacing w:line="360" w:lineRule="exact"/>
        <w:rPr>
          <w:rFonts w:hint="eastAsia" w:ascii="仿宋" w:hAnsi="仿宋" w:eastAsia="仿宋" w:cs="仿宋"/>
          <w:color w:val="auto"/>
          <w:sz w:val="24"/>
          <w:szCs w:val="24"/>
          <w:highlight w:val="none"/>
        </w:rPr>
      </w:pPr>
    </w:p>
    <w:p w14:paraId="3894934D">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486" w:name="_Toc24922"/>
      <w:bookmarkStart w:id="487" w:name="_Toc9432"/>
      <w:bookmarkStart w:id="488" w:name="_Toc520356164"/>
      <w:bookmarkStart w:id="489" w:name="_Toc21418"/>
      <w:bookmarkStart w:id="490" w:name="_Toc23987"/>
      <w:bookmarkStart w:id="491" w:name="_Toc4385"/>
      <w:bookmarkStart w:id="492" w:name="_Toc17685"/>
      <w:bookmarkStart w:id="493" w:name="_Toc11726"/>
      <w:bookmarkStart w:id="494" w:name="_Toc17546"/>
      <w:bookmarkStart w:id="495" w:name="_Toc4423"/>
      <w:bookmarkStart w:id="496" w:name="_Toc28057"/>
      <w:bookmarkStart w:id="497" w:name="_Toc2886"/>
      <w:bookmarkStart w:id="498" w:name="_Toc31572"/>
      <w:bookmarkStart w:id="499" w:name="_Toc10415"/>
      <w:bookmarkStart w:id="500" w:name="_Toc63"/>
      <w:bookmarkStart w:id="501" w:name="_Toc10643"/>
      <w:bookmarkStart w:id="502" w:name="_Toc1738"/>
      <w:bookmarkStart w:id="503" w:name="_Toc23772"/>
      <w:bookmarkStart w:id="504" w:name="_Toc515647779"/>
      <w:bookmarkStart w:id="505" w:name="_Toc25345"/>
      <w:bookmarkStart w:id="506" w:name="_Toc4771"/>
      <w:bookmarkStart w:id="507" w:name="_Toc9474"/>
      <w:bookmarkStart w:id="508" w:name="_Toc32409"/>
      <w:bookmarkStart w:id="509" w:name="_Toc11144"/>
      <w:bookmarkStart w:id="510" w:name="_Toc4378"/>
      <w:bookmarkStart w:id="511" w:name="_Toc7186"/>
      <w:bookmarkStart w:id="512" w:name="_Toc520356165"/>
      <w:bookmarkStart w:id="513" w:name="_Toc16864"/>
      <w:bookmarkStart w:id="514" w:name="_Toc21667"/>
      <w:bookmarkStart w:id="515" w:name="_Toc28586"/>
      <w:bookmarkStart w:id="516" w:name="_Toc22770"/>
      <w:bookmarkStart w:id="517" w:name="_Toc26266"/>
      <w:bookmarkStart w:id="518" w:name="_Toc3080"/>
      <w:bookmarkStart w:id="519" w:name="_Toc2316"/>
      <w:bookmarkStart w:id="520" w:name="_Toc22792"/>
      <w:bookmarkStart w:id="521" w:name="_Toc10550"/>
      <w:bookmarkStart w:id="522" w:name="_Toc18228"/>
      <w:bookmarkStart w:id="523" w:name="_Toc10746"/>
      <w:bookmarkStart w:id="524" w:name="_Toc5052"/>
      <w:bookmarkStart w:id="525" w:name="_Toc19296"/>
      <w:bookmarkStart w:id="526" w:name="_Toc4063"/>
      <w:bookmarkStart w:id="527" w:name="_Toc21372"/>
      <w:bookmarkStart w:id="528" w:name="_Toc515647780"/>
      <w:bookmarkStart w:id="529" w:name="_Toc18233"/>
      <w:r>
        <w:rPr>
          <w:rFonts w:hint="eastAsia" w:ascii="仿宋" w:hAnsi="仿宋" w:eastAsia="仿宋" w:cs="仿宋"/>
          <w:b/>
          <w:bCs/>
          <w:color w:val="auto"/>
          <w:sz w:val="24"/>
          <w:szCs w:val="24"/>
          <w:highlight w:val="none"/>
          <w:u w:val="none"/>
          <w:lang w:val="en-US" w:eastAsia="zh-CN"/>
        </w:rPr>
        <w:t>18.</w:t>
      </w:r>
      <w:r>
        <w:rPr>
          <w:rFonts w:hint="eastAsia" w:ascii="仿宋" w:hAnsi="仿宋" w:eastAsia="仿宋" w:cs="仿宋"/>
          <w:b/>
          <w:bCs/>
          <w:color w:val="auto"/>
          <w:sz w:val="24"/>
          <w:szCs w:val="24"/>
          <w:highlight w:val="none"/>
          <w:u w:val="none"/>
        </w:rPr>
        <w:t>开标</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bookmarkEnd w:id="512"/>
    <w:p w14:paraId="0939E5F4">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bookmarkStart w:id="530" w:name="_Toc23873"/>
      <w:bookmarkStart w:id="531" w:name="_Toc24244"/>
      <w:bookmarkStart w:id="532" w:name="_Toc24046"/>
      <w:bookmarkStart w:id="533" w:name="_Toc1687"/>
      <w:bookmarkStart w:id="534" w:name="_Toc8996"/>
      <w:bookmarkStart w:id="535" w:name="_Toc11617"/>
      <w:bookmarkStart w:id="536" w:name="_Toc13596"/>
      <w:r>
        <w:rPr>
          <w:rFonts w:hint="eastAsia" w:ascii="仿宋" w:hAnsi="仿宋" w:eastAsia="仿宋" w:cs="仿宋"/>
          <w:color w:val="auto"/>
          <w:sz w:val="24"/>
          <w:highlight w:val="none"/>
          <w:lang w:val="en-US" w:eastAsia="zh-CN"/>
        </w:rPr>
        <w:t>18.1</w:t>
      </w:r>
      <w:r>
        <w:rPr>
          <w:rFonts w:hint="eastAsia" w:ascii="仿宋" w:hAnsi="仿宋" w:eastAsia="仿宋" w:cs="仿宋"/>
          <w:color w:val="auto"/>
          <w:sz w:val="24"/>
          <w:highlight w:val="none"/>
          <w:lang w:eastAsia="zh-CN"/>
        </w:rPr>
        <w:t>供应商按照须知资料表中规定的开标时间和地点，在规定时间内上传投标文件。</w:t>
      </w:r>
    </w:p>
    <w:p w14:paraId="11B36B84">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18.2</w:t>
      </w:r>
      <w:r>
        <w:rPr>
          <w:rFonts w:hint="eastAsia" w:ascii="仿宋" w:hAnsi="仿宋" w:eastAsia="仿宋" w:cs="仿宋"/>
          <w:color w:val="auto"/>
          <w:sz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lang w:eastAsia="zh-CN"/>
        </w:rPr>
        <w:t xml:space="preserve">，将被认定为无效投标。请供应商提前调试好CA锁，确定在操作时能正常使用。  </w:t>
      </w:r>
    </w:p>
    <w:p w14:paraId="7FC835D7">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18.3</w:t>
      </w:r>
      <w:r>
        <w:rPr>
          <w:rFonts w:hint="eastAsia" w:ascii="仿宋" w:hAnsi="仿宋" w:eastAsia="仿宋" w:cs="仿宋"/>
          <w:color w:val="auto"/>
          <w:sz w:val="24"/>
          <w:highlight w:val="none"/>
          <w:lang w:eastAsia="zh-CN"/>
        </w:rPr>
        <w:t>在开标记录时，代理机构开启签字时段，须供应商使用CA锁在政采云平台进行签字确认报价。</w:t>
      </w:r>
    </w:p>
    <w:p w14:paraId="33B2F361">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18.4</w:t>
      </w:r>
      <w:r>
        <w:rPr>
          <w:rFonts w:hint="eastAsia" w:ascii="仿宋" w:hAnsi="仿宋" w:eastAsia="仿宋" w:cs="仿宋"/>
          <w:color w:val="auto"/>
          <w:sz w:val="24"/>
          <w:highlight w:val="none"/>
          <w:lang w:eastAsia="zh-CN"/>
        </w:rPr>
        <w:t>采购人登录政采云平台对供应商的资格证明材料进行审查。</w:t>
      </w:r>
    </w:p>
    <w:p w14:paraId="4E26F5F3">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lang w:eastAsia="zh-CN"/>
        </w:rPr>
      </w:pPr>
      <w:bookmarkStart w:id="537" w:name="_Toc30996"/>
      <w:bookmarkStart w:id="538" w:name="_Toc10614"/>
      <w:r>
        <w:rPr>
          <w:rFonts w:hint="eastAsia" w:ascii="仿宋" w:hAnsi="仿宋" w:eastAsia="仿宋" w:cs="仿宋"/>
          <w:b/>
          <w:bCs/>
          <w:color w:val="auto"/>
          <w:sz w:val="24"/>
          <w:szCs w:val="24"/>
          <w:highlight w:val="none"/>
          <w:u w:val="none"/>
          <w:lang w:val="en-US" w:eastAsia="zh-CN"/>
        </w:rPr>
        <w:t>19.</w:t>
      </w:r>
      <w:r>
        <w:rPr>
          <w:rFonts w:hint="eastAsia" w:ascii="仿宋" w:hAnsi="仿宋" w:eastAsia="仿宋" w:cs="仿宋"/>
          <w:b/>
          <w:bCs/>
          <w:color w:val="auto"/>
          <w:sz w:val="24"/>
          <w:szCs w:val="24"/>
          <w:highlight w:val="none"/>
          <w:u w:val="none"/>
          <w:lang w:eastAsia="zh-CN"/>
        </w:rPr>
        <w:t>资格审查及组建评标委员会</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183624A">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19.1</w:t>
      </w:r>
      <w:r>
        <w:rPr>
          <w:rFonts w:hint="eastAsia" w:ascii="仿宋" w:hAnsi="仿宋" w:eastAsia="仿宋" w:cs="仿宋"/>
          <w:color w:val="auto"/>
          <w:sz w:val="24"/>
          <w:szCs w:val="24"/>
          <w:highlight w:val="none"/>
          <w:lang w:eastAsia="zh-CN"/>
        </w:rPr>
        <w:t xml:space="preserve"> 采购人或采购代理机构依据法律法规和招标文件中规定的内容，对供应商及其服务的资格进行审查，本项目审查内容如下：</w:t>
      </w:r>
    </w:p>
    <w:p w14:paraId="1C53DA5E">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18" w:leftChars="342"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i w:val="0"/>
          <w:caps w:val="0"/>
          <w:color w:val="auto"/>
          <w:spacing w:val="0"/>
          <w:w w:val="100"/>
          <w:sz w:val="24"/>
          <w:szCs w:val="24"/>
          <w:highlight w:val="none"/>
        </w:rPr>
        <w:t>本项目</w:t>
      </w:r>
      <w:r>
        <w:rPr>
          <w:rFonts w:hint="eastAsia" w:ascii="仿宋" w:hAnsi="仿宋" w:eastAsia="仿宋" w:cs="仿宋"/>
          <w:b/>
          <w:bCs/>
          <w:i w:val="0"/>
          <w:caps w:val="0"/>
          <w:color w:val="auto"/>
          <w:spacing w:val="0"/>
          <w:w w:val="100"/>
          <w:sz w:val="24"/>
          <w:szCs w:val="24"/>
          <w:highlight w:val="none"/>
          <w:lang w:val="en-US" w:eastAsia="zh-CN"/>
        </w:rPr>
        <w:t>资格审查资料须附在投标文件中</w:t>
      </w:r>
      <w:r>
        <w:rPr>
          <w:rFonts w:hint="eastAsia" w:ascii="仿宋" w:hAnsi="仿宋" w:eastAsia="仿宋" w:cs="仿宋"/>
          <w:b/>
          <w:bCs/>
          <w:i w:val="0"/>
          <w:caps w:val="0"/>
          <w:color w:val="auto"/>
          <w:spacing w:val="0"/>
          <w:w w:val="100"/>
          <w:sz w:val="24"/>
          <w:szCs w:val="24"/>
          <w:highlight w:val="none"/>
        </w:rPr>
        <w:t>：</w:t>
      </w:r>
    </w:p>
    <w:p w14:paraId="6A4137EC">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color w:val="auto"/>
          <w:sz w:val="24"/>
          <w:szCs w:val="24"/>
          <w:highlight w:val="none"/>
          <w:lang w:val="en-US" w:eastAsia="zh-CN"/>
        </w:rPr>
        <w:t>1、合格有效的三证合一的营业执照（三证合一）或电子营业执照（需加盖公章）或同等法律效力的证明文件（发证机关或公证机关出具的证明材料）；</w:t>
      </w:r>
    </w:p>
    <w:p w14:paraId="1C8B7BAF">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2、法定代表人资格证明及授权书、被授权人身份证(法定代表人投标需提供法定代表人身份证)；</w:t>
      </w:r>
    </w:p>
    <w:p w14:paraId="77070638">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3、提供近两年内任意一年的财务审计报告（新成立</w:t>
      </w:r>
      <w:r>
        <w:rPr>
          <w:rFonts w:hint="eastAsia" w:ascii="仿宋" w:hAnsi="仿宋" w:eastAsia="仿宋" w:cs="仿宋"/>
          <w:b/>
          <w:bCs/>
          <w:color w:val="auto"/>
          <w:sz w:val="24"/>
          <w:szCs w:val="24"/>
          <w:highlight w:val="none"/>
          <w:lang w:val="en-US" w:eastAsia="zh-CN"/>
        </w:rPr>
        <w:t>未满一年</w:t>
      </w:r>
      <w:r>
        <w:rPr>
          <w:rFonts w:hint="eastAsia" w:ascii="仿宋" w:hAnsi="仿宋" w:eastAsia="仿宋" w:cs="仿宋"/>
          <w:b/>
          <w:bCs/>
          <w:i w:val="0"/>
          <w:caps w:val="0"/>
          <w:color w:val="auto"/>
          <w:spacing w:val="0"/>
          <w:w w:val="100"/>
          <w:sz w:val="24"/>
          <w:szCs w:val="24"/>
          <w:highlight w:val="none"/>
          <w:lang w:val="en-US" w:eastAsia="zh-CN"/>
        </w:rPr>
        <w:t>的新公司可提供近三个月内任意一个月的银行资信证明）；</w:t>
      </w:r>
    </w:p>
    <w:p w14:paraId="17E46A7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4、依法缴纳近3个月内任意一个月社会保险证明；</w:t>
      </w:r>
    </w:p>
    <w:p w14:paraId="51090ACB">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5、依法缴纳近3个月内任意一个月税收证明；</w:t>
      </w:r>
    </w:p>
    <w:p w14:paraId="0D0C1CCA">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p>
    <w:p w14:paraId="753A321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7、参与政府采购活动前3年内未被列入失信、重大税收违法案件、财政部门禁止参加政府采购活动的承诺书；</w:t>
      </w:r>
    </w:p>
    <w:p w14:paraId="5952FE4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eastAsia="zh-CN"/>
        </w:rPr>
      </w:pPr>
      <w:r>
        <w:rPr>
          <w:rFonts w:hint="eastAsia" w:ascii="仿宋" w:hAnsi="仿宋" w:eastAsia="仿宋" w:cs="仿宋"/>
          <w:b/>
          <w:bCs/>
          <w:i w:val="0"/>
          <w:caps w:val="0"/>
          <w:color w:val="auto"/>
          <w:spacing w:val="0"/>
          <w:w w:val="100"/>
          <w:sz w:val="24"/>
          <w:szCs w:val="24"/>
          <w:highlight w:val="none"/>
          <w:lang w:val="en-US" w:eastAsia="zh-CN"/>
        </w:rPr>
        <w:t>8、提供针对本次项目的《反商业贿赂承诺书》</w:t>
      </w:r>
      <w:r>
        <w:rPr>
          <w:rFonts w:hint="eastAsia" w:ascii="仿宋" w:hAnsi="仿宋" w:eastAsia="仿宋" w:cs="仿宋"/>
          <w:b/>
          <w:bCs/>
          <w:i w:val="0"/>
          <w:caps w:val="0"/>
          <w:color w:val="auto"/>
          <w:spacing w:val="0"/>
          <w:w w:val="100"/>
          <w:sz w:val="24"/>
          <w:szCs w:val="24"/>
          <w:highlight w:val="none"/>
          <w:lang w:eastAsia="zh-CN"/>
        </w:rPr>
        <w:t>；</w:t>
      </w:r>
    </w:p>
    <w:p w14:paraId="59607E6E">
      <w:pPr>
        <w:pStyle w:val="22"/>
        <w:pageBreakBefore w:val="0"/>
        <w:kinsoku/>
        <w:wordWrap/>
        <w:overflowPunct/>
        <w:topLinePunct w:val="0"/>
        <w:bidi w:val="0"/>
        <w:spacing w:line="360" w:lineRule="exact"/>
        <w:rPr>
          <w:rFonts w:hint="eastAsia"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9、缴纳投标保证金的有效凭证。</w:t>
      </w:r>
    </w:p>
    <w:p w14:paraId="448CC76D">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rPr>
        <w:t>各供应商应注意以下事项：①本项目要求各投标供应商提供“</w:t>
      </w:r>
      <w:r>
        <w:rPr>
          <w:rFonts w:hint="eastAsia" w:ascii="仿宋" w:hAnsi="仿宋" w:eastAsia="仿宋" w:cs="仿宋"/>
          <w:b/>
          <w:bCs/>
          <w:i w:val="0"/>
          <w:caps w:val="0"/>
          <w:color w:val="auto"/>
          <w:spacing w:val="0"/>
          <w:w w:val="100"/>
          <w:sz w:val="24"/>
          <w:szCs w:val="24"/>
          <w:highlight w:val="none"/>
          <w:lang w:eastAsia="zh-CN"/>
        </w:rPr>
        <w:t>依法缴纳近六个月内任意一个月税收证明</w:t>
      </w:r>
      <w:r>
        <w:rPr>
          <w:rFonts w:hint="eastAsia" w:ascii="仿宋" w:hAnsi="仿宋" w:eastAsia="仿宋" w:cs="仿宋"/>
          <w:b/>
          <w:bCs/>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r>
        <w:rPr>
          <w:rFonts w:hint="eastAsia" w:ascii="仿宋" w:hAnsi="仿宋" w:eastAsia="仿宋" w:cs="仿宋"/>
          <w:b/>
          <w:bCs/>
          <w:i w:val="0"/>
          <w:caps w:val="0"/>
          <w:color w:val="auto"/>
          <w:spacing w:val="0"/>
          <w:w w:val="100"/>
          <w:sz w:val="24"/>
          <w:szCs w:val="24"/>
          <w:highlight w:val="none"/>
          <w:lang w:eastAsia="zh-CN"/>
        </w:rPr>
        <w:t>。</w:t>
      </w:r>
    </w:p>
    <w:p w14:paraId="476B0D6D">
      <w:pPr>
        <w:pageBreakBefore w:val="0"/>
        <w:widowControl w:val="0"/>
        <w:kinsoku/>
        <w:wordWrap/>
        <w:overflowPunct/>
        <w:topLinePunct w:val="0"/>
        <w:bidi w:val="0"/>
        <w:spacing w:line="360" w:lineRule="exact"/>
        <w:ind w:left="0" w:lef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i w:val="0"/>
          <w:caps w:val="0"/>
          <w:color w:val="auto"/>
          <w:spacing w:val="0"/>
          <w:w w:val="100"/>
          <w:sz w:val="24"/>
          <w:szCs w:val="24"/>
          <w:highlight w:val="none"/>
        </w:rPr>
        <w:t>未通过资格审查的供应商不进入评标；通过资格审查的供应商少于不足三家的，不得评标。</w:t>
      </w:r>
    </w:p>
    <w:p w14:paraId="2B653DF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采购人或采购代理机构将在开标前1个工作日至投标截止后1小时的期间内查询</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的信用记录。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存在不良信用记录的，其投标将被认定为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0898271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19.2.1 不良信用记录指：供应商在“信用中国”网站（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信息截图。</w:t>
      </w:r>
    </w:p>
    <w:p w14:paraId="53D78A1E">
      <w:pPr>
        <w:pageBreakBefore w:val="0"/>
        <w:widowControl w:val="0"/>
        <w:kinsoku/>
        <w:wordWrap/>
        <w:overflowPunct/>
        <w:topLinePunct w:val="0"/>
        <w:bidi w:val="0"/>
        <w:spacing w:line="360" w:lineRule="exact"/>
        <w:ind w:left="958" w:leftChars="456" w:firstLine="60" w:firstLineChars="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以联合体形式参加投标的，联合体任何成员存在以上不良信用记录的，联合体投标将被认定为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3F66485B">
      <w:pPr>
        <w:pStyle w:val="6"/>
        <w:pageBreakBefore w:val="0"/>
        <w:widowControl w:val="0"/>
        <w:kinsoku/>
        <w:wordWrap/>
        <w:overflowPunct/>
        <w:topLinePunct w:val="0"/>
        <w:bidi w:val="0"/>
        <w:spacing w:line="360" w:lineRule="exact"/>
        <w:ind w:left="849" w:leftChars="0" w:hanging="849" w:hangingChars="354"/>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19.2.2 查询及记录方式：采购人或采购代理机构经办人将查询网页打印、签字并存档备查。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不良信用记录以采购人或采购代理机构查询结果为准。</w:t>
      </w:r>
    </w:p>
    <w:p w14:paraId="3EC336CF">
      <w:pPr>
        <w:pStyle w:val="6"/>
        <w:pageBreakBefore w:val="0"/>
        <w:widowControl w:val="0"/>
        <w:kinsoku/>
        <w:wordWrap/>
        <w:overflowPunct/>
        <w:topLinePunct w:val="0"/>
        <w:bidi w:val="0"/>
        <w:spacing w:line="360" w:lineRule="exact"/>
        <w:ind w:left="0" w:leftChars="0" w:firstLine="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在本招标文件规定的查询时间之后，网站信息发生的任何变更均不再作为评标依据。</w:t>
      </w:r>
    </w:p>
    <w:p w14:paraId="52A40507">
      <w:pPr>
        <w:pStyle w:val="6"/>
        <w:pageBreakBefore w:val="0"/>
        <w:widowControl w:val="0"/>
        <w:kinsoku/>
        <w:wordWrap/>
        <w:overflowPunct/>
        <w:topLinePunct w:val="0"/>
        <w:bidi w:val="0"/>
        <w:spacing w:line="360" w:lineRule="exact"/>
        <w:ind w:left="0" w:leftChars="0" w:firstLine="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自行提供的与网站信息不一致的其他证明材料亦不作为资格审查依据。</w:t>
      </w:r>
    </w:p>
    <w:p w14:paraId="47F35C20">
      <w:pPr>
        <w:pageBreakBefore w:val="0"/>
        <w:widowControl w:val="0"/>
        <w:kinsoku/>
        <w:wordWrap/>
        <w:overflowPunct/>
        <w:topLinePunct w:val="0"/>
        <w:bidi w:val="0"/>
        <w:spacing w:line="360" w:lineRule="exact"/>
        <w:ind w:left="849" w:leftChars="0" w:hanging="849" w:hangingChars="354"/>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rPr>
        <w:t xml:space="preserve">19.3  </w:t>
      </w:r>
      <w:bookmarkStart w:id="539" w:name="_Toc520356166"/>
      <w:r>
        <w:rPr>
          <w:rFonts w:hint="eastAsia" w:ascii="仿宋" w:hAnsi="仿宋" w:eastAsia="仿宋" w:cs="仿宋"/>
          <w:color w:val="auto"/>
          <w:sz w:val="24"/>
          <w:szCs w:val="24"/>
          <w:highlight w:val="none"/>
        </w:rPr>
        <w:t>按照《中华人民共和国政府采购法》、《中华人民共和国政府采购法实施条例》及本项目本级和上级财政部门的有关规定依法组建的评标委员会，负责评标工作。本项目评标委员会由</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人组成</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政采云</w:t>
      </w:r>
      <w:r>
        <w:rPr>
          <w:rFonts w:hint="eastAsia" w:ascii="仿宋" w:hAnsi="仿宋" w:eastAsia="仿宋" w:cs="仿宋"/>
          <w:color w:val="000000" w:themeColor="text1"/>
          <w:sz w:val="24"/>
          <w:szCs w:val="24"/>
          <w:highlight w:val="none"/>
          <w14:textFill>
            <w14:solidFill>
              <w14:schemeClr w14:val="tx1"/>
            </w14:solidFill>
          </w14:textFill>
        </w:rPr>
        <w:t>随机抽取专家</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名）</w:t>
      </w:r>
    </w:p>
    <w:p w14:paraId="44D40D7F">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540" w:name="_Toc515647781"/>
      <w:bookmarkStart w:id="541" w:name="_Toc22736"/>
      <w:bookmarkStart w:id="542" w:name="_Toc12543"/>
      <w:bookmarkStart w:id="543" w:name="_Toc32378"/>
      <w:bookmarkStart w:id="544" w:name="_Toc29500"/>
      <w:bookmarkStart w:id="545" w:name="_Toc27593"/>
      <w:bookmarkStart w:id="546" w:name="_Toc19094"/>
      <w:bookmarkStart w:id="547" w:name="_Toc10732"/>
      <w:bookmarkStart w:id="548" w:name="_Toc19949"/>
      <w:bookmarkStart w:id="549" w:name="_Toc14028"/>
      <w:bookmarkStart w:id="550" w:name="_Toc4062"/>
      <w:bookmarkStart w:id="551" w:name="_Toc6771"/>
      <w:bookmarkStart w:id="552" w:name="_Toc827"/>
      <w:bookmarkStart w:id="553" w:name="_Toc4663"/>
      <w:bookmarkStart w:id="554" w:name="_Toc13892"/>
      <w:bookmarkStart w:id="555" w:name="_Toc21876"/>
      <w:bookmarkStart w:id="556" w:name="_Toc28479"/>
      <w:bookmarkStart w:id="557" w:name="_Toc7962"/>
      <w:bookmarkStart w:id="558" w:name="_Toc22009"/>
      <w:bookmarkStart w:id="559" w:name="_Toc8432"/>
      <w:bookmarkStart w:id="560" w:name="_Toc3936"/>
      <w:bookmarkStart w:id="561" w:name="_Toc22105"/>
      <w:bookmarkStart w:id="562" w:name="_Toc31534"/>
      <w:bookmarkStart w:id="563" w:name="_Toc13448"/>
      <w:bookmarkStart w:id="564" w:name="_Toc14377"/>
      <w:bookmarkStart w:id="565" w:name="_Toc22021"/>
      <w:r>
        <w:rPr>
          <w:rFonts w:hint="eastAsia" w:ascii="仿宋" w:hAnsi="仿宋" w:eastAsia="仿宋" w:cs="仿宋"/>
          <w:b/>
          <w:bCs/>
          <w:color w:val="auto"/>
          <w:sz w:val="24"/>
          <w:szCs w:val="24"/>
          <w:highlight w:val="none"/>
          <w:u w:val="none"/>
          <w:lang w:val="en-US" w:eastAsia="zh-CN"/>
        </w:rPr>
        <w:t>20.</w:t>
      </w:r>
      <w:r>
        <w:rPr>
          <w:rFonts w:hint="eastAsia" w:ascii="仿宋" w:hAnsi="仿宋" w:eastAsia="仿宋" w:cs="仿宋"/>
          <w:b/>
          <w:bCs/>
          <w:color w:val="auto"/>
          <w:sz w:val="24"/>
          <w:szCs w:val="24"/>
          <w:highlight w:val="none"/>
          <w:u w:val="none"/>
        </w:rPr>
        <w:t>投标文件</w:t>
      </w:r>
      <w:bookmarkEnd w:id="539"/>
      <w:r>
        <w:rPr>
          <w:rFonts w:hint="eastAsia" w:ascii="仿宋" w:hAnsi="仿宋" w:eastAsia="仿宋" w:cs="仿宋"/>
          <w:b/>
          <w:bCs/>
          <w:color w:val="auto"/>
          <w:sz w:val="24"/>
          <w:szCs w:val="24"/>
          <w:highlight w:val="none"/>
          <w:u w:val="none"/>
        </w:rPr>
        <w:t>符合性审查与澄清</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2E4E0ECE">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   符合性审查是指依据招标文件的规定，从投标文件的有效性和完整性对招标文件的响应程度进行审查，以确定是否对招标文件的实质性要求做出响应。</w:t>
      </w:r>
      <w:bookmarkStart w:id="566" w:name="_Hlt522424701"/>
      <w:bookmarkEnd w:id="566"/>
      <w:bookmarkStart w:id="567" w:name="_Toc520356167"/>
    </w:p>
    <w:p w14:paraId="09782AF9">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投标文件的澄清</w:t>
      </w:r>
    </w:p>
    <w:p w14:paraId="51CE2BC2">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20.2.1  在评标期间，评标委员会将以书面方式要求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对其投标文件中含义不明确、对同类问题表述不一致或者有明显文字和计算错误的内容，以及评标委员会认为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的报价明显低于其他通过符合性检查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的报价，有可能影响履约的情况作必要的澄清、说明或补正。</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的澄清、说明或补正应在评标委员会规定的时间内以书面方式进行，并不得超出投标文件范围或者改变投标文件的实质性内容。</w:t>
      </w:r>
    </w:p>
    <w:p w14:paraId="790DAD4C">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20.2.2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的的澄清、说明或补正将作为投标文件的一部分。</w:t>
      </w:r>
    </w:p>
    <w:p w14:paraId="0C2BE4C9">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投标文件报价出现前后不一致的，按照下列规定修正：</w:t>
      </w:r>
    </w:p>
    <w:p w14:paraId="2B314F6C">
      <w:pPr>
        <w:pageBreakBefore w:val="0"/>
        <w:widowControl w:val="0"/>
        <w:kinsoku/>
        <w:wordWrap/>
        <w:overflowPunct/>
        <w:topLinePunct w:val="0"/>
        <w:bidi w:val="0"/>
        <w:spacing w:line="360" w:lineRule="exact"/>
        <w:ind w:left="1020" w:leftChars="0" w:hanging="1020" w:hangingChars="42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（一）投标文件中开标一览表（报价表）内容与投标文件中相应内容不一致的，以开标一览表（报价表）为准；</w:t>
      </w:r>
    </w:p>
    <w:p w14:paraId="046EF388">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　　   （二）大写金额和小写金额</w:t>
      </w:r>
      <w:r>
        <w:rPr>
          <w:rFonts w:hint="eastAsia" w:ascii="仿宋" w:hAnsi="仿宋" w:eastAsia="仿宋" w:cs="仿宋"/>
          <w:b w:val="0"/>
          <w:bCs w:val="0"/>
          <w:color w:val="auto"/>
          <w:sz w:val="24"/>
          <w:szCs w:val="24"/>
          <w:highlight w:val="none"/>
        </w:rPr>
        <w:t>不一致的，以大写金额为准；</w:t>
      </w:r>
    </w:p>
    <w:p w14:paraId="27D98FAD">
      <w:pPr>
        <w:pageBreakBefore w:val="0"/>
        <w:widowControl w:val="0"/>
        <w:kinsoku/>
        <w:wordWrap/>
        <w:overflowPunct/>
        <w:topLinePunct w:val="0"/>
        <w:bidi w:val="0"/>
        <w:spacing w:line="360" w:lineRule="exact"/>
        <w:ind w:left="1020" w:leftChars="0" w:hanging="1020" w:hangingChars="425"/>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（三）单价金额小数点或者百分比有明显错位的，以开标一览表的总价为准，并修改单价；</w:t>
      </w:r>
    </w:p>
    <w:p w14:paraId="109A3366">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（四）总价金额与按单价汇总金额不一致的，以单价金额计算结果为准。</w:t>
      </w:r>
    </w:p>
    <w:p w14:paraId="73EB1F71">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同时出现两种以上不一致的，按照前款规定的顺序修正。修正后的报价按照第20.2条的规定经</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确认后产生约束力，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不确认的，其投标将被认定为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1DC1ECF7">
      <w:pPr>
        <w:pageBreakBefore w:val="0"/>
        <w:widowControl w:val="0"/>
        <w:kinsoku/>
        <w:wordWrap/>
        <w:overflowPunct/>
        <w:topLinePunct w:val="0"/>
        <w:bidi w:val="0"/>
        <w:spacing w:line="360" w:lineRule="exact"/>
        <w:ind w:left="0" w:leftChars="0"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对不同文字文本投标文件的解释发生异议的，以中文文本为准。</w:t>
      </w:r>
    </w:p>
    <w:p w14:paraId="1B131614">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   如一个分包内只有一种产品，不同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所投产品为同一品牌的，按如下方式处理：</w:t>
      </w:r>
    </w:p>
    <w:p w14:paraId="44F1F170">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20.4.1  如本项目使用最低评标价法，提供相同品牌产品的不同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；未规定的采取随机抽取方式确定，其他投标将被认定为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4B19953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20.4.2  如本项目使用综合评分法，提供相同品牌产品且通过资格审查、符合性审查的不同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，按一家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计算，评审后得分最高的同品牌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获得中标人推荐资格；评审得分相同的，由采购人或者采购人委托评标委员会按照招标文件中评标办法规定的方式确定一个</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获得中标人推荐资格；未规定的采取随机抽取方式确定，其他同品牌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不作为中标候选人。</w:t>
      </w:r>
    </w:p>
    <w:p w14:paraId="1C97EB89">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20.5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14:paraId="5452E0DB">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如采购人所采购产品为政府强制采购的节能产品，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所投产品的品牌及型号必须为清单中有效期内产品并提供证明文件，否则其投标将被认定为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p>
    <w:p w14:paraId="532A069A">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568" w:name="_Toc10143"/>
      <w:bookmarkStart w:id="569" w:name="_Toc12161"/>
      <w:bookmarkStart w:id="570" w:name="_Toc22"/>
      <w:bookmarkStart w:id="571" w:name="_Toc19042"/>
      <w:bookmarkStart w:id="572" w:name="_Toc16070"/>
      <w:bookmarkStart w:id="573" w:name="_Toc5106"/>
      <w:bookmarkStart w:id="574" w:name="_Toc11608"/>
      <w:bookmarkStart w:id="575" w:name="_Toc18062"/>
      <w:bookmarkStart w:id="576" w:name="_Toc21482"/>
      <w:bookmarkStart w:id="577" w:name="_Toc21658"/>
      <w:bookmarkStart w:id="578" w:name="_Toc27571"/>
      <w:bookmarkStart w:id="579" w:name="_Toc21796"/>
      <w:bookmarkStart w:id="580" w:name="_Toc515647782"/>
      <w:bookmarkStart w:id="581" w:name="_Toc29292"/>
      <w:bookmarkStart w:id="582" w:name="_Toc6538"/>
      <w:bookmarkStart w:id="583" w:name="_Toc28830"/>
      <w:bookmarkStart w:id="584" w:name="_Toc6364"/>
      <w:bookmarkStart w:id="585" w:name="_Toc28431"/>
      <w:bookmarkStart w:id="586" w:name="_Toc24344"/>
      <w:bookmarkStart w:id="587" w:name="_Toc630"/>
      <w:bookmarkStart w:id="588" w:name="_Toc9469"/>
      <w:bookmarkStart w:id="589" w:name="_Toc16606"/>
      <w:bookmarkStart w:id="590" w:name="_Toc7973"/>
      <w:bookmarkStart w:id="591" w:name="_Toc21138"/>
      <w:bookmarkStart w:id="592" w:name="_Toc1633"/>
      <w:bookmarkStart w:id="593" w:name="_Toc14269"/>
      <w:r>
        <w:rPr>
          <w:rFonts w:hint="eastAsia" w:ascii="仿宋" w:hAnsi="仿宋" w:eastAsia="仿宋" w:cs="仿宋"/>
          <w:b/>
          <w:bCs/>
          <w:color w:val="auto"/>
          <w:sz w:val="24"/>
          <w:szCs w:val="24"/>
          <w:highlight w:val="none"/>
          <w:u w:val="none"/>
          <w:lang w:val="en-US" w:eastAsia="zh-CN"/>
        </w:rPr>
        <w:t>21</w:t>
      </w:r>
      <w:r>
        <w:rPr>
          <w:rFonts w:hint="eastAsia" w:ascii="仿宋" w:hAnsi="仿宋" w:eastAsia="仿宋" w:cs="仿宋"/>
          <w:b/>
          <w:bCs/>
          <w:color w:val="auto"/>
          <w:sz w:val="24"/>
          <w:szCs w:val="24"/>
          <w:highlight w:val="none"/>
          <w:u w:val="none"/>
        </w:rPr>
        <w:t>投标偏离</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1FF237C9">
      <w:pPr>
        <w:pageBreakBefore w:val="0"/>
        <w:widowControl w:val="0"/>
        <w:kinsoku/>
        <w:wordWrap/>
        <w:overflowPunct/>
        <w:topLinePunct w:val="0"/>
        <w:bidi w:val="0"/>
        <w:spacing w:line="360" w:lineRule="exact"/>
        <w:ind w:left="640" w:leftChars="0" w:hanging="640" w:hangingChars="26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评标委员会可以接受投标文件中不构成实质性偏离的不正规或不一致。</w:t>
      </w:r>
      <w:bookmarkStart w:id="594" w:name="_Toc515647783"/>
      <w:bookmarkStart w:id="595" w:name="_Toc4950"/>
      <w:bookmarkStart w:id="596" w:name="_Toc6092"/>
      <w:r>
        <w:rPr>
          <w:rFonts w:hint="eastAsia" w:ascii="仿宋" w:hAnsi="仿宋" w:eastAsia="仿宋" w:cs="仿宋"/>
          <w:color w:val="auto"/>
          <w:sz w:val="24"/>
          <w:szCs w:val="24"/>
          <w:highlight w:val="none"/>
          <w:lang w:eastAsia="zh-CN"/>
        </w:rPr>
        <w:t>本项目接受偏离，投标供应商提供参数中出现正偏离加分、负偏离扣</w:t>
      </w:r>
      <w:r>
        <w:rPr>
          <w:rFonts w:hint="eastAsia" w:ascii="仿宋" w:hAnsi="仿宋" w:eastAsia="仿宋" w:cs="仿宋"/>
          <w:color w:val="auto"/>
          <w:sz w:val="24"/>
          <w:szCs w:val="24"/>
          <w:highlight w:val="none"/>
          <w:lang w:val="en-US" w:eastAsia="zh-CN"/>
        </w:rPr>
        <w:t>分。</w:t>
      </w:r>
    </w:p>
    <w:p w14:paraId="49F11FB0">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597" w:name="_Toc11798"/>
      <w:bookmarkStart w:id="598" w:name="_Toc19922"/>
      <w:bookmarkStart w:id="599" w:name="_Toc6553"/>
      <w:bookmarkStart w:id="600" w:name="_Toc7356"/>
      <w:bookmarkStart w:id="601" w:name="_Toc27144"/>
      <w:bookmarkStart w:id="602" w:name="_Toc23010"/>
      <w:bookmarkStart w:id="603" w:name="_Toc18096"/>
      <w:bookmarkStart w:id="604" w:name="_Toc20972"/>
      <w:bookmarkStart w:id="605" w:name="_Toc4727"/>
      <w:bookmarkStart w:id="606" w:name="_Toc3291"/>
      <w:bookmarkStart w:id="607" w:name="_Toc13696"/>
      <w:bookmarkStart w:id="608" w:name="_Toc28742"/>
      <w:bookmarkStart w:id="609" w:name="_Toc550"/>
      <w:bookmarkStart w:id="610" w:name="_Toc8254"/>
      <w:bookmarkStart w:id="611" w:name="_Toc12294"/>
      <w:bookmarkStart w:id="612" w:name="_Toc8973"/>
      <w:bookmarkStart w:id="613" w:name="_Toc26299"/>
      <w:bookmarkStart w:id="614" w:name="_Toc665"/>
      <w:bookmarkStart w:id="615" w:name="_Toc9594"/>
      <w:bookmarkStart w:id="616" w:name="_Toc1257"/>
      <w:bookmarkStart w:id="617" w:name="_Toc23335"/>
      <w:bookmarkStart w:id="618" w:name="_Toc31472"/>
      <w:bookmarkStart w:id="619" w:name="_Toc1222"/>
      <w:r>
        <w:rPr>
          <w:rFonts w:hint="eastAsia" w:ascii="仿宋" w:hAnsi="仿宋" w:eastAsia="仿宋" w:cs="仿宋"/>
          <w:b/>
          <w:bCs/>
          <w:color w:val="auto"/>
          <w:sz w:val="24"/>
          <w:szCs w:val="24"/>
          <w:highlight w:val="none"/>
          <w:u w:val="none"/>
          <w:lang w:val="en-US" w:eastAsia="zh-CN"/>
        </w:rPr>
        <w:t>22.</w:t>
      </w:r>
      <w:r>
        <w:rPr>
          <w:rFonts w:hint="eastAsia" w:ascii="仿宋" w:hAnsi="仿宋" w:eastAsia="仿宋" w:cs="仿宋"/>
          <w:b/>
          <w:bCs/>
          <w:color w:val="auto"/>
          <w:sz w:val="24"/>
          <w:szCs w:val="24"/>
          <w:highlight w:val="none"/>
          <w:u w:val="none"/>
        </w:rPr>
        <w:t>投标</w:t>
      </w:r>
      <w:bookmarkEnd w:id="594"/>
      <w:r>
        <w:rPr>
          <w:rFonts w:hint="eastAsia" w:ascii="仿宋" w:hAnsi="仿宋" w:eastAsia="仿宋" w:cs="仿宋"/>
          <w:b/>
          <w:bCs/>
          <w:color w:val="auto"/>
          <w:sz w:val="24"/>
          <w:szCs w:val="24"/>
          <w:highlight w:val="none"/>
          <w:u w:val="none"/>
        </w:rPr>
        <w:t>无效</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12801A48">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不得通过修正或撤销不符合要求的偏离，从而使其投标成为实质上响应的投标。</w:t>
      </w:r>
    </w:p>
    <w:p w14:paraId="030CE0EE">
      <w:pPr>
        <w:pageBreakBefore w:val="0"/>
        <w:widowControl w:val="0"/>
        <w:kinsoku/>
        <w:wordWrap/>
        <w:overflowPunct/>
        <w:topLinePunct w:val="0"/>
        <w:bidi w:val="0"/>
        <w:spacing w:line="360" w:lineRule="exact"/>
        <w:ind w:left="718" w:leftChars="342"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评标委员会决定投标的响应性只根据招标文件要求、投标文件内容及财政主管部门指定相关信息发布媒体。</w:t>
      </w:r>
    </w:p>
    <w:p w14:paraId="3AA48D52">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r>
        <w:rPr>
          <w:rFonts w:hint="eastAsia" w:ascii="仿宋" w:hAnsi="仿宋" w:eastAsia="仿宋" w:cs="仿宋"/>
          <w:color w:val="auto"/>
          <w:sz w:val="24"/>
          <w:szCs w:val="24"/>
          <w:highlight w:val="none"/>
        </w:rPr>
        <w:tab/>
      </w:r>
      <w:r>
        <w:rPr>
          <w:rFonts w:hint="eastAsia" w:ascii="仿宋" w:hAnsi="仿宋" w:eastAsia="仿宋" w:cs="仿宋"/>
          <w:b/>
          <w:bCs/>
          <w:color w:val="auto"/>
          <w:sz w:val="24"/>
          <w:szCs w:val="24"/>
          <w:highlight w:val="none"/>
        </w:rPr>
        <w:t>如发现下列情况之一的，其投标将被认定为投标无效</w:t>
      </w:r>
      <w:r>
        <w:rPr>
          <w:rFonts w:hint="eastAsia" w:ascii="仿宋" w:hAnsi="仿宋" w:eastAsia="仿宋" w:cs="仿宋"/>
          <w:color w:val="auto"/>
          <w:sz w:val="24"/>
          <w:szCs w:val="24"/>
          <w:highlight w:val="none"/>
        </w:rPr>
        <w:t>：</w:t>
      </w:r>
    </w:p>
    <w:p w14:paraId="66EDF67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未按招标文件规定的形式和金额提交投标保证金的；</w:t>
      </w:r>
    </w:p>
    <w:p w14:paraId="320D536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未按照招标文件规定要求签署、盖章的；</w:t>
      </w:r>
    </w:p>
    <w:p w14:paraId="41DF8D6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未满足招标文件中技术条款的实质性要求；</w:t>
      </w:r>
    </w:p>
    <w:p w14:paraId="08D229C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与其他</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串通投标，或者与</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串通投标；</w:t>
      </w:r>
      <w:r>
        <w:rPr>
          <w:rFonts w:hint="eastAsia" w:ascii="仿宋" w:hAnsi="仿宋" w:eastAsia="仿宋" w:cs="仿宋"/>
          <w:b/>
          <w:bCs/>
          <w:color w:val="auto"/>
          <w:sz w:val="24"/>
          <w:szCs w:val="24"/>
          <w:highlight w:val="none"/>
          <w:lang w:val="en-US" w:eastAsia="zh-CN"/>
        </w:rPr>
        <w:t xml:space="preserve">    </w:t>
      </w:r>
    </w:p>
    <w:p w14:paraId="3C2028D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属于招标文件规定的其他投标无效情形；</w:t>
      </w:r>
    </w:p>
    <w:p w14:paraId="3CDA84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38" w:leftChars="256"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评标委员会认为</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的报价明显低于其他通过符合性检查</w:t>
      </w:r>
      <w:r>
        <w:rPr>
          <w:rFonts w:hint="eastAsia" w:ascii="仿宋" w:hAnsi="仿宋" w:eastAsia="仿宋" w:cs="仿宋"/>
          <w:b/>
          <w:bCs/>
          <w:color w:val="auto"/>
          <w:sz w:val="24"/>
          <w:szCs w:val="24"/>
          <w:highlight w:val="none"/>
          <w:lang w:eastAsia="zh-CN"/>
        </w:rPr>
        <w:t>供应</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eastAsia="zh-CN"/>
        </w:rPr>
        <w:t>商</w:t>
      </w:r>
      <w:r>
        <w:rPr>
          <w:rFonts w:hint="eastAsia" w:ascii="仿宋" w:hAnsi="仿宋" w:eastAsia="仿宋" w:cs="仿宋"/>
          <w:b/>
          <w:bCs/>
          <w:color w:val="auto"/>
          <w:sz w:val="24"/>
          <w:szCs w:val="24"/>
          <w:highlight w:val="none"/>
        </w:rPr>
        <w:t>的报价，有可能影响履约的，且</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未按照规定证明其报价合理性的；</w:t>
      </w:r>
    </w:p>
    <w:p w14:paraId="54D82712">
      <w:pPr>
        <w:pageBreakBefore w:val="0"/>
        <w:widowControl w:val="0"/>
        <w:numPr>
          <w:ilvl w:val="0"/>
          <w:numId w:val="0"/>
        </w:numPr>
        <w:kinsoku/>
        <w:wordWrap/>
        <w:overflowPunct/>
        <w:topLinePunct w:val="0"/>
        <w:bidi w:val="0"/>
        <w:spacing w:line="360" w:lineRule="exact"/>
        <w:ind w:left="-180"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投标文件含有采购人不能接受的附加条件的；</w:t>
      </w:r>
    </w:p>
    <w:p w14:paraId="360CB3B7">
      <w:pPr>
        <w:pageBreakBefore w:val="0"/>
        <w:widowControl w:val="0"/>
        <w:numPr>
          <w:ilvl w:val="0"/>
          <w:numId w:val="0"/>
        </w:numPr>
        <w:tabs>
          <w:tab w:val="left" w:pos="0"/>
        </w:tabs>
        <w:kinsoku/>
        <w:wordWrap/>
        <w:overflowPunct/>
        <w:topLinePunct w:val="0"/>
        <w:bidi w:val="0"/>
        <w:spacing w:line="360" w:lineRule="exact"/>
        <w:ind w:left="-180" w:leftChars="0"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不符合法规和招标文件中规定的其他实质性要求的。</w:t>
      </w:r>
    </w:p>
    <w:p w14:paraId="02BE39E2">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14:paraId="44F89D00">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（1）供应商直接或者间接从采购人或者采购代理机构处获得其他供应商的相关情况并修改其投标文件或者投标文件；</w:t>
      </w:r>
    </w:p>
    <w:p w14:paraId="46EF525D">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（2）供应商按照采购人或者采购代理机构的授意撤换、修改投标文件或者投标文件；</w:t>
      </w:r>
    </w:p>
    <w:p w14:paraId="1BF4493B">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（3）供应商之间协商报价、技术方案等投标文件或者投标文件的实质性内容；</w:t>
      </w:r>
    </w:p>
    <w:p w14:paraId="059FBB68">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（4）属于同一集团、协会、商会等组织成员的供应商按照该组织要求协同参加政府采购活动；</w:t>
      </w:r>
    </w:p>
    <w:p w14:paraId="0DA94946">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（5）供应商之间事先约定由某一特定供应商中标、成交；</w:t>
      </w:r>
    </w:p>
    <w:p w14:paraId="7DAECCD6">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（6）供应商之间商定部分供应商放弃参加政府采购活动或者放弃中标、成交；</w:t>
      </w:r>
    </w:p>
    <w:p w14:paraId="353AF80C">
      <w:pPr>
        <w:pageBreakBefore w:val="0"/>
        <w:widowControl w:val="0"/>
        <w:kinsoku/>
        <w:wordWrap/>
        <w:overflowPunct/>
        <w:topLinePunct w:val="0"/>
        <w:bidi w:val="0"/>
        <w:spacing w:line="360" w:lineRule="exact"/>
        <w:ind w:left="900" w:leftChars="0" w:hanging="900" w:hangingChars="375"/>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（7）供应商与采购人或者采购代理机构之间、供应商相互之间，为谋求特定供应商中标、成交或者排斥其他供应商的其他串通行为。</w:t>
      </w:r>
    </w:p>
    <w:bookmarkEnd w:id="567"/>
    <w:p w14:paraId="59361A0B">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620" w:name="_Toc16915"/>
      <w:bookmarkStart w:id="621" w:name="_Toc9523"/>
      <w:bookmarkStart w:id="622" w:name="_Toc18290"/>
      <w:bookmarkStart w:id="623" w:name="_Toc25837"/>
      <w:bookmarkStart w:id="624" w:name="_Toc13922"/>
      <w:bookmarkStart w:id="625" w:name="_Toc13750"/>
      <w:bookmarkStart w:id="626" w:name="_Toc22981"/>
      <w:bookmarkStart w:id="627" w:name="_Toc24349"/>
      <w:bookmarkStart w:id="628" w:name="_Toc25606"/>
      <w:bookmarkStart w:id="629" w:name="_Toc22941"/>
      <w:bookmarkStart w:id="630" w:name="_Toc15400"/>
      <w:bookmarkStart w:id="631" w:name="_Toc3877"/>
      <w:bookmarkStart w:id="632" w:name="_Toc515647784"/>
      <w:bookmarkStart w:id="633" w:name="_Toc29015"/>
      <w:bookmarkStart w:id="634" w:name="_Toc13652"/>
      <w:bookmarkStart w:id="635" w:name="_Toc20639"/>
      <w:bookmarkStart w:id="636" w:name="_Toc19116"/>
      <w:bookmarkStart w:id="637" w:name="_Toc13566"/>
      <w:bookmarkStart w:id="638" w:name="_Toc20498"/>
      <w:bookmarkStart w:id="639" w:name="_Toc22267"/>
      <w:bookmarkStart w:id="640" w:name="_Toc2833"/>
      <w:bookmarkStart w:id="641" w:name="_Toc32146"/>
      <w:bookmarkStart w:id="642" w:name="_Toc4328"/>
      <w:r>
        <w:rPr>
          <w:rFonts w:hint="eastAsia" w:ascii="仿宋" w:hAnsi="仿宋" w:eastAsia="仿宋" w:cs="仿宋"/>
          <w:b/>
          <w:bCs/>
          <w:color w:val="auto"/>
          <w:sz w:val="24"/>
          <w:szCs w:val="24"/>
          <w:highlight w:val="none"/>
          <w:u w:val="none"/>
          <w:lang w:val="en-US" w:eastAsia="zh-CN"/>
        </w:rPr>
        <w:t>23.</w:t>
      </w:r>
      <w:r>
        <w:rPr>
          <w:rFonts w:hint="eastAsia" w:ascii="仿宋" w:hAnsi="仿宋" w:eastAsia="仿宋" w:cs="仿宋"/>
          <w:b/>
          <w:bCs/>
          <w:color w:val="auto"/>
          <w:sz w:val="24"/>
          <w:szCs w:val="24"/>
          <w:highlight w:val="none"/>
          <w:u w:val="none"/>
        </w:rPr>
        <w:t>比较与评价</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110BC370">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经符合性审查合格的投标文件，评标委员会将根据招标文件确定的评标方法和标准，对其技术部分和商务部分作进一步的比较和评价。</w:t>
      </w:r>
    </w:p>
    <w:p w14:paraId="4D37F64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23.2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评标严格按照招标文件的要求和条件进行。根据实际情况，在</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中规定采用下列一种评标方法，详细评标标准见招标文件第六章：</w:t>
      </w:r>
    </w:p>
    <w:p w14:paraId="28149C26">
      <w:pPr>
        <w:pStyle w:val="16"/>
        <w:pageBreakBefore w:val="0"/>
        <w:widowControl w:val="0"/>
        <w:kinsoku/>
        <w:wordWrap/>
        <w:overflowPunct/>
        <w:topLinePunct w:val="0"/>
        <w:bidi w:val="0"/>
        <w:spacing w:line="360" w:lineRule="exact"/>
        <w:ind w:left="239" w:leftChars="114" w:firstLine="31" w:firstLineChars="1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（1）最低评标价法，是指投标文件满足招标文件全部实质性要求，且投标报价最低的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为中标候选人的评标方法。</w:t>
      </w:r>
    </w:p>
    <w:p w14:paraId="0A55C7EC">
      <w:pPr>
        <w:pStyle w:val="16"/>
        <w:pageBreakBefore w:val="0"/>
        <w:widowControl w:val="0"/>
        <w:kinsoku/>
        <w:wordWrap/>
        <w:overflowPunct/>
        <w:topLinePunct w:val="0"/>
        <w:bidi w:val="0"/>
        <w:spacing w:line="360" w:lineRule="exact"/>
        <w:ind w:left="239" w:leftChars="114" w:firstLine="33" w:firstLineChars="1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（2）综合评分法，是指投标文件满足招标文件全部实质性要求，且按照评审因素的量化指标评审得分最高的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为中标候选人的评标方法。</w:t>
      </w:r>
    </w:p>
    <w:p w14:paraId="02913DC1">
      <w:pPr>
        <w:pStyle w:val="22"/>
        <w:keepNext w:val="0"/>
        <w:keepLines w:val="0"/>
        <w:pageBreakBefore w:val="0"/>
        <w:kinsoku/>
        <w:wordWrap/>
        <w:overflowPunct/>
        <w:topLinePunct w:val="0"/>
        <w:autoSpaceDE/>
        <w:autoSpaceDN/>
        <w:bidi w:val="0"/>
        <w:adjustRightInd/>
        <w:spacing w:line="360" w:lineRule="exact"/>
        <w:rPr>
          <w:rFonts w:hint="eastAsia" w:ascii="仿宋" w:hAnsi="仿宋" w:eastAsia="仿宋" w:cs="仿宋"/>
          <w:b/>
          <w:bCs/>
          <w:i w:val="0"/>
          <w:caps w:val="0"/>
          <w:color w:val="FF0000"/>
          <w:spacing w:val="0"/>
          <w:w w:val="100"/>
          <w:sz w:val="24"/>
          <w:szCs w:val="24"/>
          <w:highlight w:val="none"/>
          <w:u w:val="none"/>
          <w:lang w:val="en-US" w:eastAsia="zh-CN"/>
        </w:rPr>
      </w:pPr>
      <w:r>
        <w:rPr>
          <w:rFonts w:hint="eastAsia" w:ascii="仿宋" w:hAnsi="仿宋" w:eastAsia="仿宋" w:cs="仿宋"/>
          <w:b/>
          <w:bCs/>
          <w:color w:val="auto"/>
          <w:sz w:val="24"/>
          <w:szCs w:val="24"/>
          <w:highlight w:val="none"/>
          <w:u w:val="none"/>
        </w:rPr>
        <w:t>采用综合评分法</w:t>
      </w:r>
      <w:r>
        <w:rPr>
          <w:rFonts w:hint="eastAsia" w:ascii="仿宋" w:hAnsi="仿宋" w:eastAsia="仿宋" w:cs="仿宋"/>
          <w:b/>
          <w:bCs/>
          <w:color w:val="auto"/>
          <w:sz w:val="24"/>
          <w:szCs w:val="24"/>
          <w:highlight w:val="none"/>
          <w:u w:val="none"/>
          <w:lang w:eastAsia="zh-CN"/>
        </w:rPr>
        <w:t>：价格占30%，商务占</w:t>
      </w:r>
      <w:r>
        <w:rPr>
          <w:rFonts w:hint="eastAsia" w:ascii="仿宋" w:hAnsi="仿宋" w:eastAsia="仿宋" w:cs="仿宋"/>
          <w:b/>
          <w:bCs/>
          <w:color w:val="auto"/>
          <w:sz w:val="24"/>
          <w:szCs w:val="24"/>
          <w:highlight w:val="none"/>
          <w:u w:val="none"/>
          <w:lang w:val="en-US" w:eastAsia="zh-CN"/>
        </w:rPr>
        <w:t>3</w:t>
      </w:r>
      <w:r>
        <w:rPr>
          <w:rFonts w:hint="eastAsia" w:ascii="仿宋" w:hAnsi="仿宋" w:eastAsia="仿宋" w:cs="仿宋"/>
          <w:b/>
          <w:bCs/>
          <w:color w:val="auto"/>
          <w:sz w:val="24"/>
          <w:szCs w:val="24"/>
          <w:highlight w:val="none"/>
          <w:u w:val="none"/>
          <w:lang w:eastAsia="zh-CN"/>
        </w:rPr>
        <w:t>%，技术占</w:t>
      </w:r>
      <w:r>
        <w:rPr>
          <w:rFonts w:hint="eastAsia" w:ascii="仿宋" w:hAnsi="仿宋" w:eastAsia="仿宋" w:cs="仿宋"/>
          <w:b/>
          <w:bCs/>
          <w:color w:val="auto"/>
          <w:sz w:val="24"/>
          <w:szCs w:val="24"/>
          <w:highlight w:val="none"/>
          <w:u w:val="none"/>
          <w:lang w:val="en-US" w:eastAsia="zh-CN"/>
        </w:rPr>
        <w:t>67</w:t>
      </w: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i w:val="0"/>
          <w:caps w:val="0"/>
          <w:color w:val="auto"/>
          <w:spacing w:val="0"/>
          <w:w w:val="100"/>
          <w:sz w:val="24"/>
          <w:szCs w:val="24"/>
          <w:highlight w:val="none"/>
          <w:u w:val="none"/>
          <w:lang w:val="en-US" w:eastAsia="zh-CN"/>
        </w:rPr>
        <w:t>。</w:t>
      </w:r>
    </w:p>
    <w:p w14:paraId="19AF48E0">
      <w:pPr>
        <w:keepNext w:val="0"/>
        <w:keepLines w:val="0"/>
        <w:pageBreakBefore w:val="0"/>
        <w:widowControl/>
        <w:kinsoku/>
        <w:wordWrap/>
        <w:overflowPunct/>
        <w:topLinePunct w:val="0"/>
        <w:autoSpaceDE/>
        <w:autoSpaceDN/>
        <w:bidi w:val="0"/>
        <w:adjustRightInd/>
        <w:spacing w:line="380" w:lineRule="exact"/>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u w:val="none"/>
          <w:lang w:val="en-US" w:eastAsia="zh-CN" w:bidi="ar-SA"/>
        </w:rPr>
        <w:t>23.3   本项目不专门面向中小企业采购。</w:t>
      </w:r>
      <w:r>
        <w:rPr>
          <w:rFonts w:hint="eastAsia" w:ascii="仿宋" w:hAnsi="仿宋" w:eastAsia="仿宋" w:cs="仿宋"/>
          <w:b/>
          <w:bCs/>
          <w:color w:val="auto"/>
          <w:sz w:val="24"/>
          <w:highlight w:val="none"/>
          <w:u w:val="none"/>
          <w:lang w:eastAsia="zh-CN"/>
        </w:rPr>
        <w:t>根据《财政部关于进一步加大政府采</w:t>
      </w:r>
      <w:r>
        <w:rPr>
          <w:rFonts w:hint="eastAsia" w:ascii="仿宋" w:hAnsi="仿宋" w:eastAsia="仿宋" w:cs="仿宋"/>
          <w:b/>
          <w:bCs/>
          <w:color w:val="auto"/>
          <w:sz w:val="24"/>
          <w:highlight w:val="none"/>
          <w:lang w:eastAsia="zh-CN"/>
        </w:rPr>
        <w:t>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仿宋" w:hAnsi="仿宋" w:eastAsia="仿宋" w:cs="仿宋"/>
          <w:b/>
          <w:bCs/>
          <w:color w:val="auto"/>
          <w:sz w:val="24"/>
          <w:highlight w:val="none"/>
          <w:u w:val="single"/>
          <w:lang w:eastAsia="zh-CN"/>
        </w:rPr>
        <w:t xml:space="preserve">  </w:t>
      </w:r>
      <w:r>
        <w:rPr>
          <w:rFonts w:hint="eastAsia" w:ascii="仿宋" w:hAnsi="仿宋" w:eastAsia="仿宋" w:cs="仿宋"/>
          <w:b/>
          <w:bCs/>
          <w:color w:val="auto"/>
          <w:sz w:val="24"/>
          <w:highlight w:val="none"/>
          <w:u w:val="single"/>
          <w:lang w:val="en-US" w:eastAsia="zh-CN"/>
        </w:rPr>
        <w:t>1</w:t>
      </w:r>
      <w:r>
        <w:rPr>
          <w:rFonts w:hint="eastAsia" w:ascii="仿宋" w:hAnsi="仿宋" w:eastAsia="仿宋" w:cs="仿宋"/>
          <w:b/>
          <w:bCs/>
          <w:color w:val="auto"/>
          <w:sz w:val="24"/>
          <w:highlight w:val="none"/>
          <w:u w:val="single"/>
          <w:lang w:eastAsia="zh-CN"/>
        </w:rPr>
        <w:t>0  %</w:t>
      </w:r>
      <w:r>
        <w:rPr>
          <w:rFonts w:hint="eastAsia" w:ascii="仿宋" w:hAnsi="仿宋" w:eastAsia="仿宋" w:cs="仿宋"/>
          <w:b/>
          <w:bCs/>
          <w:color w:val="auto"/>
          <w:sz w:val="24"/>
          <w:highlight w:val="none"/>
          <w:lang w:eastAsia="zh-CN"/>
        </w:rPr>
        <w:t>后参与评审。对于同时属于小型、微型及小微企业、监狱企业或残疾人福利性单位的，不重复进行报价扣除。</w:t>
      </w:r>
    </w:p>
    <w:p w14:paraId="4E4ABCE3">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643" w:name="_Toc28349"/>
      <w:bookmarkStart w:id="644" w:name="_Toc23302"/>
      <w:bookmarkStart w:id="645" w:name="_Toc27067"/>
      <w:bookmarkStart w:id="646" w:name="_Toc30004"/>
      <w:bookmarkStart w:id="647" w:name="_Toc19218"/>
      <w:bookmarkStart w:id="648" w:name="_Toc6001"/>
      <w:bookmarkStart w:id="649" w:name="_Toc16371"/>
      <w:bookmarkStart w:id="650" w:name="_Toc30532"/>
      <w:bookmarkStart w:id="651" w:name="_Toc7858"/>
      <w:bookmarkStart w:id="652" w:name="_Toc6053"/>
      <w:bookmarkStart w:id="653" w:name="_Toc16770"/>
      <w:bookmarkStart w:id="654" w:name="_Toc9378"/>
      <w:bookmarkStart w:id="655" w:name="_Toc515647785"/>
      <w:bookmarkStart w:id="656" w:name="_Toc29851"/>
      <w:bookmarkStart w:id="657" w:name="_Toc31084"/>
      <w:bookmarkStart w:id="658" w:name="_Toc20227"/>
      <w:bookmarkStart w:id="659" w:name="_Toc29970"/>
      <w:bookmarkStart w:id="660" w:name="_Toc21133"/>
      <w:bookmarkStart w:id="661" w:name="_Toc12703"/>
      <w:bookmarkStart w:id="662" w:name="_Toc20064"/>
      <w:bookmarkStart w:id="663" w:name="_Toc30602"/>
      <w:bookmarkStart w:id="664" w:name="_Toc1505"/>
      <w:bookmarkStart w:id="665" w:name="_Toc26540"/>
      <w:bookmarkStart w:id="666" w:name="_Toc14038"/>
      <w:bookmarkStart w:id="667" w:name="_Toc7770"/>
      <w:bookmarkStart w:id="668" w:name="_Toc14346"/>
      <w:r>
        <w:rPr>
          <w:rFonts w:hint="eastAsia" w:ascii="仿宋" w:hAnsi="仿宋" w:eastAsia="仿宋" w:cs="仿宋"/>
          <w:b/>
          <w:bCs/>
          <w:color w:val="auto"/>
          <w:sz w:val="24"/>
          <w:szCs w:val="24"/>
          <w:highlight w:val="none"/>
          <w:u w:val="none"/>
          <w:lang w:val="en-US" w:eastAsia="zh-CN"/>
        </w:rPr>
        <w:t>24.</w:t>
      </w:r>
      <w:r>
        <w:rPr>
          <w:rFonts w:hint="eastAsia" w:ascii="仿宋" w:hAnsi="仿宋" w:eastAsia="仿宋" w:cs="仿宋"/>
          <w:b/>
          <w:bCs/>
          <w:color w:val="auto"/>
          <w:sz w:val="24"/>
          <w:szCs w:val="24"/>
          <w:highlight w:val="none"/>
          <w:u w:val="none"/>
        </w:rPr>
        <w:t>废标</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6BDF994D">
      <w:pPr>
        <w:pageBreakBefore w:val="0"/>
        <w:widowControl w:val="0"/>
        <w:kinsoku/>
        <w:wordWrap/>
        <w:overflowPunct/>
        <w:topLinePunct w:val="0"/>
        <w:bidi w:val="0"/>
        <w:spacing w:line="360" w:lineRule="exact"/>
        <w:ind w:left="60" w:leftChars="0" w:hanging="60" w:hangingChars="25"/>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24.1</w:t>
      </w:r>
      <w:r>
        <w:rPr>
          <w:rFonts w:hint="eastAsia" w:ascii="仿宋" w:hAnsi="仿宋" w:eastAsia="仿宋" w:cs="仿宋"/>
          <w:b/>
          <w:bCs/>
          <w:color w:val="auto"/>
          <w:sz w:val="24"/>
          <w:szCs w:val="24"/>
          <w:highlight w:val="none"/>
        </w:rPr>
        <w:t>出现下列情形之一，将导致项目废标：</w:t>
      </w:r>
      <w:r>
        <w:rPr>
          <w:rFonts w:hint="eastAsia" w:ascii="仿宋" w:hAnsi="仿宋" w:eastAsia="仿宋" w:cs="仿宋"/>
          <w:color w:val="auto"/>
          <w:sz w:val="24"/>
          <w:szCs w:val="24"/>
          <w:highlight w:val="none"/>
        </w:rPr>
        <w:t xml:space="preserve"> </w:t>
      </w:r>
    </w:p>
    <w:p w14:paraId="755A9A2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b/>
          <w:bCs/>
          <w:color w:val="auto"/>
          <w:sz w:val="24"/>
          <w:szCs w:val="24"/>
          <w:highlight w:val="none"/>
        </w:rPr>
        <w:t>（1）符合专业条件的供应商或者对招标文件做实质性响应的供应商不足三家；</w:t>
      </w:r>
    </w:p>
    <w:p w14:paraId="34DB453E">
      <w:pPr>
        <w:pageBreakBefore w:val="0"/>
        <w:widowControl w:val="0"/>
        <w:kinsoku/>
        <w:wordWrap/>
        <w:overflowPunct/>
        <w:topLinePunct w:val="0"/>
        <w:bidi w:val="0"/>
        <w:spacing w:line="360" w:lineRule="exact"/>
        <w:ind w:left="904" w:leftChars="0" w:hanging="904" w:hangingChars="37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（2）出现影响采购公正的违法、违规行为的；</w:t>
      </w:r>
    </w:p>
    <w:p w14:paraId="1B1FEAFE">
      <w:pPr>
        <w:pageBreakBefore w:val="0"/>
        <w:widowControl w:val="0"/>
        <w:kinsoku/>
        <w:wordWrap/>
        <w:overflowPunct/>
        <w:topLinePunct w:val="0"/>
        <w:bidi w:val="0"/>
        <w:spacing w:line="360" w:lineRule="exact"/>
        <w:ind w:left="0" w:leftChars="0" w:firstLine="843" w:firstLineChars="35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的报价均超过了采购预算，采购人不能支付的；</w:t>
      </w:r>
    </w:p>
    <w:p w14:paraId="7A508F21">
      <w:pPr>
        <w:pageBreakBefore w:val="0"/>
        <w:widowControl w:val="0"/>
        <w:kinsoku/>
        <w:wordWrap/>
        <w:overflowPunct/>
        <w:topLinePunct w:val="0"/>
        <w:bidi w:val="0"/>
        <w:spacing w:line="360" w:lineRule="exact"/>
        <w:ind w:left="0" w:leftChars="0" w:firstLine="843" w:firstLineChars="35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（4）因重大变故，采购任务取消的。  </w:t>
      </w:r>
      <w:r>
        <w:rPr>
          <w:rFonts w:hint="eastAsia" w:ascii="仿宋" w:hAnsi="仿宋" w:eastAsia="仿宋" w:cs="仿宋"/>
          <w:color w:val="auto"/>
          <w:sz w:val="24"/>
          <w:szCs w:val="24"/>
          <w:highlight w:val="none"/>
        </w:rPr>
        <w:t xml:space="preserve"> </w:t>
      </w:r>
    </w:p>
    <w:p w14:paraId="0CC261F7">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669" w:name="_Toc11422"/>
      <w:bookmarkStart w:id="670" w:name="_Toc3431"/>
      <w:bookmarkStart w:id="671" w:name="_Toc7638"/>
      <w:bookmarkStart w:id="672" w:name="_Toc25775"/>
      <w:bookmarkStart w:id="673" w:name="_Toc21380"/>
      <w:bookmarkStart w:id="674" w:name="_Toc11460"/>
      <w:bookmarkStart w:id="675" w:name="_Toc23725"/>
      <w:bookmarkStart w:id="676" w:name="_Toc17702"/>
      <w:bookmarkStart w:id="677" w:name="_Toc30848"/>
      <w:bookmarkStart w:id="678" w:name="_Toc25957"/>
      <w:bookmarkStart w:id="679" w:name="_Toc31289"/>
      <w:bookmarkStart w:id="680" w:name="_Toc29790"/>
      <w:bookmarkStart w:id="681" w:name="_Toc13885"/>
      <w:bookmarkStart w:id="682" w:name="_Toc29646"/>
      <w:bookmarkStart w:id="683" w:name="_Toc13385"/>
      <w:bookmarkStart w:id="684" w:name="_Toc24972"/>
      <w:bookmarkStart w:id="685" w:name="_Toc515647786"/>
      <w:bookmarkStart w:id="686" w:name="_Toc5674"/>
      <w:bookmarkStart w:id="687" w:name="_Toc27604"/>
      <w:bookmarkStart w:id="688" w:name="_Toc10657"/>
      <w:bookmarkStart w:id="689" w:name="_Toc10983"/>
      <w:bookmarkStart w:id="690" w:name="_Toc5328"/>
      <w:bookmarkStart w:id="691" w:name="_Toc3793"/>
      <w:bookmarkStart w:id="692" w:name="_Toc21697"/>
      <w:bookmarkStart w:id="693" w:name="_Toc9864"/>
      <w:bookmarkStart w:id="694" w:name="_Toc993"/>
      <w:bookmarkStart w:id="695" w:name="_Toc520356169"/>
      <w:r>
        <w:rPr>
          <w:rFonts w:hint="eastAsia" w:ascii="仿宋" w:hAnsi="仿宋" w:eastAsia="仿宋" w:cs="仿宋"/>
          <w:b/>
          <w:bCs/>
          <w:color w:val="auto"/>
          <w:sz w:val="24"/>
          <w:szCs w:val="24"/>
          <w:highlight w:val="none"/>
          <w:u w:val="none"/>
          <w:lang w:val="en-US" w:eastAsia="zh-CN"/>
        </w:rPr>
        <w:t>25.</w:t>
      </w:r>
      <w:r>
        <w:rPr>
          <w:rFonts w:hint="eastAsia" w:ascii="仿宋" w:hAnsi="仿宋" w:eastAsia="仿宋" w:cs="仿宋"/>
          <w:b/>
          <w:bCs/>
          <w:color w:val="auto"/>
          <w:sz w:val="24"/>
          <w:szCs w:val="24"/>
          <w:highlight w:val="none"/>
          <w:u w:val="none"/>
        </w:rPr>
        <w:t>保密原则</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FB64EEF">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评标将在严格保密的情况下进行。</w:t>
      </w:r>
    </w:p>
    <w:p w14:paraId="4AAF07BD">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政府采购评审专家应当遵守评审工作纪律，不得泄露评审文件、评审情况和评审中获悉的商业秘密。</w:t>
      </w:r>
    </w:p>
    <w:p w14:paraId="45487157">
      <w:pPr>
        <w:pageBreakBefore w:val="0"/>
        <w:widowControl w:val="0"/>
        <w:kinsoku/>
        <w:wordWrap/>
        <w:overflowPunct/>
        <w:topLinePunct w:val="0"/>
        <w:bidi w:val="0"/>
        <w:spacing w:line="360" w:lineRule="exact"/>
        <w:ind w:left="0" w:leftChars="0" w:hanging="540"/>
        <w:textAlignment w:val="auto"/>
        <w:rPr>
          <w:rFonts w:hint="eastAsia" w:ascii="仿宋" w:hAnsi="仿宋" w:eastAsia="仿宋" w:cs="仿宋"/>
          <w:color w:val="auto"/>
          <w:sz w:val="24"/>
          <w:szCs w:val="24"/>
          <w:highlight w:val="none"/>
        </w:rPr>
      </w:pPr>
    </w:p>
    <w:p w14:paraId="3CACA3C9">
      <w:pPr>
        <w:pStyle w:val="3"/>
        <w:pageBreakBefore w:val="0"/>
        <w:widowControl w:val="0"/>
        <w:kinsoku/>
        <w:wordWrap/>
        <w:overflowPunct/>
        <w:topLinePunct w:val="0"/>
        <w:bidi w:val="0"/>
        <w:spacing w:before="0" w:line="360" w:lineRule="exact"/>
        <w:ind w:left="0" w:leftChars="0" w:hanging="540"/>
        <w:textAlignment w:val="auto"/>
        <w:rPr>
          <w:rFonts w:hint="eastAsia" w:ascii="仿宋" w:hAnsi="仿宋" w:eastAsia="仿宋" w:cs="仿宋"/>
          <w:color w:val="auto"/>
          <w:sz w:val="24"/>
          <w:szCs w:val="24"/>
          <w:highlight w:val="none"/>
        </w:rPr>
      </w:pPr>
      <w:bookmarkStart w:id="696" w:name="_Toc216582810"/>
      <w:bookmarkStart w:id="697" w:name="_Toc23904"/>
      <w:bookmarkStart w:id="698" w:name="_Toc12143"/>
      <w:bookmarkStart w:id="699" w:name="_Toc21721"/>
      <w:bookmarkStart w:id="700" w:name="_Toc27430"/>
      <w:bookmarkStart w:id="701" w:name="_Toc31410"/>
      <w:bookmarkStart w:id="702" w:name="_Toc515647787"/>
      <w:r>
        <w:rPr>
          <w:rFonts w:hint="eastAsia" w:ascii="仿宋" w:hAnsi="仿宋" w:eastAsia="仿宋" w:cs="仿宋"/>
          <w:color w:val="auto"/>
          <w:sz w:val="24"/>
          <w:szCs w:val="24"/>
          <w:highlight w:val="none"/>
        </w:rPr>
        <w:t xml:space="preserve">六   </w:t>
      </w:r>
      <w:bookmarkEnd w:id="695"/>
      <w:r>
        <w:rPr>
          <w:rFonts w:hint="eastAsia" w:ascii="仿宋" w:hAnsi="仿宋" w:eastAsia="仿宋" w:cs="仿宋"/>
          <w:color w:val="auto"/>
          <w:sz w:val="24"/>
          <w:szCs w:val="24"/>
          <w:highlight w:val="none"/>
        </w:rPr>
        <w:t>确定中标</w:t>
      </w:r>
      <w:bookmarkEnd w:id="696"/>
      <w:bookmarkEnd w:id="697"/>
      <w:bookmarkEnd w:id="698"/>
      <w:bookmarkEnd w:id="699"/>
      <w:bookmarkEnd w:id="700"/>
      <w:bookmarkEnd w:id="701"/>
      <w:bookmarkEnd w:id="702"/>
    </w:p>
    <w:p w14:paraId="2DB8D07B">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lang w:val="en-US" w:eastAsia="zh-CN"/>
        </w:rPr>
      </w:pPr>
      <w:bookmarkStart w:id="703" w:name="_Toc515647788"/>
      <w:bookmarkStart w:id="704" w:name="_Toc28179"/>
      <w:bookmarkStart w:id="705" w:name="_Toc30741"/>
      <w:bookmarkStart w:id="706" w:name="_Toc23762"/>
      <w:bookmarkStart w:id="707" w:name="_Toc17072"/>
      <w:bookmarkStart w:id="708" w:name="_Toc31710"/>
      <w:bookmarkStart w:id="709" w:name="_Toc24563"/>
      <w:bookmarkStart w:id="710" w:name="_Toc520356170"/>
      <w:bookmarkStart w:id="711" w:name="_Toc27501"/>
      <w:bookmarkStart w:id="712" w:name="_Ref467307010"/>
      <w:bookmarkStart w:id="713" w:name="_Toc12168"/>
      <w:bookmarkStart w:id="714" w:name="_Toc20762"/>
      <w:bookmarkStart w:id="715" w:name="_Toc6381"/>
      <w:bookmarkStart w:id="716" w:name="_Toc20567"/>
      <w:bookmarkStart w:id="717" w:name="_Toc30510"/>
      <w:bookmarkStart w:id="718" w:name="_Toc22284"/>
      <w:bookmarkStart w:id="719" w:name="_Toc29156"/>
      <w:bookmarkStart w:id="720" w:name="_Toc13936"/>
      <w:bookmarkStart w:id="721" w:name="_Toc24833"/>
      <w:bookmarkStart w:id="722" w:name="_Toc3604"/>
      <w:bookmarkStart w:id="723" w:name="_Toc20061"/>
      <w:bookmarkStart w:id="724" w:name="_Toc26456"/>
      <w:bookmarkStart w:id="725" w:name="_Toc22054"/>
      <w:bookmarkStart w:id="726" w:name="_Toc24864"/>
      <w:bookmarkStart w:id="727" w:name="_Toc14800"/>
      <w:bookmarkStart w:id="728" w:name="_Toc23617"/>
      <w:bookmarkStart w:id="729" w:name="_Toc154"/>
      <w:r>
        <w:rPr>
          <w:rFonts w:hint="eastAsia" w:ascii="仿宋" w:hAnsi="仿宋" w:eastAsia="仿宋" w:cs="仿宋"/>
          <w:b/>
          <w:bCs/>
          <w:color w:val="auto"/>
          <w:sz w:val="24"/>
          <w:szCs w:val="24"/>
          <w:highlight w:val="none"/>
          <w:u w:val="none"/>
          <w:lang w:val="en-US" w:eastAsia="zh-CN"/>
        </w:rPr>
        <w:t>26.中标候选人的确定原则及标准</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6451FDD5">
      <w:pPr>
        <w:pageBreakBefore w:val="0"/>
        <w:widowControl w:val="0"/>
        <w:kinsoku/>
        <w:wordWrap/>
        <w:overflowPunct/>
        <w:topLinePunct w:val="0"/>
        <w:bidi w:val="0"/>
        <w:spacing w:line="36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对实质上响应招标文件的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按下列方法进行排序，确定投标候选人：</w:t>
      </w:r>
    </w:p>
    <w:p w14:paraId="2C8A0500">
      <w:pPr>
        <w:pageBreakBefore w:val="0"/>
        <w:widowControl w:val="0"/>
        <w:kinsoku/>
        <w:wordWrap/>
        <w:overflowPunct/>
        <w:topLinePunct w:val="0"/>
        <w:bidi w:val="0"/>
        <w:spacing w:line="360" w:lineRule="exact"/>
        <w:ind w:left="0" w:leftChars="0" w:firstLine="480" w:firstLineChars="200"/>
        <w:textAlignment w:val="auto"/>
        <w:rPr>
          <w:rFonts w:hint="eastAsia" w:ascii="仿宋" w:hAnsi="仿宋" w:eastAsia="仿宋" w:cs="仿宋"/>
          <w:color w:val="auto"/>
          <w:sz w:val="24"/>
          <w:szCs w:val="24"/>
          <w:highlight w:val="none"/>
        </w:rPr>
      </w:pPr>
      <w:bookmarkStart w:id="730" w:name="_Toc520356171"/>
      <w:bookmarkStart w:id="731" w:name="_Toc515647789"/>
      <w:r>
        <w:rPr>
          <w:rFonts w:hint="eastAsia" w:ascii="仿宋" w:hAnsi="仿宋" w:eastAsia="仿宋" w:cs="仿宋"/>
          <w:color w:val="auto"/>
          <w:sz w:val="24"/>
          <w:szCs w:val="24"/>
          <w:highlight w:val="none"/>
        </w:rPr>
        <w:t>（1）采用最低评标价法的，除了算术修正和落实政府采购政策需进行的价格扣除外，不对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的投标价格进行任何调整。评标结果按修正和扣除后的投标报价由低到高顺序排列。报价相同的处理方式详见招标文件第6章。</w:t>
      </w:r>
    </w:p>
    <w:p w14:paraId="29B88F83">
      <w:pPr>
        <w:pageBreakBefore w:val="0"/>
        <w:widowControl w:val="0"/>
        <w:kinsoku/>
        <w:wordWrap/>
        <w:overflowPunct/>
        <w:topLinePunct w:val="0"/>
        <w:bidi w:val="0"/>
        <w:spacing w:line="36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02847187">
      <w:pPr>
        <w:pStyle w:val="22"/>
        <w:keepNext w:val="0"/>
        <w:keepLines w:val="0"/>
        <w:pageBreakBefore w:val="0"/>
        <w:kinsoku/>
        <w:wordWrap/>
        <w:overflowPunct/>
        <w:topLinePunct w:val="0"/>
        <w:autoSpaceDE/>
        <w:autoSpaceDN/>
        <w:bidi w:val="0"/>
        <w:adjustRightInd/>
        <w:spacing w:line="360" w:lineRule="exact"/>
        <w:rPr>
          <w:rFonts w:hint="eastAsia" w:ascii="仿宋" w:hAnsi="仿宋" w:eastAsia="仿宋" w:cs="仿宋"/>
          <w:b/>
          <w:bCs/>
          <w:i w:val="0"/>
          <w:caps w:val="0"/>
          <w:color w:val="FF0000"/>
          <w:spacing w:val="0"/>
          <w:w w:val="100"/>
          <w:sz w:val="24"/>
          <w:szCs w:val="24"/>
          <w:highlight w:val="none"/>
          <w:lang w:val="en-US" w:eastAsia="zh-CN"/>
        </w:rPr>
      </w:pPr>
      <w:bookmarkStart w:id="732" w:name="_Toc17933"/>
      <w:bookmarkStart w:id="733" w:name="_Toc24948"/>
      <w:bookmarkStart w:id="734" w:name="_Toc16846"/>
      <w:bookmarkStart w:id="735" w:name="_Toc27172"/>
      <w:bookmarkStart w:id="736" w:name="_Toc2803"/>
      <w:bookmarkStart w:id="737" w:name="_Toc976"/>
      <w:bookmarkStart w:id="738" w:name="_Toc21306"/>
      <w:bookmarkStart w:id="739" w:name="_Toc11247"/>
      <w:bookmarkStart w:id="740" w:name="_Toc21913"/>
      <w:bookmarkStart w:id="741" w:name="_Toc2108"/>
      <w:bookmarkStart w:id="742" w:name="_Toc721"/>
      <w:bookmarkStart w:id="743" w:name="_Toc1644"/>
      <w:bookmarkStart w:id="744" w:name="_Toc25274"/>
      <w:bookmarkStart w:id="745" w:name="_Toc30756"/>
      <w:bookmarkStart w:id="746" w:name="_Toc11969"/>
      <w:bookmarkStart w:id="747" w:name="_Toc3720"/>
      <w:bookmarkStart w:id="748" w:name="_Toc15364"/>
      <w:bookmarkStart w:id="749" w:name="_Toc28294"/>
      <w:bookmarkStart w:id="750" w:name="_Toc17200"/>
      <w:bookmarkStart w:id="751" w:name="_Toc12678"/>
      <w:bookmarkStart w:id="752" w:name="_Toc14558"/>
      <w:bookmarkStart w:id="753" w:name="_Toc17164"/>
      <w:bookmarkStart w:id="754" w:name="_Toc15604"/>
      <w:bookmarkStart w:id="755" w:name="_Toc29803"/>
      <w:r>
        <w:rPr>
          <w:rFonts w:hint="eastAsia" w:ascii="仿宋" w:hAnsi="仿宋" w:eastAsia="仿宋" w:cs="仿宋"/>
          <w:b/>
          <w:bCs/>
          <w:color w:val="auto"/>
          <w:sz w:val="24"/>
          <w:szCs w:val="24"/>
          <w:highlight w:val="none"/>
        </w:rPr>
        <w:t>采用综合评分法</w:t>
      </w:r>
      <w:r>
        <w:rPr>
          <w:rFonts w:hint="eastAsia" w:ascii="仿宋" w:hAnsi="仿宋" w:eastAsia="仿宋" w:cs="仿宋"/>
          <w:b/>
          <w:bCs/>
          <w:color w:val="auto"/>
          <w:sz w:val="24"/>
          <w:szCs w:val="24"/>
          <w:highlight w:val="none"/>
          <w:lang w:eastAsia="zh-CN"/>
        </w:rPr>
        <w:t>：价格占30%，商务占</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%，技术占</w:t>
      </w:r>
      <w:r>
        <w:rPr>
          <w:rFonts w:hint="eastAsia" w:ascii="仿宋" w:hAnsi="仿宋" w:eastAsia="仿宋" w:cs="仿宋"/>
          <w:b/>
          <w:bCs/>
          <w:color w:val="auto"/>
          <w:sz w:val="24"/>
          <w:szCs w:val="24"/>
          <w:highlight w:val="none"/>
          <w:lang w:val="en-US" w:eastAsia="zh-CN"/>
        </w:rPr>
        <w:t>67</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i w:val="0"/>
          <w:caps w:val="0"/>
          <w:color w:val="auto"/>
          <w:spacing w:val="0"/>
          <w:w w:val="100"/>
          <w:sz w:val="24"/>
          <w:szCs w:val="24"/>
          <w:highlight w:val="none"/>
          <w:lang w:val="en-US" w:eastAsia="zh-CN"/>
        </w:rPr>
        <w:t>。</w:t>
      </w:r>
    </w:p>
    <w:p w14:paraId="59DC7308">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756" w:name="_Toc15710"/>
      <w:bookmarkStart w:id="757" w:name="_Toc4911"/>
      <w:r>
        <w:rPr>
          <w:rFonts w:hint="eastAsia" w:ascii="仿宋" w:hAnsi="仿宋" w:eastAsia="仿宋" w:cs="仿宋"/>
          <w:b/>
          <w:bCs/>
          <w:color w:val="auto"/>
          <w:sz w:val="24"/>
          <w:szCs w:val="24"/>
          <w:highlight w:val="none"/>
          <w:u w:val="none"/>
          <w:lang w:val="en-US" w:eastAsia="zh-CN"/>
        </w:rPr>
        <w:t>27.</w:t>
      </w:r>
      <w:r>
        <w:rPr>
          <w:rFonts w:hint="eastAsia" w:ascii="仿宋" w:hAnsi="仿宋" w:eastAsia="仿宋" w:cs="仿宋"/>
          <w:b/>
          <w:bCs/>
          <w:color w:val="auto"/>
          <w:sz w:val="24"/>
          <w:szCs w:val="24"/>
          <w:highlight w:val="none"/>
          <w:u w:val="none"/>
        </w:rPr>
        <w:t>确定</w:t>
      </w:r>
      <w:r>
        <w:rPr>
          <w:rFonts w:hint="eastAsia" w:ascii="仿宋" w:hAnsi="仿宋" w:eastAsia="仿宋" w:cs="仿宋"/>
          <w:b/>
          <w:bCs/>
          <w:color w:val="auto"/>
          <w:sz w:val="24"/>
          <w:szCs w:val="24"/>
          <w:highlight w:val="none"/>
          <w:u w:val="none"/>
          <w:lang w:val="en-US" w:eastAsia="zh-CN"/>
        </w:rPr>
        <w:t>中标</w:t>
      </w:r>
      <w:r>
        <w:rPr>
          <w:rFonts w:hint="eastAsia" w:ascii="仿宋" w:hAnsi="仿宋" w:eastAsia="仿宋" w:cs="仿宋"/>
          <w:b/>
          <w:bCs/>
          <w:color w:val="auto"/>
          <w:sz w:val="24"/>
          <w:szCs w:val="24"/>
          <w:highlight w:val="none"/>
          <w:u w:val="none"/>
        </w:rPr>
        <w:t>候选人和</w:t>
      </w:r>
      <w:bookmarkEnd w:id="732"/>
      <w:r>
        <w:rPr>
          <w:rFonts w:hint="eastAsia" w:ascii="仿宋" w:hAnsi="仿宋" w:eastAsia="仿宋" w:cs="仿宋"/>
          <w:b/>
          <w:bCs/>
          <w:color w:val="auto"/>
          <w:sz w:val="24"/>
          <w:szCs w:val="24"/>
          <w:highlight w:val="none"/>
          <w:u w:val="none"/>
          <w:lang w:val="en-US" w:eastAsia="zh-CN"/>
        </w:rPr>
        <w:t>中标</w:t>
      </w:r>
      <w:r>
        <w:rPr>
          <w:rFonts w:hint="eastAsia" w:ascii="仿宋" w:hAnsi="仿宋" w:eastAsia="仿宋" w:cs="仿宋"/>
          <w:b/>
          <w:bCs/>
          <w:color w:val="auto"/>
          <w:sz w:val="24"/>
          <w:szCs w:val="24"/>
          <w:highlight w:val="none"/>
          <w:u w:val="none"/>
        </w:rPr>
        <w:t>人</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bookmarkEnd w:id="730"/>
    <w:bookmarkEnd w:id="731"/>
    <w:p w14:paraId="074CA651">
      <w:pPr>
        <w:pageBreakBefore w:val="0"/>
        <w:widowControl w:val="0"/>
        <w:kinsoku/>
        <w:wordWrap/>
        <w:overflowPunct/>
        <w:topLinePunct w:val="0"/>
        <w:bidi w:val="0"/>
        <w:spacing w:line="360" w:lineRule="exact"/>
        <w:ind w:left="479" w:leftChars="228" w:firstLine="60" w:firstLineChars="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评标委员会将根据评标标准，按</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须知资料表中</w:t>
      </w:r>
      <w:r>
        <w:rPr>
          <w:rFonts w:hint="eastAsia" w:ascii="仿宋" w:hAnsi="仿宋" w:eastAsia="仿宋" w:cs="仿宋"/>
          <w:color w:val="auto"/>
          <w:sz w:val="24"/>
          <w:szCs w:val="24"/>
          <w:highlight w:val="none"/>
        </w:rPr>
        <w:t>规定数量推荐中标候</w:t>
      </w:r>
    </w:p>
    <w:p w14:paraId="6708224A">
      <w:pPr>
        <w:pageBreakBefore w:val="0"/>
        <w:widowControl w:val="0"/>
        <w:kinsoku/>
        <w:wordWrap/>
        <w:overflowPunct/>
        <w:topLinePunct w:val="0"/>
        <w:bidi w:val="0"/>
        <w:spacing w:line="360" w:lineRule="exact"/>
        <w:ind w:left="479" w:leftChars="228" w:firstLine="60" w:firstLineChars="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选人；或根据采购人的委托，直接确定中标人。</w:t>
      </w:r>
    </w:p>
    <w:p w14:paraId="51099F01">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758" w:name="_Toc19007"/>
      <w:bookmarkStart w:id="759" w:name="_Toc21208"/>
      <w:bookmarkStart w:id="760" w:name="_Toc9640"/>
      <w:bookmarkStart w:id="761" w:name="_Toc1269"/>
      <w:bookmarkStart w:id="762" w:name="_Toc7630"/>
      <w:bookmarkStart w:id="763" w:name="_Toc6340"/>
      <w:bookmarkStart w:id="764" w:name="_Toc20705"/>
      <w:bookmarkStart w:id="765" w:name="_Toc31043"/>
      <w:bookmarkStart w:id="766" w:name="_Toc8389"/>
      <w:bookmarkStart w:id="767" w:name="_Toc9701"/>
      <w:bookmarkStart w:id="768" w:name="_Toc45"/>
      <w:bookmarkStart w:id="769" w:name="_Toc21889"/>
      <w:bookmarkStart w:id="770" w:name="_Toc18980"/>
      <w:bookmarkStart w:id="771" w:name="_Toc5507"/>
      <w:bookmarkStart w:id="772" w:name="_Toc2533"/>
      <w:bookmarkStart w:id="773" w:name="_Toc28562"/>
      <w:bookmarkStart w:id="774" w:name="_Toc515647790"/>
      <w:bookmarkStart w:id="775" w:name="_Toc32455"/>
      <w:bookmarkStart w:id="776" w:name="_Toc17591"/>
      <w:bookmarkStart w:id="777" w:name="_Toc20001"/>
      <w:bookmarkStart w:id="778" w:name="_Toc7156"/>
      <w:bookmarkStart w:id="779" w:name="_Toc24959"/>
      <w:bookmarkStart w:id="780" w:name="_Toc3328"/>
      <w:bookmarkStart w:id="781" w:name="_Toc10338"/>
      <w:bookmarkStart w:id="782" w:name="_Toc18821"/>
      <w:bookmarkStart w:id="783" w:name="_Toc21618"/>
      <w:r>
        <w:rPr>
          <w:rFonts w:hint="eastAsia" w:ascii="仿宋" w:hAnsi="仿宋" w:eastAsia="仿宋" w:cs="仿宋"/>
          <w:b/>
          <w:bCs/>
          <w:color w:val="auto"/>
          <w:sz w:val="24"/>
          <w:szCs w:val="24"/>
          <w:highlight w:val="none"/>
          <w:u w:val="none"/>
          <w:lang w:val="en-US" w:eastAsia="zh-CN"/>
        </w:rPr>
        <w:t>28.</w:t>
      </w:r>
      <w:r>
        <w:rPr>
          <w:rFonts w:hint="eastAsia" w:ascii="仿宋" w:hAnsi="仿宋" w:eastAsia="仿宋" w:cs="仿宋"/>
          <w:b/>
          <w:bCs/>
          <w:color w:val="auto"/>
          <w:sz w:val="24"/>
          <w:szCs w:val="24"/>
          <w:highlight w:val="none"/>
          <w:u w:val="none"/>
        </w:rPr>
        <w:t>采购任务取消</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637A8315">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因重大变故采购任务取消时，采购人有权拒绝任何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中标，且对受影响的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不承担任何责任。</w:t>
      </w:r>
      <w:bookmarkStart w:id="784" w:name="_Toc520356174"/>
    </w:p>
    <w:p w14:paraId="7F5F2CCB">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785" w:name="_Toc30149"/>
      <w:bookmarkStart w:id="786" w:name="_Toc30931"/>
      <w:bookmarkStart w:id="787" w:name="_Toc515647791"/>
      <w:bookmarkStart w:id="788" w:name="_Toc8834"/>
      <w:bookmarkStart w:id="789" w:name="_Toc5820"/>
      <w:bookmarkStart w:id="790" w:name="_Toc14221"/>
      <w:bookmarkStart w:id="791" w:name="_Toc1178"/>
      <w:bookmarkStart w:id="792" w:name="_Toc20363"/>
      <w:bookmarkStart w:id="793" w:name="_Toc31099"/>
      <w:bookmarkStart w:id="794" w:name="_Toc21583"/>
      <w:bookmarkStart w:id="795" w:name="_Toc1818"/>
      <w:bookmarkStart w:id="796" w:name="_Toc25281"/>
      <w:bookmarkStart w:id="797" w:name="_Toc12348"/>
      <w:bookmarkStart w:id="798" w:name="_Toc1676"/>
      <w:bookmarkStart w:id="799" w:name="_Toc10717"/>
      <w:bookmarkStart w:id="800" w:name="_Toc31066"/>
      <w:bookmarkStart w:id="801" w:name="_Toc137"/>
      <w:bookmarkStart w:id="802" w:name="_Toc9886"/>
      <w:bookmarkStart w:id="803" w:name="_Toc4099"/>
      <w:bookmarkStart w:id="804" w:name="_Toc8140"/>
      <w:bookmarkStart w:id="805" w:name="_Toc27996"/>
      <w:bookmarkStart w:id="806" w:name="_Toc13576"/>
      <w:bookmarkStart w:id="807" w:name="_Toc17202"/>
      <w:bookmarkStart w:id="808" w:name="_Toc30170"/>
      <w:bookmarkStart w:id="809" w:name="_Toc515"/>
      <w:bookmarkStart w:id="810" w:name="_Toc15667"/>
      <w:r>
        <w:rPr>
          <w:rFonts w:hint="eastAsia" w:ascii="仿宋" w:hAnsi="仿宋" w:eastAsia="仿宋" w:cs="仿宋"/>
          <w:b/>
          <w:bCs/>
          <w:color w:val="auto"/>
          <w:sz w:val="24"/>
          <w:szCs w:val="24"/>
          <w:highlight w:val="none"/>
          <w:u w:val="none"/>
          <w:lang w:val="en-US" w:eastAsia="zh-CN"/>
        </w:rPr>
        <w:t>29.</w:t>
      </w:r>
      <w:r>
        <w:rPr>
          <w:rFonts w:hint="eastAsia" w:ascii="仿宋" w:hAnsi="仿宋" w:eastAsia="仿宋" w:cs="仿宋"/>
          <w:b/>
          <w:bCs/>
          <w:color w:val="auto"/>
          <w:sz w:val="24"/>
          <w:szCs w:val="24"/>
          <w:highlight w:val="none"/>
          <w:u w:val="none"/>
        </w:rPr>
        <w:t>中标通知书</w:t>
      </w:r>
      <w:bookmarkEnd w:id="784"/>
      <w:r>
        <w:rPr>
          <w:rFonts w:hint="eastAsia" w:ascii="仿宋" w:hAnsi="仿宋" w:eastAsia="仿宋" w:cs="仿宋"/>
          <w:b/>
          <w:bCs/>
          <w:color w:val="auto"/>
          <w:sz w:val="24"/>
          <w:szCs w:val="24"/>
          <w:highlight w:val="none"/>
          <w:u w:val="none"/>
        </w:rPr>
        <w:t>和招标结果通知书</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4EEE7AE5">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在投标有效期内，中标人确定后，采购人或者采购代理机构发布中标公告，同时以书面形式向中标人发出中标通知书。</w:t>
      </w:r>
    </w:p>
    <w:p w14:paraId="19DC875F">
      <w:pPr>
        <w:pageBreakBefore w:val="0"/>
        <w:widowControl w:val="0"/>
        <w:kinsoku/>
        <w:wordWrap/>
        <w:overflowPunct/>
        <w:topLinePunct w:val="0"/>
        <w:bidi w:val="0"/>
        <w:spacing w:line="360" w:lineRule="exact"/>
        <w:ind w:left="900" w:leftChars="0" w:hanging="900" w:hangingChars="37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中标通知书是合同的组成部分。</w:t>
      </w:r>
    </w:p>
    <w:p w14:paraId="5B0FC94B">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    招标结果通知书和中标通知书同时发出。招标结果通知书中将告知未通过资格审查的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未通过的原因；采用综合评分法评审的，还将告知未中标人本人的评审得分和排序。</w:t>
      </w:r>
    </w:p>
    <w:p w14:paraId="428ABEF3">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811" w:name="_Toc14551"/>
      <w:bookmarkStart w:id="812" w:name="_Toc7779"/>
      <w:bookmarkStart w:id="813" w:name="_Toc14896"/>
      <w:bookmarkStart w:id="814" w:name="_Ref467307062"/>
      <w:bookmarkStart w:id="815" w:name="_Toc26598"/>
      <w:bookmarkStart w:id="816" w:name="_Toc15018"/>
      <w:bookmarkStart w:id="817" w:name="_Toc13210"/>
      <w:bookmarkStart w:id="818" w:name="_Toc9945"/>
      <w:bookmarkStart w:id="819" w:name="_Toc520356175"/>
      <w:bookmarkStart w:id="820" w:name="_Toc3557"/>
      <w:bookmarkStart w:id="821" w:name="_Toc19580"/>
      <w:bookmarkStart w:id="822" w:name="_Toc830"/>
      <w:bookmarkStart w:id="823" w:name="_Ref467307204"/>
      <w:bookmarkStart w:id="824" w:name="_Ref467306978"/>
      <w:bookmarkStart w:id="825" w:name="_Toc7584"/>
      <w:bookmarkStart w:id="826" w:name="_Ref467306377"/>
      <w:bookmarkStart w:id="827" w:name="_Toc11340"/>
      <w:bookmarkStart w:id="828" w:name="_Toc732"/>
      <w:bookmarkStart w:id="829" w:name="_Toc4466"/>
      <w:bookmarkStart w:id="830" w:name="_Toc6885"/>
      <w:bookmarkStart w:id="831" w:name="_Toc9417"/>
      <w:bookmarkStart w:id="832" w:name="_Toc14106"/>
      <w:bookmarkStart w:id="833" w:name="_Toc29255"/>
      <w:bookmarkStart w:id="834" w:name="_Toc24666"/>
      <w:bookmarkStart w:id="835" w:name="_Toc1386"/>
      <w:bookmarkStart w:id="836" w:name="_Toc29299"/>
      <w:bookmarkStart w:id="837" w:name="_Toc515647792"/>
      <w:bookmarkStart w:id="838" w:name="_Toc26465"/>
      <w:bookmarkStart w:id="839" w:name="_Toc790"/>
      <w:bookmarkStart w:id="840" w:name="_Toc30068"/>
      <w:bookmarkStart w:id="841" w:name="_Toc13873"/>
      <w:r>
        <w:rPr>
          <w:rFonts w:hint="eastAsia" w:ascii="仿宋" w:hAnsi="仿宋" w:eastAsia="仿宋" w:cs="仿宋"/>
          <w:b/>
          <w:bCs/>
          <w:color w:val="auto"/>
          <w:sz w:val="24"/>
          <w:szCs w:val="24"/>
          <w:highlight w:val="none"/>
          <w:u w:val="none"/>
          <w:lang w:val="en-US" w:eastAsia="zh-CN"/>
        </w:rPr>
        <w:t>30.</w:t>
      </w:r>
      <w:r>
        <w:rPr>
          <w:rFonts w:hint="eastAsia" w:ascii="仿宋" w:hAnsi="仿宋" w:eastAsia="仿宋" w:cs="仿宋"/>
          <w:b/>
          <w:bCs/>
          <w:color w:val="auto"/>
          <w:sz w:val="24"/>
          <w:szCs w:val="24"/>
          <w:highlight w:val="none"/>
          <w:u w:val="none"/>
        </w:rPr>
        <w:t>签订合同</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3051D81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中标人应当自发出中标通知书之日起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日内，与采购人签订合同。</w:t>
      </w:r>
    </w:p>
    <w:p w14:paraId="30E35A12">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w:t>
      </w:r>
      <w:r>
        <w:rPr>
          <w:rFonts w:hint="eastAsia" w:ascii="仿宋" w:hAnsi="仿宋" w:eastAsia="仿宋" w:cs="仿宋"/>
          <w:color w:val="auto"/>
          <w:sz w:val="24"/>
          <w:szCs w:val="24"/>
          <w:highlight w:val="none"/>
        </w:rPr>
        <w:tab/>
      </w:r>
      <w:bookmarkStart w:id="842" w:name="_Ref467307090"/>
      <w:bookmarkStart w:id="843" w:name="_Ref467306425"/>
      <w:bookmarkStart w:id="844" w:name="_Toc520356176"/>
      <w:r>
        <w:rPr>
          <w:rFonts w:hint="eastAsia" w:ascii="仿宋" w:hAnsi="仿宋" w:eastAsia="仿宋" w:cs="仿宋"/>
          <w:color w:val="auto"/>
          <w:sz w:val="24"/>
          <w:szCs w:val="24"/>
          <w:highlight w:val="none"/>
        </w:rPr>
        <w:t>招标文件、中标人的投标文件及其澄清文件等，均为签订合同的依据。</w:t>
      </w:r>
    </w:p>
    <w:p w14:paraId="31F92A16">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   中标人拒绝与采购人签订合同的，采购人可以按照评审报告推荐的中标候选人名单排序，确定下一中标候选人为中标人，也可以重新开展政府采购活动。</w:t>
      </w:r>
    </w:p>
    <w:p w14:paraId="5C073AA0">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30.4   当出现法规规定的</w:t>
      </w:r>
      <w:r>
        <w:rPr>
          <w:rFonts w:hint="eastAsia" w:ascii="仿宋" w:hAnsi="仿宋" w:eastAsia="仿宋" w:cs="仿宋"/>
          <w:b/>
          <w:color w:val="auto"/>
          <w:sz w:val="24"/>
          <w:szCs w:val="24"/>
          <w:highlight w:val="none"/>
        </w:rPr>
        <w:t>中标无效或中标结果无效</w:t>
      </w:r>
      <w:r>
        <w:rPr>
          <w:rFonts w:hint="eastAsia" w:ascii="仿宋" w:hAnsi="仿宋" w:eastAsia="仿宋" w:cs="仿宋"/>
          <w:color w:val="auto"/>
          <w:sz w:val="24"/>
          <w:szCs w:val="24"/>
          <w:highlight w:val="none"/>
        </w:rPr>
        <w:t>情形时，采购人可与排名下一位的中标候选人另行签订合同，或依法重新开展采购活动。</w:t>
      </w:r>
    </w:p>
    <w:p w14:paraId="16835D04">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845" w:name="_Toc21692"/>
      <w:bookmarkStart w:id="846" w:name="_Toc11471"/>
      <w:bookmarkStart w:id="847" w:name="_Toc15755"/>
      <w:bookmarkStart w:id="848" w:name="_Toc26902"/>
      <w:bookmarkStart w:id="849" w:name="_Toc28788"/>
      <w:bookmarkStart w:id="850" w:name="_Toc11467"/>
      <w:bookmarkStart w:id="851" w:name="_Toc8801"/>
      <w:bookmarkStart w:id="852" w:name="_Toc4460"/>
      <w:bookmarkStart w:id="853" w:name="_Toc32131"/>
      <w:bookmarkStart w:id="854" w:name="_Toc4849"/>
      <w:bookmarkStart w:id="855" w:name="_Toc9468"/>
      <w:bookmarkStart w:id="856" w:name="_Toc23943"/>
      <w:bookmarkStart w:id="857" w:name="_Toc15498"/>
      <w:bookmarkStart w:id="858" w:name="_Toc32530"/>
      <w:bookmarkStart w:id="859" w:name="_Toc14080"/>
      <w:bookmarkStart w:id="860" w:name="_Toc10991"/>
      <w:bookmarkStart w:id="861" w:name="_Toc16092"/>
      <w:bookmarkStart w:id="862" w:name="_Toc31190"/>
      <w:bookmarkStart w:id="863" w:name="_Toc15750"/>
      <w:bookmarkStart w:id="864" w:name="_Toc11387"/>
      <w:bookmarkStart w:id="865" w:name="_Toc515647793"/>
      <w:bookmarkStart w:id="866" w:name="_Toc8189"/>
      <w:bookmarkStart w:id="867" w:name="_Toc31991"/>
      <w:bookmarkStart w:id="868" w:name="_Toc22555"/>
      <w:bookmarkStart w:id="869" w:name="_Toc13252"/>
      <w:bookmarkStart w:id="870" w:name="_Toc17960"/>
      <w:r>
        <w:rPr>
          <w:rFonts w:hint="eastAsia" w:ascii="仿宋" w:hAnsi="仿宋" w:eastAsia="仿宋" w:cs="仿宋"/>
          <w:b/>
          <w:bCs/>
          <w:color w:val="auto"/>
          <w:sz w:val="24"/>
          <w:szCs w:val="24"/>
          <w:highlight w:val="none"/>
          <w:u w:val="none"/>
          <w:lang w:val="en-US" w:eastAsia="zh-CN"/>
        </w:rPr>
        <w:t>31.</w:t>
      </w:r>
      <w:r>
        <w:rPr>
          <w:rFonts w:hint="eastAsia" w:ascii="仿宋" w:hAnsi="仿宋" w:eastAsia="仿宋" w:cs="仿宋"/>
          <w:b/>
          <w:bCs/>
          <w:color w:val="auto"/>
          <w:sz w:val="24"/>
          <w:szCs w:val="24"/>
          <w:highlight w:val="none"/>
          <w:u w:val="none"/>
        </w:rPr>
        <w:t>履约保证金</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352F3AA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中标人应按照</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规定向采购人缴纳履约保证金。</w:t>
      </w:r>
    </w:p>
    <w:p w14:paraId="5088DF90">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31.2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政府采购利用担保试点范围内的项目，除31.1规定的情形外，中标人也可以按照财政部门的规定，向采购人提供合格的履约担</w:t>
      </w:r>
      <w:r>
        <w:rPr>
          <w:rFonts w:hint="eastAsia" w:ascii="仿宋" w:hAnsi="仿宋" w:eastAsia="仿宋" w:cs="仿宋"/>
          <w:color w:val="auto"/>
          <w:sz w:val="24"/>
          <w:szCs w:val="24"/>
          <w:highlight w:val="none"/>
          <w:lang w:eastAsia="zh-CN"/>
        </w:rPr>
        <w:t>开户行银行保函。</w:t>
      </w:r>
    </w:p>
    <w:p w14:paraId="0CEEBB23">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871" w:name="_Toc17462"/>
      <w:bookmarkStart w:id="872" w:name="_Toc14040"/>
      <w:bookmarkStart w:id="873" w:name="_Toc9993"/>
      <w:bookmarkStart w:id="874" w:name="_Toc24979"/>
      <w:bookmarkStart w:id="875" w:name="_Toc31793"/>
      <w:bookmarkStart w:id="876" w:name="_Toc30817"/>
      <w:bookmarkStart w:id="877" w:name="_Toc8906"/>
      <w:bookmarkStart w:id="878" w:name="_Toc9967"/>
      <w:bookmarkStart w:id="879" w:name="_Toc17256"/>
      <w:bookmarkStart w:id="880" w:name="_Toc17827"/>
      <w:bookmarkStart w:id="881" w:name="_Toc20540"/>
      <w:bookmarkStart w:id="882" w:name="_Toc13048"/>
      <w:bookmarkStart w:id="883" w:name="_Toc17667"/>
      <w:bookmarkStart w:id="884" w:name="_Toc14539"/>
      <w:bookmarkStart w:id="885" w:name="_Toc21835"/>
      <w:bookmarkStart w:id="886" w:name="_Toc1705"/>
      <w:bookmarkStart w:id="887" w:name="_Toc21246"/>
      <w:bookmarkStart w:id="888" w:name="_Toc3090"/>
      <w:bookmarkStart w:id="889" w:name="_Toc15314"/>
      <w:bookmarkStart w:id="890" w:name="_Toc1144"/>
      <w:bookmarkStart w:id="891" w:name="_Toc13043"/>
      <w:bookmarkStart w:id="892" w:name="_Toc26497"/>
      <w:bookmarkStart w:id="893" w:name="_Toc29408"/>
      <w:bookmarkStart w:id="894" w:name="_Toc515647794"/>
      <w:bookmarkStart w:id="895" w:name="_Toc25385"/>
      <w:bookmarkStart w:id="896" w:name="_Toc16406"/>
      <w:r>
        <w:rPr>
          <w:rFonts w:hint="eastAsia" w:ascii="仿宋" w:hAnsi="仿宋" w:eastAsia="仿宋" w:cs="仿宋"/>
          <w:b/>
          <w:bCs/>
          <w:color w:val="auto"/>
          <w:sz w:val="24"/>
          <w:szCs w:val="24"/>
          <w:highlight w:val="none"/>
          <w:u w:val="none"/>
          <w:lang w:val="en-US" w:eastAsia="zh-CN"/>
        </w:rPr>
        <w:t>32.</w:t>
      </w:r>
      <w:r>
        <w:rPr>
          <w:rFonts w:hint="eastAsia" w:ascii="仿宋" w:hAnsi="仿宋" w:eastAsia="仿宋" w:cs="仿宋"/>
          <w:b/>
          <w:bCs/>
          <w:color w:val="auto"/>
          <w:sz w:val="24"/>
          <w:szCs w:val="24"/>
          <w:highlight w:val="none"/>
          <w:u w:val="none"/>
        </w:rPr>
        <w:t>中标服务费</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4327965D">
      <w:pPr>
        <w:pageBreakBefore w:val="0"/>
        <w:widowControl w:val="0"/>
        <w:kinsoku/>
        <w:wordWrap/>
        <w:overflowPunct/>
        <w:topLinePunct w:val="0"/>
        <w:bidi w:val="0"/>
        <w:spacing w:line="360" w:lineRule="exact"/>
        <w:ind w:left="420" w:leftChars="0" w:hanging="420" w:hanging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中标人须按照</w:t>
      </w:r>
      <w:r>
        <w:rPr>
          <w:rFonts w:hint="eastAsia" w:ascii="仿宋" w:hAnsi="仿宋" w:eastAsia="仿宋" w:cs="仿宋"/>
          <w:color w:val="auto"/>
          <w:sz w:val="24"/>
          <w:szCs w:val="24"/>
          <w:highlight w:val="none"/>
          <w:u w:val="single"/>
        </w:rPr>
        <w:t>投标须知资料表</w:t>
      </w:r>
      <w:r>
        <w:rPr>
          <w:rFonts w:hint="eastAsia" w:ascii="仿宋" w:hAnsi="仿宋" w:eastAsia="仿宋" w:cs="仿宋"/>
          <w:color w:val="auto"/>
          <w:sz w:val="24"/>
          <w:szCs w:val="24"/>
          <w:highlight w:val="none"/>
        </w:rPr>
        <w:t>规定，向采购代理机构支付中标服务费。</w:t>
      </w:r>
    </w:p>
    <w:p w14:paraId="5AE21B7D">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897" w:name="_Toc24525"/>
      <w:bookmarkStart w:id="898" w:name="_Toc10747"/>
      <w:bookmarkStart w:id="899" w:name="_Toc28372"/>
      <w:bookmarkStart w:id="900" w:name="_Toc29584"/>
      <w:bookmarkStart w:id="901" w:name="_Toc14969"/>
      <w:bookmarkStart w:id="902" w:name="_Toc7158"/>
      <w:bookmarkStart w:id="903" w:name="_Toc2419"/>
      <w:bookmarkStart w:id="904" w:name="_Toc6923"/>
      <w:bookmarkStart w:id="905" w:name="_Toc23477"/>
      <w:bookmarkStart w:id="906" w:name="_Toc31379"/>
      <w:bookmarkStart w:id="907" w:name="_Toc10756"/>
      <w:bookmarkStart w:id="908" w:name="_Toc365"/>
      <w:bookmarkStart w:id="909" w:name="_Toc7265"/>
      <w:bookmarkStart w:id="910" w:name="_Toc23330"/>
      <w:bookmarkStart w:id="911" w:name="_Toc4947"/>
      <w:bookmarkStart w:id="912" w:name="_Toc8477"/>
      <w:bookmarkStart w:id="913" w:name="_Toc25076"/>
      <w:bookmarkStart w:id="914" w:name="_Toc14442"/>
      <w:bookmarkStart w:id="915" w:name="_Toc3584"/>
      <w:bookmarkStart w:id="916" w:name="_Toc16900"/>
      <w:bookmarkStart w:id="917" w:name="_Toc20843"/>
      <w:bookmarkStart w:id="918" w:name="_Toc3053"/>
      <w:bookmarkStart w:id="919" w:name="_Toc11984"/>
      <w:bookmarkStart w:id="920" w:name="_Toc7049"/>
      <w:bookmarkStart w:id="921" w:name="_Toc515647795"/>
      <w:bookmarkStart w:id="922" w:name="_Toc26840"/>
      <w:r>
        <w:rPr>
          <w:rFonts w:hint="eastAsia" w:ascii="仿宋" w:hAnsi="仿宋" w:eastAsia="仿宋" w:cs="仿宋"/>
          <w:b/>
          <w:bCs/>
          <w:color w:val="auto"/>
          <w:sz w:val="24"/>
          <w:szCs w:val="24"/>
          <w:highlight w:val="none"/>
          <w:u w:val="none"/>
          <w:lang w:val="en-US" w:eastAsia="zh-CN"/>
        </w:rPr>
        <w:t>33.</w:t>
      </w:r>
      <w:r>
        <w:rPr>
          <w:rFonts w:hint="eastAsia" w:ascii="仿宋" w:hAnsi="仿宋" w:eastAsia="仿宋" w:cs="仿宋"/>
          <w:b/>
          <w:bCs/>
          <w:color w:val="auto"/>
          <w:sz w:val="24"/>
          <w:szCs w:val="24"/>
          <w:highlight w:val="none"/>
          <w:u w:val="none"/>
        </w:rPr>
        <w:t>政府采购信用担保</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19538BE6">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本项目是否属于信用担保试点范围见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4A8953BE">
      <w:pPr>
        <w:pageBreakBefore w:val="0"/>
        <w:widowControl w:val="0"/>
        <w:kinsoku/>
        <w:wordWrap/>
        <w:overflowPunct/>
        <w:topLinePunct w:val="0"/>
        <w:bidi w:val="0"/>
        <w:spacing w:line="360" w:lineRule="exact"/>
        <w:ind w:left="849" w:leftChars="0" w:hanging="849" w:hangingChars="35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如属于政府采购信用担保试点范围内，中小型企业</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可以自由按照财政部门的规定，采用投标担保、履约担保和融资担保。</w:t>
      </w:r>
    </w:p>
    <w:p w14:paraId="6979DFB6">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33.2.1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递交的投标担</w:t>
      </w:r>
      <w:r>
        <w:rPr>
          <w:rFonts w:hint="eastAsia" w:ascii="仿宋" w:hAnsi="仿宋" w:eastAsia="仿宋" w:cs="仿宋"/>
          <w:color w:val="auto"/>
          <w:sz w:val="24"/>
          <w:szCs w:val="24"/>
          <w:highlight w:val="none"/>
          <w:lang w:eastAsia="zh-CN"/>
        </w:rPr>
        <w:t>开户行银行保函</w:t>
      </w:r>
      <w:r>
        <w:rPr>
          <w:rFonts w:hint="eastAsia" w:ascii="仿宋" w:hAnsi="仿宋" w:eastAsia="仿宋" w:cs="仿宋"/>
          <w:color w:val="auto"/>
          <w:sz w:val="24"/>
          <w:szCs w:val="24"/>
          <w:highlight w:val="none"/>
        </w:rPr>
        <w:t>和履约担</w:t>
      </w:r>
      <w:r>
        <w:rPr>
          <w:rFonts w:hint="eastAsia" w:ascii="仿宋" w:hAnsi="仿宋" w:eastAsia="仿宋" w:cs="仿宋"/>
          <w:color w:val="auto"/>
          <w:sz w:val="24"/>
          <w:szCs w:val="24"/>
          <w:highlight w:val="none"/>
          <w:lang w:eastAsia="zh-CN"/>
        </w:rPr>
        <w:t>开户行银行保函</w:t>
      </w:r>
      <w:r>
        <w:rPr>
          <w:rFonts w:hint="eastAsia" w:ascii="仿宋" w:hAnsi="仿宋" w:eastAsia="仿宋" w:cs="仿宋"/>
          <w:color w:val="auto"/>
          <w:sz w:val="24"/>
          <w:szCs w:val="24"/>
          <w:highlight w:val="none"/>
        </w:rPr>
        <w:t>应符合本招标文件的规定。</w:t>
      </w:r>
    </w:p>
    <w:p w14:paraId="1B7DD8CA">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33.2.2 中标人可以采取融资担保的形式为政府采购项目履约进行融资。</w:t>
      </w:r>
    </w:p>
    <w:p w14:paraId="3E02111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33.2.3 合格的政府采购专业信用担保机构名单见</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w:t>
      </w:r>
      <w:r>
        <w:rPr>
          <w:rFonts w:hint="eastAsia" w:ascii="仿宋" w:hAnsi="仿宋" w:eastAsia="仿宋" w:cs="仿宋"/>
          <w:color w:val="auto"/>
          <w:sz w:val="24"/>
          <w:szCs w:val="24"/>
          <w:highlight w:val="none"/>
        </w:rPr>
        <w:t>。</w:t>
      </w:r>
    </w:p>
    <w:p w14:paraId="3C8CDC28">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923" w:name="_Toc18954"/>
      <w:bookmarkStart w:id="924" w:name="_Toc11013"/>
      <w:bookmarkStart w:id="925" w:name="_Toc32379"/>
      <w:bookmarkStart w:id="926" w:name="_Toc22695"/>
      <w:bookmarkStart w:id="927" w:name="_Toc27009"/>
      <w:bookmarkStart w:id="928" w:name="_Toc12158"/>
      <w:bookmarkStart w:id="929" w:name="_Toc31425"/>
      <w:bookmarkStart w:id="930" w:name="_Toc5262"/>
      <w:bookmarkStart w:id="931" w:name="_Toc11707"/>
      <w:bookmarkStart w:id="932" w:name="_Toc25791"/>
      <w:bookmarkStart w:id="933" w:name="_Toc2133"/>
      <w:bookmarkStart w:id="934" w:name="_Toc3713"/>
      <w:bookmarkStart w:id="935" w:name="_Toc3656"/>
      <w:bookmarkStart w:id="936" w:name="_Toc515647796"/>
      <w:bookmarkStart w:id="937" w:name="_Toc7459"/>
      <w:bookmarkStart w:id="938" w:name="_Toc22315"/>
      <w:bookmarkStart w:id="939" w:name="_Toc5750"/>
      <w:bookmarkStart w:id="940" w:name="_Toc5770"/>
      <w:bookmarkStart w:id="941" w:name="_Toc15505"/>
      <w:bookmarkStart w:id="942" w:name="_Toc29108"/>
      <w:bookmarkStart w:id="943" w:name="_Toc11552"/>
      <w:bookmarkStart w:id="944" w:name="_Toc7880"/>
      <w:bookmarkStart w:id="945" w:name="_Toc23161"/>
      <w:bookmarkStart w:id="946" w:name="_Toc31178"/>
      <w:bookmarkStart w:id="947" w:name="_Toc3616"/>
      <w:bookmarkStart w:id="948" w:name="_Toc23999"/>
      <w:r>
        <w:rPr>
          <w:rFonts w:hint="eastAsia" w:ascii="仿宋" w:hAnsi="仿宋" w:eastAsia="仿宋" w:cs="仿宋"/>
          <w:b/>
          <w:bCs/>
          <w:color w:val="auto"/>
          <w:sz w:val="24"/>
          <w:szCs w:val="24"/>
          <w:highlight w:val="none"/>
          <w:u w:val="none"/>
          <w:lang w:val="en-US" w:eastAsia="zh-CN"/>
        </w:rPr>
        <w:t>34.</w:t>
      </w:r>
      <w:r>
        <w:rPr>
          <w:rFonts w:hint="eastAsia" w:ascii="仿宋" w:hAnsi="仿宋" w:eastAsia="仿宋" w:cs="仿宋"/>
          <w:b/>
          <w:bCs/>
          <w:color w:val="auto"/>
          <w:sz w:val="24"/>
          <w:szCs w:val="24"/>
          <w:highlight w:val="none"/>
          <w:u w:val="none"/>
        </w:rPr>
        <w:t>廉洁自律规定</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14:paraId="7320DA5F">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   采购代理机构工作人员不得以不正当手段获取政府采购代理业务，不得与采购人、供应商恶意串通操纵政府采购活动。</w:t>
      </w:r>
    </w:p>
    <w:p w14:paraId="22F2097E">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14:paraId="62FAF470">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34.3   为强化采购代理机构内部监督机制，供应商可按</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须知资料表中的</w:t>
      </w:r>
      <w:r>
        <w:rPr>
          <w:rFonts w:hint="eastAsia" w:ascii="仿宋" w:hAnsi="仿宋" w:eastAsia="仿宋" w:cs="仿宋"/>
          <w:color w:val="auto"/>
          <w:sz w:val="24"/>
          <w:szCs w:val="24"/>
          <w:highlight w:val="none"/>
        </w:rPr>
        <w:t>监督电话和邮箱，反映采购代理机构的廉洁自律等问题。</w:t>
      </w:r>
    </w:p>
    <w:p w14:paraId="0C800166">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949" w:name="_Toc23126"/>
      <w:bookmarkStart w:id="950" w:name="_Toc30009"/>
      <w:bookmarkStart w:id="951" w:name="_Toc6587"/>
      <w:bookmarkStart w:id="952" w:name="_Toc20945"/>
      <w:bookmarkStart w:id="953" w:name="_Toc23695"/>
      <w:bookmarkStart w:id="954" w:name="_Toc3319"/>
      <w:bookmarkStart w:id="955" w:name="_Toc4826"/>
      <w:bookmarkStart w:id="956" w:name="_Toc27794"/>
      <w:bookmarkStart w:id="957" w:name="_Toc17682"/>
      <w:bookmarkStart w:id="958" w:name="_Toc12422"/>
      <w:bookmarkStart w:id="959" w:name="_Toc5448"/>
      <w:bookmarkStart w:id="960" w:name="_Toc11250"/>
      <w:bookmarkStart w:id="961" w:name="_Toc17079"/>
      <w:bookmarkStart w:id="962" w:name="_Toc5069"/>
      <w:bookmarkStart w:id="963" w:name="_Toc515647797"/>
      <w:bookmarkStart w:id="964" w:name="_Toc4757"/>
      <w:bookmarkStart w:id="965" w:name="_Toc27260"/>
      <w:bookmarkStart w:id="966" w:name="_Toc15644"/>
      <w:bookmarkStart w:id="967" w:name="_Toc25480"/>
      <w:bookmarkStart w:id="968" w:name="_Toc29018"/>
      <w:bookmarkStart w:id="969" w:name="_Toc29594"/>
      <w:bookmarkStart w:id="970" w:name="_Toc11586"/>
      <w:bookmarkStart w:id="971" w:name="_Toc30045"/>
      <w:bookmarkStart w:id="972" w:name="_Toc31630"/>
      <w:bookmarkStart w:id="973" w:name="_Toc19338"/>
      <w:bookmarkStart w:id="974" w:name="_Toc3585"/>
      <w:r>
        <w:rPr>
          <w:rFonts w:hint="eastAsia" w:ascii="仿宋" w:hAnsi="仿宋" w:eastAsia="仿宋" w:cs="仿宋"/>
          <w:b/>
          <w:bCs/>
          <w:color w:val="auto"/>
          <w:sz w:val="24"/>
          <w:szCs w:val="24"/>
          <w:highlight w:val="none"/>
          <w:u w:val="none"/>
          <w:lang w:val="en-US" w:eastAsia="zh-CN"/>
        </w:rPr>
        <w:t>35.</w:t>
      </w:r>
      <w:r>
        <w:rPr>
          <w:rFonts w:hint="eastAsia" w:ascii="仿宋" w:hAnsi="仿宋" w:eastAsia="仿宋" w:cs="仿宋"/>
          <w:b/>
          <w:bCs/>
          <w:color w:val="auto"/>
          <w:sz w:val="24"/>
          <w:szCs w:val="24"/>
          <w:highlight w:val="none"/>
          <w:u w:val="none"/>
        </w:rPr>
        <w:t>人员回避</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6C371913">
      <w:pPr>
        <w:pageBreakBefore w:val="0"/>
        <w:widowControl w:val="0"/>
        <w:kinsoku/>
        <w:wordWrap/>
        <w:overflowPunct/>
        <w:topLinePunct w:val="0"/>
        <w:bidi w:val="0"/>
        <w:spacing w:line="360" w:lineRule="exact"/>
        <w:ind w:left="900" w:leftChars="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认为采购人员及其相关人员有法律法规所列与其他供应商有利害关系的，可以向采购人或采购代理机构书面提出回避申请，并说明理由。</w:t>
      </w:r>
    </w:p>
    <w:p w14:paraId="3E0E6C9B">
      <w:pPr>
        <w:pStyle w:val="4"/>
        <w:pageBreakBefore w:val="0"/>
        <w:widowControl w:val="0"/>
        <w:numPr>
          <w:ilvl w:val="0"/>
          <w:numId w:val="0"/>
        </w:numPr>
        <w:kinsoku/>
        <w:wordWrap/>
        <w:overflowPunct/>
        <w:topLinePunct w:val="0"/>
        <w:bidi w:val="0"/>
        <w:spacing w:before="0" w:after="0" w:line="360" w:lineRule="exact"/>
        <w:textAlignment w:val="auto"/>
        <w:outlineLvl w:val="1"/>
        <w:rPr>
          <w:rFonts w:hint="eastAsia" w:ascii="仿宋" w:hAnsi="仿宋" w:eastAsia="仿宋" w:cs="仿宋"/>
          <w:b/>
          <w:bCs/>
          <w:color w:val="auto"/>
          <w:sz w:val="24"/>
          <w:szCs w:val="24"/>
          <w:highlight w:val="none"/>
          <w:u w:val="none"/>
        </w:rPr>
      </w:pPr>
      <w:bookmarkStart w:id="975" w:name="_Toc21912"/>
      <w:bookmarkStart w:id="976" w:name="_Toc26773"/>
      <w:bookmarkStart w:id="977" w:name="_Toc1162"/>
      <w:bookmarkStart w:id="978" w:name="_Toc7870"/>
      <w:bookmarkStart w:id="979" w:name="_Toc22831"/>
      <w:bookmarkStart w:id="980" w:name="_Toc1948"/>
      <w:bookmarkStart w:id="981" w:name="_Toc9357"/>
      <w:bookmarkStart w:id="982" w:name="_Toc30943"/>
      <w:bookmarkStart w:id="983" w:name="_Toc12727"/>
      <w:bookmarkStart w:id="984" w:name="_Toc12470"/>
      <w:bookmarkStart w:id="985" w:name="_Toc12880"/>
      <w:bookmarkStart w:id="986" w:name="_Toc6387"/>
      <w:bookmarkStart w:id="987" w:name="_Toc25174"/>
      <w:bookmarkStart w:id="988" w:name="_Toc1324"/>
      <w:bookmarkStart w:id="989" w:name="_Toc21766"/>
      <w:bookmarkStart w:id="990" w:name="_Toc8352"/>
      <w:bookmarkStart w:id="991" w:name="_Toc27328"/>
      <w:bookmarkStart w:id="992" w:name="_Toc427"/>
      <w:bookmarkStart w:id="993" w:name="_Toc6634"/>
      <w:bookmarkStart w:id="994" w:name="_Toc14457"/>
      <w:bookmarkStart w:id="995" w:name="_Toc27421"/>
      <w:bookmarkStart w:id="996" w:name="_Toc15630"/>
      <w:r>
        <w:rPr>
          <w:rFonts w:hint="eastAsia" w:ascii="仿宋" w:hAnsi="仿宋" w:eastAsia="仿宋" w:cs="仿宋"/>
          <w:b/>
          <w:bCs/>
          <w:color w:val="auto"/>
          <w:sz w:val="24"/>
          <w:szCs w:val="24"/>
          <w:highlight w:val="none"/>
          <w:u w:val="none"/>
          <w:lang w:val="en-US" w:eastAsia="zh-CN"/>
        </w:rPr>
        <w:t>36.</w:t>
      </w:r>
      <w:r>
        <w:rPr>
          <w:rFonts w:hint="eastAsia" w:ascii="仿宋" w:hAnsi="仿宋" w:eastAsia="仿宋" w:cs="仿宋"/>
          <w:b/>
          <w:bCs/>
          <w:color w:val="auto"/>
          <w:sz w:val="24"/>
          <w:szCs w:val="24"/>
          <w:highlight w:val="none"/>
          <w:u w:val="none"/>
        </w:rPr>
        <w:t>质疑与接收</w:t>
      </w:r>
      <w:bookmarkEnd w:id="25"/>
      <w:bookmarkEnd w:id="26"/>
      <w:bookmarkEnd w:id="27"/>
      <w:bookmarkEnd w:id="28"/>
      <w:bookmarkEnd w:id="29"/>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14:paraId="5C316094">
      <w:pPr>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2AAD1722">
      <w:pPr>
        <w:pStyle w:val="45"/>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091DB4ED">
      <w:pPr>
        <w:pStyle w:val="45"/>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202ADEE7">
      <w:pPr>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7623003F">
      <w:pPr>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36.5  采购代理机构质疑函接收部门、联系电话和通讯地址, 见</w:t>
      </w:r>
      <w:r>
        <w:rPr>
          <w:rFonts w:hint="eastAsia" w:ascii="仿宋" w:hAnsi="仿宋" w:eastAsia="仿宋" w:cs="仿宋"/>
          <w:color w:val="auto"/>
          <w:sz w:val="24"/>
          <w:szCs w:val="24"/>
          <w:highlight w:val="none"/>
          <w:u w:val="single"/>
        </w:rPr>
        <w:t>供应商须知资料表。</w:t>
      </w:r>
    </w:p>
    <w:p w14:paraId="0E4F3535">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14:paraId="2BB290CD">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（一）对可以质疑的采购文件提出质疑的，为收到采购文件之日或者采购文件公告期限届满之日；</w:t>
      </w:r>
    </w:p>
    <w:p w14:paraId="74E8E349">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（二）对采购过程提出质疑的，为各采购程序环节结束之日；</w:t>
      </w:r>
    </w:p>
    <w:p w14:paraId="460A90BE">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（三）对中标结果提出质疑的，为中标结果公告期限届满之日。</w:t>
      </w:r>
    </w:p>
    <w:p w14:paraId="7A135BA9">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 xml:space="preserve">36.7   </w:t>
      </w:r>
      <w:r>
        <w:rPr>
          <w:rFonts w:hint="eastAsia" w:ascii="仿宋" w:hAnsi="仿宋" w:eastAsia="仿宋" w:cs="仿宋"/>
          <w:b w:val="0"/>
          <w:bCs w:val="0"/>
          <w:color w:val="auto"/>
          <w:sz w:val="24"/>
          <w:szCs w:val="24"/>
          <w:highlight w:val="none"/>
          <w:lang w:val="en-US" w:eastAsia="zh-CN"/>
        </w:rPr>
        <w:t>供应商有权提出一次质疑，不能多次提出。</w:t>
      </w:r>
    </w:p>
    <w:p w14:paraId="4FAAB213">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36.8   </w:t>
      </w:r>
      <w:r>
        <w:rPr>
          <w:rFonts w:hint="eastAsia" w:ascii="仿宋" w:hAnsi="仿宋" w:eastAsia="仿宋" w:cs="仿宋"/>
          <w:b w:val="0"/>
          <w:bCs w:val="0"/>
          <w:color w:val="auto"/>
          <w:sz w:val="24"/>
          <w:szCs w:val="24"/>
          <w:highlight w:val="none"/>
        </w:rPr>
        <w:t>对可以质</w:t>
      </w:r>
      <w:r>
        <w:rPr>
          <w:rFonts w:hint="eastAsia" w:ascii="仿宋" w:hAnsi="仿宋" w:eastAsia="仿宋" w:cs="仿宋"/>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1AD38F4D">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开启、评审等各个采购程序环节。</w:t>
      </w:r>
    </w:p>
    <w:p w14:paraId="48562F9F">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  提出质疑应当符合下列条件：</w:t>
      </w:r>
    </w:p>
    <w:p w14:paraId="189C0ACF">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（一）质疑主体应当符合有关规定；</w:t>
      </w:r>
    </w:p>
    <w:p w14:paraId="26C8D11C">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（二）在质疑法定期限内提出；</w:t>
      </w:r>
    </w:p>
    <w:p w14:paraId="384C9BCE">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（三）属于可以提出质疑的政府采购事项受理范围和本项目采购人的管辖权范围；</w:t>
      </w:r>
    </w:p>
    <w:p w14:paraId="44BF87D3">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（四）政府采购法律、法规、规章规定的其他条件。</w:t>
      </w:r>
    </w:p>
    <w:p w14:paraId="214179BC">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A086BD7">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 xml:space="preserve">  质疑人所提供的证明材料应当具有真实性、合法性以及与质疑事项的关联性和证明力，否则不能作为认定该质疑事项成立的依据。</w:t>
      </w:r>
    </w:p>
    <w:p w14:paraId="4C05B1C8">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 xml:space="preserve"> 质疑人提出质疑时应当提交质疑函。质疑函包括下列内容：</w:t>
      </w:r>
    </w:p>
    <w:p w14:paraId="7F9AE338">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（一）提出质疑的质疑人的名称、地址、邮编、联系人及联系电话等；</w:t>
      </w:r>
    </w:p>
    <w:p w14:paraId="2FCB3A03">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14:paraId="403BB6F4">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w:t>
      </w:r>
    </w:p>
    <w:p w14:paraId="7FEA4622">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（四）事实依据和证明材料；</w:t>
      </w:r>
    </w:p>
    <w:p w14:paraId="0C28575F">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（五）法律依据；</w:t>
      </w:r>
    </w:p>
    <w:p w14:paraId="732FBEA5">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14:paraId="63C56C65">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65A129FC">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 xml:space="preserve">  质疑人可以委托代理人进行质疑。代理人应当提交授权委托书。授权委托书应当载明委托代理的具体权限、期限和相关事项。</w:t>
      </w:r>
    </w:p>
    <w:p w14:paraId="1F75C225">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质疑的审查和受理</w:t>
      </w:r>
    </w:p>
    <w:p w14:paraId="41C13C85">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采购方在收到质疑函后应当及时审查是否符合质疑受理条件，对符合质疑受理条件的，及时予以受理。</w:t>
      </w:r>
    </w:p>
    <w:p w14:paraId="38D28700">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对不符合质疑受理条件的，分别按照下列不同情形予以处理：</w:t>
      </w:r>
    </w:p>
    <w:p w14:paraId="66F9FD2B">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28E444DE">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（二）质疑主体不符合有关规定的，告知质疑人不予受理；</w:t>
      </w:r>
    </w:p>
    <w:p w14:paraId="482CC073">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（三）超过质疑法定期限提出质疑的，告知质疑人不予受理；</w:t>
      </w:r>
    </w:p>
    <w:p w14:paraId="7E8CB66A">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（四）对不属于可以提出质疑的政府采购事项提出质疑的，告知质疑人不予受理；</w:t>
      </w:r>
    </w:p>
    <w:p w14:paraId="36064D20">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（五）质疑不属于本项目采购方管辖的，告知质疑人向有管辖权的采购人提出质疑；</w:t>
      </w:r>
    </w:p>
    <w:p w14:paraId="112122D9">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（六）质疑不符合其他条件的，告知质疑人不予受理。</w:t>
      </w:r>
    </w:p>
    <w:p w14:paraId="7C4ADF9B">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  质疑的处理和答复</w:t>
      </w:r>
    </w:p>
    <w:p w14:paraId="441DEF02">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  采购方受理质疑后，将及时把质疑函发送给被质疑人，并要求其在一定限期内提交书面答复，同时提供有关证据、依据和相关材料。</w:t>
      </w:r>
    </w:p>
    <w:p w14:paraId="720D80CD">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 xml:space="preserve">  对于质疑事项中涉及的问题较多、情况比较复杂的，为了全面查清事实、取得充分的证据，采购方认为有必要时，可以进行调查取证或者组织质证。</w:t>
      </w:r>
    </w:p>
    <w:p w14:paraId="4E196393">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  对评审过程、中标结果提出质疑的，采购方可以组织原评审委员会协助答复质疑。</w:t>
      </w:r>
    </w:p>
    <w:p w14:paraId="639BE6F9">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质疑处理过程中，质疑人书面申请撤回质疑的，将终止质疑处理程序。</w:t>
      </w:r>
    </w:p>
    <w:p w14:paraId="332ABC9A">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6F08FCCE">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 xml:space="preserve">3 </w:t>
      </w:r>
      <w:r>
        <w:rPr>
          <w:rFonts w:hint="eastAsia" w:ascii="仿宋" w:hAnsi="仿宋" w:eastAsia="仿宋" w:cs="仿宋"/>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40E4E748">
      <w:pPr>
        <w:pageBreakBefore w:val="0"/>
        <w:widowControl w:val="0"/>
        <w:kinsoku/>
        <w:wordWrap/>
        <w:overflowPunct/>
        <w:topLinePunct w:val="0"/>
        <w:bidi w:val="0"/>
        <w:spacing w:line="360" w:lineRule="exact"/>
        <w:ind w:left="0" w:leftChars="0"/>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采购方将在正式受理质疑后7个工作日内作出答复。</w:t>
      </w:r>
      <w:r>
        <w:rPr>
          <w:rFonts w:hint="eastAsia" w:ascii="仿宋" w:hAnsi="仿宋" w:eastAsia="仿宋" w:cs="仿宋"/>
          <w:color w:val="auto"/>
          <w:sz w:val="24"/>
          <w:szCs w:val="24"/>
          <w:highlight w:val="none"/>
          <w:lang w:val="en-US" w:eastAsia="zh-CN"/>
        </w:rPr>
        <w:t xml:space="preserve"> </w:t>
      </w:r>
    </w:p>
    <w:p w14:paraId="46D2A4AE">
      <w:pPr>
        <w:pStyle w:val="45"/>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质疑答复应当包括下列内容：</w:t>
      </w:r>
    </w:p>
    <w:p w14:paraId="623942AB">
      <w:pPr>
        <w:pStyle w:val="45"/>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（一）质疑人的姓名或者名称；</w:t>
      </w:r>
    </w:p>
    <w:p w14:paraId="21AEF51A">
      <w:pPr>
        <w:pStyle w:val="45"/>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（二）收到质疑函的日期、质疑项目名称及编号；</w:t>
      </w:r>
    </w:p>
    <w:p w14:paraId="52029187">
      <w:pPr>
        <w:pStyle w:val="45"/>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（三）质疑事项、质疑答复的具体内容、事实依据和法律依据；</w:t>
      </w:r>
    </w:p>
    <w:p w14:paraId="644DBC36">
      <w:pPr>
        <w:pStyle w:val="45"/>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（四）告知质疑供应商依法投诉的权利；</w:t>
      </w:r>
    </w:p>
    <w:p w14:paraId="477B1B4D">
      <w:pPr>
        <w:pStyle w:val="45"/>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（五）质疑答复人名称；</w:t>
      </w:r>
    </w:p>
    <w:p w14:paraId="48E84E16">
      <w:pPr>
        <w:pStyle w:val="45"/>
        <w:pageBreakBefore w:val="0"/>
        <w:widowControl w:val="0"/>
        <w:kinsoku/>
        <w:wordWrap/>
        <w:overflowPunct/>
        <w:topLinePunct w:val="0"/>
        <w:bidi w:val="0"/>
        <w:spacing w:line="360" w:lineRule="exact"/>
        <w:ind w:left="0" w:leftChars="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（六）答复质疑的日期。</w:t>
      </w:r>
    </w:p>
    <w:p w14:paraId="68AC0398">
      <w:pPr>
        <w:pageBreakBefore w:val="0"/>
        <w:kinsoku/>
        <w:wordWrap/>
        <w:overflowPunct/>
        <w:topLinePunct w:val="0"/>
        <w:bidi w:val="0"/>
        <w:spacing w:line="360" w:lineRule="exact"/>
        <w:ind w:left="0" w:leftChars="0"/>
        <w:jc w:val="center"/>
        <w:textAlignment w:val="auto"/>
        <w:outlineLvl w:val="9"/>
        <w:rPr>
          <w:rFonts w:hint="eastAsia" w:ascii="仿宋" w:hAnsi="仿宋" w:eastAsia="仿宋" w:cs="仿宋"/>
          <w:b/>
          <w:bCs/>
          <w:color w:val="auto"/>
          <w:sz w:val="24"/>
          <w:szCs w:val="24"/>
          <w:highlight w:val="none"/>
        </w:rPr>
      </w:pPr>
      <w:bookmarkStart w:id="997" w:name="_Toc30512"/>
      <w:bookmarkStart w:id="998" w:name="_Toc2500"/>
      <w:bookmarkStart w:id="999" w:name="_Toc9437"/>
      <w:bookmarkStart w:id="1000" w:name="_Toc23411"/>
      <w:bookmarkStart w:id="1001" w:name="_Toc2799"/>
      <w:bookmarkStart w:id="1002" w:name="_Toc18518"/>
      <w:bookmarkStart w:id="1003" w:name="_Toc27601"/>
      <w:bookmarkStart w:id="1004" w:name="_Toc2072"/>
      <w:bookmarkStart w:id="1005" w:name="_Toc13021"/>
      <w:bookmarkStart w:id="1006" w:name="_Toc6493"/>
      <w:bookmarkStart w:id="1007" w:name="_Toc25636"/>
      <w:bookmarkStart w:id="1008" w:name="_Toc30093"/>
      <w:bookmarkStart w:id="1009" w:name="_Toc12088"/>
      <w:bookmarkStart w:id="1010" w:name="_Toc1819"/>
      <w:bookmarkStart w:id="1011" w:name="_Toc16553"/>
      <w:bookmarkStart w:id="1012" w:name="_Toc3696"/>
      <w:bookmarkStart w:id="1013" w:name="_Toc1369"/>
      <w:bookmarkStart w:id="1014" w:name="_Toc8353"/>
      <w:bookmarkStart w:id="1015" w:name="_Toc11973"/>
      <w:bookmarkStart w:id="1016" w:name="_Toc27146"/>
      <w:bookmarkStart w:id="1017" w:name="_Toc30855"/>
      <w:bookmarkStart w:id="1018" w:name="_Toc27096"/>
      <w:bookmarkStart w:id="1019" w:name="_Toc24946"/>
      <w:bookmarkStart w:id="1020" w:name="_Toc22908"/>
      <w:bookmarkStart w:id="1021" w:name="_Toc11297"/>
      <w:r>
        <w:rPr>
          <w:rFonts w:hint="eastAsia" w:ascii="仿宋" w:hAnsi="仿宋" w:eastAsia="仿宋" w:cs="仿宋"/>
          <w:b/>
          <w:bCs/>
          <w:color w:val="auto"/>
          <w:sz w:val="24"/>
          <w:szCs w:val="24"/>
          <w:highlight w:val="none"/>
        </w:rPr>
        <w:t>质疑函范本</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0519233D">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一、质疑供应商基本信息</w:t>
      </w:r>
    </w:p>
    <w:p w14:paraId="24E36095">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single"/>
        </w:rPr>
        <w:t xml:space="preserve">                                        </w:t>
      </w:r>
    </w:p>
    <w:p w14:paraId="3F38D943">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dotted"/>
        </w:rPr>
        <w:t xml:space="preserve">                    </w:t>
      </w:r>
    </w:p>
    <w:p w14:paraId="123EE0AE">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p>
    <w:p w14:paraId="53D8F2E1">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single"/>
        </w:rPr>
        <w:t xml:space="preserve">                                          </w:t>
      </w:r>
    </w:p>
    <w:p w14:paraId="06BE6748">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p>
    <w:p w14:paraId="0D45FA51">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dotted"/>
        </w:rPr>
        <w:t xml:space="preserve">               </w:t>
      </w:r>
    </w:p>
    <w:p w14:paraId="00FC18B8">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二、质疑项目基本情况</w:t>
      </w:r>
    </w:p>
    <w:p w14:paraId="6EEB90F6">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single"/>
        </w:rPr>
        <w:t xml:space="preserve">                                      </w:t>
      </w:r>
    </w:p>
    <w:p w14:paraId="7756FF23">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single"/>
        </w:rPr>
        <w:t xml:space="preserve">                 </w:t>
      </w:r>
    </w:p>
    <w:p w14:paraId="7C729A62">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single"/>
        </w:rPr>
        <w:t xml:space="preserve">                                         </w:t>
      </w:r>
    </w:p>
    <w:p w14:paraId="4B034F7F">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single"/>
        </w:rPr>
        <w:t xml:space="preserve">                                           </w:t>
      </w:r>
    </w:p>
    <w:p w14:paraId="10A59351">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三、质疑事项具体内容</w:t>
      </w:r>
    </w:p>
    <w:p w14:paraId="4B8D4BB7">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single"/>
        </w:rPr>
        <w:t xml:space="preserve">                                         </w:t>
      </w:r>
    </w:p>
    <w:p w14:paraId="469AB48F">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single"/>
        </w:rPr>
        <w:t xml:space="preserve">                                          </w:t>
      </w:r>
    </w:p>
    <w:p w14:paraId="52241349">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14:paraId="119085E7">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p>
    <w:p w14:paraId="1B1A7300">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single"/>
        </w:rPr>
        <w:t xml:space="preserve">                                                     </w:t>
      </w:r>
    </w:p>
    <w:p w14:paraId="60A46699">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14:paraId="764E3E40">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37ADDFC4">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四、与质疑事项相关的质疑请求</w:t>
      </w:r>
    </w:p>
    <w:p w14:paraId="2FF5C41F">
      <w:pPr>
        <w:pageBreakBefore w:val="0"/>
        <w:kinsoku/>
        <w:wordWrap/>
        <w:overflowPunct/>
        <w:topLinePunct w:val="0"/>
        <w:bidi w:val="0"/>
        <w:adjustRightInd w:val="0"/>
        <w:snapToGrid w:val="0"/>
        <w:spacing w:line="360" w:lineRule="exact"/>
        <w:ind w:left="0" w:leftChars="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single"/>
        </w:rPr>
        <w:t xml:space="preserve">                                               </w:t>
      </w:r>
    </w:p>
    <w:p w14:paraId="6D2726B4">
      <w:pPr>
        <w:pageBreakBefore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255FFB97">
      <w:pPr>
        <w:pageBreakBefore w:val="0"/>
        <w:kinsoku/>
        <w:wordWrap/>
        <w:overflowPunct/>
        <w:topLinePunct w:val="0"/>
        <w:bidi w:val="0"/>
        <w:spacing w:line="360" w:lineRule="exact"/>
        <w:ind w:left="0" w:lef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2D513A53">
      <w:pPr>
        <w:pageBreakBefore w:val="0"/>
        <w:kinsoku/>
        <w:wordWrap/>
        <w:overflowPunct/>
        <w:topLinePunct w:val="0"/>
        <w:bidi w:val="0"/>
        <w:spacing w:line="360" w:lineRule="exact"/>
        <w:ind w:left="0" w:leftChars="0"/>
        <w:textAlignment w:val="auto"/>
        <w:outlineLvl w:val="9"/>
        <w:rPr>
          <w:rFonts w:hint="eastAsia" w:ascii="仿宋" w:hAnsi="仿宋" w:eastAsia="仿宋" w:cs="仿宋"/>
          <w:b/>
          <w:color w:val="auto"/>
          <w:sz w:val="24"/>
          <w:szCs w:val="24"/>
          <w:highlight w:val="none"/>
        </w:rPr>
      </w:pPr>
    </w:p>
    <w:p w14:paraId="28E92383">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0C80806B">
      <w:pPr>
        <w:pageBreakBefore w:val="0"/>
        <w:kinsoku/>
        <w:wordWrap/>
        <w:overflowPunct/>
        <w:topLinePunct w:val="0"/>
        <w:bidi w:val="0"/>
        <w:spacing w:line="360" w:lineRule="exact"/>
        <w:ind w:left="0" w:leftChars="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质疑函制作说明：</w:t>
      </w:r>
    </w:p>
    <w:p w14:paraId="662692B6">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1.供应商提出质疑时，应提交质疑函和必要的证明材料。</w:t>
      </w:r>
    </w:p>
    <w:p w14:paraId="6578CED8">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szCs w:val="24"/>
          <w:highlight w:val="none"/>
        </w:rPr>
        <w:t>供应商签署的授权委托书。授权委托书应载明代理人的姓名或者名称、代理事项、具体权限、期限和相关事项。</w:t>
      </w:r>
    </w:p>
    <w:p w14:paraId="1E3E72C8">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3.质疑供应商若对项目的某一分包进行质疑，质疑函中应列明具体分包号。</w:t>
      </w:r>
    </w:p>
    <w:p w14:paraId="79FF6200">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4.质疑函的质疑事项应具体、明确，并有必要的事实依据和法律依据。</w:t>
      </w:r>
    </w:p>
    <w:p w14:paraId="2FCCCB8B">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5.质疑函的质疑请求应与质疑事项相关。</w:t>
      </w:r>
    </w:p>
    <w:p w14:paraId="682815F8">
      <w:pPr>
        <w:pageBreakBefore w:val="0"/>
        <w:widowControl/>
        <w:kinsoku/>
        <w:wordWrap/>
        <w:overflowPunct/>
        <w:topLinePunct w:val="0"/>
        <w:bidi w:val="0"/>
        <w:spacing w:line="36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1CD5A073">
      <w:pPr>
        <w:pStyle w:val="6"/>
        <w:spacing w:line="400" w:lineRule="exact"/>
        <w:ind w:firstLine="0"/>
        <w:rPr>
          <w:rFonts w:hint="eastAsia" w:ascii="仿宋" w:hAnsi="仿宋" w:eastAsia="仿宋" w:cs="仿宋"/>
          <w:color w:val="auto"/>
          <w:kern w:val="2"/>
          <w:sz w:val="21"/>
          <w:szCs w:val="21"/>
          <w:highlight w:val="none"/>
        </w:rPr>
      </w:pPr>
      <w:r>
        <w:rPr>
          <w:rFonts w:hint="eastAsia" w:ascii="仿宋" w:hAnsi="仿宋" w:eastAsia="仿宋" w:cs="仿宋"/>
          <w:b/>
          <w:color w:val="auto"/>
          <w:szCs w:val="24"/>
          <w:highlight w:val="none"/>
        </w:rPr>
        <w:br w:type="page"/>
      </w:r>
    </w:p>
    <w:p w14:paraId="1B0E88D3">
      <w:pPr>
        <w:pStyle w:val="2"/>
        <w:keepNext/>
        <w:keepLines/>
        <w:pageBreakBefore w:val="0"/>
        <w:widowControl w:val="0"/>
        <w:kinsoku/>
        <w:wordWrap/>
        <w:overflowPunct/>
        <w:topLinePunct w:val="0"/>
        <w:autoSpaceDE w:val="0"/>
        <w:autoSpaceDN w:val="0"/>
        <w:bidi w:val="0"/>
        <w:adjustRightInd w:val="0"/>
        <w:snapToGrid/>
        <w:spacing w:before="0" w:after="0" w:line="240" w:lineRule="atLeast"/>
        <w:ind w:left="0"/>
        <w:jc w:val="center"/>
        <w:textAlignment w:val="auto"/>
        <w:rPr>
          <w:rFonts w:hint="eastAsia" w:ascii="仿宋" w:hAnsi="仿宋" w:eastAsia="仿宋" w:cs="仿宋"/>
          <w:b/>
          <w:bCs/>
          <w:color w:val="auto"/>
          <w:sz w:val="32"/>
          <w:szCs w:val="32"/>
          <w:highlight w:val="none"/>
        </w:rPr>
      </w:pPr>
      <w:bookmarkStart w:id="1022" w:name="_Toc22390"/>
      <w:bookmarkStart w:id="1023" w:name="_Toc31373"/>
      <w:bookmarkStart w:id="1024" w:name="_Toc515647802"/>
      <w:bookmarkStart w:id="1025" w:name="_Toc702"/>
      <w:bookmarkStart w:id="1026" w:name="_Toc216582812"/>
      <w:bookmarkStart w:id="1027" w:name="_Toc3574"/>
      <w:bookmarkStart w:id="1028" w:name="_Toc29770"/>
      <w:bookmarkStart w:id="1029" w:name="_Toc728"/>
      <w:r>
        <w:rPr>
          <w:rFonts w:hint="eastAsia" w:ascii="仿宋" w:hAnsi="仿宋" w:eastAsia="仿宋" w:cs="仿宋"/>
          <w:b/>
          <w:bCs/>
          <w:color w:val="auto"/>
          <w:kern w:val="0"/>
          <w:sz w:val="32"/>
          <w:szCs w:val="32"/>
          <w:highlight w:val="none"/>
          <w:lang w:val="en-US" w:eastAsia="zh-CN" w:bidi="ar-SA"/>
        </w:rPr>
        <w:t>第2章  投标文件格式</w:t>
      </w:r>
      <w:bookmarkEnd w:id="1022"/>
      <w:bookmarkEnd w:id="1023"/>
      <w:bookmarkEnd w:id="1024"/>
      <w:bookmarkEnd w:id="1025"/>
      <w:bookmarkEnd w:id="1026"/>
      <w:bookmarkEnd w:id="1027"/>
      <w:bookmarkEnd w:id="1028"/>
      <w:bookmarkEnd w:id="1029"/>
    </w:p>
    <w:p w14:paraId="27D163E4">
      <w:pPr>
        <w:pStyle w:val="3"/>
        <w:pageBreakBefore w:val="0"/>
        <w:kinsoku/>
        <w:wordWrap/>
        <w:overflowPunct/>
        <w:topLinePunct w:val="0"/>
        <w:bidi w:val="0"/>
        <w:spacing w:before="0" w:line="360" w:lineRule="exact"/>
        <w:ind w:left="1080" w:leftChars="257" w:hanging="540"/>
        <w:rPr>
          <w:rFonts w:hint="eastAsia" w:ascii="仿宋" w:hAnsi="仿宋" w:eastAsia="仿宋" w:cs="仿宋"/>
          <w:color w:val="auto"/>
          <w:sz w:val="24"/>
          <w:szCs w:val="24"/>
          <w:highlight w:val="none"/>
        </w:rPr>
      </w:pPr>
      <w:bookmarkStart w:id="1030" w:name="_Toc32123"/>
      <w:bookmarkStart w:id="1031" w:name="_Toc26858"/>
      <w:bookmarkStart w:id="1032" w:name="_Toc22572"/>
      <w:bookmarkStart w:id="1033" w:name="_Toc17114"/>
      <w:bookmarkStart w:id="1034" w:name="_Toc515647803"/>
      <w:bookmarkStart w:id="1035" w:name="_Toc32079"/>
      <w:bookmarkStart w:id="1036" w:name="_Toc18694"/>
      <w:bookmarkStart w:id="1037" w:name="_Toc18974"/>
      <w:bookmarkStart w:id="1038" w:name="_Toc16568"/>
      <w:bookmarkStart w:id="1039" w:name="_Toc11138"/>
      <w:bookmarkStart w:id="1040" w:name="_Toc29091"/>
      <w:bookmarkStart w:id="1041" w:name="_Toc3620"/>
      <w:bookmarkStart w:id="1042" w:name="_Toc522"/>
      <w:bookmarkStart w:id="1043" w:name="_Toc30630"/>
      <w:bookmarkStart w:id="1044" w:name="_Toc30524"/>
      <w:bookmarkStart w:id="1045" w:name="_Toc515647804"/>
      <w:bookmarkStart w:id="1046" w:name="_Toc16750"/>
      <w:bookmarkStart w:id="1047" w:name="_Toc14118"/>
      <w:bookmarkStart w:id="1048" w:name="_Toc13595"/>
      <w:bookmarkStart w:id="1049" w:name="_Toc21614"/>
      <w:bookmarkStart w:id="1050" w:name="_Toc216582813"/>
      <w:bookmarkStart w:id="1051" w:name="_Ref467988698"/>
      <w:bookmarkStart w:id="1052" w:name="_Toc520356217"/>
      <w:bookmarkStart w:id="1053" w:name="_Toc480942349"/>
      <w:r>
        <w:rPr>
          <w:rFonts w:hint="eastAsia" w:ascii="仿宋" w:hAnsi="仿宋" w:eastAsia="仿宋" w:cs="仿宋"/>
          <w:color w:val="auto"/>
          <w:sz w:val="24"/>
          <w:szCs w:val="24"/>
          <w:highlight w:val="none"/>
        </w:rPr>
        <w:t>第一部分 开标一览表及资格证明文件</w:t>
      </w:r>
      <w:bookmarkEnd w:id="1030"/>
      <w:bookmarkEnd w:id="1031"/>
      <w:bookmarkEnd w:id="1032"/>
      <w:bookmarkEnd w:id="1033"/>
      <w:bookmarkEnd w:id="1034"/>
      <w:bookmarkEnd w:id="1035"/>
      <w:bookmarkEnd w:id="1036"/>
      <w:bookmarkEnd w:id="1037"/>
    </w:p>
    <w:p w14:paraId="15F87539">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开标一览表</w:t>
      </w:r>
      <w:r>
        <w:rPr>
          <w:rFonts w:hint="eastAsia" w:ascii="仿宋" w:hAnsi="仿宋" w:eastAsia="仿宋" w:cs="仿宋"/>
          <w:color w:val="auto"/>
          <w:sz w:val="24"/>
          <w:szCs w:val="24"/>
          <w:highlight w:val="none"/>
          <w:lang w:eastAsia="zh-CN"/>
        </w:rPr>
        <w:t>；</w:t>
      </w:r>
    </w:p>
    <w:p w14:paraId="78D0D399">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合格有效的三证合一的营业执照（三证合一）或电子营业执照（需加盖公章）或同等法律效力的证明文件（发证机关或公证机关出具的证明材料）；</w:t>
      </w:r>
    </w:p>
    <w:p w14:paraId="4FD9F8B8">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法定代表人资格证明及授权书、被授权人身份证(法定代表人投标需提供法定代表人身份证)；</w:t>
      </w:r>
    </w:p>
    <w:p w14:paraId="791C69C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4.提供近两年内任意一年的财务审计报告（新成立未满一年的新公司可提供近三个月内任意一个月的银行资信证明）</w:t>
      </w:r>
      <w:r>
        <w:rPr>
          <w:rFonts w:hint="eastAsia" w:ascii="仿宋" w:hAnsi="仿宋" w:eastAsia="仿宋" w:cs="仿宋"/>
          <w:color w:val="auto"/>
          <w:sz w:val="24"/>
          <w:szCs w:val="24"/>
          <w:highlight w:val="none"/>
          <w:lang w:eastAsia="zh-CN"/>
        </w:rPr>
        <w:t>；</w:t>
      </w:r>
    </w:p>
    <w:p w14:paraId="4F05178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依法缴纳近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个月内任意一个月社会保险证明；</w:t>
      </w:r>
    </w:p>
    <w:p w14:paraId="0996D7C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依法缴纳近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个月内任意一个月税收证明；</w:t>
      </w:r>
    </w:p>
    <w:p w14:paraId="472509E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r>
        <w:rPr>
          <w:rFonts w:hint="eastAsia" w:ascii="仿宋" w:hAnsi="仿宋" w:eastAsia="仿宋" w:cs="仿宋"/>
          <w:color w:val="auto"/>
          <w:spacing w:val="-2"/>
          <w:szCs w:val="21"/>
          <w:highlight w:val="none"/>
          <w:lang w:eastAsia="zh-CN"/>
        </w:rPr>
        <w:t>；</w:t>
      </w:r>
    </w:p>
    <w:p w14:paraId="17CAB82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参与政府采购活动前3年内未被列入失信、重大税收违法案件、财政部门禁止参加政府采购活动的承诺书；</w:t>
      </w:r>
    </w:p>
    <w:p w14:paraId="23578AF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提供针对本次项目的《反商业贿赂承诺书》；</w:t>
      </w:r>
    </w:p>
    <w:p w14:paraId="157B880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缴纳投标保证金的有效凭证</w:t>
      </w:r>
      <w:r>
        <w:rPr>
          <w:rFonts w:hint="eastAsia" w:ascii="仿宋" w:hAnsi="仿宋" w:eastAsia="仿宋" w:cs="仿宋"/>
          <w:color w:val="auto"/>
          <w:sz w:val="24"/>
          <w:szCs w:val="24"/>
          <w:highlight w:val="none"/>
        </w:rPr>
        <w:t>；</w:t>
      </w:r>
    </w:p>
    <w:p w14:paraId="30E0C6BF">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11.供应商可提供有利于投标的其他资格证明材料。</w:t>
      </w:r>
    </w:p>
    <w:p w14:paraId="74CFB6CF">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color w:val="auto"/>
          <w:sz w:val="21"/>
          <w:szCs w:val="21"/>
          <w:highlight w:val="none"/>
        </w:rPr>
      </w:pPr>
    </w:p>
    <w:p w14:paraId="5FED1CDE">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各供应商应注意以下事项：①本项目要求各投标供应商提供“</w:t>
      </w:r>
      <w:r>
        <w:rPr>
          <w:rFonts w:hint="eastAsia" w:ascii="仿宋" w:hAnsi="仿宋" w:eastAsia="仿宋" w:cs="仿宋"/>
          <w:b/>
          <w:bCs/>
          <w:color w:val="auto"/>
          <w:sz w:val="21"/>
          <w:szCs w:val="21"/>
          <w:highlight w:val="none"/>
          <w:lang w:eastAsia="zh-CN"/>
        </w:rPr>
        <w:t>依法缴纳近六个月内任意一个月税收证明</w:t>
      </w:r>
      <w:r>
        <w:rPr>
          <w:rFonts w:hint="eastAsia" w:ascii="仿宋" w:hAnsi="仿宋" w:eastAsia="仿宋" w:cs="仿宋"/>
          <w:b/>
          <w:bCs/>
          <w:color w:val="auto"/>
          <w:sz w:val="21"/>
          <w:szCs w:val="21"/>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14:paraId="2468258E">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bookmarkEnd w:id="1038"/>
    <w:bookmarkEnd w:id="1039"/>
    <w:bookmarkEnd w:id="1040"/>
    <w:bookmarkEnd w:id="1041"/>
    <w:bookmarkEnd w:id="1042"/>
    <w:bookmarkEnd w:id="1043"/>
    <w:bookmarkEnd w:id="1044"/>
    <w:bookmarkEnd w:id="1045"/>
    <w:bookmarkEnd w:id="1046"/>
    <w:bookmarkEnd w:id="1047"/>
    <w:bookmarkEnd w:id="1048"/>
    <w:bookmarkEnd w:id="1049"/>
    <w:p w14:paraId="678F5F06">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rPr>
      </w:pPr>
      <w:bookmarkStart w:id="1054" w:name="_Toc22726"/>
      <w:bookmarkStart w:id="1055" w:name="_Toc29944"/>
      <w:r>
        <w:rPr>
          <w:rFonts w:hint="eastAsia" w:ascii="仿宋" w:hAnsi="仿宋" w:eastAsia="仿宋" w:cs="仿宋"/>
          <w:color w:val="auto"/>
          <w:sz w:val="28"/>
          <w:szCs w:val="28"/>
          <w:highlight w:val="none"/>
        </w:rPr>
        <w:t>1.开标一览表；</w:t>
      </w:r>
      <w:bookmarkEnd w:id="1054"/>
      <w:bookmarkEnd w:id="1055"/>
    </w:p>
    <w:p w14:paraId="67608015">
      <w:pPr>
        <w:pStyle w:val="6"/>
        <w:tabs>
          <w:tab w:val="left" w:pos="5580"/>
        </w:tabs>
        <w:spacing w:line="400" w:lineRule="exact"/>
        <w:ind w:left="1080" w:leftChars="257" w:hanging="540"/>
        <w:jc w:val="center"/>
        <w:rPr>
          <w:rFonts w:hint="eastAsia" w:ascii="仿宋" w:hAnsi="仿宋" w:eastAsia="仿宋" w:cs="仿宋"/>
          <w:color w:val="auto"/>
          <w:highlight w:val="none"/>
        </w:rPr>
      </w:pPr>
      <w:bookmarkStart w:id="1056" w:name="_Hlt520356241"/>
      <w:bookmarkEnd w:id="1056"/>
      <w:bookmarkStart w:id="1057" w:name="_Toc494296984"/>
      <w:r>
        <w:rPr>
          <w:rFonts w:hint="eastAsia" w:ascii="仿宋" w:hAnsi="仿宋" w:eastAsia="仿宋" w:cs="仿宋"/>
          <w:b/>
          <w:color w:val="auto"/>
          <w:highlight w:val="none"/>
        </w:rPr>
        <w:t>开标一览表</w:t>
      </w:r>
      <w:bookmarkEnd w:id="1057"/>
    </w:p>
    <w:p w14:paraId="1DE5E902">
      <w:pPr>
        <w:tabs>
          <w:tab w:val="left" w:pos="1800"/>
          <w:tab w:val="left" w:pos="5580"/>
        </w:tabs>
        <w:spacing w:line="400" w:lineRule="exact"/>
        <w:ind w:left="1080" w:leftChars="257" w:right="-867"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项目编号：                          </w:t>
      </w:r>
    </w:p>
    <w:p w14:paraId="02728F22">
      <w:pPr>
        <w:tabs>
          <w:tab w:val="left" w:pos="1800"/>
          <w:tab w:val="left" w:pos="5580"/>
        </w:tabs>
        <w:spacing w:line="400" w:lineRule="exact"/>
        <w:ind w:left="1080" w:leftChars="257" w:right="-867" w:rightChars="-413"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报价单位：人民币</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color w:val="auto"/>
          <w:sz w:val="24"/>
          <w:highlight w:val="none"/>
        </w:rPr>
        <w:t>元</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color w:val="auto"/>
          <w:sz w:val="24"/>
          <w:highlight w:val="none"/>
          <w:lang w:val="en-US" w:eastAsia="zh-CN"/>
        </w:rPr>
        <w:t>包号：</w:t>
      </w:r>
    </w:p>
    <w:tbl>
      <w:tblPr>
        <w:tblStyle w:val="30"/>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7"/>
        <w:gridCol w:w="1544"/>
        <w:gridCol w:w="1230"/>
        <w:gridCol w:w="1387"/>
        <w:gridCol w:w="1387"/>
        <w:gridCol w:w="1387"/>
      </w:tblGrid>
      <w:tr w14:paraId="2E4D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387" w:type="dxa"/>
            <w:vAlign w:val="center"/>
          </w:tcPr>
          <w:p w14:paraId="2E643151">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货物名称</w:t>
            </w:r>
          </w:p>
        </w:tc>
        <w:tc>
          <w:tcPr>
            <w:tcW w:w="1544" w:type="dxa"/>
            <w:vAlign w:val="center"/>
          </w:tcPr>
          <w:p w14:paraId="1ABB4BB6">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投标总价</w:t>
            </w:r>
          </w:p>
        </w:tc>
        <w:tc>
          <w:tcPr>
            <w:tcW w:w="1230" w:type="dxa"/>
            <w:vAlign w:val="center"/>
          </w:tcPr>
          <w:p w14:paraId="7F11A2B0">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投标保证金</w:t>
            </w:r>
          </w:p>
        </w:tc>
        <w:tc>
          <w:tcPr>
            <w:tcW w:w="1387" w:type="dxa"/>
            <w:vAlign w:val="center"/>
          </w:tcPr>
          <w:p w14:paraId="08383C07">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交货期</w:t>
            </w:r>
          </w:p>
        </w:tc>
        <w:tc>
          <w:tcPr>
            <w:tcW w:w="1387" w:type="dxa"/>
            <w:vAlign w:val="center"/>
          </w:tcPr>
          <w:p w14:paraId="0EEF48B0">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交货地点</w:t>
            </w:r>
          </w:p>
        </w:tc>
        <w:tc>
          <w:tcPr>
            <w:tcW w:w="1387" w:type="dxa"/>
            <w:vAlign w:val="center"/>
          </w:tcPr>
          <w:p w14:paraId="1206BE84">
            <w:pPr>
              <w:tabs>
                <w:tab w:val="left" w:pos="5580"/>
              </w:tabs>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w:t>
            </w:r>
          </w:p>
        </w:tc>
      </w:tr>
      <w:tr w14:paraId="23B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387" w:type="dxa"/>
            <w:vAlign w:val="center"/>
          </w:tcPr>
          <w:p w14:paraId="20EE4C40">
            <w:pPr>
              <w:tabs>
                <w:tab w:val="left" w:pos="5580"/>
              </w:tabs>
              <w:spacing w:line="400" w:lineRule="exact"/>
              <w:jc w:val="center"/>
              <w:rPr>
                <w:rFonts w:hint="eastAsia" w:ascii="仿宋" w:hAnsi="仿宋" w:eastAsia="仿宋" w:cs="仿宋"/>
                <w:color w:val="auto"/>
                <w:sz w:val="24"/>
                <w:highlight w:val="none"/>
                <w:lang w:val="en-US" w:eastAsia="zh-CN"/>
              </w:rPr>
            </w:pPr>
          </w:p>
        </w:tc>
        <w:tc>
          <w:tcPr>
            <w:tcW w:w="1544" w:type="dxa"/>
            <w:vAlign w:val="center"/>
          </w:tcPr>
          <w:p w14:paraId="4A8049B1">
            <w:pPr>
              <w:tabs>
                <w:tab w:val="left" w:pos="5580"/>
              </w:tabs>
              <w:spacing w:line="400" w:lineRule="exact"/>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大写：</w:t>
            </w:r>
          </w:p>
          <w:p w14:paraId="312D7505">
            <w:pPr>
              <w:tabs>
                <w:tab w:val="left" w:pos="5580"/>
              </w:tabs>
              <w:spacing w:line="400" w:lineRule="exact"/>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小写：</w:t>
            </w:r>
          </w:p>
        </w:tc>
        <w:tc>
          <w:tcPr>
            <w:tcW w:w="1230" w:type="dxa"/>
            <w:vAlign w:val="center"/>
          </w:tcPr>
          <w:p w14:paraId="7A020571">
            <w:pPr>
              <w:tabs>
                <w:tab w:val="left" w:pos="5580"/>
              </w:tabs>
              <w:spacing w:line="400" w:lineRule="exact"/>
              <w:jc w:val="center"/>
              <w:rPr>
                <w:rFonts w:hint="eastAsia" w:ascii="仿宋" w:hAnsi="仿宋" w:eastAsia="仿宋" w:cs="仿宋"/>
                <w:color w:val="auto"/>
                <w:sz w:val="24"/>
                <w:highlight w:val="none"/>
                <w:lang w:val="en-US" w:eastAsia="zh-CN"/>
              </w:rPr>
            </w:pPr>
          </w:p>
        </w:tc>
        <w:tc>
          <w:tcPr>
            <w:tcW w:w="1387" w:type="dxa"/>
            <w:vAlign w:val="center"/>
          </w:tcPr>
          <w:p w14:paraId="255352CB">
            <w:pPr>
              <w:tabs>
                <w:tab w:val="left" w:pos="5580"/>
              </w:tabs>
              <w:spacing w:line="400" w:lineRule="exact"/>
              <w:jc w:val="center"/>
              <w:rPr>
                <w:rFonts w:hint="eastAsia" w:ascii="仿宋" w:hAnsi="仿宋" w:eastAsia="仿宋" w:cs="仿宋"/>
                <w:color w:val="auto"/>
                <w:sz w:val="24"/>
                <w:highlight w:val="none"/>
                <w:lang w:val="en-US" w:eastAsia="zh-CN"/>
              </w:rPr>
            </w:pPr>
          </w:p>
        </w:tc>
        <w:tc>
          <w:tcPr>
            <w:tcW w:w="1387" w:type="dxa"/>
            <w:vAlign w:val="center"/>
          </w:tcPr>
          <w:p w14:paraId="4A9A4189">
            <w:pPr>
              <w:tabs>
                <w:tab w:val="left" w:pos="5580"/>
              </w:tabs>
              <w:spacing w:line="400" w:lineRule="exact"/>
              <w:jc w:val="center"/>
              <w:rPr>
                <w:rFonts w:hint="eastAsia" w:ascii="仿宋" w:hAnsi="仿宋" w:eastAsia="仿宋" w:cs="仿宋"/>
                <w:color w:val="auto"/>
                <w:sz w:val="24"/>
                <w:highlight w:val="none"/>
                <w:lang w:val="en-US" w:eastAsia="zh-CN"/>
              </w:rPr>
            </w:pPr>
          </w:p>
        </w:tc>
        <w:tc>
          <w:tcPr>
            <w:tcW w:w="1387" w:type="dxa"/>
            <w:vAlign w:val="center"/>
          </w:tcPr>
          <w:p w14:paraId="241C0D10">
            <w:pPr>
              <w:tabs>
                <w:tab w:val="left" w:pos="5580"/>
              </w:tabs>
              <w:spacing w:line="400" w:lineRule="exact"/>
              <w:jc w:val="center"/>
              <w:rPr>
                <w:rFonts w:hint="eastAsia" w:ascii="仿宋" w:hAnsi="仿宋" w:eastAsia="仿宋" w:cs="仿宋"/>
                <w:color w:val="auto"/>
                <w:sz w:val="24"/>
                <w:highlight w:val="none"/>
                <w:lang w:val="en-US" w:eastAsia="zh-CN"/>
              </w:rPr>
            </w:pPr>
          </w:p>
        </w:tc>
      </w:tr>
    </w:tbl>
    <w:p w14:paraId="18463B22">
      <w:pPr>
        <w:pStyle w:val="16"/>
        <w:tabs>
          <w:tab w:val="left" w:pos="5580"/>
        </w:tabs>
        <w:spacing w:line="400" w:lineRule="exact"/>
        <w:ind w:left="1080" w:leftChars="257" w:hanging="540"/>
        <w:rPr>
          <w:rFonts w:hint="eastAsia" w:ascii="仿宋" w:hAnsi="仿宋" w:eastAsia="仿宋" w:cs="仿宋"/>
          <w:color w:val="auto"/>
          <w:sz w:val="24"/>
          <w:highlight w:val="none"/>
        </w:rPr>
      </w:pPr>
    </w:p>
    <w:p w14:paraId="3A69BBBE">
      <w:pPr>
        <w:pStyle w:val="16"/>
        <w:tabs>
          <w:tab w:val="left" w:pos="5580"/>
        </w:tabs>
        <w:spacing w:line="400" w:lineRule="exact"/>
        <w:ind w:left="1080" w:leftChars="257" w:hanging="540"/>
        <w:rPr>
          <w:rFonts w:hint="eastAsia" w:ascii="仿宋" w:hAnsi="仿宋" w:eastAsia="仿宋" w:cs="仿宋"/>
          <w:color w:val="auto"/>
          <w:sz w:val="24"/>
          <w:highlight w:val="none"/>
          <w:u w:val="single"/>
        </w:rPr>
      </w:pPr>
    </w:p>
    <w:p w14:paraId="02BBE3C9">
      <w:pPr>
        <w:pStyle w:val="16"/>
        <w:tabs>
          <w:tab w:val="left" w:pos="5580"/>
        </w:tabs>
        <w:spacing w:line="40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供应商名称（公章）：</w:t>
      </w:r>
      <w:r>
        <w:rPr>
          <w:rFonts w:hint="eastAsia" w:ascii="仿宋" w:hAnsi="仿宋" w:eastAsia="仿宋" w:cs="仿宋"/>
          <w:color w:val="auto"/>
          <w:sz w:val="24"/>
          <w:highlight w:val="none"/>
          <w:u w:val="single"/>
        </w:rPr>
        <w:t xml:space="preserve">                       </w:t>
      </w:r>
    </w:p>
    <w:p w14:paraId="0BAE7089">
      <w:pPr>
        <w:pStyle w:val="16"/>
        <w:tabs>
          <w:tab w:val="left" w:pos="5580"/>
        </w:tabs>
        <w:spacing w:line="400" w:lineRule="exac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法定代表人或委托代理</w:t>
      </w:r>
      <w:r>
        <w:rPr>
          <w:rFonts w:hint="eastAsia" w:ascii="仿宋" w:hAnsi="仿宋" w:eastAsia="仿宋" w:cs="仿宋"/>
          <w:color w:val="auto"/>
          <w:sz w:val="24"/>
          <w:highlight w:val="none"/>
          <w:lang w:eastAsia="zh-CN"/>
        </w:rPr>
        <w:t>人（</w:t>
      </w:r>
      <w:r>
        <w:rPr>
          <w:rFonts w:hint="eastAsia" w:ascii="仿宋" w:hAnsi="仿宋" w:eastAsia="仿宋" w:cs="仿宋"/>
          <w:color w:val="auto"/>
          <w:sz w:val="24"/>
          <w:highlight w:val="none"/>
          <w:lang w:val="en-US" w:eastAsia="zh-CN"/>
        </w:rPr>
        <w:t>签字或盖章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14:paraId="6BE6ED37">
      <w:pPr>
        <w:pStyle w:val="16"/>
        <w:tabs>
          <w:tab w:val="left" w:pos="5580"/>
        </w:tabs>
        <w:spacing w:line="400" w:lineRule="exact"/>
        <w:ind w:left="1080" w:leftChars="257" w:hanging="540"/>
        <w:rPr>
          <w:rFonts w:hint="eastAsia" w:ascii="仿宋" w:hAnsi="仿宋" w:eastAsia="仿宋" w:cs="仿宋"/>
          <w:color w:val="auto"/>
          <w:sz w:val="24"/>
          <w:highlight w:val="none"/>
        </w:rPr>
      </w:pPr>
    </w:p>
    <w:p w14:paraId="0E4CCAEE">
      <w:pPr>
        <w:pStyle w:val="16"/>
        <w:tabs>
          <w:tab w:val="left" w:pos="5580"/>
        </w:tabs>
        <w:spacing w:line="400" w:lineRule="exact"/>
        <w:ind w:left="741" w:leftChars="353"/>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注:1、此表中，投标总价应和投标分项报价表的总价相一致。</w:t>
      </w:r>
    </w:p>
    <w:p w14:paraId="22D9DF72">
      <w:pPr>
        <w:pStyle w:val="16"/>
        <w:tabs>
          <w:tab w:val="left" w:pos="5580"/>
        </w:tabs>
        <w:spacing w:line="400" w:lineRule="exact"/>
        <w:ind w:left="741" w:leftChars="353"/>
        <w:rPr>
          <w:rFonts w:hint="eastAsia" w:ascii="仿宋" w:hAnsi="仿宋" w:eastAsia="仿宋" w:cs="仿宋"/>
          <w:b/>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、投标商报价时包含税费等一切与本次项目相关的费用。</w:t>
      </w:r>
    </w:p>
    <w:p w14:paraId="28337881">
      <w:pPr>
        <w:pStyle w:val="16"/>
        <w:tabs>
          <w:tab w:val="left" w:pos="5580"/>
        </w:tabs>
        <w:spacing w:line="240" w:lineRule="atLeast"/>
        <w:rPr>
          <w:rFonts w:hint="eastAsia" w:ascii="仿宋" w:hAnsi="仿宋" w:eastAsia="仿宋" w:cs="仿宋"/>
          <w:b/>
          <w:color w:val="auto"/>
          <w:sz w:val="24"/>
          <w:highlight w:val="none"/>
        </w:rPr>
      </w:pPr>
    </w:p>
    <w:p w14:paraId="13A16330">
      <w:pPr>
        <w:pStyle w:val="16"/>
        <w:tabs>
          <w:tab w:val="left" w:pos="5580"/>
        </w:tabs>
        <w:spacing w:line="240" w:lineRule="atLeast"/>
        <w:rPr>
          <w:rFonts w:hint="eastAsia" w:ascii="仿宋" w:hAnsi="仿宋" w:eastAsia="仿宋" w:cs="仿宋"/>
          <w:b/>
          <w:color w:val="auto"/>
          <w:sz w:val="24"/>
          <w:highlight w:val="none"/>
        </w:rPr>
      </w:pPr>
    </w:p>
    <w:p w14:paraId="1A327BDA">
      <w:pPr>
        <w:pStyle w:val="16"/>
        <w:tabs>
          <w:tab w:val="left" w:pos="5580"/>
        </w:tabs>
        <w:spacing w:line="240" w:lineRule="atLeast"/>
        <w:rPr>
          <w:rFonts w:hint="eastAsia" w:ascii="仿宋" w:hAnsi="仿宋" w:eastAsia="仿宋" w:cs="仿宋"/>
          <w:b/>
          <w:color w:val="auto"/>
          <w:sz w:val="24"/>
          <w:highlight w:val="none"/>
        </w:rPr>
      </w:pPr>
    </w:p>
    <w:p w14:paraId="76F96390">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b/>
          <w:color w:val="auto"/>
          <w:sz w:val="24"/>
          <w:highlight w:val="none"/>
        </w:rPr>
      </w:pPr>
      <w:bookmarkStart w:id="1058" w:name="_Toc3446"/>
      <w:bookmarkStart w:id="1059" w:name="_Toc16252"/>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合格有效的三证合一的营业执照（三证合一）或电子营业执照（需加盖公章）或同等法律效力的证明文件（发证机关或公证机关出具的证明材料）；</w:t>
      </w:r>
      <w:bookmarkEnd w:id="1058"/>
      <w:bookmarkEnd w:id="1059"/>
    </w:p>
    <w:p w14:paraId="60572A48">
      <w:pPr>
        <w:pStyle w:val="16"/>
        <w:tabs>
          <w:tab w:val="left" w:pos="5580"/>
        </w:tabs>
        <w:spacing w:line="240" w:lineRule="atLeast"/>
        <w:rPr>
          <w:rFonts w:hint="eastAsia" w:ascii="仿宋" w:hAnsi="仿宋" w:eastAsia="仿宋" w:cs="仿宋"/>
          <w:b/>
          <w:color w:val="auto"/>
          <w:sz w:val="24"/>
          <w:highlight w:val="none"/>
        </w:rPr>
      </w:pPr>
    </w:p>
    <w:p w14:paraId="6DA6700B">
      <w:pPr>
        <w:pStyle w:val="16"/>
        <w:tabs>
          <w:tab w:val="left" w:pos="5580"/>
        </w:tabs>
        <w:spacing w:line="240" w:lineRule="atLeast"/>
        <w:rPr>
          <w:rFonts w:hint="eastAsia" w:ascii="仿宋" w:hAnsi="仿宋" w:eastAsia="仿宋" w:cs="仿宋"/>
          <w:b/>
          <w:color w:val="auto"/>
          <w:sz w:val="24"/>
          <w:highlight w:val="none"/>
        </w:rPr>
      </w:pPr>
    </w:p>
    <w:p w14:paraId="11ABA158">
      <w:pPr>
        <w:pStyle w:val="16"/>
        <w:tabs>
          <w:tab w:val="left" w:pos="5580"/>
        </w:tabs>
        <w:spacing w:line="240" w:lineRule="atLeast"/>
        <w:outlineLvl w:val="9"/>
        <w:rPr>
          <w:rFonts w:hint="eastAsia" w:ascii="仿宋" w:hAnsi="仿宋" w:eastAsia="仿宋" w:cs="仿宋"/>
          <w:b/>
          <w:color w:val="auto"/>
          <w:sz w:val="24"/>
          <w:highlight w:val="none"/>
        </w:rPr>
      </w:pPr>
    </w:p>
    <w:p w14:paraId="23C80467">
      <w:pPr>
        <w:pStyle w:val="16"/>
        <w:tabs>
          <w:tab w:val="left" w:pos="5580"/>
        </w:tabs>
        <w:spacing w:line="240" w:lineRule="atLeast"/>
        <w:outlineLvl w:val="9"/>
        <w:rPr>
          <w:rFonts w:hint="eastAsia" w:ascii="仿宋" w:hAnsi="仿宋" w:eastAsia="仿宋" w:cs="仿宋"/>
          <w:b/>
          <w:color w:val="auto"/>
          <w:sz w:val="24"/>
          <w:highlight w:val="none"/>
        </w:rPr>
      </w:pPr>
    </w:p>
    <w:p w14:paraId="62F46B54">
      <w:pPr>
        <w:pStyle w:val="16"/>
        <w:tabs>
          <w:tab w:val="left" w:pos="5580"/>
        </w:tabs>
        <w:spacing w:line="240" w:lineRule="atLeast"/>
        <w:outlineLvl w:val="9"/>
        <w:rPr>
          <w:rFonts w:hint="eastAsia" w:ascii="仿宋" w:hAnsi="仿宋" w:eastAsia="仿宋" w:cs="仿宋"/>
          <w:b/>
          <w:color w:val="auto"/>
          <w:sz w:val="24"/>
          <w:highlight w:val="none"/>
        </w:rPr>
      </w:pPr>
    </w:p>
    <w:p w14:paraId="77426CED">
      <w:pPr>
        <w:pStyle w:val="16"/>
        <w:tabs>
          <w:tab w:val="left" w:pos="5580"/>
        </w:tabs>
        <w:spacing w:line="240" w:lineRule="atLeast"/>
        <w:outlineLvl w:val="9"/>
        <w:rPr>
          <w:rFonts w:hint="eastAsia" w:ascii="仿宋" w:hAnsi="仿宋" w:eastAsia="仿宋" w:cs="仿宋"/>
          <w:b/>
          <w:color w:val="auto"/>
          <w:sz w:val="24"/>
          <w:highlight w:val="none"/>
        </w:rPr>
      </w:pPr>
    </w:p>
    <w:p w14:paraId="04907CA7">
      <w:pPr>
        <w:rPr>
          <w:rFonts w:hint="eastAsia" w:ascii="仿宋" w:hAnsi="仿宋" w:eastAsia="仿宋" w:cs="仿宋"/>
          <w:color w:val="auto"/>
          <w:sz w:val="28"/>
          <w:szCs w:val="28"/>
          <w:highlight w:val="none"/>
          <w:lang w:val="en-US" w:eastAsia="zh-CN"/>
        </w:rPr>
      </w:pPr>
      <w:bookmarkStart w:id="1060" w:name="_Toc16610"/>
      <w:r>
        <w:rPr>
          <w:rFonts w:hint="eastAsia" w:ascii="仿宋" w:hAnsi="仿宋" w:eastAsia="仿宋" w:cs="仿宋"/>
          <w:color w:val="auto"/>
          <w:sz w:val="28"/>
          <w:szCs w:val="28"/>
          <w:highlight w:val="none"/>
          <w:lang w:val="en-US" w:eastAsia="zh-CN"/>
        </w:rPr>
        <w:br w:type="page"/>
      </w:r>
    </w:p>
    <w:p w14:paraId="599C3E2A">
      <w:pPr>
        <w:pStyle w:val="12"/>
        <w:rPr>
          <w:rFonts w:hint="eastAsia"/>
          <w:lang w:val="en-US" w:eastAsia="zh-CN"/>
        </w:rPr>
      </w:pPr>
    </w:p>
    <w:p w14:paraId="30A1D719">
      <w:pPr>
        <w:outlineLvl w:val="9"/>
        <w:rPr>
          <w:rFonts w:hint="eastAsia" w:ascii="仿宋" w:hAnsi="仿宋" w:eastAsia="仿宋" w:cs="仿宋"/>
          <w:color w:val="auto"/>
          <w:sz w:val="28"/>
          <w:szCs w:val="28"/>
          <w:highlight w:val="none"/>
          <w:lang w:val="en-US" w:eastAsia="zh-CN"/>
        </w:rPr>
      </w:pPr>
    </w:p>
    <w:p w14:paraId="2C2B9B5C">
      <w:pPr>
        <w:pStyle w:val="6"/>
        <w:rPr>
          <w:rFonts w:hint="eastAsia" w:ascii="仿宋" w:hAnsi="仿宋" w:eastAsia="仿宋" w:cs="仿宋"/>
          <w:color w:val="auto"/>
          <w:sz w:val="28"/>
          <w:szCs w:val="28"/>
          <w:highlight w:val="none"/>
          <w:lang w:val="en-US" w:eastAsia="zh-CN"/>
        </w:rPr>
      </w:pPr>
    </w:p>
    <w:p w14:paraId="2FB5ABE1">
      <w:pPr>
        <w:pStyle w:val="8"/>
        <w:rPr>
          <w:rFonts w:hint="eastAsia" w:ascii="仿宋" w:hAnsi="仿宋" w:eastAsia="仿宋" w:cs="仿宋"/>
          <w:color w:val="auto"/>
          <w:highlight w:val="none"/>
          <w:lang w:val="en-US" w:eastAsia="zh-CN"/>
        </w:rPr>
      </w:pPr>
    </w:p>
    <w:p w14:paraId="6AADE0B9">
      <w:pPr>
        <w:pStyle w:val="3"/>
        <w:keepNext/>
        <w:keepLines/>
        <w:pageBreakBefore w:val="0"/>
        <w:widowControl w:val="0"/>
        <w:numPr>
          <w:ilvl w:val="0"/>
          <w:numId w:val="5"/>
        </w:numPr>
        <w:kinsoku/>
        <w:wordWrap/>
        <w:overflowPunct/>
        <w:topLinePunct w:val="0"/>
        <w:autoSpaceDE w:val="0"/>
        <w:autoSpaceDN w:val="0"/>
        <w:bidi w:val="0"/>
        <w:adjustRightInd w:val="0"/>
        <w:snapToGrid/>
        <w:spacing w:before="0" w:line="440" w:lineRule="exact"/>
        <w:jc w:val="left"/>
        <w:textAlignment w:val="auto"/>
        <w:rPr>
          <w:rFonts w:hint="eastAsia" w:ascii="仿宋" w:hAnsi="仿宋" w:eastAsia="仿宋" w:cs="仿宋"/>
          <w:color w:val="auto"/>
          <w:highlight w:val="none"/>
        </w:rPr>
      </w:pPr>
      <w:bookmarkStart w:id="1061" w:name="_Toc14661"/>
      <w:r>
        <w:rPr>
          <w:rFonts w:hint="eastAsia" w:ascii="仿宋" w:hAnsi="仿宋" w:eastAsia="仿宋" w:cs="仿宋"/>
          <w:color w:val="auto"/>
          <w:sz w:val="28"/>
          <w:szCs w:val="28"/>
          <w:highlight w:val="none"/>
          <w:lang w:val="en-US" w:eastAsia="zh-CN"/>
        </w:rPr>
        <w:t>法定代表人资格证明及授权书、被授权人身份证(法定代表人投标需提供法定代表人身份证)；</w:t>
      </w:r>
      <w:bookmarkEnd w:id="1060"/>
      <w:bookmarkEnd w:id="1061"/>
    </w:p>
    <w:p w14:paraId="754A913F">
      <w:pPr>
        <w:adjustRightInd w:val="0"/>
        <w:snapToGrid w:val="0"/>
        <w:spacing w:before="240" w:beforeLines="100" w:after="240" w:afterLines="100" w:line="360" w:lineRule="auto"/>
        <w:jc w:val="center"/>
        <w:outlineLvl w:val="2"/>
        <w:rPr>
          <w:rFonts w:hint="eastAsia" w:ascii="仿宋" w:hAnsi="仿宋" w:eastAsia="仿宋" w:cs="仿宋"/>
          <w:color w:val="auto"/>
          <w:sz w:val="24"/>
          <w:szCs w:val="24"/>
          <w:highlight w:val="none"/>
        </w:rPr>
      </w:pPr>
      <w:bookmarkStart w:id="1062" w:name="_Toc27898"/>
      <w:bookmarkStart w:id="1063" w:name="_Toc617"/>
      <w:r>
        <w:rPr>
          <w:rFonts w:hint="eastAsia" w:ascii="仿宋" w:hAnsi="仿宋" w:eastAsia="仿宋" w:cs="仿宋"/>
          <w:b/>
          <w:color w:val="auto"/>
          <w:sz w:val="24"/>
          <w:szCs w:val="24"/>
          <w:highlight w:val="none"/>
        </w:rPr>
        <w:t>（一）法定代表人身份证明</w:t>
      </w:r>
      <w:bookmarkEnd w:id="1062"/>
      <w:bookmarkEnd w:id="1063"/>
    </w:p>
    <w:p w14:paraId="22FF747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同志，现任我单位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职务，为法定代表人，特此证明。</w:t>
      </w:r>
    </w:p>
    <w:p w14:paraId="5BCA386B">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签发日期：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90A81D0">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C1ABE1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C07B9BE">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合格有效的三证合一的营业执照（三证合一）或电子营业执照（需加盖公章）或同等法律效力的证明文件（发证机关或公证机关出具的证明材料）</w:t>
      </w:r>
      <w:r>
        <w:rPr>
          <w:rFonts w:hint="eastAsia" w:ascii="仿宋" w:hAnsi="仿宋" w:eastAsia="仿宋" w:cs="仿宋"/>
          <w:color w:val="auto"/>
          <w:sz w:val="24"/>
          <w:szCs w:val="24"/>
          <w:highlight w:val="none"/>
        </w:rPr>
        <w:t>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经济性质：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553A48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55F19623">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1、法定代表人为企业事业单位、国家机关、社会团体的主要行政负责人。</w:t>
      </w:r>
    </w:p>
    <w:p w14:paraId="5216830E">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提供身份证正反面。</w:t>
      </w:r>
    </w:p>
    <w:p w14:paraId="05EA1421">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内容必须填写真实、清楚、涂改无效，不得转让。</w:t>
      </w:r>
    </w:p>
    <w:p w14:paraId="1A19FA2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6"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BE60F32">
                            <w:pPr>
                              <w:jc w:val="center"/>
                              <w:rPr>
                                <w:rFonts w:hAnsi="宋体"/>
                                <w:szCs w:val="21"/>
                              </w:rPr>
                            </w:pPr>
                          </w:p>
                          <w:p w14:paraId="2B233DF3">
                            <w:pPr>
                              <w:jc w:val="center"/>
                              <w:rPr>
                                <w:rFonts w:hAnsi="宋体"/>
                                <w:szCs w:val="21"/>
                              </w:rPr>
                            </w:pPr>
                          </w:p>
                          <w:p w14:paraId="73062343">
                            <w:pPr>
                              <w:jc w:val="center"/>
                              <w:rPr>
                                <w:rFonts w:hAnsi="宋体"/>
                                <w:szCs w:val="21"/>
                              </w:rPr>
                            </w:pPr>
                          </w:p>
                          <w:p w14:paraId="3129CB48">
                            <w:pPr>
                              <w:jc w:val="center"/>
                              <w:rPr>
                                <w:szCs w:val="21"/>
                              </w:rPr>
                            </w:pPr>
                            <w:r>
                              <w:rPr>
                                <w:rFonts w:hint="eastAsia" w:hAnsi="宋体"/>
                                <w:szCs w:val="21"/>
                              </w:rPr>
                              <w:t>法定代表人身份证</w:t>
                            </w:r>
                          </w:p>
                        </w:txbxContent>
                      </wps:txbx>
                      <wps:bodyPr wrap="square" upright="1"/>
                    </wps:wsp>
                  </a:graphicData>
                </a:graphic>
              </wp:anchor>
            </w:drawing>
          </mc:Choice>
          <mc:Fallback>
            <w:pict>
              <v:shape id="流程图: 可选过程 14"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5WTr11gAAAAgBAAAPAAAAAAAAAAEAIAAAACIAAABkcnMvZG93bnJldi54&#10;bWxQSwECFAAUAAAACACHTuJAmbji5zUCAABiBAAADgAAAAAAAAABACAAAAAlAQAAZHJzL2Uyb0Rv&#10;Yy54bWxQSwUGAAAAAAYABgBZAQAAzAUAAAAA&#10;">
                <v:fill on="t" focussize="0,0"/>
                <v:stroke color="#000000" joinstyle="miter"/>
                <v:imagedata o:title=""/>
                <o:lock v:ext="edit" aspectratio="f"/>
                <v:textbox>
                  <w:txbxContent>
                    <w:p w14:paraId="3BE60F32">
                      <w:pPr>
                        <w:jc w:val="center"/>
                        <w:rPr>
                          <w:rFonts w:hAnsi="宋体"/>
                          <w:szCs w:val="21"/>
                        </w:rPr>
                      </w:pPr>
                    </w:p>
                    <w:p w14:paraId="2B233DF3">
                      <w:pPr>
                        <w:jc w:val="center"/>
                        <w:rPr>
                          <w:rFonts w:hAnsi="宋体"/>
                          <w:szCs w:val="21"/>
                        </w:rPr>
                      </w:pPr>
                    </w:p>
                    <w:p w14:paraId="73062343">
                      <w:pPr>
                        <w:jc w:val="center"/>
                        <w:rPr>
                          <w:rFonts w:hAnsi="宋体"/>
                          <w:szCs w:val="21"/>
                        </w:rPr>
                      </w:pPr>
                    </w:p>
                    <w:p w14:paraId="3129CB48">
                      <w:pPr>
                        <w:jc w:val="center"/>
                        <w:rPr>
                          <w:szCs w:val="21"/>
                        </w:rPr>
                      </w:pPr>
                      <w:r>
                        <w:rPr>
                          <w:rFonts w:hint="eastAsia" w:hAnsi="宋体"/>
                          <w:szCs w:val="21"/>
                        </w:rPr>
                        <w:t>法定代表人身份证</w:t>
                      </w: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2918460</wp:posOffset>
                </wp:positionH>
                <wp:positionV relativeFrom="paragraph">
                  <wp:posOffset>28575</wp:posOffset>
                </wp:positionV>
                <wp:extent cx="2392045" cy="1557020"/>
                <wp:effectExtent l="5080" t="4445" r="12700" b="10160"/>
                <wp:wrapNone/>
                <wp:docPr id="1027" name="圆角矩形 15"/>
                <wp:cNvGraphicFramePr/>
                <a:graphic xmlns:a="http://schemas.openxmlformats.org/drawingml/2006/main">
                  <a:graphicData uri="http://schemas.microsoft.com/office/word/2010/wordprocessingShape">
                    <wps:wsp>
                      <wps:cNvSpPr/>
                      <wps:spPr>
                        <a:xfrm>
                          <a:off x="0" y="0"/>
                          <a:ext cx="2392045" cy="1557020"/>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14:paraId="1027D48E">
                            <w:pPr>
                              <w:jc w:val="center"/>
                              <w:rPr>
                                <w:rFonts w:hAnsi="宋体"/>
                                <w:szCs w:val="21"/>
                              </w:rPr>
                            </w:pPr>
                            <w:r>
                              <w:rPr>
                                <w:rFonts w:hint="eastAsia" w:hAnsi="宋体"/>
                                <w:szCs w:val="21"/>
                              </w:rPr>
                              <w:t xml:space="preserve">  </w:t>
                            </w:r>
                          </w:p>
                          <w:p w14:paraId="0D4AEDFF">
                            <w:pPr>
                              <w:jc w:val="center"/>
                              <w:rPr>
                                <w:rFonts w:hAnsi="宋体"/>
                                <w:szCs w:val="21"/>
                              </w:rPr>
                            </w:pPr>
                          </w:p>
                          <w:p w14:paraId="3E8532A9">
                            <w:pPr>
                              <w:jc w:val="center"/>
                              <w:rPr>
                                <w:rFonts w:hAnsi="宋体"/>
                                <w:szCs w:val="21"/>
                              </w:rPr>
                            </w:pPr>
                          </w:p>
                          <w:p w14:paraId="6943C2BB">
                            <w:pPr>
                              <w:jc w:val="center"/>
                              <w:rPr>
                                <w:szCs w:val="21"/>
                              </w:rPr>
                            </w:pPr>
                            <w:r>
                              <w:rPr>
                                <w:rFonts w:hint="eastAsia" w:hAnsi="宋体"/>
                                <w:szCs w:val="21"/>
                              </w:rPr>
                              <w:t>法定代表人身份证</w:t>
                            </w:r>
                          </w:p>
                          <w:p w14:paraId="737BAFCB"/>
                          <w:p w14:paraId="443A5FDF">
                            <w:pPr>
                              <w:pStyle w:val="6"/>
                            </w:pPr>
                          </w:p>
                          <w:p w14:paraId="21B1DF2C">
                            <w:pPr>
                              <w:pStyle w:val="6"/>
                            </w:pPr>
                          </w:p>
                          <w:p w14:paraId="4E0C4F7E">
                            <w:pPr>
                              <w:pStyle w:val="6"/>
                            </w:pPr>
                          </w:p>
                          <w:p w14:paraId="520EB631">
                            <w:pPr>
                              <w:pStyle w:val="6"/>
                            </w:pPr>
                          </w:p>
                        </w:txbxContent>
                      </wps:txbx>
                      <wps:bodyPr wrap="square" upright="1"/>
                    </wps:wsp>
                  </a:graphicData>
                </a:graphic>
              </wp:anchor>
            </w:drawing>
          </mc:Choice>
          <mc:Fallback>
            <w:pict>
              <v:roundrect id="圆角矩形 15" o:spid="_x0000_s1026" o:spt="2" style="position:absolute;left:0pt;margin-left:229.8pt;margin-top:2.25pt;height:122.6pt;width:188.35pt;z-index:251660288;mso-width-relative:page;mso-height-relative:page;" fillcolor="#FFFFFF" filled="t" stroked="t" coordsize="21600,21600" arcsize="0.166666666666667" o:gfxdata="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UD8jnaAAAACQEAAA8AAAAAAAAAAQAgAAAAIgAAAGRycy9kb3du&#10;cmV2LnhtbFBLAQIUABQAAAAIAIdO4kDJv7a+NgIAAHMEAAAOAAAAAAAAAAEAIAAAACkBAABkcnMv&#10;ZTJvRG9jLnhtbFBLBQYAAAAABgAGAFkBAADRBQAAAAA=&#10;">
                <v:fill on="t" focussize="0,0"/>
                <v:stroke color="#000000" joinstyle="miter"/>
                <v:imagedata o:title=""/>
                <o:lock v:ext="edit" aspectratio="f"/>
                <v:textbox>
                  <w:txbxContent>
                    <w:p w14:paraId="1027D48E">
                      <w:pPr>
                        <w:jc w:val="center"/>
                        <w:rPr>
                          <w:rFonts w:hAnsi="宋体"/>
                          <w:szCs w:val="21"/>
                        </w:rPr>
                      </w:pPr>
                      <w:r>
                        <w:rPr>
                          <w:rFonts w:hint="eastAsia" w:hAnsi="宋体"/>
                          <w:szCs w:val="21"/>
                        </w:rPr>
                        <w:t xml:space="preserve">  </w:t>
                      </w:r>
                    </w:p>
                    <w:p w14:paraId="0D4AEDFF">
                      <w:pPr>
                        <w:jc w:val="center"/>
                        <w:rPr>
                          <w:rFonts w:hAnsi="宋体"/>
                          <w:szCs w:val="21"/>
                        </w:rPr>
                      </w:pPr>
                    </w:p>
                    <w:p w14:paraId="3E8532A9">
                      <w:pPr>
                        <w:jc w:val="center"/>
                        <w:rPr>
                          <w:rFonts w:hAnsi="宋体"/>
                          <w:szCs w:val="21"/>
                        </w:rPr>
                      </w:pPr>
                    </w:p>
                    <w:p w14:paraId="6943C2BB">
                      <w:pPr>
                        <w:jc w:val="center"/>
                        <w:rPr>
                          <w:szCs w:val="21"/>
                        </w:rPr>
                      </w:pPr>
                      <w:r>
                        <w:rPr>
                          <w:rFonts w:hint="eastAsia" w:hAnsi="宋体"/>
                          <w:szCs w:val="21"/>
                        </w:rPr>
                        <w:t>法定代表人身份证</w:t>
                      </w:r>
                    </w:p>
                    <w:p w14:paraId="737BAFCB"/>
                    <w:p w14:paraId="443A5FDF">
                      <w:pPr>
                        <w:pStyle w:val="6"/>
                      </w:pPr>
                    </w:p>
                    <w:p w14:paraId="21B1DF2C">
                      <w:pPr>
                        <w:pStyle w:val="6"/>
                      </w:pPr>
                    </w:p>
                    <w:p w14:paraId="4E0C4F7E">
                      <w:pPr>
                        <w:pStyle w:val="6"/>
                      </w:pPr>
                    </w:p>
                    <w:p w14:paraId="520EB631">
                      <w:pPr>
                        <w:pStyle w:val="6"/>
                      </w:pPr>
                    </w:p>
                  </w:txbxContent>
                </v:textbox>
              </v:roundrect>
            </w:pict>
          </mc:Fallback>
        </mc:AlternateContent>
      </w:r>
    </w:p>
    <w:p w14:paraId="728F2CF2">
      <w:pPr>
        <w:spacing w:line="360" w:lineRule="auto"/>
        <w:rPr>
          <w:rFonts w:hint="eastAsia" w:ascii="仿宋" w:hAnsi="仿宋" w:eastAsia="仿宋" w:cs="仿宋"/>
          <w:color w:val="auto"/>
          <w:sz w:val="24"/>
          <w:szCs w:val="24"/>
          <w:highlight w:val="none"/>
        </w:rPr>
      </w:pPr>
    </w:p>
    <w:p w14:paraId="50B4AA46">
      <w:pPr>
        <w:spacing w:line="360" w:lineRule="auto"/>
        <w:rPr>
          <w:rFonts w:hint="eastAsia" w:ascii="仿宋" w:hAnsi="仿宋" w:eastAsia="仿宋" w:cs="仿宋"/>
          <w:color w:val="auto"/>
          <w:sz w:val="24"/>
          <w:szCs w:val="24"/>
          <w:highlight w:val="none"/>
        </w:rPr>
      </w:pPr>
    </w:p>
    <w:p w14:paraId="315F89C8">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color w:val="auto"/>
          <w:sz w:val="24"/>
          <w:szCs w:val="24"/>
          <w:highlight w:val="none"/>
        </w:rPr>
      </w:pPr>
    </w:p>
    <w:p w14:paraId="59A83C75">
      <w:pPr>
        <w:autoSpaceDE w:val="0"/>
        <w:autoSpaceDN w:val="0"/>
        <w:adjustRightInd w:val="0"/>
        <w:spacing w:line="360" w:lineRule="auto"/>
        <w:ind w:right="246"/>
        <w:rPr>
          <w:rFonts w:hint="eastAsia" w:ascii="仿宋" w:hAnsi="仿宋" w:eastAsia="仿宋" w:cs="仿宋"/>
          <w:color w:val="auto"/>
          <w:kern w:val="0"/>
          <w:sz w:val="24"/>
          <w:szCs w:val="24"/>
          <w:highlight w:val="none"/>
        </w:rPr>
      </w:pPr>
    </w:p>
    <w:p w14:paraId="4A8B0C2F">
      <w:pPr>
        <w:autoSpaceDE w:val="0"/>
        <w:autoSpaceDN w:val="0"/>
        <w:adjustRightInd w:val="0"/>
        <w:spacing w:line="360" w:lineRule="auto"/>
        <w:ind w:right="246"/>
        <w:rPr>
          <w:rFonts w:hint="eastAsia" w:ascii="仿宋" w:hAnsi="仿宋" w:eastAsia="仿宋" w:cs="仿宋"/>
          <w:color w:val="auto"/>
          <w:kern w:val="0"/>
          <w:sz w:val="24"/>
          <w:szCs w:val="24"/>
          <w:highlight w:val="none"/>
        </w:rPr>
      </w:pPr>
    </w:p>
    <w:p w14:paraId="6FE600C9">
      <w:pPr>
        <w:autoSpaceDE w:val="0"/>
        <w:autoSpaceDN w:val="0"/>
        <w:adjustRightInd w:val="0"/>
        <w:spacing w:line="360" w:lineRule="auto"/>
        <w:ind w:right="246" w:firstLine="784" w:firstLineChars="327"/>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公</w:t>
      </w:r>
      <w:r>
        <w:rPr>
          <w:rFonts w:hint="eastAsia" w:ascii="仿宋" w:hAnsi="仿宋" w:eastAsia="仿宋" w:cs="仿宋"/>
          <w:color w:val="auto"/>
          <w:kern w:val="0"/>
          <w:sz w:val="24"/>
          <w:szCs w:val="24"/>
          <w:highlight w:val="none"/>
        </w:rPr>
        <w:t>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73284C50">
      <w:pPr>
        <w:adjustRightInd w:val="0"/>
        <w:snapToGrid w:val="0"/>
        <w:spacing w:line="360" w:lineRule="auto"/>
        <w:ind w:firstLine="784" w:firstLineChars="327"/>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签/章</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7358680">
      <w:pPr>
        <w:autoSpaceDE w:val="0"/>
        <w:autoSpaceDN w:val="0"/>
        <w:adjustRightInd w:val="0"/>
        <w:spacing w:line="360" w:lineRule="auto"/>
        <w:ind w:right="246" w:firstLine="784" w:firstLineChars="327"/>
        <w:rPr>
          <w:rFonts w:hint="eastAsia" w:ascii="仿宋" w:hAnsi="仿宋" w:eastAsia="仿宋" w:cs="仿宋"/>
          <w:color w:val="auto"/>
          <w:sz w:val="24"/>
          <w:szCs w:val="20"/>
          <w:highlight w:val="none"/>
        </w:rPr>
      </w:pPr>
      <w:r>
        <w:rPr>
          <w:rFonts w:hint="eastAsia" w:ascii="仿宋" w:hAnsi="仿宋" w:eastAsia="仿宋" w:cs="仿宋"/>
          <w:color w:val="auto"/>
          <w:kern w:val="0"/>
          <w:sz w:val="24"/>
          <w:szCs w:val="24"/>
          <w:highlight w:val="none"/>
          <w:lang w:eastAsia="zh-CN"/>
        </w:rPr>
        <w:t>日期：</w:t>
      </w:r>
      <w:r>
        <w:rPr>
          <w:rFonts w:hint="eastAsia" w:ascii="仿宋" w:hAnsi="仿宋" w:eastAsia="仿宋" w:cs="仿宋"/>
          <w:color w:val="auto"/>
          <w:kern w:val="0"/>
          <w:sz w:val="24"/>
          <w:szCs w:val="24"/>
          <w:highlight w:val="none"/>
          <w:u w:val="single"/>
          <w:lang w:eastAsia="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eastAsia="zh-CN"/>
        </w:rPr>
        <w:t xml:space="preserve">        </w:t>
      </w:r>
      <w:r>
        <w:rPr>
          <w:rFonts w:hint="eastAsia" w:ascii="仿宋" w:hAnsi="仿宋" w:eastAsia="仿宋" w:cs="仿宋"/>
          <w:color w:val="auto"/>
          <w:kern w:val="0"/>
          <w:sz w:val="24"/>
          <w:szCs w:val="24"/>
          <w:highlight w:val="none"/>
          <w:lang w:eastAsia="zh-CN"/>
        </w:rPr>
        <w:t xml:space="preserve">         </w:t>
      </w:r>
      <w:r>
        <w:rPr>
          <w:rFonts w:hint="eastAsia" w:ascii="仿宋" w:hAnsi="仿宋" w:eastAsia="仿宋" w:cs="仿宋"/>
          <w:color w:val="auto"/>
          <w:sz w:val="24"/>
          <w:szCs w:val="20"/>
          <w:highlight w:val="none"/>
        </w:rPr>
        <w:t xml:space="preserve">                                 </w:t>
      </w:r>
    </w:p>
    <w:p w14:paraId="66691E93">
      <w:pPr>
        <w:pStyle w:val="16"/>
        <w:tabs>
          <w:tab w:val="left" w:pos="5580"/>
        </w:tabs>
        <w:spacing w:line="40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说明：1.供应商为自然人的，应提供身份证明的复印件。</w:t>
      </w:r>
    </w:p>
    <w:p w14:paraId="2610644C">
      <w:pPr>
        <w:pStyle w:val="16"/>
        <w:tabs>
          <w:tab w:val="left" w:pos="5580"/>
        </w:tabs>
        <w:spacing w:line="400" w:lineRule="exac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.联合体投标应提供联合体各方满足以上要求的证明文件。</w:t>
      </w:r>
      <w:bookmarkStart w:id="1064" w:name="_Toc1083"/>
      <w:bookmarkStart w:id="1065" w:name="_Toc5436"/>
      <w:bookmarkStart w:id="1066" w:name="_Toc515647807"/>
      <w:bookmarkStart w:id="1067" w:name="_Toc21867"/>
      <w:bookmarkStart w:id="1068" w:name="_Toc6829"/>
      <w:bookmarkStart w:id="1069" w:name="_Toc22472"/>
      <w:bookmarkStart w:id="1070" w:name="_Toc16640"/>
      <w:bookmarkStart w:id="1071" w:name="_Toc13107"/>
    </w:p>
    <w:p w14:paraId="48276BBA">
      <w:pPr>
        <w:rPr>
          <w:rFonts w:hint="eastAsia" w:ascii="仿宋" w:hAnsi="仿宋" w:eastAsia="仿宋" w:cs="仿宋"/>
          <w:b/>
          <w:bCs/>
          <w:color w:val="auto"/>
          <w:sz w:val="24"/>
          <w:highlight w:val="none"/>
        </w:rPr>
      </w:pPr>
      <w:bookmarkStart w:id="1072" w:name="_Toc24769"/>
      <w:bookmarkStart w:id="1073" w:name="_Toc32380"/>
      <w:bookmarkStart w:id="1074" w:name="_Toc6179"/>
    </w:p>
    <w:p w14:paraId="0F7529AA">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bookmarkEnd w:id="1064"/>
    <w:bookmarkEnd w:id="1065"/>
    <w:bookmarkEnd w:id="1066"/>
    <w:bookmarkEnd w:id="1067"/>
    <w:bookmarkEnd w:id="1068"/>
    <w:bookmarkEnd w:id="1069"/>
    <w:bookmarkEnd w:id="1070"/>
    <w:bookmarkEnd w:id="1071"/>
    <w:bookmarkEnd w:id="1072"/>
    <w:bookmarkEnd w:id="1073"/>
    <w:bookmarkEnd w:id="1074"/>
    <w:p w14:paraId="13CB4BCE">
      <w:pPr>
        <w:spacing w:line="360" w:lineRule="auto"/>
        <w:jc w:val="center"/>
        <w:outlineLvl w:val="2"/>
        <w:rPr>
          <w:rFonts w:hint="eastAsia" w:ascii="仿宋" w:hAnsi="仿宋" w:eastAsia="仿宋" w:cs="仿宋"/>
          <w:b/>
          <w:bCs/>
          <w:color w:val="auto"/>
          <w:sz w:val="24"/>
          <w:szCs w:val="24"/>
          <w:highlight w:val="none"/>
          <w:u w:val="single"/>
        </w:rPr>
      </w:pPr>
      <w:bookmarkStart w:id="1075" w:name="_Toc1011"/>
      <w:bookmarkStart w:id="1076" w:name="_Toc9453"/>
      <w:bookmarkStart w:id="1077" w:name="_Toc7039"/>
      <w:bookmarkStart w:id="1078" w:name="_Toc32520"/>
      <w:bookmarkStart w:id="1079" w:name="_Toc515647808"/>
      <w:r>
        <w:rPr>
          <w:rFonts w:hint="eastAsia" w:ascii="仿宋" w:hAnsi="仿宋" w:eastAsia="仿宋" w:cs="仿宋"/>
          <w:b/>
          <w:bCs/>
          <w:color w:val="auto"/>
          <w:sz w:val="24"/>
          <w:szCs w:val="24"/>
          <w:highlight w:val="none"/>
        </w:rPr>
        <w:t>（二）法定代表人授权委托书</w:t>
      </w:r>
      <w:bookmarkEnd w:id="1075"/>
      <w:bookmarkEnd w:id="1076"/>
    </w:p>
    <w:p w14:paraId="4B55A71A">
      <w:pPr>
        <w:pStyle w:val="16"/>
        <w:tabs>
          <w:tab w:val="left" w:pos="5580"/>
        </w:tabs>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w:t>
      </w:r>
      <w:r>
        <w:rPr>
          <w:rFonts w:hint="eastAsia" w:ascii="仿宋" w:hAnsi="仿宋" w:eastAsia="仿宋" w:cs="仿宋"/>
          <w:i w:val="0"/>
          <w:iCs w:val="0"/>
          <w:color w:val="auto"/>
          <w:sz w:val="24"/>
          <w:szCs w:val="24"/>
          <w:highlight w:val="none"/>
        </w:rPr>
        <w:t>授权书声明：注册于</w:t>
      </w:r>
      <w:r>
        <w:rPr>
          <w:rFonts w:hint="eastAsia" w:ascii="仿宋" w:hAnsi="仿宋" w:eastAsia="仿宋" w:cs="仿宋"/>
          <w:i w:val="0"/>
          <w:iCs w:val="0"/>
          <w:color w:val="auto"/>
          <w:sz w:val="24"/>
          <w:szCs w:val="24"/>
          <w:highlight w:val="none"/>
          <w:u w:val="single"/>
        </w:rPr>
        <w:t>（国家或地区的名称）</w:t>
      </w:r>
      <w:r>
        <w:rPr>
          <w:rFonts w:hint="eastAsia" w:ascii="仿宋" w:hAnsi="仿宋" w:eastAsia="仿宋" w:cs="仿宋"/>
          <w:i w:val="0"/>
          <w:iCs w:val="0"/>
          <w:color w:val="auto"/>
          <w:sz w:val="24"/>
          <w:szCs w:val="24"/>
          <w:highlight w:val="none"/>
        </w:rPr>
        <w:t>的（</w:t>
      </w:r>
      <w:r>
        <w:rPr>
          <w:rFonts w:hint="eastAsia" w:ascii="仿宋" w:hAnsi="仿宋" w:eastAsia="仿宋" w:cs="仿宋"/>
          <w:i w:val="0"/>
          <w:iCs w:val="0"/>
          <w:color w:val="auto"/>
          <w:sz w:val="24"/>
          <w:szCs w:val="24"/>
          <w:highlight w:val="none"/>
          <w:u w:val="single"/>
          <w:lang w:eastAsia="zh-CN"/>
        </w:rPr>
        <w:t>供应商</w:t>
      </w:r>
      <w:r>
        <w:rPr>
          <w:rFonts w:hint="eastAsia" w:ascii="仿宋" w:hAnsi="仿宋" w:eastAsia="仿宋" w:cs="仿宋"/>
          <w:i w:val="0"/>
          <w:iCs w:val="0"/>
          <w:color w:val="auto"/>
          <w:sz w:val="24"/>
          <w:szCs w:val="24"/>
          <w:highlight w:val="none"/>
        </w:rPr>
        <w:t>）的在下面签字的（</w:t>
      </w:r>
      <w:r>
        <w:rPr>
          <w:rFonts w:hint="eastAsia" w:ascii="仿宋" w:hAnsi="仿宋" w:eastAsia="仿宋" w:cs="仿宋"/>
          <w:i w:val="0"/>
          <w:iCs w:val="0"/>
          <w:color w:val="auto"/>
          <w:sz w:val="24"/>
          <w:szCs w:val="24"/>
          <w:highlight w:val="none"/>
          <w:u w:val="single"/>
        </w:rPr>
        <w:t>法定代表</w:t>
      </w:r>
      <w:r>
        <w:rPr>
          <w:rFonts w:hint="eastAsia" w:ascii="仿宋" w:hAnsi="仿宋" w:eastAsia="仿宋" w:cs="仿宋"/>
          <w:i w:val="0"/>
          <w:iCs w:val="0"/>
          <w:color w:val="auto"/>
          <w:sz w:val="24"/>
          <w:szCs w:val="24"/>
          <w:highlight w:val="none"/>
          <w:u w:val="single"/>
          <w:lang w:val="en-US" w:eastAsia="zh-CN"/>
        </w:rPr>
        <w:t>人</w:t>
      </w:r>
      <w:r>
        <w:rPr>
          <w:rFonts w:hint="eastAsia" w:ascii="仿宋" w:hAnsi="仿宋" w:eastAsia="仿宋" w:cs="仿宋"/>
          <w:i w:val="0"/>
          <w:iCs w:val="0"/>
          <w:color w:val="auto"/>
          <w:sz w:val="24"/>
          <w:szCs w:val="24"/>
          <w:highlight w:val="none"/>
          <w:u w:val="single"/>
        </w:rPr>
        <w:t>姓名、职务</w:t>
      </w:r>
      <w:r>
        <w:rPr>
          <w:rFonts w:hint="eastAsia" w:ascii="仿宋" w:hAnsi="仿宋" w:eastAsia="仿宋" w:cs="仿宋"/>
          <w:i w:val="0"/>
          <w:iCs w:val="0"/>
          <w:color w:val="auto"/>
          <w:sz w:val="24"/>
          <w:szCs w:val="24"/>
          <w:highlight w:val="none"/>
        </w:rPr>
        <w:t>）代表我单位授权（</w:t>
      </w:r>
      <w:r>
        <w:rPr>
          <w:rFonts w:hint="eastAsia" w:ascii="仿宋" w:hAnsi="仿宋" w:eastAsia="仿宋" w:cs="仿宋"/>
          <w:i w:val="0"/>
          <w:iCs w:val="0"/>
          <w:color w:val="auto"/>
          <w:sz w:val="24"/>
          <w:szCs w:val="24"/>
          <w:highlight w:val="none"/>
          <w:u w:val="single"/>
        </w:rPr>
        <w:t>单位名称</w:t>
      </w:r>
      <w:r>
        <w:rPr>
          <w:rFonts w:hint="eastAsia" w:ascii="仿宋" w:hAnsi="仿宋" w:eastAsia="仿宋" w:cs="仿宋"/>
          <w:i w:val="0"/>
          <w:iCs w:val="0"/>
          <w:color w:val="auto"/>
          <w:sz w:val="24"/>
          <w:szCs w:val="24"/>
          <w:highlight w:val="none"/>
        </w:rPr>
        <w:t>）的在下面签字的（</w:t>
      </w:r>
      <w:r>
        <w:rPr>
          <w:rFonts w:hint="eastAsia" w:ascii="仿宋" w:hAnsi="仿宋" w:eastAsia="仿宋" w:cs="仿宋"/>
          <w:i w:val="0"/>
          <w:iCs w:val="0"/>
          <w:color w:val="auto"/>
          <w:sz w:val="24"/>
          <w:szCs w:val="24"/>
          <w:highlight w:val="none"/>
          <w:u w:val="single"/>
        </w:rPr>
        <w:t>被授权人的姓名、职务</w:t>
      </w:r>
      <w:r>
        <w:rPr>
          <w:rFonts w:hint="eastAsia" w:ascii="仿宋" w:hAnsi="仿宋" w:eastAsia="仿宋" w:cs="仿宋"/>
          <w:i w:val="0"/>
          <w:iCs w:val="0"/>
          <w:color w:val="auto"/>
          <w:sz w:val="24"/>
          <w:szCs w:val="24"/>
          <w:highlight w:val="none"/>
        </w:rPr>
        <w:t>）为我单位的合法代理人，就（</w:t>
      </w:r>
      <w:r>
        <w:rPr>
          <w:rFonts w:hint="eastAsia" w:ascii="仿宋" w:hAnsi="仿宋" w:eastAsia="仿宋" w:cs="仿宋"/>
          <w:i w:val="0"/>
          <w:iCs w:val="0"/>
          <w:color w:val="auto"/>
          <w:sz w:val="24"/>
          <w:szCs w:val="24"/>
          <w:highlight w:val="none"/>
          <w:u w:val="single"/>
        </w:rPr>
        <w:t>项目名称</w:t>
      </w:r>
      <w:r>
        <w:rPr>
          <w:rFonts w:hint="eastAsia" w:ascii="仿宋" w:hAnsi="仿宋" w:eastAsia="仿宋" w:cs="仿宋"/>
          <w:i w:val="0"/>
          <w:iCs w:val="0"/>
          <w:color w:val="auto"/>
          <w:sz w:val="24"/>
          <w:szCs w:val="24"/>
          <w:highlight w:val="none"/>
        </w:rPr>
        <w:t>）的投标，以我单位名义处理一切与之有关的事</w:t>
      </w:r>
      <w:r>
        <w:rPr>
          <w:rFonts w:hint="eastAsia" w:ascii="仿宋" w:hAnsi="仿宋" w:eastAsia="仿宋" w:cs="仿宋"/>
          <w:color w:val="auto"/>
          <w:sz w:val="24"/>
          <w:szCs w:val="24"/>
          <w:highlight w:val="none"/>
        </w:rPr>
        <w:t>务。</w:t>
      </w:r>
      <w:r>
        <w:rPr>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　　</w:t>
      </w:r>
    </w:p>
    <w:p w14:paraId="240CF727">
      <w:pPr>
        <w:pStyle w:val="16"/>
        <w:tabs>
          <w:tab w:val="left" w:pos="5580"/>
        </w:tabs>
        <w:spacing w:line="360" w:lineRule="exact"/>
        <w:ind w:left="-540" w:leftChars="-257" w:firstLine="900" w:firstLine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日签字生效,特此声明。</w:t>
      </w:r>
    </w:p>
    <w:p w14:paraId="3ADD300F">
      <w:pPr>
        <w:pStyle w:val="16"/>
        <w:tabs>
          <w:tab w:val="left" w:pos="5580"/>
        </w:tabs>
        <w:spacing w:line="240" w:lineRule="atLeast"/>
        <w:ind w:left="-540" w:leftChars="-257" w:firstLine="900" w:firstLine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0" distR="0" simplePos="0" relativeHeight="251661312"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1028" name="自选图形 5"/>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24E832DE">
                            <w:pPr>
                              <w:rPr>
                                <w:rFonts w:hAnsi="宋体"/>
                              </w:rPr>
                            </w:pPr>
                          </w:p>
                          <w:p w14:paraId="0CAA8C61">
                            <w:pPr>
                              <w:rPr>
                                <w:rFonts w:hAnsi="宋体"/>
                              </w:rPr>
                            </w:pPr>
                          </w:p>
                          <w:p w14:paraId="5EB46987">
                            <w:pPr>
                              <w:rPr>
                                <w:rFonts w:hAnsi="宋体"/>
                              </w:rPr>
                            </w:pPr>
                          </w:p>
                          <w:p w14:paraId="287D3EA6">
                            <w:pPr>
                              <w:jc w:val="center"/>
                            </w:pPr>
                            <w:r>
                              <w:rPr>
                                <w:rFonts w:hint="eastAsia" w:hAnsi="宋体"/>
                              </w:rPr>
                              <w:t>授权委托人身份证</w:t>
                            </w:r>
                          </w:p>
                          <w:p w14:paraId="4BD08DEC"/>
                        </w:txbxContent>
                      </wps:txbx>
                      <wps:bodyPr wrap="square" upright="1"/>
                    </wps:wsp>
                  </a:graphicData>
                </a:graphic>
              </wp:anchor>
            </w:drawing>
          </mc:Choice>
          <mc:Fallback>
            <w:pict>
              <v:roundrect id="自选图形 5" o:spid="_x0000_s1026" o:spt="2" style="position:absolute;left:0pt;margin-left:239.3pt;margin-top:13.2pt;height:76.3pt;width:195.15pt;z-index:251661312;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BZ+42wAAAAoBAAAPAAAAAAAAAAEAIAAAACIAAABkcnMvZG93bnJl&#10;di54bWxQSwECFAAUAAAACACHTuJAc0c2TzMCAAByBAAADgAAAAAAAAABACAAAAAqAQAAZHJzL2Uy&#10;b0RvYy54bWxQSwUGAAAAAAYABgBZAQAAzwUAAAAA&#10;">
                <v:fill on="t" focussize="0,0"/>
                <v:stroke weight="1.25pt" color="#808080" joinstyle="round"/>
                <v:imagedata o:title=""/>
                <o:lock v:ext="edit" aspectratio="f"/>
                <v:textbox>
                  <w:txbxContent>
                    <w:p w14:paraId="24E832DE">
                      <w:pPr>
                        <w:rPr>
                          <w:rFonts w:hAnsi="宋体"/>
                        </w:rPr>
                      </w:pPr>
                    </w:p>
                    <w:p w14:paraId="0CAA8C61">
                      <w:pPr>
                        <w:rPr>
                          <w:rFonts w:hAnsi="宋体"/>
                        </w:rPr>
                      </w:pPr>
                    </w:p>
                    <w:p w14:paraId="5EB46987">
                      <w:pPr>
                        <w:rPr>
                          <w:rFonts w:hAnsi="宋体"/>
                        </w:rPr>
                      </w:pPr>
                    </w:p>
                    <w:p w14:paraId="287D3EA6">
                      <w:pPr>
                        <w:jc w:val="center"/>
                      </w:pPr>
                      <w:r>
                        <w:rPr>
                          <w:rFonts w:hint="eastAsia" w:hAnsi="宋体"/>
                        </w:rPr>
                        <w:t>授权委托人身份证</w:t>
                      </w:r>
                    </w:p>
                    <w:p w14:paraId="4BD08DEC"/>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0" distR="0" simplePos="0" relativeHeight="251661312" behindDoc="0" locked="0" layoutInCell="1" allowOverlap="1">
                <wp:simplePos x="0" y="0"/>
                <wp:positionH relativeFrom="column">
                  <wp:posOffset>20955</wp:posOffset>
                </wp:positionH>
                <wp:positionV relativeFrom="paragraph">
                  <wp:posOffset>135890</wp:posOffset>
                </wp:positionV>
                <wp:extent cx="2317750" cy="942340"/>
                <wp:effectExtent l="4445" t="4445" r="11430" b="5715"/>
                <wp:wrapNone/>
                <wp:docPr id="1029" name="自选图形 6"/>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DFD37E3">
                            <w:pPr>
                              <w:jc w:val="center"/>
                              <w:rPr>
                                <w:rFonts w:hAnsi="宋体"/>
                              </w:rPr>
                            </w:pPr>
                          </w:p>
                          <w:p w14:paraId="4CE9D5ED">
                            <w:pPr>
                              <w:jc w:val="center"/>
                              <w:rPr>
                                <w:rFonts w:hAnsi="宋体"/>
                              </w:rPr>
                            </w:pPr>
                          </w:p>
                          <w:p w14:paraId="36285F20">
                            <w:pPr>
                              <w:jc w:val="center"/>
                              <w:rPr>
                                <w:rFonts w:hAnsi="宋体"/>
                              </w:rPr>
                            </w:pPr>
                          </w:p>
                          <w:p w14:paraId="33F27CBD">
                            <w:pPr>
                              <w:jc w:val="center"/>
                            </w:pPr>
                            <w:r>
                              <w:rPr>
                                <w:rFonts w:hint="eastAsia" w:hAnsi="宋体"/>
                              </w:rPr>
                              <w:t>授权委托人身份证</w:t>
                            </w:r>
                          </w:p>
                        </w:txbxContent>
                      </wps:txbx>
                      <wps:bodyPr wrap="square" upright="1"/>
                    </wps:wsp>
                  </a:graphicData>
                </a:graphic>
              </wp:anchor>
            </w:drawing>
          </mc:Choice>
          <mc:Fallback>
            <w:pict>
              <v:shape id="自选图形 6" o:spid="_x0000_s1026" o:spt="176" type="#_x0000_t176" style="position:absolute;left:0pt;margin-left:1.65pt;margin-top:10.7pt;height:74.2pt;width:182.5pt;z-index:251661312;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NoQO1gAAAAgBAAAPAAAAAAAAAAEAIAAAACIAAABkcnMvZG93bnJldi54bWxQSwECFAAUAAAA&#10;CACHTuJA7Cj0kykCAABVBAAADgAAAAAAAAABACAAAAAlAQAAZHJzL2Uyb0RvYy54bWxQSwUGAAAA&#10;AAYABgBZAQAAwAUAAAAA&#10;">
                <v:fill on="t" focussize="0,0"/>
                <v:stroke color="#000000" joinstyle="miter"/>
                <v:imagedata o:title=""/>
                <o:lock v:ext="edit" aspectratio="f"/>
                <v:textbox>
                  <w:txbxContent>
                    <w:p w14:paraId="2DFD37E3">
                      <w:pPr>
                        <w:jc w:val="center"/>
                        <w:rPr>
                          <w:rFonts w:hAnsi="宋体"/>
                        </w:rPr>
                      </w:pPr>
                    </w:p>
                    <w:p w14:paraId="4CE9D5ED">
                      <w:pPr>
                        <w:jc w:val="center"/>
                        <w:rPr>
                          <w:rFonts w:hAnsi="宋体"/>
                        </w:rPr>
                      </w:pPr>
                    </w:p>
                    <w:p w14:paraId="36285F20">
                      <w:pPr>
                        <w:jc w:val="center"/>
                        <w:rPr>
                          <w:rFonts w:hAnsi="宋体"/>
                        </w:rPr>
                      </w:pPr>
                    </w:p>
                    <w:p w14:paraId="33F27CBD">
                      <w:pPr>
                        <w:jc w:val="center"/>
                      </w:pPr>
                      <w:r>
                        <w:rPr>
                          <w:rFonts w:hint="eastAsia" w:hAnsi="宋体"/>
                        </w:rPr>
                        <w:t>授权委托人身份证</w:t>
                      </w:r>
                    </w:p>
                  </w:txbxContent>
                </v:textbox>
              </v:shape>
            </w:pict>
          </mc:Fallback>
        </mc:AlternateContent>
      </w:r>
    </w:p>
    <w:p w14:paraId="39BEC3E5">
      <w:pPr>
        <w:spacing w:line="360" w:lineRule="auto"/>
        <w:ind w:firstLine="240" w:firstLineChars="100"/>
        <w:rPr>
          <w:rFonts w:hint="eastAsia" w:ascii="仿宋" w:hAnsi="仿宋" w:eastAsia="仿宋" w:cs="仿宋"/>
          <w:color w:val="auto"/>
          <w:sz w:val="24"/>
          <w:szCs w:val="24"/>
          <w:highlight w:val="none"/>
        </w:rPr>
      </w:pPr>
    </w:p>
    <w:p w14:paraId="4755D04D">
      <w:pPr>
        <w:spacing w:line="360" w:lineRule="auto"/>
        <w:ind w:firstLine="240" w:firstLineChars="100"/>
        <w:rPr>
          <w:rFonts w:hint="eastAsia" w:ascii="仿宋" w:hAnsi="仿宋" w:eastAsia="仿宋" w:cs="仿宋"/>
          <w:color w:val="auto"/>
          <w:sz w:val="24"/>
          <w:szCs w:val="24"/>
          <w:highlight w:val="none"/>
        </w:rPr>
      </w:pPr>
    </w:p>
    <w:p w14:paraId="3184BB40">
      <w:pPr>
        <w:spacing w:line="360" w:lineRule="auto"/>
        <w:ind w:firstLine="240" w:firstLineChars="100"/>
        <w:rPr>
          <w:rFonts w:hint="eastAsia" w:ascii="仿宋" w:hAnsi="仿宋" w:eastAsia="仿宋" w:cs="仿宋"/>
          <w:color w:val="auto"/>
          <w:sz w:val="24"/>
          <w:szCs w:val="24"/>
          <w:highlight w:val="none"/>
        </w:rPr>
      </w:pPr>
    </w:p>
    <w:p w14:paraId="1D0BF511">
      <w:pPr>
        <w:spacing w:line="360" w:lineRule="auto"/>
        <w:ind w:firstLine="240" w:firstLineChars="100"/>
        <w:rPr>
          <w:rFonts w:hint="eastAsia" w:ascii="仿宋" w:hAnsi="仿宋" w:eastAsia="仿宋" w:cs="仿宋"/>
          <w:color w:val="auto"/>
          <w:sz w:val="24"/>
          <w:szCs w:val="24"/>
          <w:highlight w:val="none"/>
        </w:rPr>
      </w:pPr>
    </w:p>
    <w:p w14:paraId="74A296C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0" distR="0" simplePos="0" relativeHeight="251661312"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1030" name="自选图形 7"/>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57DC0976">
                            <w:pPr>
                              <w:jc w:val="center"/>
                              <w:rPr>
                                <w:rFonts w:hAnsi="宋体"/>
                              </w:rPr>
                            </w:pPr>
                            <w:r>
                              <w:rPr>
                                <w:rFonts w:hint="eastAsia" w:hAnsi="宋体"/>
                              </w:rPr>
                              <w:t xml:space="preserve">  </w:t>
                            </w:r>
                          </w:p>
                          <w:p w14:paraId="177A8A20">
                            <w:pPr>
                              <w:rPr>
                                <w:rFonts w:hAnsi="宋体"/>
                              </w:rPr>
                            </w:pPr>
                          </w:p>
                          <w:p w14:paraId="66706B9A">
                            <w:pPr>
                              <w:jc w:val="center"/>
                              <w:rPr>
                                <w:szCs w:val="21"/>
                              </w:rPr>
                            </w:pPr>
                            <w:r>
                              <w:rPr>
                                <w:rFonts w:hint="eastAsia" w:hAnsi="宋体"/>
                                <w:szCs w:val="21"/>
                              </w:rPr>
                              <w:t>法定代表人身份证</w:t>
                            </w:r>
                          </w:p>
                          <w:p w14:paraId="00239A51"/>
                        </w:txbxContent>
                      </wps:txbx>
                      <wps:bodyPr wrap="square" upright="1"/>
                    </wps:wsp>
                  </a:graphicData>
                </a:graphic>
              </wp:anchor>
            </w:drawing>
          </mc:Choice>
          <mc:Fallback>
            <w:pict>
              <v:roundrect id="自选图形 7" o:spid="_x0000_s1026" o:spt="2" style="position:absolute;left:0pt;margin-left:237.65pt;margin-top:7.6pt;height:73.65pt;width:199.65pt;z-index:251661312;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DRWe2wAAAAoBAAAPAAAAAAAAAAEAIAAAACIAAABkcnMvZG93bnJldi54&#10;bWxQSwECFAAUAAAACACHTuJAJRqzWzACAAByBAAADgAAAAAAAAABACAAAAAqAQAAZHJzL2Uyb0Rv&#10;Yy54bWxQSwUGAAAAAAYABgBZAQAAzAUAAAAA&#10;">
                <v:fill on="t" focussize="0,0"/>
                <v:stroke weight="1.25pt" color="#808080" joinstyle="round"/>
                <v:imagedata o:title=""/>
                <o:lock v:ext="edit" aspectratio="f"/>
                <v:textbox>
                  <w:txbxContent>
                    <w:p w14:paraId="57DC0976">
                      <w:pPr>
                        <w:jc w:val="center"/>
                        <w:rPr>
                          <w:rFonts w:hAnsi="宋体"/>
                        </w:rPr>
                      </w:pPr>
                      <w:r>
                        <w:rPr>
                          <w:rFonts w:hint="eastAsia" w:hAnsi="宋体"/>
                        </w:rPr>
                        <w:t xml:space="preserve">  </w:t>
                      </w:r>
                    </w:p>
                    <w:p w14:paraId="177A8A20">
                      <w:pPr>
                        <w:rPr>
                          <w:rFonts w:hAnsi="宋体"/>
                        </w:rPr>
                      </w:pPr>
                    </w:p>
                    <w:p w14:paraId="66706B9A">
                      <w:pPr>
                        <w:jc w:val="center"/>
                        <w:rPr>
                          <w:szCs w:val="21"/>
                        </w:rPr>
                      </w:pPr>
                      <w:r>
                        <w:rPr>
                          <w:rFonts w:hint="eastAsia" w:hAnsi="宋体"/>
                          <w:szCs w:val="21"/>
                        </w:rPr>
                        <w:t>法定代表人身份证</w:t>
                      </w:r>
                    </w:p>
                    <w:p w14:paraId="00239A51"/>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0" distR="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1" name="自选图形 8"/>
                <wp:cNvGraphicFramePr/>
                <a:graphic xmlns:a="http://schemas.openxmlformats.org/drawingml/2006/main">
                  <a:graphicData uri="http://schemas.microsoft.com/office/word/2010/wordprocessingShape">
                    <wps:wsp>
                      <wps:cNvSpPr/>
                      <wps:spPr>
                        <a:xfrm>
                          <a:off x="0" y="0"/>
                          <a:ext cx="2555240" cy="1024889"/>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549A3482">
                            <w:pPr>
                              <w:jc w:val="center"/>
                              <w:rPr>
                                <w:rFonts w:hAnsi="宋体"/>
                              </w:rPr>
                            </w:pPr>
                          </w:p>
                          <w:p w14:paraId="156B4EBB">
                            <w:pPr>
                              <w:rPr>
                                <w:rFonts w:hAnsi="宋体"/>
                              </w:rPr>
                            </w:pPr>
                          </w:p>
                          <w:p w14:paraId="3B1D8C80">
                            <w:pPr>
                              <w:jc w:val="center"/>
                              <w:rPr>
                                <w:szCs w:val="21"/>
                              </w:rPr>
                            </w:pPr>
                            <w:r>
                              <w:rPr>
                                <w:rFonts w:hint="eastAsia" w:hAnsi="宋体"/>
                                <w:szCs w:val="21"/>
                              </w:rPr>
                              <w:t>法定代表人身份证</w:t>
                            </w:r>
                          </w:p>
                          <w:p w14:paraId="4977072A"/>
                        </w:txbxContent>
                      </wps:txbx>
                      <wps:bodyPr wrap="square" upright="1"/>
                    </wps:wsp>
                  </a:graphicData>
                </a:graphic>
              </wp:anchor>
            </w:drawing>
          </mc:Choice>
          <mc:Fallback>
            <w:pict>
              <v:roundrect id="自选图形 8"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O+C3vYAAAACAEAAA8AAAAAAAAAAQAgAAAAIgAAAGRycy9kb3ducmV2&#10;LnhtbFBLAQIUABQAAAAIAIdO4kAhpKCcNQIAAHMEAAAOAAAAAAAAAAEAIAAAACcBAABkcnMvZTJv&#10;RG9jLnhtbFBLBQYAAAAABgAGAFkBAADOBQAAAAA=&#10;">
                <v:fill on="t" focussize="0,0"/>
                <v:stroke weight="1.25pt" color="#808080" joinstyle="round"/>
                <v:imagedata o:title=""/>
                <o:lock v:ext="edit" aspectratio="f"/>
                <v:textbox>
                  <w:txbxContent>
                    <w:p w14:paraId="549A3482">
                      <w:pPr>
                        <w:jc w:val="center"/>
                        <w:rPr>
                          <w:rFonts w:hAnsi="宋体"/>
                        </w:rPr>
                      </w:pPr>
                    </w:p>
                    <w:p w14:paraId="156B4EBB">
                      <w:pPr>
                        <w:rPr>
                          <w:rFonts w:hAnsi="宋体"/>
                        </w:rPr>
                      </w:pPr>
                    </w:p>
                    <w:p w14:paraId="3B1D8C80">
                      <w:pPr>
                        <w:jc w:val="center"/>
                        <w:rPr>
                          <w:szCs w:val="21"/>
                        </w:rPr>
                      </w:pPr>
                      <w:r>
                        <w:rPr>
                          <w:rFonts w:hint="eastAsia" w:hAnsi="宋体"/>
                          <w:szCs w:val="21"/>
                        </w:rPr>
                        <w:t>法定代表人身份证</w:t>
                      </w:r>
                    </w:p>
                    <w:p w14:paraId="4977072A"/>
                  </w:txbxContent>
                </v:textbox>
              </v:roundrect>
            </w:pict>
          </mc:Fallback>
        </mc:AlternateContent>
      </w:r>
    </w:p>
    <w:p w14:paraId="51EAE580">
      <w:pPr>
        <w:spacing w:line="360" w:lineRule="auto"/>
        <w:ind w:firstLine="240" w:firstLineChars="100"/>
        <w:rPr>
          <w:rFonts w:hint="eastAsia" w:ascii="仿宋" w:hAnsi="仿宋" w:eastAsia="仿宋" w:cs="仿宋"/>
          <w:color w:val="auto"/>
          <w:sz w:val="24"/>
          <w:szCs w:val="24"/>
          <w:highlight w:val="none"/>
        </w:rPr>
      </w:pPr>
    </w:p>
    <w:p w14:paraId="39F7D41E">
      <w:pPr>
        <w:spacing w:line="360" w:lineRule="auto"/>
        <w:ind w:firstLine="240" w:firstLineChars="100"/>
        <w:rPr>
          <w:rFonts w:hint="eastAsia" w:ascii="仿宋" w:hAnsi="仿宋" w:eastAsia="仿宋" w:cs="仿宋"/>
          <w:color w:val="auto"/>
          <w:sz w:val="24"/>
          <w:szCs w:val="24"/>
          <w:highlight w:val="none"/>
        </w:rPr>
      </w:pPr>
    </w:p>
    <w:p w14:paraId="61553EC0">
      <w:pPr>
        <w:pStyle w:val="22"/>
        <w:rPr>
          <w:rFonts w:hint="eastAsia" w:ascii="仿宋" w:hAnsi="仿宋" w:eastAsia="仿宋" w:cs="仿宋"/>
          <w:color w:val="auto"/>
          <w:sz w:val="24"/>
          <w:szCs w:val="24"/>
          <w:highlight w:val="none"/>
        </w:rPr>
      </w:pPr>
    </w:p>
    <w:p w14:paraId="283AC4FA">
      <w:pPr>
        <w:spacing w:line="360" w:lineRule="auto"/>
        <w:ind w:firstLine="240" w:firstLineChars="100"/>
        <w:rPr>
          <w:rFonts w:hint="eastAsia" w:ascii="仿宋" w:hAnsi="仿宋" w:eastAsia="仿宋" w:cs="仿宋"/>
          <w:color w:val="auto"/>
          <w:sz w:val="24"/>
          <w:szCs w:val="24"/>
          <w:highlight w:val="none"/>
        </w:rPr>
      </w:pPr>
    </w:p>
    <w:p w14:paraId="3583E9B3">
      <w:pPr>
        <w:spacing w:line="360" w:lineRule="auto"/>
        <w:ind w:firstLine="241"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注：提供身份证正反面。</w:t>
      </w:r>
    </w:p>
    <w:p w14:paraId="7CF5CBF4">
      <w:pPr>
        <w:pStyle w:val="16"/>
        <w:tabs>
          <w:tab w:val="left" w:pos="5580"/>
        </w:tabs>
        <w:spacing w:line="3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1E76B189">
      <w:pPr>
        <w:pStyle w:val="16"/>
        <w:tabs>
          <w:tab w:val="left" w:pos="5580"/>
        </w:tabs>
        <w:spacing w:line="3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4075D9D6">
      <w:pPr>
        <w:pStyle w:val="16"/>
        <w:tabs>
          <w:tab w:val="left" w:pos="5580"/>
        </w:tabs>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8C7E251">
      <w:pPr>
        <w:pStyle w:val="16"/>
        <w:tabs>
          <w:tab w:val="left" w:pos="5580"/>
        </w:tabs>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0DE97C8">
      <w:pPr>
        <w:pStyle w:val="16"/>
        <w:tabs>
          <w:tab w:val="left" w:pos="5580"/>
        </w:tabs>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99ABE30">
      <w:pPr>
        <w:pStyle w:val="16"/>
        <w:tabs>
          <w:tab w:val="left" w:pos="5580"/>
        </w:tabs>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详细通讯地址：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C7257C2">
      <w:pPr>
        <w:pStyle w:val="16"/>
        <w:tabs>
          <w:tab w:val="left" w:pos="5580"/>
        </w:tabs>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A7AE7A6">
      <w:pPr>
        <w:pStyle w:val="16"/>
        <w:tabs>
          <w:tab w:val="left" w:pos="5580"/>
        </w:tabs>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14:paraId="21906D49">
      <w:pPr>
        <w:pStyle w:val="16"/>
        <w:tabs>
          <w:tab w:val="left" w:pos="5580"/>
        </w:tabs>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14:paraId="4D1C827B">
      <w:pPr>
        <w:pStyle w:val="16"/>
        <w:tabs>
          <w:tab w:val="left" w:pos="5580"/>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highlight w:val="none"/>
        </w:rPr>
        <w:t xml:space="preserve"> </w:t>
      </w:r>
      <w:bookmarkEnd w:id="1077"/>
      <w:bookmarkEnd w:id="1078"/>
      <w:bookmarkEnd w:id="1079"/>
    </w:p>
    <w:p w14:paraId="04B2C09E">
      <w:pPr>
        <w:pStyle w:val="16"/>
        <w:tabs>
          <w:tab w:val="left" w:pos="5580"/>
        </w:tabs>
        <w:spacing w:line="400" w:lineRule="exact"/>
        <w:ind w:left="1079" w:leftChars="257" w:hanging="539"/>
        <w:rPr>
          <w:rFonts w:hint="eastAsia" w:ascii="仿宋" w:hAnsi="仿宋" w:eastAsia="仿宋" w:cs="仿宋"/>
          <w:color w:val="auto"/>
          <w:sz w:val="24"/>
          <w:highlight w:val="none"/>
        </w:rPr>
      </w:pPr>
    </w:p>
    <w:p w14:paraId="36C1359D">
      <w:pPr>
        <w:pStyle w:val="16"/>
        <w:tabs>
          <w:tab w:val="left" w:pos="5580"/>
        </w:tabs>
        <w:spacing w:line="400" w:lineRule="exact"/>
        <w:ind w:left="1079" w:leftChars="257" w:hanging="539"/>
        <w:rPr>
          <w:rFonts w:hint="eastAsia" w:ascii="仿宋" w:hAnsi="仿宋" w:eastAsia="仿宋" w:cs="仿宋"/>
          <w:color w:val="auto"/>
          <w:sz w:val="24"/>
          <w:highlight w:val="none"/>
        </w:rPr>
      </w:pPr>
    </w:p>
    <w:p w14:paraId="7B4E6BCA">
      <w:pPr>
        <w:pStyle w:val="16"/>
        <w:tabs>
          <w:tab w:val="left" w:pos="5580"/>
        </w:tabs>
        <w:spacing w:line="400" w:lineRule="exact"/>
        <w:ind w:left="1079" w:leftChars="257" w:hanging="539"/>
        <w:rPr>
          <w:rFonts w:hint="eastAsia" w:ascii="仿宋" w:hAnsi="仿宋" w:eastAsia="仿宋" w:cs="仿宋"/>
          <w:color w:val="auto"/>
          <w:sz w:val="24"/>
          <w:highlight w:val="none"/>
        </w:rPr>
      </w:pPr>
    </w:p>
    <w:p w14:paraId="02FA38AD">
      <w:pPr>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rPr>
        <w:br w:type="page"/>
      </w:r>
    </w:p>
    <w:p w14:paraId="3A4409FE">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仿宋" w:hAnsi="仿宋" w:eastAsia="仿宋" w:cs="仿宋"/>
          <w:color w:val="auto"/>
          <w:sz w:val="28"/>
          <w:szCs w:val="28"/>
          <w:highlight w:val="none"/>
        </w:rPr>
      </w:pPr>
      <w:bookmarkStart w:id="1080" w:name="_Toc23487"/>
      <w:bookmarkStart w:id="1081" w:name="_Toc31929"/>
      <w:r>
        <w:rPr>
          <w:rFonts w:hint="eastAsia" w:ascii="仿宋" w:hAnsi="仿宋" w:eastAsia="仿宋" w:cs="仿宋"/>
          <w:color w:val="auto"/>
          <w:sz w:val="28"/>
          <w:szCs w:val="28"/>
          <w:highlight w:val="none"/>
          <w:lang w:val="en-US" w:eastAsia="zh-CN"/>
        </w:rPr>
        <w:t>4.提供近两年内任意一年的财务审计报告（新成立未满一年的新公司可提供近三个月内任意一个月的银行资信证明）；</w:t>
      </w:r>
      <w:bookmarkEnd w:id="1080"/>
      <w:bookmarkEnd w:id="1081"/>
    </w:p>
    <w:p w14:paraId="3140687B">
      <w:pPr>
        <w:pStyle w:val="29"/>
        <w:spacing w:line="400" w:lineRule="exact"/>
        <w:ind w:firstLine="0" w:firstLineChars="0"/>
        <w:rPr>
          <w:rFonts w:hint="eastAsia" w:ascii="仿宋" w:hAnsi="仿宋" w:eastAsia="仿宋" w:cs="仿宋"/>
          <w:b/>
          <w:color w:val="auto"/>
          <w:kern w:val="0"/>
          <w:szCs w:val="20"/>
          <w:highlight w:val="none"/>
        </w:rPr>
      </w:pPr>
    </w:p>
    <w:p w14:paraId="0A73E1B8">
      <w:pPr>
        <w:pStyle w:val="8"/>
        <w:rPr>
          <w:rFonts w:hint="eastAsia" w:ascii="仿宋" w:hAnsi="仿宋" w:eastAsia="仿宋" w:cs="仿宋"/>
          <w:color w:val="auto"/>
          <w:highlight w:val="none"/>
        </w:rPr>
      </w:pPr>
    </w:p>
    <w:p w14:paraId="103C1EE8">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rPr>
      </w:pPr>
      <w:bookmarkStart w:id="1082" w:name="_Toc15774"/>
      <w:bookmarkStart w:id="1083" w:name="_Toc21555"/>
      <w:r>
        <w:rPr>
          <w:rFonts w:hint="eastAsia" w:ascii="仿宋" w:hAnsi="仿宋" w:eastAsia="仿宋" w:cs="仿宋"/>
          <w:color w:val="auto"/>
          <w:sz w:val="28"/>
          <w:szCs w:val="28"/>
          <w:highlight w:val="none"/>
          <w:lang w:val="en-US" w:eastAsia="zh-CN"/>
        </w:rPr>
        <w:t>5.依法缴纳近3个月内任意一个月社会保险证明；</w:t>
      </w:r>
      <w:bookmarkEnd w:id="1082"/>
      <w:bookmarkEnd w:id="1083"/>
    </w:p>
    <w:p w14:paraId="77E2D04B">
      <w:pPr>
        <w:pStyle w:val="6"/>
        <w:ind w:left="0" w:leftChars="0" w:firstLine="0" w:firstLineChars="0"/>
        <w:rPr>
          <w:rFonts w:hint="eastAsia" w:ascii="仿宋" w:hAnsi="仿宋" w:eastAsia="仿宋" w:cs="仿宋"/>
          <w:color w:val="auto"/>
          <w:highlight w:val="none"/>
        </w:rPr>
      </w:pPr>
    </w:p>
    <w:p w14:paraId="46700F7F">
      <w:pPr>
        <w:pStyle w:val="6"/>
        <w:rPr>
          <w:rFonts w:hint="eastAsia" w:ascii="仿宋" w:hAnsi="仿宋" w:eastAsia="仿宋" w:cs="仿宋"/>
          <w:color w:val="auto"/>
          <w:highlight w:val="none"/>
        </w:rPr>
      </w:pPr>
    </w:p>
    <w:p w14:paraId="52727C25">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rPr>
      </w:pPr>
      <w:bookmarkStart w:id="1084" w:name="_Toc14027"/>
      <w:bookmarkStart w:id="1085" w:name="_Toc7759"/>
      <w:r>
        <w:rPr>
          <w:rFonts w:hint="eastAsia" w:ascii="仿宋" w:hAnsi="仿宋" w:eastAsia="仿宋" w:cs="仿宋"/>
          <w:color w:val="auto"/>
          <w:sz w:val="28"/>
          <w:szCs w:val="28"/>
          <w:highlight w:val="none"/>
          <w:lang w:val="en-US" w:eastAsia="zh-CN"/>
        </w:rPr>
        <w:t>6.依法缴纳近3个月内任意一个月税收证明；</w:t>
      </w:r>
      <w:bookmarkEnd w:id="1084"/>
      <w:bookmarkEnd w:id="1085"/>
    </w:p>
    <w:p w14:paraId="2AD36693">
      <w:pPr>
        <w:pStyle w:val="16"/>
        <w:tabs>
          <w:tab w:val="left" w:pos="5580"/>
        </w:tabs>
        <w:spacing w:line="400" w:lineRule="exact"/>
        <w:rPr>
          <w:rFonts w:hint="eastAsia" w:ascii="仿宋" w:hAnsi="仿宋" w:eastAsia="仿宋" w:cs="仿宋"/>
          <w:b/>
          <w:color w:val="auto"/>
          <w:kern w:val="0"/>
          <w:sz w:val="24"/>
          <w:highlight w:val="none"/>
        </w:rPr>
      </w:pPr>
    </w:p>
    <w:p w14:paraId="7590B275">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仿宋" w:hAnsi="仿宋" w:eastAsia="仿宋" w:cs="仿宋"/>
          <w:color w:val="auto"/>
          <w:sz w:val="28"/>
          <w:szCs w:val="28"/>
          <w:highlight w:val="none"/>
          <w:lang w:val="en-US" w:eastAsia="zh-CN"/>
        </w:rPr>
      </w:pPr>
      <w:bookmarkStart w:id="1086" w:name="_Toc3162"/>
      <w:bookmarkStart w:id="1087" w:name="_Toc19599"/>
      <w:r>
        <w:rPr>
          <w:rFonts w:hint="eastAsia" w:ascii="仿宋" w:hAnsi="仿宋" w:eastAsia="仿宋" w:cs="仿宋"/>
          <w:color w:val="auto"/>
          <w:sz w:val="28"/>
          <w:szCs w:val="28"/>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w:t>
      </w:r>
      <w:bookmarkEnd w:id="1086"/>
      <w:bookmarkEnd w:id="1087"/>
      <w:r>
        <w:rPr>
          <w:rFonts w:hint="eastAsia" w:ascii="仿宋" w:hAnsi="仿宋" w:eastAsia="仿宋" w:cs="仿宋"/>
          <w:color w:val="auto"/>
          <w:sz w:val="28"/>
          <w:szCs w:val="28"/>
          <w:highlight w:val="none"/>
          <w:lang w:val="en-US" w:eastAsia="zh-CN"/>
        </w:rPr>
        <w:t>（以采购代理机构或采购人查询为准）</w:t>
      </w:r>
    </w:p>
    <w:p w14:paraId="6BB5A7BC">
      <w:pPr>
        <w:pStyle w:val="16"/>
        <w:tabs>
          <w:tab w:val="left" w:pos="5580"/>
        </w:tabs>
        <w:spacing w:line="400" w:lineRule="exact"/>
        <w:ind w:left="1080" w:leftChars="257" w:hanging="540"/>
        <w:rPr>
          <w:rFonts w:hint="eastAsia" w:ascii="仿宋" w:hAnsi="仿宋" w:eastAsia="仿宋" w:cs="仿宋"/>
          <w:b/>
          <w:color w:val="auto"/>
          <w:kern w:val="0"/>
          <w:sz w:val="24"/>
          <w:highlight w:val="none"/>
        </w:rPr>
      </w:pPr>
    </w:p>
    <w:p w14:paraId="1AB93ADF">
      <w:pPr>
        <w:pStyle w:val="16"/>
        <w:tabs>
          <w:tab w:val="left" w:pos="5580"/>
        </w:tabs>
        <w:spacing w:line="400" w:lineRule="exact"/>
        <w:rPr>
          <w:rFonts w:hint="eastAsia" w:ascii="仿宋" w:hAnsi="仿宋" w:eastAsia="仿宋" w:cs="仿宋"/>
          <w:b/>
          <w:color w:val="auto"/>
          <w:kern w:val="0"/>
          <w:sz w:val="24"/>
          <w:highlight w:val="none"/>
        </w:rPr>
      </w:pPr>
    </w:p>
    <w:p w14:paraId="4CC07047">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仿宋" w:hAnsi="仿宋" w:eastAsia="仿宋" w:cs="仿宋"/>
          <w:color w:val="auto"/>
          <w:sz w:val="28"/>
          <w:szCs w:val="28"/>
          <w:highlight w:val="none"/>
          <w:lang w:val="en-US" w:eastAsia="zh-CN"/>
        </w:rPr>
      </w:pPr>
      <w:bookmarkStart w:id="1088" w:name="_Toc12315"/>
      <w:bookmarkStart w:id="1089" w:name="_Toc24966"/>
      <w:r>
        <w:rPr>
          <w:rFonts w:hint="eastAsia" w:ascii="仿宋" w:hAnsi="仿宋" w:eastAsia="仿宋" w:cs="仿宋"/>
          <w:color w:val="auto"/>
          <w:sz w:val="28"/>
          <w:szCs w:val="28"/>
          <w:highlight w:val="none"/>
          <w:lang w:val="en-US" w:eastAsia="zh-CN"/>
        </w:rPr>
        <w:t>8.参与政府采购活动前3年内未被列入失信、重大税收违法案件、财政部门禁止参加政府采购活动的承诺书；</w:t>
      </w:r>
      <w:bookmarkEnd w:id="1088"/>
      <w:bookmarkEnd w:id="1089"/>
    </w:p>
    <w:p w14:paraId="3B21EE77">
      <w:pPr>
        <w:pStyle w:val="16"/>
        <w:tabs>
          <w:tab w:val="left" w:pos="5580"/>
        </w:tabs>
        <w:spacing w:line="400" w:lineRule="exact"/>
        <w:rPr>
          <w:rFonts w:hint="eastAsia" w:ascii="仿宋" w:hAnsi="仿宋" w:eastAsia="仿宋" w:cs="仿宋"/>
          <w:b/>
          <w:color w:val="auto"/>
          <w:kern w:val="0"/>
          <w:sz w:val="24"/>
          <w:highlight w:val="none"/>
        </w:rPr>
      </w:pPr>
    </w:p>
    <w:p w14:paraId="0CE1ECF6">
      <w:pPr>
        <w:pStyle w:val="16"/>
        <w:tabs>
          <w:tab w:val="left" w:pos="5580"/>
        </w:tabs>
        <w:spacing w:line="400" w:lineRule="exact"/>
        <w:rPr>
          <w:rFonts w:hint="eastAsia" w:ascii="仿宋" w:hAnsi="仿宋" w:eastAsia="仿宋" w:cs="仿宋"/>
          <w:b/>
          <w:color w:val="auto"/>
          <w:kern w:val="0"/>
          <w:sz w:val="24"/>
          <w:highlight w:val="none"/>
        </w:rPr>
      </w:pPr>
    </w:p>
    <w:p w14:paraId="43B4B609">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rPr>
      </w:pPr>
      <w:bookmarkStart w:id="1090" w:name="_Toc24704"/>
      <w:bookmarkStart w:id="1091" w:name="_Toc13096"/>
      <w:r>
        <w:rPr>
          <w:rFonts w:hint="eastAsia" w:ascii="仿宋" w:hAnsi="仿宋" w:eastAsia="仿宋" w:cs="仿宋"/>
          <w:color w:val="auto"/>
          <w:sz w:val="28"/>
          <w:szCs w:val="28"/>
          <w:highlight w:val="none"/>
          <w:lang w:val="en-US" w:eastAsia="zh-CN"/>
        </w:rPr>
        <w:t>9.提供针对本次项目的《反商业贿赂承诺书》；</w:t>
      </w:r>
      <w:bookmarkEnd w:id="1090"/>
      <w:bookmarkEnd w:id="1091"/>
    </w:p>
    <w:p w14:paraId="5424A232">
      <w:pPr>
        <w:pStyle w:val="16"/>
        <w:tabs>
          <w:tab w:val="left" w:pos="5580"/>
        </w:tabs>
        <w:spacing w:line="400" w:lineRule="exact"/>
        <w:rPr>
          <w:rFonts w:hint="eastAsia" w:ascii="仿宋" w:hAnsi="仿宋" w:eastAsia="仿宋" w:cs="仿宋"/>
          <w:b/>
          <w:color w:val="auto"/>
          <w:kern w:val="0"/>
          <w:sz w:val="24"/>
          <w:highlight w:val="none"/>
        </w:rPr>
      </w:pPr>
    </w:p>
    <w:p w14:paraId="39987629">
      <w:pPr>
        <w:pStyle w:val="16"/>
        <w:tabs>
          <w:tab w:val="left" w:pos="5580"/>
        </w:tabs>
        <w:spacing w:line="400" w:lineRule="exact"/>
        <w:rPr>
          <w:rFonts w:hint="eastAsia" w:ascii="仿宋" w:hAnsi="仿宋" w:eastAsia="仿宋" w:cs="仿宋"/>
          <w:b/>
          <w:color w:val="auto"/>
          <w:kern w:val="0"/>
          <w:sz w:val="24"/>
          <w:highlight w:val="none"/>
        </w:rPr>
      </w:pPr>
    </w:p>
    <w:p w14:paraId="652EAD8D">
      <w:pPr>
        <w:pStyle w:val="16"/>
        <w:tabs>
          <w:tab w:val="left" w:pos="5580"/>
        </w:tabs>
        <w:spacing w:line="400" w:lineRule="exact"/>
        <w:rPr>
          <w:rFonts w:hint="eastAsia" w:ascii="仿宋" w:hAnsi="仿宋" w:eastAsia="仿宋" w:cs="仿宋"/>
          <w:b/>
          <w:color w:val="auto"/>
          <w:kern w:val="0"/>
          <w:sz w:val="24"/>
          <w:highlight w:val="none"/>
        </w:rPr>
      </w:pPr>
    </w:p>
    <w:p w14:paraId="3E639688">
      <w:pPr>
        <w:pStyle w:val="16"/>
        <w:tabs>
          <w:tab w:val="left" w:pos="5580"/>
        </w:tabs>
        <w:spacing w:line="400" w:lineRule="exact"/>
        <w:rPr>
          <w:rFonts w:hint="eastAsia" w:ascii="仿宋" w:hAnsi="仿宋" w:eastAsia="仿宋" w:cs="仿宋"/>
          <w:b/>
          <w:color w:val="auto"/>
          <w:kern w:val="0"/>
          <w:sz w:val="24"/>
          <w:highlight w:val="none"/>
        </w:rPr>
      </w:pPr>
    </w:p>
    <w:p w14:paraId="27A7C233">
      <w:pPr>
        <w:pStyle w:val="16"/>
        <w:tabs>
          <w:tab w:val="left" w:pos="5580"/>
        </w:tabs>
        <w:spacing w:line="400" w:lineRule="exact"/>
        <w:rPr>
          <w:rFonts w:hint="eastAsia" w:ascii="仿宋" w:hAnsi="仿宋" w:eastAsia="仿宋" w:cs="仿宋"/>
          <w:b/>
          <w:color w:val="auto"/>
          <w:kern w:val="0"/>
          <w:sz w:val="24"/>
          <w:highlight w:val="none"/>
        </w:rPr>
      </w:pPr>
    </w:p>
    <w:p w14:paraId="343BDF90">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3A4BE17F">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rPr>
      </w:pPr>
      <w:bookmarkStart w:id="1092" w:name="_Toc32156"/>
      <w:bookmarkStart w:id="1093" w:name="_Toc8586"/>
      <w:r>
        <w:rPr>
          <w:rFonts w:hint="eastAsia" w:ascii="仿宋" w:hAnsi="仿宋" w:eastAsia="仿宋" w:cs="仿宋"/>
          <w:color w:val="auto"/>
          <w:sz w:val="28"/>
          <w:szCs w:val="28"/>
          <w:highlight w:val="none"/>
          <w:lang w:val="en-US" w:eastAsia="zh-CN"/>
        </w:rPr>
        <w:t>10.缴纳投标保证金的有效凭证；</w:t>
      </w:r>
      <w:bookmarkEnd w:id="1092"/>
      <w:bookmarkEnd w:id="1093"/>
    </w:p>
    <w:p w14:paraId="6A7F20B1">
      <w:pPr>
        <w:shd w:val="clear" w:color="auto" w:fill="auto"/>
        <w:snapToGrid w:val="0"/>
        <w:spacing w:before="0" w:beforeAutospacing="0" w:after="0" w:afterAutospacing="0" w:line="360" w:lineRule="exact"/>
        <w:jc w:val="both"/>
        <w:textAlignment w:val="baseline"/>
        <w:rPr>
          <w:rFonts w:hint="eastAsia" w:ascii="仿宋" w:hAnsi="仿宋" w:eastAsia="仿宋" w:cs="仿宋"/>
          <w:b/>
          <w:bCs/>
          <w:i w:val="0"/>
          <w:caps w:val="0"/>
          <w:color w:val="auto"/>
          <w:spacing w:val="0"/>
          <w:w w:val="100"/>
          <w:sz w:val="24"/>
          <w:highlight w:val="none"/>
        </w:rPr>
      </w:pPr>
    </w:p>
    <w:p w14:paraId="1FEAC931">
      <w:pPr>
        <w:shd w:val="clear" w:color="auto" w:fill="auto"/>
        <w:snapToGrid w:val="0"/>
        <w:spacing w:before="0" w:beforeAutospacing="0" w:after="0" w:afterAutospacing="0" w:line="360" w:lineRule="exact"/>
        <w:jc w:val="both"/>
        <w:textAlignment w:val="baseline"/>
        <w:outlineLvl w:val="9"/>
        <w:rPr>
          <w:rFonts w:hint="eastAsia" w:ascii="仿宋" w:hAnsi="仿宋" w:eastAsia="仿宋" w:cs="仿宋"/>
          <w:b/>
          <w:bCs/>
          <w:i w:val="0"/>
          <w:caps w:val="0"/>
          <w:color w:val="auto"/>
          <w:spacing w:val="0"/>
          <w:w w:val="100"/>
          <w:sz w:val="24"/>
          <w:highlight w:val="none"/>
        </w:rPr>
      </w:pPr>
      <w:r>
        <w:rPr>
          <w:rFonts w:hint="eastAsia" w:ascii="仿宋" w:hAnsi="仿宋" w:eastAsia="仿宋" w:cs="仿宋"/>
          <w:b/>
          <w:bCs/>
          <w:i w:val="0"/>
          <w:caps w:val="0"/>
          <w:color w:val="auto"/>
          <w:spacing w:val="0"/>
          <w:w w:val="100"/>
          <w:sz w:val="24"/>
          <w:highlight w:val="none"/>
        </w:rPr>
        <w:t>（注：</w:t>
      </w:r>
      <w:r>
        <w:rPr>
          <w:rFonts w:hint="eastAsia" w:ascii="仿宋" w:hAnsi="仿宋" w:eastAsia="仿宋" w:cs="仿宋"/>
          <w:b/>
          <w:bCs/>
          <w:i w:val="0"/>
          <w:caps w:val="0"/>
          <w:color w:val="auto"/>
          <w:spacing w:val="0"/>
          <w:w w:val="100"/>
          <w:sz w:val="24"/>
          <w:highlight w:val="none"/>
          <w:lang w:val="en-US" w:eastAsia="zh-CN"/>
        </w:rPr>
        <w:t>本项目以缴纳投标保证金的有效凭证复印件加盖公章为准</w:t>
      </w:r>
      <w:r>
        <w:rPr>
          <w:rFonts w:hint="eastAsia" w:ascii="仿宋" w:hAnsi="仿宋" w:eastAsia="仿宋" w:cs="仿宋"/>
          <w:b/>
          <w:bCs/>
          <w:i w:val="0"/>
          <w:caps w:val="0"/>
          <w:color w:val="auto"/>
          <w:spacing w:val="0"/>
          <w:w w:val="100"/>
          <w:sz w:val="24"/>
          <w:highlight w:val="none"/>
        </w:rPr>
        <w:t>。）</w:t>
      </w:r>
    </w:p>
    <w:tbl>
      <w:tblPr>
        <w:tblStyle w:val="30"/>
        <w:tblpPr w:leftFromText="180" w:rightFromText="180" w:vertAnchor="text" w:horzAnchor="page" w:tblpX="1967" w:tblpY="235"/>
        <w:tblOverlap w:val="never"/>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14:paraId="1042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8080" w:type="dxa"/>
          </w:tcPr>
          <w:p w14:paraId="25C2DBA4">
            <w:pPr>
              <w:shd w:val="clear" w:color="auto" w:fill="auto"/>
              <w:snapToGrid w:val="0"/>
              <w:spacing w:before="0" w:beforeAutospacing="0" w:after="0" w:afterAutospacing="0" w:line="360" w:lineRule="exact"/>
              <w:jc w:val="both"/>
              <w:textAlignment w:val="baseline"/>
              <w:rPr>
                <w:rFonts w:hint="eastAsia" w:ascii="仿宋" w:hAnsi="仿宋" w:eastAsia="仿宋" w:cs="仿宋"/>
                <w:b w:val="0"/>
                <w:i w:val="0"/>
                <w:caps w:val="0"/>
                <w:color w:val="auto"/>
                <w:spacing w:val="0"/>
                <w:w w:val="100"/>
                <w:sz w:val="24"/>
                <w:highlight w:val="none"/>
              </w:rPr>
            </w:pPr>
          </w:p>
          <w:p w14:paraId="3FAC1F4D">
            <w:pPr>
              <w:shd w:val="clear" w:color="auto" w:fill="auto"/>
              <w:snapToGrid w:val="0"/>
              <w:spacing w:before="0" w:beforeAutospacing="0" w:after="0" w:afterAutospacing="0" w:line="360" w:lineRule="exact"/>
              <w:jc w:val="both"/>
              <w:textAlignment w:val="baseline"/>
              <w:rPr>
                <w:rFonts w:hint="eastAsia" w:ascii="仿宋" w:hAnsi="仿宋" w:eastAsia="仿宋" w:cs="仿宋"/>
                <w:b w:val="0"/>
                <w:i w:val="0"/>
                <w:caps w:val="0"/>
                <w:color w:val="auto"/>
                <w:spacing w:val="0"/>
                <w:w w:val="100"/>
                <w:sz w:val="24"/>
                <w:highlight w:val="none"/>
              </w:rPr>
            </w:pPr>
          </w:p>
          <w:p w14:paraId="007456BC">
            <w:pPr>
              <w:shd w:val="clear" w:color="auto" w:fill="auto"/>
              <w:snapToGrid w:val="0"/>
              <w:spacing w:before="0" w:beforeAutospacing="0" w:after="0" w:afterAutospacing="0" w:line="360" w:lineRule="exact"/>
              <w:jc w:val="center"/>
              <w:textAlignment w:val="baseline"/>
              <w:rPr>
                <w:rFonts w:hint="eastAsia" w:ascii="仿宋" w:hAnsi="仿宋" w:eastAsia="仿宋" w:cs="仿宋"/>
                <w:b w:val="0"/>
                <w:i w:val="0"/>
                <w:caps w:val="0"/>
                <w:color w:val="auto"/>
                <w:spacing w:val="0"/>
                <w:w w:val="100"/>
                <w:sz w:val="24"/>
                <w:highlight w:val="none"/>
                <w:lang w:eastAsia="zh-CN"/>
              </w:rPr>
            </w:pPr>
            <w:r>
              <w:rPr>
                <w:rFonts w:hint="eastAsia" w:ascii="仿宋" w:hAnsi="仿宋" w:eastAsia="仿宋" w:cs="仿宋"/>
                <w:b w:val="0"/>
                <w:i w:val="0"/>
                <w:caps w:val="0"/>
                <w:color w:val="auto"/>
                <w:spacing w:val="0"/>
                <w:w w:val="100"/>
                <w:sz w:val="24"/>
                <w:highlight w:val="none"/>
                <w:lang w:eastAsia="zh-CN"/>
              </w:rPr>
              <w:t>缴纳投标保证金的有效凭证</w:t>
            </w:r>
            <w:r>
              <w:rPr>
                <w:rFonts w:hint="eastAsia" w:ascii="仿宋" w:hAnsi="仿宋" w:eastAsia="仿宋" w:cs="仿宋"/>
                <w:b w:val="0"/>
                <w:i w:val="0"/>
                <w:caps w:val="0"/>
                <w:color w:val="auto"/>
                <w:spacing w:val="0"/>
                <w:w w:val="100"/>
                <w:sz w:val="24"/>
                <w:highlight w:val="none"/>
              </w:rPr>
              <w:t>复印件</w:t>
            </w:r>
            <w:r>
              <w:rPr>
                <w:rFonts w:hint="eastAsia" w:ascii="仿宋" w:hAnsi="仿宋" w:eastAsia="仿宋" w:cs="仿宋"/>
                <w:b w:val="0"/>
                <w:i w:val="0"/>
                <w:caps w:val="0"/>
                <w:color w:val="auto"/>
                <w:spacing w:val="0"/>
                <w:w w:val="100"/>
                <w:sz w:val="24"/>
                <w:highlight w:val="none"/>
                <w:lang w:eastAsia="zh-CN"/>
              </w:rPr>
              <w:t>（</w:t>
            </w:r>
            <w:r>
              <w:rPr>
                <w:rFonts w:hint="eastAsia" w:ascii="仿宋" w:hAnsi="仿宋" w:eastAsia="仿宋" w:cs="仿宋"/>
                <w:b w:val="0"/>
                <w:i w:val="0"/>
                <w:caps w:val="0"/>
                <w:color w:val="auto"/>
                <w:spacing w:val="0"/>
                <w:w w:val="100"/>
                <w:sz w:val="24"/>
                <w:highlight w:val="none"/>
                <w:lang w:val="en-US" w:eastAsia="zh-CN"/>
              </w:rPr>
              <w:t>银行转账回执单或保函</w:t>
            </w:r>
            <w:r>
              <w:rPr>
                <w:rFonts w:hint="eastAsia" w:ascii="仿宋" w:hAnsi="仿宋" w:eastAsia="仿宋" w:cs="仿宋"/>
                <w:b w:val="0"/>
                <w:i w:val="0"/>
                <w:caps w:val="0"/>
                <w:color w:val="auto"/>
                <w:spacing w:val="0"/>
                <w:w w:val="100"/>
                <w:sz w:val="24"/>
                <w:highlight w:val="none"/>
                <w:lang w:eastAsia="zh-CN"/>
              </w:rPr>
              <w:t>）</w:t>
            </w:r>
          </w:p>
        </w:tc>
      </w:tr>
    </w:tbl>
    <w:p w14:paraId="5490A868">
      <w:pPr>
        <w:pStyle w:val="16"/>
        <w:tabs>
          <w:tab w:val="left" w:pos="5580"/>
        </w:tabs>
        <w:spacing w:line="400" w:lineRule="exact"/>
        <w:outlineLvl w:val="9"/>
        <w:rPr>
          <w:rFonts w:hint="eastAsia" w:ascii="仿宋" w:hAnsi="仿宋" w:eastAsia="仿宋" w:cs="仿宋"/>
          <w:b/>
          <w:color w:val="auto"/>
          <w:kern w:val="0"/>
          <w:sz w:val="24"/>
          <w:highlight w:val="none"/>
          <w:lang w:eastAsia="zh-CN"/>
        </w:rPr>
      </w:pPr>
    </w:p>
    <w:p w14:paraId="70433E88">
      <w:pPr>
        <w:pStyle w:val="16"/>
        <w:tabs>
          <w:tab w:val="left" w:pos="5580"/>
        </w:tabs>
        <w:spacing w:line="400" w:lineRule="exact"/>
        <w:ind w:left="540" w:leftChars="257"/>
        <w:outlineLvl w:val="9"/>
        <w:rPr>
          <w:rFonts w:hint="eastAsia" w:ascii="仿宋" w:hAnsi="仿宋" w:eastAsia="仿宋" w:cs="仿宋"/>
          <w:b/>
          <w:color w:val="auto"/>
          <w:kern w:val="0"/>
          <w:sz w:val="24"/>
          <w:highlight w:val="none"/>
        </w:rPr>
      </w:pPr>
    </w:p>
    <w:p w14:paraId="3582361C">
      <w:pPr>
        <w:pStyle w:val="16"/>
        <w:tabs>
          <w:tab w:val="left" w:pos="5580"/>
        </w:tabs>
        <w:spacing w:line="400" w:lineRule="exact"/>
        <w:ind w:left="540" w:leftChars="257"/>
        <w:outlineLvl w:val="9"/>
        <w:rPr>
          <w:rFonts w:hint="eastAsia" w:ascii="仿宋" w:hAnsi="仿宋" w:eastAsia="仿宋" w:cs="仿宋"/>
          <w:b/>
          <w:color w:val="auto"/>
          <w:kern w:val="0"/>
          <w:sz w:val="24"/>
          <w:highlight w:val="none"/>
        </w:rPr>
      </w:pPr>
    </w:p>
    <w:p w14:paraId="0F3B29CE">
      <w:pPr>
        <w:pStyle w:val="16"/>
        <w:tabs>
          <w:tab w:val="left" w:pos="5580"/>
        </w:tabs>
        <w:spacing w:line="400" w:lineRule="exact"/>
        <w:ind w:left="540" w:leftChars="257"/>
        <w:outlineLvl w:val="9"/>
        <w:rPr>
          <w:rFonts w:hint="eastAsia" w:ascii="仿宋" w:hAnsi="仿宋" w:eastAsia="仿宋" w:cs="仿宋"/>
          <w:b/>
          <w:color w:val="auto"/>
          <w:kern w:val="0"/>
          <w:sz w:val="24"/>
          <w:highlight w:val="none"/>
        </w:rPr>
      </w:pPr>
    </w:p>
    <w:p w14:paraId="5851256B">
      <w:pPr>
        <w:pStyle w:val="16"/>
        <w:tabs>
          <w:tab w:val="left" w:pos="5580"/>
        </w:tabs>
        <w:spacing w:line="400" w:lineRule="exact"/>
        <w:ind w:left="540" w:leftChars="257"/>
        <w:outlineLvl w:val="9"/>
        <w:rPr>
          <w:rFonts w:hint="eastAsia" w:ascii="仿宋" w:hAnsi="仿宋" w:eastAsia="仿宋" w:cs="仿宋"/>
          <w:b/>
          <w:color w:val="auto"/>
          <w:kern w:val="0"/>
          <w:sz w:val="24"/>
          <w:highlight w:val="none"/>
        </w:rPr>
      </w:pPr>
    </w:p>
    <w:p w14:paraId="30B2FB42">
      <w:pPr>
        <w:pStyle w:val="16"/>
        <w:tabs>
          <w:tab w:val="left" w:pos="5580"/>
        </w:tabs>
        <w:spacing w:line="400" w:lineRule="exact"/>
        <w:outlineLvl w:val="9"/>
        <w:rPr>
          <w:rFonts w:hint="eastAsia" w:ascii="仿宋" w:hAnsi="仿宋" w:eastAsia="仿宋" w:cs="仿宋"/>
          <w:b/>
          <w:color w:val="auto"/>
          <w:kern w:val="0"/>
          <w:sz w:val="24"/>
          <w:highlight w:val="none"/>
        </w:rPr>
      </w:pPr>
    </w:p>
    <w:p w14:paraId="71CAC68E">
      <w:pPr>
        <w:pStyle w:val="22"/>
        <w:rPr>
          <w:rFonts w:hint="eastAsia" w:ascii="仿宋" w:hAnsi="仿宋" w:eastAsia="仿宋" w:cs="仿宋"/>
          <w:color w:val="auto"/>
          <w:highlight w:val="none"/>
        </w:rPr>
      </w:pPr>
      <w:bookmarkStart w:id="1094" w:name="_Toc515647816"/>
      <w:bookmarkStart w:id="1095" w:name="_Toc18263"/>
      <w:bookmarkStart w:id="1096" w:name="_Toc22967"/>
      <w:bookmarkStart w:id="1097" w:name="_Toc30653"/>
      <w:bookmarkStart w:id="1098" w:name="_Toc11180"/>
      <w:bookmarkStart w:id="1099" w:name="_Toc15346"/>
    </w:p>
    <w:p w14:paraId="32FB0C91">
      <w:pPr>
        <w:pStyle w:val="22"/>
        <w:rPr>
          <w:rFonts w:hint="eastAsia" w:ascii="仿宋" w:hAnsi="仿宋" w:eastAsia="仿宋" w:cs="仿宋"/>
          <w:color w:val="auto"/>
          <w:highlight w:val="none"/>
        </w:rPr>
      </w:pPr>
    </w:p>
    <w:p w14:paraId="7D0B2DF9">
      <w:pPr>
        <w:pStyle w:val="22"/>
        <w:rPr>
          <w:rFonts w:hint="eastAsia" w:ascii="仿宋" w:hAnsi="仿宋" w:eastAsia="仿宋" w:cs="仿宋"/>
          <w:color w:val="auto"/>
          <w:highlight w:val="none"/>
        </w:rPr>
      </w:pPr>
    </w:p>
    <w:p w14:paraId="59B02806">
      <w:pPr>
        <w:pStyle w:val="22"/>
        <w:rPr>
          <w:rFonts w:hint="eastAsia" w:ascii="仿宋" w:hAnsi="仿宋" w:eastAsia="仿宋" w:cs="仿宋"/>
          <w:color w:val="auto"/>
          <w:highlight w:val="none"/>
        </w:rPr>
      </w:pPr>
    </w:p>
    <w:p w14:paraId="4B54D0F9">
      <w:pPr>
        <w:pStyle w:val="22"/>
        <w:rPr>
          <w:rFonts w:hint="eastAsia" w:ascii="仿宋" w:hAnsi="仿宋" w:eastAsia="仿宋" w:cs="仿宋"/>
          <w:color w:val="auto"/>
          <w:highlight w:val="none"/>
        </w:rPr>
      </w:pPr>
    </w:p>
    <w:p w14:paraId="625FB2D1">
      <w:pPr>
        <w:pStyle w:val="22"/>
        <w:rPr>
          <w:rFonts w:hint="eastAsia" w:ascii="仿宋" w:hAnsi="仿宋" w:eastAsia="仿宋" w:cs="仿宋"/>
          <w:color w:val="auto"/>
          <w:highlight w:val="none"/>
        </w:rPr>
      </w:pPr>
    </w:p>
    <w:p w14:paraId="4F613A0D">
      <w:pPr>
        <w:pStyle w:val="22"/>
        <w:bidi w:val="0"/>
        <w:rPr>
          <w:rFonts w:hint="eastAsia" w:ascii="仿宋" w:hAnsi="仿宋" w:eastAsia="仿宋" w:cs="仿宋"/>
          <w:color w:val="auto"/>
          <w:highlight w:val="none"/>
        </w:rPr>
      </w:pPr>
    </w:p>
    <w:p w14:paraId="01E38EFE">
      <w:pPr>
        <w:pStyle w:val="22"/>
        <w:rPr>
          <w:rFonts w:hint="eastAsia" w:ascii="仿宋" w:hAnsi="仿宋" w:eastAsia="仿宋" w:cs="仿宋"/>
          <w:color w:val="auto"/>
          <w:highlight w:val="none"/>
        </w:rPr>
      </w:pPr>
    </w:p>
    <w:p w14:paraId="2EC9BD50">
      <w:pPr>
        <w:pStyle w:val="22"/>
        <w:rPr>
          <w:rFonts w:hint="eastAsia" w:ascii="仿宋" w:hAnsi="仿宋" w:eastAsia="仿宋" w:cs="仿宋"/>
          <w:color w:val="auto"/>
          <w:highlight w:val="none"/>
        </w:rPr>
      </w:pPr>
    </w:p>
    <w:p w14:paraId="475E3FF0">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lang w:val="en-US" w:eastAsia="zh-CN"/>
        </w:rPr>
      </w:pPr>
      <w:bookmarkStart w:id="1100" w:name="_Toc18703"/>
      <w:bookmarkStart w:id="1101" w:name="_Toc13729"/>
      <w:r>
        <w:rPr>
          <w:rFonts w:hint="eastAsia" w:ascii="仿宋" w:hAnsi="仿宋" w:eastAsia="仿宋" w:cs="仿宋"/>
          <w:color w:val="auto"/>
          <w:sz w:val="28"/>
          <w:szCs w:val="28"/>
          <w:highlight w:val="none"/>
          <w:lang w:val="en-US" w:eastAsia="zh-CN"/>
        </w:rPr>
        <w:t>11.供应商可提供有利于投标的其他资格证明材料。</w:t>
      </w:r>
      <w:bookmarkEnd w:id="1100"/>
      <w:bookmarkEnd w:id="1101"/>
    </w:p>
    <w:p w14:paraId="18F08980">
      <w:pPr>
        <w:rPr>
          <w:rFonts w:hint="eastAsia" w:ascii="仿宋" w:hAnsi="仿宋" w:eastAsia="仿宋" w:cs="仿宋"/>
          <w:b/>
          <w:color w:val="auto"/>
          <w:kern w:val="0"/>
          <w:sz w:val="24"/>
          <w:szCs w:val="20"/>
          <w:highlight w:val="none"/>
        </w:rPr>
      </w:pPr>
    </w:p>
    <w:p w14:paraId="1B636B87">
      <w:pPr>
        <w:rPr>
          <w:rFonts w:hint="eastAsia" w:ascii="仿宋" w:hAnsi="仿宋" w:eastAsia="仿宋" w:cs="仿宋"/>
          <w:color w:val="auto"/>
          <w:highlight w:val="none"/>
        </w:rPr>
      </w:pPr>
    </w:p>
    <w:p w14:paraId="6A6A9C35">
      <w:pPr>
        <w:pStyle w:val="22"/>
        <w:rPr>
          <w:rFonts w:hint="eastAsia" w:ascii="仿宋" w:hAnsi="仿宋" w:eastAsia="仿宋" w:cs="仿宋"/>
          <w:color w:val="auto"/>
          <w:highlight w:val="none"/>
        </w:rPr>
      </w:pPr>
    </w:p>
    <w:p w14:paraId="596744D4">
      <w:pPr>
        <w:rPr>
          <w:rFonts w:hint="eastAsia" w:ascii="仿宋" w:hAnsi="仿宋" w:eastAsia="仿宋" w:cs="仿宋"/>
          <w:color w:val="auto"/>
          <w:sz w:val="24"/>
          <w:szCs w:val="24"/>
          <w:highlight w:val="none"/>
        </w:rPr>
      </w:pPr>
    </w:p>
    <w:p w14:paraId="7B39C15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DA0DE61">
      <w:pPr>
        <w:pStyle w:val="3"/>
        <w:spacing w:before="0" w:line="240" w:lineRule="atLeast"/>
        <w:ind w:left="1080" w:leftChars="257" w:hanging="540"/>
        <w:rPr>
          <w:rFonts w:hint="eastAsia" w:ascii="仿宋" w:hAnsi="仿宋" w:eastAsia="仿宋" w:cs="仿宋"/>
          <w:color w:val="auto"/>
          <w:sz w:val="28"/>
          <w:highlight w:val="none"/>
        </w:rPr>
      </w:pPr>
      <w:bookmarkStart w:id="1102" w:name="_Toc19728"/>
      <w:bookmarkStart w:id="1103" w:name="_Toc27567"/>
      <w:r>
        <w:rPr>
          <w:rFonts w:hint="eastAsia" w:ascii="仿宋" w:hAnsi="仿宋" w:eastAsia="仿宋" w:cs="仿宋"/>
          <w:color w:val="auto"/>
          <w:sz w:val="28"/>
          <w:highlight w:val="none"/>
        </w:rPr>
        <w:t>第二部分  商务及技术文件</w:t>
      </w:r>
      <w:bookmarkEnd w:id="1102"/>
      <w:bookmarkEnd w:id="1103"/>
    </w:p>
    <w:p w14:paraId="79EC84E7">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auto"/>
          <w:kern w:val="0"/>
          <w:sz w:val="24"/>
          <w:szCs w:val="24"/>
          <w:highlight w:val="none"/>
          <w:lang w:val="en-US" w:eastAsia="zh-CN"/>
        </w:rPr>
      </w:pPr>
    </w:p>
    <w:p w14:paraId="2A757CF6">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bookmarkStart w:id="1104" w:name="_Toc14915"/>
      <w:bookmarkStart w:id="1105" w:name="_Toc2041"/>
      <w:bookmarkStart w:id="1106" w:name="_Toc515647817"/>
      <w:r>
        <w:rPr>
          <w:rFonts w:hint="eastAsia" w:ascii="仿宋" w:hAnsi="仿宋" w:eastAsia="仿宋" w:cs="仿宋"/>
          <w:color w:val="auto"/>
          <w:kern w:val="0"/>
          <w:sz w:val="24"/>
          <w:szCs w:val="24"/>
          <w:highlight w:val="none"/>
          <w:lang w:val="en-US" w:eastAsia="zh-CN"/>
        </w:rPr>
        <w:t>1.投标书</w:t>
      </w:r>
    </w:p>
    <w:p w14:paraId="50B0CBE2">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2.投标分项报价表</w:t>
      </w:r>
    </w:p>
    <w:p w14:paraId="475EC77F">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3.货物说明一览表</w:t>
      </w:r>
    </w:p>
    <w:p w14:paraId="0CE6502C">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4.技术规格偏离表</w:t>
      </w:r>
    </w:p>
    <w:p w14:paraId="6C4CCB20">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5.商务条款偏离表</w:t>
      </w:r>
    </w:p>
    <w:p w14:paraId="31F1C126">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6-1中小企业声明函</w:t>
      </w:r>
    </w:p>
    <w:p w14:paraId="23D4AC46">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6-2 残疾人福利性单位声明函</w:t>
      </w:r>
    </w:p>
    <w:p w14:paraId="2BEC681A">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7.供应商关联单位的说明</w:t>
      </w:r>
    </w:p>
    <w:p w14:paraId="6A474DF1">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8.供应商可提供有利于投标的其他证明材料</w:t>
      </w:r>
    </w:p>
    <w:p w14:paraId="1CA86063">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9.投标文件格式范本</w:t>
      </w:r>
    </w:p>
    <w:p w14:paraId="7655EABD">
      <w:pPr>
        <w:spacing w:line="360" w:lineRule="auto"/>
        <w:rPr>
          <w:rFonts w:hint="eastAsia" w:ascii="仿宋" w:hAnsi="仿宋" w:eastAsia="仿宋" w:cs="仿宋"/>
          <w:b/>
          <w:bCs/>
          <w:color w:val="auto"/>
          <w:highlight w:val="none"/>
        </w:rPr>
      </w:pPr>
    </w:p>
    <w:p w14:paraId="50DF3DD4">
      <w:pPr>
        <w:pStyle w:val="6"/>
        <w:rPr>
          <w:rFonts w:hint="eastAsia" w:ascii="仿宋" w:hAnsi="仿宋" w:eastAsia="仿宋" w:cs="仿宋"/>
          <w:b/>
          <w:bCs/>
          <w:color w:val="auto"/>
          <w:highlight w:val="none"/>
        </w:rPr>
      </w:pPr>
    </w:p>
    <w:p w14:paraId="681C2BD4">
      <w:pPr>
        <w:pStyle w:val="6"/>
        <w:rPr>
          <w:rFonts w:hint="eastAsia" w:ascii="仿宋" w:hAnsi="仿宋" w:eastAsia="仿宋" w:cs="仿宋"/>
          <w:b/>
          <w:bCs/>
          <w:color w:val="auto"/>
          <w:highlight w:val="none"/>
        </w:rPr>
      </w:pPr>
    </w:p>
    <w:p w14:paraId="2131C238">
      <w:pPr>
        <w:pStyle w:val="6"/>
        <w:rPr>
          <w:rFonts w:hint="eastAsia" w:ascii="仿宋" w:hAnsi="仿宋" w:eastAsia="仿宋" w:cs="仿宋"/>
          <w:b/>
          <w:bCs/>
          <w:color w:val="auto"/>
          <w:highlight w:val="none"/>
        </w:rPr>
      </w:pPr>
    </w:p>
    <w:p w14:paraId="710DB5C2">
      <w:pPr>
        <w:pStyle w:val="6"/>
        <w:rPr>
          <w:rFonts w:hint="eastAsia" w:ascii="仿宋" w:hAnsi="仿宋" w:eastAsia="仿宋" w:cs="仿宋"/>
          <w:b/>
          <w:bCs/>
          <w:color w:val="auto"/>
          <w:highlight w:val="none"/>
        </w:rPr>
      </w:pPr>
    </w:p>
    <w:p w14:paraId="2D032D3A">
      <w:pPr>
        <w:pStyle w:val="6"/>
        <w:rPr>
          <w:rFonts w:hint="eastAsia" w:ascii="仿宋" w:hAnsi="仿宋" w:eastAsia="仿宋" w:cs="仿宋"/>
          <w:b/>
          <w:bCs/>
          <w:color w:val="auto"/>
          <w:highlight w:val="none"/>
        </w:rPr>
      </w:pPr>
    </w:p>
    <w:p w14:paraId="5E073186">
      <w:pPr>
        <w:pStyle w:val="6"/>
        <w:rPr>
          <w:rFonts w:hint="eastAsia" w:ascii="仿宋" w:hAnsi="仿宋" w:eastAsia="仿宋" w:cs="仿宋"/>
          <w:b/>
          <w:bCs/>
          <w:color w:val="auto"/>
          <w:highlight w:val="none"/>
        </w:rPr>
      </w:pPr>
    </w:p>
    <w:p w14:paraId="62BD2922">
      <w:pPr>
        <w:spacing w:line="360" w:lineRule="auto"/>
        <w:rPr>
          <w:rFonts w:hint="eastAsia" w:ascii="仿宋" w:hAnsi="仿宋" w:eastAsia="仿宋" w:cs="仿宋"/>
          <w:color w:val="auto"/>
          <w:sz w:val="24"/>
          <w:highlight w:val="none"/>
        </w:rPr>
      </w:pPr>
    </w:p>
    <w:p w14:paraId="76F6D885">
      <w:pPr>
        <w:pStyle w:val="16"/>
        <w:tabs>
          <w:tab w:val="left" w:pos="5580"/>
        </w:tabs>
        <w:spacing w:line="240" w:lineRule="atLeast"/>
        <w:rPr>
          <w:rFonts w:hint="eastAsia" w:ascii="仿宋" w:hAnsi="仿宋" w:eastAsia="仿宋" w:cs="仿宋"/>
          <w:color w:val="auto"/>
          <w:szCs w:val="21"/>
          <w:highlight w:val="none"/>
        </w:rPr>
      </w:pPr>
    </w:p>
    <w:p w14:paraId="78F15671">
      <w:pPr>
        <w:pStyle w:val="16"/>
        <w:tabs>
          <w:tab w:val="left" w:pos="5580"/>
        </w:tabs>
        <w:spacing w:line="240" w:lineRule="atLeast"/>
        <w:rPr>
          <w:rFonts w:hint="eastAsia" w:ascii="仿宋" w:hAnsi="仿宋" w:eastAsia="仿宋" w:cs="仿宋"/>
          <w:color w:val="auto"/>
          <w:szCs w:val="21"/>
          <w:highlight w:val="none"/>
        </w:rPr>
      </w:pPr>
    </w:p>
    <w:p w14:paraId="61C2D021">
      <w:pPr>
        <w:pStyle w:val="16"/>
        <w:tabs>
          <w:tab w:val="left" w:pos="5580"/>
        </w:tabs>
        <w:spacing w:line="240" w:lineRule="atLeast"/>
        <w:rPr>
          <w:rFonts w:hint="eastAsia" w:ascii="仿宋" w:hAnsi="仿宋" w:eastAsia="仿宋" w:cs="仿宋"/>
          <w:color w:val="auto"/>
          <w:szCs w:val="21"/>
          <w:highlight w:val="none"/>
        </w:rPr>
      </w:pPr>
    </w:p>
    <w:p w14:paraId="4348B0D6">
      <w:pPr>
        <w:pStyle w:val="16"/>
        <w:tabs>
          <w:tab w:val="left" w:pos="5580"/>
        </w:tabs>
        <w:spacing w:line="240" w:lineRule="atLeast"/>
        <w:rPr>
          <w:rFonts w:hint="eastAsia" w:ascii="仿宋" w:hAnsi="仿宋" w:eastAsia="仿宋" w:cs="仿宋"/>
          <w:color w:val="auto"/>
          <w:szCs w:val="21"/>
          <w:highlight w:val="none"/>
        </w:rPr>
      </w:pPr>
    </w:p>
    <w:p w14:paraId="441FA041">
      <w:pPr>
        <w:pStyle w:val="16"/>
        <w:tabs>
          <w:tab w:val="left" w:pos="5580"/>
        </w:tabs>
        <w:spacing w:line="240" w:lineRule="atLeast"/>
        <w:rPr>
          <w:rFonts w:hint="eastAsia" w:ascii="仿宋" w:hAnsi="仿宋" w:eastAsia="仿宋" w:cs="仿宋"/>
          <w:color w:val="auto"/>
          <w:szCs w:val="21"/>
          <w:highlight w:val="none"/>
        </w:rPr>
      </w:pPr>
    </w:p>
    <w:p w14:paraId="050FD373">
      <w:pPr>
        <w:pStyle w:val="16"/>
        <w:tabs>
          <w:tab w:val="left" w:pos="5580"/>
        </w:tabs>
        <w:spacing w:line="240" w:lineRule="atLeast"/>
        <w:rPr>
          <w:rFonts w:hint="eastAsia" w:ascii="仿宋" w:hAnsi="仿宋" w:eastAsia="仿宋" w:cs="仿宋"/>
          <w:color w:val="auto"/>
          <w:szCs w:val="21"/>
          <w:highlight w:val="none"/>
        </w:rPr>
      </w:pPr>
    </w:p>
    <w:p w14:paraId="6480DA02">
      <w:pPr>
        <w:pStyle w:val="16"/>
        <w:tabs>
          <w:tab w:val="left" w:pos="5580"/>
        </w:tabs>
        <w:spacing w:line="240" w:lineRule="atLeast"/>
        <w:rPr>
          <w:rFonts w:hint="eastAsia" w:ascii="仿宋" w:hAnsi="仿宋" w:eastAsia="仿宋" w:cs="仿宋"/>
          <w:color w:val="auto"/>
          <w:szCs w:val="21"/>
          <w:highlight w:val="none"/>
        </w:rPr>
      </w:pPr>
    </w:p>
    <w:p w14:paraId="772C2E90">
      <w:pPr>
        <w:pStyle w:val="16"/>
        <w:tabs>
          <w:tab w:val="left" w:pos="5580"/>
        </w:tabs>
        <w:spacing w:line="240" w:lineRule="atLeast"/>
        <w:rPr>
          <w:rFonts w:hint="eastAsia" w:ascii="仿宋" w:hAnsi="仿宋" w:eastAsia="仿宋" w:cs="仿宋"/>
          <w:color w:val="auto"/>
          <w:szCs w:val="21"/>
          <w:highlight w:val="none"/>
        </w:rPr>
      </w:pPr>
    </w:p>
    <w:p w14:paraId="15683ABE">
      <w:pPr>
        <w:pStyle w:val="16"/>
        <w:tabs>
          <w:tab w:val="left" w:pos="5580"/>
        </w:tabs>
        <w:spacing w:line="240" w:lineRule="atLeast"/>
        <w:rPr>
          <w:rFonts w:hint="eastAsia" w:ascii="仿宋" w:hAnsi="仿宋" w:eastAsia="仿宋" w:cs="仿宋"/>
          <w:color w:val="auto"/>
          <w:szCs w:val="21"/>
          <w:highlight w:val="none"/>
        </w:rPr>
      </w:pPr>
    </w:p>
    <w:p w14:paraId="4AB5FB6C">
      <w:pPr>
        <w:pStyle w:val="16"/>
        <w:tabs>
          <w:tab w:val="left" w:pos="5580"/>
        </w:tabs>
        <w:spacing w:line="240" w:lineRule="atLeast"/>
        <w:rPr>
          <w:rFonts w:hint="eastAsia" w:ascii="仿宋" w:hAnsi="仿宋" w:eastAsia="仿宋" w:cs="仿宋"/>
          <w:color w:val="auto"/>
          <w:szCs w:val="21"/>
          <w:highlight w:val="none"/>
        </w:rPr>
      </w:pPr>
    </w:p>
    <w:p w14:paraId="4669EC03">
      <w:pPr>
        <w:rPr>
          <w:rFonts w:hint="eastAsia" w:ascii="仿宋" w:hAnsi="仿宋" w:eastAsia="仿宋" w:cs="仿宋"/>
          <w:b/>
          <w:bCs/>
          <w:color w:val="auto"/>
          <w:sz w:val="24"/>
          <w:szCs w:val="24"/>
          <w:highlight w:val="none"/>
        </w:rPr>
      </w:pPr>
      <w:bookmarkStart w:id="1107" w:name="_Toc29625"/>
      <w:bookmarkStart w:id="1108" w:name="_Toc21772"/>
      <w:bookmarkStart w:id="1109" w:name="_Toc25918"/>
      <w:bookmarkStart w:id="1110" w:name="_Toc30408"/>
      <w:r>
        <w:rPr>
          <w:rFonts w:hint="eastAsia" w:ascii="仿宋" w:hAnsi="仿宋" w:eastAsia="仿宋" w:cs="仿宋"/>
          <w:b/>
          <w:bCs/>
          <w:color w:val="auto"/>
          <w:sz w:val="24"/>
          <w:szCs w:val="24"/>
          <w:highlight w:val="none"/>
        </w:rPr>
        <w:br w:type="page"/>
      </w:r>
    </w:p>
    <w:bookmarkEnd w:id="1104"/>
    <w:bookmarkEnd w:id="1105"/>
    <w:bookmarkEnd w:id="1106"/>
    <w:bookmarkEnd w:id="1107"/>
    <w:bookmarkEnd w:id="1108"/>
    <w:bookmarkEnd w:id="1109"/>
    <w:bookmarkEnd w:id="1110"/>
    <w:p w14:paraId="7C3E6597">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仿宋" w:hAnsi="仿宋" w:eastAsia="仿宋" w:cs="仿宋"/>
          <w:color w:val="auto"/>
          <w:sz w:val="28"/>
          <w:szCs w:val="28"/>
          <w:highlight w:val="none"/>
          <w:lang w:val="en-US" w:eastAsia="zh-CN"/>
        </w:rPr>
      </w:pPr>
      <w:bookmarkStart w:id="1111" w:name="_Toc32484"/>
      <w:bookmarkStart w:id="1112" w:name="_Toc7083"/>
      <w:r>
        <w:rPr>
          <w:rFonts w:hint="eastAsia" w:ascii="仿宋" w:hAnsi="仿宋" w:eastAsia="仿宋" w:cs="仿宋"/>
          <w:color w:val="auto"/>
          <w:sz w:val="28"/>
          <w:szCs w:val="28"/>
          <w:highlight w:val="none"/>
          <w:lang w:val="en-US" w:eastAsia="zh-CN"/>
        </w:rPr>
        <w:t>1.投标书</w:t>
      </w:r>
      <w:bookmarkEnd w:id="1111"/>
      <w:bookmarkEnd w:id="1112"/>
    </w:p>
    <w:p w14:paraId="409CBAB8">
      <w:pPr>
        <w:tabs>
          <w:tab w:val="left" w:pos="5580"/>
        </w:tabs>
        <w:spacing w:line="400" w:lineRule="exact"/>
        <w:ind w:left="1080"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p>
    <w:p w14:paraId="33D6C022">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p>
    <w:p w14:paraId="0866E20F">
      <w:pPr>
        <w:pStyle w:val="16"/>
        <w:tabs>
          <w:tab w:val="left" w:pos="5580"/>
        </w:tabs>
        <w:spacing w:line="400" w:lineRule="exact"/>
        <w:ind w:left="2" w:leftChars="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根据贵方(</w:t>
      </w:r>
      <w:r>
        <w:rPr>
          <w:rFonts w:hint="eastAsia" w:ascii="仿宋" w:hAnsi="仿宋" w:eastAsia="仿宋" w:cs="仿宋"/>
          <w:i/>
          <w:color w:val="auto"/>
          <w:sz w:val="24"/>
          <w:szCs w:val="24"/>
          <w:highlight w:val="none"/>
          <w:u w:val="single"/>
        </w:rPr>
        <w:t>项目名称</w:t>
      </w:r>
      <w:r>
        <w:rPr>
          <w:rFonts w:hint="eastAsia" w:ascii="仿宋" w:hAnsi="仿宋" w:eastAsia="仿宋" w:cs="仿宋"/>
          <w:color w:val="auto"/>
          <w:sz w:val="24"/>
          <w:szCs w:val="24"/>
          <w:highlight w:val="none"/>
        </w:rPr>
        <w:t>)项目的投标邀请(</w:t>
      </w:r>
      <w:r>
        <w:rPr>
          <w:rFonts w:hint="eastAsia" w:ascii="仿宋" w:hAnsi="仿宋" w:eastAsia="仿宋" w:cs="仿宋"/>
          <w:i/>
          <w:color w:val="auto"/>
          <w:sz w:val="24"/>
          <w:szCs w:val="24"/>
          <w:highlight w:val="none"/>
          <w:u w:val="single"/>
        </w:rPr>
        <w:t>项目编号</w:t>
      </w:r>
      <w:r>
        <w:rPr>
          <w:rFonts w:hint="eastAsia" w:ascii="仿宋" w:hAnsi="仿宋" w:eastAsia="仿宋" w:cs="仿宋"/>
          <w:color w:val="auto"/>
          <w:sz w:val="24"/>
          <w:szCs w:val="24"/>
          <w:highlight w:val="none"/>
        </w:rPr>
        <w:t>),签字代表(</w:t>
      </w:r>
      <w:r>
        <w:rPr>
          <w:rFonts w:hint="eastAsia" w:ascii="仿宋" w:hAnsi="仿宋" w:eastAsia="仿宋" w:cs="仿宋"/>
          <w:i/>
          <w:color w:val="auto"/>
          <w:sz w:val="24"/>
          <w:szCs w:val="24"/>
          <w:highlight w:val="none"/>
          <w:u w:val="single"/>
        </w:rPr>
        <w:t>姓名、职务</w:t>
      </w:r>
      <w:r>
        <w:rPr>
          <w:rFonts w:hint="eastAsia" w:ascii="仿宋" w:hAnsi="仿宋" w:eastAsia="仿宋" w:cs="仿宋"/>
          <w:color w:val="auto"/>
          <w:sz w:val="24"/>
          <w:szCs w:val="24"/>
          <w:highlight w:val="none"/>
        </w:rPr>
        <w:t>)经正式授权并代表供应商（</w:t>
      </w:r>
      <w:r>
        <w:rPr>
          <w:rFonts w:hint="eastAsia" w:ascii="仿宋" w:hAnsi="仿宋" w:eastAsia="仿宋" w:cs="仿宋"/>
          <w:i/>
          <w:color w:val="auto"/>
          <w:sz w:val="24"/>
          <w:szCs w:val="24"/>
          <w:highlight w:val="none"/>
          <w:u w:val="single"/>
        </w:rPr>
        <w:t>名称、地址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上传投标</w:t>
      </w:r>
      <w:r>
        <w:rPr>
          <w:rFonts w:hint="eastAsia" w:ascii="仿宋" w:hAnsi="仿宋" w:eastAsia="仿宋" w:cs="仿宋"/>
          <w:color w:val="auto"/>
          <w:sz w:val="24"/>
          <w:szCs w:val="24"/>
          <w:highlight w:val="none"/>
        </w:rPr>
        <w:t>文件，并以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形式出具的金额为人民币</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元的投标保证金。</w:t>
      </w:r>
    </w:p>
    <w:p w14:paraId="39F7760C">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据此，签字代表宣布同意如下：</w:t>
      </w:r>
    </w:p>
    <w:p w14:paraId="4CD352ED">
      <w:pPr>
        <w:pStyle w:val="16"/>
        <w:tabs>
          <w:tab w:val="left" w:pos="720"/>
          <w:tab w:val="left" w:pos="900"/>
        </w:tabs>
        <w:spacing w:line="400" w:lineRule="exact"/>
        <w:ind w:left="769" w:leftChars="257" w:hanging="22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（1）附投标价格表中规定的应提供</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的投标总价详见开标一览表，</w:t>
      </w:r>
      <w:r>
        <w:rPr>
          <w:rFonts w:hint="eastAsia" w:ascii="仿宋" w:hAnsi="仿宋" w:eastAsia="仿宋" w:cs="仿宋"/>
          <w:color w:val="auto"/>
          <w:sz w:val="24"/>
          <w:szCs w:val="24"/>
          <w:highlight w:val="none"/>
          <w:u w:val="single"/>
        </w:rPr>
        <w:t>其中由小型和</w:t>
      </w:r>
      <w:r>
        <w:rPr>
          <w:rFonts w:hint="eastAsia" w:ascii="仿宋" w:hAnsi="仿宋" w:eastAsia="仿宋" w:cs="仿宋"/>
          <w:color w:val="auto"/>
          <w:sz w:val="24"/>
          <w:szCs w:val="24"/>
          <w:highlight w:val="none"/>
        </w:rPr>
        <w:t>微型企业制造产品的价格为</w:t>
      </w:r>
      <w:r>
        <w:rPr>
          <w:rFonts w:hint="eastAsia" w:ascii="仿宋" w:hAnsi="仿宋" w:eastAsia="仿宋" w:cs="仿宋"/>
          <w:color w:val="auto"/>
          <w:sz w:val="24"/>
          <w:szCs w:val="24"/>
          <w:highlight w:val="none"/>
          <w:u w:val="single"/>
        </w:rPr>
        <w:t>　　  （用文字和数字表示），占投标总价   %</w:t>
      </w:r>
      <w:r>
        <w:rPr>
          <w:rFonts w:hint="eastAsia" w:ascii="仿宋" w:hAnsi="仿宋" w:eastAsia="仿宋" w:cs="仿宋"/>
          <w:color w:val="auto"/>
          <w:sz w:val="24"/>
          <w:szCs w:val="24"/>
          <w:highlight w:val="none"/>
        </w:rPr>
        <w:t>。</w:t>
      </w:r>
    </w:p>
    <w:p w14:paraId="6EC355EF">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（2）本投标有效期为自投标截止之日起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个日历日。</w:t>
      </w:r>
    </w:p>
    <w:p w14:paraId="0BC8C96D">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（3）联合体中的大中型企业和其他自然人、法人或者非法人组织，与联合体中的小型、微型企业之间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存在、不存在）投资关系（如果是联合体的话）。</w:t>
      </w:r>
    </w:p>
    <w:p w14:paraId="3410554F">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（4）已详细审查全部招标文件，包括所有补充通知（如果有的话），完全理解并同意放弃对这方面有不明、误解和质疑的权力。</w:t>
      </w:r>
    </w:p>
    <w:p w14:paraId="7BBF824D">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（5）在规定的开标时间后，遵守招标文件中有关保证金的规定。</w:t>
      </w:r>
    </w:p>
    <w:p w14:paraId="5C013A6F">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（6）我方不是为本项目提供整体设计、规范编制或者项目管理、监理、检测等</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的供应商，我方不是采购代理机构的附属机构。</w:t>
      </w:r>
    </w:p>
    <w:p w14:paraId="1ED9CA51">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（7）在领取中标通知书的同时按招标文件规定的形式，向贵方一次性支付中标服务费。</w:t>
      </w:r>
    </w:p>
    <w:p w14:paraId="48F9B8D4">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（8）按照贵方可能要求，提供与其投标有关的一切数据或资料，完全理解贵方不一定接受最低价的投标或收到的任何投标。</w:t>
      </w:r>
    </w:p>
    <w:p w14:paraId="11B4C887">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（9）按照招标文件的规定履行合同责任和义务。</w:t>
      </w:r>
    </w:p>
    <w:p w14:paraId="20741EB5">
      <w:pPr>
        <w:pStyle w:val="16"/>
        <w:tabs>
          <w:tab w:val="left" w:pos="5580"/>
        </w:tabs>
        <w:spacing w:line="400" w:lineRule="exact"/>
        <w:ind w:left="359" w:leftChars="68" w:hanging="216" w:hangingChars="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与本投标有关的一切正式往来信函请寄：</w:t>
      </w:r>
    </w:p>
    <w:p w14:paraId="7A35B463">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213496F4">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p>
    <w:p w14:paraId="31280E9A">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法定代表人或其委托代理人（签/章）</w:t>
      </w:r>
      <w:r>
        <w:rPr>
          <w:rFonts w:hint="eastAsia" w:ascii="仿宋" w:hAnsi="仿宋" w:eastAsia="仿宋" w:cs="仿宋"/>
          <w:color w:val="auto"/>
          <w:sz w:val="24"/>
          <w:szCs w:val="24"/>
          <w:highlight w:val="none"/>
          <w:u w:val="single"/>
        </w:rPr>
        <w:t xml:space="preserve">       </w:t>
      </w:r>
    </w:p>
    <w:p w14:paraId="6F28834C">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eastAsia="zh-CN"/>
        </w:rPr>
        <w:t>名称</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14:paraId="1E86D30A">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供应商开户银行（全称）</w:t>
      </w:r>
      <w:r>
        <w:rPr>
          <w:rFonts w:hint="eastAsia" w:ascii="仿宋" w:hAnsi="仿宋" w:eastAsia="仿宋" w:cs="仿宋"/>
          <w:color w:val="auto"/>
          <w:sz w:val="24"/>
          <w:szCs w:val="24"/>
          <w:highlight w:val="none"/>
          <w:u w:val="single"/>
        </w:rPr>
        <w:t xml:space="preserve">　　　　　　 </w:t>
      </w:r>
    </w:p>
    <w:p w14:paraId="10F6CAD8">
      <w:pPr>
        <w:pStyle w:val="16"/>
        <w:tabs>
          <w:tab w:val="left" w:pos="5580"/>
        </w:tabs>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供应商银行帐号</w:t>
      </w:r>
      <w:r>
        <w:rPr>
          <w:rFonts w:hint="eastAsia" w:ascii="仿宋" w:hAnsi="仿宋" w:eastAsia="仿宋" w:cs="仿宋"/>
          <w:color w:val="auto"/>
          <w:sz w:val="24"/>
          <w:szCs w:val="24"/>
          <w:highlight w:val="none"/>
          <w:u w:val="single"/>
        </w:rPr>
        <w:t>　　　　　　　　 　　</w:t>
      </w:r>
    </w:p>
    <w:p w14:paraId="1E42D3EA">
      <w:pPr>
        <w:pStyle w:val="16"/>
        <w:tabs>
          <w:tab w:val="left" w:pos="5580"/>
        </w:tabs>
        <w:spacing w:line="400" w:lineRule="exact"/>
        <w:ind w:left="1080" w:leftChars="257" w:hanging="54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 xml:space="preserve">                </w:t>
      </w:r>
      <w:bookmarkStart w:id="1113" w:name="_Toc23473"/>
      <w:bookmarkStart w:id="1114" w:name="_Toc1266"/>
      <w:bookmarkStart w:id="1115" w:name="_Toc14219"/>
      <w:bookmarkStart w:id="1116" w:name="_Toc19819"/>
      <w:bookmarkStart w:id="1117" w:name="_Toc6738"/>
      <w:bookmarkStart w:id="1118" w:name="_Toc30947"/>
    </w:p>
    <w:p w14:paraId="38A42B93">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br w:type="page"/>
      </w:r>
    </w:p>
    <w:bookmarkEnd w:id="1113"/>
    <w:bookmarkEnd w:id="1114"/>
    <w:bookmarkEnd w:id="1115"/>
    <w:bookmarkEnd w:id="1116"/>
    <w:bookmarkEnd w:id="1117"/>
    <w:bookmarkEnd w:id="1118"/>
    <w:p w14:paraId="363919E5">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仿宋" w:hAnsi="仿宋" w:eastAsia="仿宋" w:cs="仿宋"/>
          <w:color w:val="auto"/>
          <w:sz w:val="28"/>
          <w:szCs w:val="28"/>
          <w:highlight w:val="none"/>
          <w:lang w:val="en-US" w:eastAsia="zh-CN"/>
        </w:rPr>
      </w:pPr>
      <w:bookmarkStart w:id="1119" w:name="_Toc25752"/>
      <w:bookmarkStart w:id="1120" w:name="_Toc24631"/>
      <w:bookmarkStart w:id="1121" w:name="_Toc22563"/>
      <w:bookmarkStart w:id="1122" w:name="_Toc515647820"/>
      <w:bookmarkStart w:id="1123" w:name="_Toc216582817"/>
      <w:bookmarkStart w:id="1124" w:name="_Toc28959"/>
      <w:r>
        <w:rPr>
          <w:rFonts w:hint="eastAsia" w:ascii="仿宋" w:hAnsi="仿宋" w:eastAsia="仿宋" w:cs="仿宋"/>
          <w:color w:val="auto"/>
          <w:sz w:val="28"/>
          <w:szCs w:val="28"/>
          <w:highlight w:val="none"/>
          <w:lang w:val="en-US" w:eastAsia="zh-CN"/>
        </w:rPr>
        <w:t>2.投标分项报价表</w:t>
      </w:r>
      <w:bookmarkEnd w:id="1119"/>
      <w:bookmarkEnd w:id="1120"/>
    </w:p>
    <w:p w14:paraId="0ED88885">
      <w:pPr>
        <w:pStyle w:val="16"/>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                      项目编号:                       　 　          报价单位：人民币</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bCs/>
          <w:color w:val="auto"/>
          <w:sz w:val="24"/>
          <w:szCs w:val="24"/>
          <w:highlight w:val="none"/>
        </w:rPr>
        <w:t>元</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包号：</w:t>
      </w:r>
    </w:p>
    <w:tbl>
      <w:tblPr>
        <w:tblStyle w:val="30"/>
        <w:tblW w:w="56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226"/>
        <w:gridCol w:w="716"/>
        <w:gridCol w:w="948"/>
        <w:gridCol w:w="1504"/>
        <w:gridCol w:w="718"/>
        <w:gridCol w:w="708"/>
        <w:gridCol w:w="718"/>
        <w:gridCol w:w="710"/>
        <w:gridCol w:w="836"/>
        <w:gridCol w:w="728"/>
      </w:tblGrid>
      <w:tr w14:paraId="422A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371" w:type="pct"/>
            <w:vAlign w:val="center"/>
          </w:tcPr>
          <w:p w14:paraId="40E5E50F">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序号</w:t>
            </w:r>
          </w:p>
        </w:tc>
        <w:tc>
          <w:tcPr>
            <w:tcW w:w="644" w:type="pct"/>
            <w:vAlign w:val="center"/>
          </w:tcPr>
          <w:p w14:paraId="6E14C66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货物</w:t>
            </w:r>
            <w:r>
              <w:rPr>
                <w:rFonts w:hint="eastAsia" w:ascii="仿宋" w:hAnsi="仿宋" w:eastAsia="仿宋" w:cs="仿宋"/>
                <w:color w:val="auto"/>
                <w:sz w:val="24"/>
                <w:highlight w:val="none"/>
              </w:rPr>
              <w:t>名称</w:t>
            </w:r>
          </w:p>
        </w:tc>
        <w:tc>
          <w:tcPr>
            <w:tcW w:w="376" w:type="pct"/>
            <w:vAlign w:val="center"/>
          </w:tcPr>
          <w:p w14:paraId="6720470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品牌</w:t>
            </w:r>
          </w:p>
        </w:tc>
        <w:tc>
          <w:tcPr>
            <w:tcW w:w="498" w:type="pct"/>
            <w:vAlign w:val="center"/>
          </w:tcPr>
          <w:p w14:paraId="6A6DFCB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p>
          <w:p w14:paraId="60FF37B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型号</w:t>
            </w:r>
          </w:p>
        </w:tc>
        <w:tc>
          <w:tcPr>
            <w:tcW w:w="790" w:type="pct"/>
            <w:vAlign w:val="center"/>
          </w:tcPr>
          <w:p w14:paraId="7E2E58C2">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生产厂家名称</w:t>
            </w:r>
          </w:p>
        </w:tc>
        <w:tc>
          <w:tcPr>
            <w:tcW w:w="377" w:type="pct"/>
            <w:vAlign w:val="center"/>
          </w:tcPr>
          <w:p w14:paraId="7F646EE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产地</w:t>
            </w:r>
          </w:p>
        </w:tc>
        <w:tc>
          <w:tcPr>
            <w:tcW w:w="372" w:type="pct"/>
            <w:vAlign w:val="center"/>
          </w:tcPr>
          <w:p w14:paraId="2A8D5E9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377" w:type="pct"/>
            <w:vAlign w:val="center"/>
          </w:tcPr>
          <w:p w14:paraId="3DDAEB5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373" w:type="pct"/>
            <w:vAlign w:val="center"/>
          </w:tcPr>
          <w:p w14:paraId="6F80505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436" w:type="pct"/>
            <w:vAlign w:val="center"/>
          </w:tcPr>
          <w:p w14:paraId="210134D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合价</w:t>
            </w:r>
          </w:p>
        </w:tc>
        <w:tc>
          <w:tcPr>
            <w:tcW w:w="382" w:type="pct"/>
            <w:vAlign w:val="center"/>
          </w:tcPr>
          <w:p w14:paraId="6A75CE5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59D9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14:paraId="1F33624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44" w:type="pct"/>
            <w:vAlign w:val="center"/>
          </w:tcPr>
          <w:p w14:paraId="67E2D34D">
            <w:pPr>
              <w:spacing w:line="360" w:lineRule="auto"/>
              <w:jc w:val="center"/>
              <w:rPr>
                <w:rFonts w:hint="eastAsia" w:ascii="仿宋" w:hAnsi="仿宋" w:eastAsia="仿宋" w:cs="仿宋"/>
                <w:color w:val="auto"/>
                <w:sz w:val="24"/>
                <w:highlight w:val="none"/>
              </w:rPr>
            </w:pPr>
          </w:p>
        </w:tc>
        <w:tc>
          <w:tcPr>
            <w:tcW w:w="376" w:type="pct"/>
            <w:vAlign w:val="center"/>
          </w:tcPr>
          <w:p w14:paraId="41B0B025">
            <w:pPr>
              <w:spacing w:line="360" w:lineRule="auto"/>
              <w:jc w:val="center"/>
              <w:rPr>
                <w:rFonts w:hint="eastAsia" w:ascii="仿宋" w:hAnsi="仿宋" w:eastAsia="仿宋" w:cs="仿宋"/>
                <w:color w:val="auto"/>
                <w:sz w:val="24"/>
                <w:highlight w:val="none"/>
              </w:rPr>
            </w:pPr>
          </w:p>
        </w:tc>
        <w:tc>
          <w:tcPr>
            <w:tcW w:w="498" w:type="pct"/>
            <w:vAlign w:val="center"/>
          </w:tcPr>
          <w:p w14:paraId="1BB57D7D">
            <w:pPr>
              <w:spacing w:line="360" w:lineRule="auto"/>
              <w:jc w:val="center"/>
              <w:rPr>
                <w:rFonts w:hint="eastAsia" w:ascii="仿宋" w:hAnsi="仿宋" w:eastAsia="仿宋" w:cs="仿宋"/>
                <w:color w:val="auto"/>
                <w:sz w:val="24"/>
                <w:highlight w:val="none"/>
              </w:rPr>
            </w:pPr>
          </w:p>
        </w:tc>
        <w:tc>
          <w:tcPr>
            <w:tcW w:w="790" w:type="pct"/>
            <w:vAlign w:val="center"/>
          </w:tcPr>
          <w:p w14:paraId="19A7F5E3">
            <w:pPr>
              <w:spacing w:line="360" w:lineRule="auto"/>
              <w:jc w:val="center"/>
              <w:rPr>
                <w:rFonts w:hint="eastAsia" w:ascii="仿宋" w:hAnsi="仿宋" w:eastAsia="仿宋" w:cs="仿宋"/>
                <w:color w:val="auto"/>
                <w:sz w:val="24"/>
                <w:highlight w:val="none"/>
              </w:rPr>
            </w:pPr>
          </w:p>
        </w:tc>
        <w:tc>
          <w:tcPr>
            <w:tcW w:w="377" w:type="pct"/>
            <w:vAlign w:val="center"/>
          </w:tcPr>
          <w:p w14:paraId="22EFA2AB">
            <w:pPr>
              <w:spacing w:line="360" w:lineRule="auto"/>
              <w:jc w:val="center"/>
              <w:rPr>
                <w:rFonts w:hint="eastAsia" w:ascii="仿宋" w:hAnsi="仿宋" w:eastAsia="仿宋" w:cs="仿宋"/>
                <w:color w:val="auto"/>
                <w:sz w:val="24"/>
                <w:highlight w:val="none"/>
              </w:rPr>
            </w:pPr>
          </w:p>
        </w:tc>
        <w:tc>
          <w:tcPr>
            <w:tcW w:w="372" w:type="pct"/>
            <w:vAlign w:val="center"/>
          </w:tcPr>
          <w:p w14:paraId="1563BD54">
            <w:pPr>
              <w:spacing w:line="360" w:lineRule="auto"/>
              <w:jc w:val="center"/>
              <w:rPr>
                <w:rFonts w:hint="eastAsia" w:ascii="仿宋" w:hAnsi="仿宋" w:eastAsia="仿宋" w:cs="仿宋"/>
                <w:color w:val="auto"/>
                <w:sz w:val="24"/>
                <w:highlight w:val="none"/>
              </w:rPr>
            </w:pPr>
          </w:p>
        </w:tc>
        <w:tc>
          <w:tcPr>
            <w:tcW w:w="377" w:type="pct"/>
            <w:vAlign w:val="center"/>
          </w:tcPr>
          <w:p w14:paraId="662D4130">
            <w:pPr>
              <w:spacing w:line="360" w:lineRule="auto"/>
              <w:jc w:val="center"/>
              <w:rPr>
                <w:rFonts w:hint="eastAsia" w:ascii="仿宋" w:hAnsi="仿宋" w:eastAsia="仿宋" w:cs="仿宋"/>
                <w:color w:val="auto"/>
                <w:sz w:val="24"/>
                <w:highlight w:val="none"/>
              </w:rPr>
            </w:pPr>
          </w:p>
        </w:tc>
        <w:tc>
          <w:tcPr>
            <w:tcW w:w="373" w:type="pct"/>
            <w:vAlign w:val="center"/>
          </w:tcPr>
          <w:p w14:paraId="1DC2F61D">
            <w:pPr>
              <w:spacing w:line="360" w:lineRule="auto"/>
              <w:jc w:val="center"/>
              <w:rPr>
                <w:rFonts w:hint="eastAsia" w:ascii="仿宋" w:hAnsi="仿宋" w:eastAsia="仿宋" w:cs="仿宋"/>
                <w:color w:val="auto"/>
                <w:sz w:val="24"/>
                <w:highlight w:val="none"/>
              </w:rPr>
            </w:pPr>
          </w:p>
        </w:tc>
        <w:tc>
          <w:tcPr>
            <w:tcW w:w="436" w:type="pct"/>
            <w:vAlign w:val="center"/>
          </w:tcPr>
          <w:p w14:paraId="06A8292E">
            <w:pPr>
              <w:spacing w:line="360" w:lineRule="auto"/>
              <w:jc w:val="center"/>
              <w:rPr>
                <w:rFonts w:hint="eastAsia" w:ascii="仿宋" w:hAnsi="仿宋" w:eastAsia="仿宋" w:cs="仿宋"/>
                <w:color w:val="auto"/>
                <w:sz w:val="24"/>
                <w:highlight w:val="none"/>
              </w:rPr>
            </w:pPr>
          </w:p>
        </w:tc>
        <w:tc>
          <w:tcPr>
            <w:tcW w:w="382" w:type="pct"/>
            <w:vAlign w:val="center"/>
          </w:tcPr>
          <w:p w14:paraId="62CAE1AC">
            <w:pPr>
              <w:spacing w:line="360" w:lineRule="auto"/>
              <w:jc w:val="center"/>
              <w:rPr>
                <w:rFonts w:hint="eastAsia" w:ascii="仿宋" w:hAnsi="仿宋" w:eastAsia="仿宋" w:cs="仿宋"/>
                <w:color w:val="auto"/>
                <w:sz w:val="24"/>
                <w:highlight w:val="none"/>
              </w:rPr>
            </w:pPr>
          </w:p>
        </w:tc>
      </w:tr>
      <w:tr w14:paraId="1528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14:paraId="0740EF9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644" w:type="pct"/>
            <w:vAlign w:val="center"/>
          </w:tcPr>
          <w:p w14:paraId="5339D682">
            <w:pPr>
              <w:spacing w:line="360" w:lineRule="auto"/>
              <w:jc w:val="center"/>
              <w:rPr>
                <w:rFonts w:hint="eastAsia" w:ascii="仿宋" w:hAnsi="仿宋" w:eastAsia="仿宋" w:cs="仿宋"/>
                <w:color w:val="auto"/>
                <w:sz w:val="24"/>
                <w:highlight w:val="none"/>
              </w:rPr>
            </w:pPr>
          </w:p>
        </w:tc>
        <w:tc>
          <w:tcPr>
            <w:tcW w:w="376" w:type="pct"/>
            <w:vAlign w:val="center"/>
          </w:tcPr>
          <w:p w14:paraId="0C26FF62">
            <w:pPr>
              <w:spacing w:line="360" w:lineRule="auto"/>
              <w:jc w:val="center"/>
              <w:rPr>
                <w:rFonts w:hint="eastAsia" w:ascii="仿宋" w:hAnsi="仿宋" w:eastAsia="仿宋" w:cs="仿宋"/>
                <w:color w:val="auto"/>
                <w:sz w:val="24"/>
                <w:highlight w:val="none"/>
              </w:rPr>
            </w:pPr>
          </w:p>
        </w:tc>
        <w:tc>
          <w:tcPr>
            <w:tcW w:w="498" w:type="pct"/>
            <w:vAlign w:val="center"/>
          </w:tcPr>
          <w:p w14:paraId="5A6AEBDF">
            <w:pPr>
              <w:spacing w:line="360" w:lineRule="auto"/>
              <w:jc w:val="center"/>
              <w:rPr>
                <w:rFonts w:hint="eastAsia" w:ascii="仿宋" w:hAnsi="仿宋" w:eastAsia="仿宋" w:cs="仿宋"/>
                <w:color w:val="auto"/>
                <w:sz w:val="24"/>
                <w:highlight w:val="none"/>
              </w:rPr>
            </w:pPr>
          </w:p>
        </w:tc>
        <w:tc>
          <w:tcPr>
            <w:tcW w:w="790" w:type="pct"/>
            <w:vAlign w:val="center"/>
          </w:tcPr>
          <w:p w14:paraId="504D39E2">
            <w:pPr>
              <w:spacing w:line="360" w:lineRule="auto"/>
              <w:jc w:val="center"/>
              <w:rPr>
                <w:rFonts w:hint="eastAsia" w:ascii="仿宋" w:hAnsi="仿宋" w:eastAsia="仿宋" w:cs="仿宋"/>
                <w:color w:val="auto"/>
                <w:sz w:val="24"/>
                <w:highlight w:val="none"/>
              </w:rPr>
            </w:pPr>
          </w:p>
        </w:tc>
        <w:tc>
          <w:tcPr>
            <w:tcW w:w="377" w:type="pct"/>
            <w:vAlign w:val="center"/>
          </w:tcPr>
          <w:p w14:paraId="33F7EA30">
            <w:pPr>
              <w:spacing w:line="360" w:lineRule="auto"/>
              <w:jc w:val="center"/>
              <w:rPr>
                <w:rFonts w:hint="eastAsia" w:ascii="仿宋" w:hAnsi="仿宋" w:eastAsia="仿宋" w:cs="仿宋"/>
                <w:color w:val="auto"/>
                <w:sz w:val="24"/>
                <w:highlight w:val="none"/>
              </w:rPr>
            </w:pPr>
          </w:p>
        </w:tc>
        <w:tc>
          <w:tcPr>
            <w:tcW w:w="372" w:type="pct"/>
            <w:vAlign w:val="center"/>
          </w:tcPr>
          <w:p w14:paraId="735C2395">
            <w:pPr>
              <w:spacing w:line="360" w:lineRule="auto"/>
              <w:jc w:val="center"/>
              <w:rPr>
                <w:rFonts w:hint="eastAsia" w:ascii="仿宋" w:hAnsi="仿宋" w:eastAsia="仿宋" w:cs="仿宋"/>
                <w:color w:val="auto"/>
                <w:sz w:val="24"/>
                <w:highlight w:val="none"/>
              </w:rPr>
            </w:pPr>
          </w:p>
        </w:tc>
        <w:tc>
          <w:tcPr>
            <w:tcW w:w="377" w:type="pct"/>
            <w:vAlign w:val="center"/>
          </w:tcPr>
          <w:p w14:paraId="27A67D6A">
            <w:pPr>
              <w:spacing w:line="360" w:lineRule="auto"/>
              <w:jc w:val="center"/>
              <w:rPr>
                <w:rFonts w:hint="eastAsia" w:ascii="仿宋" w:hAnsi="仿宋" w:eastAsia="仿宋" w:cs="仿宋"/>
                <w:color w:val="auto"/>
                <w:sz w:val="24"/>
                <w:highlight w:val="none"/>
              </w:rPr>
            </w:pPr>
          </w:p>
        </w:tc>
        <w:tc>
          <w:tcPr>
            <w:tcW w:w="373" w:type="pct"/>
            <w:vAlign w:val="center"/>
          </w:tcPr>
          <w:p w14:paraId="241BF44F">
            <w:pPr>
              <w:spacing w:line="360" w:lineRule="auto"/>
              <w:jc w:val="center"/>
              <w:rPr>
                <w:rFonts w:hint="eastAsia" w:ascii="仿宋" w:hAnsi="仿宋" w:eastAsia="仿宋" w:cs="仿宋"/>
                <w:color w:val="auto"/>
                <w:sz w:val="24"/>
                <w:highlight w:val="none"/>
              </w:rPr>
            </w:pPr>
          </w:p>
        </w:tc>
        <w:tc>
          <w:tcPr>
            <w:tcW w:w="436" w:type="pct"/>
            <w:vAlign w:val="center"/>
          </w:tcPr>
          <w:p w14:paraId="79B64A6E">
            <w:pPr>
              <w:spacing w:line="360" w:lineRule="auto"/>
              <w:jc w:val="center"/>
              <w:rPr>
                <w:rFonts w:hint="eastAsia" w:ascii="仿宋" w:hAnsi="仿宋" w:eastAsia="仿宋" w:cs="仿宋"/>
                <w:color w:val="auto"/>
                <w:sz w:val="24"/>
                <w:highlight w:val="none"/>
              </w:rPr>
            </w:pPr>
          </w:p>
        </w:tc>
        <w:tc>
          <w:tcPr>
            <w:tcW w:w="382" w:type="pct"/>
            <w:vAlign w:val="center"/>
          </w:tcPr>
          <w:p w14:paraId="1AAD4AE8">
            <w:pPr>
              <w:spacing w:line="360" w:lineRule="auto"/>
              <w:jc w:val="center"/>
              <w:rPr>
                <w:rFonts w:hint="eastAsia" w:ascii="仿宋" w:hAnsi="仿宋" w:eastAsia="仿宋" w:cs="仿宋"/>
                <w:color w:val="auto"/>
                <w:sz w:val="24"/>
                <w:highlight w:val="none"/>
              </w:rPr>
            </w:pPr>
          </w:p>
        </w:tc>
      </w:tr>
      <w:tr w14:paraId="000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14:paraId="7B1644D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644" w:type="pct"/>
            <w:vAlign w:val="center"/>
          </w:tcPr>
          <w:p w14:paraId="415418EF">
            <w:pPr>
              <w:spacing w:line="360" w:lineRule="auto"/>
              <w:jc w:val="center"/>
              <w:rPr>
                <w:rFonts w:hint="eastAsia" w:ascii="仿宋" w:hAnsi="仿宋" w:eastAsia="仿宋" w:cs="仿宋"/>
                <w:color w:val="auto"/>
                <w:sz w:val="24"/>
                <w:highlight w:val="none"/>
              </w:rPr>
            </w:pPr>
          </w:p>
        </w:tc>
        <w:tc>
          <w:tcPr>
            <w:tcW w:w="376" w:type="pct"/>
            <w:vAlign w:val="center"/>
          </w:tcPr>
          <w:p w14:paraId="3D47C025">
            <w:pPr>
              <w:spacing w:line="360" w:lineRule="auto"/>
              <w:jc w:val="center"/>
              <w:rPr>
                <w:rFonts w:hint="eastAsia" w:ascii="仿宋" w:hAnsi="仿宋" w:eastAsia="仿宋" w:cs="仿宋"/>
                <w:color w:val="auto"/>
                <w:sz w:val="24"/>
                <w:highlight w:val="none"/>
              </w:rPr>
            </w:pPr>
          </w:p>
        </w:tc>
        <w:tc>
          <w:tcPr>
            <w:tcW w:w="498" w:type="pct"/>
            <w:vAlign w:val="center"/>
          </w:tcPr>
          <w:p w14:paraId="60E34C35">
            <w:pPr>
              <w:spacing w:line="360" w:lineRule="auto"/>
              <w:jc w:val="center"/>
              <w:rPr>
                <w:rFonts w:hint="eastAsia" w:ascii="仿宋" w:hAnsi="仿宋" w:eastAsia="仿宋" w:cs="仿宋"/>
                <w:color w:val="auto"/>
                <w:sz w:val="24"/>
                <w:highlight w:val="none"/>
              </w:rPr>
            </w:pPr>
          </w:p>
        </w:tc>
        <w:tc>
          <w:tcPr>
            <w:tcW w:w="790" w:type="pct"/>
            <w:vAlign w:val="center"/>
          </w:tcPr>
          <w:p w14:paraId="6B7321E8">
            <w:pPr>
              <w:spacing w:line="360" w:lineRule="auto"/>
              <w:jc w:val="center"/>
              <w:rPr>
                <w:rFonts w:hint="eastAsia" w:ascii="仿宋" w:hAnsi="仿宋" w:eastAsia="仿宋" w:cs="仿宋"/>
                <w:color w:val="auto"/>
                <w:sz w:val="24"/>
                <w:highlight w:val="none"/>
              </w:rPr>
            </w:pPr>
          </w:p>
        </w:tc>
        <w:tc>
          <w:tcPr>
            <w:tcW w:w="377" w:type="pct"/>
            <w:vAlign w:val="center"/>
          </w:tcPr>
          <w:p w14:paraId="70D66866">
            <w:pPr>
              <w:spacing w:line="360" w:lineRule="auto"/>
              <w:jc w:val="center"/>
              <w:rPr>
                <w:rFonts w:hint="eastAsia" w:ascii="仿宋" w:hAnsi="仿宋" w:eastAsia="仿宋" w:cs="仿宋"/>
                <w:color w:val="auto"/>
                <w:sz w:val="24"/>
                <w:highlight w:val="none"/>
              </w:rPr>
            </w:pPr>
          </w:p>
        </w:tc>
        <w:tc>
          <w:tcPr>
            <w:tcW w:w="372" w:type="pct"/>
            <w:vAlign w:val="center"/>
          </w:tcPr>
          <w:p w14:paraId="29DE4E3F">
            <w:pPr>
              <w:spacing w:line="360" w:lineRule="auto"/>
              <w:jc w:val="center"/>
              <w:rPr>
                <w:rFonts w:hint="eastAsia" w:ascii="仿宋" w:hAnsi="仿宋" w:eastAsia="仿宋" w:cs="仿宋"/>
                <w:color w:val="auto"/>
                <w:sz w:val="24"/>
                <w:highlight w:val="none"/>
              </w:rPr>
            </w:pPr>
          </w:p>
        </w:tc>
        <w:tc>
          <w:tcPr>
            <w:tcW w:w="377" w:type="pct"/>
            <w:vAlign w:val="center"/>
          </w:tcPr>
          <w:p w14:paraId="3E904088">
            <w:pPr>
              <w:spacing w:line="360" w:lineRule="auto"/>
              <w:jc w:val="center"/>
              <w:rPr>
                <w:rFonts w:hint="eastAsia" w:ascii="仿宋" w:hAnsi="仿宋" w:eastAsia="仿宋" w:cs="仿宋"/>
                <w:color w:val="auto"/>
                <w:sz w:val="24"/>
                <w:highlight w:val="none"/>
              </w:rPr>
            </w:pPr>
          </w:p>
        </w:tc>
        <w:tc>
          <w:tcPr>
            <w:tcW w:w="373" w:type="pct"/>
            <w:vAlign w:val="center"/>
          </w:tcPr>
          <w:p w14:paraId="4D6BF2D4">
            <w:pPr>
              <w:spacing w:line="360" w:lineRule="auto"/>
              <w:jc w:val="center"/>
              <w:rPr>
                <w:rFonts w:hint="eastAsia" w:ascii="仿宋" w:hAnsi="仿宋" w:eastAsia="仿宋" w:cs="仿宋"/>
                <w:color w:val="auto"/>
                <w:sz w:val="24"/>
                <w:highlight w:val="none"/>
              </w:rPr>
            </w:pPr>
          </w:p>
        </w:tc>
        <w:tc>
          <w:tcPr>
            <w:tcW w:w="436" w:type="pct"/>
            <w:vAlign w:val="center"/>
          </w:tcPr>
          <w:p w14:paraId="3C5C90F4">
            <w:pPr>
              <w:spacing w:line="360" w:lineRule="auto"/>
              <w:jc w:val="center"/>
              <w:rPr>
                <w:rFonts w:hint="eastAsia" w:ascii="仿宋" w:hAnsi="仿宋" w:eastAsia="仿宋" w:cs="仿宋"/>
                <w:color w:val="auto"/>
                <w:sz w:val="24"/>
                <w:highlight w:val="none"/>
              </w:rPr>
            </w:pPr>
          </w:p>
        </w:tc>
        <w:tc>
          <w:tcPr>
            <w:tcW w:w="382" w:type="pct"/>
            <w:vAlign w:val="center"/>
          </w:tcPr>
          <w:p w14:paraId="10C735D3">
            <w:pPr>
              <w:spacing w:line="360" w:lineRule="auto"/>
              <w:jc w:val="center"/>
              <w:rPr>
                <w:rFonts w:hint="eastAsia" w:ascii="仿宋" w:hAnsi="仿宋" w:eastAsia="仿宋" w:cs="仿宋"/>
                <w:color w:val="auto"/>
                <w:sz w:val="24"/>
                <w:highlight w:val="none"/>
              </w:rPr>
            </w:pPr>
          </w:p>
        </w:tc>
      </w:tr>
      <w:tr w14:paraId="7301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14:paraId="02DBE5C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644" w:type="pct"/>
            <w:vAlign w:val="center"/>
          </w:tcPr>
          <w:p w14:paraId="37920FE9">
            <w:pPr>
              <w:spacing w:line="360" w:lineRule="auto"/>
              <w:jc w:val="center"/>
              <w:rPr>
                <w:rFonts w:hint="eastAsia" w:ascii="仿宋" w:hAnsi="仿宋" w:eastAsia="仿宋" w:cs="仿宋"/>
                <w:color w:val="auto"/>
                <w:sz w:val="24"/>
                <w:highlight w:val="none"/>
              </w:rPr>
            </w:pPr>
          </w:p>
        </w:tc>
        <w:tc>
          <w:tcPr>
            <w:tcW w:w="376" w:type="pct"/>
            <w:vAlign w:val="center"/>
          </w:tcPr>
          <w:p w14:paraId="055E66B6">
            <w:pPr>
              <w:spacing w:line="360" w:lineRule="auto"/>
              <w:jc w:val="center"/>
              <w:rPr>
                <w:rFonts w:hint="eastAsia" w:ascii="仿宋" w:hAnsi="仿宋" w:eastAsia="仿宋" w:cs="仿宋"/>
                <w:color w:val="auto"/>
                <w:sz w:val="24"/>
                <w:highlight w:val="none"/>
              </w:rPr>
            </w:pPr>
          </w:p>
        </w:tc>
        <w:tc>
          <w:tcPr>
            <w:tcW w:w="498" w:type="pct"/>
            <w:vAlign w:val="center"/>
          </w:tcPr>
          <w:p w14:paraId="0EEC32B3">
            <w:pPr>
              <w:spacing w:line="360" w:lineRule="auto"/>
              <w:jc w:val="center"/>
              <w:rPr>
                <w:rFonts w:hint="eastAsia" w:ascii="仿宋" w:hAnsi="仿宋" w:eastAsia="仿宋" w:cs="仿宋"/>
                <w:color w:val="auto"/>
                <w:sz w:val="24"/>
                <w:highlight w:val="none"/>
              </w:rPr>
            </w:pPr>
          </w:p>
        </w:tc>
        <w:tc>
          <w:tcPr>
            <w:tcW w:w="790" w:type="pct"/>
            <w:vAlign w:val="center"/>
          </w:tcPr>
          <w:p w14:paraId="27DF67E8">
            <w:pPr>
              <w:spacing w:line="360" w:lineRule="auto"/>
              <w:jc w:val="center"/>
              <w:rPr>
                <w:rFonts w:hint="eastAsia" w:ascii="仿宋" w:hAnsi="仿宋" w:eastAsia="仿宋" w:cs="仿宋"/>
                <w:color w:val="auto"/>
                <w:sz w:val="24"/>
                <w:highlight w:val="none"/>
              </w:rPr>
            </w:pPr>
          </w:p>
        </w:tc>
        <w:tc>
          <w:tcPr>
            <w:tcW w:w="377" w:type="pct"/>
            <w:vAlign w:val="center"/>
          </w:tcPr>
          <w:p w14:paraId="23DC474F">
            <w:pPr>
              <w:spacing w:line="360" w:lineRule="auto"/>
              <w:jc w:val="center"/>
              <w:rPr>
                <w:rFonts w:hint="eastAsia" w:ascii="仿宋" w:hAnsi="仿宋" w:eastAsia="仿宋" w:cs="仿宋"/>
                <w:color w:val="auto"/>
                <w:sz w:val="24"/>
                <w:highlight w:val="none"/>
              </w:rPr>
            </w:pPr>
          </w:p>
        </w:tc>
        <w:tc>
          <w:tcPr>
            <w:tcW w:w="372" w:type="pct"/>
            <w:vAlign w:val="center"/>
          </w:tcPr>
          <w:p w14:paraId="164EF554">
            <w:pPr>
              <w:spacing w:line="360" w:lineRule="auto"/>
              <w:jc w:val="center"/>
              <w:rPr>
                <w:rFonts w:hint="eastAsia" w:ascii="仿宋" w:hAnsi="仿宋" w:eastAsia="仿宋" w:cs="仿宋"/>
                <w:color w:val="auto"/>
                <w:sz w:val="24"/>
                <w:highlight w:val="none"/>
              </w:rPr>
            </w:pPr>
          </w:p>
        </w:tc>
        <w:tc>
          <w:tcPr>
            <w:tcW w:w="377" w:type="pct"/>
            <w:vAlign w:val="center"/>
          </w:tcPr>
          <w:p w14:paraId="6C670C96">
            <w:pPr>
              <w:spacing w:line="360" w:lineRule="auto"/>
              <w:jc w:val="center"/>
              <w:rPr>
                <w:rFonts w:hint="eastAsia" w:ascii="仿宋" w:hAnsi="仿宋" w:eastAsia="仿宋" w:cs="仿宋"/>
                <w:color w:val="auto"/>
                <w:sz w:val="24"/>
                <w:highlight w:val="none"/>
              </w:rPr>
            </w:pPr>
          </w:p>
        </w:tc>
        <w:tc>
          <w:tcPr>
            <w:tcW w:w="373" w:type="pct"/>
            <w:vAlign w:val="center"/>
          </w:tcPr>
          <w:p w14:paraId="1A8AE552">
            <w:pPr>
              <w:spacing w:line="360" w:lineRule="auto"/>
              <w:jc w:val="center"/>
              <w:rPr>
                <w:rFonts w:hint="eastAsia" w:ascii="仿宋" w:hAnsi="仿宋" w:eastAsia="仿宋" w:cs="仿宋"/>
                <w:color w:val="auto"/>
                <w:sz w:val="24"/>
                <w:highlight w:val="none"/>
              </w:rPr>
            </w:pPr>
          </w:p>
        </w:tc>
        <w:tc>
          <w:tcPr>
            <w:tcW w:w="436" w:type="pct"/>
            <w:vAlign w:val="center"/>
          </w:tcPr>
          <w:p w14:paraId="4E5F572A">
            <w:pPr>
              <w:spacing w:line="360" w:lineRule="auto"/>
              <w:jc w:val="center"/>
              <w:rPr>
                <w:rFonts w:hint="eastAsia" w:ascii="仿宋" w:hAnsi="仿宋" w:eastAsia="仿宋" w:cs="仿宋"/>
                <w:color w:val="auto"/>
                <w:sz w:val="24"/>
                <w:highlight w:val="none"/>
              </w:rPr>
            </w:pPr>
          </w:p>
        </w:tc>
        <w:tc>
          <w:tcPr>
            <w:tcW w:w="382" w:type="pct"/>
            <w:vAlign w:val="center"/>
          </w:tcPr>
          <w:p w14:paraId="6F49DDC4">
            <w:pPr>
              <w:spacing w:line="360" w:lineRule="auto"/>
              <w:jc w:val="center"/>
              <w:rPr>
                <w:rFonts w:hint="eastAsia" w:ascii="仿宋" w:hAnsi="仿宋" w:eastAsia="仿宋" w:cs="仿宋"/>
                <w:color w:val="auto"/>
                <w:sz w:val="24"/>
                <w:highlight w:val="none"/>
              </w:rPr>
            </w:pPr>
          </w:p>
        </w:tc>
      </w:tr>
      <w:tr w14:paraId="3B0E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14:paraId="542A108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644" w:type="pct"/>
            <w:vAlign w:val="center"/>
          </w:tcPr>
          <w:p w14:paraId="15613FF2">
            <w:pPr>
              <w:spacing w:line="360" w:lineRule="auto"/>
              <w:jc w:val="center"/>
              <w:rPr>
                <w:rFonts w:hint="eastAsia" w:ascii="仿宋" w:hAnsi="仿宋" w:eastAsia="仿宋" w:cs="仿宋"/>
                <w:color w:val="auto"/>
                <w:sz w:val="24"/>
                <w:highlight w:val="none"/>
              </w:rPr>
            </w:pPr>
          </w:p>
        </w:tc>
        <w:tc>
          <w:tcPr>
            <w:tcW w:w="376" w:type="pct"/>
            <w:vAlign w:val="center"/>
          </w:tcPr>
          <w:p w14:paraId="1C18F079">
            <w:pPr>
              <w:spacing w:line="360" w:lineRule="auto"/>
              <w:jc w:val="center"/>
              <w:rPr>
                <w:rFonts w:hint="eastAsia" w:ascii="仿宋" w:hAnsi="仿宋" w:eastAsia="仿宋" w:cs="仿宋"/>
                <w:color w:val="auto"/>
                <w:sz w:val="24"/>
                <w:highlight w:val="none"/>
              </w:rPr>
            </w:pPr>
          </w:p>
        </w:tc>
        <w:tc>
          <w:tcPr>
            <w:tcW w:w="498" w:type="pct"/>
            <w:vAlign w:val="center"/>
          </w:tcPr>
          <w:p w14:paraId="739786DD">
            <w:pPr>
              <w:spacing w:line="360" w:lineRule="auto"/>
              <w:jc w:val="center"/>
              <w:rPr>
                <w:rFonts w:hint="eastAsia" w:ascii="仿宋" w:hAnsi="仿宋" w:eastAsia="仿宋" w:cs="仿宋"/>
                <w:color w:val="auto"/>
                <w:sz w:val="24"/>
                <w:highlight w:val="none"/>
              </w:rPr>
            </w:pPr>
          </w:p>
        </w:tc>
        <w:tc>
          <w:tcPr>
            <w:tcW w:w="790" w:type="pct"/>
            <w:vAlign w:val="center"/>
          </w:tcPr>
          <w:p w14:paraId="64287042">
            <w:pPr>
              <w:spacing w:line="360" w:lineRule="auto"/>
              <w:jc w:val="center"/>
              <w:rPr>
                <w:rFonts w:hint="eastAsia" w:ascii="仿宋" w:hAnsi="仿宋" w:eastAsia="仿宋" w:cs="仿宋"/>
                <w:color w:val="auto"/>
                <w:sz w:val="24"/>
                <w:highlight w:val="none"/>
              </w:rPr>
            </w:pPr>
          </w:p>
        </w:tc>
        <w:tc>
          <w:tcPr>
            <w:tcW w:w="377" w:type="pct"/>
            <w:vAlign w:val="center"/>
          </w:tcPr>
          <w:p w14:paraId="22834BBA">
            <w:pPr>
              <w:spacing w:line="360" w:lineRule="auto"/>
              <w:jc w:val="center"/>
              <w:rPr>
                <w:rFonts w:hint="eastAsia" w:ascii="仿宋" w:hAnsi="仿宋" w:eastAsia="仿宋" w:cs="仿宋"/>
                <w:color w:val="auto"/>
                <w:sz w:val="24"/>
                <w:highlight w:val="none"/>
              </w:rPr>
            </w:pPr>
          </w:p>
        </w:tc>
        <w:tc>
          <w:tcPr>
            <w:tcW w:w="372" w:type="pct"/>
            <w:vAlign w:val="center"/>
          </w:tcPr>
          <w:p w14:paraId="5E8D7AC7">
            <w:pPr>
              <w:spacing w:line="360" w:lineRule="auto"/>
              <w:jc w:val="center"/>
              <w:rPr>
                <w:rFonts w:hint="eastAsia" w:ascii="仿宋" w:hAnsi="仿宋" w:eastAsia="仿宋" w:cs="仿宋"/>
                <w:color w:val="auto"/>
                <w:sz w:val="24"/>
                <w:highlight w:val="none"/>
              </w:rPr>
            </w:pPr>
          </w:p>
        </w:tc>
        <w:tc>
          <w:tcPr>
            <w:tcW w:w="377" w:type="pct"/>
            <w:vAlign w:val="center"/>
          </w:tcPr>
          <w:p w14:paraId="27744584">
            <w:pPr>
              <w:spacing w:line="360" w:lineRule="auto"/>
              <w:jc w:val="center"/>
              <w:rPr>
                <w:rFonts w:hint="eastAsia" w:ascii="仿宋" w:hAnsi="仿宋" w:eastAsia="仿宋" w:cs="仿宋"/>
                <w:color w:val="auto"/>
                <w:sz w:val="24"/>
                <w:highlight w:val="none"/>
              </w:rPr>
            </w:pPr>
          </w:p>
        </w:tc>
        <w:tc>
          <w:tcPr>
            <w:tcW w:w="373" w:type="pct"/>
            <w:vAlign w:val="center"/>
          </w:tcPr>
          <w:p w14:paraId="5ECD6778">
            <w:pPr>
              <w:spacing w:line="360" w:lineRule="auto"/>
              <w:jc w:val="center"/>
              <w:rPr>
                <w:rFonts w:hint="eastAsia" w:ascii="仿宋" w:hAnsi="仿宋" w:eastAsia="仿宋" w:cs="仿宋"/>
                <w:color w:val="auto"/>
                <w:sz w:val="24"/>
                <w:highlight w:val="none"/>
              </w:rPr>
            </w:pPr>
          </w:p>
        </w:tc>
        <w:tc>
          <w:tcPr>
            <w:tcW w:w="436" w:type="pct"/>
            <w:vAlign w:val="center"/>
          </w:tcPr>
          <w:p w14:paraId="0890786C">
            <w:pPr>
              <w:spacing w:line="360" w:lineRule="auto"/>
              <w:jc w:val="center"/>
              <w:rPr>
                <w:rFonts w:hint="eastAsia" w:ascii="仿宋" w:hAnsi="仿宋" w:eastAsia="仿宋" w:cs="仿宋"/>
                <w:color w:val="auto"/>
                <w:sz w:val="24"/>
                <w:highlight w:val="none"/>
              </w:rPr>
            </w:pPr>
          </w:p>
        </w:tc>
        <w:tc>
          <w:tcPr>
            <w:tcW w:w="382" w:type="pct"/>
            <w:vAlign w:val="center"/>
          </w:tcPr>
          <w:p w14:paraId="6DAA3B92">
            <w:pPr>
              <w:spacing w:line="360" w:lineRule="auto"/>
              <w:jc w:val="center"/>
              <w:rPr>
                <w:rFonts w:hint="eastAsia" w:ascii="仿宋" w:hAnsi="仿宋" w:eastAsia="仿宋" w:cs="仿宋"/>
                <w:color w:val="auto"/>
                <w:sz w:val="24"/>
                <w:highlight w:val="none"/>
              </w:rPr>
            </w:pPr>
          </w:p>
        </w:tc>
      </w:tr>
      <w:tr w14:paraId="6A51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71" w:type="pct"/>
            <w:vAlign w:val="center"/>
          </w:tcPr>
          <w:p w14:paraId="01F5DBD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644" w:type="pct"/>
            <w:vAlign w:val="center"/>
          </w:tcPr>
          <w:p w14:paraId="54412EA7">
            <w:pPr>
              <w:spacing w:line="360" w:lineRule="auto"/>
              <w:jc w:val="center"/>
              <w:rPr>
                <w:rFonts w:hint="eastAsia" w:ascii="仿宋" w:hAnsi="仿宋" w:eastAsia="仿宋" w:cs="仿宋"/>
                <w:color w:val="auto"/>
                <w:sz w:val="24"/>
                <w:highlight w:val="none"/>
              </w:rPr>
            </w:pPr>
          </w:p>
        </w:tc>
        <w:tc>
          <w:tcPr>
            <w:tcW w:w="376" w:type="pct"/>
            <w:vAlign w:val="center"/>
          </w:tcPr>
          <w:p w14:paraId="77AC870B">
            <w:pPr>
              <w:spacing w:line="360" w:lineRule="auto"/>
              <w:jc w:val="center"/>
              <w:rPr>
                <w:rFonts w:hint="eastAsia" w:ascii="仿宋" w:hAnsi="仿宋" w:eastAsia="仿宋" w:cs="仿宋"/>
                <w:color w:val="auto"/>
                <w:sz w:val="24"/>
                <w:highlight w:val="none"/>
              </w:rPr>
            </w:pPr>
          </w:p>
        </w:tc>
        <w:tc>
          <w:tcPr>
            <w:tcW w:w="498" w:type="pct"/>
            <w:vAlign w:val="center"/>
          </w:tcPr>
          <w:p w14:paraId="6BEB006B">
            <w:pPr>
              <w:spacing w:line="360" w:lineRule="auto"/>
              <w:jc w:val="center"/>
              <w:rPr>
                <w:rFonts w:hint="eastAsia" w:ascii="仿宋" w:hAnsi="仿宋" w:eastAsia="仿宋" w:cs="仿宋"/>
                <w:color w:val="auto"/>
                <w:sz w:val="24"/>
                <w:highlight w:val="none"/>
              </w:rPr>
            </w:pPr>
          </w:p>
        </w:tc>
        <w:tc>
          <w:tcPr>
            <w:tcW w:w="790" w:type="pct"/>
            <w:vAlign w:val="center"/>
          </w:tcPr>
          <w:p w14:paraId="27697255">
            <w:pPr>
              <w:spacing w:line="360" w:lineRule="auto"/>
              <w:jc w:val="center"/>
              <w:rPr>
                <w:rFonts w:hint="eastAsia" w:ascii="仿宋" w:hAnsi="仿宋" w:eastAsia="仿宋" w:cs="仿宋"/>
                <w:color w:val="auto"/>
                <w:sz w:val="24"/>
                <w:highlight w:val="none"/>
              </w:rPr>
            </w:pPr>
          </w:p>
        </w:tc>
        <w:tc>
          <w:tcPr>
            <w:tcW w:w="377" w:type="pct"/>
            <w:vAlign w:val="center"/>
          </w:tcPr>
          <w:p w14:paraId="341020BD">
            <w:pPr>
              <w:spacing w:line="360" w:lineRule="auto"/>
              <w:jc w:val="center"/>
              <w:rPr>
                <w:rFonts w:hint="eastAsia" w:ascii="仿宋" w:hAnsi="仿宋" w:eastAsia="仿宋" w:cs="仿宋"/>
                <w:color w:val="auto"/>
                <w:sz w:val="24"/>
                <w:highlight w:val="none"/>
              </w:rPr>
            </w:pPr>
          </w:p>
        </w:tc>
        <w:tc>
          <w:tcPr>
            <w:tcW w:w="372" w:type="pct"/>
            <w:vAlign w:val="center"/>
          </w:tcPr>
          <w:p w14:paraId="08F2469F">
            <w:pPr>
              <w:spacing w:line="360" w:lineRule="auto"/>
              <w:jc w:val="center"/>
              <w:rPr>
                <w:rFonts w:hint="eastAsia" w:ascii="仿宋" w:hAnsi="仿宋" w:eastAsia="仿宋" w:cs="仿宋"/>
                <w:color w:val="auto"/>
                <w:sz w:val="24"/>
                <w:highlight w:val="none"/>
              </w:rPr>
            </w:pPr>
          </w:p>
        </w:tc>
        <w:tc>
          <w:tcPr>
            <w:tcW w:w="377" w:type="pct"/>
            <w:vAlign w:val="center"/>
          </w:tcPr>
          <w:p w14:paraId="6D0003CB">
            <w:pPr>
              <w:spacing w:line="360" w:lineRule="auto"/>
              <w:jc w:val="center"/>
              <w:rPr>
                <w:rFonts w:hint="eastAsia" w:ascii="仿宋" w:hAnsi="仿宋" w:eastAsia="仿宋" w:cs="仿宋"/>
                <w:color w:val="auto"/>
                <w:sz w:val="24"/>
                <w:highlight w:val="none"/>
              </w:rPr>
            </w:pPr>
          </w:p>
        </w:tc>
        <w:tc>
          <w:tcPr>
            <w:tcW w:w="373" w:type="pct"/>
            <w:vAlign w:val="center"/>
          </w:tcPr>
          <w:p w14:paraId="2F6B093C">
            <w:pPr>
              <w:spacing w:line="360" w:lineRule="auto"/>
              <w:jc w:val="center"/>
              <w:rPr>
                <w:rFonts w:hint="eastAsia" w:ascii="仿宋" w:hAnsi="仿宋" w:eastAsia="仿宋" w:cs="仿宋"/>
                <w:color w:val="auto"/>
                <w:sz w:val="24"/>
                <w:highlight w:val="none"/>
              </w:rPr>
            </w:pPr>
          </w:p>
        </w:tc>
        <w:tc>
          <w:tcPr>
            <w:tcW w:w="436" w:type="pct"/>
            <w:vAlign w:val="center"/>
          </w:tcPr>
          <w:p w14:paraId="5947DE14">
            <w:pPr>
              <w:spacing w:line="360" w:lineRule="auto"/>
              <w:jc w:val="center"/>
              <w:rPr>
                <w:rFonts w:hint="eastAsia" w:ascii="仿宋" w:hAnsi="仿宋" w:eastAsia="仿宋" w:cs="仿宋"/>
                <w:color w:val="auto"/>
                <w:sz w:val="24"/>
                <w:highlight w:val="none"/>
              </w:rPr>
            </w:pPr>
          </w:p>
        </w:tc>
        <w:tc>
          <w:tcPr>
            <w:tcW w:w="382" w:type="pct"/>
            <w:vAlign w:val="center"/>
          </w:tcPr>
          <w:p w14:paraId="3997F36D">
            <w:pPr>
              <w:spacing w:line="360" w:lineRule="auto"/>
              <w:jc w:val="center"/>
              <w:rPr>
                <w:rFonts w:hint="eastAsia" w:ascii="仿宋" w:hAnsi="仿宋" w:eastAsia="仿宋" w:cs="仿宋"/>
                <w:color w:val="auto"/>
                <w:sz w:val="24"/>
                <w:highlight w:val="none"/>
              </w:rPr>
            </w:pPr>
          </w:p>
        </w:tc>
      </w:tr>
      <w:tr w14:paraId="4E46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14:paraId="0ECE947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644" w:type="pct"/>
            <w:vAlign w:val="center"/>
          </w:tcPr>
          <w:p w14:paraId="76CB5A75">
            <w:pPr>
              <w:spacing w:line="360" w:lineRule="auto"/>
              <w:jc w:val="center"/>
              <w:rPr>
                <w:rFonts w:hint="eastAsia" w:ascii="仿宋" w:hAnsi="仿宋" w:eastAsia="仿宋" w:cs="仿宋"/>
                <w:color w:val="auto"/>
                <w:sz w:val="24"/>
                <w:highlight w:val="none"/>
              </w:rPr>
            </w:pPr>
          </w:p>
        </w:tc>
        <w:tc>
          <w:tcPr>
            <w:tcW w:w="376" w:type="pct"/>
            <w:vAlign w:val="center"/>
          </w:tcPr>
          <w:p w14:paraId="03451957">
            <w:pPr>
              <w:spacing w:line="360" w:lineRule="auto"/>
              <w:jc w:val="center"/>
              <w:rPr>
                <w:rFonts w:hint="eastAsia" w:ascii="仿宋" w:hAnsi="仿宋" w:eastAsia="仿宋" w:cs="仿宋"/>
                <w:color w:val="auto"/>
                <w:sz w:val="24"/>
                <w:highlight w:val="none"/>
              </w:rPr>
            </w:pPr>
          </w:p>
        </w:tc>
        <w:tc>
          <w:tcPr>
            <w:tcW w:w="498" w:type="pct"/>
            <w:vAlign w:val="center"/>
          </w:tcPr>
          <w:p w14:paraId="3A4CD7E8">
            <w:pPr>
              <w:spacing w:line="360" w:lineRule="auto"/>
              <w:jc w:val="center"/>
              <w:rPr>
                <w:rFonts w:hint="eastAsia" w:ascii="仿宋" w:hAnsi="仿宋" w:eastAsia="仿宋" w:cs="仿宋"/>
                <w:color w:val="auto"/>
                <w:sz w:val="24"/>
                <w:highlight w:val="none"/>
              </w:rPr>
            </w:pPr>
          </w:p>
        </w:tc>
        <w:tc>
          <w:tcPr>
            <w:tcW w:w="790" w:type="pct"/>
            <w:vAlign w:val="center"/>
          </w:tcPr>
          <w:p w14:paraId="03F68B0F">
            <w:pPr>
              <w:spacing w:line="360" w:lineRule="auto"/>
              <w:jc w:val="center"/>
              <w:rPr>
                <w:rFonts w:hint="eastAsia" w:ascii="仿宋" w:hAnsi="仿宋" w:eastAsia="仿宋" w:cs="仿宋"/>
                <w:color w:val="auto"/>
                <w:sz w:val="24"/>
                <w:highlight w:val="none"/>
              </w:rPr>
            </w:pPr>
          </w:p>
        </w:tc>
        <w:tc>
          <w:tcPr>
            <w:tcW w:w="377" w:type="pct"/>
            <w:vAlign w:val="center"/>
          </w:tcPr>
          <w:p w14:paraId="0CE0A287">
            <w:pPr>
              <w:spacing w:line="360" w:lineRule="auto"/>
              <w:jc w:val="center"/>
              <w:rPr>
                <w:rFonts w:hint="eastAsia" w:ascii="仿宋" w:hAnsi="仿宋" w:eastAsia="仿宋" w:cs="仿宋"/>
                <w:color w:val="auto"/>
                <w:sz w:val="24"/>
                <w:highlight w:val="none"/>
              </w:rPr>
            </w:pPr>
          </w:p>
        </w:tc>
        <w:tc>
          <w:tcPr>
            <w:tcW w:w="372" w:type="pct"/>
            <w:vAlign w:val="center"/>
          </w:tcPr>
          <w:p w14:paraId="0EABF0B6">
            <w:pPr>
              <w:spacing w:line="360" w:lineRule="auto"/>
              <w:jc w:val="center"/>
              <w:rPr>
                <w:rFonts w:hint="eastAsia" w:ascii="仿宋" w:hAnsi="仿宋" w:eastAsia="仿宋" w:cs="仿宋"/>
                <w:color w:val="auto"/>
                <w:sz w:val="24"/>
                <w:highlight w:val="none"/>
              </w:rPr>
            </w:pPr>
          </w:p>
        </w:tc>
        <w:tc>
          <w:tcPr>
            <w:tcW w:w="377" w:type="pct"/>
            <w:vAlign w:val="center"/>
          </w:tcPr>
          <w:p w14:paraId="4EFCC05B">
            <w:pPr>
              <w:spacing w:line="360" w:lineRule="auto"/>
              <w:jc w:val="center"/>
              <w:rPr>
                <w:rFonts w:hint="eastAsia" w:ascii="仿宋" w:hAnsi="仿宋" w:eastAsia="仿宋" w:cs="仿宋"/>
                <w:color w:val="auto"/>
                <w:sz w:val="24"/>
                <w:highlight w:val="none"/>
              </w:rPr>
            </w:pPr>
          </w:p>
        </w:tc>
        <w:tc>
          <w:tcPr>
            <w:tcW w:w="373" w:type="pct"/>
            <w:vAlign w:val="center"/>
          </w:tcPr>
          <w:p w14:paraId="26B33E02">
            <w:pPr>
              <w:spacing w:line="360" w:lineRule="auto"/>
              <w:jc w:val="center"/>
              <w:rPr>
                <w:rFonts w:hint="eastAsia" w:ascii="仿宋" w:hAnsi="仿宋" w:eastAsia="仿宋" w:cs="仿宋"/>
                <w:color w:val="auto"/>
                <w:sz w:val="24"/>
                <w:highlight w:val="none"/>
              </w:rPr>
            </w:pPr>
          </w:p>
        </w:tc>
        <w:tc>
          <w:tcPr>
            <w:tcW w:w="436" w:type="pct"/>
            <w:vAlign w:val="center"/>
          </w:tcPr>
          <w:p w14:paraId="2FB4BF6D">
            <w:pPr>
              <w:spacing w:line="360" w:lineRule="auto"/>
              <w:jc w:val="center"/>
              <w:rPr>
                <w:rFonts w:hint="eastAsia" w:ascii="仿宋" w:hAnsi="仿宋" w:eastAsia="仿宋" w:cs="仿宋"/>
                <w:color w:val="auto"/>
                <w:sz w:val="24"/>
                <w:highlight w:val="none"/>
              </w:rPr>
            </w:pPr>
          </w:p>
        </w:tc>
        <w:tc>
          <w:tcPr>
            <w:tcW w:w="382" w:type="pct"/>
            <w:vAlign w:val="center"/>
          </w:tcPr>
          <w:p w14:paraId="2A790891">
            <w:pPr>
              <w:spacing w:line="360" w:lineRule="auto"/>
              <w:jc w:val="center"/>
              <w:rPr>
                <w:rFonts w:hint="eastAsia" w:ascii="仿宋" w:hAnsi="仿宋" w:eastAsia="仿宋" w:cs="仿宋"/>
                <w:color w:val="auto"/>
                <w:sz w:val="24"/>
                <w:highlight w:val="none"/>
              </w:rPr>
            </w:pPr>
          </w:p>
        </w:tc>
      </w:tr>
      <w:tr w14:paraId="203F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71" w:type="pct"/>
            <w:vAlign w:val="center"/>
          </w:tcPr>
          <w:p w14:paraId="7AFD79A1">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644" w:type="pct"/>
            <w:vAlign w:val="center"/>
          </w:tcPr>
          <w:p w14:paraId="08319A6D">
            <w:pPr>
              <w:spacing w:line="360" w:lineRule="auto"/>
              <w:jc w:val="center"/>
              <w:rPr>
                <w:rFonts w:hint="eastAsia" w:ascii="仿宋" w:hAnsi="仿宋" w:eastAsia="仿宋" w:cs="仿宋"/>
                <w:color w:val="auto"/>
                <w:sz w:val="24"/>
                <w:highlight w:val="none"/>
              </w:rPr>
            </w:pPr>
          </w:p>
        </w:tc>
        <w:tc>
          <w:tcPr>
            <w:tcW w:w="376" w:type="pct"/>
            <w:vAlign w:val="center"/>
          </w:tcPr>
          <w:p w14:paraId="51FD2EBD">
            <w:pPr>
              <w:spacing w:line="360" w:lineRule="auto"/>
              <w:jc w:val="center"/>
              <w:rPr>
                <w:rFonts w:hint="eastAsia" w:ascii="仿宋" w:hAnsi="仿宋" w:eastAsia="仿宋" w:cs="仿宋"/>
                <w:color w:val="auto"/>
                <w:sz w:val="24"/>
                <w:highlight w:val="none"/>
              </w:rPr>
            </w:pPr>
          </w:p>
        </w:tc>
        <w:tc>
          <w:tcPr>
            <w:tcW w:w="498" w:type="pct"/>
            <w:vAlign w:val="center"/>
          </w:tcPr>
          <w:p w14:paraId="74D7B450">
            <w:pPr>
              <w:spacing w:line="360" w:lineRule="auto"/>
              <w:jc w:val="center"/>
              <w:rPr>
                <w:rFonts w:hint="eastAsia" w:ascii="仿宋" w:hAnsi="仿宋" w:eastAsia="仿宋" w:cs="仿宋"/>
                <w:color w:val="auto"/>
                <w:sz w:val="24"/>
                <w:highlight w:val="none"/>
              </w:rPr>
            </w:pPr>
          </w:p>
        </w:tc>
        <w:tc>
          <w:tcPr>
            <w:tcW w:w="790" w:type="pct"/>
            <w:vAlign w:val="center"/>
          </w:tcPr>
          <w:p w14:paraId="20DEC9FE">
            <w:pPr>
              <w:spacing w:line="360" w:lineRule="auto"/>
              <w:jc w:val="center"/>
              <w:rPr>
                <w:rFonts w:hint="eastAsia" w:ascii="仿宋" w:hAnsi="仿宋" w:eastAsia="仿宋" w:cs="仿宋"/>
                <w:color w:val="auto"/>
                <w:sz w:val="24"/>
                <w:highlight w:val="none"/>
              </w:rPr>
            </w:pPr>
          </w:p>
        </w:tc>
        <w:tc>
          <w:tcPr>
            <w:tcW w:w="377" w:type="pct"/>
            <w:vAlign w:val="center"/>
          </w:tcPr>
          <w:p w14:paraId="721A5941">
            <w:pPr>
              <w:spacing w:line="360" w:lineRule="auto"/>
              <w:jc w:val="center"/>
              <w:rPr>
                <w:rFonts w:hint="eastAsia" w:ascii="仿宋" w:hAnsi="仿宋" w:eastAsia="仿宋" w:cs="仿宋"/>
                <w:color w:val="auto"/>
                <w:sz w:val="24"/>
                <w:highlight w:val="none"/>
              </w:rPr>
            </w:pPr>
          </w:p>
        </w:tc>
        <w:tc>
          <w:tcPr>
            <w:tcW w:w="372" w:type="pct"/>
            <w:vAlign w:val="center"/>
          </w:tcPr>
          <w:p w14:paraId="196C3BD7">
            <w:pPr>
              <w:spacing w:line="360" w:lineRule="auto"/>
              <w:jc w:val="center"/>
              <w:rPr>
                <w:rFonts w:hint="eastAsia" w:ascii="仿宋" w:hAnsi="仿宋" w:eastAsia="仿宋" w:cs="仿宋"/>
                <w:color w:val="auto"/>
                <w:sz w:val="24"/>
                <w:highlight w:val="none"/>
              </w:rPr>
            </w:pPr>
          </w:p>
        </w:tc>
        <w:tc>
          <w:tcPr>
            <w:tcW w:w="377" w:type="pct"/>
            <w:vAlign w:val="center"/>
          </w:tcPr>
          <w:p w14:paraId="5EA3EEB6">
            <w:pPr>
              <w:spacing w:line="360" w:lineRule="auto"/>
              <w:jc w:val="center"/>
              <w:rPr>
                <w:rFonts w:hint="eastAsia" w:ascii="仿宋" w:hAnsi="仿宋" w:eastAsia="仿宋" w:cs="仿宋"/>
                <w:color w:val="auto"/>
                <w:sz w:val="24"/>
                <w:highlight w:val="none"/>
              </w:rPr>
            </w:pPr>
          </w:p>
        </w:tc>
        <w:tc>
          <w:tcPr>
            <w:tcW w:w="373" w:type="pct"/>
            <w:vAlign w:val="center"/>
          </w:tcPr>
          <w:p w14:paraId="11AAC2CF">
            <w:pPr>
              <w:spacing w:line="360" w:lineRule="auto"/>
              <w:jc w:val="center"/>
              <w:rPr>
                <w:rFonts w:hint="eastAsia" w:ascii="仿宋" w:hAnsi="仿宋" w:eastAsia="仿宋" w:cs="仿宋"/>
                <w:color w:val="auto"/>
                <w:sz w:val="24"/>
                <w:highlight w:val="none"/>
              </w:rPr>
            </w:pPr>
          </w:p>
        </w:tc>
        <w:tc>
          <w:tcPr>
            <w:tcW w:w="436" w:type="pct"/>
            <w:vAlign w:val="center"/>
          </w:tcPr>
          <w:p w14:paraId="0FF66BFE">
            <w:pPr>
              <w:spacing w:line="360" w:lineRule="auto"/>
              <w:jc w:val="center"/>
              <w:rPr>
                <w:rFonts w:hint="eastAsia" w:ascii="仿宋" w:hAnsi="仿宋" w:eastAsia="仿宋" w:cs="仿宋"/>
                <w:color w:val="auto"/>
                <w:sz w:val="24"/>
                <w:highlight w:val="none"/>
              </w:rPr>
            </w:pPr>
          </w:p>
        </w:tc>
        <w:tc>
          <w:tcPr>
            <w:tcW w:w="382" w:type="pct"/>
            <w:vAlign w:val="center"/>
          </w:tcPr>
          <w:p w14:paraId="2BB91A7C">
            <w:pPr>
              <w:spacing w:line="360" w:lineRule="auto"/>
              <w:jc w:val="center"/>
              <w:rPr>
                <w:rFonts w:hint="eastAsia" w:ascii="仿宋" w:hAnsi="仿宋" w:eastAsia="仿宋" w:cs="仿宋"/>
                <w:color w:val="auto"/>
                <w:sz w:val="24"/>
                <w:highlight w:val="none"/>
              </w:rPr>
            </w:pPr>
          </w:p>
        </w:tc>
      </w:tr>
      <w:tr w14:paraId="4A46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71" w:type="pct"/>
            <w:vAlign w:val="center"/>
          </w:tcPr>
          <w:p w14:paraId="0A719B99">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644" w:type="pct"/>
            <w:vAlign w:val="center"/>
          </w:tcPr>
          <w:p w14:paraId="5540C6DE">
            <w:pPr>
              <w:spacing w:line="360" w:lineRule="auto"/>
              <w:jc w:val="center"/>
              <w:rPr>
                <w:rFonts w:hint="eastAsia" w:ascii="仿宋" w:hAnsi="仿宋" w:eastAsia="仿宋" w:cs="仿宋"/>
                <w:color w:val="auto"/>
                <w:sz w:val="24"/>
                <w:highlight w:val="none"/>
              </w:rPr>
            </w:pPr>
          </w:p>
        </w:tc>
        <w:tc>
          <w:tcPr>
            <w:tcW w:w="376" w:type="pct"/>
            <w:vAlign w:val="center"/>
          </w:tcPr>
          <w:p w14:paraId="39629DA3">
            <w:pPr>
              <w:spacing w:line="360" w:lineRule="auto"/>
              <w:jc w:val="center"/>
              <w:rPr>
                <w:rFonts w:hint="eastAsia" w:ascii="仿宋" w:hAnsi="仿宋" w:eastAsia="仿宋" w:cs="仿宋"/>
                <w:color w:val="auto"/>
                <w:sz w:val="24"/>
                <w:highlight w:val="none"/>
              </w:rPr>
            </w:pPr>
          </w:p>
        </w:tc>
        <w:tc>
          <w:tcPr>
            <w:tcW w:w="498" w:type="pct"/>
            <w:vAlign w:val="center"/>
          </w:tcPr>
          <w:p w14:paraId="3C6B1922">
            <w:pPr>
              <w:spacing w:line="360" w:lineRule="auto"/>
              <w:jc w:val="center"/>
              <w:rPr>
                <w:rFonts w:hint="eastAsia" w:ascii="仿宋" w:hAnsi="仿宋" w:eastAsia="仿宋" w:cs="仿宋"/>
                <w:color w:val="auto"/>
                <w:sz w:val="24"/>
                <w:highlight w:val="none"/>
              </w:rPr>
            </w:pPr>
          </w:p>
        </w:tc>
        <w:tc>
          <w:tcPr>
            <w:tcW w:w="790" w:type="pct"/>
            <w:vAlign w:val="center"/>
          </w:tcPr>
          <w:p w14:paraId="1AE7B563">
            <w:pPr>
              <w:spacing w:line="360" w:lineRule="auto"/>
              <w:jc w:val="center"/>
              <w:rPr>
                <w:rFonts w:hint="eastAsia" w:ascii="仿宋" w:hAnsi="仿宋" w:eastAsia="仿宋" w:cs="仿宋"/>
                <w:color w:val="auto"/>
                <w:sz w:val="24"/>
                <w:highlight w:val="none"/>
              </w:rPr>
            </w:pPr>
          </w:p>
        </w:tc>
        <w:tc>
          <w:tcPr>
            <w:tcW w:w="377" w:type="pct"/>
            <w:vAlign w:val="center"/>
          </w:tcPr>
          <w:p w14:paraId="04914CB6">
            <w:pPr>
              <w:spacing w:line="360" w:lineRule="auto"/>
              <w:jc w:val="center"/>
              <w:rPr>
                <w:rFonts w:hint="eastAsia" w:ascii="仿宋" w:hAnsi="仿宋" w:eastAsia="仿宋" w:cs="仿宋"/>
                <w:color w:val="auto"/>
                <w:sz w:val="24"/>
                <w:highlight w:val="none"/>
              </w:rPr>
            </w:pPr>
          </w:p>
        </w:tc>
        <w:tc>
          <w:tcPr>
            <w:tcW w:w="372" w:type="pct"/>
            <w:vAlign w:val="center"/>
          </w:tcPr>
          <w:p w14:paraId="5880F080">
            <w:pPr>
              <w:spacing w:line="360" w:lineRule="auto"/>
              <w:jc w:val="center"/>
              <w:rPr>
                <w:rFonts w:hint="eastAsia" w:ascii="仿宋" w:hAnsi="仿宋" w:eastAsia="仿宋" w:cs="仿宋"/>
                <w:color w:val="auto"/>
                <w:sz w:val="24"/>
                <w:highlight w:val="none"/>
              </w:rPr>
            </w:pPr>
          </w:p>
        </w:tc>
        <w:tc>
          <w:tcPr>
            <w:tcW w:w="377" w:type="pct"/>
            <w:vAlign w:val="center"/>
          </w:tcPr>
          <w:p w14:paraId="0F3CC7B3">
            <w:pPr>
              <w:spacing w:line="360" w:lineRule="auto"/>
              <w:jc w:val="center"/>
              <w:rPr>
                <w:rFonts w:hint="eastAsia" w:ascii="仿宋" w:hAnsi="仿宋" w:eastAsia="仿宋" w:cs="仿宋"/>
                <w:color w:val="auto"/>
                <w:sz w:val="24"/>
                <w:highlight w:val="none"/>
              </w:rPr>
            </w:pPr>
          </w:p>
        </w:tc>
        <w:tc>
          <w:tcPr>
            <w:tcW w:w="373" w:type="pct"/>
            <w:vAlign w:val="center"/>
          </w:tcPr>
          <w:p w14:paraId="0FFAD7F0">
            <w:pPr>
              <w:spacing w:line="360" w:lineRule="auto"/>
              <w:jc w:val="center"/>
              <w:rPr>
                <w:rFonts w:hint="eastAsia" w:ascii="仿宋" w:hAnsi="仿宋" w:eastAsia="仿宋" w:cs="仿宋"/>
                <w:color w:val="auto"/>
                <w:sz w:val="24"/>
                <w:highlight w:val="none"/>
              </w:rPr>
            </w:pPr>
          </w:p>
        </w:tc>
        <w:tc>
          <w:tcPr>
            <w:tcW w:w="436" w:type="pct"/>
            <w:vAlign w:val="center"/>
          </w:tcPr>
          <w:p w14:paraId="557D8A4C">
            <w:pPr>
              <w:spacing w:line="360" w:lineRule="auto"/>
              <w:jc w:val="center"/>
              <w:rPr>
                <w:rFonts w:hint="eastAsia" w:ascii="仿宋" w:hAnsi="仿宋" w:eastAsia="仿宋" w:cs="仿宋"/>
                <w:color w:val="auto"/>
                <w:sz w:val="24"/>
                <w:highlight w:val="none"/>
              </w:rPr>
            </w:pPr>
          </w:p>
        </w:tc>
        <w:tc>
          <w:tcPr>
            <w:tcW w:w="382" w:type="pct"/>
            <w:vAlign w:val="center"/>
          </w:tcPr>
          <w:p w14:paraId="41D268BF">
            <w:pPr>
              <w:spacing w:line="360" w:lineRule="auto"/>
              <w:rPr>
                <w:rFonts w:hint="eastAsia" w:ascii="仿宋" w:hAnsi="仿宋" w:eastAsia="仿宋" w:cs="仿宋"/>
                <w:color w:val="auto"/>
                <w:sz w:val="24"/>
                <w:highlight w:val="none"/>
              </w:rPr>
            </w:pPr>
          </w:p>
        </w:tc>
      </w:tr>
      <w:tr w14:paraId="2D3F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71" w:type="pct"/>
            <w:vAlign w:val="center"/>
          </w:tcPr>
          <w:p w14:paraId="56E7535B">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644" w:type="pct"/>
            <w:vAlign w:val="center"/>
          </w:tcPr>
          <w:p w14:paraId="29BAF65A">
            <w:pPr>
              <w:spacing w:line="360" w:lineRule="auto"/>
              <w:jc w:val="center"/>
              <w:rPr>
                <w:rFonts w:hint="eastAsia" w:ascii="仿宋" w:hAnsi="仿宋" w:eastAsia="仿宋" w:cs="仿宋"/>
                <w:color w:val="auto"/>
                <w:sz w:val="24"/>
                <w:highlight w:val="none"/>
              </w:rPr>
            </w:pPr>
          </w:p>
        </w:tc>
        <w:tc>
          <w:tcPr>
            <w:tcW w:w="376" w:type="pct"/>
            <w:vAlign w:val="center"/>
          </w:tcPr>
          <w:p w14:paraId="68E6CE1C">
            <w:pPr>
              <w:spacing w:line="360" w:lineRule="auto"/>
              <w:jc w:val="center"/>
              <w:rPr>
                <w:rFonts w:hint="eastAsia" w:ascii="仿宋" w:hAnsi="仿宋" w:eastAsia="仿宋" w:cs="仿宋"/>
                <w:color w:val="auto"/>
                <w:sz w:val="24"/>
                <w:highlight w:val="none"/>
              </w:rPr>
            </w:pPr>
          </w:p>
        </w:tc>
        <w:tc>
          <w:tcPr>
            <w:tcW w:w="498" w:type="pct"/>
            <w:vAlign w:val="center"/>
          </w:tcPr>
          <w:p w14:paraId="796FC501">
            <w:pPr>
              <w:spacing w:line="360" w:lineRule="auto"/>
              <w:jc w:val="center"/>
              <w:rPr>
                <w:rFonts w:hint="eastAsia" w:ascii="仿宋" w:hAnsi="仿宋" w:eastAsia="仿宋" w:cs="仿宋"/>
                <w:color w:val="auto"/>
                <w:sz w:val="24"/>
                <w:highlight w:val="none"/>
              </w:rPr>
            </w:pPr>
          </w:p>
        </w:tc>
        <w:tc>
          <w:tcPr>
            <w:tcW w:w="790" w:type="pct"/>
            <w:vAlign w:val="center"/>
          </w:tcPr>
          <w:p w14:paraId="51136AF9">
            <w:pPr>
              <w:spacing w:line="360" w:lineRule="auto"/>
              <w:jc w:val="center"/>
              <w:rPr>
                <w:rFonts w:hint="eastAsia" w:ascii="仿宋" w:hAnsi="仿宋" w:eastAsia="仿宋" w:cs="仿宋"/>
                <w:color w:val="auto"/>
                <w:sz w:val="24"/>
                <w:highlight w:val="none"/>
              </w:rPr>
            </w:pPr>
          </w:p>
        </w:tc>
        <w:tc>
          <w:tcPr>
            <w:tcW w:w="377" w:type="pct"/>
            <w:vAlign w:val="center"/>
          </w:tcPr>
          <w:p w14:paraId="55AF697B">
            <w:pPr>
              <w:spacing w:line="360" w:lineRule="auto"/>
              <w:jc w:val="center"/>
              <w:rPr>
                <w:rFonts w:hint="eastAsia" w:ascii="仿宋" w:hAnsi="仿宋" w:eastAsia="仿宋" w:cs="仿宋"/>
                <w:color w:val="auto"/>
                <w:sz w:val="24"/>
                <w:highlight w:val="none"/>
              </w:rPr>
            </w:pPr>
          </w:p>
        </w:tc>
        <w:tc>
          <w:tcPr>
            <w:tcW w:w="372" w:type="pct"/>
            <w:vAlign w:val="center"/>
          </w:tcPr>
          <w:p w14:paraId="235888A8">
            <w:pPr>
              <w:spacing w:line="360" w:lineRule="auto"/>
              <w:jc w:val="center"/>
              <w:rPr>
                <w:rFonts w:hint="eastAsia" w:ascii="仿宋" w:hAnsi="仿宋" w:eastAsia="仿宋" w:cs="仿宋"/>
                <w:color w:val="auto"/>
                <w:sz w:val="24"/>
                <w:highlight w:val="none"/>
              </w:rPr>
            </w:pPr>
          </w:p>
        </w:tc>
        <w:tc>
          <w:tcPr>
            <w:tcW w:w="377" w:type="pct"/>
            <w:vAlign w:val="center"/>
          </w:tcPr>
          <w:p w14:paraId="58010DEB">
            <w:pPr>
              <w:spacing w:line="360" w:lineRule="auto"/>
              <w:jc w:val="center"/>
              <w:rPr>
                <w:rFonts w:hint="eastAsia" w:ascii="仿宋" w:hAnsi="仿宋" w:eastAsia="仿宋" w:cs="仿宋"/>
                <w:color w:val="auto"/>
                <w:sz w:val="24"/>
                <w:highlight w:val="none"/>
              </w:rPr>
            </w:pPr>
          </w:p>
        </w:tc>
        <w:tc>
          <w:tcPr>
            <w:tcW w:w="373" w:type="pct"/>
            <w:vAlign w:val="center"/>
          </w:tcPr>
          <w:p w14:paraId="46B226B1">
            <w:pPr>
              <w:spacing w:line="360" w:lineRule="auto"/>
              <w:jc w:val="center"/>
              <w:rPr>
                <w:rFonts w:hint="eastAsia" w:ascii="仿宋" w:hAnsi="仿宋" w:eastAsia="仿宋" w:cs="仿宋"/>
                <w:color w:val="auto"/>
                <w:sz w:val="24"/>
                <w:highlight w:val="none"/>
              </w:rPr>
            </w:pPr>
          </w:p>
        </w:tc>
        <w:tc>
          <w:tcPr>
            <w:tcW w:w="436" w:type="pct"/>
            <w:vAlign w:val="center"/>
          </w:tcPr>
          <w:p w14:paraId="268EB24D">
            <w:pPr>
              <w:spacing w:line="360" w:lineRule="auto"/>
              <w:jc w:val="center"/>
              <w:rPr>
                <w:rFonts w:hint="eastAsia" w:ascii="仿宋" w:hAnsi="仿宋" w:eastAsia="仿宋" w:cs="仿宋"/>
                <w:color w:val="auto"/>
                <w:sz w:val="24"/>
                <w:highlight w:val="none"/>
              </w:rPr>
            </w:pPr>
          </w:p>
        </w:tc>
        <w:tc>
          <w:tcPr>
            <w:tcW w:w="382" w:type="pct"/>
            <w:vAlign w:val="center"/>
          </w:tcPr>
          <w:p w14:paraId="63B1C109">
            <w:pPr>
              <w:spacing w:line="360" w:lineRule="auto"/>
              <w:rPr>
                <w:rFonts w:hint="eastAsia" w:ascii="仿宋" w:hAnsi="仿宋" w:eastAsia="仿宋" w:cs="仿宋"/>
                <w:color w:val="auto"/>
                <w:sz w:val="24"/>
                <w:highlight w:val="none"/>
              </w:rPr>
            </w:pPr>
          </w:p>
        </w:tc>
      </w:tr>
      <w:tr w14:paraId="733C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71" w:type="pct"/>
            <w:vAlign w:val="center"/>
          </w:tcPr>
          <w:p w14:paraId="5F78B150">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644" w:type="pct"/>
            <w:vAlign w:val="center"/>
          </w:tcPr>
          <w:p w14:paraId="19593ACE">
            <w:pPr>
              <w:spacing w:line="360" w:lineRule="auto"/>
              <w:jc w:val="center"/>
              <w:rPr>
                <w:rFonts w:hint="eastAsia" w:ascii="仿宋" w:hAnsi="仿宋" w:eastAsia="仿宋" w:cs="仿宋"/>
                <w:color w:val="auto"/>
                <w:sz w:val="24"/>
                <w:highlight w:val="none"/>
              </w:rPr>
            </w:pPr>
          </w:p>
        </w:tc>
        <w:tc>
          <w:tcPr>
            <w:tcW w:w="376" w:type="pct"/>
            <w:vAlign w:val="center"/>
          </w:tcPr>
          <w:p w14:paraId="592B5631">
            <w:pPr>
              <w:spacing w:line="360" w:lineRule="auto"/>
              <w:jc w:val="center"/>
              <w:rPr>
                <w:rFonts w:hint="eastAsia" w:ascii="仿宋" w:hAnsi="仿宋" w:eastAsia="仿宋" w:cs="仿宋"/>
                <w:color w:val="auto"/>
                <w:sz w:val="24"/>
                <w:highlight w:val="none"/>
              </w:rPr>
            </w:pPr>
          </w:p>
        </w:tc>
        <w:tc>
          <w:tcPr>
            <w:tcW w:w="498" w:type="pct"/>
            <w:vAlign w:val="center"/>
          </w:tcPr>
          <w:p w14:paraId="06D2128F">
            <w:pPr>
              <w:spacing w:line="360" w:lineRule="auto"/>
              <w:jc w:val="center"/>
              <w:rPr>
                <w:rFonts w:hint="eastAsia" w:ascii="仿宋" w:hAnsi="仿宋" w:eastAsia="仿宋" w:cs="仿宋"/>
                <w:color w:val="auto"/>
                <w:sz w:val="24"/>
                <w:highlight w:val="none"/>
              </w:rPr>
            </w:pPr>
          </w:p>
        </w:tc>
        <w:tc>
          <w:tcPr>
            <w:tcW w:w="790" w:type="pct"/>
            <w:vAlign w:val="center"/>
          </w:tcPr>
          <w:p w14:paraId="4C5AC88E">
            <w:pPr>
              <w:spacing w:line="360" w:lineRule="auto"/>
              <w:jc w:val="center"/>
              <w:rPr>
                <w:rFonts w:hint="eastAsia" w:ascii="仿宋" w:hAnsi="仿宋" w:eastAsia="仿宋" w:cs="仿宋"/>
                <w:color w:val="auto"/>
                <w:sz w:val="24"/>
                <w:highlight w:val="none"/>
              </w:rPr>
            </w:pPr>
          </w:p>
        </w:tc>
        <w:tc>
          <w:tcPr>
            <w:tcW w:w="377" w:type="pct"/>
            <w:vAlign w:val="center"/>
          </w:tcPr>
          <w:p w14:paraId="2AABBAFE">
            <w:pPr>
              <w:spacing w:line="360" w:lineRule="auto"/>
              <w:jc w:val="center"/>
              <w:rPr>
                <w:rFonts w:hint="eastAsia" w:ascii="仿宋" w:hAnsi="仿宋" w:eastAsia="仿宋" w:cs="仿宋"/>
                <w:color w:val="auto"/>
                <w:sz w:val="24"/>
                <w:highlight w:val="none"/>
              </w:rPr>
            </w:pPr>
          </w:p>
        </w:tc>
        <w:tc>
          <w:tcPr>
            <w:tcW w:w="372" w:type="pct"/>
            <w:vAlign w:val="center"/>
          </w:tcPr>
          <w:p w14:paraId="446D7110">
            <w:pPr>
              <w:spacing w:line="360" w:lineRule="auto"/>
              <w:jc w:val="center"/>
              <w:rPr>
                <w:rFonts w:hint="eastAsia" w:ascii="仿宋" w:hAnsi="仿宋" w:eastAsia="仿宋" w:cs="仿宋"/>
                <w:color w:val="auto"/>
                <w:sz w:val="24"/>
                <w:highlight w:val="none"/>
              </w:rPr>
            </w:pPr>
          </w:p>
        </w:tc>
        <w:tc>
          <w:tcPr>
            <w:tcW w:w="377" w:type="pct"/>
            <w:vAlign w:val="center"/>
          </w:tcPr>
          <w:p w14:paraId="48280F1F">
            <w:pPr>
              <w:spacing w:line="360" w:lineRule="auto"/>
              <w:jc w:val="center"/>
              <w:rPr>
                <w:rFonts w:hint="eastAsia" w:ascii="仿宋" w:hAnsi="仿宋" w:eastAsia="仿宋" w:cs="仿宋"/>
                <w:color w:val="auto"/>
                <w:sz w:val="24"/>
                <w:highlight w:val="none"/>
              </w:rPr>
            </w:pPr>
          </w:p>
        </w:tc>
        <w:tc>
          <w:tcPr>
            <w:tcW w:w="373" w:type="pct"/>
            <w:vAlign w:val="center"/>
          </w:tcPr>
          <w:p w14:paraId="60AB5897">
            <w:pPr>
              <w:spacing w:line="360" w:lineRule="auto"/>
              <w:jc w:val="center"/>
              <w:rPr>
                <w:rFonts w:hint="eastAsia" w:ascii="仿宋" w:hAnsi="仿宋" w:eastAsia="仿宋" w:cs="仿宋"/>
                <w:color w:val="auto"/>
                <w:sz w:val="24"/>
                <w:highlight w:val="none"/>
              </w:rPr>
            </w:pPr>
          </w:p>
        </w:tc>
        <w:tc>
          <w:tcPr>
            <w:tcW w:w="436" w:type="pct"/>
            <w:vAlign w:val="center"/>
          </w:tcPr>
          <w:p w14:paraId="6EED0E6C">
            <w:pPr>
              <w:spacing w:line="360" w:lineRule="auto"/>
              <w:jc w:val="center"/>
              <w:rPr>
                <w:rFonts w:hint="eastAsia" w:ascii="仿宋" w:hAnsi="仿宋" w:eastAsia="仿宋" w:cs="仿宋"/>
                <w:color w:val="auto"/>
                <w:sz w:val="24"/>
                <w:highlight w:val="none"/>
              </w:rPr>
            </w:pPr>
          </w:p>
        </w:tc>
        <w:tc>
          <w:tcPr>
            <w:tcW w:w="382" w:type="pct"/>
            <w:vAlign w:val="center"/>
          </w:tcPr>
          <w:p w14:paraId="6CE3A3BF">
            <w:pPr>
              <w:spacing w:line="360" w:lineRule="auto"/>
              <w:rPr>
                <w:rFonts w:hint="eastAsia" w:ascii="仿宋" w:hAnsi="仿宋" w:eastAsia="仿宋" w:cs="仿宋"/>
                <w:color w:val="auto"/>
                <w:sz w:val="24"/>
                <w:highlight w:val="none"/>
              </w:rPr>
            </w:pPr>
          </w:p>
        </w:tc>
      </w:tr>
      <w:tr w14:paraId="6941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71" w:type="pct"/>
            <w:vAlign w:val="center"/>
          </w:tcPr>
          <w:p w14:paraId="3EB63164">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644" w:type="pct"/>
            <w:vAlign w:val="center"/>
          </w:tcPr>
          <w:p w14:paraId="48CCAF80">
            <w:pPr>
              <w:spacing w:line="360" w:lineRule="auto"/>
              <w:jc w:val="center"/>
              <w:rPr>
                <w:rFonts w:hint="eastAsia" w:ascii="仿宋" w:hAnsi="仿宋" w:eastAsia="仿宋" w:cs="仿宋"/>
                <w:color w:val="auto"/>
                <w:sz w:val="24"/>
                <w:highlight w:val="none"/>
              </w:rPr>
            </w:pPr>
          </w:p>
        </w:tc>
        <w:tc>
          <w:tcPr>
            <w:tcW w:w="376" w:type="pct"/>
            <w:vAlign w:val="center"/>
          </w:tcPr>
          <w:p w14:paraId="7276CE39">
            <w:pPr>
              <w:spacing w:line="360" w:lineRule="auto"/>
              <w:jc w:val="center"/>
              <w:rPr>
                <w:rFonts w:hint="eastAsia" w:ascii="仿宋" w:hAnsi="仿宋" w:eastAsia="仿宋" w:cs="仿宋"/>
                <w:color w:val="auto"/>
                <w:sz w:val="24"/>
                <w:highlight w:val="none"/>
              </w:rPr>
            </w:pPr>
          </w:p>
        </w:tc>
        <w:tc>
          <w:tcPr>
            <w:tcW w:w="498" w:type="pct"/>
            <w:vAlign w:val="center"/>
          </w:tcPr>
          <w:p w14:paraId="6A8F3794">
            <w:pPr>
              <w:spacing w:line="360" w:lineRule="auto"/>
              <w:jc w:val="center"/>
              <w:rPr>
                <w:rFonts w:hint="eastAsia" w:ascii="仿宋" w:hAnsi="仿宋" w:eastAsia="仿宋" w:cs="仿宋"/>
                <w:color w:val="auto"/>
                <w:sz w:val="24"/>
                <w:highlight w:val="none"/>
              </w:rPr>
            </w:pPr>
          </w:p>
        </w:tc>
        <w:tc>
          <w:tcPr>
            <w:tcW w:w="790" w:type="pct"/>
            <w:vAlign w:val="center"/>
          </w:tcPr>
          <w:p w14:paraId="5C99E350">
            <w:pPr>
              <w:spacing w:line="360" w:lineRule="auto"/>
              <w:jc w:val="center"/>
              <w:rPr>
                <w:rFonts w:hint="eastAsia" w:ascii="仿宋" w:hAnsi="仿宋" w:eastAsia="仿宋" w:cs="仿宋"/>
                <w:color w:val="auto"/>
                <w:sz w:val="24"/>
                <w:highlight w:val="none"/>
              </w:rPr>
            </w:pPr>
          </w:p>
        </w:tc>
        <w:tc>
          <w:tcPr>
            <w:tcW w:w="377" w:type="pct"/>
            <w:vAlign w:val="center"/>
          </w:tcPr>
          <w:p w14:paraId="5A441DA5">
            <w:pPr>
              <w:spacing w:line="360" w:lineRule="auto"/>
              <w:jc w:val="center"/>
              <w:rPr>
                <w:rFonts w:hint="eastAsia" w:ascii="仿宋" w:hAnsi="仿宋" w:eastAsia="仿宋" w:cs="仿宋"/>
                <w:color w:val="auto"/>
                <w:sz w:val="24"/>
                <w:highlight w:val="none"/>
              </w:rPr>
            </w:pPr>
          </w:p>
        </w:tc>
        <w:tc>
          <w:tcPr>
            <w:tcW w:w="372" w:type="pct"/>
            <w:vAlign w:val="center"/>
          </w:tcPr>
          <w:p w14:paraId="5FF76CD2">
            <w:pPr>
              <w:spacing w:line="360" w:lineRule="auto"/>
              <w:jc w:val="center"/>
              <w:rPr>
                <w:rFonts w:hint="eastAsia" w:ascii="仿宋" w:hAnsi="仿宋" w:eastAsia="仿宋" w:cs="仿宋"/>
                <w:color w:val="auto"/>
                <w:sz w:val="24"/>
                <w:highlight w:val="none"/>
              </w:rPr>
            </w:pPr>
          </w:p>
        </w:tc>
        <w:tc>
          <w:tcPr>
            <w:tcW w:w="377" w:type="pct"/>
            <w:vAlign w:val="center"/>
          </w:tcPr>
          <w:p w14:paraId="66241318">
            <w:pPr>
              <w:spacing w:line="360" w:lineRule="auto"/>
              <w:jc w:val="center"/>
              <w:rPr>
                <w:rFonts w:hint="eastAsia" w:ascii="仿宋" w:hAnsi="仿宋" w:eastAsia="仿宋" w:cs="仿宋"/>
                <w:color w:val="auto"/>
                <w:sz w:val="24"/>
                <w:highlight w:val="none"/>
              </w:rPr>
            </w:pPr>
          </w:p>
        </w:tc>
        <w:tc>
          <w:tcPr>
            <w:tcW w:w="373" w:type="pct"/>
            <w:vAlign w:val="center"/>
          </w:tcPr>
          <w:p w14:paraId="5BD86AA9">
            <w:pPr>
              <w:spacing w:line="360" w:lineRule="auto"/>
              <w:jc w:val="center"/>
              <w:rPr>
                <w:rFonts w:hint="eastAsia" w:ascii="仿宋" w:hAnsi="仿宋" w:eastAsia="仿宋" w:cs="仿宋"/>
                <w:color w:val="auto"/>
                <w:sz w:val="24"/>
                <w:highlight w:val="none"/>
              </w:rPr>
            </w:pPr>
          </w:p>
        </w:tc>
        <w:tc>
          <w:tcPr>
            <w:tcW w:w="436" w:type="pct"/>
            <w:vAlign w:val="center"/>
          </w:tcPr>
          <w:p w14:paraId="229DF4DF">
            <w:pPr>
              <w:spacing w:line="360" w:lineRule="auto"/>
              <w:jc w:val="center"/>
              <w:rPr>
                <w:rFonts w:hint="eastAsia" w:ascii="仿宋" w:hAnsi="仿宋" w:eastAsia="仿宋" w:cs="仿宋"/>
                <w:color w:val="auto"/>
                <w:sz w:val="24"/>
                <w:highlight w:val="none"/>
              </w:rPr>
            </w:pPr>
          </w:p>
        </w:tc>
        <w:tc>
          <w:tcPr>
            <w:tcW w:w="382" w:type="pct"/>
            <w:vAlign w:val="center"/>
          </w:tcPr>
          <w:p w14:paraId="7C8E3210">
            <w:pPr>
              <w:spacing w:line="360" w:lineRule="auto"/>
              <w:rPr>
                <w:rFonts w:hint="eastAsia" w:ascii="仿宋" w:hAnsi="仿宋" w:eastAsia="仿宋" w:cs="仿宋"/>
                <w:color w:val="auto"/>
                <w:sz w:val="24"/>
                <w:highlight w:val="none"/>
              </w:rPr>
            </w:pPr>
          </w:p>
        </w:tc>
      </w:tr>
      <w:tr w14:paraId="1417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617" w:type="pct"/>
            <w:gridSpan w:val="10"/>
            <w:vAlign w:val="center"/>
          </w:tcPr>
          <w:p w14:paraId="791EC6B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总价（元）</w:t>
            </w:r>
          </w:p>
        </w:tc>
        <w:tc>
          <w:tcPr>
            <w:tcW w:w="382" w:type="pct"/>
            <w:vAlign w:val="center"/>
          </w:tcPr>
          <w:p w14:paraId="5B4DD84F">
            <w:pPr>
              <w:spacing w:line="360" w:lineRule="auto"/>
              <w:rPr>
                <w:rFonts w:hint="eastAsia" w:ascii="仿宋" w:hAnsi="仿宋" w:eastAsia="仿宋" w:cs="仿宋"/>
                <w:color w:val="auto"/>
                <w:sz w:val="24"/>
                <w:highlight w:val="none"/>
              </w:rPr>
            </w:pPr>
          </w:p>
        </w:tc>
      </w:tr>
    </w:tbl>
    <w:p w14:paraId="1D9BBEA2">
      <w:pPr>
        <w:pStyle w:val="16"/>
        <w:spacing w:line="400" w:lineRule="exact"/>
        <w:ind w:left="1080" w:leftChars="257" w:hanging="540"/>
        <w:rPr>
          <w:rFonts w:hint="eastAsia" w:ascii="仿宋" w:hAnsi="仿宋" w:eastAsia="仿宋" w:cs="仿宋"/>
          <w:color w:val="auto"/>
          <w:sz w:val="24"/>
          <w:szCs w:val="24"/>
          <w:highlight w:val="none"/>
        </w:rPr>
      </w:pPr>
    </w:p>
    <w:p w14:paraId="7631AD91">
      <w:pPr>
        <w:pStyle w:val="6"/>
        <w:spacing w:line="360" w:lineRule="exact"/>
        <w:ind w:firstLine="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lang w:eastAsia="zh-CN"/>
        </w:rPr>
        <w:t>供应商</w:t>
      </w:r>
      <w:r>
        <w:rPr>
          <w:rFonts w:hint="eastAsia" w:ascii="仿宋" w:hAnsi="仿宋" w:eastAsia="仿宋" w:cs="仿宋"/>
          <w:color w:val="auto"/>
          <w:kern w:val="2"/>
          <w:sz w:val="24"/>
          <w:szCs w:val="24"/>
          <w:highlight w:val="none"/>
        </w:rPr>
        <w:t>名称（</w:t>
      </w:r>
      <w:r>
        <w:rPr>
          <w:rFonts w:hint="eastAsia" w:ascii="仿宋" w:hAnsi="仿宋" w:eastAsia="仿宋" w:cs="仿宋"/>
          <w:color w:val="auto"/>
          <w:kern w:val="2"/>
          <w:sz w:val="24"/>
          <w:szCs w:val="24"/>
          <w:highlight w:val="none"/>
          <w:lang w:eastAsia="zh-CN"/>
        </w:rPr>
        <w:t>公章</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u w:val="single"/>
        </w:rPr>
        <w:t xml:space="preserve">                       </w:t>
      </w:r>
    </w:p>
    <w:p w14:paraId="49DBFC90">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法定代表人或委托代理</w:t>
      </w:r>
      <w:r>
        <w:rPr>
          <w:rFonts w:hint="eastAsia" w:ascii="仿宋" w:hAnsi="仿宋" w:eastAsia="仿宋" w:cs="仿宋"/>
          <w:color w:val="auto"/>
          <w:kern w:val="2"/>
          <w:sz w:val="24"/>
          <w:szCs w:val="24"/>
          <w:highlight w:val="none"/>
          <w:lang w:val="en-US" w:eastAsia="zh-CN"/>
        </w:rPr>
        <w:t>人</w:t>
      </w:r>
      <w:r>
        <w:rPr>
          <w:rFonts w:hint="eastAsia" w:ascii="仿宋" w:hAnsi="仿宋" w:eastAsia="仿宋" w:cs="仿宋"/>
          <w:color w:val="auto"/>
          <w:kern w:val="2"/>
          <w:sz w:val="24"/>
          <w:szCs w:val="24"/>
          <w:highlight w:val="none"/>
        </w:rPr>
        <w:t>(签/章):</w:t>
      </w:r>
      <w:r>
        <w:rPr>
          <w:rFonts w:hint="eastAsia" w:ascii="仿宋" w:hAnsi="仿宋" w:eastAsia="仿宋" w:cs="仿宋"/>
          <w:color w:val="auto"/>
          <w:kern w:val="2"/>
          <w:sz w:val="24"/>
          <w:szCs w:val="24"/>
          <w:highlight w:val="none"/>
          <w:u w:val="single"/>
        </w:rPr>
        <w:tab/>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4F396610">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日期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 xml:space="preserve">   </w:t>
      </w:r>
    </w:p>
    <w:p w14:paraId="13D68F00">
      <w:pPr>
        <w:pStyle w:val="16"/>
        <w:spacing w:line="400" w:lineRule="exact"/>
        <w:ind w:left="1080" w:leftChars="257" w:hanging="540"/>
        <w:rPr>
          <w:rFonts w:hint="eastAsia" w:ascii="仿宋" w:hAnsi="仿宋" w:eastAsia="仿宋" w:cs="仿宋"/>
          <w:color w:val="auto"/>
          <w:sz w:val="24"/>
          <w:szCs w:val="24"/>
          <w:highlight w:val="none"/>
        </w:rPr>
      </w:pPr>
    </w:p>
    <w:p w14:paraId="52929B24">
      <w:pPr>
        <w:pStyle w:val="16"/>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注:1.如果供应商认为需要，每种</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填写一份该表。</w:t>
      </w:r>
    </w:p>
    <w:p w14:paraId="6B97336F">
      <w:pPr>
        <w:pStyle w:val="16"/>
        <w:spacing w:line="400" w:lineRule="exact"/>
        <w:ind w:left="1079" w:leftChars="428" w:hanging="180" w:hangingChars="7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2.如果按单价计算的结果与总价不一致,以单价为准修正总价。</w:t>
      </w:r>
    </w:p>
    <w:p w14:paraId="27808076">
      <w:pPr>
        <w:pStyle w:val="16"/>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3.如果不提供详细分项报价将视为没有实质性响应招标文件。</w:t>
      </w:r>
    </w:p>
    <w:p w14:paraId="58336D7C">
      <w:pPr>
        <w:pStyle w:val="16"/>
        <w:spacing w:line="400" w:lineRule="exact"/>
        <w:ind w:left="1080" w:leftChars="257" w:hanging="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4.上述各项的详细分项报价，应另页描述。</w:t>
      </w:r>
    </w:p>
    <w:p w14:paraId="568DA987">
      <w:pPr>
        <w:pStyle w:val="16"/>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5.如果开标一览表（报价表）内容与投标文件中明细表内容不一致的，以开标一览表（报价表）内容为准。</w:t>
      </w:r>
    </w:p>
    <w:p w14:paraId="16174B4B">
      <w:pPr>
        <w:rPr>
          <w:rFonts w:hint="eastAsia" w:ascii="仿宋" w:hAnsi="仿宋" w:eastAsia="仿宋" w:cs="仿宋"/>
          <w:color w:val="auto"/>
          <w:sz w:val="28"/>
          <w:szCs w:val="28"/>
          <w:highlight w:val="none"/>
          <w:lang w:val="en-US" w:eastAsia="zh-CN"/>
        </w:rPr>
      </w:pPr>
      <w:bookmarkStart w:id="1125" w:name="_Toc13950"/>
      <w:bookmarkStart w:id="1126" w:name="_Toc30209"/>
      <w:bookmarkStart w:id="1127" w:name="_Toc27721"/>
      <w:bookmarkStart w:id="1128" w:name="_Toc28199"/>
      <w:bookmarkStart w:id="1129" w:name="_Toc27975"/>
      <w:bookmarkStart w:id="1130" w:name="_Toc6480"/>
      <w:bookmarkStart w:id="1131" w:name="_Toc29174"/>
      <w:bookmarkStart w:id="1132" w:name="_Toc16798"/>
      <w:bookmarkStart w:id="1133" w:name="_Toc10486"/>
      <w:bookmarkStart w:id="1134" w:name="_Toc3096"/>
      <w:bookmarkStart w:id="1135" w:name="_Toc32439"/>
      <w:bookmarkStart w:id="1136" w:name="_Toc26185"/>
      <w:r>
        <w:rPr>
          <w:rFonts w:hint="eastAsia" w:ascii="仿宋" w:hAnsi="仿宋" w:eastAsia="仿宋" w:cs="仿宋"/>
          <w:color w:val="auto"/>
          <w:sz w:val="28"/>
          <w:szCs w:val="28"/>
          <w:highlight w:val="none"/>
          <w:lang w:val="en-US" w:eastAsia="zh-CN"/>
        </w:rPr>
        <w:br w:type="page"/>
      </w:r>
    </w:p>
    <w:p w14:paraId="390605AA">
      <w:pPr>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9"/>
        <w:rPr>
          <w:rFonts w:hint="eastAsia" w:ascii="仿宋" w:hAnsi="仿宋" w:eastAsia="仿宋" w:cs="仿宋"/>
          <w:color w:val="auto"/>
          <w:sz w:val="28"/>
          <w:szCs w:val="28"/>
          <w:highlight w:val="none"/>
          <w:lang w:val="en-US" w:eastAsia="zh-CN"/>
        </w:rPr>
      </w:pPr>
      <w:bookmarkStart w:id="1137" w:name="_Toc20808"/>
      <w:r>
        <w:rPr>
          <w:rFonts w:hint="eastAsia" w:ascii="仿宋" w:hAnsi="仿宋" w:eastAsia="仿宋" w:cs="仿宋"/>
          <w:color w:val="auto"/>
          <w:sz w:val="28"/>
          <w:szCs w:val="28"/>
          <w:highlight w:val="none"/>
          <w:lang w:val="en-US" w:eastAsia="zh-CN"/>
        </w:rPr>
        <w:t>备品备件货物分项报价表</w:t>
      </w:r>
      <w:bookmarkEnd w:id="1125"/>
      <w:bookmarkEnd w:id="1126"/>
      <w:bookmarkEnd w:id="1127"/>
      <w:bookmarkEnd w:id="1128"/>
      <w:bookmarkEnd w:id="1129"/>
      <w:bookmarkEnd w:id="1130"/>
      <w:bookmarkEnd w:id="1131"/>
      <w:bookmarkEnd w:id="1132"/>
      <w:bookmarkEnd w:id="1133"/>
      <w:bookmarkEnd w:id="1137"/>
    </w:p>
    <w:tbl>
      <w:tblPr>
        <w:tblStyle w:val="30"/>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949"/>
        <w:gridCol w:w="805"/>
        <w:gridCol w:w="569"/>
        <w:gridCol w:w="805"/>
        <w:gridCol w:w="933"/>
        <w:gridCol w:w="569"/>
        <w:gridCol w:w="569"/>
        <w:gridCol w:w="569"/>
        <w:gridCol w:w="569"/>
        <w:gridCol w:w="579"/>
        <w:gridCol w:w="594"/>
      </w:tblGrid>
      <w:tr w14:paraId="0494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38" w:type="pct"/>
            <w:vAlign w:val="center"/>
          </w:tcPr>
          <w:p w14:paraId="5D1D9883">
            <w:pPr>
              <w:shd w:val="clear"/>
              <w:spacing w:line="360" w:lineRule="auto"/>
              <w:jc w:val="center"/>
              <w:outlineLvl w:val="9"/>
              <w:rPr>
                <w:rFonts w:hint="eastAsia" w:ascii="仿宋" w:hAnsi="仿宋" w:eastAsia="仿宋" w:cs="仿宋"/>
                <w:color w:val="auto"/>
                <w:sz w:val="24"/>
                <w:szCs w:val="24"/>
                <w:highlight w:val="none"/>
              </w:rPr>
            </w:pPr>
          </w:p>
        </w:tc>
        <w:tc>
          <w:tcPr>
            <w:tcW w:w="564" w:type="pct"/>
            <w:vAlign w:val="center"/>
          </w:tcPr>
          <w:p w14:paraId="6EFE2110">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c>
        <w:tc>
          <w:tcPr>
            <w:tcW w:w="478" w:type="pct"/>
            <w:vAlign w:val="center"/>
          </w:tcPr>
          <w:p w14:paraId="26447ABD">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名称</w:t>
            </w:r>
          </w:p>
        </w:tc>
        <w:tc>
          <w:tcPr>
            <w:tcW w:w="338" w:type="pct"/>
            <w:vAlign w:val="center"/>
          </w:tcPr>
          <w:p w14:paraId="5E4F1B06">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478" w:type="pct"/>
            <w:vAlign w:val="center"/>
          </w:tcPr>
          <w:p w14:paraId="09D2E195">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554" w:type="pct"/>
            <w:vAlign w:val="center"/>
          </w:tcPr>
          <w:p w14:paraId="482F08DC">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b w:val="0"/>
                <w:i w:val="0"/>
                <w:caps w:val="0"/>
                <w:color w:val="auto"/>
                <w:spacing w:val="0"/>
                <w:w w:val="100"/>
                <w:sz w:val="24"/>
                <w:szCs w:val="24"/>
                <w:highlight w:val="none"/>
                <w:lang w:val="en-US" w:eastAsia="zh-CN"/>
              </w:rPr>
              <w:t>制造商名称</w:t>
            </w:r>
          </w:p>
        </w:tc>
        <w:tc>
          <w:tcPr>
            <w:tcW w:w="338" w:type="pct"/>
            <w:vAlign w:val="center"/>
          </w:tcPr>
          <w:p w14:paraId="3CA08A01">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338" w:type="pct"/>
            <w:vAlign w:val="center"/>
          </w:tcPr>
          <w:p w14:paraId="6C03A93E">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338" w:type="pct"/>
            <w:vAlign w:val="center"/>
          </w:tcPr>
          <w:p w14:paraId="7159D91A">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338" w:type="pct"/>
            <w:vAlign w:val="center"/>
          </w:tcPr>
          <w:p w14:paraId="39F14A54">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344" w:type="pct"/>
            <w:vAlign w:val="center"/>
          </w:tcPr>
          <w:p w14:paraId="07F855C6">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合价</w:t>
            </w:r>
          </w:p>
        </w:tc>
        <w:tc>
          <w:tcPr>
            <w:tcW w:w="350" w:type="pct"/>
            <w:vAlign w:val="center"/>
          </w:tcPr>
          <w:p w14:paraId="6FE58CF2">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769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38" w:type="pct"/>
            <w:vMerge w:val="restart"/>
            <w:vAlign w:val="center"/>
          </w:tcPr>
          <w:p w14:paraId="0E545321">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质保期外</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报价</w:t>
            </w:r>
          </w:p>
        </w:tc>
        <w:tc>
          <w:tcPr>
            <w:tcW w:w="564" w:type="pct"/>
            <w:vAlign w:val="center"/>
          </w:tcPr>
          <w:p w14:paraId="5006C808">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478" w:type="pct"/>
            <w:vAlign w:val="center"/>
          </w:tcPr>
          <w:p w14:paraId="60DA0B6F">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22265DEE">
            <w:pPr>
              <w:shd w:val="clear"/>
              <w:spacing w:line="360" w:lineRule="auto"/>
              <w:jc w:val="center"/>
              <w:outlineLvl w:val="9"/>
              <w:rPr>
                <w:rFonts w:hint="eastAsia" w:ascii="仿宋" w:hAnsi="仿宋" w:eastAsia="仿宋" w:cs="仿宋"/>
                <w:color w:val="auto"/>
                <w:sz w:val="24"/>
                <w:szCs w:val="24"/>
                <w:highlight w:val="none"/>
              </w:rPr>
            </w:pPr>
          </w:p>
        </w:tc>
        <w:tc>
          <w:tcPr>
            <w:tcW w:w="478" w:type="pct"/>
            <w:vAlign w:val="center"/>
          </w:tcPr>
          <w:p w14:paraId="464B3416">
            <w:pPr>
              <w:shd w:val="clear"/>
              <w:spacing w:line="360" w:lineRule="auto"/>
              <w:jc w:val="center"/>
              <w:outlineLvl w:val="9"/>
              <w:rPr>
                <w:rFonts w:hint="eastAsia" w:ascii="仿宋" w:hAnsi="仿宋" w:eastAsia="仿宋" w:cs="仿宋"/>
                <w:color w:val="auto"/>
                <w:sz w:val="24"/>
                <w:szCs w:val="24"/>
                <w:highlight w:val="none"/>
              </w:rPr>
            </w:pPr>
          </w:p>
        </w:tc>
        <w:tc>
          <w:tcPr>
            <w:tcW w:w="554" w:type="pct"/>
            <w:vAlign w:val="center"/>
          </w:tcPr>
          <w:p w14:paraId="51D855FD">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45AD4E80">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0C519806">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137A7EBA">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124D2907">
            <w:pPr>
              <w:shd w:val="clear"/>
              <w:spacing w:line="360" w:lineRule="auto"/>
              <w:jc w:val="center"/>
              <w:outlineLvl w:val="9"/>
              <w:rPr>
                <w:rFonts w:hint="eastAsia" w:ascii="仿宋" w:hAnsi="仿宋" w:eastAsia="仿宋" w:cs="仿宋"/>
                <w:color w:val="auto"/>
                <w:sz w:val="24"/>
                <w:szCs w:val="24"/>
                <w:highlight w:val="none"/>
              </w:rPr>
            </w:pPr>
          </w:p>
        </w:tc>
        <w:tc>
          <w:tcPr>
            <w:tcW w:w="344" w:type="pct"/>
            <w:vAlign w:val="center"/>
          </w:tcPr>
          <w:p w14:paraId="6B0BCFC0">
            <w:pPr>
              <w:shd w:val="clear"/>
              <w:spacing w:line="360" w:lineRule="auto"/>
              <w:jc w:val="center"/>
              <w:outlineLvl w:val="9"/>
              <w:rPr>
                <w:rFonts w:hint="eastAsia" w:ascii="仿宋" w:hAnsi="仿宋" w:eastAsia="仿宋" w:cs="仿宋"/>
                <w:color w:val="auto"/>
                <w:sz w:val="24"/>
                <w:szCs w:val="24"/>
                <w:highlight w:val="none"/>
              </w:rPr>
            </w:pPr>
          </w:p>
        </w:tc>
        <w:tc>
          <w:tcPr>
            <w:tcW w:w="350" w:type="pct"/>
            <w:vAlign w:val="center"/>
          </w:tcPr>
          <w:p w14:paraId="6D6E712E">
            <w:pPr>
              <w:shd w:val="clear"/>
              <w:spacing w:line="360" w:lineRule="auto"/>
              <w:jc w:val="center"/>
              <w:outlineLvl w:val="9"/>
              <w:rPr>
                <w:rFonts w:hint="eastAsia" w:ascii="仿宋" w:hAnsi="仿宋" w:eastAsia="仿宋" w:cs="仿宋"/>
                <w:color w:val="auto"/>
                <w:sz w:val="24"/>
                <w:szCs w:val="24"/>
                <w:highlight w:val="none"/>
              </w:rPr>
            </w:pPr>
          </w:p>
        </w:tc>
      </w:tr>
      <w:tr w14:paraId="5865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38" w:type="pct"/>
            <w:vMerge w:val="continue"/>
            <w:vAlign w:val="center"/>
          </w:tcPr>
          <w:p w14:paraId="1AE424EF">
            <w:pPr>
              <w:shd w:val="clear"/>
              <w:spacing w:line="360" w:lineRule="auto"/>
              <w:jc w:val="center"/>
              <w:outlineLvl w:val="9"/>
              <w:rPr>
                <w:rFonts w:hint="eastAsia" w:ascii="仿宋" w:hAnsi="仿宋" w:eastAsia="仿宋" w:cs="仿宋"/>
                <w:color w:val="auto"/>
                <w:sz w:val="24"/>
                <w:szCs w:val="24"/>
                <w:highlight w:val="none"/>
              </w:rPr>
            </w:pPr>
          </w:p>
        </w:tc>
        <w:tc>
          <w:tcPr>
            <w:tcW w:w="564" w:type="pct"/>
            <w:vAlign w:val="center"/>
          </w:tcPr>
          <w:p w14:paraId="02CF5143">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78" w:type="pct"/>
            <w:vAlign w:val="center"/>
          </w:tcPr>
          <w:p w14:paraId="3A816B4D">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70AC8B7">
            <w:pPr>
              <w:shd w:val="clear"/>
              <w:spacing w:line="360" w:lineRule="auto"/>
              <w:jc w:val="center"/>
              <w:outlineLvl w:val="9"/>
              <w:rPr>
                <w:rFonts w:hint="eastAsia" w:ascii="仿宋" w:hAnsi="仿宋" w:eastAsia="仿宋" w:cs="仿宋"/>
                <w:color w:val="auto"/>
                <w:sz w:val="24"/>
                <w:szCs w:val="24"/>
                <w:highlight w:val="none"/>
              </w:rPr>
            </w:pPr>
          </w:p>
        </w:tc>
        <w:tc>
          <w:tcPr>
            <w:tcW w:w="478" w:type="pct"/>
            <w:vAlign w:val="center"/>
          </w:tcPr>
          <w:p w14:paraId="3728C00D">
            <w:pPr>
              <w:shd w:val="clear"/>
              <w:spacing w:line="360" w:lineRule="auto"/>
              <w:jc w:val="center"/>
              <w:outlineLvl w:val="9"/>
              <w:rPr>
                <w:rFonts w:hint="eastAsia" w:ascii="仿宋" w:hAnsi="仿宋" w:eastAsia="仿宋" w:cs="仿宋"/>
                <w:color w:val="auto"/>
                <w:sz w:val="24"/>
                <w:szCs w:val="24"/>
                <w:highlight w:val="none"/>
              </w:rPr>
            </w:pPr>
          </w:p>
        </w:tc>
        <w:tc>
          <w:tcPr>
            <w:tcW w:w="554" w:type="pct"/>
            <w:vAlign w:val="center"/>
          </w:tcPr>
          <w:p w14:paraId="2B88AE07">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BC33212">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0151217C">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39E583B2">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9560453">
            <w:pPr>
              <w:shd w:val="clear"/>
              <w:spacing w:line="360" w:lineRule="auto"/>
              <w:jc w:val="center"/>
              <w:outlineLvl w:val="9"/>
              <w:rPr>
                <w:rFonts w:hint="eastAsia" w:ascii="仿宋" w:hAnsi="仿宋" w:eastAsia="仿宋" w:cs="仿宋"/>
                <w:color w:val="auto"/>
                <w:sz w:val="24"/>
                <w:szCs w:val="24"/>
                <w:highlight w:val="none"/>
              </w:rPr>
            </w:pPr>
          </w:p>
        </w:tc>
        <w:tc>
          <w:tcPr>
            <w:tcW w:w="344" w:type="pct"/>
            <w:vAlign w:val="center"/>
          </w:tcPr>
          <w:p w14:paraId="3790BDF7">
            <w:pPr>
              <w:shd w:val="clear"/>
              <w:spacing w:line="360" w:lineRule="auto"/>
              <w:jc w:val="center"/>
              <w:outlineLvl w:val="9"/>
              <w:rPr>
                <w:rFonts w:hint="eastAsia" w:ascii="仿宋" w:hAnsi="仿宋" w:eastAsia="仿宋" w:cs="仿宋"/>
                <w:color w:val="auto"/>
                <w:sz w:val="24"/>
                <w:szCs w:val="24"/>
                <w:highlight w:val="none"/>
              </w:rPr>
            </w:pPr>
          </w:p>
        </w:tc>
        <w:tc>
          <w:tcPr>
            <w:tcW w:w="350" w:type="pct"/>
            <w:vAlign w:val="center"/>
          </w:tcPr>
          <w:p w14:paraId="27C7F486">
            <w:pPr>
              <w:shd w:val="clear"/>
              <w:spacing w:line="360" w:lineRule="auto"/>
              <w:jc w:val="center"/>
              <w:outlineLvl w:val="9"/>
              <w:rPr>
                <w:rFonts w:hint="eastAsia" w:ascii="仿宋" w:hAnsi="仿宋" w:eastAsia="仿宋" w:cs="仿宋"/>
                <w:color w:val="auto"/>
                <w:sz w:val="24"/>
                <w:szCs w:val="24"/>
                <w:highlight w:val="none"/>
              </w:rPr>
            </w:pPr>
          </w:p>
        </w:tc>
      </w:tr>
      <w:tr w14:paraId="0438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38" w:type="pct"/>
            <w:vMerge w:val="continue"/>
            <w:vAlign w:val="center"/>
          </w:tcPr>
          <w:p w14:paraId="5E7CE979">
            <w:pPr>
              <w:shd w:val="clear"/>
              <w:spacing w:line="360" w:lineRule="auto"/>
              <w:jc w:val="center"/>
              <w:outlineLvl w:val="9"/>
              <w:rPr>
                <w:rFonts w:hint="eastAsia" w:ascii="仿宋" w:hAnsi="仿宋" w:eastAsia="仿宋" w:cs="仿宋"/>
                <w:color w:val="auto"/>
                <w:sz w:val="24"/>
                <w:szCs w:val="24"/>
                <w:highlight w:val="none"/>
              </w:rPr>
            </w:pPr>
          </w:p>
        </w:tc>
        <w:tc>
          <w:tcPr>
            <w:tcW w:w="564" w:type="pct"/>
            <w:vAlign w:val="center"/>
          </w:tcPr>
          <w:p w14:paraId="58752095">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478" w:type="pct"/>
            <w:vAlign w:val="center"/>
          </w:tcPr>
          <w:p w14:paraId="5342B437">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2E46860">
            <w:pPr>
              <w:shd w:val="clear"/>
              <w:spacing w:line="360" w:lineRule="auto"/>
              <w:jc w:val="center"/>
              <w:outlineLvl w:val="9"/>
              <w:rPr>
                <w:rFonts w:hint="eastAsia" w:ascii="仿宋" w:hAnsi="仿宋" w:eastAsia="仿宋" w:cs="仿宋"/>
                <w:color w:val="auto"/>
                <w:sz w:val="24"/>
                <w:szCs w:val="24"/>
                <w:highlight w:val="none"/>
              </w:rPr>
            </w:pPr>
          </w:p>
        </w:tc>
        <w:tc>
          <w:tcPr>
            <w:tcW w:w="478" w:type="pct"/>
            <w:vAlign w:val="center"/>
          </w:tcPr>
          <w:p w14:paraId="25D84EC3">
            <w:pPr>
              <w:shd w:val="clear"/>
              <w:spacing w:line="360" w:lineRule="auto"/>
              <w:jc w:val="center"/>
              <w:outlineLvl w:val="9"/>
              <w:rPr>
                <w:rFonts w:hint="eastAsia" w:ascii="仿宋" w:hAnsi="仿宋" w:eastAsia="仿宋" w:cs="仿宋"/>
                <w:color w:val="auto"/>
                <w:sz w:val="24"/>
                <w:szCs w:val="24"/>
                <w:highlight w:val="none"/>
              </w:rPr>
            </w:pPr>
          </w:p>
        </w:tc>
        <w:tc>
          <w:tcPr>
            <w:tcW w:w="554" w:type="pct"/>
            <w:vAlign w:val="center"/>
          </w:tcPr>
          <w:p w14:paraId="10535701">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47E7839F">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1C44215">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EC210F1">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3278C58C">
            <w:pPr>
              <w:shd w:val="clear"/>
              <w:spacing w:line="360" w:lineRule="auto"/>
              <w:jc w:val="center"/>
              <w:outlineLvl w:val="9"/>
              <w:rPr>
                <w:rFonts w:hint="eastAsia" w:ascii="仿宋" w:hAnsi="仿宋" w:eastAsia="仿宋" w:cs="仿宋"/>
                <w:color w:val="auto"/>
                <w:sz w:val="24"/>
                <w:szCs w:val="24"/>
                <w:highlight w:val="none"/>
              </w:rPr>
            </w:pPr>
          </w:p>
        </w:tc>
        <w:tc>
          <w:tcPr>
            <w:tcW w:w="344" w:type="pct"/>
            <w:vAlign w:val="center"/>
          </w:tcPr>
          <w:p w14:paraId="57124CFB">
            <w:pPr>
              <w:shd w:val="clear"/>
              <w:spacing w:line="360" w:lineRule="auto"/>
              <w:jc w:val="center"/>
              <w:outlineLvl w:val="9"/>
              <w:rPr>
                <w:rFonts w:hint="eastAsia" w:ascii="仿宋" w:hAnsi="仿宋" w:eastAsia="仿宋" w:cs="仿宋"/>
                <w:color w:val="auto"/>
                <w:sz w:val="24"/>
                <w:szCs w:val="24"/>
                <w:highlight w:val="none"/>
              </w:rPr>
            </w:pPr>
          </w:p>
        </w:tc>
        <w:tc>
          <w:tcPr>
            <w:tcW w:w="350" w:type="pct"/>
            <w:vAlign w:val="center"/>
          </w:tcPr>
          <w:p w14:paraId="020FE4C4">
            <w:pPr>
              <w:shd w:val="clear"/>
              <w:spacing w:line="360" w:lineRule="auto"/>
              <w:jc w:val="center"/>
              <w:outlineLvl w:val="9"/>
              <w:rPr>
                <w:rFonts w:hint="eastAsia" w:ascii="仿宋" w:hAnsi="仿宋" w:eastAsia="仿宋" w:cs="仿宋"/>
                <w:color w:val="auto"/>
                <w:sz w:val="24"/>
                <w:szCs w:val="24"/>
                <w:highlight w:val="none"/>
              </w:rPr>
            </w:pPr>
          </w:p>
        </w:tc>
      </w:tr>
      <w:tr w14:paraId="3411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38" w:type="pct"/>
            <w:vMerge w:val="continue"/>
            <w:vAlign w:val="center"/>
          </w:tcPr>
          <w:p w14:paraId="6BD4D5B8">
            <w:pPr>
              <w:shd w:val="clear"/>
              <w:spacing w:line="360" w:lineRule="auto"/>
              <w:jc w:val="center"/>
              <w:outlineLvl w:val="9"/>
              <w:rPr>
                <w:rFonts w:hint="eastAsia" w:ascii="仿宋" w:hAnsi="仿宋" w:eastAsia="仿宋" w:cs="仿宋"/>
                <w:color w:val="auto"/>
                <w:sz w:val="24"/>
                <w:szCs w:val="24"/>
                <w:highlight w:val="none"/>
              </w:rPr>
            </w:pPr>
          </w:p>
        </w:tc>
        <w:tc>
          <w:tcPr>
            <w:tcW w:w="564" w:type="pct"/>
            <w:vAlign w:val="center"/>
          </w:tcPr>
          <w:p w14:paraId="6A61C4A4">
            <w:pPr>
              <w:shd w:val="clea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478" w:type="pct"/>
            <w:vAlign w:val="center"/>
          </w:tcPr>
          <w:p w14:paraId="65CFFAE9">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688EA264">
            <w:pPr>
              <w:shd w:val="clear"/>
              <w:spacing w:line="360" w:lineRule="auto"/>
              <w:jc w:val="center"/>
              <w:outlineLvl w:val="9"/>
              <w:rPr>
                <w:rFonts w:hint="eastAsia" w:ascii="仿宋" w:hAnsi="仿宋" w:eastAsia="仿宋" w:cs="仿宋"/>
                <w:color w:val="auto"/>
                <w:sz w:val="24"/>
                <w:szCs w:val="24"/>
                <w:highlight w:val="none"/>
              </w:rPr>
            </w:pPr>
          </w:p>
        </w:tc>
        <w:tc>
          <w:tcPr>
            <w:tcW w:w="478" w:type="pct"/>
            <w:vAlign w:val="center"/>
          </w:tcPr>
          <w:p w14:paraId="2EF395CC">
            <w:pPr>
              <w:shd w:val="clear"/>
              <w:spacing w:line="360" w:lineRule="auto"/>
              <w:jc w:val="center"/>
              <w:outlineLvl w:val="9"/>
              <w:rPr>
                <w:rFonts w:hint="eastAsia" w:ascii="仿宋" w:hAnsi="仿宋" w:eastAsia="仿宋" w:cs="仿宋"/>
                <w:color w:val="auto"/>
                <w:sz w:val="24"/>
                <w:szCs w:val="24"/>
                <w:highlight w:val="none"/>
              </w:rPr>
            </w:pPr>
          </w:p>
        </w:tc>
        <w:tc>
          <w:tcPr>
            <w:tcW w:w="554" w:type="pct"/>
            <w:vAlign w:val="center"/>
          </w:tcPr>
          <w:p w14:paraId="1AF417F6">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043F4423">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3AC92D32">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1960443B">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D1D25EC">
            <w:pPr>
              <w:shd w:val="clear"/>
              <w:spacing w:line="360" w:lineRule="auto"/>
              <w:jc w:val="center"/>
              <w:outlineLvl w:val="9"/>
              <w:rPr>
                <w:rFonts w:hint="eastAsia" w:ascii="仿宋" w:hAnsi="仿宋" w:eastAsia="仿宋" w:cs="仿宋"/>
                <w:color w:val="auto"/>
                <w:sz w:val="24"/>
                <w:szCs w:val="24"/>
                <w:highlight w:val="none"/>
              </w:rPr>
            </w:pPr>
          </w:p>
        </w:tc>
        <w:tc>
          <w:tcPr>
            <w:tcW w:w="344" w:type="pct"/>
            <w:vAlign w:val="center"/>
          </w:tcPr>
          <w:p w14:paraId="5E8CE479">
            <w:pPr>
              <w:shd w:val="clear"/>
              <w:spacing w:line="360" w:lineRule="auto"/>
              <w:jc w:val="center"/>
              <w:outlineLvl w:val="9"/>
              <w:rPr>
                <w:rFonts w:hint="eastAsia" w:ascii="仿宋" w:hAnsi="仿宋" w:eastAsia="仿宋" w:cs="仿宋"/>
                <w:color w:val="auto"/>
                <w:sz w:val="24"/>
                <w:szCs w:val="24"/>
                <w:highlight w:val="none"/>
              </w:rPr>
            </w:pPr>
          </w:p>
        </w:tc>
        <w:tc>
          <w:tcPr>
            <w:tcW w:w="350" w:type="pct"/>
            <w:vAlign w:val="center"/>
          </w:tcPr>
          <w:p w14:paraId="20DD00A1">
            <w:pPr>
              <w:shd w:val="clear"/>
              <w:spacing w:line="360" w:lineRule="auto"/>
              <w:jc w:val="center"/>
              <w:outlineLvl w:val="9"/>
              <w:rPr>
                <w:rFonts w:hint="eastAsia" w:ascii="仿宋" w:hAnsi="仿宋" w:eastAsia="仿宋" w:cs="仿宋"/>
                <w:color w:val="auto"/>
                <w:sz w:val="24"/>
                <w:szCs w:val="24"/>
                <w:highlight w:val="none"/>
              </w:rPr>
            </w:pPr>
          </w:p>
        </w:tc>
      </w:tr>
      <w:tr w14:paraId="13B1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8" w:type="pct"/>
            <w:vAlign w:val="center"/>
          </w:tcPr>
          <w:p w14:paraId="53E00352">
            <w:pPr>
              <w:shd w:val="clear"/>
              <w:spacing w:line="360" w:lineRule="auto"/>
              <w:jc w:val="center"/>
              <w:outlineLvl w:val="9"/>
              <w:rPr>
                <w:rFonts w:hint="eastAsia" w:ascii="仿宋" w:hAnsi="仿宋" w:eastAsia="仿宋" w:cs="仿宋"/>
                <w:color w:val="auto"/>
                <w:sz w:val="24"/>
                <w:szCs w:val="24"/>
                <w:highlight w:val="none"/>
              </w:rPr>
            </w:pPr>
          </w:p>
        </w:tc>
        <w:tc>
          <w:tcPr>
            <w:tcW w:w="4461" w:type="pct"/>
            <w:gridSpan w:val="11"/>
            <w:vAlign w:val="center"/>
          </w:tcPr>
          <w:p w14:paraId="615CA9F1">
            <w:pPr>
              <w:shd w:val="clea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总价（质保期外</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报价）：</w:t>
            </w:r>
          </w:p>
        </w:tc>
      </w:tr>
      <w:tr w14:paraId="02AB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38" w:type="pct"/>
            <w:vMerge w:val="restart"/>
            <w:vAlign w:val="center"/>
          </w:tcPr>
          <w:p w14:paraId="18ED2B12">
            <w:pPr>
              <w:shd w:val="clear"/>
              <w:spacing w:line="360" w:lineRule="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质保期内免费</w:t>
            </w:r>
            <w:r>
              <w:rPr>
                <w:rFonts w:hint="eastAsia" w:ascii="仿宋" w:hAnsi="仿宋" w:eastAsia="仿宋" w:cs="仿宋"/>
                <w:color w:val="auto"/>
                <w:sz w:val="24"/>
                <w:szCs w:val="24"/>
                <w:highlight w:val="none"/>
                <w:lang w:eastAsia="zh-CN"/>
              </w:rPr>
              <w:t>货物</w:t>
            </w:r>
          </w:p>
        </w:tc>
        <w:tc>
          <w:tcPr>
            <w:tcW w:w="564" w:type="pct"/>
            <w:vAlign w:val="center"/>
          </w:tcPr>
          <w:p w14:paraId="1042DBF5">
            <w:pPr>
              <w:shd w:val="clear"/>
              <w:spacing w:line="360" w:lineRule="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478" w:type="pct"/>
            <w:vAlign w:val="center"/>
          </w:tcPr>
          <w:p w14:paraId="5D006E5D">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4B46C946">
            <w:pPr>
              <w:shd w:val="clear"/>
              <w:spacing w:line="360" w:lineRule="auto"/>
              <w:jc w:val="center"/>
              <w:outlineLvl w:val="9"/>
              <w:rPr>
                <w:rFonts w:hint="eastAsia" w:ascii="仿宋" w:hAnsi="仿宋" w:eastAsia="仿宋" w:cs="仿宋"/>
                <w:color w:val="auto"/>
                <w:sz w:val="24"/>
                <w:szCs w:val="24"/>
                <w:highlight w:val="none"/>
              </w:rPr>
            </w:pPr>
          </w:p>
        </w:tc>
        <w:tc>
          <w:tcPr>
            <w:tcW w:w="478" w:type="pct"/>
            <w:vAlign w:val="center"/>
          </w:tcPr>
          <w:p w14:paraId="1307C6C8">
            <w:pPr>
              <w:shd w:val="clear"/>
              <w:spacing w:line="360" w:lineRule="auto"/>
              <w:jc w:val="center"/>
              <w:outlineLvl w:val="9"/>
              <w:rPr>
                <w:rFonts w:hint="eastAsia" w:ascii="仿宋" w:hAnsi="仿宋" w:eastAsia="仿宋" w:cs="仿宋"/>
                <w:color w:val="auto"/>
                <w:sz w:val="24"/>
                <w:szCs w:val="24"/>
                <w:highlight w:val="none"/>
              </w:rPr>
            </w:pPr>
          </w:p>
        </w:tc>
        <w:tc>
          <w:tcPr>
            <w:tcW w:w="554" w:type="pct"/>
            <w:vAlign w:val="center"/>
          </w:tcPr>
          <w:p w14:paraId="61EA9D8F">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0CAC9945">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241A0183">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48A91150">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3AF8A8A6">
            <w:pPr>
              <w:shd w:val="clear"/>
              <w:spacing w:line="360" w:lineRule="auto"/>
              <w:jc w:val="center"/>
              <w:outlineLvl w:val="9"/>
              <w:rPr>
                <w:rFonts w:hint="eastAsia" w:ascii="仿宋" w:hAnsi="仿宋" w:eastAsia="仿宋" w:cs="仿宋"/>
                <w:color w:val="auto"/>
                <w:sz w:val="24"/>
                <w:szCs w:val="24"/>
                <w:highlight w:val="none"/>
              </w:rPr>
            </w:pPr>
          </w:p>
        </w:tc>
        <w:tc>
          <w:tcPr>
            <w:tcW w:w="344" w:type="pct"/>
            <w:vAlign w:val="center"/>
          </w:tcPr>
          <w:p w14:paraId="730E8ED2">
            <w:pPr>
              <w:shd w:val="clear"/>
              <w:spacing w:line="360" w:lineRule="auto"/>
              <w:jc w:val="center"/>
              <w:outlineLvl w:val="9"/>
              <w:rPr>
                <w:rFonts w:hint="eastAsia" w:ascii="仿宋" w:hAnsi="仿宋" w:eastAsia="仿宋" w:cs="仿宋"/>
                <w:color w:val="auto"/>
                <w:sz w:val="24"/>
                <w:szCs w:val="24"/>
                <w:highlight w:val="none"/>
              </w:rPr>
            </w:pPr>
          </w:p>
        </w:tc>
        <w:tc>
          <w:tcPr>
            <w:tcW w:w="350" w:type="pct"/>
            <w:vAlign w:val="center"/>
          </w:tcPr>
          <w:p w14:paraId="44559C48">
            <w:pPr>
              <w:shd w:val="clear"/>
              <w:spacing w:line="360" w:lineRule="auto"/>
              <w:jc w:val="center"/>
              <w:outlineLvl w:val="9"/>
              <w:rPr>
                <w:rFonts w:hint="eastAsia" w:ascii="仿宋" w:hAnsi="仿宋" w:eastAsia="仿宋" w:cs="仿宋"/>
                <w:color w:val="auto"/>
                <w:sz w:val="24"/>
                <w:szCs w:val="24"/>
                <w:highlight w:val="none"/>
              </w:rPr>
            </w:pPr>
          </w:p>
        </w:tc>
      </w:tr>
      <w:tr w14:paraId="5220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38" w:type="pct"/>
            <w:vMerge w:val="continue"/>
            <w:vAlign w:val="center"/>
          </w:tcPr>
          <w:p w14:paraId="177A020F">
            <w:pPr>
              <w:shd w:val="clear"/>
              <w:spacing w:line="360" w:lineRule="auto"/>
              <w:jc w:val="center"/>
              <w:outlineLvl w:val="9"/>
              <w:rPr>
                <w:rFonts w:hint="eastAsia" w:ascii="仿宋" w:hAnsi="仿宋" w:eastAsia="仿宋" w:cs="仿宋"/>
                <w:color w:val="auto"/>
                <w:sz w:val="24"/>
                <w:szCs w:val="24"/>
                <w:highlight w:val="none"/>
              </w:rPr>
            </w:pPr>
          </w:p>
        </w:tc>
        <w:tc>
          <w:tcPr>
            <w:tcW w:w="564" w:type="pct"/>
            <w:vAlign w:val="center"/>
          </w:tcPr>
          <w:p w14:paraId="1790DF66">
            <w:pPr>
              <w:shd w:val="clear"/>
              <w:spacing w:line="360" w:lineRule="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478" w:type="pct"/>
            <w:vAlign w:val="center"/>
          </w:tcPr>
          <w:p w14:paraId="1F0693AE">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4B4B6F3">
            <w:pPr>
              <w:shd w:val="clear"/>
              <w:spacing w:line="360" w:lineRule="auto"/>
              <w:jc w:val="center"/>
              <w:outlineLvl w:val="9"/>
              <w:rPr>
                <w:rFonts w:hint="eastAsia" w:ascii="仿宋" w:hAnsi="仿宋" w:eastAsia="仿宋" w:cs="仿宋"/>
                <w:color w:val="auto"/>
                <w:sz w:val="24"/>
                <w:szCs w:val="24"/>
                <w:highlight w:val="none"/>
              </w:rPr>
            </w:pPr>
          </w:p>
        </w:tc>
        <w:tc>
          <w:tcPr>
            <w:tcW w:w="478" w:type="pct"/>
            <w:vAlign w:val="center"/>
          </w:tcPr>
          <w:p w14:paraId="1BF4B402">
            <w:pPr>
              <w:shd w:val="clear"/>
              <w:spacing w:line="360" w:lineRule="auto"/>
              <w:jc w:val="center"/>
              <w:outlineLvl w:val="9"/>
              <w:rPr>
                <w:rFonts w:hint="eastAsia" w:ascii="仿宋" w:hAnsi="仿宋" w:eastAsia="仿宋" w:cs="仿宋"/>
                <w:color w:val="auto"/>
                <w:sz w:val="24"/>
                <w:szCs w:val="24"/>
                <w:highlight w:val="none"/>
              </w:rPr>
            </w:pPr>
          </w:p>
        </w:tc>
        <w:tc>
          <w:tcPr>
            <w:tcW w:w="554" w:type="pct"/>
            <w:vAlign w:val="center"/>
          </w:tcPr>
          <w:p w14:paraId="05D6E23C">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709BE0C9">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6D0B97EB">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8D65D04">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19F9183B">
            <w:pPr>
              <w:shd w:val="clear"/>
              <w:spacing w:line="360" w:lineRule="auto"/>
              <w:jc w:val="center"/>
              <w:outlineLvl w:val="9"/>
              <w:rPr>
                <w:rFonts w:hint="eastAsia" w:ascii="仿宋" w:hAnsi="仿宋" w:eastAsia="仿宋" w:cs="仿宋"/>
                <w:color w:val="auto"/>
                <w:sz w:val="24"/>
                <w:szCs w:val="24"/>
                <w:highlight w:val="none"/>
              </w:rPr>
            </w:pPr>
          </w:p>
        </w:tc>
        <w:tc>
          <w:tcPr>
            <w:tcW w:w="344" w:type="pct"/>
            <w:vAlign w:val="center"/>
          </w:tcPr>
          <w:p w14:paraId="3181FC4D">
            <w:pPr>
              <w:shd w:val="clear"/>
              <w:spacing w:line="360" w:lineRule="auto"/>
              <w:jc w:val="center"/>
              <w:outlineLvl w:val="9"/>
              <w:rPr>
                <w:rFonts w:hint="eastAsia" w:ascii="仿宋" w:hAnsi="仿宋" w:eastAsia="仿宋" w:cs="仿宋"/>
                <w:color w:val="auto"/>
                <w:sz w:val="24"/>
                <w:szCs w:val="24"/>
                <w:highlight w:val="none"/>
              </w:rPr>
            </w:pPr>
          </w:p>
        </w:tc>
        <w:tc>
          <w:tcPr>
            <w:tcW w:w="350" w:type="pct"/>
            <w:vAlign w:val="center"/>
          </w:tcPr>
          <w:p w14:paraId="41F850AE">
            <w:pPr>
              <w:shd w:val="clear"/>
              <w:spacing w:line="360" w:lineRule="auto"/>
              <w:jc w:val="center"/>
              <w:outlineLvl w:val="9"/>
              <w:rPr>
                <w:rFonts w:hint="eastAsia" w:ascii="仿宋" w:hAnsi="仿宋" w:eastAsia="仿宋" w:cs="仿宋"/>
                <w:color w:val="auto"/>
                <w:sz w:val="24"/>
                <w:szCs w:val="24"/>
                <w:highlight w:val="none"/>
              </w:rPr>
            </w:pPr>
          </w:p>
        </w:tc>
      </w:tr>
      <w:tr w14:paraId="0525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38" w:type="pct"/>
            <w:vMerge w:val="continue"/>
            <w:vAlign w:val="center"/>
          </w:tcPr>
          <w:p w14:paraId="0D1D9EC2">
            <w:pPr>
              <w:shd w:val="clear"/>
              <w:spacing w:line="360" w:lineRule="auto"/>
              <w:jc w:val="center"/>
              <w:outlineLvl w:val="9"/>
              <w:rPr>
                <w:rFonts w:hint="eastAsia" w:ascii="仿宋" w:hAnsi="仿宋" w:eastAsia="仿宋" w:cs="仿宋"/>
                <w:color w:val="auto"/>
                <w:sz w:val="24"/>
                <w:szCs w:val="24"/>
                <w:highlight w:val="none"/>
              </w:rPr>
            </w:pPr>
          </w:p>
        </w:tc>
        <w:tc>
          <w:tcPr>
            <w:tcW w:w="564" w:type="pct"/>
            <w:vAlign w:val="center"/>
          </w:tcPr>
          <w:p w14:paraId="51CD473F">
            <w:pPr>
              <w:shd w:val="clear"/>
              <w:spacing w:line="360" w:lineRule="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478" w:type="pct"/>
            <w:vAlign w:val="center"/>
          </w:tcPr>
          <w:p w14:paraId="6D8D79FC">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2C65A315">
            <w:pPr>
              <w:shd w:val="clear"/>
              <w:spacing w:line="360" w:lineRule="auto"/>
              <w:jc w:val="center"/>
              <w:outlineLvl w:val="9"/>
              <w:rPr>
                <w:rFonts w:hint="eastAsia" w:ascii="仿宋" w:hAnsi="仿宋" w:eastAsia="仿宋" w:cs="仿宋"/>
                <w:color w:val="auto"/>
                <w:sz w:val="24"/>
                <w:szCs w:val="24"/>
                <w:highlight w:val="none"/>
              </w:rPr>
            </w:pPr>
          </w:p>
        </w:tc>
        <w:tc>
          <w:tcPr>
            <w:tcW w:w="478" w:type="pct"/>
            <w:vAlign w:val="center"/>
          </w:tcPr>
          <w:p w14:paraId="4D50AD0A">
            <w:pPr>
              <w:shd w:val="clear"/>
              <w:spacing w:line="360" w:lineRule="auto"/>
              <w:jc w:val="center"/>
              <w:outlineLvl w:val="9"/>
              <w:rPr>
                <w:rFonts w:hint="eastAsia" w:ascii="仿宋" w:hAnsi="仿宋" w:eastAsia="仿宋" w:cs="仿宋"/>
                <w:color w:val="auto"/>
                <w:sz w:val="24"/>
                <w:szCs w:val="24"/>
                <w:highlight w:val="none"/>
              </w:rPr>
            </w:pPr>
          </w:p>
        </w:tc>
        <w:tc>
          <w:tcPr>
            <w:tcW w:w="554" w:type="pct"/>
            <w:vAlign w:val="center"/>
          </w:tcPr>
          <w:p w14:paraId="54C8C9A8">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1A71D064">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04234AA5">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2A3D7D4E">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35A146E3">
            <w:pPr>
              <w:shd w:val="clear"/>
              <w:spacing w:line="360" w:lineRule="auto"/>
              <w:jc w:val="center"/>
              <w:outlineLvl w:val="9"/>
              <w:rPr>
                <w:rFonts w:hint="eastAsia" w:ascii="仿宋" w:hAnsi="仿宋" w:eastAsia="仿宋" w:cs="仿宋"/>
                <w:color w:val="auto"/>
                <w:sz w:val="24"/>
                <w:szCs w:val="24"/>
                <w:highlight w:val="none"/>
              </w:rPr>
            </w:pPr>
          </w:p>
        </w:tc>
        <w:tc>
          <w:tcPr>
            <w:tcW w:w="344" w:type="pct"/>
            <w:vAlign w:val="center"/>
          </w:tcPr>
          <w:p w14:paraId="6F5D0C07">
            <w:pPr>
              <w:shd w:val="clear"/>
              <w:spacing w:line="360" w:lineRule="auto"/>
              <w:jc w:val="center"/>
              <w:outlineLvl w:val="9"/>
              <w:rPr>
                <w:rFonts w:hint="eastAsia" w:ascii="仿宋" w:hAnsi="仿宋" w:eastAsia="仿宋" w:cs="仿宋"/>
                <w:color w:val="auto"/>
                <w:sz w:val="24"/>
                <w:szCs w:val="24"/>
                <w:highlight w:val="none"/>
              </w:rPr>
            </w:pPr>
          </w:p>
        </w:tc>
        <w:tc>
          <w:tcPr>
            <w:tcW w:w="350" w:type="pct"/>
            <w:vAlign w:val="center"/>
          </w:tcPr>
          <w:p w14:paraId="451D5879">
            <w:pPr>
              <w:shd w:val="clear"/>
              <w:spacing w:line="360" w:lineRule="auto"/>
              <w:jc w:val="center"/>
              <w:outlineLvl w:val="9"/>
              <w:rPr>
                <w:rFonts w:hint="eastAsia" w:ascii="仿宋" w:hAnsi="仿宋" w:eastAsia="仿宋" w:cs="仿宋"/>
                <w:color w:val="auto"/>
                <w:sz w:val="24"/>
                <w:szCs w:val="24"/>
                <w:highlight w:val="none"/>
              </w:rPr>
            </w:pPr>
          </w:p>
        </w:tc>
      </w:tr>
      <w:tr w14:paraId="48E4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38" w:type="pct"/>
            <w:vMerge w:val="continue"/>
            <w:vAlign w:val="center"/>
          </w:tcPr>
          <w:p w14:paraId="0C957DF0">
            <w:pPr>
              <w:shd w:val="clear"/>
              <w:spacing w:line="360" w:lineRule="auto"/>
              <w:jc w:val="center"/>
              <w:outlineLvl w:val="9"/>
              <w:rPr>
                <w:rFonts w:hint="eastAsia" w:ascii="仿宋" w:hAnsi="仿宋" w:eastAsia="仿宋" w:cs="仿宋"/>
                <w:color w:val="auto"/>
                <w:sz w:val="24"/>
                <w:szCs w:val="24"/>
                <w:highlight w:val="none"/>
              </w:rPr>
            </w:pPr>
          </w:p>
        </w:tc>
        <w:tc>
          <w:tcPr>
            <w:tcW w:w="564" w:type="pct"/>
            <w:vAlign w:val="center"/>
          </w:tcPr>
          <w:p w14:paraId="2CEF610A">
            <w:pPr>
              <w:shd w:val="clear"/>
              <w:spacing w:line="360" w:lineRule="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478" w:type="pct"/>
            <w:vAlign w:val="center"/>
          </w:tcPr>
          <w:p w14:paraId="2DDAC549">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71930548">
            <w:pPr>
              <w:shd w:val="clear"/>
              <w:spacing w:line="360" w:lineRule="auto"/>
              <w:jc w:val="center"/>
              <w:outlineLvl w:val="9"/>
              <w:rPr>
                <w:rFonts w:hint="eastAsia" w:ascii="仿宋" w:hAnsi="仿宋" w:eastAsia="仿宋" w:cs="仿宋"/>
                <w:color w:val="auto"/>
                <w:sz w:val="24"/>
                <w:szCs w:val="24"/>
                <w:highlight w:val="none"/>
              </w:rPr>
            </w:pPr>
          </w:p>
        </w:tc>
        <w:tc>
          <w:tcPr>
            <w:tcW w:w="478" w:type="pct"/>
            <w:vAlign w:val="center"/>
          </w:tcPr>
          <w:p w14:paraId="19EA114D">
            <w:pPr>
              <w:shd w:val="clear"/>
              <w:spacing w:line="360" w:lineRule="auto"/>
              <w:jc w:val="center"/>
              <w:outlineLvl w:val="9"/>
              <w:rPr>
                <w:rFonts w:hint="eastAsia" w:ascii="仿宋" w:hAnsi="仿宋" w:eastAsia="仿宋" w:cs="仿宋"/>
                <w:color w:val="auto"/>
                <w:sz w:val="24"/>
                <w:szCs w:val="24"/>
                <w:highlight w:val="none"/>
              </w:rPr>
            </w:pPr>
          </w:p>
        </w:tc>
        <w:tc>
          <w:tcPr>
            <w:tcW w:w="554" w:type="pct"/>
            <w:vAlign w:val="center"/>
          </w:tcPr>
          <w:p w14:paraId="4B50D4B5">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37649B86">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68AD33DF">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525B416D">
            <w:pPr>
              <w:shd w:val="clear"/>
              <w:spacing w:line="360" w:lineRule="auto"/>
              <w:jc w:val="center"/>
              <w:outlineLvl w:val="9"/>
              <w:rPr>
                <w:rFonts w:hint="eastAsia" w:ascii="仿宋" w:hAnsi="仿宋" w:eastAsia="仿宋" w:cs="仿宋"/>
                <w:color w:val="auto"/>
                <w:sz w:val="24"/>
                <w:szCs w:val="24"/>
                <w:highlight w:val="none"/>
              </w:rPr>
            </w:pPr>
          </w:p>
        </w:tc>
        <w:tc>
          <w:tcPr>
            <w:tcW w:w="338" w:type="pct"/>
            <w:vAlign w:val="center"/>
          </w:tcPr>
          <w:p w14:paraId="668FDB72">
            <w:pPr>
              <w:shd w:val="clear"/>
              <w:spacing w:line="360" w:lineRule="auto"/>
              <w:jc w:val="center"/>
              <w:outlineLvl w:val="9"/>
              <w:rPr>
                <w:rFonts w:hint="eastAsia" w:ascii="仿宋" w:hAnsi="仿宋" w:eastAsia="仿宋" w:cs="仿宋"/>
                <w:color w:val="auto"/>
                <w:sz w:val="24"/>
                <w:szCs w:val="24"/>
                <w:highlight w:val="none"/>
              </w:rPr>
            </w:pPr>
          </w:p>
        </w:tc>
        <w:tc>
          <w:tcPr>
            <w:tcW w:w="344" w:type="pct"/>
            <w:vAlign w:val="center"/>
          </w:tcPr>
          <w:p w14:paraId="2F693F9F">
            <w:pPr>
              <w:shd w:val="clear"/>
              <w:spacing w:line="360" w:lineRule="auto"/>
              <w:jc w:val="center"/>
              <w:outlineLvl w:val="9"/>
              <w:rPr>
                <w:rFonts w:hint="eastAsia" w:ascii="仿宋" w:hAnsi="仿宋" w:eastAsia="仿宋" w:cs="仿宋"/>
                <w:color w:val="auto"/>
                <w:sz w:val="24"/>
                <w:szCs w:val="24"/>
                <w:highlight w:val="none"/>
              </w:rPr>
            </w:pPr>
          </w:p>
        </w:tc>
        <w:tc>
          <w:tcPr>
            <w:tcW w:w="350" w:type="pct"/>
            <w:vAlign w:val="center"/>
          </w:tcPr>
          <w:p w14:paraId="4E582D67">
            <w:pPr>
              <w:shd w:val="clear"/>
              <w:spacing w:line="360" w:lineRule="auto"/>
              <w:jc w:val="center"/>
              <w:outlineLvl w:val="9"/>
              <w:rPr>
                <w:rFonts w:hint="eastAsia" w:ascii="仿宋" w:hAnsi="仿宋" w:eastAsia="仿宋" w:cs="仿宋"/>
                <w:color w:val="auto"/>
                <w:sz w:val="24"/>
                <w:szCs w:val="24"/>
                <w:highlight w:val="none"/>
              </w:rPr>
            </w:pPr>
          </w:p>
        </w:tc>
      </w:tr>
    </w:tbl>
    <w:p w14:paraId="3DDDE0C7">
      <w:pPr>
        <w:shd w:val="clear"/>
        <w:spacing w:line="360" w:lineRule="exact"/>
        <w:outlineLvl w:val="9"/>
        <w:rPr>
          <w:rFonts w:hint="eastAsia" w:ascii="仿宋" w:hAnsi="仿宋" w:eastAsia="仿宋" w:cs="仿宋"/>
          <w:color w:val="auto"/>
          <w:sz w:val="24"/>
          <w:szCs w:val="24"/>
          <w:highlight w:val="none"/>
        </w:rPr>
      </w:pPr>
    </w:p>
    <w:p w14:paraId="16D450E9">
      <w:pPr>
        <w:pStyle w:val="6"/>
        <w:spacing w:line="360" w:lineRule="exact"/>
        <w:ind w:firstLine="0"/>
        <w:outlineLvl w:val="9"/>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lang w:eastAsia="zh-CN"/>
        </w:rPr>
        <w:t>供应商</w:t>
      </w:r>
      <w:r>
        <w:rPr>
          <w:rFonts w:hint="eastAsia" w:ascii="仿宋" w:hAnsi="仿宋" w:eastAsia="仿宋" w:cs="仿宋"/>
          <w:color w:val="auto"/>
          <w:kern w:val="2"/>
          <w:sz w:val="24"/>
          <w:szCs w:val="24"/>
          <w:highlight w:val="none"/>
        </w:rPr>
        <w:t>名称（</w:t>
      </w:r>
      <w:r>
        <w:rPr>
          <w:rFonts w:hint="eastAsia" w:ascii="仿宋" w:hAnsi="仿宋" w:eastAsia="仿宋" w:cs="仿宋"/>
          <w:color w:val="auto"/>
          <w:kern w:val="2"/>
          <w:sz w:val="24"/>
          <w:szCs w:val="24"/>
          <w:highlight w:val="none"/>
          <w:lang w:eastAsia="zh-CN"/>
        </w:rPr>
        <w:t>公章</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u w:val="single"/>
        </w:rPr>
        <w:t xml:space="preserve">                       </w:t>
      </w:r>
    </w:p>
    <w:p w14:paraId="7219A73A">
      <w:pPr>
        <w:pStyle w:val="6"/>
        <w:spacing w:line="360" w:lineRule="exact"/>
        <w:ind w:firstLine="0"/>
        <w:outlineLvl w:val="9"/>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法定代表人或委托代理</w:t>
      </w:r>
      <w:r>
        <w:rPr>
          <w:rFonts w:hint="eastAsia" w:ascii="仿宋" w:hAnsi="仿宋" w:eastAsia="仿宋" w:cs="仿宋"/>
          <w:color w:val="auto"/>
          <w:kern w:val="2"/>
          <w:sz w:val="24"/>
          <w:szCs w:val="24"/>
          <w:highlight w:val="none"/>
          <w:lang w:val="en-US" w:eastAsia="zh-CN"/>
        </w:rPr>
        <w:t>人</w:t>
      </w:r>
      <w:r>
        <w:rPr>
          <w:rFonts w:hint="eastAsia" w:ascii="仿宋" w:hAnsi="仿宋" w:eastAsia="仿宋" w:cs="仿宋"/>
          <w:color w:val="auto"/>
          <w:kern w:val="2"/>
          <w:sz w:val="24"/>
          <w:szCs w:val="24"/>
          <w:highlight w:val="none"/>
        </w:rPr>
        <w:t>(签/章):</w:t>
      </w:r>
      <w:r>
        <w:rPr>
          <w:rFonts w:hint="eastAsia" w:ascii="仿宋" w:hAnsi="仿宋" w:eastAsia="仿宋" w:cs="仿宋"/>
          <w:color w:val="auto"/>
          <w:kern w:val="2"/>
          <w:sz w:val="24"/>
          <w:szCs w:val="24"/>
          <w:highlight w:val="none"/>
          <w:u w:val="single"/>
        </w:rPr>
        <w:tab/>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7BF60231">
      <w:pPr>
        <w:pStyle w:val="6"/>
        <w:spacing w:line="360" w:lineRule="exact"/>
        <w:ind w:firstLine="0"/>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日期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rPr>
        <w:t xml:space="preserve"> </w:t>
      </w:r>
    </w:p>
    <w:p w14:paraId="452E7351">
      <w:pPr>
        <w:pStyle w:val="6"/>
        <w:spacing w:line="360" w:lineRule="exact"/>
        <w:ind w:firstLine="0"/>
        <w:outlineLvl w:val="9"/>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 xml:space="preserve">   </w:t>
      </w:r>
    </w:p>
    <w:p w14:paraId="49A1070C">
      <w:pPr>
        <w:keepNext w:val="0"/>
        <w:keepLines w:val="0"/>
        <w:pageBreakBefore w:val="0"/>
        <w:widowControl w:val="0"/>
        <w:shd w:val="clear"/>
        <w:kinsoku/>
        <w:wordWrap/>
        <w:overflowPunct/>
        <w:topLinePunct w:val="0"/>
        <w:bidi w:val="0"/>
        <w:snapToGrid/>
        <w:spacing w:line="32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 表格长度方向可做扩展根据需求可补充相关资料，但不可减少。</w:t>
      </w:r>
    </w:p>
    <w:p w14:paraId="5AC5DCD8">
      <w:pPr>
        <w:keepNext w:val="0"/>
        <w:keepLines w:val="0"/>
        <w:pageBreakBefore w:val="0"/>
        <w:widowControl w:val="0"/>
        <w:shd w:val="clear"/>
        <w:kinsoku/>
        <w:wordWrap/>
        <w:overflowPunct/>
        <w:topLinePunct w:val="0"/>
        <w:bidi w:val="0"/>
        <w:snapToGrid/>
        <w:spacing w:line="32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2、备品备件</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分项报价仅供</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 xml:space="preserve">发生故障情况下采用此报价，填写此表时请谨慎。备品备件分为两部分（1、质保期内免费的备品备件、2、质保期外备品备件报价）                 </w:t>
      </w:r>
    </w:p>
    <w:p w14:paraId="7CE23BD3">
      <w:pPr>
        <w:pStyle w:val="6"/>
        <w:keepNext w:val="0"/>
        <w:keepLines w:val="0"/>
        <w:pageBreakBefore w:val="0"/>
        <w:widowControl w:val="0"/>
        <w:shd w:val="clear"/>
        <w:kinsoku/>
        <w:wordWrap/>
        <w:overflowPunct/>
        <w:topLinePunct w:val="0"/>
        <w:bidi w:val="0"/>
        <w:snapToGrid/>
        <w:spacing w:line="320" w:lineRule="exact"/>
        <w:ind w:firstLine="0"/>
        <w:textAlignment w:val="auto"/>
        <w:outlineLvl w:val="9"/>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3、备品备件</w:t>
      </w:r>
      <w:r>
        <w:rPr>
          <w:rFonts w:hint="eastAsia" w:ascii="仿宋" w:hAnsi="仿宋" w:eastAsia="仿宋" w:cs="仿宋"/>
          <w:color w:val="auto"/>
          <w:kern w:val="2"/>
          <w:sz w:val="24"/>
          <w:szCs w:val="24"/>
          <w:highlight w:val="none"/>
          <w:lang w:eastAsia="zh-CN"/>
        </w:rPr>
        <w:t>货物</w:t>
      </w:r>
      <w:r>
        <w:rPr>
          <w:rFonts w:hint="eastAsia" w:ascii="仿宋" w:hAnsi="仿宋" w:eastAsia="仿宋" w:cs="仿宋"/>
          <w:color w:val="auto"/>
          <w:kern w:val="2"/>
          <w:sz w:val="24"/>
          <w:szCs w:val="24"/>
          <w:highlight w:val="none"/>
        </w:rPr>
        <w:t>分项报价不合计于</w:t>
      </w:r>
      <w:r>
        <w:rPr>
          <w:rFonts w:hint="eastAsia" w:ascii="仿宋" w:hAnsi="仿宋" w:eastAsia="仿宋" w:cs="仿宋"/>
          <w:color w:val="auto"/>
          <w:kern w:val="2"/>
          <w:sz w:val="24"/>
          <w:szCs w:val="24"/>
          <w:highlight w:val="none"/>
          <w:lang w:eastAsia="zh-CN"/>
        </w:rPr>
        <w:t>投标报价表</w:t>
      </w:r>
      <w:r>
        <w:rPr>
          <w:rFonts w:hint="eastAsia" w:ascii="仿宋" w:hAnsi="仿宋" w:eastAsia="仿宋" w:cs="仿宋"/>
          <w:color w:val="auto"/>
          <w:kern w:val="2"/>
          <w:sz w:val="24"/>
          <w:szCs w:val="24"/>
          <w:highlight w:val="none"/>
        </w:rPr>
        <w:t>总价，单独名列即可。</w:t>
      </w:r>
    </w:p>
    <w:p w14:paraId="03ED8423">
      <w:pPr>
        <w:pStyle w:val="6"/>
        <w:keepNext w:val="0"/>
        <w:keepLines w:val="0"/>
        <w:pageBreakBefore w:val="0"/>
        <w:widowControl w:val="0"/>
        <w:shd w:val="clear"/>
        <w:kinsoku/>
        <w:wordWrap/>
        <w:overflowPunct/>
        <w:topLinePunct w:val="0"/>
        <w:bidi w:val="0"/>
        <w:snapToGrid/>
        <w:spacing w:line="320" w:lineRule="exact"/>
        <w:ind w:firstLine="0"/>
        <w:textAlignment w:val="auto"/>
        <w:outlineLvl w:val="9"/>
        <w:rPr>
          <w:rFonts w:hint="eastAsia" w:ascii="仿宋" w:hAnsi="仿宋" w:eastAsia="仿宋" w:cs="仿宋"/>
          <w:b/>
          <w:color w:val="auto"/>
          <w:sz w:val="24"/>
          <w:szCs w:val="24"/>
          <w:highlight w:val="none"/>
        </w:rPr>
      </w:pPr>
      <w:r>
        <w:rPr>
          <w:rFonts w:hint="eastAsia" w:ascii="仿宋" w:hAnsi="仿宋" w:eastAsia="仿宋" w:cs="仿宋"/>
          <w:color w:val="auto"/>
          <w:kern w:val="2"/>
          <w:sz w:val="24"/>
          <w:szCs w:val="24"/>
          <w:highlight w:val="none"/>
        </w:rPr>
        <w:t>4、在</w:t>
      </w:r>
      <w:r>
        <w:rPr>
          <w:rFonts w:hint="eastAsia" w:ascii="仿宋" w:hAnsi="仿宋" w:eastAsia="仿宋" w:cs="仿宋"/>
          <w:color w:val="auto"/>
          <w:kern w:val="2"/>
          <w:sz w:val="24"/>
          <w:szCs w:val="24"/>
          <w:highlight w:val="none"/>
          <w:lang w:eastAsia="zh-CN"/>
        </w:rPr>
        <w:t>货物</w:t>
      </w:r>
      <w:r>
        <w:rPr>
          <w:rFonts w:hint="eastAsia" w:ascii="仿宋" w:hAnsi="仿宋" w:eastAsia="仿宋" w:cs="仿宋"/>
          <w:color w:val="auto"/>
          <w:kern w:val="2"/>
          <w:sz w:val="24"/>
          <w:szCs w:val="24"/>
          <w:highlight w:val="none"/>
        </w:rPr>
        <w:t>维修和维护过程中，用来更换已经磨损，不能继续使用或损坏的零件和修复件。而为了缩短</w:t>
      </w:r>
      <w:r>
        <w:rPr>
          <w:rFonts w:hint="eastAsia" w:ascii="仿宋" w:hAnsi="仿宋" w:eastAsia="仿宋" w:cs="仿宋"/>
          <w:color w:val="auto"/>
          <w:kern w:val="2"/>
          <w:sz w:val="24"/>
          <w:szCs w:val="24"/>
          <w:highlight w:val="none"/>
          <w:lang w:eastAsia="zh-CN"/>
        </w:rPr>
        <w:t>货物</w:t>
      </w:r>
      <w:r>
        <w:rPr>
          <w:rFonts w:hint="eastAsia" w:ascii="仿宋" w:hAnsi="仿宋" w:eastAsia="仿宋" w:cs="仿宋"/>
          <w:color w:val="auto"/>
          <w:kern w:val="2"/>
          <w:sz w:val="24"/>
          <w:szCs w:val="24"/>
          <w:highlight w:val="none"/>
        </w:rPr>
        <w:t>维修的停机维修时间，减少停机损失，供应质量优良的备件，可以保证修理质量和修理周期，提高</w:t>
      </w:r>
      <w:r>
        <w:rPr>
          <w:rFonts w:hint="eastAsia" w:ascii="仿宋" w:hAnsi="仿宋" w:eastAsia="仿宋" w:cs="仿宋"/>
          <w:color w:val="auto"/>
          <w:kern w:val="2"/>
          <w:sz w:val="24"/>
          <w:szCs w:val="24"/>
          <w:highlight w:val="none"/>
          <w:lang w:eastAsia="zh-CN"/>
        </w:rPr>
        <w:t>货物</w:t>
      </w:r>
      <w:r>
        <w:rPr>
          <w:rFonts w:hint="eastAsia" w:ascii="仿宋" w:hAnsi="仿宋" w:eastAsia="仿宋" w:cs="仿宋"/>
          <w:color w:val="auto"/>
          <w:kern w:val="2"/>
          <w:sz w:val="24"/>
          <w:szCs w:val="24"/>
          <w:highlight w:val="none"/>
        </w:rPr>
        <w:t>的可靠性，有效率。备件管理工作的重点首先是满足关键</w:t>
      </w:r>
      <w:r>
        <w:rPr>
          <w:rFonts w:hint="eastAsia" w:ascii="仿宋" w:hAnsi="仿宋" w:eastAsia="仿宋" w:cs="仿宋"/>
          <w:color w:val="auto"/>
          <w:kern w:val="2"/>
          <w:sz w:val="24"/>
          <w:szCs w:val="24"/>
          <w:highlight w:val="none"/>
          <w:lang w:eastAsia="zh-CN"/>
        </w:rPr>
        <w:t>货物</w:t>
      </w:r>
      <w:r>
        <w:rPr>
          <w:rFonts w:hint="eastAsia" w:ascii="仿宋" w:hAnsi="仿宋" w:eastAsia="仿宋" w:cs="仿宋"/>
          <w:color w:val="auto"/>
          <w:kern w:val="2"/>
          <w:sz w:val="24"/>
          <w:szCs w:val="24"/>
          <w:highlight w:val="none"/>
        </w:rPr>
        <w:t>对维修备件的需要，保证关键</w:t>
      </w:r>
      <w:r>
        <w:rPr>
          <w:rFonts w:hint="eastAsia" w:ascii="仿宋" w:hAnsi="仿宋" w:eastAsia="仿宋" w:cs="仿宋"/>
          <w:color w:val="auto"/>
          <w:kern w:val="2"/>
          <w:sz w:val="24"/>
          <w:szCs w:val="24"/>
          <w:highlight w:val="none"/>
          <w:lang w:eastAsia="zh-CN"/>
        </w:rPr>
        <w:t>货物</w:t>
      </w:r>
      <w:r>
        <w:rPr>
          <w:rFonts w:hint="eastAsia" w:ascii="仿宋" w:hAnsi="仿宋" w:eastAsia="仿宋" w:cs="仿宋"/>
          <w:color w:val="auto"/>
          <w:kern w:val="2"/>
          <w:sz w:val="24"/>
          <w:szCs w:val="24"/>
          <w:highlight w:val="none"/>
        </w:rPr>
        <w:t>的正常运行，尽量减少停机损失。</w:t>
      </w:r>
    </w:p>
    <w:bookmarkEnd w:id="1134"/>
    <w:bookmarkEnd w:id="1135"/>
    <w:bookmarkEnd w:id="1136"/>
    <w:p w14:paraId="088B303D">
      <w:pP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2AE32430">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仿宋" w:hAnsi="仿宋" w:eastAsia="仿宋" w:cs="仿宋"/>
          <w:color w:val="auto"/>
          <w:sz w:val="28"/>
          <w:szCs w:val="28"/>
          <w:highlight w:val="none"/>
          <w:lang w:val="en-US" w:eastAsia="zh-CN"/>
        </w:rPr>
      </w:pPr>
      <w:bookmarkStart w:id="1138" w:name="_Toc17348"/>
      <w:bookmarkStart w:id="1139" w:name="_Toc1758"/>
      <w:r>
        <w:rPr>
          <w:rFonts w:hint="eastAsia" w:ascii="仿宋" w:hAnsi="仿宋" w:eastAsia="仿宋" w:cs="仿宋"/>
          <w:color w:val="auto"/>
          <w:sz w:val="28"/>
          <w:szCs w:val="28"/>
          <w:highlight w:val="none"/>
          <w:lang w:val="en-US" w:eastAsia="zh-CN"/>
        </w:rPr>
        <w:t>3.货物说明一览表</w:t>
      </w:r>
      <w:bookmarkEnd w:id="1138"/>
      <w:bookmarkEnd w:id="1139"/>
    </w:p>
    <w:p w14:paraId="6A346EAB">
      <w:pPr>
        <w:pStyle w:val="16"/>
        <w:spacing w:line="360" w:lineRule="exact"/>
        <w:ind w:left="1080" w:leftChars="257" w:hanging="54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包号：</w:t>
      </w:r>
      <w:r>
        <w:rPr>
          <w:rFonts w:hint="eastAsia" w:ascii="仿宋" w:hAnsi="仿宋" w:eastAsia="仿宋" w:cs="仿宋"/>
          <w:color w:val="auto"/>
          <w:sz w:val="24"/>
          <w:highlight w:val="none"/>
        </w:rPr>
        <w:t xml:space="preserve">                                  </w:t>
      </w:r>
    </w:p>
    <w:tbl>
      <w:tblPr>
        <w:tblStyle w:val="30"/>
        <w:tblW w:w="54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679"/>
        <w:gridCol w:w="1679"/>
        <w:gridCol w:w="991"/>
        <w:gridCol w:w="1333"/>
        <w:gridCol w:w="1679"/>
        <w:gridCol w:w="991"/>
      </w:tblGrid>
      <w:tr w14:paraId="61E7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30" w:type="pct"/>
          </w:tcPr>
          <w:p w14:paraId="0335D189">
            <w:pPr>
              <w:pStyle w:val="16"/>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98" w:type="pct"/>
          </w:tcPr>
          <w:p w14:paraId="0CB04ABC">
            <w:pPr>
              <w:pStyle w:val="16"/>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货物</w:t>
            </w:r>
            <w:r>
              <w:rPr>
                <w:rFonts w:hint="eastAsia" w:ascii="仿宋" w:hAnsi="仿宋" w:eastAsia="仿宋" w:cs="仿宋"/>
                <w:color w:val="auto"/>
                <w:sz w:val="24"/>
                <w:highlight w:val="none"/>
              </w:rPr>
              <w:t>名称</w:t>
            </w:r>
          </w:p>
        </w:tc>
        <w:tc>
          <w:tcPr>
            <w:tcW w:w="898" w:type="pct"/>
          </w:tcPr>
          <w:p w14:paraId="547123F5">
            <w:pPr>
              <w:pStyle w:val="16"/>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主要规格</w:t>
            </w:r>
          </w:p>
        </w:tc>
        <w:tc>
          <w:tcPr>
            <w:tcW w:w="530" w:type="pct"/>
          </w:tcPr>
          <w:p w14:paraId="477A990D">
            <w:pPr>
              <w:pStyle w:val="16"/>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713" w:type="pct"/>
          </w:tcPr>
          <w:p w14:paraId="27B9D7D9">
            <w:pPr>
              <w:pStyle w:val="16"/>
              <w:spacing w:line="36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交货期</w:t>
            </w:r>
          </w:p>
        </w:tc>
        <w:tc>
          <w:tcPr>
            <w:tcW w:w="898" w:type="pct"/>
          </w:tcPr>
          <w:p w14:paraId="01754876">
            <w:pPr>
              <w:pStyle w:val="16"/>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交货地点</w:t>
            </w:r>
          </w:p>
        </w:tc>
        <w:tc>
          <w:tcPr>
            <w:tcW w:w="530" w:type="pct"/>
          </w:tcPr>
          <w:p w14:paraId="5D732A58">
            <w:pPr>
              <w:pStyle w:val="16"/>
              <w:spacing w:line="36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备注</w:t>
            </w:r>
          </w:p>
        </w:tc>
      </w:tr>
      <w:tr w14:paraId="3F0C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14:paraId="2A4E4E9E">
            <w:pPr>
              <w:pStyle w:val="16"/>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898" w:type="pct"/>
          </w:tcPr>
          <w:p w14:paraId="162A54AA">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5998D4E6">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506FB8F1">
            <w:pPr>
              <w:pStyle w:val="16"/>
              <w:spacing w:line="360" w:lineRule="exact"/>
              <w:ind w:left="1080" w:leftChars="257" w:hanging="540"/>
              <w:rPr>
                <w:rFonts w:hint="eastAsia" w:ascii="仿宋" w:hAnsi="仿宋" w:eastAsia="仿宋" w:cs="仿宋"/>
                <w:color w:val="auto"/>
                <w:sz w:val="24"/>
                <w:highlight w:val="none"/>
              </w:rPr>
            </w:pPr>
          </w:p>
        </w:tc>
        <w:tc>
          <w:tcPr>
            <w:tcW w:w="713" w:type="pct"/>
          </w:tcPr>
          <w:p w14:paraId="67A4F13E">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23E42A6C">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16954794">
            <w:pPr>
              <w:pStyle w:val="16"/>
              <w:spacing w:line="360" w:lineRule="exact"/>
              <w:ind w:left="1080" w:leftChars="257" w:hanging="540"/>
              <w:rPr>
                <w:rFonts w:hint="eastAsia" w:ascii="仿宋" w:hAnsi="仿宋" w:eastAsia="仿宋" w:cs="仿宋"/>
                <w:color w:val="auto"/>
                <w:sz w:val="24"/>
                <w:highlight w:val="none"/>
              </w:rPr>
            </w:pPr>
          </w:p>
        </w:tc>
      </w:tr>
      <w:tr w14:paraId="4AA8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14:paraId="6A640EFF">
            <w:pPr>
              <w:pStyle w:val="16"/>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898" w:type="pct"/>
          </w:tcPr>
          <w:p w14:paraId="7B1039CE">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59DA9AFC">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4FF9AAE1">
            <w:pPr>
              <w:pStyle w:val="16"/>
              <w:spacing w:line="360" w:lineRule="exact"/>
              <w:ind w:left="1080" w:leftChars="257" w:hanging="540"/>
              <w:rPr>
                <w:rFonts w:hint="eastAsia" w:ascii="仿宋" w:hAnsi="仿宋" w:eastAsia="仿宋" w:cs="仿宋"/>
                <w:color w:val="auto"/>
                <w:sz w:val="24"/>
                <w:highlight w:val="none"/>
              </w:rPr>
            </w:pPr>
          </w:p>
        </w:tc>
        <w:tc>
          <w:tcPr>
            <w:tcW w:w="713" w:type="pct"/>
          </w:tcPr>
          <w:p w14:paraId="77AC423D">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03AFCC2E">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195CCF52">
            <w:pPr>
              <w:pStyle w:val="16"/>
              <w:spacing w:line="360" w:lineRule="exact"/>
              <w:ind w:left="1080" w:leftChars="257" w:hanging="540"/>
              <w:rPr>
                <w:rFonts w:hint="eastAsia" w:ascii="仿宋" w:hAnsi="仿宋" w:eastAsia="仿宋" w:cs="仿宋"/>
                <w:color w:val="auto"/>
                <w:sz w:val="24"/>
                <w:highlight w:val="none"/>
              </w:rPr>
            </w:pPr>
          </w:p>
        </w:tc>
      </w:tr>
      <w:tr w14:paraId="29E7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14:paraId="499FAF2F">
            <w:pPr>
              <w:pStyle w:val="16"/>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898" w:type="pct"/>
          </w:tcPr>
          <w:p w14:paraId="63BABD88">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1296675B">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44848DFA">
            <w:pPr>
              <w:pStyle w:val="16"/>
              <w:spacing w:line="360" w:lineRule="exact"/>
              <w:ind w:left="1080" w:leftChars="257" w:hanging="540"/>
              <w:rPr>
                <w:rFonts w:hint="eastAsia" w:ascii="仿宋" w:hAnsi="仿宋" w:eastAsia="仿宋" w:cs="仿宋"/>
                <w:color w:val="auto"/>
                <w:sz w:val="24"/>
                <w:highlight w:val="none"/>
              </w:rPr>
            </w:pPr>
          </w:p>
        </w:tc>
        <w:tc>
          <w:tcPr>
            <w:tcW w:w="713" w:type="pct"/>
          </w:tcPr>
          <w:p w14:paraId="3B47DD64">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7CF5DBBF">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15D14FAD">
            <w:pPr>
              <w:pStyle w:val="16"/>
              <w:spacing w:line="360" w:lineRule="exact"/>
              <w:ind w:left="1080" w:leftChars="257" w:hanging="540"/>
              <w:rPr>
                <w:rFonts w:hint="eastAsia" w:ascii="仿宋" w:hAnsi="仿宋" w:eastAsia="仿宋" w:cs="仿宋"/>
                <w:color w:val="auto"/>
                <w:sz w:val="24"/>
                <w:highlight w:val="none"/>
              </w:rPr>
            </w:pPr>
          </w:p>
        </w:tc>
      </w:tr>
      <w:tr w14:paraId="7FEF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14:paraId="35284D82">
            <w:pPr>
              <w:pStyle w:val="16"/>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898" w:type="pct"/>
          </w:tcPr>
          <w:p w14:paraId="5044EC8C">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0305C60F">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2710F2C7">
            <w:pPr>
              <w:pStyle w:val="16"/>
              <w:spacing w:line="360" w:lineRule="exact"/>
              <w:ind w:left="1080" w:leftChars="257" w:hanging="540"/>
              <w:rPr>
                <w:rFonts w:hint="eastAsia" w:ascii="仿宋" w:hAnsi="仿宋" w:eastAsia="仿宋" w:cs="仿宋"/>
                <w:color w:val="auto"/>
                <w:sz w:val="24"/>
                <w:highlight w:val="none"/>
              </w:rPr>
            </w:pPr>
          </w:p>
        </w:tc>
        <w:tc>
          <w:tcPr>
            <w:tcW w:w="713" w:type="pct"/>
          </w:tcPr>
          <w:p w14:paraId="22F34C14">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1B83EF8E">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02FFD6E7">
            <w:pPr>
              <w:pStyle w:val="16"/>
              <w:spacing w:line="360" w:lineRule="exact"/>
              <w:ind w:left="1080" w:leftChars="257" w:hanging="540"/>
              <w:rPr>
                <w:rFonts w:hint="eastAsia" w:ascii="仿宋" w:hAnsi="仿宋" w:eastAsia="仿宋" w:cs="仿宋"/>
                <w:color w:val="auto"/>
                <w:sz w:val="24"/>
                <w:highlight w:val="none"/>
              </w:rPr>
            </w:pPr>
          </w:p>
        </w:tc>
      </w:tr>
      <w:tr w14:paraId="56BB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14:paraId="2D618276">
            <w:pPr>
              <w:pStyle w:val="16"/>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898" w:type="pct"/>
          </w:tcPr>
          <w:p w14:paraId="75905973">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00AD99EF">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48427A5A">
            <w:pPr>
              <w:pStyle w:val="16"/>
              <w:spacing w:line="360" w:lineRule="exact"/>
              <w:ind w:left="1080" w:leftChars="257" w:hanging="540"/>
              <w:rPr>
                <w:rFonts w:hint="eastAsia" w:ascii="仿宋" w:hAnsi="仿宋" w:eastAsia="仿宋" w:cs="仿宋"/>
                <w:color w:val="auto"/>
                <w:sz w:val="24"/>
                <w:highlight w:val="none"/>
              </w:rPr>
            </w:pPr>
          </w:p>
        </w:tc>
        <w:tc>
          <w:tcPr>
            <w:tcW w:w="713" w:type="pct"/>
          </w:tcPr>
          <w:p w14:paraId="18E61AA9">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5891414C">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520A208C">
            <w:pPr>
              <w:pStyle w:val="16"/>
              <w:spacing w:line="360" w:lineRule="exact"/>
              <w:ind w:left="1080" w:leftChars="257" w:hanging="540"/>
              <w:rPr>
                <w:rFonts w:hint="eastAsia" w:ascii="仿宋" w:hAnsi="仿宋" w:eastAsia="仿宋" w:cs="仿宋"/>
                <w:color w:val="auto"/>
                <w:sz w:val="24"/>
                <w:highlight w:val="none"/>
              </w:rPr>
            </w:pPr>
          </w:p>
        </w:tc>
      </w:tr>
      <w:tr w14:paraId="0511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14:paraId="68D28D11">
            <w:pPr>
              <w:pStyle w:val="16"/>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898" w:type="pct"/>
          </w:tcPr>
          <w:p w14:paraId="1CFA5F9C">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2433E0CF">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4BEF172D">
            <w:pPr>
              <w:pStyle w:val="16"/>
              <w:spacing w:line="360" w:lineRule="exact"/>
              <w:ind w:left="1080" w:leftChars="257" w:hanging="540"/>
              <w:rPr>
                <w:rFonts w:hint="eastAsia" w:ascii="仿宋" w:hAnsi="仿宋" w:eastAsia="仿宋" w:cs="仿宋"/>
                <w:color w:val="auto"/>
                <w:sz w:val="24"/>
                <w:highlight w:val="none"/>
              </w:rPr>
            </w:pPr>
          </w:p>
        </w:tc>
        <w:tc>
          <w:tcPr>
            <w:tcW w:w="713" w:type="pct"/>
          </w:tcPr>
          <w:p w14:paraId="49E79D20">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6A7847BF">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4AA82234">
            <w:pPr>
              <w:pStyle w:val="16"/>
              <w:spacing w:line="360" w:lineRule="exact"/>
              <w:ind w:left="1080" w:leftChars="257" w:hanging="540"/>
              <w:rPr>
                <w:rFonts w:hint="eastAsia" w:ascii="仿宋" w:hAnsi="仿宋" w:eastAsia="仿宋" w:cs="仿宋"/>
                <w:color w:val="auto"/>
                <w:sz w:val="24"/>
                <w:highlight w:val="none"/>
              </w:rPr>
            </w:pPr>
          </w:p>
        </w:tc>
      </w:tr>
      <w:tr w14:paraId="1BE4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0" w:type="pct"/>
            <w:vAlign w:val="center"/>
          </w:tcPr>
          <w:p w14:paraId="24D53F3D">
            <w:pPr>
              <w:pStyle w:val="16"/>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898" w:type="pct"/>
          </w:tcPr>
          <w:p w14:paraId="733A6F8E">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0FCACD1D">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531F079B">
            <w:pPr>
              <w:pStyle w:val="16"/>
              <w:spacing w:line="360" w:lineRule="exact"/>
              <w:ind w:left="1080" w:leftChars="257" w:hanging="540"/>
              <w:rPr>
                <w:rFonts w:hint="eastAsia" w:ascii="仿宋" w:hAnsi="仿宋" w:eastAsia="仿宋" w:cs="仿宋"/>
                <w:color w:val="auto"/>
                <w:sz w:val="24"/>
                <w:highlight w:val="none"/>
              </w:rPr>
            </w:pPr>
          </w:p>
        </w:tc>
        <w:tc>
          <w:tcPr>
            <w:tcW w:w="713" w:type="pct"/>
          </w:tcPr>
          <w:p w14:paraId="7372382F">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1DCB9CA3">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3DEBEBF7">
            <w:pPr>
              <w:pStyle w:val="16"/>
              <w:spacing w:line="360" w:lineRule="exact"/>
              <w:ind w:left="1080" w:leftChars="257" w:hanging="540"/>
              <w:rPr>
                <w:rFonts w:hint="eastAsia" w:ascii="仿宋" w:hAnsi="仿宋" w:eastAsia="仿宋" w:cs="仿宋"/>
                <w:color w:val="auto"/>
                <w:sz w:val="24"/>
                <w:highlight w:val="none"/>
              </w:rPr>
            </w:pPr>
          </w:p>
        </w:tc>
      </w:tr>
      <w:tr w14:paraId="543E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30" w:type="pct"/>
            <w:vAlign w:val="center"/>
          </w:tcPr>
          <w:p w14:paraId="11B92F87">
            <w:pPr>
              <w:pStyle w:val="16"/>
              <w:spacing w:line="36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898" w:type="pct"/>
          </w:tcPr>
          <w:p w14:paraId="5A66EE34">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60C3D605">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5C0D7461">
            <w:pPr>
              <w:pStyle w:val="16"/>
              <w:spacing w:line="360" w:lineRule="exact"/>
              <w:ind w:left="1080" w:leftChars="257" w:hanging="540"/>
              <w:rPr>
                <w:rFonts w:hint="eastAsia" w:ascii="仿宋" w:hAnsi="仿宋" w:eastAsia="仿宋" w:cs="仿宋"/>
                <w:color w:val="auto"/>
                <w:sz w:val="24"/>
                <w:highlight w:val="none"/>
              </w:rPr>
            </w:pPr>
          </w:p>
        </w:tc>
        <w:tc>
          <w:tcPr>
            <w:tcW w:w="713" w:type="pct"/>
          </w:tcPr>
          <w:p w14:paraId="5D03665B">
            <w:pPr>
              <w:pStyle w:val="16"/>
              <w:spacing w:line="360" w:lineRule="exact"/>
              <w:ind w:left="1080" w:leftChars="257" w:hanging="540"/>
              <w:rPr>
                <w:rFonts w:hint="eastAsia" w:ascii="仿宋" w:hAnsi="仿宋" w:eastAsia="仿宋" w:cs="仿宋"/>
                <w:color w:val="auto"/>
                <w:sz w:val="24"/>
                <w:highlight w:val="none"/>
              </w:rPr>
            </w:pPr>
          </w:p>
        </w:tc>
        <w:tc>
          <w:tcPr>
            <w:tcW w:w="898" w:type="pct"/>
          </w:tcPr>
          <w:p w14:paraId="56CB78DB">
            <w:pPr>
              <w:pStyle w:val="16"/>
              <w:spacing w:line="360" w:lineRule="exact"/>
              <w:ind w:left="1080" w:leftChars="257" w:hanging="540"/>
              <w:rPr>
                <w:rFonts w:hint="eastAsia" w:ascii="仿宋" w:hAnsi="仿宋" w:eastAsia="仿宋" w:cs="仿宋"/>
                <w:color w:val="auto"/>
                <w:sz w:val="24"/>
                <w:highlight w:val="none"/>
              </w:rPr>
            </w:pPr>
          </w:p>
        </w:tc>
        <w:tc>
          <w:tcPr>
            <w:tcW w:w="530" w:type="pct"/>
          </w:tcPr>
          <w:p w14:paraId="14FE8EDD">
            <w:pPr>
              <w:pStyle w:val="16"/>
              <w:spacing w:line="360" w:lineRule="exact"/>
              <w:ind w:left="1080" w:leftChars="257" w:hanging="540"/>
              <w:rPr>
                <w:rFonts w:hint="eastAsia" w:ascii="仿宋" w:hAnsi="仿宋" w:eastAsia="仿宋" w:cs="仿宋"/>
                <w:color w:val="auto"/>
                <w:sz w:val="24"/>
                <w:highlight w:val="none"/>
              </w:rPr>
            </w:pPr>
          </w:p>
        </w:tc>
      </w:tr>
    </w:tbl>
    <w:p w14:paraId="3A31FE87">
      <w:pPr>
        <w:pStyle w:val="16"/>
        <w:spacing w:line="360" w:lineRule="exact"/>
        <w:ind w:left="1080" w:leftChars="257" w:hanging="540"/>
        <w:rPr>
          <w:rFonts w:hint="eastAsia" w:ascii="仿宋" w:hAnsi="仿宋" w:eastAsia="仿宋" w:cs="仿宋"/>
          <w:color w:val="auto"/>
          <w:sz w:val="24"/>
          <w:highlight w:val="none"/>
        </w:rPr>
      </w:pPr>
    </w:p>
    <w:p w14:paraId="2495FF1E">
      <w:pPr>
        <w:pStyle w:val="16"/>
        <w:spacing w:line="400" w:lineRule="exact"/>
        <w:ind w:left="1080" w:leftChars="257" w:hanging="540"/>
        <w:rPr>
          <w:rFonts w:hint="eastAsia" w:ascii="仿宋" w:hAnsi="仿宋" w:eastAsia="仿宋" w:cs="仿宋"/>
          <w:color w:val="auto"/>
          <w:sz w:val="24"/>
          <w:szCs w:val="24"/>
          <w:highlight w:val="none"/>
        </w:rPr>
      </w:pPr>
    </w:p>
    <w:p w14:paraId="47B420F5">
      <w:pPr>
        <w:pStyle w:val="6"/>
        <w:spacing w:line="360" w:lineRule="exact"/>
        <w:ind w:firstLine="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lang w:eastAsia="zh-CN"/>
        </w:rPr>
        <w:t>供应商</w:t>
      </w:r>
      <w:r>
        <w:rPr>
          <w:rFonts w:hint="eastAsia" w:ascii="仿宋" w:hAnsi="仿宋" w:eastAsia="仿宋" w:cs="仿宋"/>
          <w:color w:val="auto"/>
          <w:kern w:val="2"/>
          <w:sz w:val="24"/>
          <w:szCs w:val="24"/>
          <w:highlight w:val="none"/>
        </w:rPr>
        <w:t>名称（</w:t>
      </w:r>
      <w:r>
        <w:rPr>
          <w:rFonts w:hint="eastAsia" w:ascii="仿宋" w:hAnsi="仿宋" w:eastAsia="仿宋" w:cs="仿宋"/>
          <w:color w:val="auto"/>
          <w:kern w:val="2"/>
          <w:sz w:val="24"/>
          <w:szCs w:val="24"/>
          <w:highlight w:val="none"/>
          <w:lang w:eastAsia="zh-CN"/>
        </w:rPr>
        <w:t>公章</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u w:val="single"/>
        </w:rPr>
        <w:t xml:space="preserve">                       </w:t>
      </w:r>
    </w:p>
    <w:p w14:paraId="00DFFBEB">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法定代表人或委托代理</w:t>
      </w:r>
      <w:r>
        <w:rPr>
          <w:rFonts w:hint="eastAsia" w:ascii="仿宋" w:hAnsi="仿宋" w:eastAsia="仿宋" w:cs="仿宋"/>
          <w:color w:val="auto"/>
          <w:kern w:val="2"/>
          <w:sz w:val="24"/>
          <w:szCs w:val="24"/>
          <w:highlight w:val="none"/>
          <w:lang w:val="en-US" w:eastAsia="zh-CN"/>
        </w:rPr>
        <w:t>人</w:t>
      </w:r>
      <w:r>
        <w:rPr>
          <w:rFonts w:hint="eastAsia" w:ascii="仿宋" w:hAnsi="仿宋" w:eastAsia="仿宋" w:cs="仿宋"/>
          <w:color w:val="auto"/>
          <w:kern w:val="2"/>
          <w:sz w:val="24"/>
          <w:szCs w:val="24"/>
          <w:highlight w:val="none"/>
        </w:rPr>
        <w:t>(签/章):</w:t>
      </w:r>
      <w:r>
        <w:rPr>
          <w:rFonts w:hint="eastAsia" w:ascii="仿宋" w:hAnsi="仿宋" w:eastAsia="仿宋" w:cs="仿宋"/>
          <w:color w:val="auto"/>
          <w:kern w:val="2"/>
          <w:sz w:val="24"/>
          <w:szCs w:val="24"/>
          <w:highlight w:val="none"/>
          <w:u w:val="single"/>
        </w:rPr>
        <w:tab/>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74CB2ECA">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日期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 xml:space="preserve">   </w:t>
      </w:r>
    </w:p>
    <w:p w14:paraId="6466D54F">
      <w:pPr>
        <w:pStyle w:val="16"/>
        <w:spacing w:line="400" w:lineRule="exact"/>
        <w:ind w:left="1080" w:leftChars="257" w:hanging="540"/>
        <w:rPr>
          <w:rFonts w:hint="eastAsia" w:ascii="仿宋" w:hAnsi="仿宋" w:eastAsia="仿宋" w:cs="仿宋"/>
          <w:b/>
          <w:bCs/>
          <w:color w:val="auto"/>
          <w:sz w:val="22"/>
          <w:szCs w:val="22"/>
          <w:highlight w:val="none"/>
          <w:lang w:eastAsia="zh-CN"/>
        </w:rPr>
      </w:pPr>
      <w:r>
        <w:rPr>
          <w:rFonts w:hint="eastAsia" w:ascii="仿宋" w:hAnsi="仿宋" w:eastAsia="仿宋" w:cs="仿宋"/>
          <w:color w:val="auto"/>
          <w:sz w:val="24"/>
          <w:szCs w:val="24"/>
          <w:highlight w:val="none"/>
        </w:rPr>
        <w:t>注: 各项</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详细技术性能应另页描述</w:t>
      </w:r>
      <w:r>
        <w:rPr>
          <w:rFonts w:hint="eastAsia" w:ascii="仿宋" w:hAnsi="仿宋" w:eastAsia="仿宋" w:cs="仿宋"/>
          <w:color w:val="auto"/>
          <w:sz w:val="24"/>
          <w:szCs w:val="24"/>
          <w:highlight w:val="none"/>
          <w:lang w:eastAsia="zh-CN"/>
        </w:rPr>
        <w:t>。</w:t>
      </w:r>
    </w:p>
    <w:p w14:paraId="76F1CF39">
      <w:pPr>
        <w:pStyle w:val="16"/>
        <w:spacing w:line="240" w:lineRule="atLeast"/>
        <w:rPr>
          <w:rFonts w:hint="eastAsia" w:ascii="仿宋" w:hAnsi="仿宋" w:eastAsia="仿宋" w:cs="仿宋"/>
          <w:b/>
          <w:bCs/>
          <w:color w:val="auto"/>
          <w:sz w:val="22"/>
          <w:szCs w:val="22"/>
          <w:highlight w:val="none"/>
        </w:rPr>
      </w:pPr>
    </w:p>
    <w:p w14:paraId="21051787">
      <w:pPr>
        <w:pStyle w:val="16"/>
        <w:spacing w:line="240" w:lineRule="atLeast"/>
        <w:rPr>
          <w:rFonts w:hint="eastAsia" w:ascii="仿宋" w:hAnsi="仿宋" w:eastAsia="仿宋" w:cs="仿宋"/>
          <w:b/>
          <w:bCs/>
          <w:color w:val="auto"/>
          <w:sz w:val="22"/>
          <w:szCs w:val="22"/>
          <w:highlight w:val="none"/>
        </w:rPr>
      </w:pPr>
    </w:p>
    <w:p w14:paraId="1F1D345E">
      <w:pPr>
        <w:pStyle w:val="16"/>
        <w:spacing w:line="240" w:lineRule="atLeast"/>
        <w:rPr>
          <w:rFonts w:hint="eastAsia" w:ascii="仿宋" w:hAnsi="仿宋" w:eastAsia="仿宋" w:cs="仿宋"/>
          <w:b/>
          <w:bCs/>
          <w:color w:val="auto"/>
          <w:sz w:val="22"/>
          <w:szCs w:val="22"/>
          <w:highlight w:val="none"/>
        </w:rPr>
      </w:pPr>
    </w:p>
    <w:p w14:paraId="092A30AE">
      <w:pPr>
        <w:pStyle w:val="16"/>
        <w:spacing w:line="240" w:lineRule="atLeast"/>
        <w:rPr>
          <w:rFonts w:hint="eastAsia" w:ascii="仿宋" w:hAnsi="仿宋" w:eastAsia="仿宋" w:cs="仿宋"/>
          <w:b/>
          <w:bCs/>
          <w:color w:val="auto"/>
          <w:sz w:val="22"/>
          <w:szCs w:val="22"/>
          <w:highlight w:val="none"/>
        </w:rPr>
      </w:pPr>
    </w:p>
    <w:p w14:paraId="2E6565E4">
      <w:pPr>
        <w:pStyle w:val="16"/>
        <w:spacing w:line="240" w:lineRule="atLeast"/>
        <w:rPr>
          <w:rFonts w:hint="eastAsia" w:ascii="仿宋" w:hAnsi="仿宋" w:eastAsia="仿宋" w:cs="仿宋"/>
          <w:b/>
          <w:bCs/>
          <w:color w:val="auto"/>
          <w:sz w:val="22"/>
          <w:szCs w:val="22"/>
          <w:highlight w:val="none"/>
        </w:rPr>
      </w:pPr>
    </w:p>
    <w:p w14:paraId="767EBD78">
      <w:pPr>
        <w:pStyle w:val="16"/>
        <w:spacing w:line="240" w:lineRule="atLeast"/>
        <w:rPr>
          <w:rFonts w:hint="eastAsia" w:ascii="仿宋" w:hAnsi="仿宋" w:eastAsia="仿宋" w:cs="仿宋"/>
          <w:b/>
          <w:bCs/>
          <w:color w:val="auto"/>
          <w:sz w:val="22"/>
          <w:szCs w:val="22"/>
          <w:highlight w:val="none"/>
        </w:rPr>
      </w:pPr>
    </w:p>
    <w:p w14:paraId="7E81EE52">
      <w:pPr>
        <w:pStyle w:val="16"/>
        <w:spacing w:line="240" w:lineRule="atLeast"/>
        <w:rPr>
          <w:rFonts w:hint="eastAsia" w:ascii="仿宋" w:hAnsi="仿宋" w:eastAsia="仿宋" w:cs="仿宋"/>
          <w:b/>
          <w:bCs/>
          <w:color w:val="auto"/>
          <w:sz w:val="22"/>
          <w:szCs w:val="22"/>
          <w:highlight w:val="none"/>
        </w:rPr>
      </w:pPr>
    </w:p>
    <w:p w14:paraId="02ABA19D">
      <w:pPr>
        <w:pStyle w:val="16"/>
        <w:spacing w:line="240" w:lineRule="atLeast"/>
        <w:rPr>
          <w:rFonts w:hint="eastAsia" w:ascii="仿宋" w:hAnsi="仿宋" w:eastAsia="仿宋" w:cs="仿宋"/>
          <w:b/>
          <w:bCs/>
          <w:color w:val="auto"/>
          <w:sz w:val="22"/>
          <w:szCs w:val="22"/>
          <w:highlight w:val="none"/>
        </w:rPr>
      </w:pPr>
    </w:p>
    <w:p w14:paraId="6F383C0D">
      <w:pPr>
        <w:pStyle w:val="16"/>
        <w:spacing w:line="240" w:lineRule="atLeast"/>
        <w:rPr>
          <w:rFonts w:hint="eastAsia" w:ascii="仿宋" w:hAnsi="仿宋" w:eastAsia="仿宋" w:cs="仿宋"/>
          <w:b/>
          <w:bCs/>
          <w:color w:val="auto"/>
          <w:sz w:val="22"/>
          <w:szCs w:val="22"/>
          <w:highlight w:val="none"/>
        </w:rPr>
      </w:pPr>
    </w:p>
    <w:p w14:paraId="14EF582D">
      <w:pPr>
        <w:pStyle w:val="16"/>
        <w:spacing w:line="240" w:lineRule="atLeast"/>
        <w:rPr>
          <w:rFonts w:hint="eastAsia" w:ascii="仿宋" w:hAnsi="仿宋" w:eastAsia="仿宋" w:cs="仿宋"/>
          <w:b/>
          <w:bCs/>
          <w:color w:val="auto"/>
          <w:sz w:val="22"/>
          <w:szCs w:val="22"/>
          <w:highlight w:val="none"/>
        </w:rPr>
      </w:pPr>
    </w:p>
    <w:p w14:paraId="38410AB7">
      <w:pPr>
        <w:pStyle w:val="16"/>
        <w:spacing w:line="240" w:lineRule="atLeast"/>
        <w:rPr>
          <w:rFonts w:hint="eastAsia" w:ascii="仿宋" w:hAnsi="仿宋" w:eastAsia="仿宋" w:cs="仿宋"/>
          <w:b/>
          <w:bCs/>
          <w:color w:val="auto"/>
          <w:sz w:val="22"/>
          <w:szCs w:val="22"/>
          <w:highlight w:val="none"/>
        </w:rPr>
      </w:pPr>
    </w:p>
    <w:p w14:paraId="30C2F058">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7B585F12">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仿宋" w:hAnsi="仿宋" w:eastAsia="仿宋" w:cs="仿宋"/>
          <w:color w:val="auto"/>
          <w:sz w:val="28"/>
          <w:szCs w:val="28"/>
          <w:highlight w:val="none"/>
          <w:lang w:val="en-US" w:eastAsia="zh-CN"/>
        </w:rPr>
      </w:pPr>
      <w:bookmarkStart w:id="1140" w:name="_Toc8378"/>
      <w:bookmarkStart w:id="1141" w:name="_Toc21982"/>
      <w:r>
        <w:rPr>
          <w:rFonts w:hint="eastAsia" w:ascii="仿宋" w:hAnsi="仿宋" w:eastAsia="仿宋" w:cs="仿宋"/>
          <w:color w:val="auto"/>
          <w:sz w:val="28"/>
          <w:szCs w:val="28"/>
          <w:highlight w:val="none"/>
          <w:lang w:val="en-US" w:eastAsia="zh-CN"/>
        </w:rPr>
        <w:t>4.技术规格偏离表</w:t>
      </w:r>
      <w:bookmarkEnd w:id="1140"/>
      <w:bookmarkEnd w:id="1141"/>
    </w:p>
    <w:p w14:paraId="530CDCE9">
      <w:pPr>
        <w:pStyle w:val="16"/>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r>
        <w:rPr>
          <w:rFonts w:hint="eastAsia" w:ascii="仿宋" w:hAnsi="仿宋" w:eastAsia="仿宋" w:cs="仿宋"/>
          <w:color w:val="auto"/>
          <w:sz w:val="24"/>
          <w:szCs w:val="24"/>
          <w:highlight w:val="none"/>
          <w:lang w:val="en-US" w:eastAsia="zh-CN"/>
        </w:rPr>
        <w:t xml:space="preserve">   包号：</w:t>
      </w:r>
      <w:r>
        <w:rPr>
          <w:rFonts w:hint="eastAsia" w:ascii="仿宋" w:hAnsi="仿宋" w:eastAsia="仿宋" w:cs="仿宋"/>
          <w:color w:val="auto"/>
          <w:sz w:val="24"/>
          <w:szCs w:val="24"/>
          <w:highlight w:val="none"/>
        </w:rPr>
        <w:t xml:space="preserve">          </w:t>
      </w:r>
    </w:p>
    <w:tbl>
      <w:tblPr>
        <w:tblStyle w:val="30"/>
        <w:tblW w:w="55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423"/>
        <w:gridCol w:w="2623"/>
        <w:gridCol w:w="1423"/>
        <w:gridCol w:w="1423"/>
        <w:gridCol w:w="842"/>
        <w:gridCol w:w="843"/>
      </w:tblGrid>
      <w:tr w14:paraId="4856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14:paraId="2F1983F7">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755" w:type="pct"/>
            <w:vAlign w:val="center"/>
          </w:tcPr>
          <w:p w14:paraId="7CCF6E1F">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货物</w:t>
            </w:r>
            <w:r>
              <w:rPr>
                <w:rFonts w:hint="eastAsia" w:ascii="仿宋" w:hAnsi="仿宋" w:eastAsia="仿宋" w:cs="仿宋"/>
                <w:color w:val="auto"/>
                <w:sz w:val="24"/>
                <w:szCs w:val="24"/>
                <w:highlight w:val="none"/>
              </w:rPr>
              <w:t>名称</w:t>
            </w:r>
          </w:p>
        </w:tc>
        <w:tc>
          <w:tcPr>
            <w:tcW w:w="1392" w:type="pct"/>
            <w:vAlign w:val="center"/>
          </w:tcPr>
          <w:p w14:paraId="79CB602F">
            <w:pPr>
              <w:pStyle w:val="16"/>
              <w:spacing w:line="400" w:lineRule="exact"/>
              <w:ind w:left="269" w:leftChars="1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招标文件条款号</w:t>
            </w:r>
          </w:p>
        </w:tc>
        <w:tc>
          <w:tcPr>
            <w:tcW w:w="755" w:type="pct"/>
            <w:vAlign w:val="center"/>
          </w:tcPr>
          <w:p w14:paraId="4F103397">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招标规格</w:t>
            </w:r>
          </w:p>
        </w:tc>
        <w:tc>
          <w:tcPr>
            <w:tcW w:w="755" w:type="pct"/>
            <w:vAlign w:val="center"/>
          </w:tcPr>
          <w:p w14:paraId="7FD86008">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投标规格</w:t>
            </w:r>
          </w:p>
        </w:tc>
        <w:tc>
          <w:tcPr>
            <w:tcW w:w="447" w:type="pct"/>
            <w:vAlign w:val="center"/>
          </w:tcPr>
          <w:p w14:paraId="34AEC917">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w:t>
            </w:r>
          </w:p>
        </w:tc>
        <w:tc>
          <w:tcPr>
            <w:tcW w:w="447" w:type="pct"/>
            <w:vAlign w:val="center"/>
          </w:tcPr>
          <w:p w14:paraId="0EE8538F">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122E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14:paraId="7A7F4B07">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p>
        </w:tc>
        <w:tc>
          <w:tcPr>
            <w:tcW w:w="755" w:type="pct"/>
          </w:tcPr>
          <w:p w14:paraId="5566D531">
            <w:pPr>
              <w:pStyle w:val="16"/>
              <w:spacing w:line="400" w:lineRule="exact"/>
              <w:ind w:left="1080" w:leftChars="257" w:hanging="540"/>
              <w:rPr>
                <w:rFonts w:hint="eastAsia" w:ascii="仿宋" w:hAnsi="仿宋" w:eastAsia="仿宋" w:cs="仿宋"/>
                <w:color w:val="auto"/>
                <w:sz w:val="24"/>
                <w:szCs w:val="24"/>
                <w:highlight w:val="none"/>
              </w:rPr>
            </w:pPr>
          </w:p>
        </w:tc>
        <w:tc>
          <w:tcPr>
            <w:tcW w:w="1392" w:type="pct"/>
          </w:tcPr>
          <w:p w14:paraId="2643AD1D">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4310ABB3">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41770C5D">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1CE37E86">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6944E496">
            <w:pPr>
              <w:pStyle w:val="16"/>
              <w:spacing w:line="400" w:lineRule="exact"/>
              <w:ind w:left="1080" w:leftChars="257" w:hanging="540"/>
              <w:rPr>
                <w:rFonts w:hint="eastAsia" w:ascii="仿宋" w:hAnsi="仿宋" w:eastAsia="仿宋" w:cs="仿宋"/>
                <w:color w:val="auto"/>
                <w:sz w:val="24"/>
                <w:szCs w:val="24"/>
                <w:highlight w:val="none"/>
              </w:rPr>
            </w:pPr>
          </w:p>
        </w:tc>
      </w:tr>
      <w:tr w14:paraId="3896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14:paraId="5A87E4B2">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p>
        </w:tc>
        <w:tc>
          <w:tcPr>
            <w:tcW w:w="755" w:type="pct"/>
          </w:tcPr>
          <w:p w14:paraId="06D4AC8D">
            <w:pPr>
              <w:pStyle w:val="16"/>
              <w:spacing w:line="400" w:lineRule="exact"/>
              <w:ind w:left="1080" w:leftChars="257" w:hanging="540"/>
              <w:rPr>
                <w:rFonts w:hint="eastAsia" w:ascii="仿宋" w:hAnsi="仿宋" w:eastAsia="仿宋" w:cs="仿宋"/>
                <w:color w:val="auto"/>
                <w:sz w:val="24"/>
                <w:szCs w:val="24"/>
                <w:highlight w:val="none"/>
              </w:rPr>
            </w:pPr>
          </w:p>
        </w:tc>
        <w:tc>
          <w:tcPr>
            <w:tcW w:w="1392" w:type="pct"/>
          </w:tcPr>
          <w:p w14:paraId="1936B360">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36F0672A">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2FC10D58">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69958925">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64317840">
            <w:pPr>
              <w:pStyle w:val="16"/>
              <w:spacing w:line="400" w:lineRule="exact"/>
              <w:ind w:left="1080" w:leftChars="257" w:hanging="540"/>
              <w:rPr>
                <w:rFonts w:hint="eastAsia" w:ascii="仿宋" w:hAnsi="仿宋" w:eastAsia="仿宋" w:cs="仿宋"/>
                <w:color w:val="auto"/>
                <w:sz w:val="24"/>
                <w:szCs w:val="24"/>
                <w:highlight w:val="none"/>
              </w:rPr>
            </w:pPr>
          </w:p>
        </w:tc>
      </w:tr>
      <w:tr w14:paraId="17D9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14:paraId="5AF8E97E">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p>
        </w:tc>
        <w:tc>
          <w:tcPr>
            <w:tcW w:w="755" w:type="pct"/>
          </w:tcPr>
          <w:p w14:paraId="4061E4DE">
            <w:pPr>
              <w:pStyle w:val="16"/>
              <w:spacing w:line="400" w:lineRule="exact"/>
              <w:ind w:left="1080" w:leftChars="257" w:hanging="540"/>
              <w:rPr>
                <w:rFonts w:hint="eastAsia" w:ascii="仿宋" w:hAnsi="仿宋" w:eastAsia="仿宋" w:cs="仿宋"/>
                <w:color w:val="auto"/>
                <w:sz w:val="24"/>
                <w:szCs w:val="24"/>
                <w:highlight w:val="none"/>
              </w:rPr>
            </w:pPr>
          </w:p>
        </w:tc>
        <w:tc>
          <w:tcPr>
            <w:tcW w:w="1392" w:type="pct"/>
          </w:tcPr>
          <w:p w14:paraId="1AEE4DDB">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6DBBD4B4">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3F528DD0">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14E409EC">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383D8EEF">
            <w:pPr>
              <w:pStyle w:val="16"/>
              <w:spacing w:line="400" w:lineRule="exact"/>
              <w:ind w:left="1080" w:leftChars="257" w:hanging="540"/>
              <w:rPr>
                <w:rFonts w:hint="eastAsia" w:ascii="仿宋" w:hAnsi="仿宋" w:eastAsia="仿宋" w:cs="仿宋"/>
                <w:color w:val="auto"/>
                <w:sz w:val="24"/>
                <w:szCs w:val="24"/>
                <w:highlight w:val="none"/>
              </w:rPr>
            </w:pPr>
          </w:p>
        </w:tc>
      </w:tr>
      <w:tr w14:paraId="15D5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14:paraId="55E82897">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755" w:type="pct"/>
          </w:tcPr>
          <w:p w14:paraId="4A75FAC2">
            <w:pPr>
              <w:pStyle w:val="16"/>
              <w:spacing w:line="400" w:lineRule="exact"/>
              <w:ind w:left="1080" w:leftChars="257" w:hanging="540"/>
              <w:rPr>
                <w:rFonts w:hint="eastAsia" w:ascii="仿宋" w:hAnsi="仿宋" w:eastAsia="仿宋" w:cs="仿宋"/>
                <w:color w:val="auto"/>
                <w:sz w:val="24"/>
                <w:szCs w:val="24"/>
                <w:highlight w:val="none"/>
              </w:rPr>
            </w:pPr>
          </w:p>
        </w:tc>
        <w:tc>
          <w:tcPr>
            <w:tcW w:w="1392" w:type="pct"/>
          </w:tcPr>
          <w:p w14:paraId="03F3F8D3">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4F4D1754">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7D2A7DCE">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25A538C7">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23B9DF4D">
            <w:pPr>
              <w:pStyle w:val="16"/>
              <w:spacing w:line="400" w:lineRule="exact"/>
              <w:ind w:left="1080" w:leftChars="257" w:hanging="540"/>
              <w:rPr>
                <w:rFonts w:hint="eastAsia" w:ascii="仿宋" w:hAnsi="仿宋" w:eastAsia="仿宋" w:cs="仿宋"/>
                <w:color w:val="auto"/>
                <w:sz w:val="24"/>
                <w:szCs w:val="24"/>
                <w:highlight w:val="none"/>
              </w:rPr>
            </w:pPr>
          </w:p>
        </w:tc>
      </w:tr>
      <w:tr w14:paraId="125A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14:paraId="3D0F6CEB">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p>
        </w:tc>
        <w:tc>
          <w:tcPr>
            <w:tcW w:w="755" w:type="pct"/>
          </w:tcPr>
          <w:p w14:paraId="2AB36D1A">
            <w:pPr>
              <w:pStyle w:val="16"/>
              <w:spacing w:line="400" w:lineRule="exact"/>
              <w:ind w:left="1080" w:leftChars="257" w:hanging="540"/>
              <w:rPr>
                <w:rFonts w:hint="eastAsia" w:ascii="仿宋" w:hAnsi="仿宋" w:eastAsia="仿宋" w:cs="仿宋"/>
                <w:color w:val="auto"/>
                <w:sz w:val="24"/>
                <w:szCs w:val="24"/>
                <w:highlight w:val="none"/>
              </w:rPr>
            </w:pPr>
          </w:p>
        </w:tc>
        <w:tc>
          <w:tcPr>
            <w:tcW w:w="1392" w:type="pct"/>
          </w:tcPr>
          <w:p w14:paraId="3A279F12">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37FE9332">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32AD7DC8">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183CF428">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1940BF85">
            <w:pPr>
              <w:pStyle w:val="16"/>
              <w:spacing w:line="400" w:lineRule="exact"/>
              <w:ind w:left="1080" w:leftChars="257" w:hanging="540"/>
              <w:rPr>
                <w:rFonts w:hint="eastAsia" w:ascii="仿宋" w:hAnsi="仿宋" w:eastAsia="仿宋" w:cs="仿宋"/>
                <w:color w:val="auto"/>
                <w:sz w:val="24"/>
                <w:szCs w:val="24"/>
                <w:highlight w:val="none"/>
              </w:rPr>
            </w:pPr>
          </w:p>
        </w:tc>
      </w:tr>
      <w:tr w14:paraId="3E07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47" w:type="pct"/>
            <w:vAlign w:val="center"/>
          </w:tcPr>
          <w:p w14:paraId="24C7C6F0">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p>
        </w:tc>
        <w:tc>
          <w:tcPr>
            <w:tcW w:w="755" w:type="pct"/>
          </w:tcPr>
          <w:p w14:paraId="1796C801">
            <w:pPr>
              <w:pStyle w:val="16"/>
              <w:spacing w:line="400" w:lineRule="exact"/>
              <w:ind w:left="1080" w:leftChars="257" w:hanging="540"/>
              <w:rPr>
                <w:rFonts w:hint="eastAsia" w:ascii="仿宋" w:hAnsi="仿宋" w:eastAsia="仿宋" w:cs="仿宋"/>
                <w:color w:val="auto"/>
                <w:sz w:val="24"/>
                <w:szCs w:val="24"/>
                <w:highlight w:val="none"/>
              </w:rPr>
            </w:pPr>
          </w:p>
        </w:tc>
        <w:tc>
          <w:tcPr>
            <w:tcW w:w="1392" w:type="pct"/>
          </w:tcPr>
          <w:p w14:paraId="1340F4A9">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170ACB62">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3D85C61A">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308541BC">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5087874E">
            <w:pPr>
              <w:pStyle w:val="16"/>
              <w:spacing w:line="400" w:lineRule="exact"/>
              <w:ind w:left="1080" w:leftChars="257" w:hanging="540"/>
              <w:rPr>
                <w:rFonts w:hint="eastAsia" w:ascii="仿宋" w:hAnsi="仿宋" w:eastAsia="仿宋" w:cs="仿宋"/>
                <w:color w:val="auto"/>
                <w:sz w:val="24"/>
                <w:szCs w:val="24"/>
                <w:highlight w:val="none"/>
              </w:rPr>
            </w:pPr>
          </w:p>
        </w:tc>
      </w:tr>
      <w:tr w14:paraId="199F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47" w:type="pct"/>
            <w:vAlign w:val="center"/>
          </w:tcPr>
          <w:p w14:paraId="67E3137B">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p>
        </w:tc>
        <w:tc>
          <w:tcPr>
            <w:tcW w:w="755" w:type="pct"/>
          </w:tcPr>
          <w:p w14:paraId="1C69549D">
            <w:pPr>
              <w:pStyle w:val="16"/>
              <w:spacing w:line="400" w:lineRule="exact"/>
              <w:ind w:left="1080" w:leftChars="257" w:hanging="540"/>
              <w:rPr>
                <w:rFonts w:hint="eastAsia" w:ascii="仿宋" w:hAnsi="仿宋" w:eastAsia="仿宋" w:cs="仿宋"/>
                <w:color w:val="auto"/>
                <w:sz w:val="24"/>
                <w:szCs w:val="24"/>
                <w:highlight w:val="none"/>
              </w:rPr>
            </w:pPr>
          </w:p>
        </w:tc>
        <w:tc>
          <w:tcPr>
            <w:tcW w:w="1392" w:type="pct"/>
          </w:tcPr>
          <w:p w14:paraId="482C09DE">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56DC43F2">
            <w:pPr>
              <w:pStyle w:val="16"/>
              <w:spacing w:line="400" w:lineRule="exact"/>
              <w:ind w:left="1080" w:leftChars="257" w:hanging="540"/>
              <w:rPr>
                <w:rFonts w:hint="eastAsia" w:ascii="仿宋" w:hAnsi="仿宋" w:eastAsia="仿宋" w:cs="仿宋"/>
                <w:color w:val="auto"/>
                <w:sz w:val="24"/>
                <w:szCs w:val="24"/>
                <w:highlight w:val="none"/>
              </w:rPr>
            </w:pPr>
          </w:p>
        </w:tc>
        <w:tc>
          <w:tcPr>
            <w:tcW w:w="755" w:type="pct"/>
          </w:tcPr>
          <w:p w14:paraId="7BCAD980">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4E88E20A">
            <w:pPr>
              <w:pStyle w:val="16"/>
              <w:spacing w:line="400" w:lineRule="exact"/>
              <w:ind w:left="1080" w:leftChars="257" w:hanging="540"/>
              <w:rPr>
                <w:rFonts w:hint="eastAsia" w:ascii="仿宋" w:hAnsi="仿宋" w:eastAsia="仿宋" w:cs="仿宋"/>
                <w:color w:val="auto"/>
                <w:sz w:val="24"/>
                <w:szCs w:val="24"/>
                <w:highlight w:val="none"/>
              </w:rPr>
            </w:pPr>
          </w:p>
        </w:tc>
        <w:tc>
          <w:tcPr>
            <w:tcW w:w="447" w:type="pct"/>
          </w:tcPr>
          <w:p w14:paraId="7A608078">
            <w:pPr>
              <w:pStyle w:val="16"/>
              <w:spacing w:line="400" w:lineRule="exact"/>
              <w:ind w:left="1080" w:leftChars="257" w:hanging="540"/>
              <w:rPr>
                <w:rFonts w:hint="eastAsia" w:ascii="仿宋" w:hAnsi="仿宋" w:eastAsia="仿宋" w:cs="仿宋"/>
                <w:color w:val="auto"/>
                <w:sz w:val="24"/>
                <w:szCs w:val="24"/>
                <w:highlight w:val="none"/>
              </w:rPr>
            </w:pPr>
          </w:p>
        </w:tc>
      </w:tr>
    </w:tbl>
    <w:p w14:paraId="21BAAE19">
      <w:pPr>
        <w:pStyle w:val="16"/>
        <w:spacing w:line="400" w:lineRule="exact"/>
        <w:ind w:left="1080" w:leftChars="257" w:hanging="540"/>
        <w:rPr>
          <w:rFonts w:hint="eastAsia" w:ascii="仿宋" w:hAnsi="仿宋" w:eastAsia="仿宋" w:cs="仿宋"/>
          <w:color w:val="auto"/>
          <w:sz w:val="24"/>
          <w:szCs w:val="24"/>
          <w:highlight w:val="none"/>
        </w:rPr>
      </w:pPr>
    </w:p>
    <w:p w14:paraId="1213A384">
      <w:pPr>
        <w:pStyle w:val="16"/>
        <w:spacing w:line="400" w:lineRule="exact"/>
        <w:ind w:left="1080" w:leftChars="257" w:hanging="540"/>
        <w:rPr>
          <w:rFonts w:hint="eastAsia" w:ascii="仿宋" w:hAnsi="仿宋" w:eastAsia="仿宋" w:cs="仿宋"/>
          <w:color w:val="auto"/>
          <w:sz w:val="24"/>
          <w:szCs w:val="24"/>
          <w:highlight w:val="none"/>
        </w:rPr>
      </w:pPr>
    </w:p>
    <w:p w14:paraId="03FFAFE0">
      <w:pPr>
        <w:pStyle w:val="16"/>
        <w:spacing w:line="400" w:lineRule="exact"/>
        <w:ind w:left="1080" w:leftChars="257" w:hanging="540"/>
        <w:rPr>
          <w:rFonts w:hint="eastAsia" w:ascii="仿宋" w:hAnsi="仿宋" w:eastAsia="仿宋" w:cs="仿宋"/>
          <w:color w:val="auto"/>
          <w:sz w:val="24"/>
          <w:szCs w:val="24"/>
          <w:highlight w:val="none"/>
        </w:rPr>
      </w:pPr>
    </w:p>
    <w:bookmarkEnd w:id="1121"/>
    <w:bookmarkEnd w:id="1122"/>
    <w:bookmarkEnd w:id="1123"/>
    <w:bookmarkEnd w:id="1124"/>
    <w:p w14:paraId="176F1A77">
      <w:pPr>
        <w:pStyle w:val="6"/>
        <w:spacing w:line="360" w:lineRule="exact"/>
        <w:ind w:firstLine="0"/>
        <w:rPr>
          <w:rFonts w:hint="eastAsia" w:ascii="仿宋" w:hAnsi="仿宋" w:eastAsia="仿宋" w:cs="仿宋"/>
          <w:color w:val="auto"/>
          <w:kern w:val="2"/>
          <w:sz w:val="24"/>
          <w:szCs w:val="24"/>
          <w:highlight w:val="none"/>
          <w:u w:val="single"/>
        </w:rPr>
      </w:pPr>
      <w:bookmarkStart w:id="1142" w:name="_Toc23"/>
      <w:bookmarkStart w:id="1143" w:name="_Toc31439"/>
      <w:bookmarkStart w:id="1144" w:name="_Toc515647821"/>
      <w:bookmarkStart w:id="1145" w:name="_Toc1980"/>
      <w:bookmarkStart w:id="1146" w:name="_Toc216582818"/>
      <w:r>
        <w:rPr>
          <w:rFonts w:hint="eastAsia" w:ascii="仿宋" w:hAnsi="仿宋" w:eastAsia="仿宋" w:cs="仿宋"/>
          <w:color w:val="auto"/>
          <w:kern w:val="2"/>
          <w:sz w:val="24"/>
          <w:szCs w:val="24"/>
          <w:highlight w:val="none"/>
          <w:lang w:eastAsia="zh-CN"/>
        </w:rPr>
        <w:t>供应商</w:t>
      </w:r>
      <w:r>
        <w:rPr>
          <w:rFonts w:hint="eastAsia" w:ascii="仿宋" w:hAnsi="仿宋" w:eastAsia="仿宋" w:cs="仿宋"/>
          <w:color w:val="auto"/>
          <w:kern w:val="2"/>
          <w:sz w:val="24"/>
          <w:szCs w:val="24"/>
          <w:highlight w:val="none"/>
        </w:rPr>
        <w:t>名称（</w:t>
      </w:r>
      <w:r>
        <w:rPr>
          <w:rFonts w:hint="eastAsia" w:ascii="仿宋" w:hAnsi="仿宋" w:eastAsia="仿宋" w:cs="仿宋"/>
          <w:color w:val="auto"/>
          <w:kern w:val="2"/>
          <w:sz w:val="24"/>
          <w:szCs w:val="24"/>
          <w:highlight w:val="none"/>
          <w:lang w:eastAsia="zh-CN"/>
        </w:rPr>
        <w:t>公章</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u w:val="single"/>
        </w:rPr>
        <w:t xml:space="preserve">                       </w:t>
      </w:r>
    </w:p>
    <w:p w14:paraId="257716DC">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法定代表人或委托代理</w:t>
      </w:r>
      <w:r>
        <w:rPr>
          <w:rFonts w:hint="eastAsia" w:ascii="仿宋" w:hAnsi="仿宋" w:eastAsia="仿宋" w:cs="仿宋"/>
          <w:color w:val="auto"/>
          <w:kern w:val="2"/>
          <w:sz w:val="24"/>
          <w:szCs w:val="24"/>
          <w:highlight w:val="none"/>
          <w:lang w:val="en-US" w:eastAsia="zh-CN"/>
        </w:rPr>
        <w:t>人</w:t>
      </w:r>
      <w:r>
        <w:rPr>
          <w:rFonts w:hint="eastAsia" w:ascii="仿宋" w:hAnsi="仿宋" w:eastAsia="仿宋" w:cs="仿宋"/>
          <w:color w:val="auto"/>
          <w:kern w:val="2"/>
          <w:sz w:val="24"/>
          <w:szCs w:val="24"/>
          <w:highlight w:val="none"/>
        </w:rPr>
        <w:t>(签/章):</w:t>
      </w:r>
      <w:r>
        <w:rPr>
          <w:rFonts w:hint="eastAsia" w:ascii="仿宋" w:hAnsi="仿宋" w:eastAsia="仿宋" w:cs="仿宋"/>
          <w:color w:val="auto"/>
          <w:kern w:val="2"/>
          <w:sz w:val="24"/>
          <w:szCs w:val="24"/>
          <w:highlight w:val="none"/>
          <w:u w:val="single"/>
        </w:rPr>
        <w:tab/>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36F27C81">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日期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 xml:space="preserve">   </w:t>
      </w:r>
    </w:p>
    <w:p w14:paraId="3C335F14">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58C8A8DC">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0C2CB54E">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218656E3">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54796404">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0B9302B6">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6488E144">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1E753C11">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36403EF3">
      <w:pPr>
        <w:rPr>
          <w:rFonts w:hint="eastAsia" w:ascii="仿宋" w:hAnsi="仿宋" w:eastAsia="仿宋" w:cs="仿宋"/>
          <w:color w:val="auto"/>
          <w:sz w:val="28"/>
          <w:szCs w:val="28"/>
          <w:highlight w:val="none"/>
        </w:rPr>
      </w:pPr>
      <w:bookmarkStart w:id="1147" w:name="_Toc14887"/>
      <w:bookmarkStart w:id="1148" w:name="_Toc22109"/>
      <w:bookmarkStart w:id="1149" w:name="_Toc12914"/>
      <w:r>
        <w:rPr>
          <w:rFonts w:hint="eastAsia" w:ascii="仿宋" w:hAnsi="仿宋" w:eastAsia="仿宋" w:cs="仿宋"/>
          <w:color w:val="auto"/>
          <w:sz w:val="28"/>
          <w:szCs w:val="28"/>
          <w:highlight w:val="none"/>
        </w:rPr>
        <w:br w:type="page"/>
      </w:r>
    </w:p>
    <w:bookmarkEnd w:id="1142"/>
    <w:bookmarkEnd w:id="1143"/>
    <w:bookmarkEnd w:id="1144"/>
    <w:bookmarkEnd w:id="1145"/>
    <w:bookmarkEnd w:id="1146"/>
    <w:bookmarkEnd w:id="1147"/>
    <w:bookmarkEnd w:id="1148"/>
    <w:bookmarkEnd w:id="1149"/>
    <w:p w14:paraId="72C2658D">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仿宋" w:hAnsi="仿宋" w:eastAsia="仿宋" w:cs="仿宋"/>
          <w:color w:val="auto"/>
          <w:sz w:val="28"/>
          <w:szCs w:val="28"/>
          <w:highlight w:val="none"/>
          <w:lang w:val="en-US" w:eastAsia="zh-CN"/>
        </w:rPr>
      </w:pPr>
      <w:bookmarkStart w:id="1150" w:name="_Toc8354"/>
      <w:bookmarkStart w:id="1151" w:name="_Toc26961"/>
      <w:r>
        <w:rPr>
          <w:rFonts w:hint="eastAsia" w:ascii="仿宋" w:hAnsi="仿宋" w:eastAsia="仿宋" w:cs="仿宋"/>
          <w:color w:val="auto"/>
          <w:sz w:val="28"/>
          <w:szCs w:val="28"/>
          <w:highlight w:val="none"/>
          <w:lang w:val="en-US" w:eastAsia="zh-CN"/>
        </w:rPr>
        <w:t>5.商务条款偏离表</w:t>
      </w:r>
      <w:bookmarkEnd w:id="1150"/>
      <w:bookmarkEnd w:id="1151"/>
    </w:p>
    <w:p w14:paraId="47506073">
      <w:pPr>
        <w:pStyle w:val="16"/>
        <w:spacing w:line="400" w:lineRule="exac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r>
        <w:rPr>
          <w:rFonts w:hint="eastAsia" w:ascii="仿宋" w:hAnsi="仿宋" w:eastAsia="仿宋" w:cs="仿宋"/>
          <w:color w:val="auto"/>
          <w:sz w:val="24"/>
          <w:szCs w:val="24"/>
          <w:highlight w:val="none"/>
          <w:lang w:eastAsia="zh-CN"/>
        </w:rPr>
        <w:t>包号：</w:t>
      </w:r>
      <w:r>
        <w:rPr>
          <w:rFonts w:hint="eastAsia" w:ascii="仿宋" w:hAnsi="仿宋" w:eastAsia="仿宋" w:cs="仿宋"/>
          <w:color w:val="auto"/>
          <w:sz w:val="24"/>
          <w:szCs w:val="24"/>
          <w:highlight w:val="none"/>
        </w:rPr>
        <w:t xml:space="preserve">    </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004"/>
        <w:gridCol w:w="2510"/>
        <w:gridCol w:w="2510"/>
        <w:gridCol w:w="735"/>
      </w:tblGrid>
      <w:tr w14:paraId="26CA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16644CF3">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179" w:type="pct"/>
          </w:tcPr>
          <w:p w14:paraId="3297E3BC">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招标文件条款号</w:t>
            </w:r>
          </w:p>
        </w:tc>
        <w:tc>
          <w:tcPr>
            <w:tcW w:w="1477" w:type="pct"/>
          </w:tcPr>
          <w:p w14:paraId="67E9F4DC">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招标文件的商务条款</w:t>
            </w:r>
          </w:p>
        </w:tc>
        <w:tc>
          <w:tcPr>
            <w:tcW w:w="1477" w:type="pct"/>
          </w:tcPr>
          <w:p w14:paraId="5CA9976F">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投标文件的商务条款</w:t>
            </w:r>
          </w:p>
        </w:tc>
        <w:tc>
          <w:tcPr>
            <w:tcW w:w="432" w:type="pct"/>
          </w:tcPr>
          <w:p w14:paraId="2D648E2C">
            <w:pPr>
              <w:pStyle w:val="16"/>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32D1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0C304BD0">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5CC210D5">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4059B6D3">
            <w:pPr>
              <w:pStyle w:val="16"/>
              <w:spacing w:line="400" w:lineRule="exact"/>
              <w:ind w:left="1080" w:leftChars="257" w:hanging="540"/>
              <w:jc w:val="center"/>
              <w:rPr>
                <w:rFonts w:hint="eastAsia" w:ascii="仿宋" w:hAnsi="仿宋" w:eastAsia="仿宋" w:cs="仿宋"/>
                <w:color w:val="auto"/>
                <w:sz w:val="24"/>
                <w:szCs w:val="24"/>
                <w:highlight w:val="none"/>
              </w:rPr>
            </w:pPr>
          </w:p>
        </w:tc>
        <w:tc>
          <w:tcPr>
            <w:tcW w:w="1477" w:type="pct"/>
          </w:tcPr>
          <w:p w14:paraId="13675549">
            <w:pPr>
              <w:pStyle w:val="16"/>
              <w:spacing w:line="400" w:lineRule="exact"/>
              <w:ind w:left="1080" w:leftChars="257" w:hanging="540"/>
              <w:jc w:val="center"/>
              <w:rPr>
                <w:rFonts w:hint="eastAsia" w:ascii="仿宋" w:hAnsi="仿宋" w:eastAsia="仿宋" w:cs="仿宋"/>
                <w:color w:val="auto"/>
                <w:sz w:val="24"/>
                <w:szCs w:val="24"/>
                <w:highlight w:val="none"/>
              </w:rPr>
            </w:pPr>
          </w:p>
        </w:tc>
        <w:tc>
          <w:tcPr>
            <w:tcW w:w="432" w:type="pct"/>
          </w:tcPr>
          <w:p w14:paraId="431864E0">
            <w:pPr>
              <w:pStyle w:val="16"/>
              <w:spacing w:line="400" w:lineRule="exact"/>
              <w:ind w:left="1080" w:leftChars="257" w:hanging="540"/>
              <w:rPr>
                <w:rFonts w:hint="eastAsia" w:ascii="仿宋" w:hAnsi="仿宋" w:eastAsia="仿宋" w:cs="仿宋"/>
                <w:color w:val="auto"/>
                <w:sz w:val="24"/>
                <w:szCs w:val="24"/>
                <w:highlight w:val="none"/>
              </w:rPr>
            </w:pPr>
          </w:p>
        </w:tc>
      </w:tr>
      <w:tr w14:paraId="5F9A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64E15CFA">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7C8AFEED">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47949B03">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2FA23D48">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031B0711">
            <w:pPr>
              <w:pStyle w:val="16"/>
              <w:spacing w:line="400" w:lineRule="exact"/>
              <w:ind w:left="1080" w:leftChars="257" w:hanging="540"/>
              <w:rPr>
                <w:rFonts w:hint="eastAsia" w:ascii="仿宋" w:hAnsi="仿宋" w:eastAsia="仿宋" w:cs="仿宋"/>
                <w:color w:val="auto"/>
                <w:sz w:val="24"/>
                <w:szCs w:val="24"/>
                <w:highlight w:val="none"/>
              </w:rPr>
            </w:pPr>
          </w:p>
        </w:tc>
      </w:tr>
      <w:tr w14:paraId="2163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0B204674">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1FE6E182">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4B278D2A">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7D6B8F2D">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0FB2E853">
            <w:pPr>
              <w:pStyle w:val="16"/>
              <w:spacing w:line="400" w:lineRule="exact"/>
              <w:ind w:left="1080" w:leftChars="257" w:hanging="540"/>
              <w:rPr>
                <w:rFonts w:hint="eastAsia" w:ascii="仿宋" w:hAnsi="仿宋" w:eastAsia="仿宋" w:cs="仿宋"/>
                <w:color w:val="auto"/>
                <w:sz w:val="24"/>
                <w:szCs w:val="24"/>
                <w:highlight w:val="none"/>
              </w:rPr>
            </w:pPr>
          </w:p>
        </w:tc>
      </w:tr>
      <w:tr w14:paraId="21A3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53409CD4">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3A842D48">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0829A5CC">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60D0D966">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638EDFE1">
            <w:pPr>
              <w:pStyle w:val="16"/>
              <w:spacing w:line="400" w:lineRule="exact"/>
              <w:ind w:left="1080" w:leftChars="257" w:hanging="540"/>
              <w:rPr>
                <w:rFonts w:hint="eastAsia" w:ascii="仿宋" w:hAnsi="仿宋" w:eastAsia="仿宋" w:cs="仿宋"/>
                <w:color w:val="auto"/>
                <w:sz w:val="24"/>
                <w:szCs w:val="24"/>
                <w:highlight w:val="none"/>
              </w:rPr>
            </w:pPr>
          </w:p>
        </w:tc>
      </w:tr>
      <w:tr w14:paraId="1E66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4DA69897">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178E7D67">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4A6D9AA3">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306523A7">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608EFEF7">
            <w:pPr>
              <w:pStyle w:val="16"/>
              <w:spacing w:line="400" w:lineRule="exact"/>
              <w:ind w:left="1080" w:leftChars="257" w:hanging="540"/>
              <w:rPr>
                <w:rFonts w:hint="eastAsia" w:ascii="仿宋" w:hAnsi="仿宋" w:eastAsia="仿宋" w:cs="仿宋"/>
                <w:color w:val="auto"/>
                <w:sz w:val="24"/>
                <w:szCs w:val="24"/>
                <w:highlight w:val="none"/>
              </w:rPr>
            </w:pPr>
          </w:p>
        </w:tc>
      </w:tr>
      <w:tr w14:paraId="167E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323A99D7">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05CA0713">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24A49A62">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3D49C2FB">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4FFEE87E">
            <w:pPr>
              <w:pStyle w:val="16"/>
              <w:spacing w:line="400" w:lineRule="exact"/>
              <w:ind w:left="1080" w:leftChars="257" w:hanging="540"/>
              <w:rPr>
                <w:rFonts w:hint="eastAsia" w:ascii="仿宋" w:hAnsi="仿宋" w:eastAsia="仿宋" w:cs="仿宋"/>
                <w:color w:val="auto"/>
                <w:sz w:val="24"/>
                <w:szCs w:val="24"/>
                <w:highlight w:val="none"/>
              </w:rPr>
            </w:pPr>
          </w:p>
        </w:tc>
      </w:tr>
      <w:tr w14:paraId="7950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1F327BFF">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0CBE660E">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071185BA">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1CDC00C0">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2058EC3D">
            <w:pPr>
              <w:pStyle w:val="16"/>
              <w:spacing w:line="400" w:lineRule="exact"/>
              <w:ind w:left="1080" w:leftChars="257" w:hanging="540"/>
              <w:rPr>
                <w:rFonts w:hint="eastAsia" w:ascii="仿宋" w:hAnsi="仿宋" w:eastAsia="仿宋" w:cs="仿宋"/>
                <w:color w:val="auto"/>
                <w:sz w:val="24"/>
                <w:szCs w:val="24"/>
                <w:highlight w:val="none"/>
              </w:rPr>
            </w:pPr>
          </w:p>
        </w:tc>
      </w:tr>
      <w:tr w14:paraId="3D79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4E58671F">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054D8F71">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474F2A79">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5706C294">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6DA6C183">
            <w:pPr>
              <w:pStyle w:val="16"/>
              <w:spacing w:line="400" w:lineRule="exact"/>
              <w:ind w:left="1080" w:leftChars="257" w:hanging="540"/>
              <w:rPr>
                <w:rFonts w:hint="eastAsia" w:ascii="仿宋" w:hAnsi="仿宋" w:eastAsia="仿宋" w:cs="仿宋"/>
                <w:color w:val="auto"/>
                <w:sz w:val="24"/>
                <w:szCs w:val="24"/>
                <w:highlight w:val="none"/>
              </w:rPr>
            </w:pPr>
          </w:p>
        </w:tc>
      </w:tr>
      <w:tr w14:paraId="42AD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6DAC2A5A">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69CFC585">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565A5014">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143B0E22">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0A985CD6">
            <w:pPr>
              <w:pStyle w:val="16"/>
              <w:spacing w:line="400" w:lineRule="exact"/>
              <w:ind w:left="1080" w:leftChars="257" w:hanging="540"/>
              <w:rPr>
                <w:rFonts w:hint="eastAsia" w:ascii="仿宋" w:hAnsi="仿宋" w:eastAsia="仿宋" w:cs="仿宋"/>
                <w:color w:val="auto"/>
                <w:sz w:val="24"/>
                <w:szCs w:val="24"/>
                <w:highlight w:val="none"/>
              </w:rPr>
            </w:pPr>
          </w:p>
        </w:tc>
      </w:tr>
      <w:tr w14:paraId="36AD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0CA4006B">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7B825649">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56FC2C7E">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331FD4ED">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7406A8FD">
            <w:pPr>
              <w:pStyle w:val="16"/>
              <w:spacing w:line="400" w:lineRule="exact"/>
              <w:ind w:left="1080" w:leftChars="257" w:hanging="540"/>
              <w:rPr>
                <w:rFonts w:hint="eastAsia" w:ascii="仿宋" w:hAnsi="仿宋" w:eastAsia="仿宋" w:cs="仿宋"/>
                <w:color w:val="auto"/>
                <w:sz w:val="24"/>
                <w:szCs w:val="24"/>
                <w:highlight w:val="none"/>
              </w:rPr>
            </w:pPr>
          </w:p>
        </w:tc>
      </w:tr>
      <w:tr w14:paraId="1A20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5ECF2708">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12754890">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46F8838D">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741C07A1">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328F7819">
            <w:pPr>
              <w:pStyle w:val="16"/>
              <w:spacing w:line="400" w:lineRule="exact"/>
              <w:ind w:left="1080" w:leftChars="257" w:hanging="540"/>
              <w:rPr>
                <w:rFonts w:hint="eastAsia" w:ascii="仿宋" w:hAnsi="仿宋" w:eastAsia="仿宋" w:cs="仿宋"/>
                <w:color w:val="auto"/>
                <w:sz w:val="24"/>
                <w:szCs w:val="24"/>
                <w:highlight w:val="none"/>
              </w:rPr>
            </w:pPr>
          </w:p>
        </w:tc>
      </w:tr>
      <w:tr w14:paraId="5C7C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7667CB27">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13315D21">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3969FA98">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00B88A15">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26B833B3">
            <w:pPr>
              <w:pStyle w:val="16"/>
              <w:spacing w:line="400" w:lineRule="exact"/>
              <w:ind w:left="1080" w:leftChars="257" w:hanging="540"/>
              <w:rPr>
                <w:rFonts w:hint="eastAsia" w:ascii="仿宋" w:hAnsi="仿宋" w:eastAsia="仿宋" w:cs="仿宋"/>
                <w:color w:val="auto"/>
                <w:sz w:val="24"/>
                <w:szCs w:val="24"/>
                <w:highlight w:val="none"/>
              </w:rPr>
            </w:pPr>
          </w:p>
        </w:tc>
      </w:tr>
      <w:tr w14:paraId="6AC7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2878A5D1">
            <w:pPr>
              <w:pStyle w:val="16"/>
              <w:spacing w:line="400" w:lineRule="exact"/>
              <w:ind w:left="1080" w:leftChars="257" w:hanging="540"/>
              <w:rPr>
                <w:rFonts w:hint="eastAsia" w:ascii="仿宋" w:hAnsi="仿宋" w:eastAsia="仿宋" w:cs="仿宋"/>
                <w:color w:val="auto"/>
                <w:sz w:val="24"/>
                <w:szCs w:val="24"/>
                <w:highlight w:val="none"/>
              </w:rPr>
            </w:pPr>
          </w:p>
        </w:tc>
        <w:tc>
          <w:tcPr>
            <w:tcW w:w="1179" w:type="pct"/>
          </w:tcPr>
          <w:p w14:paraId="49AEAE40">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42F95219">
            <w:pPr>
              <w:pStyle w:val="16"/>
              <w:spacing w:line="400" w:lineRule="exact"/>
              <w:ind w:left="1080" w:leftChars="257" w:hanging="540"/>
              <w:rPr>
                <w:rFonts w:hint="eastAsia" w:ascii="仿宋" w:hAnsi="仿宋" w:eastAsia="仿宋" w:cs="仿宋"/>
                <w:color w:val="auto"/>
                <w:sz w:val="24"/>
                <w:szCs w:val="24"/>
                <w:highlight w:val="none"/>
              </w:rPr>
            </w:pPr>
          </w:p>
        </w:tc>
        <w:tc>
          <w:tcPr>
            <w:tcW w:w="1477" w:type="pct"/>
          </w:tcPr>
          <w:p w14:paraId="0FE1197D">
            <w:pPr>
              <w:pStyle w:val="16"/>
              <w:spacing w:line="400" w:lineRule="exact"/>
              <w:ind w:left="1080" w:leftChars="257" w:hanging="540"/>
              <w:rPr>
                <w:rFonts w:hint="eastAsia" w:ascii="仿宋" w:hAnsi="仿宋" w:eastAsia="仿宋" w:cs="仿宋"/>
                <w:color w:val="auto"/>
                <w:sz w:val="24"/>
                <w:szCs w:val="24"/>
                <w:highlight w:val="none"/>
              </w:rPr>
            </w:pPr>
          </w:p>
        </w:tc>
        <w:tc>
          <w:tcPr>
            <w:tcW w:w="432" w:type="pct"/>
          </w:tcPr>
          <w:p w14:paraId="642D501F">
            <w:pPr>
              <w:pStyle w:val="16"/>
              <w:spacing w:line="400" w:lineRule="exact"/>
              <w:ind w:left="1080" w:leftChars="257" w:hanging="540"/>
              <w:rPr>
                <w:rFonts w:hint="eastAsia" w:ascii="仿宋" w:hAnsi="仿宋" w:eastAsia="仿宋" w:cs="仿宋"/>
                <w:color w:val="auto"/>
                <w:sz w:val="24"/>
                <w:szCs w:val="24"/>
                <w:highlight w:val="none"/>
              </w:rPr>
            </w:pPr>
          </w:p>
        </w:tc>
      </w:tr>
    </w:tbl>
    <w:p w14:paraId="3DAB99C1">
      <w:pPr>
        <w:pStyle w:val="16"/>
        <w:spacing w:line="400" w:lineRule="exact"/>
        <w:ind w:left="1080" w:leftChars="257" w:hanging="540"/>
        <w:rPr>
          <w:rFonts w:hint="eastAsia" w:ascii="仿宋" w:hAnsi="仿宋" w:eastAsia="仿宋" w:cs="仿宋"/>
          <w:color w:val="auto"/>
          <w:sz w:val="24"/>
          <w:szCs w:val="24"/>
          <w:highlight w:val="none"/>
        </w:rPr>
      </w:pPr>
    </w:p>
    <w:p w14:paraId="6169AE58">
      <w:pPr>
        <w:pStyle w:val="16"/>
        <w:spacing w:line="400" w:lineRule="exact"/>
        <w:ind w:left="1080" w:leftChars="257" w:hanging="540"/>
        <w:rPr>
          <w:rFonts w:hint="eastAsia" w:ascii="仿宋" w:hAnsi="仿宋" w:eastAsia="仿宋" w:cs="仿宋"/>
          <w:color w:val="auto"/>
          <w:sz w:val="24"/>
          <w:szCs w:val="24"/>
          <w:highlight w:val="none"/>
        </w:rPr>
      </w:pPr>
    </w:p>
    <w:p w14:paraId="401247DC">
      <w:pPr>
        <w:pStyle w:val="16"/>
        <w:spacing w:line="400" w:lineRule="exact"/>
        <w:ind w:left="1080" w:leftChars="257" w:hanging="540"/>
        <w:rPr>
          <w:rFonts w:hint="eastAsia" w:ascii="仿宋" w:hAnsi="仿宋" w:eastAsia="仿宋" w:cs="仿宋"/>
          <w:color w:val="auto"/>
          <w:sz w:val="24"/>
          <w:szCs w:val="24"/>
          <w:highlight w:val="none"/>
        </w:rPr>
      </w:pPr>
    </w:p>
    <w:p w14:paraId="4A105503">
      <w:pPr>
        <w:pStyle w:val="6"/>
        <w:spacing w:line="360" w:lineRule="exact"/>
        <w:ind w:firstLine="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lang w:eastAsia="zh-CN"/>
        </w:rPr>
        <w:t>供应商</w:t>
      </w:r>
      <w:r>
        <w:rPr>
          <w:rFonts w:hint="eastAsia" w:ascii="仿宋" w:hAnsi="仿宋" w:eastAsia="仿宋" w:cs="仿宋"/>
          <w:color w:val="auto"/>
          <w:kern w:val="2"/>
          <w:sz w:val="24"/>
          <w:szCs w:val="24"/>
          <w:highlight w:val="none"/>
        </w:rPr>
        <w:t>名称（</w:t>
      </w:r>
      <w:r>
        <w:rPr>
          <w:rFonts w:hint="eastAsia" w:ascii="仿宋" w:hAnsi="仿宋" w:eastAsia="仿宋" w:cs="仿宋"/>
          <w:color w:val="auto"/>
          <w:kern w:val="2"/>
          <w:sz w:val="24"/>
          <w:szCs w:val="24"/>
          <w:highlight w:val="none"/>
          <w:lang w:eastAsia="zh-CN"/>
        </w:rPr>
        <w:t>公章</w:t>
      </w:r>
      <w:r>
        <w:rPr>
          <w:rFonts w:hint="eastAsia" w:ascii="仿宋" w:hAnsi="仿宋" w:eastAsia="仿宋" w:cs="仿宋"/>
          <w:color w:val="auto"/>
          <w:kern w:val="2"/>
          <w:sz w:val="24"/>
          <w:szCs w:val="24"/>
          <w:highlight w:val="none"/>
        </w:rPr>
        <w:t>）：</w:t>
      </w:r>
      <w:r>
        <w:rPr>
          <w:rFonts w:hint="eastAsia" w:ascii="仿宋" w:hAnsi="仿宋" w:eastAsia="仿宋" w:cs="仿宋"/>
          <w:color w:val="auto"/>
          <w:kern w:val="2"/>
          <w:sz w:val="24"/>
          <w:szCs w:val="24"/>
          <w:highlight w:val="none"/>
          <w:u w:val="single"/>
        </w:rPr>
        <w:t xml:space="preserve">                       </w:t>
      </w:r>
    </w:p>
    <w:p w14:paraId="0E109699">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法定代表人或委托代理</w:t>
      </w:r>
      <w:r>
        <w:rPr>
          <w:rFonts w:hint="eastAsia" w:ascii="仿宋" w:hAnsi="仿宋" w:eastAsia="仿宋" w:cs="仿宋"/>
          <w:color w:val="auto"/>
          <w:kern w:val="2"/>
          <w:sz w:val="24"/>
          <w:szCs w:val="24"/>
          <w:highlight w:val="none"/>
          <w:lang w:val="en-US" w:eastAsia="zh-CN"/>
        </w:rPr>
        <w:t>人</w:t>
      </w:r>
      <w:r>
        <w:rPr>
          <w:rFonts w:hint="eastAsia" w:ascii="仿宋" w:hAnsi="仿宋" w:eastAsia="仿宋" w:cs="仿宋"/>
          <w:color w:val="auto"/>
          <w:kern w:val="2"/>
          <w:sz w:val="24"/>
          <w:szCs w:val="24"/>
          <w:highlight w:val="none"/>
        </w:rPr>
        <w:t>(签/章):</w:t>
      </w:r>
      <w:r>
        <w:rPr>
          <w:rFonts w:hint="eastAsia" w:ascii="仿宋" w:hAnsi="仿宋" w:eastAsia="仿宋" w:cs="仿宋"/>
          <w:color w:val="auto"/>
          <w:kern w:val="2"/>
          <w:sz w:val="24"/>
          <w:szCs w:val="24"/>
          <w:highlight w:val="none"/>
          <w:u w:val="single"/>
        </w:rPr>
        <w:tab/>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415F13B2">
      <w:pPr>
        <w:pStyle w:val="6"/>
        <w:spacing w:line="360" w:lineRule="exact"/>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日期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rPr>
        <w:t xml:space="preserve">   </w:t>
      </w:r>
    </w:p>
    <w:p w14:paraId="76CD5B21">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7FD0B99B">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238F2410">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1783347F">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1D32B476">
      <w:pPr>
        <w:pStyle w:val="16"/>
        <w:tabs>
          <w:tab w:val="left" w:pos="5370"/>
        </w:tabs>
        <w:spacing w:line="400" w:lineRule="exact"/>
        <w:ind w:left="1080" w:leftChars="257" w:hanging="540"/>
        <w:rPr>
          <w:rFonts w:hint="eastAsia" w:ascii="仿宋" w:hAnsi="仿宋" w:eastAsia="仿宋" w:cs="仿宋"/>
          <w:color w:val="auto"/>
          <w:sz w:val="24"/>
          <w:szCs w:val="24"/>
          <w:highlight w:val="none"/>
          <w:u w:val="single"/>
        </w:rPr>
      </w:pPr>
    </w:p>
    <w:p w14:paraId="6A845BD0">
      <w:pPr>
        <w:rPr>
          <w:rFonts w:hint="eastAsia" w:ascii="仿宋" w:hAnsi="仿宋" w:eastAsia="仿宋" w:cs="仿宋"/>
          <w:color w:val="auto"/>
          <w:sz w:val="24"/>
          <w:szCs w:val="24"/>
          <w:highlight w:val="none"/>
        </w:rPr>
      </w:pPr>
      <w:bookmarkStart w:id="1152" w:name="_Toc515647823"/>
      <w:bookmarkStart w:id="1153" w:name="_Toc17820"/>
      <w:bookmarkStart w:id="1154" w:name="_Toc10725"/>
      <w:bookmarkStart w:id="1155" w:name="_Toc31694"/>
      <w:bookmarkStart w:id="1156" w:name="_Toc25797"/>
      <w:bookmarkStart w:id="1157" w:name="_Toc27043"/>
      <w:bookmarkStart w:id="1158" w:name="_Toc21312"/>
      <w:r>
        <w:rPr>
          <w:rFonts w:hint="eastAsia" w:ascii="仿宋" w:hAnsi="仿宋" w:eastAsia="仿宋" w:cs="仿宋"/>
          <w:color w:val="auto"/>
          <w:sz w:val="24"/>
          <w:szCs w:val="24"/>
          <w:highlight w:val="none"/>
        </w:rPr>
        <w:br w:type="page"/>
      </w:r>
    </w:p>
    <w:bookmarkEnd w:id="1152"/>
    <w:bookmarkEnd w:id="1153"/>
    <w:bookmarkEnd w:id="1154"/>
    <w:bookmarkEnd w:id="1155"/>
    <w:bookmarkEnd w:id="1156"/>
    <w:bookmarkEnd w:id="1157"/>
    <w:bookmarkEnd w:id="1158"/>
    <w:p w14:paraId="186D1750">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lang w:val="en-US" w:eastAsia="zh-CN"/>
        </w:rPr>
      </w:pPr>
      <w:bookmarkStart w:id="1159" w:name="_Toc32351"/>
      <w:bookmarkStart w:id="1160" w:name="_Toc5026"/>
      <w:bookmarkStart w:id="1161" w:name="_Toc9687"/>
      <w:bookmarkStart w:id="1162" w:name="_Toc11343"/>
      <w:bookmarkStart w:id="1163" w:name="_Toc515647824"/>
      <w:bookmarkStart w:id="1164" w:name="_Toc11803"/>
      <w:bookmarkStart w:id="1165" w:name="_Toc10977"/>
      <w:bookmarkStart w:id="1166" w:name="_Toc21610"/>
      <w:bookmarkStart w:id="1167" w:name="_Toc2709"/>
      <w:r>
        <w:rPr>
          <w:rFonts w:hint="eastAsia" w:ascii="仿宋" w:hAnsi="仿宋" w:eastAsia="仿宋" w:cs="仿宋"/>
          <w:color w:val="auto"/>
          <w:sz w:val="28"/>
          <w:szCs w:val="28"/>
          <w:highlight w:val="none"/>
          <w:lang w:val="en-US" w:eastAsia="zh-CN"/>
        </w:rPr>
        <w:t>6-1中小企业声明函</w:t>
      </w:r>
      <w:bookmarkEnd w:id="1159"/>
      <w:bookmarkEnd w:id="1160"/>
    </w:p>
    <w:p w14:paraId="2928B123">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（单位名称）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的</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（项目名称）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采购活动，提供的货物全部由符合政策要求的中小企业制造。相关企业（含联合体中的中小企业、签订分包意向协议的中小企业）的具体情况如下：</w:t>
      </w:r>
    </w:p>
    <w:p w14:paraId="250ACEF3">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1.</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（标的名称）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，属于</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行业；制造商为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（企业名称）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，从业人员</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人，营业收入为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万元，资产总额为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万元，属于</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w:t>
      </w:r>
    </w:p>
    <w:p w14:paraId="27550EE1">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2.</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（标的名称）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，属于</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行业；制造商为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（企业名称）</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，从业人员</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人，营业收入为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万元，资产总额为</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万元，属于</w:t>
      </w:r>
      <w:r>
        <w:rPr>
          <w:rFonts w:hint="eastAsia" w:ascii="仿宋" w:hAnsi="仿宋" w:eastAsia="仿宋" w:cs="仿宋"/>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仿宋" w:hAnsi="仿宋" w:eastAsia="仿宋" w:cs="仿宋"/>
          <w:i w:val="0"/>
          <w:iCs w:val="0"/>
          <w:caps w:val="0"/>
          <w:color w:val="auto"/>
          <w:spacing w:val="0"/>
          <w:kern w:val="0"/>
          <w:sz w:val="24"/>
          <w:szCs w:val="24"/>
          <w:highlight w:val="none"/>
          <w:shd w:val="clear" w:color="auto" w:fill="FFFFFF"/>
          <w:lang w:val="en-US" w:eastAsia="zh-CN"/>
        </w:rPr>
        <w:t>；</w:t>
      </w:r>
    </w:p>
    <w:p w14:paraId="286DE7F2">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w:t>
      </w:r>
    </w:p>
    <w:p w14:paraId="531A2344">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14:paraId="1CC5DFCC">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14:paraId="186B2613">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 </w:t>
      </w:r>
    </w:p>
    <w:p w14:paraId="3C35C6E4">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 </w:t>
      </w:r>
    </w:p>
    <w:p w14:paraId="42D0C4EB">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企业名称（盖章）：</w:t>
      </w:r>
    </w:p>
    <w:p w14:paraId="0B582635">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rPr>
        <w:t>日 期：</w:t>
      </w:r>
    </w:p>
    <w:p w14:paraId="7C50A563">
      <w:pPr>
        <w:rPr>
          <w:rFonts w:hint="eastAsia" w:ascii="仿宋" w:hAnsi="仿宋" w:eastAsia="仿宋" w:cs="仿宋"/>
          <w:b/>
          <w:bCs/>
          <w:color w:val="auto"/>
          <w:kern w:val="0"/>
          <w:sz w:val="32"/>
          <w:szCs w:val="32"/>
          <w:highlight w:val="none"/>
          <w:lang w:val="en-US" w:eastAsia="zh-CN"/>
        </w:rPr>
      </w:pPr>
    </w:p>
    <w:p w14:paraId="292E7DC4">
      <w:pPr>
        <w:rPr>
          <w:rFonts w:hint="eastAsia" w:ascii="仿宋" w:hAnsi="仿宋" w:eastAsia="仿宋" w:cs="仿宋"/>
          <w:b/>
          <w:bCs/>
          <w:color w:val="auto"/>
          <w:kern w:val="0"/>
          <w:sz w:val="32"/>
          <w:szCs w:val="32"/>
          <w:highlight w:val="none"/>
          <w:lang w:val="en-US" w:eastAsia="zh-CN"/>
        </w:rPr>
      </w:pPr>
    </w:p>
    <w:p w14:paraId="49F029D6">
      <w:pPr>
        <w:rPr>
          <w:rFonts w:hint="eastAsia" w:ascii="仿宋" w:hAnsi="仿宋" w:eastAsia="仿宋" w:cs="仿宋"/>
          <w:b/>
          <w:bCs/>
          <w:color w:val="auto"/>
          <w:kern w:val="0"/>
          <w:sz w:val="32"/>
          <w:szCs w:val="32"/>
          <w:highlight w:val="none"/>
          <w:lang w:eastAsia="zh-CN"/>
        </w:rPr>
      </w:pPr>
      <w:r>
        <w:rPr>
          <w:rFonts w:hint="eastAsia" w:ascii="仿宋" w:hAnsi="仿宋" w:eastAsia="仿宋" w:cs="仿宋"/>
          <w:b/>
          <w:bCs/>
          <w:color w:val="auto"/>
          <w:kern w:val="0"/>
          <w:sz w:val="32"/>
          <w:szCs w:val="32"/>
          <w:highlight w:val="none"/>
          <w:lang w:val="en-US" w:eastAsia="zh-CN"/>
        </w:rPr>
        <w:t>本项目所属行业为</w:t>
      </w:r>
      <w:r>
        <w:rPr>
          <w:rFonts w:hint="eastAsia" w:ascii="仿宋" w:hAnsi="仿宋" w:eastAsia="仿宋" w:cs="仿宋"/>
          <w:b/>
          <w:bCs/>
          <w:color w:val="auto"/>
          <w:kern w:val="0"/>
          <w:sz w:val="32"/>
          <w:szCs w:val="32"/>
          <w:highlight w:val="none"/>
          <w:lang w:eastAsia="zh-CN"/>
        </w:rPr>
        <w:t>：</w:t>
      </w:r>
      <w:r>
        <w:rPr>
          <w:rFonts w:hint="eastAsia" w:ascii="仿宋" w:hAnsi="仿宋" w:eastAsia="仿宋" w:cs="仿宋"/>
          <w:b/>
          <w:bCs/>
          <w:color w:val="auto"/>
          <w:kern w:val="0"/>
          <w:sz w:val="32"/>
          <w:szCs w:val="32"/>
          <w:highlight w:val="none"/>
          <w:lang w:val="en-US" w:eastAsia="zh-CN"/>
        </w:rPr>
        <w:t>工业</w:t>
      </w:r>
      <w:r>
        <w:rPr>
          <w:rFonts w:hint="eastAsia" w:ascii="仿宋" w:hAnsi="仿宋" w:eastAsia="仿宋" w:cs="仿宋"/>
          <w:b/>
          <w:bCs/>
          <w:color w:val="auto"/>
          <w:kern w:val="0"/>
          <w:sz w:val="32"/>
          <w:szCs w:val="32"/>
          <w:highlight w:val="none"/>
          <w:lang w:eastAsia="zh-CN"/>
        </w:rPr>
        <w:t>。</w:t>
      </w:r>
    </w:p>
    <w:p w14:paraId="487C9C1C">
      <w:pPr>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sz w:val="24"/>
          <w:szCs w:val="24"/>
          <w:highlight w:val="none"/>
          <w:lang w:val="en-US" w:eastAsia="zh-CN"/>
        </w:rPr>
        <w:t>注：本项目专门面向中小企业，潜在投标企业属于中小微企业的，请在投标文件中提供“中小企业声明函”，如果未提供或提供虚假的“中小企业声明函”，投标企业将承担由此造成的一切不利后果。</w:t>
      </w:r>
    </w:p>
    <w:p w14:paraId="1B2091DA">
      <w:pPr>
        <w:pStyle w:val="22"/>
        <w:rPr>
          <w:rFonts w:hint="eastAsia" w:ascii="仿宋" w:hAnsi="仿宋" w:eastAsia="仿宋" w:cs="仿宋"/>
          <w:b/>
          <w:bCs/>
          <w:color w:val="auto"/>
          <w:kern w:val="0"/>
          <w:sz w:val="21"/>
          <w:szCs w:val="21"/>
          <w:highlight w:val="none"/>
          <w:lang w:val="en-US" w:eastAsia="zh-CN"/>
        </w:rPr>
      </w:pPr>
    </w:p>
    <w:p w14:paraId="53BCDA04">
      <w:pP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br w:type="page"/>
      </w:r>
    </w:p>
    <w:p w14:paraId="10C61493">
      <w:pPr>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附：</w:t>
      </w:r>
    </w:p>
    <w:p w14:paraId="5841D4AA">
      <w:pP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中小微企业划型标准</w:t>
      </w:r>
    </w:p>
    <w:tbl>
      <w:tblPr>
        <w:tblStyle w:val="30"/>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1A058D5B">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1B39B770">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216999CE">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0B2EA4BC">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7C24F02D">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064ECBF3">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696D3393">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微型</w:t>
            </w:r>
          </w:p>
        </w:tc>
      </w:tr>
      <w:tr w14:paraId="7FB1F94F">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64C1510C">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032B797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C29F761">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67B9B6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5E179BF1">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1A01067F">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Y＜50</w:t>
            </w:r>
          </w:p>
        </w:tc>
      </w:tr>
      <w:tr w14:paraId="6CDF0E8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5D28753">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47F6C86E">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770890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8879DA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0785787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58C38C5F">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14:paraId="70D042A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59096F4">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D9F35D5">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A3D3BB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179834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6F3D1A1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27DE28A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Y＜300</w:t>
            </w:r>
          </w:p>
        </w:tc>
      </w:tr>
      <w:tr w14:paraId="7F96193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08DD231">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2C0D63B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C19C8F1">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CD5494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6B4E693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045E9FA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Y＜300</w:t>
            </w:r>
          </w:p>
        </w:tc>
      </w:tr>
      <w:tr w14:paraId="0E2F4F5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EEA09D9">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2DF889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2395093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D469C4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3F8F35B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2342F4C4">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Z＜300</w:t>
            </w:r>
          </w:p>
        </w:tc>
      </w:tr>
      <w:tr w14:paraId="6F2F2DB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81C433B">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10A117EA">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D56E7DF">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F3413D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1DA92CD8">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23465D3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X＜5</w:t>
            </w:r>
          </w:p>
        </w:tc>
      </w:tr>
      <w:tr w14:paraId="589D495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25C3C00">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32F9AF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A9A19B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7BE9F34">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7081280E">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31D3A72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Y＜1000</w:t>
            </w:r>
          </w:p>
        </w:tc>
      </w:tr>
      <w:tr w14:paraId="63AA465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18573D0">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25149F5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2FDDB58">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1FD59A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5F8B6F7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42A40F84">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60F651A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C318E5F">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93F298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AAEFFC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26D18BD">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0F839FF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4E8E6C4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6039E7B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A2284A2">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2902C95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D7A72D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50CB45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1B7E98A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2BC657D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14:paraId="1C9D40F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9C1525A">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79D1EE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1A6B98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4EEDD68">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4BF5AE5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13AE014A">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Y＜200</w:t>
            </w:r>
          </w:p>
        </w:tc>
      </w:tr>
      <w:tr w14:paraId="02B1ED2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8ED0B1B">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25CC7FEA">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214EC8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841C1D5">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3D3E429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3B618C21">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14:paraId="05409E0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010F6F6">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E4B1AB4">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017547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83EB1FE">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61C97DF5">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7CB269B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7CCCD49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DF74DC9">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419D293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5D90ABF">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3C55C5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584D1DF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290B4E51">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14:paraId="0B88CB3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FA6ACD3">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591BA5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16DE1C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9D34664">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662D41C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6554ECCC">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29D5BFF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AC9DAA2">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62B3921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F1FFF6D">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3F48F6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8FC8A3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1CAACAA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7701413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08B140E">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027A5C8">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F0588B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3A67DA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60959B0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344BF1C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63758BB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54EE473">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01177E7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13ED4B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651E07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721BA5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179817F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33C40C3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C522809">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D24C33A">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0D2A31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E0FB7A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618713D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5013ACB1">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7F16142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2E11CEA">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510530A0">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E9BF318">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616B2B2">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00227AC5">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9A62744">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X＜10</w:t>
            </w:r>
          </w:p>
        </w:tc>
      </w:tr>
      <w:tr w14:paraId="1A487C3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B4A7F8A">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FF7849F">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CEE8ACD">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972FBF0">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4F0C353B">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11047B86">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Y＜100</w:t>
            </w:r>
          </w:p>
        </w:tc>
      </w:tr>
      <w:tr w14:paraId="7B8FACEC">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1A92E86">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17E96104">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3B17145">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D76E6F9">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EA4A1F2">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4DE7E3C0">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X＜10</w:t>
            </w:r>
          </w:p>
        </w:tc>
      </w:tr>
      <w:tr w14:paraId="6C485404">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FD74CFC">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7E4C8AE3">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71CF50E">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4871AA8">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3C4957BE">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6BC1E131">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Y＜50</w:t>
            </w:r>
          </w:p>
        </w:tc>
      </w:tr>
      <w:tr w14:paraId="4F92237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8F7D522">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328D00F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CC361AD">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90E11D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4E009565">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6CF0920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X＜100</w:t>
            </w:r>
          </w:p>
        </w:tc>
      </w:tr>
      <w:tr w14:paraId="04CCE5C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373D3B2">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CA87B7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6F7B6C2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E9FBA3E">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08D8643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3D6C96A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Y＜2000</w:t>
            </w:r>
          </w:p>
        </w:tc>
      </w:tr>
      <w:tr w14:paraId="171A7BC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28276BC">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6871C7D5">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07C7ED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4448218">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70AF7CE1">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4746ECD5">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X＜100</w:t>
            </w:r>
          </w:p>
        </w:tc>
      </w:tr>
      <w:tr w14:paraId="505DC538">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47C0C37">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72EA91D">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7D7958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22BC1F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0773F0D9">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1306716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Y＜500</w:t>
            </w:r>
          </w:p>
        </w:tc>
      </w:tr>
      <w:tr w14:paraId="27F8C147">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65E73E2">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76F4B0C6">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E1020DD">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FF9FBB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5186240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A681547">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14:paraId="10B4C2A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2B73F1B">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91761AA">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0434AD00">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43ABB4E">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48258452">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15CE660B">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14:paraId="6B2948D3">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27EB1D8C">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4FD20C54">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011AA95">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38F9FB8">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2A186833">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22F0236E">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bl>
    <w:p w14:paraId="1FF5B4C3">
      <w:pPr>
        <w:spacing w:line="360" w:lineRule="auto"/>
        <w:rPr>
          <w:rFonts w:hint="eastAsia" w:ascii="仿宋" w:hAnsi="仿宋" w:eastAsia="仿宋" w:cs="仿宋"/>
          <w:color w:val="auto"/>
          <w:sz w:val="24"/>
          <w:szCs w:val="24"/>
          <w:highlight w:val="none"/>
        </w:rPr>
      </w:pPr>
    </w:p>
    <w:p w14:paraId="5F67E293">
      <w:pPr>
        <w:snapToGrid w:val="0"/>
        <w:spacing w:line="336" w:lineRule="auto"/>
        <w:ind w:firstLine="482" w:firstLineChars="200"/>
        <w:contextualSpacing/>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说明：</w:t>
      </w:r>
      <w:r>
        <w:rPr>
          <w:rFonts w:hint="eastAsia" w:ascii="仿宋" w:hAnsi="仿宋" w:eastAsia="仿宋" w:cs="仿宋"/>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381C2BDC">
      <w:pPr>
        <w:snapToGrid w:val="0"/>
        <w:spacing w:line="336" w:lineRule="auto"/>
        <w:ind w:firstLine="480" w:firstLineChars="200"/>
        <w:contextualSpacing/>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所称中小企业，是指在中华人民共和国境内依法设立，依据国务院批准的</w:t>
      </w:r>
    </w:p>
    <w:p w14:paraId="6BCECAD8">
      <w:pPr>
        <w:snapToGrid w:val="0"/>
        <w:spacing w:line="336" w:lineRule="auto"/>
        <w:ind w:firstLine="480" w:firstLineChars="200"/>
        <w:contextualSpacing/>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规定的中小企业扶持政策：</w:t>
      </w:r>
    </w:p>
    <w:p w14:paraId="1CE4A998">
      <w:pPr>
        <w:snapToGrid w:val="0"/>
        <w:spacing w:line="336" w:lineRule="auto"/>
        <w:ind w:firstLine="480" w:firstLineChars="20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717878FB">
      <w:pPr>
        <w:snapToGrid w:val="0"/>
        <w:spacing w:line="336" w:lineRule="auto"/>
        <w:ind w:firstLine="480" w:firstLineChars="20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（2）在工程采购项目中，工程由中小企业承建，即工程施工单位为中小企业，不对其中涉及的货物的制造商和服务的承接商作出要求；</w:t>
      </w:r>
    </w:p>
    <w:p w14:paraId="5D655655">
      <w:pPr>
        <w:snapToGrid w:val="0"/>
        <w:spacing w:line="336" w:lineRule="auto"/>
        <w:ind w:firstLine="480" w:firstLineChars="20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4E2D946">
      <w:pPr>
        <w:snapToGrid w:val="0"/>
        <w:spacing w:line="336" w:lineRule="auto"/>
        <w:ind w:firstLine="480" w:firstLineChars="200"/>
        <w:contextualSpacing/>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2EB3B791">
      <w:pPr>
        <w:snapToGrid w:val="0"/>
        <w:spacing w:line="336" w:lineRule="auto"/>
        <w:ind w:firstLine="480" w:firstLineChars="200"/>
        <w:contextualSpacing/>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规定享受扶持政策获得政府采购合同的，小微企业不得将合同分包给大中型企业，中型企业不得将合同分包给大型企业。</w:t>
      </w:r>
    </w:p>
    <w:p w14:paraId="14E68E02">
      <w:pPr>
        <w:pStyle w:val="22"/>
        <w:rPr>
          <w:rFonts w:hint="eastAsia" w:ascii="仿宋" w:hAnsi="仿宋" w:eastAsia="仿宋" w:cs="仿宋"/>
          <w:b/>
          <w:bCs/>
          <w:color w:val="auto"/>
          <w:kern w:val="0"/>
          <w:sz w:val="21"/>
          <w:szCs w:val="21"/>
          <w:highlight w:val="none"/>
          <w:lang w:val="en-US" w:eastAsia="zh-CN"/>
        </w:rPr>
      </w:pPr>
    </w:p>
    <w:bookmarkEnd w:id="1161"/>
    <w:bookmarkEnd w:id="1162"/>
    <w:bookmarkEnd w:id="1163"/>
    <w:bookmarkEnd w:id="1164"/>
    <w:bookmarkEnd w:id="1165"/>
    <w:bookmarkEnd w:id="1166"/>
    <w:bookmarkEnd w:id="1167"/>
    <w:p w14:paraId="529DAE7F">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657B1479">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仿宋" w:hAnsi="仿宋" w:eastAsia="仿宋" w:cs="仿宋"/>
          <w:color w:val="auto"/>
          <w:sz w:val="28"/>
          <w:szCs w:val="28"/>
          <w:highlight w:val="none"/>
          <w:lang w:val="en-US" w:eastAsia="zh-CN"/>
        </w:rPr>
      </w:pPr>
      <w:bookmarkStart w:id="1168" w:name="_Toc2805"/>
      <w:bookmarkStart w:id="1169" w:name="_Toc4327"/>
      <w:r>
        <w:rPr>
          <w:rFonts w:hint="eastAsia" w:ascii="仿宋" w:hAnsi="仿宋" w:eastAsia="仿宋" w:cs="仿宋"/>
          <w:color w:val="auto"/>
          <w:sz w:val="28"/>
          <w:szCs w:val="28"/>
          <w:highlight w:val="none"/>
          <w:lang w:val="en-US" w:eastAsia="zh-CN"/>
        </w:rPr>
        <w:t>6-2 残疾人福利性单位声明函</w:t>
      </w:r>
      <w:bookmarkEnd w:id="1168"/>
      <w:bookmarkEnd w:id="1169"/>
    </w:p>
    <w:p w14:paraId="009EDB39">
      <w:pPr>
        <w:spacing w:line="400" w:lineRule="exact"/>
        <w:ind w:left="1080" w:leftChars="257" w:hanging="540"/>
        <w:jc w:val="center"/>
        <w:rPr>
          <w:rFonts w:hint="eastAsia" w:ascii="仿宋" w:hAnsi="仿宋" w:eastAsia="仿宋" w:cs="仿宋"/>
          <w:color w:val="auto"/>
          <w:kern w:val="0"/>
          <w:sz w:val="24"/>
          <w:highlight w:val="none"/>
        </w:rPr>
      </w:pPr>
    </w:p>
    <w:p w14:paraId="4F9D77DD">
      <w:pPr>
        <w:spacing w:line="400" w:lineRule="exact"/>
        <w:ind w:firstLine="56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仿宋" w:hAnsi="仿宋" w:eastAsia="仿宋" w:cs="仿宋"/>
          <w:color w:val="auto"/>
          <w:kern w:val="0"/>
          <w:sz w:val="24"/>
          <w:highlight w:val="none"/>
          <w:lang w:val="en-US" w:eastAsia="zh-CN"/>
        </w:rPr>
        <w:t>货物</w:t>
      </w:r>
      <w:r>
        <w:rPr>
          <w:rFonts w:hint="eastAsia" w:ascii="仿宋" w:hAnsi="仿宋" w:eastAsia="仿宋" w:cs="仿宋"/>
          <w:color w:val="auto"/>
          <w:kern w:val="0"/>
          <w:sz w:val="24"/>
          <w:highlight w:val="none"/>
        </w:rPr>
        <w:t>，或者提供其他残疾人福利性单位制造的</w:t>
      </w:r>
      <w:r>
        <w:rPr>
          <w:rFonts w:hint="eastAsia" w:ascii="仿宋" w:hAnsi="仿宋" w:eastAsia="仿宋" w:cs="仿宋"/>
          <w:color w:val="auto"/>
          <w:kern w:val="0"/>
          <w:sz w:val="24"/>
          <w:highlight w:val="none"/>
          <w:lang w:val="en-US" w:eastAsia="zh-CN"/>
        </w:rPr>
        <w:t>货物</w:t>
      </w:r>
      <w:r>
        <w:rPr>
          <w:rFonts w:hint="eastAsia" w:ascii="仿宋" w:hAnsi="仿宋" w:eastAsia="仿宋" w:cs="仿宋"/>
          <w:color w:val="auto"/>
          <w:kern w:val="0"/>
          <w:sz w:val="24"/>
          <w:highlight w:val="none"/>
        </w:rPr>
        <w:t>（不包括使用非残疾人福利性单位注册商标的</w:t>
      </w:r>
      <w:r>
        <w:rPr>
          <w:rFonts w:hint="eastAsia" w:ascii="仿宋" w:hAnsi="仿宋" w:eastAsia="仿宋" w:cs="仿宋"/>
          <w:color w:val="auto"/>
          <w:kern w:val="0"/>
          <w:sz w:val="24"/>
          <w:highlight w:val="none"/>
          <w:lang w:val="en-US" w:eastAsia="zh-CN"/>
        </w:rPr>
        <w:t>货物</w:t>
      </w:r>
      <w:r>
        <w:rPr>
          <w:rFonts w:hint="eastAsia" w:ascii="仿宋" w:hAnsi="仿宋" w:eastAsia="仿宋" w:cs="仿宋"/>
          <w:color w:val="auto"/>
          <w:kern w:val="0"/>
          <w:sz w:val="24"/>
          <w:highlight w:val="none"/>
        </w:rPr>
        <w:t>）。</w:t>
      </w:r>
    </w:p>
    <w:p w14:paraId="1561E275">
      <w:pPr>
        <w:spacing w:line="400" w:lineRule="exact"/>
        <w:ind w:left="1080" w:leftChars="257" w:hanging="54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本单位对上述声明的真实性负责。如有虚假，将依法承担相应责任。</w:t>
      </w:r>
    </w:p>
    <w:p w14:paraId="61769417">
      <w:pPr>
        <w:spacing w:line="400" w:lineRule="exact"/>
        <w:ind w:left="1080" w:leftChars="257" w:hanging="54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残疾人福利性单位名称（公章）：______________</w:t>
      </w:r>
    </w:p>
    <w:p w14:paraId="4F15AD97">
      <w:pPr>
        <w:spacing w:line="400" w:lineRule="exact"/>
        <w:ind w:left="1080" w:leftChars="257" w:hanging="540"/>
        <w:jc w:val="center"/>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u w:val="single" w:color="FFFFFF"/>
        </w:rPr>
        <w:t xml:space="preserve">       </w:t>
      </w:r>
      <w:r>
        <w:rPr>
          <w:rFonts w:hint="eastAsia" w:ascii="仿宋" w:hAnsi="仿宋" w:eastAsia="仿宋" w:cs="仿宋"/>
          <w:color w:val="auto"/>
          <w:kern w:val="0"/>
          <w:sz w:val="24"/>
          <w:highlight w:val="none"/>
        </w:rPr>
        <w:t>日  期：_____________________________________________</w:t>
      </w:r>
    </w:p>
    <w:p w14:paraId="50C64E84">
      <w:pPr>
        <w:pStyle w:val="29"/>
        <w:spacing w:line="400" w:lineRule="exact"/>
        <w:ind w:firstLine="480"/>
        <w:rPr>
          <w:rFonts w:hint="eastAsia" w:ascii="仿宋" w:hAnsi="仿宋" w:eastAsia="仿宋" w:cs="仿宋"/>
          <w:color w:val="auto"/>
          <w:highlight w:val="none"/>
        </w:rPr>
      </w:pPr>
    </w:p>
    <w:p w14:paraId="5720F4A4">
      <w:pPr>
        <w:pStyle w:val="29"/>
        <w:spacing w:line="400" w:lineRule="exact"/>
        <w:ind w:firstLine="480"/>
        <w:rPr>
          <w:rFonts w:hint="eastAsia" w:ascii="仿宋" w:hAnsi="仿宋" w:eastAsia="仿宋" w:cs="仿宋"/>
          <w:color w:val="auto"/>
          <w:highlight w:val="none"/>
        </w:rPr>
      </w:pPr>
    </w:p>
    <w:p w14:paraId="1C7573B5">
      <w:pPr>
        <w:pStyle w:val="6"/>
        <w:rPr>
          <w:rFonts w:hint="eastAsia" w:ascii="仿宋" w:hAnsi="仿宋" w:eastAsia="仿宋" w:cs="仿宋"/>
          <w:color w:val="auto"/>
          <w:highlight w:val="none"/>
        </w:rPr>
      </w:pPr>
    </w:p>
    <w:p w14:paraId="04E34089">
      <w:pPr>
        <w:pStyle w:val="8"/>
        <w:rPr>
          <w:rFonts w:hint="eastAsia" w:ascii="仿宋" w:hAnsi="仿宋" w:eastAsia="仿宋" w:cs="仿宋"/>
          <w:color w:val="auto"/>
          <w:highlight w:val="none"/>
        </w:rPr>
      </w:pPr>
    </w:p>
    <w:p w14:paraId="2F9E985D">
      <w:pPr>
        <w:rPr>
          <w:rFonts w:hint="eastAsia" w:ascii="仿宋" w:hAnsi="仿宋" w:eastAsia="仿宋" w:cs="仿宋"/>
          <w:color w:val="auto"/>
          <w:highlight w:val="none"/>
        </w:rPr>
      </w:pPr>
    </w:p>
    <w:p w14:paraId="244A835E">
      <w:pPr>
        <w:pStyle w:val="8"/>
        <w:rPr>
          <w:rFonts w:hint="eastAsia" w:ascii="仿宋" w:hAnsi="仿宋" w:eastAsia="仿宋" w:cs="仿宋"/>
          <w:color w:val="auto"/>
          <w:highlight w:val="none"/>
        </w:rPr>
      </w:pPr>
    </w:p>
    <w:p w14:paraId="299F899E">
      <w:pPr>
        <w:rPr>
          <w:rFonts w:hint="eastAsia" w:ascii="仿宋" w:hAnsi="仿宋" w:eastAsia="仿宋" w:cs="仿宋"/>
          <w:color w:val="auto"/>
          <w:highlight w:val="none"/>
        </w:rPr>
      </w:pPr>
    </w:p>
    <w:p w14:paraId="1352AF1E">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lang w:val="en-US" w:eastAsia="zh-CN"/>
        </w:rPr>
      </w:pPr>
      <w:bookmarkStart w:id="1170" w:name="_Toc5157"/>
      <w:bookmarkStart w:id="1171" w:name="_Toc19192"/>
      <w:r>
        <w:rPr>
          <w:rFonts w:hint="eastAsia" w:ascii="仿宋" w:hAnsi="仿宋" w:eastAsia="仿宋" w:cs="仿宋"/>
          <w:color w:val="auto"/>
          <w:sz w:val="28"/>
          <w:szCs w:val="28"/>
          <w:highlight w:val="none"/>
          <w:lang w:val="en-US" w:eastAsia="zh-CN"/>
        </w:rPr>
        <w:t>7.供应商关联单位的说明（格式自拟）</w:t>
      </w:r>
      <w:bookmarkEnd w:id="1170"/>
      <w:bookmarkEnd w:id="1171"/>
    </w:p>
    <w:p w14:paraId="4688EE05">
      <w:pPr>
        <w:pStyle w:val="6"/>
        <w:spacing w:line="400" w:lineRule="exact"/>
        <w:jc w:val="center"/>
        <w:rPr>
          <w:rFonts w:hint="eastAsia" w:ascii="仿宋" w:hAnsi="仿宋" w:eastAsia="仿宋" w:cs="仿宋"/>
          <w:color w:val="auto"/>
          <w:szCs w:val="24"/>
          <w:highlight w:val="none"/>
        </w:rPr>
      </w:pPr>
    </w:p>
    <w:p w14:paraId="65493D1D">
      <w:pPr>
        <w:pStyle w:val="6"/>
        <w:spacing w:line="40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说明：供应商应当如实披露与本单位存在下列关联关系的单位名称：</w:t>
      </w:r>
    </w:p>
    <w:p w14:paraId="0233DA50">
      <w:pPr>
        <w:pStyle w:val="6"/>
        <w:spacing w:line="400" w:lineRule="exact"/>
        <w:ind w:firstLine="960" w:firstLineChars="4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（1）与供应商单位负责人为同一人的其他单位；</w:t>
      </w:r>
    </w:p>
    <w:p w14:paraId="426C9D7B">
      <w:pPr>
        <w:pStyle w:val="6"/>
        <w:spacing w:line="40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（2）与供应商存在直接控股、管理关系的其他单位。</w:t>
      </w:r>
    </w:p>
    <w:p w14:paraId="1B8C11A9">
      <w:pPr>
        <w:pStyle w:val="8"/>
        <w:rPr>
          <w:rFonts w:hint="eastAsia" w:ascii="仿宋" w:hAnsi="仿宋" w:eastAsia="仿宋" w:cs="仿宋"/>
          <w:color w:val="auto"/>
          <w:highlight w:val="none"/>
        </w:rPr>
      </w:pPr>
    </w:p>
    <w:p w14:paraId="17D0059A">
      <w:pPr>
        <w:pStyle w:val="22"/>
        <w:rPr>
          <w:rFonts w:hint="eastAsia" w:ascii="仿宋" w:hAnsi="仿宋" w:eastAsia="仿宋" w:cs="仿宋"/>
          <w:b/>
          <w:color w:val="auto"/>
          <w:kern w:val="0"/>
          <w:sz w:val="24"/>
          <w:highlight w:val="none"/>
        </w:rPr>
      </w:pPr>
    </w:p>
    <w:p w14:paraId="57E4386C">
      <w:pPr>
        <w:pStyle w:val="22"/>
        <w:rPr>
          <w:rFonts w:hint="eastAsia" w:ascii="仿宋" w:hAnsi="仿宋" w:eastAsia="仿宋" w:cs="仿宋"/>
          <w:b/>
          <w:color w:val="auto"/>
          <w:kern w:val="0"/>
          <w:sz w:val="24"/>
          <w:highlight w:val="none"/>
        </w:rPr>
      </w:pPr>
    </w:p>
    <w:p w14:paraId="483DF8A9">
      <w:pPr>
        <w:pStyle w:val="22"/>
        <w:rPr>
          <w:rFonts w:hint="eastAsia" w:ascii="仿宋" w:hAnsi="仿宋" w:eastAsia="仿宋" w:cs="仿宋"/>
          <w:b/>
          <w:color w:val="auto"/>
          <w:kern w:val="0"/>
          <w:sz w:val="24"/>
          <w:highlight w:val="none"/>
        </w:rPr>
      </w:pPr>
    </w:p>
    <w:p w14:paraId="1117E468">
      <w:pPr>
        <w:pStyle w:val="22"/>
        <w:rPr>
          <w:rFonts w:hint="eastAsia" w:ascii="仿宋" w:hAnsi="仿宋" w:eastAsia="仿宋" w:cs="仿宋"/>
          <w:b/>
          <w:color w:val="auto"/>
          <w:kern w:val="0"/>
          <w:sz w:val="24"/>
          <w:highlight w:val="none"/>
        </w:rPr>
      </w:pPr>
    </w:p>
    <w:p w14:paraId="41339C1C">
      <w:pPr>
        <w:pStyle w:val="22"/>
        <w:rPr>
          <w:rFonts w:hint="eastAsia" w:ascii="仿宋" w:hAnsi="仿宋" w:eastAsia="仿宋" w:cs="仿宋"/>
          <w:b/>
          <w:color w:val="auto"/>
          <w:kern w:val="0"/>
          <w:sz w:val="24"/>
          <w:highlight w:val="none"/>
        </w:rPr>
      </w:pPr>
    </w:p>
    <w:p w14:paraId="3B06D70A">
      <w:pPr>
        <w:pStyle w:val="22"/>
        <w:rPr>
          <w:rFonts w:hint="eastAsia" w:ascii="仿宋" w:hAnsi="仿宋" w:eastAsia="仿宋" w:cs="仿宋"/>
          <w:b/>
          <w:color w:val="auto"/>
          <w:kern w:val="0"/>
          <w:sz w:val="24"/>
          <w:highlight w:val="none"/>
        </w:rPr>
      </w:pPr>
    </w:p>
    <w:p w14:paraId="14D6C017">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lang w:val="en-US" w:eastAsia="zh-CN"/>
        </w:rPr>
      </w:pPr>
      <w:bookmarkStart w:id="1172" w:name="_Toc29994"/>
      <w:bookmarkStart w:id="1173" w:name="_Toc10519"/>
      <w:r>
        <w:rPr>
          <w:rFonts w:hint="eastAsia" w:ascii="仿宋" w:hAnsi="仿宋" w:eastAsia="仿宋" w:cs="仿宋"/>
          <w:color w:val="auto"/>
          <w:sz w:val="28"/>
          <w:szCs w:val="28"/>
          <w:highlight w:val="none"/>
          <w:lang w:val="en-US" w:eastAsia="zh-CN"/>
        </w:rPr>
        <w:t>8.供应商可提供有利于投标的其他证明材料</w:t>
      </w:r>
      <w:bookmarkEnd w:id="1172"/>
      <w:bookmarkEnd w:id="1173"/>
    </w:p>
    <w:p w14:paraId="090DB372">
      <w:pPr>
        <w:pStyle w:val="6"/>
        <w:ind w:left="0" w:leftChars="0" w:firstLine="0" w:firstLineChars="0"/>
        <w:rPr>
          <w:rFonts w:hint="eastAsia" w:ascii="仿宋" w:hAnsi="仿宋" w:eastAsia="仿宋" w:cs="仿宋"/>
          <w:color w:val="auto"/>
          <w:sz w:val="24"/>
          <w:highlight w:val="none"/>
        </w:rPr>
      </w:pPr>
    </w:p>
    <w:p w14:paraId="6393D3EE">
      <w:pPr>
        <w:pStyle w:val="8"/>
        <w:rPr>
          <w:rFonts w:hint="eastAsia" w:ascii="仿宋" w:hAnsi="仿宋" w:eastAsia="仿宋" w:cs="仿宋"/>
          <w:color w:val="auto"/>
          <w:sz w:val="24"/>
          <w:highlight w:val="none"/>
        </w:rPr>
      </w:pPr>
    </w:p>
    <w:p w14:paraId="024ACBAA">
      <w:pPr>
        <w:rPr>
          <w:rFonts w:hint="eastAsia" w:ascii="仿宋" w:hAnsi="仿宋" w:eastAsia="仿宋" w:cs="仿宋"/>
          <w:color w:val="auto"/>
          <w:sz w:val="24"/>
          <w:highlight w:val="none"/>
        </w:rPr>
      </w:pPr>
    </w:p>
    <w:p w14:paraId="1B75924D">
      <w:pPr>
        <w:pStyle w:val="22"/>
        <w:rPr>
          <w:rFonts w:hint="eastAsia" w:ascii="仿宋" w:hAnsi="仿宋" w:eastAsia="仿宋" w:cs="仿宋"/>
          <w:color w:val="auto"/>
          <w:sz w:val="24"/>
          <w:highlight w:val="none"/>
        </w:rPr>
      </w:pPr>
    </w:p>
    <w:p w14:paraId="5CA7BC79">
      <w:pPr>
        <w:pStyle w:val="22"/>
        <w:rPr>
          <w:rFonts w:hint="eastAsia" w:ascii="仿宋" w:hAnsi="仿宋" w:eastAsia="仿宋" w:cs="仿宋"/>
          <w:color w:val="auto"/>
          <w:sz w:val="24"/>
          <w:highlight w:val="none"/>
        </w:rPr>
      </w:pPr>
    </w:p>
    <w:p w14:paraId="7C738C08">
      <w:pPr>
        <w:pStyle w:val="22"/>
        <w:rPr>
          <w:rFonts w:hint="eastAsia" w:ascii="仿宋" w:hAnsi="仿宋" w:eastAsia="仿宋" w:cs="仿宋"/>
          <w:color w:val="auto"/>
          <w:sz w:val="24"/>
          <w:highlight w:val="none"/>
        </w:rPr>
      </w:pPr>
    </w:p>
    <w:p w14:paraId="6018A433">
      <w:pPr>
        <w:pStyle w:val="3"/>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仿宋" w:hAnsi="仿宋" w:eastAsia="仿宋" w:cs="仿宋"/>
          <w:color w:val="auto"/>
          <w:sz w:val="28"/>
          <w:szCs w:val="28"/>
          <w:highlight w:val="none"/>
          <w:lang w:val="en-US" w:eastAsia="zh-CN"/>
        </w:rPr>
      </w:pPr>
      <w:bookmarkStart w:id="1174" w:name="_Toc17398"/>
      <w:bookmarkStart w:id="1175" w:name="_Toc11"/>
      <w:r>
        <w:rPr>
          <w:rFonts w:hint="eastAsia" w:ascii="仿宋" w:hAnsi="仿宋" w:eastAsia="仿宋" w:cs="仿宋"/>
          <w:color w:val="auto"/>
          <w:sz w:val="28"/>
          <w:szCs w:val="28"/>
          <w:highlight w:val="none"/>
          <w:lang w:val="en-US" w:eastAsia="zh-CN"/>
        </w:rPr>
        <w:t>9.投标文件格式范本</w:t>
      </w:r>
      <w:bookmarkEnd w:id="1174"/>
      <w:bookmarkEnd w:id="1175"/>
    </w:p>
    <w:tbl>
      <w:tblPr>
        <w:tblStyle w:val="30"/>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774A431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14:paraId="771CC1B9">
            <w:pPr>
              <w:pStyle w:val="11"/>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w:t>
            </w:r>
          </w:p>
          <w:p w14:paraId="3B767D96">
            <w:pPr>
              <w:pStyle w:val="11"/>
              <w:ind w:firstLine="4216" w:firstLineChars="1500"/>
              <w:rPr>
                <w:rFonts w:hint="eastAsia" w:ascii="仿宋" w:hAnsi="仿宋" w:eastAsia="仿宋" w:cs="仿宋"/>
                <w:b/>
                <w:bCs/>
                <w:color w:val="auto"/>
                <w:sz w:val="28"/>
                <w:szCs w:val="28"/>
                <w:highlight w:val="none"/>
              </w:rPr>
            </w:pPr>
          </w:p>
          <w:p w14:paraId="41F7AF6F">
            <w:pPr>
              <w:pStyle w:val="11"/>
              <w:ind w:firstLine="4216" w:firstLineChars="1500"/>
              <w:rPr>
                <w:rFonts w:hint="eastAsia" w:ascii="仿宋" w:hAnsi="仿宋" w:eastAsia="仿宋" w:cs="仿宋"/>
                <w:b/>
                <w:bCs/>
                <w:color w:val="auto"/>
                <w:sz w:val="28"/>
                <w:szCs w:val="28"/>
                <w:highlight w:val="none"/>
              </w:rPr>
            </w:pPr>
          </w:p>
          <w:p w14:paraId="51523B07">
            <w:pPr>
              <w:pStyle w:val="11"/>
              <w:rPr>
                <w:rFonts w:hint="eastAsia" w:ascii="仿宋" w:hAnsi="仿宋" w:eastAsia="仿宋" w:cs="仿宋"/>
                <w:b/>
                <w:bCs/>
                <w:color w:val="auto"/>
                <w:sz w:val="28"/>
                <w:szCs w:val="28"/>
                <w:highlight w:val="none"/>
              </w:rPr>
            </w:pPr>
          </w:p>
          <w:p w14:paraId="4825A594">
            <w:pPr>
              <w:pStyle w:val="11"/>
              <w:ind w:firstLine="1897" w:firstLineChars="900"/>
              <w:rPr>
                <w:rFonts w:hint="eastAsia" w:ascii="仿宋" w:hAnsi="仿宋" w:eastAsia="仿宋" w:cs="仿宋"/>
                <w:b/>
                <w:bCs/>
                <w:color w:val="auto"/>
                <w:sz w:val="28"/>
                <w:szCs w:val="28"/>
                <w:highlight w:val="none"/>
              </w:rPr>
            </w:pP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8"/>
                <w:szCs w:val="28"/>
                <w:highlight w:val="none"/>
              </w:rPr>
              <w:t>项目</w:t>
            </w:r>
          </w:p>
          <w:p w14:paraId="1DC64046">
            <w:pPr>
              <w:pStyle w:val="11"/>
              <w:jc w:val="center"/>
              <w:rPr>
                <w:rFonts w:hint="eastAsia" w:ascii="仿宋" w:hAnsi="仿宋" w:eastAsia="仿宋" w:cs="仿宋"/>
                <w:b/>
                <w:bCs/>
                <w:color w:val="auto"/>
                <w:sz w:val="21"/>
                <w:szCs w:val="21"/>
                <w:highlight w:val="none"/>
              </w:rPr>
            </w:pPr>
          </w:p>
          <w:p w14:paraId="136F9DF1">
            <w:pPr>
              <w:rPr>
                <w:rFonts w:hint="eastAsia" w:ascii="仿宋" w:hAnsi="仿宋" w:eastAsia="仿宋" w:cs="仿宋"/>
                <w:color w:val="auto"/>
                <w:highlight w:val="none"/>
              </w:rPr>
            </w:pPr>
          </w:p>
          <w:p w14:paraId="2F7D2F21">
            <w:pPr>
              <w:pStyle w:val="11"/>
              <w:ind w:firstLine="2741" w:firstLineChars="13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项目</w:t>
            </w:r>
            <w:r>
              <w:rPr>
                <w:rFonts w:hint="eastAsia" w:ascii="仿宋" w:hAnsi="仿宋" w:eastAsia="仿宋" w:cs="仿宋"/>
                <w:b/>
                <w:bCs/>
                <w:color w:val="auto"/>
                <w:sz w:val="21"/>
                <w:szCs w:val="21"/>
                <w:highlight w:val="none"/>
              </w:rPr>
              <w:t>编号 ＊＊＊      包号：＊＊＊</w:t>
            </w:r>
          </w:p>
          <w:p w14:paraId="08788B5A">
            <w:pPr>
              <w:pStyle w:val="11"/>
              <w:jc w:val="center"/>
              <w:rPr>
                <w:rFonts w:hint="eastAsia" w:ascii="仿宋" w:hAnsi="仿宋" w:eastAsia="仿宋" w:cs="仿宋"/>
                <w:b/>
                <w:bCs/>
                <w:color w:val="auto"/>
                <w:sz w:val="48"/>
                <w:highlight w:val="none"/>
              </w:rPr>
            </w:pPr>
          </w:p>
          <w:p w14:paraId="42043AF2">
            <w:pPr>
              <w:pStyle w:val="11"/>
              <w:jc w:val="center"/>
              <w:rPr>
                <w:rFonts w:hint="eastAsia" w:ascii="仿宋" w:hAnsi="仿宋" w:eastAsia="仿宋" w:cs="仿宋"/>
                <w:b/>
                <w:bCs/>
                <w:color w:val="auto"/>
                <w:sz w:val="48"/>
                <w:highlight w:val="none"/>
              </w:rPr>
            </w:pPr>
            <w:r>
              <w:rPr>
                <w:rFonts w:hint="eastAsia" w:ascii="仿宋" w:hAnsi="仿宋" w:eastAsia="仿宋" w:cs="仿宋"/>
                <w:b/>
                <w:bCs/>
                <w:color w:val="auto"/>
                <w:sz w:val="48"/>
                <w:highlight w:val="none"/>
              </w:rPr>
              <w:t>投 标 文 件</w:t>
            </w:r>
          </w:p>
          <w:p w14:paraId="059DA503">
            <w:pPr>
              <w:pStyle w:val="6"/>
              <w:ind w:firstLine="0"/>
              <w:rPr>
                <w:rFonts w:hint="eastAsia" w:ascii="仿宋" w:hAnsi="仿宋" w:eastAsia="仿宋" w:cs="仿宋"/>
                <w:b/>
                <w:color w:val="auto"/>
                <w:sz w:val="32"/>
                <w:highlight w:val="none"/>
              </w:rPr>
            </w:pPr>
          </w:p>
          <w:p w14:paraId="1292C622">
            <w:pPr>
              <w:pStyle w:val="6"/>
              <w:rPr>
                <w:rFonts w:hint="eastAsia" w:ascii="仿宋" w:hAnsi="仿宋" w:eastAsia="仿宋" w:cs="仿宋"/>
                <w:b/>
                <w:color w:val="auto"/>
                <w:sz w:val="32"/>
                <w:highlight w:val="none"/>
              </w:rPr>
            </w:pPr>
          </w:p>
          <w:p w14:paraId="0D3B4217">
            <w:pPr>
              <w:spacing w:line="360" w:lineRule="auto"/>
              <w:ind w:left="176" w:leftChars="84" w:firstLine="1260" w:firstLineChars="6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应</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（公章）</w:t>
            </w:r>
          </w:p>
          <w:p w14:paraId="5D6CB778">
            <w:pPr>
              <w:spacing w:line="360" w:lineRule="auto"/>
              <w:ind w:left="176" w:leftChars="84" w:firstLine="1260" w:firstLineChars="6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xml:space="preserve">                                       </w:t>
            </w:r>
          </w:p>
          <w:p w14:paraId="478A67B7">
            <w:pPr>
              <w:spacing w:line="360" w:lineRule="auto"/>
              <w:ind w:left="176" w:leftChars="84" w:firstLine="1260" w:firstLineChars="6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p>
          <w:p w14:paraId="0B274E53">
            <w:pPr>
              <w:spacing w:line="360" w:lineRule="auto"/>
              <w:ind w:left="176" w:leftChars="84" w:firstLine="1260" w:firstLineChars="6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联 系 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5405FA79">
            <w:pPr>
              <w:spacing w:line="360" w:lineRule="auto"/>
              <w:ind w:left="176" w:leftChars="84" w:firstLine="1260" w:firstLineChars="6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u w:val="single"/>
              </w:rPr>
              <w:t xml:space="preserve">                                       </w:t>
            </w:r>
          </w:p>
          <w:p w14:paraId="529E3026">
            <w:pPr>
              <w:spacing w:line="360" w:lineRule="auto"/>
              <w:ind w:left="176" w:leftChars="84" w:firstLine="1260" w:firstLineChars="600"/>
              <w:rPr>
                <w:rFonts w:hint="eastAsia" w:ascii="仿宋" w:hAnsi="仿宋" w:eastAsia="仿宋" w:cs="仿宋"/>
                <w:b/>
                <w:bCs/>
                <w:color w:val="auto"/>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p>
          <w:p w14:paraId="73B2CD58">
            <w:pPr>
              <w:jc w:val="center"/>
              <w:rPr>
                <w:rFonts w:hint="eastAsia" w:ascii="仿宋" w:hAnsi="仿宋" w:eastAsia="仿宋" w:cs="仿宋"/>
                <w:b/>
                <w:bCs/>
                <w:color w:val="auto"/>
                <w:highlight w:val="none"/>
              </w:rPr>
            </w:pPr>
          </w:p>
          <w:p w14:paraId="5B77ECB8">
            <w:pPr>
              <w:pStyle w:val="6"/>
              <w:rPr>
                <w:rFonts w:hint="eastAsia" w:ascii="仿宋" w:hAnsi="仿宋" w:eastAsia="仿宋" w:cs="仿宋"/>
                <w:color w:val="auto"/>
                <w:highlight w:val="none"/>
              </w:rPr>
            </w:pPr>
          </w:p>
          <w:p w14:paraId="1860B922">
            <w:pPr>
              <w:jc w:val="center"/>
              <w:rPr>
                <w:rFonts w:hint="eastAsia" w:ascii="仿宋" w:hAnsi="仿宋" w:eastAsia="仿宋" w:cs="仿宋"/>
                <w:b/>
                <w:bCs/>
                <w:color w:val="auto"/>
                <w:highlight w:val="none"/>
              </w:rPr>
            </w:pPr>
          </w:p>
          <w:p w14:paraId="2F69F75D">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注：在202</w:t>
            </w:r>
            <w:r>
              <w:rPr>
                <w:rFonts w:hint="eastAsia" w:ascii="仿宋" w:hAnsi="仿宋" w:eastAsia="仿宋" w:cs="仿宋"/>
                <w:b/>
                <w:bCs/>
                <w:color w:val="auto"/>
                <w:highlight w:val="none"/>
                <w:lang w:val="en-US" w:eastAsia="zh-CN"/>
              </w:rPr>
              <w:t>5</w:t>
            </w:r>
            <w:r>
              <w:rPr>
                <w:rFonts w:hint="eastAsia" w:ascii="仿宋" w:hAnsi="仿宋" w:eastAsia="仿宋" w:cs="仿宋"/>
                <w:b/>
                <w:bCs/>
                <w:color w:val="auto"/>
                <w:highlight w:val="none"/>
              </w:rPr>
              <w:t>年</w:t>
            </w:r>
            <w:r>
              <w:rPr>
                <w:rFonts w:hint="eastAsia" w:ascii="仿宋" w:hAnsi="仿宋" w:eastAsia="仿宋" w:cs="仿宋"/>
                <w:b/>
                <w:bCs/>
                <w:color w:val="auto"/>
                <w:sz w:val="21"/>
                <w:szCs w:val="21"/>
                <w:highlight w:val="none"/>
              </w:rPr>
              <w:t>＊</w:t>
            </w:r>
            <w:r>
              <w:rPr>
                <w:rFonts w:hint="eastAsia" w:ascii="仿宋" w:hAnsi="仿宋" w:eastAsia="仿宋" w:cs="仿宋"/>
                <w:b/>
                <w:bCs/>
                <w:color w:val="auto"/>
                <w:highlight w:val="none"/>
              </w:rPr>
              <w:t>月</w:t>
            </w:r>
            <w:r>
              <w:rPr>
                <w:rFonts w:hint="eastAsia" w:ascii="仿宋" w:hAnsi="仿宋" w:eastAsia="仿宋" w:cs="仿宋"/>
                <w:b/>
                <w:bCs/>
                <w:color w:val="auto"/>
                <w:sz w:val="21"/>
                <w:szCs w:val="21"/>
                <w:highlight w:val="none"/>
              </w:rPr>
              <w:t>＊</w:t>
            </w:r>
            <w:r>
              <w:rPr>
                <w:rFonts w:hint="eastAsia" w:ascii="仿宋" w:hAnsi="仿宋" w:eastAsia="仿宋" w:cs="仿宋"/>
                <w:b/>
                <w:bCs/>
                <w:color w:val="auto"/>
                <w:highlight w:val="none"/>
              </w:rPr>
              <w:t>日</w:t>
            </w:r>
            <w:r>
              <w:rPr>
                <w:rFonts w:hint="eastAsia" w:ascii="仿宋" w:hAnsi="仿宋" w:eastAsia="仿宋" w:cs="仿宋"/>
                <w:b/>
                <w:bCs/>
                <w:color w:val="auto"/>
                <w:sz w:val="21"/>
                <w:szCs w:val="21"/>
                <w:highlight w:val="none"/>
              </w:rPr>
              <w:t>＊</w:t>
            </w:r>
            <w:r>
              <w:rPr>
                <w:rFonts w:hint="eastAsia" w:ascii="仿宋" w:hAnsi="仿宋" w:eastAsia="仿宋" w:cs="仿宋"/>
                <w:b/>
                <w:bCs/>
                <w:color w:val="auto"/>
                <w:highlight w:val="none"/>
              </w:rPr>
              <w:t>午</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时</w:t>
            </w:r>
            <w:r>
              <w:rPr>
                <w:rFonts w:hint="eastAsia" w:ascii="仿宋" w:hAnsi="仿宋" w:eastAsia="仿宋" w:cs="仿宋"/>
                <w:b/>
                <w:bCs/>
                <w:color w:val="auto"/>
                <w:sz w:val="21"/>
                <w:szCs w:val="21"/>
                <w:highlight w:val="none"/>
              </w:rPr>
              <w:t>＊＊</w:t>
            </w:r>
            <w:r>
              <w:rPr>
                <w:rFonts w:hint="eastAsia" w:ascii="仿宋" w:hAnsi="仿宋" w:eastAsia="仿宋" w:cs="仿宋"/>
                <w:b/>
                <w:bCs/>
                <w:color w:val="auto"/>
                <w:sz w:val="21"/>
                <w:szCs w:val="21"/>
                <w:highlight w:val="none"/>
                <w:lang w:val="en-US" w:eastAsia="zh-CN"/>
              </w:rPr>
              <w:t>分</w:t>
            </w:r>
            <w:r>
              <w:rPr>
                <w:rFonts w:hint="eastAsia" w:ascii="仿宋" w:hAnsi="仿宋" w:eastAsia="仿宋" w:cs="仿宋"/>
                <w:b/>
                <w:bCs/>
                <w:color w:val="auto"/>
                <w:highlight w:val="none"/>
              </w:rPr>
              <w:t>之前不得启封</w:t>
            </w:r>
          </w:p>
          <w:p w14:paraId="55A8D942">
            <w:pPr>
              <w:jc w:val="center"/>
              <w:rPr>
                <w:rFonts w:hint="eastAsia" w:ascii="仿宋" w:hAnsi="仿宋" w:eastAsia="仿宋" w:cs="仿宋"/>
                <w:b/>
                <w:bCs/>
                <w:color w:val="auto"/>
                <w:highlight w:val="none"/>
              </w:rPr>
            </w:pPr>
          </w:p>
        </w:tc>
      </w:tr>
    </w:tbl>
    <w:p w14:paraId="7D927F39">
      <w:pPr>
        <w:spacing w:line="240" w:lineRule="atLeast"/>
        <w:jc w:val="center"/>
        <w:rPr>
          <w:rFonts w:hint="eastAsia" w:ascii="仿宋" w:hAnsi="仿宋" w:eastAsia="仿宋" w:cs="仿宋"/>
          <w:b/>
          <w:color w:val="auto"/>
          <w:sz w:val="32"/>
          <w:highlight w:val="none"/>
        </w:rPr>
      </w:pPr>
    </w:p>
    <w:p w14:paraId="52089F2D">
      <w:pPr>
        <w:spacing w:line="240" w:lineRule="atLeast"/>
        <w:jc w:val="center"/>
        <w:rPr>
          <w:rFonts w:hint="eastAsia" w:ascii="仿宋" w:hAnsi="仿宋" w:eastAsia="仿宋" w:cs="仿宋"/>
          <w:b/>
          <w:color w:val="auto"/>
          <w:sz w:val="32"/>
          <w:highlight w:val="none"/>
        </w:rPr>
      </w:pPr>
    </w:p>
    <w:p w14:paraId="6BE1C7C3">
      <w:pPr>
        <w:spacing w:line="240" w:lineRule="atLeast"/>
        <w:jc w:val="center"/>
        <w:rPr>
          <w:rFonts w:hint="eastAsia" w:ascii="仿宋" w:hAnsi="仿宋" w:eastAsia="仿宋" w:cs="仿宋"/>
          <w:b/>
          <w:color w:val="auto"/>
          <w:sz w:val="44"/>
          <w:szCs w:val="44"/>
          <w:highlight w:val="none"/>
        </w:rPr>
      </w:pPr>
    </w:p>
    <w:p w14:paraId="22CF6653">
      <w:pPr>
        <w:spacing w:line="240" w:lineRule="atLeast"/>
        <w:jc w:val="center"/>
        <w:rPr>
          <w:rFonts w:hint="eastAsia" w:ascii="仿宋" w:hAnsi="仿宋" w:eastAsia="仿宋" w:cs="仿宋"/>
          <w:b/>
          <w:color w:val="auto"/>
          <w:sz w:val="44"/>
          <w:szCs w:val="44"/>
          <w:highlight w:val="none"/>
        </w:rPr>
      </w:pPr>
    </w:p>
    <w:p w14:paraId="7C14DDC2">
      <w:pPr>
        <w:spacing w:line="240" w:lineRule="atLeast"/>
        <w:rPr>
          <w:rFonts w:hint="eastAsia" w:ascii="仿宋" w:hAnsi="仿宋" w:eastAsia="仿宋" w:cs="仿宋"/>
          <w:b/>
          <w:color w:val="auto"/>
          <w:sz w:val="44"/>
          <w:szCs w:val="44"/>
          <w:highlight w:val="none"/>
        </w:rPr>
      </w:pPr>
    </w:p>
    <w:p w14:paraId="44E4B0E3">
      <w:pPr>
        <w:spacing w:line="240" w:lineRule="atLeast"/>
        <w:jc w:val="center"/>
        <w:outlineLvl w:val="9"/>
        <w:rPr>
          <w:rFonts w:hint="eastAsia" w:ascii="仿宋" w:hAnsi="仿宋" w:eastAsia="仿宋" w:cs="仿宋"/>
          <w:b/>
          <w:color w:val="auto"/>
          <w:sz w:val="44"/>
          <w:szCs w:val="44"/>
          <w:highlight w:val="none"/>
        </w:rPr>
      </w:pPr>
    </w:p>
    <w:p w14:paraId="157622CB">
      <w:pPr>
        <w:pStyle w:val="8"/>
        <w:outlineLvl w:val="9"/>
        <w:rPr>
          <w:rFonts w:hint="eastAsia" w:ascii="仿宋" w:hAnsi="仿宋" w:eastAsia="仿宋" w:cs="仿宋"/>
          <w:b/>
          <w:color w:val="auto"/>
          <w:sz w:val="44"/>
          <w:szCs w:val="44"/>
          <w:highlight w:val="none"/>
        </w:rPr>
      </w:pPr>
    </w:p>
    <w:p w14:paraId="71C0FB30">
      <w:pPr>
        <w:outlineLvl w:val="9"/>
        <w:rPr>
          <w:rFonts w:hint="eastAsia" w:ascii="仿宋" w:hAnsi="仿宋" w:eastAsia="仿宋" w:cs="仿宋"/>
          <w:b/>
          <w:color w:val="auto"/>
          <w:sz w:val="44"/>
          <w:szCs w:val="44"/>
          <w:highlight w:val="none"/>
        </w:rPr>
      </w:pPr>
    </w:p>
    <w:p w14:paraId="3C1BCD95">
      <w:pPr>
        <w:outlineLvl w:val="9"/>
        <w:rPr>
          <w:rFonts w:hint="eastAsia" w:ascii="仿宋" w:hAnsi="仿宋" w:eastAsia="仿宋" w:cs="仿宋"/>
          <w:color w:val="auto"/>
          <w:highlight w:val="none"/>
        </w:rPr>
      </w:pPr>
    </w:p>
    <w:p w14:paraId="1650A6DD">
      <w:pPr>
        <w:pStyle w:val="22"/>
        <w:rPr>
          <w:rFonts w:hint="eastAsia" w:ascii="仿宋" w:hAnsi="仿宋" w:eastAsia="仿宋" w:cs="仿宋"/>
          <w:color w:val="auto"/>
          <w:highlight w:val="none"/>
        </w:rPr>
      </w:pPr>
    </w:p>
    <w:p w14:paraId="6767E1C4">
      <w:pPr>
        <w:spacing w:line="240" w:lineRule="atLeas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招 标 文 件</w:t>
      </w:r>
    </w:p>
    <w:p w14:paraId="01FA08F4">
      <w:pPr>
        <w:spacing w:line="360" w:lineRule="auto"/>
        <w:rPr>
          <w:rFonts w:hint="eastAsia" w:ascii="仿宋" w:hAnsi="仿宋" w:eastAsia="仿宋" w:cs="仿宋"/>
          <w:b/>
          <w:color w:val="auto"/>
          <w:sz w:val="40"/>
          <w:szCs w:val="40"/>
          <w:highlight w:val="none"/>
        </w:rPr>
      </w:pPr>
      <w:bookmarkStart w:id="1176" w:name="_Toc24900_WPSOffice_Level2"/>
    </w:p>
    <w:p w14:paraId="6ECF44CE">
      <w:pPr>
        <w:spacing w:line="240" w:lineRule="atLeast"/>
        <w:jc w:val="center"/>
        <w:rPr>
          <w:rFonts w:hint="default" w:ascii="仿宋" w:hAnsi="仿宋" w:eastAsia="仿宋" w:cs="仿宋"/>
          <w:b/>
          <w:color w:val="000000" w:themeColor="text1"/>
          <w:sz w:val="40"/>
          <w:szCs w:val="40"/>
          <w:highlight w:val="none"/>
          <w:lang w:val="en-US" w:eastAsia="zh-CN"/>
          <w14:textFill>
            <w14:solidFill>
              <w14:schemeClr w14:val="tx1"/>
            </w14:solidFill>
          </w14:textFill>
        </w:rPr>
      </w:pPr>
      <w:r>
        <w:rPr>
          <w:rFonts w:hint="eastAsia" w:ascii="仿宋" w:hAnsi="仿宋" w:eastAsia="仿宋" w:cs="仿宋"/>
          <w:b/>
          <w:color w:val="000000" w:themeColor="text1"/>
          <w:sz w:val="40"/>
          <w:szCs w:val="40"/>
          <w:highlight w:val="none"/>
          <w14:textFill>
            <w14:solidFill>
              <w14:schemeClr w14:val="tx1"/>
            </w14:solidFill>
          </w14:textFill>
        </w:rPr>
        <w:t>项目编号</w:t>
      </w:r>
      <w:bookmarkEnd w:id="1176"/>
      <w:r>
        <w:rPr>
          <w:rFonts w:hint="eastAsia" w:ascii="仿宋" w:hAnsi="仿宋" w:eastAsia="仿宋" w:cs="仿宋"/>
          <w:b/>
          <w:color w:val="000000" w:themeColor="text1"/>
          <w:sz w:val="40"/>
          <w:szCs w:val="40"/>
          <w:highlight w:val="none"/>
          <w:lang w:val="en-US" w:eastAsia="zh-CN"/>
          <w14:textFill>
            <w14:solidFill>
              <w14:schemeClr w14:val="tx1"/>
            </w14:solidFill>
          </w14:textFill>
        </w:rPr>
        <w:t>：XJJY（Z）2026-022</w:t>
      </w:r>
    </w:p>
    <w:p w14:paraId="1738D0AB">
      <w:pPr>
        <w:spacing w:line="240" w:lineRule="atLeast"/>
        <w:jc w:val="center"/>
        <w:rPr>
          <w:rFonts w:hint="eastAsia" w:ascii="仿宋" w:hAnsi="仿宋" w:eastAsia="仿宋" w:cs="仿宋"/>
          <w:b/>
          <w:color w:val="auto"/>
          <w:sz w:val="32"/>
          <w:highlight w:val="none"/>
        </w:rPr>
      </w:pPr>
    </w:p>
    <w:p w14:paraId="2EB823D7">
      <w:pPr>
        <w:spacing w:line="240" w:lineRule="atLeast"/>
        <w:jc w:val="center"/>
        <w:rPr>
          <w:rFonts w:hint="eastAsia" w:ascii="仿宋" w:hAnsi="仿宋" w:eastAsia="仿宋" w:cs="仿宋"/>
          <w:b/>
          <w:color w:val="auto"/>
          <w:sz w:val="32"/>
          <w:highlight w:val="none"/>
        </w:rPr>
      </w:pPr>
    </w:p>
    <w:p w14:paraId="40C74540">
      <w:pPr>
        <w:spacing w:line="240" w:lineRule="atLeast"/>
        <w:jc w:val="center"/>
        <w:rPr>
          <w:rFonts w:hint="eastAsia" w:ascii="仿宋" w:hAnsi="仿宋" w:eastAsia="仿宋" w:cs="仿宋"/>
          <w:b/>
          <w:color w:val="auto"/>
          <w:sz w:val="44"/>
          <w:szCs w:val="36"/>
          <w:highlight w:val="none"/>
        </w:rPr>
      </w:pPr>
      <w:r>
        <w:rPr>
          <w:rFonts w:hint="eastAsia" w:ascii="仿宋" w:hAnsi="仿宋" w:eastAsia="仿宋" w:cs="仿宋"/>
          <w:b/>
          <w:color w:val="auto"/>
          <w:sz w:val="44"/>
          <w:szCs w:val="36"/>
          <w:highlight w:val="none"/>
        </w:rPr>
        <w:t>第 二 册</w:t>
      </w:r>
    </w:p>
    <w:p w14:paraId="74993AAF">
      <w:pPr>
        <w:rPr>
          <w:rFonts w:hint="eastAsia" w:ascii="仿宋" w:hAnsi="仿宋" w:eastAsia="仿宋" w:cs="仿宋"/>
          <w:color w:val="auto"/>
          <w:sz w:val="44"/>
          <w:szCs w:val="36"/>
          <w:highlight w:val="none"/>
        </w:rPr>
      </w:pPr>
    </w:p>
    <w:p w14:paraId="7B8E8592">
      <w:pPr>
        <w:pStyle w:val="6"/>
        <w:rPr>
          <w:rFonts w:hint="eastAsia" w:ascii="仿宋" w:hAnsi="仿宋" w:eastAsia="仿宋" w:cs="仿宋"/>
          <w:b/>
          <w:color w:val="auto"/>
          <w:sz w:val="44"/>
          <w:szCs w:val="36"/>
          <w:highlight w:val="none"/>
        </w:rPr>
      </w:pPr>
    </w:p>
    <w:p w14:paraId="2BEB8E1C">
      <w:pPr>
        <w:pStyle w:val="8"/>
        <w:rPr>
          <w:rFonts w:hint="eastAsia" w:ascii="仿宋" w:hAnsi="仿宋" w:eastAsia="仿宋" w:cs="仿宋"/>
          <w:b/>
          <w:color w:val="auto"/>
          <w:sz w:val="44"/>
          <w:szCs w:val="36"/>
          <w:highlight w:val="none"/>
        </w:rPr>
      </w:pPr>
    </w:p>
    <w:p w14:paraId="1943B68F">
      <w:pPr>
        <w:rPr>
          <w:rFonts w:hint="eastAsia" w:ascii="仿宋" w:hAnsi="仿宋" w:eastAsia="仿宋" w:cs="仿宋"/>
          <w:color w:val="auto"/>
          <w:highlight w:val="none"/>
        </w:rPr>
      </w:pPr>
    </w:p>
    <w:p w14:paraId="40D12FB4">
      <w:pPr>
        <w:rPr>
          <w:rFonts w:hint="eastAsia" w:ascii="仿宋" w:hAnsi="仿宋" w:eastAsia="仿宋" w:cs="仿宋"/>
          <w:color w:val="auto"/>
          <w:highlight w:val="none"/>
        </w:rPr>
      </w:pPr>
    </w:p>
    <w:p w14:paraId="0DCC99C9">
      <w:pPr>
        <w:spacing w:line="240" w:lineRule="atLeast"/>
        <w:jc w:val="center"/>
        <w:rPr>
          <w:rFonts w:hint="eastAsia" w:ascii="仿宋" w:hAnsi="仿宋" w:eastAsia="仿宋" w:cs="仿宋"/>
          <w:b/>
          <w:color w:val="auto"/>
          <w:sz w:val="32"/>
          <w:highlight w:val="none"/>
        </w:rPr>
      </w:pPr>
    </w:p>
    <w:p w14:paraId="532E0A30">
      <w:pPr>
        <w:pStyle w:val="6"/>
        <w:rPr>
          <w:rFonts w:hint="eastAsia" w:ascii="仿宋" w:hAnsi="仿宋" w:eastAsia="仿宋" w:cs="仿宋"/>
          <w:b/>
          <w:color w:val="auto"/>
          <w:sz w:val="32"/>
          <w:highlight w:val="none"/>
        </w:rPr>
      </w:pPr>
    </w:p>
    <w:bookmarkEnd w:id="1050"/>
    <w:bookmarkEnd w:id="1051"/>
    <w:bookmarkEnd w:id="1052"/>
    <w:bookmarkEnd w:id="1053"/>
    <w:bookmarkEnd w:id="1094"/>
    <w:bookmarkEnd w:id="1095"/>
    <w:bookmarkEnd w:id="1096"/>
    <w:bookmarkEnd w:id="1097"/>
    <w:bookmarkEnd w:id="1098"/>
    <w:bookmarkEnd w:id="1099"/>
    <w:p w14:paraId="2BECF6F4">
      <w:pPr>
        <w:pStyle w:val="6"/>
        <w:ind w:left="0" w:leftChars="0" w:firstLine="0" w:firstLineChars="0"/>
        <w:rPr>
          <w:rFonts w:hint="eastAsia" w:ascii="仿宋" w:hAnsi="仿宋" w:eastAsia="仿宋" w:cs="仿宋"/>
          <w:color w:val="auto"/>
          <w:highlight w:val="none"/>
        </w:rPr>
      </w:pPr>
    </w:p>
    <w:p w14:paraId="7C338371">
      <w:pPr>
        <w:rPr>
          <w:rFonts w:hint="eastAsia" w:ascii="仿宋" w:hAnsi="仿宋" w:eastAsia="仿宋" w:cs="仿宋"/>
          <w:color w:val="auto"/>
          <w:highlight w:val="none"/>
        </w:rPr>
      </w:pPr>
    </w:p>
    <w:p w14:paraId="509DD05F">
      <w:pPr>
        <w:rPr>
          <w:rStyle w:val="46"/>
          <w:rFonts w:hint="eastAsia" w:ascii="仿宋" w:hAnsi="仿宋" w:eastAsia="仿宋" w:cs="仿宋"/>
          <w:color w:val="auto"/>
          <w:highlight w:val="none"/>
        </w:rPr>
      </w:pPr>
      <w:bookmarkStart w:id="1177" w:name="_Toc218935350"/>
      <w:bookmarkStart w:id="1178" w:name="_Toc28765"/>
      <w:bookmarkStart w:id="1179" w:name="_Toc507399902"/>
      <w:bookmarkStart w:id="1180" w:name="_Toc29715"/>
      <w:bookmarkStart w:id="1181" w:name="_Toc22081"/>
      <w:bookmarkStart w:id="1182" w:name="_Toc16370"/>
      <w:bookmarkStart w:id="1183" w:name="_Toc216582822"/>
      <w:bookmarkStart w:id="1184" w:name="_Toc219175634"/>
      <w:bookmarkStart w:id="1185" w:name="_Toc515647829"/>
      <w:r>
        <w:rPr>
          <w:rStyle w:val="46"/>
          <w:rFonts w:hint="eastAsia" w:ascii="仿宋" w:hAnsi="仿宋" w:eastAsia="仿宋" w:cs="仿宋"/>
          <w:color w:val="auto"/>
          <w:highlight w:val="none"/>
        </w:rPr>
        <w:br w:type="page"/>
      </w:r>
    </w:p>
    <w:p w14:paraId="44B60E20">
      <w:pPr>
        <w:widowControl/>
        <w:spacing w:line="440" w:lineRule="exact"/>
        <w:jc w:val="center"/>
        <w:outlineLvl w:val="0"/>
        <w:rPr>
          <w:rFonts w:hint="eastAsia" w:ascii="仿宋" w:hAnsi="仿宋" w:eastAsia="仿宋" w:cs="仿宋"/>
          <w:b/>
          <w:bCs/>
          <w:color w:val="auto"/>
          <w:kern w:val="0"/>
          <w:sz w:val="32"/>
          <w:szCs w:val="32"/>
          <w:highlight w:val="none"/>
          <w:lang w:val="en-US" w:eastAsia="zh-CN" w:bidi="ar-SA"/>
        </w:rPr>
      </w:pPr>
      <w:bookmarkStart w:id="1186" w:name="_Toc10889"/>
      <w:bookmarkStart w:id="1187" w:name="_Toc1297"/>
      <w:r>
        <w:rPr>
          <w:rFonts w:hint="eastAsia" w:ascii="仿宋" w:hAnsi="仿宋" w:eastAsia="仿宋" w:cs="仿宋"/>
          <w:b/>
          <w:bCs/>
          <w:color w:val="auto"/>
          <w:kern w:val="0"/>
          <w:sz w:val="32"/>
          <w:szCs w:val="32"/>
          <w:highlight w:val="none"/>
          <w:lang w:val="en-US" w:eastAsia="zh-CN" w:bidi="ar-SA"/>
        </w:rPr>
        <w:t>第3章  投标邀请</w:t>
      </w:r>
      <w:bookmarkEnd w:id="1177"/>
      <w:bookmarkEnd w:id="1178"/>
      <w:bookmarkEnd w:id="1179"/>
      <w:bookmarkEnd w:id="1180"/>
      <w:bookmarkEnd w:id="1181"/>
      <w:bookmarkEnd w:id="1182"/>
      <w:bookmarkEnd w:id="1183"/>
      <w:bookmarkEnd w:id="1184"/>
      <w:bookmarkEnd w:id="1185"/>
      <w:bookmarkEnd w:id="1186"/>
      <w:bookmarkEnd w:id="1187"/>
      <w:bookmarkStart w:id="1188" w:name="_Toc515647830"/>
      <w:bookmarkStart w:id="1189" w:name="_Toc31583"/>
      <w:bookmarkStart w:id="1190" w:name="_Toc5272"/>
      <w:bookmarkStart w:id="1191" w:name="_Toc507399903"/>
      <w:bookmarkStart w:id="1192" w:name="_Toc216582823"/>
      <w:bookmarkStart w:id="1193" w:name="_Toc10488"/>
      <w:bookmarkStart w:id="1194" w:name="_Toc512937850"/>
    </w:p>
    <w:p w14:paraId="272E80E7">
      <w:pPr>
        <w:tabs>
          <w:tab w:val="left" w:pos="0"/>
          <w:tab w:val="left" w:pos="3165"/>
          <w:tab w:val="center" w:pos="4153"/>
        </w:tabs>
        <w:spacing w:before="0" w:after="0" w:line="480" w:lineRule="exact"/>
        <w:jc w:val="center"/>
        <w:outlineLvl w:val="9"/>
        <w:rPr>
          <w:rFonts w:hint="eastAsia" w:ascii="仿宋" w:hAnsi="仿宋" w:eastAsia="仿宋" w:cs="仿宋"/>
          <w:b/>
          <w:bCs/>
          <w:color w:val="000000" w:themeColor="text1"/>
          <w:sz w:val="28"/>
          <w:szCs w:val="28"/>
          <w:highlight w:val="none"/>
          <w:lang w:eastAsia="zh-CN"/>
          <w14:textFill>
            <w14:solidFill>
              <w14:schemeClr w14:val="tx1"/>
            </w14:solidFill>
          </w14:textFill>
        </w:rPr>
      </w:pPr>
      <w:bookmarkStart w:id="1195" w:name="_Toc29132"/>
      <w:r>
        <w:rPr>
          <w:rFonts w:hint="eastAsia" w:ascii="仿宋" w:hAnsi="仿宋" w:eastAsia="仿宋" w:cs="仿宋"/>
          <w:b/>
          <w:bCs/>
          <w:color w:val="000000" w:themeColor="text1"/>
          <w:sz w:val="32"/>
          <w:szCs w:val="32"/>
          <w:highlight w:val="none"/>
          <w:lang w:eastAsia="zh-CN"/>
          <w14:textFill>
            <w14:solidFill>
              <w14:schemeClr w14:val="tx1"/>
            </w14:solidFill>
          </w14:textFill>
        </w:rPr>
        <w:t>喀什地区体育局关于筹备自治区第十五届体育运动会竞赛相关服装器材采购项目公开招标公告</w:t>
      </w:r>
    </w:p>
    <w:p w14:paraId="2D02F53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00" w:lineRule="exact"/>
        <w:ind w:left="0"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000000" w:themeColor="text1"/>
          <w:sz w:val="24"/>
          <w:szCs w:val="24"/>
          <w:highlight w:val="none"/>
          <w14:textFill>
            <w14:solidFill>
              <w14:schemeClr w14:val="tx1"/>
            </w14:solidFill>
          </w14:textFill>
        </w:rPr>
        <w:t>喀什地区体育局关于筹备自治区第十五届体育运动会竞赛相关服装器材采购项目采购的潜在供应商应在</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政采云平台（https://login.zcygov.cn/user-login/#/login）</w:t>
      </w:r>
      <w:r>
        <w:rPr>
          <w:rFonts w:hint="eastAsia" w:ascii="仿宋" w:hAnsi="仿宋" w:eastAsia="仿宋" w:cs="仿宋"/>
          <w:color w:val="000000" w:themeColor="text1"/>
          <w:sz w:val="24"/>
          <w:szCs w:val="24"/>
          <w:highlight w:val="none"/>
          <w14:textFill>
            <w14:solidFill>
              <w14:schemeClr w14:val="tx1"/>
            </w14:solidFill>
          </w14:textFill>
        </w:rPr>
        <w:t>获取招标文件，并于</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auto"/>
          <w:sz w:val="24"/>
          <w:szCs w:val="24"/>
          <w:highlight w:val="none"/>
          <w:u w:val="single"/>
          <w:lang w:val="en-US" w:eastAsia="zh-CN"/>
        </w:rPr>
        <w:t xml:space="preserve"> 2026</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 xml:space="preserve"> 05 </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 xml:space="preserve"> 15</w:t>
      </w:r>
      <w:r>
        <w:rPr>
          <w:rFonts w:hint="eastAsia" w:ascii="仿宋" w:hAnsi="仿宋" w:eastAsia="仿宋" w:cs="仿宋"/>
          <w:color w:val="auto"/>
          <w:sz w:val="24"/>
          <w:szCs w:val="24"/>
          <w:highlight w:val="none"/>
          <w:u w:val="single"/>
          <w:lang w:eastAsia="zh-CN"/>
        </w:rPr>
        <w:t>日</w:t>
      </w:r>
      <w:r>
        <w:rPr>
          <w:rFonts w:hint="eastAsia" w:ascii="仿宋" w:hAnsi="仿宋" w:eastAsia="仿宋" w:cs="仿宋"/>
          <w:color w:val="auto"/>
          <w:sz w:val="24"/>
          <w:szCs w:val="24"/>
          <w:highlight w:val="none"/>
          <w:u w:val="single"/>
          <w:lang w:val="en-US" w:eastAsia="zh-CN"/>
        </w:rPr>
        <w:t>11：00</w:t>
      </w:r>
      <w:r>
        <w:rPr>
          <w:rFonts w:hint="eastAsia" w:ascii="仿宋" w:hAnsi="仿宋" w:eastAsia="仿宋" w:cs="仿宋"/>
          <w:color w:val="auto"/>
          <w:sz w:val="24"/>
          <w:szCs w:val="24"/>
          <w:highlight w:val="none"/>
          <w:u w:val="single"/>
        </w:rPr>
        <w:t>（北京时间）</w:t>
      </w:r>
      <w:r>
        <w:rPr>
          <w:rFonts w:hint="eastAsia" w:ascii="仿宋" w:hAnsi="仿宋" w:eastAsia="仿宋" w:cs="仿宋"/>
          <w:bCs/>
          <w:color w:val="auto"/>
          <w:sz w:val="24"/>
          <w:szCs w:val="24"/>
          <w:highlight w:val="none"/>
        </w:rPr>
        <w:t>前递交投标文件</w:t>
      </w:r>
      <w:r>
        <w:rPr>
          <w:rFonts w:hint="eastAsia" w:ascii="仿宋" w:hAnsi="仿宋" w:eastAsia="仿宋" w:cs="仿宋"/>
          <w:color w:val="auto"/>
          <w:sz w:val="24"/>
          <w:szCs w:val="24"/>
          <w:highlight w:val="none"/>
        </w:rPr>
        <w:t>。</w:t>
      </w:r>
      <w:bookmarkStart w:id="1196" w:name="_Toc28217"/>
      <w:bookmarkStart w:id="1197" w:name="_Toc35393790"/>
      <w:bookmarkStart w:id="1198" w:name="_Toc35393621"/>
      <w:bookmarkStart w:id="1199" w:name="_Toc28359079"/>
      <w:bookmarkStart w:id="1200" w:name="_Toc28359002"/>
      <w:bookmarkStart w:id="1201" w:name="_Hlk24379207"/>
    </w:p>
    <w:p w14:paraId="0E778CB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仿宋" w:hAnsi="仿宋" w:eastAsia="仿宋" w:cs="仿宋"/>
          <w:b/>
          <w:bCs w:val="0"/>
          <w:color w:val="000000" w:themeColor="text1"/>
          <w:sz w:val="24"/>
          <w:szCs w:val="24"/>
          <w:highlight w:val="none"/>
          <w14:textFill>
            <w14:solidFill>
              <w14:schemeClr w14:val="tx1"/>
            </w14:solidFill>
          </w14:textFill>
        </w:rPr>
      </w:pPr>
      <w:bookmarkStart w:id="1202" w:name="_Toc28253"/>
      <w:bookmarkStart w:id="1203" w:name="_Toc20970"/>
      <w:r>
        <w:rPr>
          <w:rFonts w:hint="eastAsia" w:ascii="仿宋" w:hAnsi="仿宋" w:eastAsia="仿宋" w:cs="仿宋"/>
          <w:b/>
          <w:bCs w:val="0"/>
          <w:color w:val="000000" w:themeColor="text1"/>
          <w:sz w:val="24"/>
          <w:szCs w:val="24"/>
          <w:highlight w:val="none"/>
          <w14:textFill>
            <w14:solidFill>
              <w14:schemeClr w14:val="tx1"/>
            </w14:solidFill>
          </w14:textFill>
        </w:rPr>
        <w:t>一、</w:t>
      </w:r>
      <w:bookmarkEnd w:id="1196"/>
      <w:bookmarkEnd w:id="1197"/>
      <w:bookmarkEnd w:id="1198"/>
      <w:bookmarkEnd w:id="1199"/>
      <w:bookmarkEnd w:id="1200"/>
      <w:r>
        <w:rPr>
          <w:rFonts w:hint="eastAsia" w:ascii="仿宋" w:hAnsi="仿宋" w:eastAsia="仿宋" w:cs="仿宋"/>
          <w:b/>
          <w:bCs w:val="0"/>
          <w:color w:val="000000" w:themeColor="text1"/>
          <w:sz w:val="24"/>
          <w:szCs w:val="24"/>
          <w:highlight w:val="none"/>
          <w14:textFill>
            <w14:solidFill>
              <w14:schemeClr w14:val="tx1"/>
            </w14:solidFill>
          </w14:textFill>
        </w:rPr>
        <w:t>项目基本情况</w:t>
      </w:r>
      <w:bookmarkEnd w:id="1202"/>
      <w:bookmarkEnd w:id="1203"/>
    </w:p>
    <w:p w14:paraId="6EE10E5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XJJY（Z）2026-022</w:t>
      </w:r>
    </w:p>
    <w:p w14:paraId="69BB05D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1919" w:leftChars="228" w:hanging="1440" w:hangingChars="6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项目名称：</w:t>
      </w:r>
      <w:bookmarkEnd w:id="1201"/>
      <w:r>
        <w:rPr>
          <w:rFonts w:hint="eastAsia" w:ascii="仿宋" w:hAnsi="仿宋" w:eastAsia="仿宋" w:cs="仿宋"/>
          <w:color w:val="000000" w:themeColor="text1"/>
          <w:sz w:val="24"/>
          <w:szCs w:val="24"/>
          <w:highlight w:val="none"/>
          <w14:textFill>
            <w14:solidFill>
              <w14:schemeClr w14:val="tx1"/>
            </w14:solidFill>
          </w14:textFill>
        </w:rPr>
        <w:t>喀什地区体育局关于筹备自治区第十五届体育运动会竞赛相</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关服装器材采购项目</w:t>
      </w:r>
    </w:p>
    <w:p w14:paraId="5388D2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3.采购方式：公开招标</w:t>
      </w:r>
    </w:p>
    <w:p w14:paraId="30FF917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auto"/>
          <w:sz w:val="24"/>
          <w:szCs w:val="24"/>
          <w:highlight w:val="none"/>
          <w:lang w:val="en-US" w:eastAsia="zh-CN"/>
        </w:rPr>
        <w:t>.预算金额（元）：1498769.00</w:t>
      </w:r>
      <w:r>
        <w:rPr>
          <w:rFonts w:hint="eastAsia" w:ascii="仿宋" w:hAnsi="仿宋" w:eastAsia="仿宋" w:cs="仿宋"/>
          <w:b/>
          <w:bCs/>
          <w:color w:val="auto"/>
          <w:kern w:val="2"/>
          <w:sz w:val="24"/>
          <w:szCs w:val="24"/>
          <w:highlight w:val="none"/>
          <w:lang w:val="en-US" w:eastAsia="zh-CN" w:bidi="ar-SA"/>
        </w:rPr>
        <w:t>元（壹佰肆拾玖万捌仟柒佰陆拾玖元整）</w:t>
      </w:r>
    </w:p>
    <w:p w14:paraId="60E4AF0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720" w:firstLineChars="3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最高限价（元）：1498769.00</w:t>
      </w:r>
      <w:r>
        <w:rPr>
          <w:rFonts w:hint="eastAsia" w:ascii="仿宋" w:hAnsi="仿宋" w:eastAsia="仿宋" w:cs="仿宋"/>
          <w:b/>
          <w:bCs/>
          <w:color w:val="auto"/>
          <w:kern w:val="2"/>
          <w:sz w:val="24"/>
          <w:szCs w:val="24"/>
          <w:highlight w:val="none"/>
          <w:lang w:val="en-US" w:eastAsia="zh-CN" w:bidi="ar-SA"/>
        </w:rPr>
        <w:t>元（壹佰肆拾玖万捌仟柒佰陆拾玖元整）</w:t>
      </w:r>
    </w:p>
    <w:p w14:paraId="62ED982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5.采购需求：详见货物要求</w:t>
      </w:r>
    </w:p>
    <w:p w14:paraId="2AE7AE8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6.合同履约期限：详见招标文件</w:t>
      </w:r>
    </w:p>
    <w:p w14:paraId="5314F71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本项目</w:t>
      </w:r>
      <w:r>
        <w:rPr>
          <w:rFonts w:hint="eastAsia" w:ascii="仿宋" w:hAnsi="仿宋" w:eastAsia="仿宋" w:cs="仿宋"/>
          <w:b w:val="0"/>
          <w:bCs w:val="0"/>
          <w:color w:val="auto"/>
          <w:sz w:val="24"/>
          <w:szCs w:val="24"/>
          <w:highlight w:val="none"/>
          <w:lang w:val="en-US" w:eastAsia="zh-CN"/>
        </w:rPr>
        <w:t>(否)</w:t>
      </w:r>
      <w:r>
        <w:rPr>
          <w:rFonts w:hint="eastAsia" w:ascii="仿宋" w:hAnsi="仿宋" w:eastAsia="仿宋" w:cs="仿宋"/>
          <w:b w:val="0"/>
          <w:bCs w:val="0"/>
          <w:color w:val="auto"/>
          <w:sz w:val="24"/>
          <w:szCs w:val="24"/>
          <w:highlight w:val="none"/>
        </w:rPr>
        <w:t>接受联合体投标。</w:t>
      </w:r>
    </w:p>
    <w:p w14:paraId="4B77391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仿宋" w:hAnsi="仿宋" w:eastAsia="仿宋" w:cs="仿宋"/>
          <w:b/>
          <w:color w:val="auto"/>
          <w:sz w:val="24"/>
          <w:szCs w:val="24"/>
          <w:highlight w:val="none"/>
        </w:rPr>
      </w:pPr>
      <w:bookmarkStart w:id="1204" w:name="_Toc29506"/>
      <w:bookmarkStart w:id="1205" w:name="_Toc35393791"/>
      <w:bookmarkStart w:id="1206" w:name="_Toc28359003"/>
      <w:bookmarkStart w:id="1207" w:name="_Toc13688"/>
      <w:bookmarkStart w:id="1208" w:name="_Toc19260"/>
      <w:bookmarkStart w:id="1209" w:name="_Toc1145"/>
      <w:bookmarkStart w:id="1210" w:name="_Toc35393622"/>
      <w:bookmarkStart w:id="1211" w:name="_Toc28359080"/>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val="en-US" w:eastAsia="zh-CN"/>
        </w:rPr>
        <w:t>申请人的</w:t>
      </w:r>
      <w:r>
        <w:rPr>
          <w:rFonts w:hint="eastAsia" w:ascii="仿宋" w:hAnsi="仿宋" w:eastAsia="仿宋" w:cs="仿宋"/>
          <w:b/>
          <w:color w:val="auto"/>
          <w:sz w:val="24"/>
          <w:szCs w:val="24"/>
          <w:highlight w:val="none"/>
        </w:rPr>
        <w:t>资格要求：</w:t>
      </w:r>
      <w:bookmarkEnd w:id="1204"/>
      <w:bookmarkEnd w:id="1205"/>
      <w:bookmarkEnd w:id="1206"/>
      <w:bookmarkEnd w:id="1207"/>
      <w:bookmarkEnd w:id="1208"/>
      <w:bookmarkEnd w:id="1209"/>
      <w:bookmarkEnd w:id="1210"/>
      <w:bookmarkEnd w:id="1211"/>
    </w:p>
    <w:p w14:paraId="428BB45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1.满足《中华人民共和国政府采购法》第二十二条规定：</w:t>
      </w:r>
    </w:p>
    <w:p w14:paraId="21D3F2C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bookmarkStart w:id="1212" w:name="_Toc35393623"/>
      <w:bookmarkStart w:id="1213" w:name="_Toc28359081"/>
      <w:bookmarkStart w:id="1214" w:name="_Toc28359004"/>
      <w:bookmarkStart w:id="1215" w:name="_Toc32226"/>
      <w:bookmarkStart w:id="1216" w:name="_Toc35393792"/>
      <w:bookmarkStart w:id="1217" w:name="_Toc27678"/>
      <w:r>
        <w:rPr>
          <w:rFonts w:hint="eastAsia" w:ascii="仿宋" w:hAnsi="仿宋" w:eastAsia="仿宋" w:cs="仿宋"/>
          <w:b w:val="0"/>
          <w:bCs w:val="0"/>
          <w:color w:val="auto"/>
          <w:sz w:val="24"/>
          <w:szCs w:val="24"/>
          <w:highlight w:val="none"/>
          <w:lang w:val="en-US" w:eastAsia="zh-CN"/>
        </w:rPr>
        <w:t>2.落实政府采购政策需满足的资格要求：本项目不专门面向中小企业。</w:t>
      </w:r>
    </w:p>
    <w:p w14:paraId="4536063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三、获取招标文件</w:t>
      </w:r>
      <w:bookmarkEnd w:id="1212"/>
      <w:bookmarkEnd w:id="1213"/>
      <w:bookmarkEnd w:id="1214"/>
      <w:bookmarkEnd w:id="1215"/>
      <w:bookmarkEnd w:id="1216"/>
      <w:bookmarkEnd w:id="1217"/>
    </w:p>
    <w:p w14:paraId="2AD81A9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获取时间：</w:t>
      </w:r>
      <w:r>
        <w:rPr>
          <w:rFonts w:hint="eastAsia" w:ascii="仿宋" w:hAnsi="仿宋" w:eastAsia="仿宋" w:cs="仿宋"/>
          <w:color w:val="auto"/>
          <w:sz w:val="24"/>
          <w:szCs w:val="24"/>
          <w:highlight w:val="none"/>
          <w:lang w:val="en-US" w:eastAsia="zh-CN"/>
        </w:rPr>
        <w:t xml:space="preserve">2026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 xml:space="preserve"> 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 24</w:t>
      </w:r>
      <w:r>
        <w:rPr>
          <w:rFonts w:hint="eastAsia" w:ascii="仿宋" w:hAnsi="仿宋" w:eastAsia="仿宋" w:cs="仿宋"/>
          <w:color w:val="auto"/>
          <w:sz w:val="24"/>
          <w:szCs w:val="24"/>
          <w:highlight w:val="none"/>
          <w:lang w:eastAsia="zh-CN"/>
        </w:rPr>
        <w:t>日至</w:t>
      </w:r>
      <w:r>
        <w:rPr>
          <w:rFonts w:hint="eastAsia" w:ascii="仿宋" w:hAnsi="仿宋" w:eastAsia="仿宋" w:cs="仿宋"/>
          <w:color w:val="auto"/>
          <w:sz w:val="24"/>
          <w:szCs w:val="24"/>
          <w:highlight w:val="none"/>
          <w:lang w:val="en-US" w:eastAsia="zh-CN"/>
        </w:rPr>
        <w:t xml:space="preserve">2026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 xml:space="preserve"> 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 6</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，每天上午10:00至14:00，下午</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（北京时间，法定节假日除外）</w:t>
      </w:r>
    </w:p>
    <w:p w14:paraId="5B7D7D1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获取方式：</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供应商登陆政采云平台http://www.zcygov.cn/，在线</w:t>
      </w:r>
      <w:r>
        <w:rPr>
          <w:rFonts w:hint="eastAsia" w:ascii="仿宋" w:hAnsi="仿宋" w:eastAsia="仿宋" w:cs="仿宋"/>
          <w:color w:val="auto"/>
          <w:sz w:val="24"/>
          <w:szCs w:val="24"/>
          <w:highlight w:val="none"/>
          <w:u w:val="none"/>
          <w:lang w:val="en-US" w:eastAsia="zh-CN"/>
        </w:rPr>
        <w:t>申请获取采购文件（登录政府采购云平台 → 项目采购 → 获取采购文件 → 申请，审核通过后可下载招标文件，如有操作性问题，可与政采云在线客服进行咨询，咨询电话：400-881-7190）</w:t>
      </w:r>
    </w:p>
    <w:p w14:paraId="1853D8C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获取地点：政采云平台（https://login.zcygov.cn/user-login/#/login）</w:t>
      </w:r>
    </w:p>
    <w:p w14:paraId="0A205B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售价（元</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0元</w:t>
      </w:r>
    </w:p>
    <w:p w14:paraId="5B0B3BC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仿宋" w:hAnsi="仿宋" w:eastAsia="仿宋" w:cs="仿宋"/>
          <w:b/>
          <w:bCs w:val="0"/>
          <w:color w:val="auto"/>
          <w:sz w:val="24"/>
          <w:szCs w:val="24"/>
          <w:highlight w:val="none"/>
          <w:u w:val="none"/>
        </w:rPr>
      </w:pPr>
      <w:bookmarkStart w:id="1218" w:name="_Toc28359082"/>
      <w:bookmarkStart w:id="1219" w:name="_Toc28359005"/>
      <w:bookmarkStart w:id="1220" w:name="_Toc952"/>
      <w:bookmarkStart w:id="1221" w:name="_Toc2422"/>
      <w:bookmarkStart w:id="1222" w:name="_Toc35393793"/>
      <w:bookmarkStart w:id="1223" w:name="_Toc35393624"/>
      <w:bookmarkStart w:id="1224" w:name="_Toc9047"/>
      <w:bookmarkStart w:id="1225" w:name="_Toc2532"/>
      <w:r>
        <w:rPr>
          <w:rFonts w:hint="eastAsia" w:ascii="仿宋" w:hAnsi="仿宋" w:eastAsia="仿宋" w:cs="仿宋"/>
          <w:b/>
          <w:bCs w:val="0"/>
          <w:color w:val="auto"/>
          <w:sz w:val="24"/>
          <w:szCs w:val="24"/>
          <w:highlight w:val="none"/>
          <w:u w:val="none"/>
        </w:rPr>
        <w:t>四、提交投标文件</w:t>
      </w:r>
      <w:bookmarkEnd w:id="1218"/>
      <w:bookmarkEnd w:id="1219"/>
      <w:r>
        <w:rPr>
          <w:rFonts w:hint="eastAsia" w:ascii="仿宋" w:hAnsi="仿宋" w:eastAsia="仿宋" w:cs="仿宋"/>
          <w:b/>
          <w:bCs w:val="0"/>
          <w:color w:val="auto"/>
          <w:sz w:val="24"/>
          <w:szCs w:val="24"/>
          <w:highlight w:val="none"/>
          <w:u w:val="none"/>
        </w:rPr>
        <w:t>截止时间、开标时间和地点</w:t>
      </w:r>
      <w:bookmarkEnd w:id="1220"/>
      <w:bookmarkEnd w:id="1221"/>
      <w:bookmarkEnd w:id="1222"/>
      <w:bookmarkEnd w:id="1223"/>
      <w:bookmarkEnd w:id="1224"/>
      <w:bookmarkEnd w:id="1225"/>
    </w:p>
    <w:p w14:paraId="45893A5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bCs/>
          <w:color w:val="auto"/>
          <w:sz w:val="24"/>
          <w:szCs w:val="24"/>
          <w:highlight w:val="none"/>
          <w:u w:val="none"/>
        </w:rPr>
      </w:pPr>
      <w:r>
        <w:rPr>
          <w:rFonts w:hint="eastAsia" w:ascii="仿宋" w:hAnsi="仿宋" w:eastAsia="仿宋" w:cs="仿宋"/>
          <w:color w:val="auto"/>
          <w:sz w:val="24"/>
          <w:szCs w:val="24"/>
          <w:highlight w:val="none"/>
          <w:u w:val="none"/>
          <w:lang w:eastAsia="zh-CN"/>
        </w:rPr>
        <w:t>提交投标文件截止</w:t>
      </w:r>
      <w:r>
        <w:rPr>
          <w:rFonts w:hint="eastAsia" w:ascii="仿宋" w:hAnsi="仿宋" w:eastAsia="仿宋" w:cs="仿宋"/>
          <w:color w:val="auto"/>
          <w:sz w:val="24"/>
          <w:szCs w:val="24"/>
          <w:highlight w:val="none"/>
          <w:u w:val="none"/>
        </w:rPr>
        <w:t>时间：</w:t>
      </w:r>
      <w:bookmarkStart w:id="1226" w:name="_Toc35393794"/>
      <w:bookmarkStart w:id="1227" w:name="_Toc28359084"/>
      <w:bookmarkStart w:id="1228" w:name="_Toc35393625"/>
      <w:bookmarkStart w:id="1229" w:name="_Toc28359007"/>
      <w:r>
        <w:rPr>
          <w:rFonts w:hint="eastAsia" w:ascii="仿宋" w:hAnsi="仿宋" w:eastAsia="仿宋" w:cs="仿宋"/>
          <w:color w:val="auto"/>
          <w:sz w:val="24"/>
          <w:szCs w:val="24"/>
          <w:highlight w:val="none"/>
          <w:u w:val="none"/>
          <w:lang w:val="en-US" w:eastAsia="zh-CN"/>
        </w:rPr>
        <w:t xml:space="preserve">2026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15 </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u w:val="none"/>
          <w:lang w:val="en-US" w:eastAsia="zh-CN"/>
        </w:rPr>
        <w:t>11：00</w:t>
      </w:r>
      <w:r>
        <w:rPr>
          <w:rFonts w:hint="eastAsia" w:ascii="仿宋" w:hAnsi="仿宋" w:eastAsia="仿宋" w:cs="仿宋"/>
          <w:color w:val="auto"/>
          <w:sz w:val="24"/>
          <w:szCs w:val="24"/>
          <w:highlight w:val="none"/>
          <w:u w:val="none"/>
        </w:rPr>
        <w:t>（北京时间</w:t>
      </w:r>
      <w:r>
        <w:rPr>
          <w:rFonts w:hint="eastAsia" w:ascii="仿宋" w:hAnsi="仿宋" w:eastAsia="仿宋" w:cs="仿宋"/>
          <w:bCs/>
          <w:color w:val="auto"/>
          <w:sz w:val="24"/>
          <w:szCs w:val="24"/>
          <w:highlight w:val="none"/>
          <w:u w:val="none"/>
        </w:rPr>
        <w:t>）</w:t>
      </w:r>
    </w:p>
    <w:p w14:paraId="07532BF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eastAsia="zh-CN"/>
        </w:rPr>
        <w:t>投标</w:t>
      </w:r>
      <w:r>
        <w:rPr>
          <w:rFonts w:hint="eastAsia" w:ascii="仿宋" w:hAnsi="仿宋" w:eastAsia="仿宋" w:cs="仿宋"/>
          <w:color w:val="auto"/>
          <w:sz w:val="24"/>
          <w:szCs w:val="24"/>
          <w:highlight w:val="none"/>
          <w:u w:val="none"/>
        </w:rPr>
        <w:t>地点：</w:t>
      </w:r>
      <w:r>
        <w:rPr>
          <w:rFonts w:hint="eastAsia" w:ascii="仿宋" w:hAnsi="仿宋" w:eastAsia="仿宋" w:cs="仿宋"/>
          <w:color w:val="auto"/>
          <w:kern w:val="0"/>
          <w:sz w:val="24"/>
          <w:szCs w:val="24"/>
          <w:highlight w:val="none"/>
          <w:u w:val="none"/>
          <w:lang w:eastAsia="zh-CN"/>
        </w:rPr>
        <w:t>政采云平台</w:t>
      </w:r>
      <w:r>
        <w:rPr>
          <w:rFonts w:hint="eastAsia" w:ascii="仿宋" w:hAnsi="仿宋" w:eastAsia="仿宋" w:cs="仿宋"/>
          <w:color w:val="auto"/>
          <w:sz w:val="24"/>
          <w:szCs w:val="24"/>
          <w:highlight w:val="none"/>
          <w:u w:val="none"/>
        </w:rPr>
        <w:t>（https://login.zcygov.cn/user-login/#/login）</w:t>
      </w:r>
    </w:p>
    <w:p w14:paraId="0E30C0D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开标时间：</w:t>
      </w:r>
      <w:r>
        <w:rPr>
          <w:rFonts w:hint="eastAsia" w:ascii="仿宋" w:hAnsi="仿宋" w:eastAsia="仿宋" w:cs="仿宋"/>
          <w:color w:val="auto"/>
          <w:sz w:val="24"/>
          <w:szCs w:val="24"/>
          <w:highlight w:val="none"/>
          <w:u w:val="none"/>
          <w:lang w:val="en-US" w:eastAsia="zh-CN"/>
        </w:rPr>
        <w:t xml:space="preserve"> 2026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 xml:space="preserve"> 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 xml:space="preserve">15 </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u w:val="none"/>
          <w:lang w:val="en-US" w:eastAsia="zh-CN"/>
        </w:rPr>
        <w:t>11：00</w:t>
      </w:r>
      <w:r>
        <w:rPr>
          <w:rFonts w:hint="eastAsia" w:ascii="仿宋" w:hAnsi="仿宋" w:eastAsia="仿宋" w:cs="仿宋"/>
          <w:color w:val="auto"/>
          <w:sz w:val="24"/>
          <w:szCs w:val="24"/>
          <w:highlight w:val="none"/>
          <w:u w:val="none"/>
          <w:lang w:eastAsia="zh-CN"/>
        </w:rPr>
        <w:t>（北京时间）</w:t>
      </w:r>
    </w:p>
    <w:p w14:paraId="71C9788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outlineLvl w:val="9"/>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开标地点：</w:t>
      </w:r>
      <w:bookmarkStart w:id="1230" w:name="_Toc32108"/>
      <w:bookmarkStart w:id="1231" w:name="_Toc20863"/>
      <w:bookmarkStart w:id="1232" w:name="_Toc23672"/>
      <w:bookmarkStart w:id="1233" w:name="_Toc30400"/>
      <w:r>
        <w:rPr>
          <w:rFonts w:hint="eastAsia" w:ascii="仿宋" w:hAnsi="仿宋" w:eastAsia="仿宋" w:cs="仿宋"/>
          <w:color w:val="auto"/>
          <w:kern w:val="0"/>
          <w:sz w:val="24"/>
          <w:szCs w:val="24"/>
          <w:highlight w:val="none"/>
          <w:u w:val="none"/>
          <w:lang w:eastAsia="zh-CN"/>
        </w:rPr>
        <w:t>政采云平台</w:t>
      </w:r>
      <w:r>
        <w:rPr>
          <w:rFonts w:hint="eastAsia" w:ascii="仿宋" w:hAnsi="仿宋" w:eastAsia="仿宋" w:cs="仿宋"/>
          <w:color w:val="auto"/>
          <w:sz w:val="24"/>
          <w:szCs w:val="24"/>
          <w:highlight w:val="none"/>
          <w:u w:val="none"/>
        </w:rPr>
        <w:t>（https://login.zcygov.cn/user-login/#/login）</w:t>
      </w:r>
    </w:p>
    <w:p w14:paraId="56B660A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仿宋" w:hAnsi="仿宋" w:eastAsia="仿宋" w:cs="仿宋"/>
          <w:b/>
          <w:bCs w:val="0"/>
          <w:color w:val="000000" w:themeColor="text1"/>
          <w:sz w:val="24"/>
          <w:szCs w:val="24"/>
          <w:highlight w:val="none"/>
          <w:u w:val="none"/>
          <w14:textFill>
            <w14:solidFill>
              <w14:schemeClr w14:val="tx1"/>
            </w14:solidFill>
          </w14:textFill>
        </w:rPr>
      </w:pPr>
      <w:r>
        <w:rPr>
          <w:rFonts w:hint="eastAsia" w:ascii="仿宋" w:hAnsi="仿宋" w:eastAsia="仿宋" w:cs="仿宋"/>
          <w:b/>
          <w:bCs w:val="0"/>
          <w:color w:val="000000" w:themeColor="text1"/>
          <w:sz w:val="24"/>
          <w:szCs w:val="24"/>
          <w:highlight w:val="none"/>
          <w:u w:val="none"/>
          <w14:textFill>
            <w14:solidFill>
              <w14:schemeClr w14:val="tx1"/>
            </w14:solidFill>
          </w14:textFill>
        </w:rPr>
        <w:t>五、公告期限</w:t>
      </w:r>
      <w:bookmarkEnd w:id="1226"/>
      <w:bookmarkEnd w:id="1227"/>
      <w:bookmarkEnd w:id="1228"/>
      <w:bookmarkEnd w:id="1229"/>
      <w:bookmarkEnd w:id="1230"/>
      <w:bookmarkEnd w:id="1231"/>
      <w:bookmarkEnd w:id="1232"/>
      <w:bookmarkEnd w:id="1233"/>
    </w:p>
    <w:p w14:paraId="0DD3D11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自本公告发布之日起5个工作日。</w:t>
      </w:r>
    </w:p>
    <w:p w14:paraId="5B05243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六、其它补充事宜</w:t>
      </w:r>
    </w:p>
    <w:p w14:paraId="19D304A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为电子招投标，供应商需要使用CA加密货物，凡参加本项目必须可自主通过新疆CA申领渠道“新疆政务通”申请政采云平台可使用的CA货物，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2DDA55D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2.本项目实行网上投标，采用电子投标文件(供应商须使用CA加密货物通过政采云电子投标客户端制作投标文件)。若供应商参与投标，自行承担投标一切费用。</w:t>
      </w:r>
    </w:p>
    <w:p w14:paraId="6519419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3E32BC14">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4C999463">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5.供应商在开标时须使用制作加密电子投标文件所使用的CA锁及电脑，电脑须提前配置好浏览器（建议使用谷歌浏览器），以便开标时解锁。</w:t>
      </w:r>
    </w:p>
    <w:p w14:paraId="64859D0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51705C4B">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02CB1198">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firstLine="48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特别提示：</w:t>
      </w:r>
    </w:p>
    <w:p w14:paraId="4195E6BD">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firstLine="48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2、超过200万元的货物和服务采购项目、超过400万元的工程采购项目中适宜由中小企业提供的，预留该部分采购项目预算总额的30%以上专门面向中小企业采购，其中预留给小微企业的比例不低于60%。</w:t>
      </w:r>
    </w:p>
    <w:p w14:paraId="0A42C0BD">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firstLine="48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7E54273">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firstLine="480"/>
        <w:textAlignment w:val="auto"/>
        <w:outlineLvl w:val="9"/>
        <w:rPr>
          <w:rFonts w:hint="eastAsia" w:ascii="仿宋" w:hAnsi="仿宋" w:eastAsia="仿宋" w:cs="仿宋"/>
          <w:color w:val="auto"/>
          <w:highlight w:val="none"/>
          <w:lang w:eastAsia="zh-CN"/>
        </w:rPr>
      </w:pPr>
      <w:r>
        <w:rPr>
          <w:rFonts w:hint="eastAsia" w:ascii="仿宋" w:hAnsi="仿宋" w:eastAsia="仿宋" w:cs="仿宋"/>
          <w:color w:val="auto"/>
          <w:kern w:val="2"/>
          <w:sz w:val="24"/>
          <w:szCs w:val="24"/>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6007AB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仿宋" w:hAnsi="仿宋" w:eastAsia="仿宋" w:cs="仿宋"/>
          <w:b/>
          <w:bCs w:val="0"/>
          <w:color w:val="auto"/>
          <w:sz w:val="24"/>
          <w:szCs w:val="24"/>
          <w:highlight w:val="none"/>
        </w:rPr>
      </w:pPr>
      <w:bookmarkStart w:id="1234" w:name="_Toc35393795"/>
      <w:bookmarkStart w:id="1235" w:name="_Toc35393626"/>
      <w:bookmarkStart w:id="1236" w:name="_Toc647"/>
      <w:bookmarkStart w:id="1237" w:name="_Toc999"/>
      <w:bookmarkStart w:id="1238" w:name="_Toc18258"/>
      <w:bookmarkStart w:id="1239" w:name="_Toc13675"/>
      <w:r>
        <w:rPr>
          <w:rFonts w:hint="eastAsia" w:ascii="仿宋" w:hAnsi="仿宋" w:eastAsia="仿宋" w:cs="仿宋"/>
          <w:b/>
          <w:bCs w:val="0"/>
          <w:color w:val="auto"/>
          <w:sz w:val="24"/>
          <w:szCs w:val="24"/>
          <w:highlight w:val="none"/>
          <w:lang w:val="en-US" w:eastAsia="zh-CN"/>
        </w:rPr>
        <w:t>七</w:t>
      </w:r>
      <w:r>
        <w:rPr>
          <w:rFonts w:hint="eastAsia" w:ascii="仿宋" w:hAnsi="仿宋" w:eastAsia="仿宋" w:cs="仿宋"/>
          <w:b/>
          <w:bCs w:val="0"/>
          <w:color w:val="auto"/>
          <w:sz w:val="24"/>
          <w:szCs w:val="24"/>
          <w:highlight w:val="none"/>
        </w:rPr>
        <w:t>、</w:t>
      </w:r>
      <w:bookmarkEnd w:id="1234"/>
      <w:bookmarkEnd w:id="1235"/>
      <w:bookmarkStart w:id="1240" w:name="_Toc35393796"/>
      <w:bookmarkStart w:id="1241" w:name="_Toc28359085"/>
      <w:bookmarkStart w:id="1242" w:name="_Toc28359008"/>
      <w:bookmarkStart w:id="1243" w:name="_Toc35393627"/>
      <w:r>
        <w:rPr>
          <w:rFonts w:hint="eastAsia" w:ascii="仿宋" w:hAnsi="仿宋" w:eastAsia="仿宋" w:cs="仿宋"/>
          <w:b/>
          <w:bCs w:val="0"/>
          <w:color w:val="auto"/>
          <w:sz w:val="24"/>
          <w:szCs w:val="24"/>
          <w:highlight w:val="none"/>
        </w:rPr>
        <w:t>对本次采购提出询问，请按以下方式联系。</w:t>
      </w:r>
      <w:bookmarkEnd w:id="1236"/>
      <w:bookmarkEnd w:id="1237"/>
      <w:bookmarkEnd w:id="1238"/>
      <w:bookmarkEnd w:id="1239"/>
      <w:bookmarkEnd w:id="1240"/>
      <w:bookmarkEnd w:id="1241"/>
      <w:bookmarkEnd w:id="1242"/>
      <w:bookmarkEnd w:id="1243"/>
    </w:p>
    <w:p w14:paraId="35C1E768">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1.采购人信息</w:t>
      </w:r>
    </w:p>
    <w:p w14:paraId="2B5019D4">
      <w:pP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名 称：喀什地区体育局</w:t>
      </w:r>
    </w:p>
    <w:p w14:paraId="3446EDC9">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地 址：喀什市解放北路46号</w:t>
      </w:r>
    </w:p>
    <w:p w14:paraId="129F9EFC">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联系人：王学才    </w:t>
      </w:r>
    </w:p>
    <w:p w14:paraId="51EB4589">
      <w:pP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联系电话：15569161602 </w:t>
      </w:r>
    </w:p>
    <w:p w14:paraId="21C624FC">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2.采购代理机构信息</w:t>
      </w:r>
    </w:p>
    <w:p w14:paraId="497A06F4">
      <w:pP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名 称：新疆玖域招标代理有限公司</w:t>
      </w:r>
    </w:p>
    <w:p w14:paraId="1A6518A6">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地 址：新疆喀什地区喀什市库木代尔瓦扎街道玉吉米力克社区5组24号三层楼二楼 </w:t>
      </w:r>
    </w:p>
    <w:p w14:paraId="1F089340">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3.项目联系方式</w:t>
      </w:r>
    </w:p>
    <w:p w14:paraId="7343A08F">
      <w:pP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项目联系人：秦鹏</w:t>
      </w:r>
    </w:p>
    <w:p w14:paraId="7EFF06FB">
      <w:pP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电 话：18699865669</w:t>
      </w:r>
    </w:p>
    <w:p w14:paraId="56D8091D">
      <w:pPr>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color w:val="auto"/>
          <w:highlight w:val="none"/>
        </w:rPr>
        <w:br w:type="page"/>
      </w:r>
      <w:bookmarkStart w:id="1244" w:name="_Toc2787"/>
      <w:bookmarkStart w:id="1245" w:name="_Toc14411"/>
    </w:p>
    <w:p w14:paraId="470B8508">
      <w:pPr>
        <w:jc w:val="center"/>
        <w:rPr>
          <w:rFonts w:hint="eastAsia" w:ascii="仿宋" w:hAnsi="仿宋" w:eastAsia="仿宋" w:cs="仿宋"/>
          <w:b/>
          <w:bCs/>
          <w:color w:val="auto"/>
          <w:szCs w:val="32"/>
          <w:highlight w:val="none"/>
        </w:rPr>
      </w:pPr>
      <w:r>
        <w:rPr>
          <w:rFonts w:hint="eastAsia" w:ascii="仿宋" w:hAnsi="仿宋" w:eastAsia="仿宋" w:cs="仿宋"/>
          <w:b/>
          <w:bCs/>
          <w:color w:val="auto"/>
          <w:kern w:val="0"/>
          <w:sz w:val="32"/>
          <w:szCs w:val="32"/>
          <w:highlight w:val="none"/>
          <w:lang w:val="en-US" w:eastAsia="zh-CN" w:bidi="ar-SA"/>
        </w:rPr>
        <w:t>第4章  供应商须知资料表</w:t>
      </w:r>
      <w:bookmarkEnd w:id="1188"/>
      <w:bookmarkEnd w:id="1189"/>
      <w:bookmarkEnd w:id="1190"/>
      <w:bookmarkEnd w:id="1191"/>
      <w:bookmarkEnd w:id="1192"/>
      <w:bookmarkEnd w:id="1193"/>
      <w:bookmarkEnd w:id="1194"/>
      <w:bookmarkEnd w:id="1195"/>
      <w:bookmarkEnd w:id="1244"/>
      <w:bookmarkEnd w:id="1245"/>
    </w:p>
    <w:p w14:paraId="0C71CB42">
      <w:pPr>
        <w:spacing w:line="40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本表是本招标项目的具体资料，是对供应商须知的具体补充和修改，如有矛盾，应以本资料表为准。</w:t>
      </w:r>
    </w:p>
    <w:tbl>
      <w:tblPr>
        <w:tblStyle w:val="30"/>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01"/>
        <w:gridCol w:w="8159"/>
      </w:tblGrid>
      <w:tr w14:paraId="5B106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101" w:type="dxa"/>
            <w:vAlign w:val="center"/>
          </w:tcPr>
          <w:p w14:paraId="4C38054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条款号</w:t>
            </w:r>
          </w:p>
        </w:tc>
        <w:tc>
          <w:tcPr>
            <w:tcW w:w="8159" w:type="dxa"/>
            <w:vAlign w:val="center"/>
          </w:tcPr>
          <w:p w14:paraId="03AA671F">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428F5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trPr>
        <w:tc>
          <w:tcPr>
            <w:tcW w:w="1101" w:type="dxa"/>
            <w:vAlign w:val="center"/>
          </w:tcPr>
          <w:p w14:paraId="1EEE746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8159" w:type="dxa"/>
            <w:vAlign w:val="center"/>
          </w:tcPr>
          <w:p w14:paraId="1977A6DF">
            <w:pPr>
              <w:pStyle w:val="25"/>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textAlignment w:val="auto"/>
              <w:outlineLvl w:val="9"/>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采购人：喀什地区体育局</w:t>
            </w:r>
          </w:p>
          <w:p w14:paraId="43FD79AB">
            <w:pP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联系人：王学才    联系电话：15569161602 </w:t>
            </w:r>
          </w:p>
          <w:p w14:paraId="1BA3E7EF">
            <w:pPr>
              <w:rPr>
                <w:rFonts w:hint="eastAsia" w:ascii="仿宋" w:hAnsi="仿宋" w:eastAsia="仿宋" w:cs="仿宋"/>
                <w:color w:val="FF0000"/>
                <w:sz w:val="24"/>
                <w:szCs w:val="24"/>
                <w:highlight w:val="none"/>
                <w:lang w:val="en-US" w:eastAsia="zh-CN"/>
              </w:rPr>
            </w:pPr>
          </w:p>
        </w:tc>
      </w:tr>
      <w:tr w14:paraId="33AD6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2" w:hRule="atLeast"/>
        </w:trPr>
        <w:tc>
          <w:tcPr>
            <w:tcW w:w="1101" w:type="dxa"/>
            <w:vAlign w:val="center"/>
          </w:tcPr>
          <w:p w14:paraId="5D9F43D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8159" w:type="dxa"/>
            <w:vAlign w:val="center"/>
          </w:tcPr>
          <w:p w14:paraId="4B7C54CA">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w:t>
            </w:r>
            <w:r>
              <w:rPr>
                <w:rFonts w:hint="eastAsia" w:ascii="仿宋" w:hAnsi="仿宋" w:eastAsia="仿宋" w:cs="仿宋"/>
                <w:color w:val="auto"/>
                <w:kern w:val="2"/>
                <w:sz w:val="24"/>
                <w:szCs w:val="24"/>
                <w:highlight w:val="none"/>
                <w:lang w:val="en-US" w:eastAsia="zh-CN" w:bidi="ar-SA"/>
              </w:rPr>
              <w:t>新疆玖域招标代理有限公司</w:t>
            </w:r>
          </w:p>
          <w:p w14:paraId="0A06F28C">
            <w:pPr>
              <w:keepNext w:val="0"/>
              <w:keepLines w:val="0"/>
              <w:pageBreakBefore w:val="0"/>
              <w:kinsoku/>
              <w:wordWrap/>
              <w:overflowPunct/>
              <w:topLinePunct w:val="0"/>
              <w:autoSpaceDE/>
              <w:autoSpaceDN/>
              <w:bidi w:val="0"/>
              <w:adjustRightInd/>
              <w:snapToGrid/>
              <w:spacing w:line="360" w:lineRule="exact"/>
              <w:textAlignment w:val="auto"/>
              <w:rPr>
                <w:rFonts w:hint="default" w:ascii="仿宋" w:hAnsi="仿宋" w:eastAsia="仿宋" w:cs="仿宋"/>
                <w:color w:val="FF0000"/>
                <w:sz w:val="24"/>
                <w:szCs w:val="24"/>
                <w:highlight w:val="none"/>
                <w:lang w:val="en-US" w:eastAsia="zh-CN"/>
              </w:rPr>
            </w:pPr>
            <w:r>
              <w:rPr>
                <w:rFonts w:hint="eastAsia" w:ascii="仿宋" w:hAnsi="仿宋" w:eastAsia="仿宋" w:cs="仿宋"/>
                <w:color w:val="000000" w:themeColor="text1"/>
                <w:sz w:val="24"/>
                <w:szCs w:val="24"/>
                <w:highlight w:val="none"/>
                <w14:textFill>
                  <w14:solidFill>
                    <w14:schemeClr w14:val="tx1"/>
                  </w14:solidFill>
                </w14:textFill>
              </w:rPr>
              <w:t>业务联系人：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秦鹏</w:t>
            </w:r>
            <w:r>
              <w:rPr>
                <w:rFonts w:hint="eastAsia" w:ascii="仿宋" w:hAnsi="仿宋" w:eastAsia="仿宋" w:cs="仿宋"/>
                <w:color w:val="000000" w:themeColor="text1"/>
                <w:sz w:val="24"/>
                <w:szCs w:val="24"/>
                <w:highlight w:val="none"/>
                <w14:textFill>
                  <w14:solidFill>
                    <w14:schemeClr w14:val="tx1"/>
                  </w14:solidFill>
                </w14:textFill>
              </w:rPr>
              <w:t xml:space="preserve">　   联系电话：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18699865669</w:t>
            </w:r>
          </w:p>
        </w:tc>
      </w:tr>
      <w:tr w14:paraId="3E4E0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trPr>
        <w:tc>
          <w:tcPr>
            <w:tcW w:w="1101" w:type="dxa"/>
            <w:vAlign w:val="center"/>
          </w:tcPr>
          <w:p w14:paraId="420C7469">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w:t>
            </w:r>
          </w:p>
        </w:tc>
        <w:tc>
          <w:tcPr>
            <w:tcW w:w="8159" w:type="dxa"/>
            <w:vAlign w:val="center"/>
          </w:tcPr>
          <w:p w14:paraId="3F6C32B6">
            <w:pPr>
              <w:keepNext w:val="0"/>
              <w:keepLines w:val="0"/>
              <w:pageBreakBefore w:val="0"/>
              <w:widowControl/>
              <w:shd w:val="clear"/>
              <w:kinsoku/>
              <w:wordWrap/>
              <w:overflowPunct/>
              <w:topLinePunct w:val="0"/>
              <w:autoSpaceDE/>
              <w:autoSpaceDN/>
              <w:bidi w:val="0"/>
              <w:adjustRightInd/>
              <w:snapToGrid w:val="0"/>
              <w:spacing w:line="360" w:lineRule="exact"/>
              <w:jc w:val="left"/>
              <w:textAlignment w:val="baseline"/>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合格供应商的其他资格要求：</w:t>
            </w:r>
            <w:r>
              <w:rPr>
                <w:rFonts w:hint="eastAsia" w:ascii="仿宋" w:hAnsi="仿宋" w:eastAsia="仿宋" w:cs="仿宋"/>
                <w:b/>
                <w:bCs/>
                <w:color w:val="auto"/>
                <w:sz w:val="24"/>
                <w:szCs w:val="24"/>
                <w:highlight w:val="none"/>
                <w:lang w:val="en-US" w:eastAsia="zh-CN"/>
              </w:rPr>
              <w:t>（须将以下资格证明材料附在投标文件中）</w:t>
            </w:r>
          </w:p>
          <w:p w14:paraId="1B14A6C7">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color w:val="auto"/>
                <w:sz w:val="24"/>
                <w:szCs w:val="24"/>
                <w:highlight w:val="none"/>
                <w:lang w:val="en-US" w:eastAsia="zh-CN"/>
              </w:rPr>
              <w:t>1、合格有效的三证合一的营业执照（三证合一）或电子营业执照（需加盖公章）或同等法律效力的证明文件（发证机关或公证机关出具的证明材料）；</w:t>
            </w:r>
          </w:p>
          <w:p w14:paraId="198D80D5">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2、法定代表人资格证明及授权书、被授权人身份证(法定代表人投标需提供法定代表人身份证)；</w:t>
            </w:r>
          </w:p>
          <w:p w14:paraId="6B08049C">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3、提供近两年内任意一年的财务审计报告（新成立</w:t>
            </w:r>
            <w:r>
              <w:rPr>
                <w:rFonts w:hint="eastAsia" w:ascii="仿宋" w:hAnsi="仿宋" w:eastAsia="仿宋" w:cs="仿宋"/>
                <w:b/>
                <w:bCs/>
                <w:color w:val="auto"/>
                <w:sz w:val="24"/>
                <w:szCs w:val="24"/>
                <w:highlight w:val="none"/>
                <w:lang w:val="en-US" w:eastAsia="zh-CN"/>
              </w:rPr>
              <w:t>未满一年</w:t>
            </w:r>
            <w:r>
              <w:rPr>
                <w:rFonts w:hint="eastAsia" w:ascii="仿宋" w:hAnsi="仿宋" w:eastAsia="仿宋" w:cs="仿宋"/>
                <w:b/>
                <w:bCs/>
                <w:i w:val="0"/>
                <w:caps w:val="0"/>
                <w:color w:val="auto"/>
                <w:spacing w:val="0"/>
                <w:w w:val="100"/>
                <w:sz w:val="24"/>
                <w:szCs w:val="24"/>
                <w:highlight w:val="none"/>
                <w:lang w:val="en-US" w:eastAsia="zh-CN"/>
              </w:rPr>
              <w:t>的新公司可提供近三个月内任意一个月的银行资信证明）；</w:t>
            </w:r>
          </w:p>
          <w:p w14:paraId="17B90EAD">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4、依法缴纳近3个月内任意一个月社会保险证明；</w:t>
            </w:r>
          </w:p>
          <w:p w14:paraId="0E1A27E7">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5、依法缴纳近3个月内任意一个月税收证明；</w:t>
            </w:r>
          </w:p>
          <w:p w14:paraId="17C7B5EA">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p>
          <w:p w14:paraId="1EAD9AB2">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7、参与政府采购活动前3年内未被列入失信、重大税收违法案件、财政部门禁止参加政府采购活动的承诺书；</w:t>
            </w:r>
          </w:p>
          <w:p w14:paraId="1C94DED0">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eastAsia="zh-CN"/>
              </w:rPr>
            </w:pPr>
            <w:r>
              <w:rPr>
                <w:rFonts w:hint="eastAsia" w:ascii="仿宋" w:hAnsi="仿宋" w:eastAsia="仿宋" w:cs="仿宋"/>
                <w:b/>
                <w:bCs/>
                <w:i w:val="0"/>
                <w:caps w:val="0"/>
                <w:color w:val="auto"/>
                <w:spacing w:val="0"/>
                <w:w w:val="100"/>
                <w:sz w:val="24"/>
                <w:szCs w:val="24"/>
                <w:highlight w:val="none"/>
                <w:lang w:val="en-US" w:eastAsia="zh-CN"/>
              </w:rPr>
              <w:t>8、提供针对本次项目的《反商业贿赂承诺书》</w:t>
            </w:r>
            <w:r>
              <w:rPr>
                <w:rFonts w:hint="eastAsia" w:ascii="仿宋" w:hAnsi="仿宋" w:eastAsia="仿宋" w:cs="仿宋"/>
                <w:b/>
                <w:bCs/>
                <w:i w:val="0"/>
                <w:caps w:val="0"/>
                <w:color w:val="auto"/>
                <w:spacing w:val="0"/>
                <w:w w:val="100"/>
                <w:sz w:val="24"/>
                <w:szCs w:val="24"/>
                <w:highlight w:val="none"/>
                <w:lang w:eastAsia="zh-CN"/>
              </w:rPr>
              <w:t>；</w:t>
            </w:r>
          </w:p>
          <w:p w14:paraId="1437027B">
            <w:pPr>
              <w:pStyle w:val="22"/>
              <w:pageBreakBefore w:val="0"/>
              <w:kinsoku/>
              <w:wordWrap/>
              <w:overflowPunct/>
              <w:topLinePunct w:val="0"/>
              <w:bidi w:val="0"/>
              <w:spacing w:line="360" w:lineRule="exact"/>
              <w:rPr>
                <w:rFonts w:hint="eastAsia" w:ascii="仿宋" w:hAnsi="仿宋" w:eastAsia="仿宋" w:cs="仿宋"/>
                <w:b/>
                <w:bCs/>
                <w:i w:val="0"/>
                <w:caps w:val="0"/>
                <w:color w:val="auto"/>
                <w:spacing w:val="0"/>
                <w:w w:val="100"/>
                <w:kern w:val="2"/>
                <w:sz w:val="24"/>
                <w:szCs w:val="24"/>
                <w:highlight w:val="none"/>
                <w:lang w:val="en-US" w:eastAsia="zh-CN" w:bidi="ar-SA"/>
              </w:rPr>
            </w:pPr>
            <w:r>
              <w:rPr>
                <w:rFonts w:hint="eastAsia" w:ascii="仿宋" w:hAnsi="仿宋" w:eastAsia="仿宋" w:cs="仿宋"/>
                <w:b/>
                <w:bCs/>
                <w:i w:val="0"/>
                <w:caps w:val="0"/>
                <w:color w:val="auto"/>
                <w:spacing w:val="0"/>
                <w:w w:val="100"/>
                <w:kern w:val="2"/>
                <w:sz w:val="24"/>
                <w:szCs w:val="24"/>
                <w:highlight w:val="none"/>
                <w:lang w:val="en-US" w:eastAsia="zh-CN" w:bidi="ar-SA"/>
              </w:rPr>
              <w:t>9、缴纳投标保证金的有效凭证。</w:t>
            </w:r>
          </w:p>
          <w:p w14:paraId="64010C8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i w:val="0"/>
                <w:caps w:val="0"/>
                <w:color w:val="auto"/>
                <w:spacing w:val="0"/>
                <w:w w:val="100"/>
                <w:sz w:val="24"/>
                <w:szCs w:val="24"/>
                <w:highlight w:val="none"/>
              </w:rPr>
              <w:t>各供应商应注意以下事项：①本项目要求各投标供应商提供“</w:t>
            </w:r>
            <w:r>
              <w:rPr>
                <w:rFonts w:hint="eastAsia" w:ascii="仿宋" w:hAnsi="仿宋" w:eastAsia="仿宋" w:cs="仿宋"/>
                <w:b/>
                <w:bCs/>
                <w:i w:val="0"/>
                <w:caps w:val="0"/>
                <w:color w:val="auto"/>
                <w:spacing w:val="0"/>
                <w:w w:val="100"/>
                <w:sz w:val="24"/>
                <w:szCs w:val="24"/>
                <w:highlight w:val="none"/>
                <w:lang w:eastAsia="zh-CN"/>
              </w:rPr>
              <w:t>依法缴纳近六个月内任意一个月税收证明</w:t>
            </w:r>
            <w:r>
              <w:rPr>
                <w:rFonts w:hint="eastAsia" w:ascii="仿宋" w:hAnsi="仿宋" w:eastAsia="仿宋" w:cs="仿宋"/>
                <w:b/>
                <w:bCs/>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tc>
      </w:tr>
      <w:tr w14:paraId="599A5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101" w:type="dxa"/>
            <w:vAlign w:val="center"/>
          </w:tcPr>
          <w:p w14:paraId="0AE5384D">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 xml:space="preserve">1.3.5   </w:t>
            </w:r>
          </w:p>
        </w:tc>
        <w:tc>
          <w:tcPr>
            <w:tcW w:w="8159" w:type="dxa"/>
            <w:vAlign w:val="center"/>
          </w:tcPr>
          <w:p w14:paraId="6434D5AB">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是否允许采购进口产品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否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是、否）</w:t>
            </w:r>
            <w:r>
              <w:rPr>
                <w:rFonts w:hint="eastAsia" w:ascii="仿宋" w:hAnsi="仿宋" w:eastAsia="仿宋" w:cs="仿宋"/>
                <w:color w:val="auto"/>
                <w:sz w:val="24"/>
                <w:szCs w:val="24"/>
                <w:highlight w:val="none"/>
                <w:lang w:val="en-US" w:eastAsia="zh-CN"/>
              </w:rPr>
              <w:t xml:space="preserve"> </w:t>
            </w:r>
          </w:p>
        </w:tc>
      </w:tr>
      <w:tr w14:paraId="4BFAB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101" w:type="dxa"/>
            <w:vAlign w:val="center"/>
          </w:tcPr>
          <w:p w14:paraId="308DA645">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w:t>
            </w:r>
          </w:p>
        </w:tc>
        <w:tc>
          <w:tcPr>
            <w:tcW w:w="8159" w:type="dxa"/>
            <w:vAlign w:val="center"/>
          </w:tcPr>
          <w:p w14:paraId="0E75A876">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是否为专门面向中小企业采购：</w:t>
            </w:r>
            <w:r>
              <w:rPr>
                <w:rFonts w:hint="eastAsia" w:ascii="仿宋" w:hAnsi="仿宋" w:eastAsia="仿宋" w:cs="仿宋"/>
                <w:color w:val="auto"/>
                <w:sz w:val="24"/>
                <w:szCs w:val="24"/>
                <w:highlight w:val="none"/>
                <w:u w:val="single"/>
                <w:lang w:val="en-US" w:eastAsia="zh-CN"/>
              </w:rPr>
              <w:t xml:space="preserve">  否  </w:t>
            </w:r>
            <w:r>
              <w:rPr>
                <w:rFonts w:hint="eastAsia" w:ascii="仿宋" w:hAnsi="仿宋" w:eastAsia="仿宋" w:cs="仿宋"/>
                <w:color w:val="auto"/>
                <w:sz w:val="24"/>
                <w:szCs w:val="24"/>
                <w:highlight w:val="none"/>
                <w:lang w:eastAsia="zh-CN"/>
              </w:rPr>
              <w:t>（是、否）</w:t>
            </w:r>
          </w:p>
          <w:p w14:paraId="0B0C3E68">
            <w:pPr>
              <w:pStyle w:val="38"/>
              <w:ind w:left="0" w:leftChars="0" w:firstLine="0" w:firstLineChars="0"/>
              <w:rPr>
                <w:rFonts w:hint="default"/>
                <w:lang w:val="en-US" w:eastAsia="zh-CN"/>
              </w:rPr>
            </w:pPr>
            <w:r>
              <w:rPr>
                <w:rFonts w:hint="eastAsia" w:ascii="仿宋" w:hAnsi="仿宋" w:eastAsia="仿宋" w:cs="仿宋"/>
                <w:color w:val="auto"/>
                <w:sz w:val="24"/>
                <w:szCs w:val="24"/>
                <w:highlight w:val="none"/>
                <w:lang w:val="en-US" w:eastAsia="zh-CN"/>
              </w:rPr>
              <w:t>行业划分：</w:t>
            </w:r>
            <w:r>
              <w:rPr>
                <w:rFonts w:hint="eastAsia" w:ascii="仿宋" w:hAnsi="仿宋" w:eastAsia="仿宋" w:cs="仿宋"/>
                <w:b/>
                <w:bCs/>
                <w:color w:val="auto"/>
                <w:sz w:val="24"/>
                <w:szCs w:val="24"/>
                <w:highlight w:val="none"/>
                <w:lang w:val="en-US" w:eastAsia="zh-CN"/>
              </w:rPr>
              <w:t>工业；</w:t>
            </w:r>
          </w:p>
        </w:tc>
      </w:tr>
      <w:tr w14:paraId="34F91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101" w:type="dxa"/>
            <w:vAlign w:val="center"/>
          </w:tcPr>
          <w:p w14:paraId="29F1234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8159" w:type="dxa"/>
            <w:vAlign w:val="center"/>
          </w:tcPr>
          <w:p w14:paraId="6A2C5B54">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是否允许联合体投标：</w:t>
            </w:r>
            <w:r>
              <w:rPr>
                <w:rFonts w:hint="eastAsia" w:ascii="仿宋" w:hAnsi="仿宋" w:eastAsia="仿宋" w:cs="仿宋"/>
                <w:color w:val="auto"/>
                <w:sz w:val="24"/>
                <w:szCs w:val="24"/>
                <w:highlight w:val="none"/>
                <w:u w:val="single"/>
              </w:rPr>
              <w:t xml:space="preserve">  否  </w:t>
            </w:r>
            <w:r>
              <w:rPr>
                <w:rFonts w:hint="eastAsia" w:ascii="仿宋" w:hAnsi="仿宋" w:eastAsia="仿宋" w:cs="仿宋"/>
                <w:i w:val="0"/>
                <w:iCs/>
                <w:color w:val="auto"/>
                <w:sz w:val="24"/>
                <w:szCs w:val="24"/>
                <w:highlight w:val="none"/>
              </w:rPr>
              <w:t>（是、否）</w:t>
            </w:r>
          </w:p>
        </w:tc>
      </w:tr>
      <w:tr w14:paraId="52CD1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101" w:type="dxa"/>
            <w:vAlign w:val="center"/>
          </w:tcPr>
          <w:p w14:paraId="077CD21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1.4.8</w:t>
            </w:r>
          </w:p>
        </w:tc>
        <w:tc>
          <w:tcPr>
            <w:tcW w:w="8159" w:type="dxa"/>
            <w:vAlign w:val="center"/>
          </w:tcPr>
          <w:p w14:paraId="3E57ED7F">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联合体的其他资格要求：无</w:t>
            </w:r>
          </w:p>
        </w:tc>
      </w:tr>
      <w:tr w14:paraId="46FFE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101" w:type="dxa"/>
            <w:vAlign w:val="center"/>
          </w:tcPr>
          <w:p w14:paraId="5BF2F65E">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8159" w:type="dxa"/>
            <w:vAlign w:val="center"/>
          </w:tcPr>
          <w:p w14:paraId="7259B5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auto"/>
                <w:kern w:val="2"/>
                <w:sz w:val="24"/>
                <w:szCs w:val="24"/>
                <w:highlight w:val="none"/>
                <w:lang w:val="en-US" w:eastAsia="zh-CN" w:bidi="ar-SA"/>
              </w:rPr>
              <w:t>预算金额：</w:t>
            </w:r>
            <w:r>
              <w:rPr>
                <w:rFonts w:hint="eastAsia" w:ascii="仿宋" w:hAnsi="仿宋" w:eastAsia="仿宋" w:cs="仿宋"/>
                <w:color w:val="auto"/>
                <w:sz w:val="24"/>
                <w:szCs w:val="24"/>
                <w:highlight w:val="none"/>
                <w:lang w:val="en-US" w:eastAsia="zh-CN"/>
              </w:rPr>
              <w:t>1498769.00</w:t>
            </w:r>
            <w:r>
              <w:rPr>
                <w:rFonts w:hint="eastAsia" w:ascii="仿宋" w:hAnsi="仿宋" w:eastAsia="仿宋" w:cs="仿宋"/>
                <w:b/>
                <w:bCs/>
                <w:color w:val="auto"/>
                <w:kern w:val="2"/>
                <w:sz w:val="24"/>
                <w:szCs w:val="24"/>
                <w:highlight w:val="none"/>
                <w:lang w:val="en-US" w:eastAsia="zh-CN" w:bidi="ar-SA"/>
              </w:rPr>
              <w:t>元（壹佰肆拾玖万捌仟柒佰陆拾玖元整）</w:t>
            </w:r>
          </w:p>
        </w:tc>
      </w:tr>
      <w:tr w14:paraId="688FD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101" w:type="dxa"/>
            <w:vAlign w:val="center"/>
          </w:tcPr>
          <w:p w14:paraId="56187ECC">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8159" w:type="dxa"/>
            <w:vAlign w:val="center"/>
          </w:tcPr>
          <w:p w14:paraId="736E5B7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形式</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☑保函</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电汇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对公转账  </w:t>
            </w:r>
          </w:p>
          <w:p w14:paraId="1AE192C2">
            <w:pPr>
              <w:pStyle w:val="22"/>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b w:val="0"/>
                <w:bCs w:val="0"/>
                <w:color w:val="000000" w:themeColor="text1"/>
                <w:sz w:val="24"/>
                <w:szCs w:val="24"/>
                <w:highlight w:val="none"/>
                <w14:textFill>
                  <w14:solidFill>
                    <w14:schemeClr w14:val="tx1"/>
                  </w14:solidFill>
                </w14:textFill>
              </w:rPr>
              <w:t>保证金金额：</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21000.00</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 xml:space="preserve">元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w:t>
            </w:r>
          </w:p>
          <w:p w14:paraId="7664E1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（按照</w:t>
            </w:r>
            <w:r>
              <w:rPr>
                <w:rFonts w:hint="eastAsia" w:ascii="仿宋" w:hAnsi="仿宋" w:eastAsia="仿宋" w:cs="仿宋"/>
                <w:color w:val="000000" w:themeColor="text1"/>
                <w:sz w:val="24"/>
                <w:szCs w:val="24"/>
                <w:highlight w:val="none"/>
                <w:lang w:val="en-US" w:eastAsia="zh-CN"/>
                <w14:textFill>
                  <w14:solidFill>
                    <w14:schemeClr w14:val="tx1"/>
                  </w14:solidFill>
                </w14:textFill>
              </w:rPr>
              <w:t>预算</w:t>
            </w:r>
            <w:r>
              <w:rPr>
                <w:rFonts w:hint="eastAsia" w:ascii="仿宋" w:hAnsi="仿宋" w:eastAsia="仿宋" w:cs="仿宋"/>
                <w:color w:val="000000" w:themeColor="text1"/>
                <w:sz w:val="24"/>
                <w:szCs w:val="24"/>
                <w:highlight w:val="none"/>
                <w14:textFill>
                  <w14:solidFill>
                    <w14:schemeClr w14:val="tx1"/>
                  </w14:solidFill>
                </w14:textFill>
              </w:rPr>
              <w:t>金额2%以内的整数计算）</w:t>
            </w:r>
          </w:p>
          <w:p w14:paraId="3091A3A1">
            <w:pPr>
              <w:keepNext w:val="0"/>
              <w:keepLines w:val="0"/>
              <w:pageBreakBefore w:val="0"/>
              <w:kinsoku/>
              <w:wordWrap/>
              <w:overflowPunct/>
              <w:topLinePunct w:val="0"/>
              <w:autoSpaceDE/>
              <w:autoSpaceDN/>
              <w:bidi w:val="0"/>
              <w:adjustRightInd/>
              <w:spacing w:line="36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保证金收款人：</w:t>
            </w:r>
          </w:p>
          <w:p w14:paraId="1D7353D2">
            <w:pPr>
              <w:keepNext w:val="0"/>
              <w:keepLines w:val="0"/>
              <w:pageBreakBefore w:val="0"/>
              <w:kinsoku/>
              <w:wordWrap/>
              <w:overflowPunct/>
              <w:topLinePunct w:val="0"/>
              <w:autoSpaceDE/>
              <w:autoSpaceDN/>
              <w:bidi w:val="0"/>
              <w:adjustRightInd/>
              <w:spacing w:line="360" w:lineRule="exact"/>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en-US"/>
                <w14:textFill>
                  <w14:solidFill>
                    <w14:schemeClr w14:val="tx1"/>
                  </w14:solidFill>
                </w14:textFill>
              </w:rPr>
              <w:t>单位名称：</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新疆玖域招标代理有限公司</w:t>
            </w:r>
          </w:p>
          <w:p w14:paraId="28AE0575">
            <w:pPr>
              <w:keepNext w:val="0"/>
              <w:keepLines w:val="0"/>
              <w:pageBreakBefore w:val="0"/>
              <w:kinsoku/>
              <w:wordWrap/>
              <w:overflowPunct/>
              <w:topLinePunct w:val="0"/>
              <w:autoSpaceDE/>
              <w:autoSpaceDN/>
              <w:bidi w:val="0"/>
              <w:adjustRightInd/>
              <w:spacing w:line="360" w:lineRule="exact"/>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en-US"/>
                <w14:textFill>
                  <w14:solidFill>
                    <w14:schemeClr w14:val="tx1"/>
                  </w14:solidFill>
                </w14:textFill>
              </w:rPr>
              <w:t>开 户 行：中国工商银行</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股份有限公司</w:t>
            </w:r>
            <w:r>
              <w:rPr>
                <w:rFonts w:hint="eastAsia" w:ascii="仿宋" w:hAnsi="仿宋" w:eastAsia="仿宋" w:cs="仿宋"/>
                <w:b/>
                <w:bCs/>
                <w:color w:val="000000" w:themeColor="text1"/>
                <w:sz w:val="24"/>
                <w:szCs w:val="24"/>
                <w:highlight w:val="none"/>
                <w:lang w:val="en-US" w:eastAsia="en-US"/>
                <w14:textFill>
                  <w14:solidFill>
                    <w14:schemeClr w14:val="tx1"/>
                  </w14:solidFill>
                </w14:textFill>
              </w:rPr>
              <w:t>疏附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人民北路</w:t>
            </w:r>
            <w:r>
              <w:rPr>
                <w:rFonts w:hint="eastAsia" w:ascii="仿宋" w:hAnsi="仿宋" w:eastAsia="仿宋" w:cs="仿宋"/>
                <w:b/>
                <w:bCs/>
                <w:color w:val="000000" w:themeColor="text1"/>
                <w:sz w:val="24"/>
                <w:szCs w:val="24"/>
                <w:highlight w:val="none"/>
                <w:lang w:val="en-US" w:eastAsia="en-US"/>
                <w14:textFill>
                  <w14:solidFill>
                    <w14:schemeClr w14:val="tx1"/>
                  </w14:solidFill>
                </w14:textFill>
              </w:rPr>
              <w:t>支行</w:t>
            </w:r>
          </w:p>
          <w:p w14:paraId="6125CAD8">
            <w:pPr>
              <w:keepNext w:val="0"/>
              <w:keepLines w:val="0"/>
              <w:pageBreakBefore w:val="0"/>
              <w:kinsoku/>
              <w:wordWrap/>
              <w:overflowPunct/>
              <w:topLinePunct w:val="0"/>
              <w:autoSpaceDE/>
              <w:autoSpaceDN/>
              <w:bidi w:val="0"/>
              <w:adjustRightInd/>
              <w:spacing w:line="360" w:lineRule="exact"/>
              <w:rPr>
                <w:rFonts w:hint="eastAsia" w:ascii="仿宋" w:hAnsi="仿宋" w:eastAsia="仿宋" w:cs="仿宋"/>
                <w:b/>
                <w:bCs/>
                <w:color w:val="000000" w:themeColor="text1"/>
                <w:sz w:val="24"/>
                <w:szCs w:val="24"/>
                <w:highlight w:val="none"/>
                <w:lang w:val="en-US" w:eastAsia="en-US"/>
                <w14:textFill>
                  <w14:solidFill>
                    <w14:schemeClr w14:val="tx1"/>
                  </w14:solidFill>
                </w14:textFill>
              </w:rPr>
            </w:pPr>
            <w:r>
              <w:rPr>
                <w:rFonts w:hint="eastAsia" w:ascii="仿宋" w:hAnsi="仿宋" w:eastAsia="仿宋" w:cs="仿宋"/>
                <w:b/>
                <w:bCs/>
                <w:color w:val="000000" w:themeColor="text1"/>
                <w:sz w:val="24"/>
                <w:szCs w:val="24"/>
                <w:highlight w:val="none"/>
                <w:lang w:val="en-US" w:eastAsia="en-US"/>
                <w14:textFill>
                  <w14:solidFill>
                    <w14:schemeClr w14:val="tx1"/>
                  </w14:solidFill>
                </w14:textFill>
              </w:rPr>
              <w:t>账   号：3012341609200138254（电汇时请在汇款备注栏注明项目名称及包号</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en-US"/>
                <w14:textFill>
                  <w14:solidFill>
                    <w14:schemeClr w14:val="tx1"/>
                  </w14:solidFill>
                </w14:textFill>
              </w:rPr>
              <w:t>（如有），并注明是投标保证金，否则视为无效投标保证金）</w:t>
            </w:r>
          </w:p>
          <w:p w14:paraId="74B3CC39">
            <w:pPr>
              <w:keepNext w:val="0"/>
              <w:keepLines w:val="0"/>
              <w:pageBreakBefore w:val="0"/>
              <w:kinsoku/>
              <w:wordWrap/>
              <w:overflowPunct/>
              <w:topLinePunct w:val="0"/>
              <w:autoSpaceDE/>
              <w:autoSpaceDN/>
              <w:bidi w:val="0"/>
              <w:adjustRightInd/>
              <w:spacing w:line="36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行 号：102894200019</w:t>
            </w:r>
            <w:r>
              <w:rPr>
                <w:rFonts w:hint="eastAsia" w:ascii="仿宋" w:hAnsi="仿宋" w:eastAsia="仿宋" w:cs="仿宋"/>
                <w:b/>
                <w:bCs/>
                <w:color w:val="000000" w:themeColor="text1"/>
                <w:sz w:val="24"/>
                <w:szCs w:val="24"/>
                <w:highlight w:val="none"/>
                <w:lang w:val="en-US" w:eastAsia="en-US"/>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      </w:t>
            </w:r>
          </w:p>
          <w:p w14:paraId="25535C64">
            <w:pPr>
              <w:keepNext w:val="0"/>
              <w:keepLines w:val="0"/>
              <w:pageBreakBefore w:val="0"/>
              <w:kinsoku/>
              <w:wordWrap/>
              <w:overflowPunct/>
              <w:topLinePunct w:val="0"/>
              <w:autoSpaceDE/>
              <w:autoSpaceDN/>
              <w:bidi w:val="0"/>
              <w:adjustRightInd/>
              <w:spacing w:line="36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A:缴纳</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投标保证金</w:t>
            </w:r>
            <w:r>
              <w:rPr>
                <w:rFonts w:hint="eastAsia" w:ascii="仿宋" w:hAnsi="仿宋" w:eastAsia="仿宋" w:cs="仿宋"/>
                <w:b/>
                <w:bCs/>
                <w:color w:val="000000" w:themeColor="text1"/>
                <w:sz w:val="24"/>
                <w:szCs w:val="24"/>
                <w:highlight w:val="none"/>
                <w14:textFill>
                  <w14:solidFill>
                    <w14:schemeClr w14:val="tx1"/>
                  </w14:solidFill>
                </w14:textFill>
              </w:rPr>
              <w:t>保证金要求：投标保证金必须在开标前交到</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新疆玖域招标代理有限公司</w:t>
            </w:r>
            <w:r>
              <w:rPr>
                <w:rFonts w:hint="eastAsia" w:ascii="仿宋" w:hAnsi="仿宋" w:eastAsia="仿宋" w:cs="仿宋"/>
                <w:b/>
                <w:bCs/>
                <w:color w:val="000000" w:themeColor="text1"/>
                <w:sz w:val="24"/>
                <w:szCs w:val="24"/>
                <w:highlight w:val="none"/>
                <w14:textFill>
                  <w14:solidFill>
                    <w14:schemeClr w14:val="tx1"/>
                  </w14:solidFill>
                </w14:textFill>
              </w:rPr>
              <w:t>账户中。不接受现金、支票及任何个人、分公司汇款</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供应商向银行办理保证金汇（转）款时，应在用途栏（备注栏）注明项目名称及包号（如有），并注明是投标保证金字样，如填写字数有要求可简写项目名称与包号（如有），由于未按要求注明信息而导致的一切后果由供应商自行承担。</w:t>
            </w:r>
          </w:p>
          <w:p w14:paraId="129F5EF4">
            <w:pPr>
              <w:keepNext w:val="0"/>
              <w:keepLines w:val="0"/>
              <w:pageBreakBefore w:val="0"/>
              <w:kinsoku/>
              <w:wordWrap/>
              <w:overflowPunct/>
              <w:topLinePunct w:val="0"/>
              <w:autoSpaceDE/>
              <w:autoSpaceDN/>
              <w:bidi w:val="0"/>
              <w:adjustRightInd/>
              <w:spacing w:line="360" w:lineRule="exact"/>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B：退</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b/>
                <w:bCs/>
                <w:color w:val="000000" w:themeColor="text1"/>
                <w:sz w:val="24"/>
                <w:szCs w:val="24"/>
                <w:highlight w:val="none"/>
                <w14:textFill>
                  <w14:solidFill>
                    <w14:schemeClr w14:val="tx1"/>
                  </w14:solidFill>
                </w14:textFill>
              </w:rPr>
              <w:t>保证金：根据《中华人民共和国财政部令第87号--政府采购货物和货物招标投标管理办法》第三十八条</w:t>
            </w:r>
            <w:r>
              <w:rPr>
                <w:rFonts w:hint="eastAsia" w:ascii="仿宋" w:hAnsi="仿宋" w:eastAsia="仿宋" w:cs="仿宋"/>
                <w:b/>
                <w:bCs/>
                <w:color w:val="000000" w:themeColor="text1"/>
                <w:sz w:val="24"/>
                <w:szCs w:val="24"/>
                <w:highlight w:val="none"/>
                <w:lang w:eastAsia="zh-CN"/>
                <w14:textFill>
                  <w14:solidFill>
                    <w14:schemeClr w14:val="tx1"/>
                  </w14:solidFill>
                </w14:textFill>
              </w:rPr>
              <w:t>供应商</w:t>
            </w:r>
            <w:r>
              <w:rPr>
                <w:rFonts w:hint="eastAsia" w:ascii="仿宋" w:hAnsi="仿宋" w:eastAsia="仿宋" w:cs="仿宋"/>
                <w:b/>
                <w:bCs/>
                <w:color w:val="000000" w:themeColor="text1"/>
                <w:sz w:val="24"/>
                <w:szCs w:val="24"/>
                <w:highlight w:val="none"/>
                <w14:textFill>
                  <w14:solidFill>
                    <w14:schemeClr w14:val="tx1"/>
                  </w14:solidFill>
                </w14:textFill>
              </w:rPr>
              <w:t>在投标截止时间前撤回已提交的投标文件的，采购人或者采购代理机构应当自收到</w:t>
            </w:r>
            <w:r>
              <w:rPr>
                <w:rFonts w:hint="eastAsia" w:ascii="仿宋" w:hAnsi="仿宋" w:eastAsia="仿宋" w:cs="仿宋"/>
                <w:b/>
                <w:bCs/>
                <w:color w:val="000000" w:themeColor="text1"/>
                <w:sz w:val="24"/>
                <w:szCs w:val="24"/>
                <w:highlight w:val="none"/>
                <w:lang w:eastAsia="zh-CN"/>
                <w14:textFill>
                  <w14:solidFill>
                    <w14:schemeClr w14:val="tx1"/>
                  </w14:solidFill>
                </w14:textFill>
              </w:rPr>
              <w:t>供应商</w:t>
            </w:r>
            <w:r>
              <w:rPr>
                <w:rFonts w:hint="eastAsia" w:ascii="仿宋" w:hAnsi="仿宋" w:eastAsia="仿宋" w:cs="仿宋"/>
                <w:b/>
                <w:bCs/>
                <w:color w:val="000000" w:themeColor="text1"/>
                <w:sz w:val="24"/>
                <w:szCs w:val="24"/>
                <w:highlight w:val="none"/>
                <w14:textFill>
                  <w14:solidFill>
                    <w14:schemeClr w14:val="tx1"/>
                  </w14:solidFill>
                </w14:textFill>
              </w:rPr>
              <w:t>书面撤回通知之日起５个工作日内，退还已收取的投标保证金，但因</w:t>
            </w:r>
            <w:r>
              <w:rPr>
                <w:rFonts w:hint="eastAsia" w:ascii="仿宋" w:hAnsi="仿宋" w:eastAsia="仿宋" w:cs="仿宋"/>
                <w:b/>
                <w:bCs/>
                <w:color w:val="000000" w:themeColor="text1"/>
                <w:sz w:val="24"/>
                <w:szCs w:val="24"/>
                <w:highlight w:val="none"/>
                <w:lang w:eastAsia="zh-CN"/>
                <w14:textFill>
                  <w14:solidFill>
                    <w14:schemeClr w14:val="tx1"/>
                  </w14:solidFill>
                </w14:textFill>
              </w:rPr>
              <w:t>供应商</w:t>
            </w:r>
            <w:r>
              <w:rPr>
                <w:rFonts w:hint="eastAsia" w:ascii="仿宋" w:hAnsi="仿宋" w:eastAsia="仿宋" w:cs="仿宋"/>
                <w:b/>
                <w:bCs/>
                <w:color w:val="000000" w:themeColor="text1"/>
                <w:sz w:val="24"/>
                <w:szCs w:val="24"/>
                <w:highlight w:val="none"/>
                <w14:textFill>
                  <w14:solidFill>
                    <w14:schemeClr w14:val="tx1"/>
                  </w14:solidFill>
                </w14:textFill>
              </w:rPr>
              <w:t>自身原因导致无法及时退还的除外。采购人或者采购代理机构应当自中标通知书发出之日起5个工作日内退还未</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中标供应商</w:t>
            </w:r>
            <w:r>
              <w:rPr>
                <w:rFonts w:hint="eastAsia" w:ascii="仿宋" w:hAnsi="仿宋" w:eastAsia="仿宋" w:cs="仿宋"/>
                <w:b/>
                <w:bCs/>
                <w:color w:val="000000" w:themeColor="text1"/>
                <w:sz w:val="24"/>
                <w:szCs w:val="24"/>
                <w:highlight w:val="none"/>
                <w14:textFill>
                  <w14:solidFill>
                    <w14:schemeClr w14:val="tx1"/>
                  </w14:solidFill>
                </w14:textFill>
              </w:rPr>
              <w:t>的投标保证金，自采购合同签订之日起5个工作日内退还</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中标供应商</w:t>
            </w:r>
            <w:r>
              <w:rPr>
                <w:rFonts w:hint="eastAsia" w:ascii="仿宋" w:hAnsi="仿宋" w:eastAsia="仿宋" w:cs="仿宋"/>
                <w:b/>
                <w:bCs/>
                <w:color w:val="000000" w:themeColor="text1"/>
                <w:sz w:val="24"/>
                <w:szCs w:val="24"/>
                <w:highlight w:val="none"/>
                <w14:textFill>
                  <w14:solidFill>
                    <w14:schemeClr w14:val="tx1"/>
                  </w14:solidFill>
                </w14:textFill>
              </w:rPr>
              <w:t>的投标保证金。</w:t>
            </w:r>
          </w:p>
        </w:tc>
      </w:tr>
      <w:tr w14:paraId="54CA1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101" w:type="dxa"/>
            <w:vAlign w:val="center"/>
          </w:tcPr>
          <w:p w14:paraId="0C6F570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p>
        </w:tc>
        <w:tc>
          <w:tcPr>
            <w:tcW w:w="8159" w:type="dxa"/>
            <w:vAlign w:val="center"/>
          </w:tcPr>
          <w:p w14:paraId="04D5D069">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投标有效期：</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90</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日历日</w:t>
            </w:r>
          </w:p>
        </w:tc>
      </w:tr>
      <w:tr w14:paraId="0049B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1101" w:type="dxa"/>
            <w:vAlign w:val="center"/>
          </w:tcPr>
          <w:p w14:paraId="0CBFEB4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8159" w:type="dxa"/>
            <w:vAlign w:val="center"/>
          </w:tcPr>
          <w:p w14:paraId="002584EA">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（1）本项目为电子招投标，供应商需要使用CA加密</w:t>
            </w:r>
            <w:r>
              <w:rPr>
                <w:rFonts w:hint="eastAsia" w:ascii="仿宋" w:hAnsi="仿宋" w:eastAsia="仿宋" w:cs="仿宋"/>
                <w:b/>
                <w:bCs/>
                <w:color w:val="auto"/>
                <w:sz w:val="24"/>
                <w:highlight w:val="none"/>
                <w:lang w:eastAsia="zh-CN"/>
              </w:rPr>
              <w:t>货物</w:t>
            </w:r>
            <w:r>
              <w:rPr>
                <w:rFonts w:hint="eastAsia" w:ascii="仿宋" w:hAnsi="仿宋" w:eastAsia="仿宋" w:cs="仿宋"/>
                <w:b/>
                <w:bCs/>
                <w:color w:val="auto"/>
                <w:sz w:val="24"/>
                <w:highlight w:val="none"/>
              </w:rPr>
              <w:t>，凡参加本项目必须可自主通过新疆CA申领渠道“新疆政务通”申请政采云平台可使用的CA</w:t>
            </w:r>
            <w:r>
              <w:rPr>
                <w:rFonts w:hint="eastAsia" w:ascii="仿宋" w:hAnsi="仿宋" w:eastAsia="仿宋" w:cs="仿宋"/>
                <w:b/>
                <w:bCs/>
                <w:color w:val="auto"/>
                <w:sz w:val="24"/>
                <w:highlight w:val="none"/>
                <w:lang w:eastAsia="zh-CN"/>
              </w:rPr>
              <w:t>货物</w:t>
            </w:r>
            <w:r>
              <w:rPr>
                <w:rFonts w:hint="eastAsia" w:ascii="仿宋" w:hAnsi="仿宋" w:eastAsia="仿宋" w:cs="仿宋"/>
                <w:b/>
                <w:bCs/>
                <w:color w:val="auto"/>
                <w:sz w:val="24"/>
                <w:highlight w:val="none"/>
              </w:rPr>
              <w:t>，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DFF8430">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（2）本项目实行网上投标，采用电子投标文件(供应商须使用CA加密</w:t>
            </w:r>
            <w:r>
              <w:rPr>
                <w:rFonts w:hint="eastAsia" w:ascii="仿宋" w:hAnsi="仿宋" w:eastAsia="仿宋" w:cs="仿宋"/>
                <w:b/>
                <w:bCs/>
                <w:color w:val="auto"/>
                <w:sz w:val="24"/>
                <w:highlight w:val="none"/>
                <w:lang w:eastAsia="zh-CN"/>
              </w:rPr>
              <w:t>货物</w:t>
            </w:r>
            <w:r>
              <w:rPr>
                <w:rFonts w:hint="eastAsia" w:ascii="仿宋" w:hAnsi="仿宋" w:eastAsia="仿宋" w:cs="仿宋"/>
                <w:b/>
                <w:bCs/>
                <w:color w:val="auto"/>
                <w:sz w:val="24"/>
                <w:highlight w:val="none"/>
              </w:rPr>
              <w:t>通过政采云电子投标客户端制作投标文件)。若供应商参与投标，自行承担投标一切费用。</w:t>
            </w:r>
          </w:p>
          <w:p w14:paraId="788F0433">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750BBA0C">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305A5839">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（5）供应商在开标时须使用制作加密电子投标文件所使用的CA锁及电脑，电脑须提前配置好浏览器（建议使用360浏览器或谷歌浏览器），以便开标时解锁。</w:t>
            </w:r>
          </w:p>
          <w:p w14:paraId="51D81469">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（6）投标保证金缴纳及确认时间：凡拟参加本次招标项目的供应商，必须在开标前将投标保证金汇入指定账户。否则，届时其投标将被拒绝。</w:t>
            </w:r>
          </w:p>
          <w:p w14:paraId="1236C529">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471E4C73">
            <w:pPr>
              <w:shd w:val="clear"/>
              <w:spacing w:beforeAutospacing="0" w:afterAutospacing="0" w:line="400" w:lineRule="exact"/>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8）各供应商须在投标截止时间前完成在系统上递交电子投标文件。投标供应商的电子投标文件是经过CA证书加密后上传提交的，任何单位或个人均无法在投标截止时间(即投标时间)之前查看或篡改，不存在泄密风险。（严格按照政采云电子投标流程制作并上传完整版的电子投标文件后缀为.bfbs，包含第一部分开标一览表及资格证明文件、第二部分商务及技术文件）</w:t>
            </w:r>
          </w:p>
          <w:p w14:paraId="785847C7">
            <w:pPr>
              <w:shd w:val="clear"/>
              <w:spacing w:beforeAutospacing="0" w:afterAutospacing="0" w:line="400" w:lineRule="exact"/>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9）各供应商应完整地按招标文件提供的投标文件格式及要求编写投标文件，根据平台关联点上传对应佐证资料，投标文件应包括“开标一览表及资格证明文件”和“商务及技术文件”两部分，两部分合并成完整一册上传至政采云平台。</w:t>
            </w:r>
          </w:p>
          <w:p w14:paraId="73AA3908">
            <w:pPr>
              <w:pStyle w:val="2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highlight w:val="none"/>
                <w:lang w:val="en-US" w:eastAsia="zh-CN"/>
              </w:rPr>
              <w:t>（10）解密时长为30分钟，超出解密时长，作无效投标处理。</w:t>
            </w:r>
          </w:p>
        </w:tc>
      </w:tr>
      <w:tr w14:paraId="49E90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101" w:type="dxa"/>
            <w:vAlign w:val="center"/>
          </w:tcPr>
          <w:p w14:paraId="03F7ED3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p>
        </w:tc>
        <w:tc>
          <w:tcPr>
            <w:tcW w:w="8159" w:type="dxa"/>
            <w:vAlign w:val="center"/>
          </w:tcPr>
          <w:p w14:paraId="4A18FE24">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auto"/>
                <w:sz w:val="24"/>
                <w:szCs w:val="24"/>
                <w:highlight w:val="none"/>
              </w:rPr>
              <w:t>投标截止时间</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2026 </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 xml:space="preserve">05 </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15</w:t>
            </w:r>
            <w:r>
              <w:rPr>
                <w:rFonts w:hint="eastAsia" w:ascii="仿宋" w:hAnsi="仿宋" w:eastAsia="仿宋" w:cs="仿宋"/>
                <w:b/>
                <w:bCs/>
                <w:color w:val="auto"/>
                <w:sz w:val="24"/>
                <w:szCs w:val="24"/>
                <w:highlight w:val="none"/>
                <w:lang w:eastAsia="zh-CN"/>
              </w:rPr>
              <w:t>日</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00</w:t>
            </w:r>
            <w:r>
              <w:rPr>
                <w:rFonts w:hint="eastAsia" w:ascii="仿宋" w:hAnsi="仿宋" w:eastAsia="仿宋" w:cs="仿宋"/>
                <w:b/>
                <w:bCs/>
                <w:color w:val="auto"/>
                <w:sz w:val="24"/>
                <w:szCs w:val="24"/>
                <w:highlight w:val="none"/>
                <w:lang w:eastAsia="zh-CN"/>
              </w:rPr>
              <w:t>（北京时间）</w:t>
            </w:r>
          </w:p>
        </w:tc>
      </w:tr>
      <w:tr w14:paraId="31273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1101" w:type="dxa"/>
            <w:vAlign w:val="center"/>
          </w:tcPr>
          <w:p w14:paraId="6254BCC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p>
        </w:tc>
        <w:tc>
          <w:tcPr>
            <w:tcW w:w="8159" w:type="dxa"/>
            <w:vAlign w:val="center"/>
          </w:tcPr>
          <w:p w14:paraId="1D8D4E3D">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开标时间</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lang w:val="en-US" w:eastAsia="zh-CN"/>
              </w:rPr>
              <w:t xml:space="preserve">2026 </w:t>
            </w:r>
            <w:r>
              <w:rPr>
                <w:rFonts w:hint="eastAsia" w:ascii="仿宋" w:hAnsi="仿宋" w:eastAsia="仿宋" w:cs="仿宋"/>
                <w:b/>
                <w:bCs/>
                <w:color w:val="auto"/>
                <w:sz w:val="24"/>
                <w:szCs w:val="24"/>
                <w:highlight w:val="none"/>
                <w:lang w:eastAsia="zh-CN"/>
              </w:rPr>
              <w:t>年</w:t>
            </w:r>
            <w:r>
              <w:rPr>
                <w:rFonts w:hint="eastAsia" w:ascii="仿宋" w:hAnsi="仿宋" w:eastAsia="仿宋" w:cs="仿宋"/>
                <w:b/>
                <w:bCs/>
                <w:color w:val="auto"/>
                <w:sz w:val="24"/>
                <w:szCs w:val="24"/>
                <w:highlight w:val="none"/>
                <w:lang w:val="en-US" w:eastAsia="zh-CN"/>
              </w:rPr>
              <w:t xml:space="preserve"> 05</w:t>
            </w:r>
            <w:r>
              <w:rPr>
                <w:rFonts w:hint="eastAsia" w:ascii="仿宋" w:hAnsi="仿宋" w:eastAsia="仿宋" w:cs="仿宋"/>
                <w:b/>
                <w:bCs/>
                <w:color w:val="auto"/>
                <w:sz w:val="24"/>
                <w:szCs w:val="24"/>
                <w:highlight w:val="none"/>
                <w:lang w:eastAsia="zh-CN"/>
              </w:rPr>
              <w:t>月</w:t>
            </w:r>
            <w:r>
              <w:rPr>
                <w:rFonts w:hint="eastAsia" w:ascii="仿宋" w:hAnsi="仿宋" w:eastAsia="仿宋" w:cs="仿宋"/>
                <w:b/>
                <w:bCs/>
                <w:color w:val="auto"/>
                <w:sz w:val="24"/>
                <w:szCs w:val="24"/>
                <w:highlight w:val="none"/>
                <w:lang w:val="en-US" w:eastAsia="zh-CN"/>
              </w:rPr>
              <w:t xml:space="preserve"> 15</w:t>
            </w:r>
            <w:r>
              <w:rPr>
                <w:rFonts w:hint="eastAsia" w:ascii="仿宋" w:hAnsi="仿宋" w:eastAsia="仿宋" w:cs="仿宋"/>
                <w:b/>
                <w:bCs/>
                <w:color w:val="auto"/>
                <w:sz w:val="24"/>
                <w:szCs w:val="24"/>
                <w:highlight w:val="none"/>
                <w:lang w:eastAsia="zh-CN"/>
              </w:rPr>
              <w:t>日</w:t>
            </w:r>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0</w:t>
            </w:r>
            <w:r>
              <w:rPr>
                <w:rFonts w:hint="eastAsia" w:ascii="仿宋" w:hAnsi="仿宋" w:eastAsia="仿宋" w:cs="仿宋"/>
                <w:b/>
                <w:bCs/>
                <w:color w:val="auto"/>
                <w:sz w:val="24"/>
                <w:szCs w:val="24"/>
                <w:highlight w:val="none"/>
              </w:rPr>
              <w:t>0</w:t>
            </w:r>
            <w:r>
              <w:rPr>
                <w:rFonts w:hint="eastAsia" w:ascii="仿宋" w:hAnsi="仿宋" w:eastAsia="仿宋" w:cs="仿宋"/>
                <w:b/>
                <w:bCs/>
                <w:color w:val="auto"/>
                <w:sz w:val="24"/>
                <w:szCs w:val="24"/>
                <w:highlight w:val="none"/>
                <w:lang w:eastAsia="zh-CN"/>
              </w:rPr>
              <w:t>（北京时间）</w:t>
            </w:r>
          </w:p>
          <w:p w14:paraId="2217A7F1">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开标地点：</w:t>
            </w:r>
            <w:r>
              <w:rPr>
                <w:rFonts w:hint="eastAsia" w:ascii="仿宋" w:hAnsi="仿宋" w:eastAsia="仿宋" w:cs="仿宋"/>
                <w:b/>
                <w:bCs/>
                <w:color w:val="000000" w:themeColor="text1"/>
                <w:sz w:val="24"/>
                <w:szCs w:val="24"/>
                <w:highlight w:val="none"/>
                <w:lang w:eastAsia="zh-CN"/>
                <w14:textFill>
                  <w14:solidFill>
                    <w14:schemeClr w14:val="tx1"/>
                  </w14:solidFill>
                </w14:textFill>
              </w:rPr>
              <w:t>政采云平台</w:t>
            </w:r>
            <w:r>
              <w:rPr>
                <w:rFonts w:hint="eastAsia" w:ascii="仿宋" w:hAnsi="仿宋" w:eastAsia="仿宋" w:cs="仿宋"/>
                <w:b/>
                <w:bCs/>
                <w:color w:val="000000" w:themeColor="text1"/>
                <w:sz w:val="24"/>
                <w:szCs w:val="24"/>
                <w:highlight w:val="none"/>
                <w14:textFill>
                  <w14:solidFill>
                    <w14:schemeClr w14:val="tx1"/>
                  </w14:solidFill>
                </w14:textFill>
              </w:rPr>
              <w:t>（https://login.zcygov.cn/user-login/#/login）</w:t>
            </w:r>
          </w:p>
        </w:tc>
      </w:tr>
      <w:tr w14:paraId="3B13D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101" w:type="dxa"/>
            <w:vAlign w:val="center"/>
          </w:tcPr>
          <w:p w14:paraId="16000C5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p>
        </w:tc>
        <w:tc>
          <w:tcPr>
            <w:tcW w:w="8159" w:type="dxa"/>
            <w:vAlign w:val="center"/>
          </w:tcPr>
          <w:p w14:paraId="51684740">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i/>
                <w:color w:val="auto"/>
                <w:sz w:val="24"/>
                <w:szCs w:val="24"/>
                <w:highlight w:val="none"/>
              </w:rPr>
            </w:pPr>
            <w:r>
              <w:rPr>
                <w:rFonts w:hint="eastAsia" w:ascii="仿宋" w:hAnsi="仿宋" w:eastAsia="仿宋" w:cs="仿宋"/>
                <w:color w:val="auto"/>
                <w:sz w:val="24"/>
                <w:szCs w:val="24"/>
                <w:highlight w:val="none"/>
              </w:rPr>
              <w:t>评标方法：适用</w:t>
            </w:r>
            <w:r>
              <w:rPr>
                <w:rFonts w:hint="eastAsia" w:ascii="仿宋" w:hAnsi="仿宋" w:eastAsia="仿宋" w:cs="仿宋"/>
                <w:color w:val="auto"/>
                <w:sz w:val="24"/>
                <w:szCs w:val="24"/>
                <w:highlight w:val="none"/>
                <w:u w:val="single"/>
              </w:rPr>
              <w:t>　综合评分法　</w:t>
            </w:r>
            <w:r>
              <w:rPr>
                <w:rFonts w:hint="eastAsia" w:ascii="仿宋" w:hAnsi="仿宋" w:eastAsia="仿宋" w:cs="仿宋"/>
                <w:color w:val="auto"/>
                <w:sz w:val="24"/>
                <w:szCs w:val="24"/>
                <w:highlight w:val="none"/>
              </w:rPr>
              <w:t>　　　　　</w:t>
            </w:r>
          </w:p>
        </w:tc>
      </w:tr>
      <w:tr w14:paraId="16E9E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101" w:type="dxa"/>
            <w:vAlign w:val="center"/>
          </w:tcPr>
          <w:p w14:paraId="7ACB405C">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8159" w:type="dxa"/>
            <w:vAlign w:val="center"/>
          </w:tcPr>
          <w:p w14:paraId="7EE5A86F">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推荐中标候选供应商的数量：</w:t>
            </w:r>
            <w:r>
              <w:rPr>
                <w:rFonts w:hint="eastAsia" w:ascii="仿宋" w:hAnsi="仿宋" w:eastAsia="仿宋" w:cs="仿宋"/>
                <w:color w:val="auto"/>
                <w:sz w:val="24"/>
                <w:szCs w:val="24"/>
                <w:highlight w:val="none"/>
                <w:u w:val="single"/>
              </w:rPr>
              <w:t>　  3 　　</w:t>
            </w:r>
          </w:p>
        </w:tc>
      </w:tr>
      <w:tr w14:paraId="5C45A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101" w:type="dxa"/>
            <w:vAlign w:val="center"/>
          </w:tcPr>
          <w:p w14:paraId="5AADB9F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8159" w:type="dxa"/>
            <w:vAlign w:val="center"/>
          </w:tcPr>
          <w:p w14:paraId="64D84310">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是否委托评标委员会直接确定中标人：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否</w:t>
            </w:r>
            <w:r>
              <w:rPr>
                <w:rFonts w:hint="eastAsia" w:ascii="仿宋" w:hAnsi="仿宋" w:eastAsia="仿宋" w:cs="仿宋"/>
                <w:color w:val="auto"/>
                <w:sz w:val="24"/>
                <w:szCs w:val="24"/>
                <w:highlight w:val="none"/>
                <w:u w:val="single"/>
              </w:rPr>
              <w:t xml:space="preserve"> </w:t>
            </w:r>
            <w:r>
              <w:rPr>
                <w:rFonts w:hint="eastAsia" w:ascii="仿宋" w:hAnsi="仿宋" w:eastAsia="仿宋" w:cs="仿宋"/>
                <w:i w:val="0"/>
                <w:iCs w:val="0"/>
                <w:color w:val="auto"/>
                <w:sz w:val="24"/>
                <w:szCs w:val="24"/>
                <w:highlight w:val="none"/>
              </w:rPr>
              <w:t xml:space="preserve"> （是、否）</w:t>
            </w:r>
          </w:p>
        </w:tc>
      </w:tr>
      <w:tr w14:paraId="6BC1E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101" w:type="dxa"/>
            <w:vAlign w:val="center"/>
          </w:tcPr>
          <w:p w14:paraId="581F2CC8">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8159" w:type="dxa"/>
            <w:vAlign w:val="center"/>
          </w:tcPr>
          <w:p w14:paraId="5D54D089">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履约保证金金额：合同价</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（不得超过政府采购合同金额的 10%）</w:t>
            </w:r>
          </w:p>
          <w:p w14:paraId="5E231D73">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履约保证金形式：电汇、支票、保函等非现金形式</w:t>
            </w:r>
          </w:p>
          <w:p w14:paraId="109D3433">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提交履约保证金的时间：签订合同并缴纳</w:t>
            </w:r>
          </w:p>
          <w:p w14:paraId="735682C8">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注：1.双方可以通过协商另行约定其他退还时间和方式及用途。</w:t>
            </w:r>
          </w:p>
          <w:p w14:paraId="0373DB8D">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2.提供保函的的担保机构必须是依法成立的具有相关资质和偿付能力的担保 机构。保函是银行等金融机构出具的，否则将取消成交资格，采购人将重新确 定成交供应商，并依法追究法律责任。</w:t>
            </w:r>
          </w:p>
          <w:p w14:paraId="1544D4F4">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3.开户行、银行账号等信息签订合同前由采购人提供</w:t>
            </w:r>
          </w:p>
        </w:tc>
      </w:tr>
      <w:tr w14:paraId="08A70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101" w:type="dxa"/>
            <w:vAlign w:val="center"/>
          </w:tcPr>
          <w:p w14:paraId="4D307765">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p>
        </w:tc>
        <w:tc>
          <w:tcPr>
            <w:tcW w:w="8159" w:type="dxa"/>
            <w:vAlign w:val="center"/>
          </w:tcPr>
          <w:p w14:paraId="7131F564">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招标代理</w:t>
            </w:r>
            <w:r>
              <w:rPr>
                <w:rFonts w:hint="eastAsia" w:ascii="仿宋" w:hAnsi="仿宋" w:eastAsia="仿宋" w:cs="仿宋"/>
                <w:color w:val="auto"/>
                <w:sz w:val="24"/>
                <w:szCs w:val="24"/>
                <w:highlight w:val="none"/>
              </w:rPr>
              <w:t>服务费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中标服务费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根据国家计委关于印发《招标代理服务收费管理暂行办法》的通知-计价格 [2002]1980 号文件为依据收取。由中标单位在领取中标通知书前支付。                                                                             </w:t>
            </w:r>
          </w:p>
          <w:p w14:paraId="70987DF4">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支付形式：</w:t>
            </w:r>
            <w:r>
              <w:rPr>
                <w:rFonts w:hint="eastAsia" w:ascii="仿宋" w:hAnsi="仿宋" w:eastAsia="仿宋" w:cs="仿宋"/>
                <w:color w:val="auto"/>
                <w:sz w:val="24"/>
                <w:szCs w:val="24"/>
                <w:highlight w:val="none"/>
                <w:u w:val="single"/>
              </w:rPr>
              <w:t xml:space="preserve">  对公转账  </w:t>
            </w:r>
          </w:p>
          <w:p w14:paraId="13FAD220">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支付时间：</w:t>
            </w:r>
            <w:r>
              <w:rPr>
                <w:rFonts w:hint="eastAsia" w:ascii="仿宋" w:hAnsi="仿宋" w:eastAsia="仿宋" w:cs="仿宋"/>
                <w:color w:val="auto"/>
                <w:sz w:val="24"/>
                <w:szCs w:val="24"/>
                <w:highlight w:val="none"/>
                <w:u w:val="single"/>
              </w:rPr>
              <w:t xml:space="preserve">  领取中标通知书时 </w:t>
            </w:r>
          </w:p>
        </w:tc>
      </w:tr>
      <w:tr w14:paraId="38EF8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101" w:type="dxa"/>
            <w:vAlign w:val="center"/>
          </w:tcPr>
          <w:p w14:paraId="7B800772">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p>
        </w:tc>
        <w:tc>
          <w:tcPr>
            <w:tcW w:w="8159" w:type="dxa"/>
            <w:vAlign w:val="center"/>
          </w:tcPr>
          <w:p w14:paraId="3769674D">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本项目是否属于信用担保试点范围：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i w:val="0"/>
                <w:iCs/>
                <w:color w:val="auto"/>
                <w:sz w:val="24"/>
                <w:szCs w:val="24"/>
                <w:highlight w:val="none"/>
              </w:rPr>
              <w:t>（是、否）</w:t>
            </w:r>
          </w:p>
        </w:tc>
      </w:tr>
    </w:tbl>
    <w:p w14:paraId="4887332F">
      <w:pPr>
        <w:tabs>
          <w:tab w:val="left" w:pos="0"/>
        </w:tabs>
        <w:spacing w:before="0" w:after="0" w:line="240" w:lineRule="atLeast"/>
        <w:outlineLvl w:val="9"/>
        <w:rPr>
          <w:rFonts w:hint="eastAsia" w:ascii="仿宋" w:hAnsi="仿宋" w:eastAsia="仿宋" w:cs="仿宋"/>
          <w:b/>
          <w:bCs/>
          <w:color w:val="auto"/>
          <w:kern w:val="0"/>
          <w:sz w:val="32"/>
          <w:szCs w:val="32"/>
          <w:highlight w:val="none"/>
          <w:lang w:val="en-US" w:eastAsia="zh-CN" w:bidi="ar-SA"/>
        </w:rPr>
      </w:pPr>
      <w:bookmarkStart w:id="1246" w:name="_Toc15092"/>
      <w:bookmarkStart w:id="1247" w:name="_Toc27053"/>
      <w:bookmarkStart w:id="1248" w:name="_Toc18118"/>
      <w:bookmarkStart w:id="1249" w:name="_Toc512937852"/>
    </w:p>
    <w:p w14:paraId="256FA615">
      <w:pPr>
        <w:tabs>
          <w:tab w:val="left" w:pos="0"/>
        </w:tabs>
        <w:spacing w:before="0" w:after="0" w:line="240" w:lineRule="atLeast"/>
        <w:outlineLvl w:val="9"/>
        <w:rPr>
          <w:rFonts w:hint="eastAsia" w:ascii="仿宋" w:hAnsi="仿宋" w:eastAsia="仿宋" w:cs="仿宋"/>
          <w:b/>
          <w:bCs/>
          <w:color w:val="auto"/>
          <w:kern w:val="0"/>
          <w:sz w:val="32"/>
          <w:szCs w:val="32"/>
          <w:highlight w:val="none"/>
          <w:lang w:val="en-US" w:eastAsia="zh-CN" w:bidi="ar-SA"/>
        </w:rPr>
      </w:pPr>
    </w:p>
    <w:p w14:paraId="5FC9EA7E">
      <w:pPr>
        <w:outlineLvl w:val="9"/>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br w:type="page"/>
      </w:r>
    </w:p>
    <w:p w14:paraId="28CD9258">
      <w:pPr>
        <w:pStyle w:val="2"/>
        <w:numPr>
          <w:ilvl w:val="0"/>
          <w:numId w:val="6"/>
        </w:numPr>
        <w:tabs>
          <w:tab w:val="left" w:pos="0"/>
        </w:tabs>
        <w:spacing w:before="0" w:after="0" w:line="240" w:lineRule="atLeast"/>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pPr>
      <w:bookmarkStart w:id="1250" w:name="_Toc30701"/>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 xml:space="preserve"> 采购需求及项目要求</w:t>
      </w:r>
      <w:bookmarkEnd w:id="1246"/>
      <w:bookmarkEnd w:id="1247"/>
      <w:bookmarkEnd w:id="1248"/>
      <w:bookmarkEnd w:id="1250"/>
    </w:p>
    <w:bookmarkEnd w:id="0"/>
    <w:bookmarkEnd w:id="1"/>
    <w:bookmarkEnd w:id="2"/>
    <w:bookmarkEnd w:id="3"/>
    <w:bookmarkEnd w:id="4"/>
    <w:bookmarkEnd w:id="5"/>
    <w:bookmarkEnd w:id="6"/>
    <w:bookmarkEnd w:id="7"/>
    <w:bookmarkEnd w:id="8"/>
    <w:bookmarkEnd w:id="9"/>
    <w:bookmarkEnd w:id="10"/>
    <w:bookmarkEnd w:id="11"/>
    <w:bookmarkEnd w:id="12"/>
    <w:bookmarkEnd w:id="13"/>
    <w:bookmarkEnd w:id="1249"/>
    <w:p w14:paraId="5D3BE318">
      <w:pPr>
        <w:jc w:val="cente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pPr>
      <w:bookmarkStart w:id="1251" w:name="_Toc30525"/>
      <w:bookmarkStart w:id="1252" w:name="_Toc20225"/>
      <w:bookmarkStart w:id="1253" w:name="_Toc31651"/>
      <w:bookmarkStart w:id="1254" w:name="_Toc11259"/>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清单及技术参数</w:t>
      </w:r>
    </w:p>
    <w:tbl>
      <w:tblPr>
        <w:tblStyle w:val="30"/>
        <w:tblW w:w="85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1238"/>
        <w:gridCol w:w="6"/>
        <w:gridCol w:w="882"/>
        <w:gridCol w:w="580"/>
        <w:gridCol w:w="5293"/>
      </w:tblGrid>
      <w:tr w14:paraId="7656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D262">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序号            </w:t>
            </w:r>
          </w:p>
        </w:tc>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345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器材名称</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D1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72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A3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参数</w:t>
            </w:r>
          </w:p>
        </w:tc>
      </w:tr>
      <w:tr w14:paraId="29F5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B0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89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篮球比赛服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AD7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EC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1D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1.材质：100%聚酯纤维； 核心功能：必须具备吸湿排汗、速干透气性能。通过特殊纤维结构将汗水导出面料表面蒸发，保持干爽。常见结构： 网眼布：透气性极佳，是经典选择。 复合面料：部分区域（如腋下、后背）采用网眼拼接，提升关键部位散热效率。 克重：160-180g/m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是兼顾轻薄、不透和垂坠感的黄金区间。</w:t>
            </w:r>
          </w:p>
        </w:tc>
      </w:tr>
      <w:tr w14:paraId="06A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23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B6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篮球入场服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EB5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E0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699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主流材质：100%聚酯纤维 ；常用面料 提花健康布：更密更软，质感好，300–340g/㎡；功能：吸湿排汗、抗静电、不易皱、速干 ；二、版型与结构上衣：长袖、立领/连帽、全开拉链（方便穿脱） ；宽松/微宽松，不紧绷，方便热身 侧缝、腋下常用网眼拼接增强透气 ；裤子长裤，侧边全开排扣（经典款）  松紧腰+抽绳、侧口袋  裤脚：束口/直筒</w:t>
            </w:r>
          </w:p>
        </w:tc>
      </w:tr>
      <w:tr w14:paraId="4890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39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F8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篮球</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485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76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3D4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PU合成皮，耐磨、手感好，适合室内外通用 ；内胆：丁基橡胶，气密性好，有效保持气压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气嘴：专用，防漏气、防水 ；表皮：全球面颗粒、专属3x3拼接设计，抓握力强</w:t>
            </w:r>
          </w:p>
        </w:tc>
      </w:tr>
      <w:tr w14:paraId="3E3A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A3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8B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广场舞服装</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E02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64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90D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一.材料：100%聚酯纤维，弹力要求 3%～8%，弹性好、不紧绷、跳舞不勒身；克重： 夏季薄款：120～160g/㎡ 春秋常规：160～200g/㎡；功能 ：柔软、垂坠感好吸湿透气、不贴身抗皱、不易起球； 二、款式结构参数上衣常见：短袖 / 中袖 / 喇叭袖 / 飞袖领口：圆领、V领、立领、民族风小立领 版型：修身或微宽松，不束缚抬手、转身、摆臂下装广场舞裙：A字裙、大摆裙、半身长裙 裙摆宽度：180°～360°大摆，转圈飘逸 舞蹈裤：微喇裤、灯笼裤、阔腿裤腰头：松紧腰+抽绳，舒适不勒腰；                                                                                    三、尺寸参数（成人通用）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p>
        </w:tc>
      </w:tr>
      <w:tr w14:paraId="34D0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75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1F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航空模型服装</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56B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07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FB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1.面料：65%涤 + 35%棉 斜纹布（240–280g/㎡）：弹力速干功能：耐磨、抗皱、透气、吸汗、防刮 用途：电动航模、日常练习、场地穿着;2.款式与结构（连体/分体）1. 连体服（经典航模/飞行服 CWU-27/P 款）,版型：合身微宽松，不束缚弯腰、抬手, 门襟：双向金属拉链（黄铜齿）, 口袋（标准6–8个）： 胸袋×2、臂袋×2、大腿袋×2、小腿袋/工具袋, 全部拉链闭合，防物品掉落,肩部/肘部：加固双层布，耐磨防撕裂,袖口：魔术贴调节，防风防刮,裤脚：拉链+魔术贴，方便穿脱、套靴,腰部：内置调节带/抽绳,背部：Bi-swing 活动褶，抬手不紧绷;2. 分体套装（上衣+长裤）上衣：长袖夹克/衬衫，翻领/立领，多口袋，拉链,裤子：工装裤，多工具袋，膝盖加固，宽松直筒, 优点：灵活、易穿脱、夏季更凉快;3.关键功能参数:防静电：表面电阻 10</w:t>
            </w:r>
            <w:r>
              <w:rPr>
                <w:rFonts w:hint="default" w:ascii="Times New Roman" w:hAnsi="Times New Roman" w:eastAsia="仿宋" w:cs="Times New Roman"/>
                <w:i w:val="0"/>
                <w:iCs w:val="0"/>
                <w:color w:val="000000"/>
                <w:kern w:val="0"/>
                <w:sz w:val="20"/>
                <w:szCs w:val="20"/>
                <w:u w:val="none"/>
                <w:lang w:val="en-US" w:eastAsia="zh-CN" w:bidi="ar"/>
              </w:rPr>
              <w:t>⁶</w:t>
            </w:r>
            <w:r>
              <w:rPr>
                <w:rFonts w:hint="eastAsia" w:ascii="仿宋" w:hAnsi="仿宋" w:eastAsia="仿宋" w:cs="仿宋"/>
                <w:i w:val="0"/>
                <w:iCs w:val="0"/>
                <w:color w:val="000000"/>
                <w:kern w:val="0"/>
                <w:sz w:val="20"/>
                <w:szCs w:val="20"/>
                <w:u w:val="none"/>
                <w:lang w:val="en-US" w:eastAsia="zh-CN" w:bidi="ar"/>
              </w:rPr>
              <w:t>–10</w:t>
            </w:r>
            <w:r>
              <w:rPr>
                <w:rFonts w:hint="default" w:ascii="Times New Roman" w:hAnsi="Times New Roman" w:eastAsia="仿宋" w:cs="Times New Roman"/>
                <w:i w:val="0"/>
                <w:iCs w:val="0"/>
                <w:color w:val="000000"/>
                <w:kern w:val="0"/>
                <w:sz w:val="20"/>
                <w:szCs w:val="20"/>
                <w:u w:val="none"/>
                <w:lang w:val="en-US" w:eastAsia="zh-CN" w:bidi="ar"/>
              </w:rPr>
              <w:t>⁹</w:t>
            </w:r>
            <w:r>
              <w:rPr>
                <w:rFonts w:hint="eastAsia" w:ascii="仿宋" w:hAnsi="仿宋" w:eastAsia="仿宋" w:cs="仿宋"/>
                <w:i w:val="0"/>
                <w:iCs w:val="0"/>
                <w:color w:val="000000"/>
                <w:kern w:val="0"/>
                <w:sz w:val="20"/>
                <w:szCs w:val="20"/>
                <w:u w:val="none"/>
                <w:lang w:val="en-US" w:eastAsia="zh-CN" w:bidi="ar"/>
              </w:rPr>
              <w:t>Ω，防干扰航模接收机,阻燃：离火自熄，无熔滴（芳纶永久，涤棉需阻燃处理）,耐磨：面料耐磨次数 ≥3000 次（工装级） 色牢度：耐洗/耐汗 ≥4级，不易褪</w:t>
            </w:r>
          </w:p>
        </w:tc>
      </w:tr>
      <w:tr w14:paraId="6EF5B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62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6B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太极拳服装</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0FC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85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FA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 棉麻混纺（日常最常用）成分：棉 50%–70% + 麻 30%–50%， 克重：160–220g/㎡，功能：透气、吸汗、垂坠、抗皱、不贴身，高弹麻/棉加丝（训练款）， 标准：GB 18401 B类（直接接触皮肤） ；2.款式结构（国标）上衣（对襟）， 立领：高 3–3.5cm，盘扣：7对一字盘扣，间距 7–10cm，袖子：灯笼袖，袖口宽 4–6cm，袖口开衩 5cm，侧缝：下摆开衩 25–35cm，镶边：门襟/领口/侧缝 0.9–1.2cm，裤子（灯笼裤），腰头：宽边松紧+抽绳，裤型：上宽下收，灯笼裤脚，裆部：加深加大，不束缚下蹲 ；3.功能与工艺： 宽松度：松而不垮，转身、下蹲、踢腿、云手无束缚 ，垂坠感：面料下垂好，动作飘逸不飘起，缝线：四线拷边，牢固不脱线， 色牢度：耐洗≥4级，不易掉色， 口袋：侧缝隐藏口袋（可放手机）4.选购建议：春夏：棉麻、高弹麻、竹纤维（透气薄款）</w:t>
            </w:r>
          </w:p>
        </w:tc>
      </w:tr>
      <w:tr w14:paraId="4080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BC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09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乒乓球服装</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EB1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2D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23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1.材质：1.</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100%聚酯纤维（速干面料）克重：比赛轻薄款：120～150g/㎡，核心功能，吸湿排汗、速干、透气，不贴身、不粘皮肤， 抗皱、不易变形、不易起球；2.款式参数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上衣短袖圆领/V领为主，无多余装饰，不影响挥拍，肩部、腋下可做网眼拼接增强透气， 版型：修身/微宽松，不紧绷、不拖沓，短裤，松紧腰+内置抽绳，裤长在大腿中部，不影响跨步、下蹲，侧边可开小衩，活动更灵活，一般带侧口袋，可放球；3.尺寸参考（成人）：尺码：S～4X，L胸围宽松量：10～15cm， 袖长：上臂中部，不影响摆臂，裤长：蹲下不卡腿)</w:t>
            </w:r>
          </w:p>
        </w:tc>
      </w:tr>
      <w:tr w14:paraId="4CD77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85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89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气排比赛服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5EE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CB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0F3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1.材质：100%聚酯纤维（速干网眼），克重比赛/夏季：130～160 g/㎡（轻薄透气），功能吸湿排汗、速干、透气网眼，高弹抗皱、不贴身、不粘身，耐磨、不易起球、色牢度≥4级2.款式（标准套装）上衣（短袖/无袖），领型：V领/翻领/Polo领（无束缚），版型：修身微宽松，不紧绷、不拖沓，袖长：短袖（上臂中部），无袖更透气，拼接：腋下/侧边网眼透气，下摆：直摆，比赛时可束进短裤，下装（短裤/裙裤）， 男：短裤，松紧腰+抽绳，女：短裤或百褶裙裤（防走光），裤长：大腿中部，不影响蹲、跳、跨步</w:t>
            </w:r>
          </w:p>
        </w:tc>
      </w:tr>
      <w:tr w14:paraId="4B8F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E5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D2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气排入场服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8FB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56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4D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主流材质：100%聚酯纤维 ；常用面料 提花健康布：更密更软，质感好，300–340g/㎡；功能：吸湿排汗、抗静电、不易皱、速干 ；二、版型与结构上衣：长袖、立领/连帽、全开拉链（方便穿脱） ；宽松/微宽松，不紧绷，方便热身 侧缝、腋下常用网眼拼接增强透气 ；裤子长裤，侧边全开排扣（经典款）  松紧腰+抽绳、侧口袋  裤脚：束口/直筒</w:t>
            </w:r>
          </w:p>
        </w:tc>
      </w:tr>
      <w:tr w14:paraId="5E0D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98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7E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网球比赛服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E1D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D6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D6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 100%聚酯纤维（速干网眼/针织）克重轻薄透气款：120～150 g/㎡，核心功能吸湿排汗、速干、不贴身，弹力好，不影响挥拍、跑动、跨步，抗皱、耐磨、不易起球；2.款式结构上衣男款：短袖圆领/V领Polo衫，女款：短袖T恤、无袖背心、连衣裙，版型：修身微宽松，腋下不紧，细节：部分腋下、后背用网眼拼接透气，下装，男款：短裤，裤长在大腿中部，女款：短裤/短裙（内置安全裤防走光），腰头：松紧腰 + 抽绳，部分带侧口袋，可装网球；3.尺寸参考（成人）尺码：XS～4XL，胸围宽松量：10～15cm，裤长不影响下蹲、跨步，袖长不影响挥拍发球</w:t>
            </w:r>
          </w:p>
        </w:tc>
      </w:tr>
      <w:tr w14:paraId="1D35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38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69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网球入场服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B12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17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3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主流材质：100%聚酯纤维 ；常用面料 提花健康布：更密更软，质感好，300–340g/㎡；功能：吸湿排汗、抗静电、不易皱、速干 ；二、版型与结构上衣：长袖、立领/连帽、全开拉链（方便穿脱） ；宽松/微宽松，不紧绷，方便热身 侧缝、腋下常用网眼拼接增强透气 ；裤子长裤，侧边全开排扣（经典款）  松紧腰+抽绳、侧口袋  裤脚：束口/直筒</w:t>
            </w:r>
          </w:p>
        </w:tc>
      </w:tr>
      <w:tr w14:paraId="47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74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9C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围棋服装</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826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3C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AE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1.材质：棉、棉混纺、针织、亚麻、速干面料均可，克重：160～220g/㎡，柔软、透气、不闷，功能：吸汗、舒适、不贴身， 无静电、不反光，耐洗、不易皱；2.款式规范（正式比赛通用）上衣 款式：Polo衫、中式立领衫、衬衫、简洁T恤，领型：翻领、立领为主，干净利落，袖长：短袖、长袖均可，无袖一般不建议， 版型：合身、不宽松拖沓，不影响坐姿，颜色：素色为主（黑、白、灰、藏青、深蓝），不花哨，下装，裤子：休闲西裤、休闲裤、运动长裤，裙装（女）：简洁半身裙、连衣裙要求：宽松适度，久坐舒适，不短、不过紧，无多余装饰、无亮片、无夸张图案</w:t>
            </w:r>
          </w:p>
        </w:tc>
      </w:tr>
      <w:tr w14:paraId="7EAE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07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39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羽毛球比赛服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908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DC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CF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1.材质：100%聚酯纤维（速干针织/网眼布）克重：130～180 g/㎡（比赛常用 150～160g/㎡），功能：吸湿排汗、速干透气、高弹不紧绷、抗皱耐磨、不贴身；2.款式参数上衣短袖圆领/V领为主，也可无袖，版型：修身微宽松，腋下不紧绷，肩部、腋下常用网眼拼接，增强散热，无多余装饰，不影响挥拍、跳跃，下装，男款：短裤，裤长在大腿中部，女款：短裤或运动短裙（内置安全裤），腰头：松紧腰+抽绳，可调节，部分款式设有球袋；3.尺寸参考尺码：XS～4XL，胸围宽松量：10～15cm，袖长不影响挥拍发球，裤长不影响跨步、下蹲、起跳4.执行标准：安全类别：GB 18401 B类（直接接触皮肤）</w:t>
            </w:r>
          </w:p>
        </w:tc>
      </w:tr>
      <w:tr w14:paraId="298E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D1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28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羽毛球入场服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6CF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55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42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主流材质：100%聚酯纤维 ；常用面料 提花健康布：更密更软，质感好，300–340g/㎡；功能：吸湿排汗、抗静电、不易皱、速干 ；二、版型与结构上衣：长袖、立领/连帽、全开拉链（方便穿脱） ；宽松/微宽松，不紧绷，方便热身 侧缝、腋下常用网眼拼接增强透气 ；裤子长裤，侧边全开排扣（经典款）  松紧腰+抽绳、侧口袋  裤脚：束口/直筒</w:t>
            </w:r>
          </w:p>
        </w:tc>
      </w:tr>
      <w:tr w14:paraId="5CB0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8B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12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中国式摔跤服装</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BFC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F5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05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1.材质：成分：100%棉 / 含棉≥70%混纺 克重成年组：1400 g/㎡，青年组：1140 g/㎡ ，强度：撕拉强度≥2000 N（耐强拉） ，特性：有凹凸纹路、不滑、不硬、吸汗耐磨、抓握稳 ；2.跤衣（上衣）颜色：主体白色，镶边：衣襟、袖口3.5cm宽红/蓝色带 ，结构六层棉布，领襟、胸襟、小袖加密缝制，腰部两侧有穿带孔（供跤带穿过），袖口：屈臂90°时≥8cm空隙 ， 尺码：特/大/中/小（中号为基准，±4cm）；3.跤裤成分/颜色：同跤衣（白、棉≥70%） ，镶边：外侧裤缝3.5cm红/蓝色带 ，版型：直筒、及踝、宽松不拖沓 ；4.跤带（腰带）材质：六层棉布，尺寸宽：3.5cm，厚：0.6cm ，长度：特号4.4m / 大号3.7m / 中号3.4m / 小号3m，系法：穿过腰孔→腹前→后腰→腹前打死结，余长35–40cm；5.比赛规则与安全：全队统一：同队颜色、镶边一致（红/蓝区分） ，安全标准：GB 18401 B类（直接皮肤接触），牢度：耐洗/耐汗色牢度≥4级</w:t>
            </w:r>
          </w:p>
        </w:tc>
      </w:tr>
      <w:tr w14:paraId="393B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95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98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足球比赛服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EFA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E0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D1B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1.材质：100%聚酯纤维， 球员版：120–140 g/m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（超轻提花网眼），核心功能吸湿速干：滴水扩散≤6秒，不贴身， 透气：网眼/提花结构，排汗散热，轻量：单件约100–140g，抗皱、耐磨、不易变形；2.工艺 印花/号码：热升华/胶印/刺绣，牢固不脱落，领型：圆领/V领，后领包条不磨皮肤，腰头：松紧+抽绳；3.尺码（成人） S–5XL，对应身高160–195cm版型：修身/修身微宽松（减少风阻）</w:t>
            </w:r>
          </w:p>
        </w:tc>
      </w:tr>
      <w:tr w14:paraId="0E02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D2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D5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足球入场服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D22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62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F8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主流材质：100%聚酯纤维 ；常用面料 提花健康布：更密更软，质感好，300–340g/㎡；功能：吸湿排汗、抗静电、不易皱、速干 ；二、版型与结构上衣：长袖、立领/连帽、全开拉链（方便穿脱） ；宽松/微宽松，不紧绷，方便热身 侧缝、腋下常用网眼拼接增强透气 ；裤子长裤，侧边全开排扣（经典款）  松紧腰+抽绳、侧口袋  裤脚：束口/直筒</w:t>
            </w:r>
          </w:p>
        </w:tc>
      </w:tr>
      <w:tr w14:paraId="213D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1F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4D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健身气功服装</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14D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C2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40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面料：高弹聚酯/冰丝（速干科技）克重：140–160g/m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 设计：立领、宽袖、侧开、阔腿裤；2.上衣立领/低领、盘扣/按扣 ，连肩袖/宽袖（袖口20–28cm），侧开衩（15–25cm），宽松微阔，不束缚动作 ，裤子 阔腿/灯笼裤，腰头：松紧+抽绳，裤脚：宽松或收口（松紧），套装：上下同面料同色，宽松版</w:t>
            </w:r>
          </w:p>
        </w:tc>
      </w:tr>
      <w:tr w14:paraId="47722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40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3B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短袖足球比赛服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C04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08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15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1.材质：100%聚酯纤维， 球员版：120–140 g/m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（超轻提花网眼），核心功能吸湿速干：滴水扩散≤6秒，不贴身， 透气：网眼/提花结构，排汗散热，轻量：单件约100–140g，抗皱、耐磨、不易变形；2.工艺 印花/号码：热升华/胶印/刺绣，牢固不脱落，领型：圆领/V领，后领包条不磨皮肤，腰头：松紧+抽绳；3.尺码（成人） S–5XL，对应身高160–195cm版型：修身/修身微宽松（减少风阻）</w:t>
            </w:r>
          </w:p>
        </w:tc>
      </w:tr>
      <w:tr w14:paraId="28F0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B7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07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足球守门员长袖服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5E2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B7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DBD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1.材质：100%聚酯纤维（速干网眼）训练/比赛版：180–200 g/m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耐磨加厚），功能吸湿速干、高透气、不贴身，抗UV、抗静电、耐磨抗撕2.核心防护设计（长袖专属）肘部防护内置加厚海绵/PU泡沫护垫（10–15mm），缓冲扑救撞击，护垫热压/车缝固定，不移位、不脱层，袖口，高弹罗纹收口（8–10cm），贴合手腕、防风、防滑动，肩部/腋下，网眼拼接、高弹面料，大幅伸展不紧绷；3.版型与结构领型：圆领/半高领，防磨、防风，版型：宽松微阔（胸围宽松量20–30cm），适配扑救动作，缝线：平缝/锁缝，无凸起、不磨皮肤；长度：常规，遮盖腰部、不束缚；</w:t>
            </w:r>
          </w:p>
        </w:tc>
      </w:tr>
      <w:tr w14:paraId="102D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EB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D2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护腿板、袜</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C18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1D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A6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1.护腿板材质外层（硬壳）， PP（聚丙烯）：通用，0.6–1.0mm，碳纤维/玻纤复合：职业级，0.4–0.8mm，强度高、重量轻；内层（缓冲）EVA泡棉 8–15mm（高弹缓冲），记忆棉/硅胶：贴合、防滑；2.足球袜面料与成分聚酯纤维（涤纶）70–90% + 氨纶5–15% + 锦纶，加厚毛巾底：足底毛圈高1.5–2.5mm，缓冲减震</w:t>
            </w:r>
          </w:p>
        </w:tc>
      </w:tr>
      <w:tr w14:paraId="1576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ED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10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队长袖标</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C8A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9A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62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1.材质：主体：高弹聚酯纤维（尼龙）+ 橡筋/氨纶（5–10%），厚度：0.8–1.2 mm， 弹性：纵向拉伸 ≥180%，表面：针织/提花，防滑不卷边；2.固定方式魔术贴（粘扣带）：5–6 cm 宽，长度 8–10 cm，牢固不脱落，部分专业款：弹力加压+魔术贴双固定；3.重量单只：25–35 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p>
        </w:tc>
      </w:tr>
      <w:tr w14:paraId="19A3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FA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E7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守门员手套</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083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3E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2A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1.材质：掌面（核心）天然乳胶（专业级）：5mm：加厚、重缓冲，性能干摩擦系数 ≥3.5，湿摩擦 ≥2.4，弹性好、抓球稳、雨天吸球感强，合成乳胶/PU：训练款，耐磨，手背PU/尼龙/网眼：透气、弹性，EVA/乳胶缓冲：防冲撞、指节护条，腕带高弹松紧带+魔术贴，宽度 5–8cm，360°包裹；2.剪裁（版型）平剪（Flat）：宽松、耐用、训练款，内缝（Negative）：缝线在内、贴手、职业款，包指：乳胶全包手指、抓球面积最大混合剪：常用指包指、拇指平剪；3.护指（护骨）有护指：内置塑料/碳纤维护条， 防手指过伸/反折，适合青少年、激烈对抗，无护指：灵活、球感好、职业门将常用；4.关键功能防滑：乳胶纹路、湿态高摩擦减震：乳胶吸收射门冲击，透气：手背网眼、乳胶打孔， 耐磨：指尖/掌边加厚，固定：宽腕带+魔术贴，不滑脱</w:t>
            </w:r>
          </w:p>
        </w:tc>
      </w:tr>
      <w:tr w14:paraId="305A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96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E6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4米弹力带</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A90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7D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B7D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产品尺寸4米，标准尺寸4CM宽，0.4CM加厚耐拉，TPE材质，田径专用</w:t>
            </w:r>
          </w:p>
        </w:tc>
      </w:tr>
      <w:tr w14:paraId="1B2C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47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96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小栏架</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B2B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4E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33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可移动小跨栏架，ABS环保材质，带手提袋五个一组，加厚进口PE材质，多种高度任意选</w:t>
            </w:r>
          </w:p>
        </w:tc>
      </w:tr>
      <w:tr w14:paraId="78DC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C8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3C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阻力伞</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06E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3D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54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重量≥190g，单独包装，材质，舂亚纺涂层布，网纱，尼龙织带展开尺寸≥145CM最常用材质，具有高韧性、轻量化和良好的空气阻力特性。部分产品采用</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高密度尼龙</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或</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特殊处理尼龙</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 xml:space="preserve">以提升耐用性和稳定性 </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。高强度、耐磨损</w:t>
            </w:r>
            <w:r>
              <w:rPr>
                <w:rFonts w:hint="default" w:ascii="Times New Roman" w:hAnsi="Times New Roman" w:eastAsia="仿宋" w:cs="Times New Roman"/>
                <w:i w:val="0"/>
                <w:iCs w:val="0"/>
                <w:color w:val="000000"/>
                <w:kern w:val="0"/>
                <w:sz w:val="20"/>
                <w:szCs w:val="20"/>
                <w:u w:val="none"/>
                <w:lang w:val="en-US" w:eastAsia="zh-CN" w:bidi="ar"/>
              </w:rPr>
              <w:t>‌</w:t>
            </w:r>
          </w:p>
        </w:tc>
      </w:tr>
      <w:tr w14:paraId="2D97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AF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31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电子起跑器套装</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174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8C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77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独立音响，三角支架，电子发今器，双灯发令灯电池盒，固定架音频线，供电线，充电线，电池盒遥控器等。田径专用</w:t>
            </w:r>
          </w:p>
        </w:tc>
      </w:tr>
      <w:tr w14:paraId="47C2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E7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CC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发令枪</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A3D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9D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21A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声音响度≥125分贝，扳机击发力≥1000牛顿，使用无弹头空包弹，重量≥2.5千克，≥200*140mm，无枪管。或实心枪管，含底火和发射药。</w:t>
            </w:r>
          </w:p>
        </w:tc>
      </w:tr>
      <w:tr w14:paraId="653A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D8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57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四合一跳箱</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2C0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38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B9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渐进式+四合一，PVC防滑皮革材质外套，高弹力环保EPE材质，软体跳箱，加大魔术贴固定，防水户外可用，双头拉链，最大承重≥200KG</w:t>
            </w:r>
          </w:p>
        </w:tc>
      </w:tr>
      <w:tr w14:paraId="03AB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57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AC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秒表</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70A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D3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F2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三排显示，60道记忆，0.001秒精准度，多种运动模式，防水抗摔，持久续航，四建操作，七大模式精准切换，1/36000秒精准计时，有背光功能，室内外通用，材质，ABS材质，</w:t>
            </w:r>
          </w:p>
        </w:tc>
      </w:tr>
      <w:tr w14:paraId="3564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4C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80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卷尺</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AF4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C2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1FF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50米，不锈钢加厚制尺带，选用高品质50锰钢制尺带，防水耐磨，ABS材料塑架，加固式摇杆，电镀锥心尖头，不锈钢拉环，</w:t>
            </w:r>
          </w:p>
        </w:tc>
      </w:tr>
      <w:tr w14:paraId="581D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CB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A6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绳梯</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CD9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DF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59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16节进口pe原料，碳钢加编织，折叠蝴蝶式多形态，</w:t>
            </w:r>
          </w:p>
        </w:tc>
      </w:tr>
      <w:tr w14:paraId="5F6D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D7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FA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跳绳</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DA1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74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84B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5MM绳体粗细，钢丝内芯PVC绳，绳长三米大屏幕精准计时，一件复位，精准计数，硅胶手柄，360度悬浮转轴。</w:t>
            </w:r>
          </w:p>
        </w:tc>
      </w:tr>
      <w:tr w14:paraId="10268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B4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F3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小磊球（≥174克，直径≥90公分）</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FBD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68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8E0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≥174克，直径≥90公分，≥10寸，约90克，填充木屑，纯手工缝制，优质皮革.</w:t>
            </w:r>
          </w:p>
        </w:tc>
      </w:tr>
      <w:tr w14:paraId="6294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F1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A7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铅球</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92A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9E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890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1.主要材质：碳钢彩色，表面经过喷漆处理，外形美观。</w:t>
            </w:r>
          </w:p>
          <w:p w14:paraId="45ABE64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2.将球体放在直径为12毫米的水平圆形口刃上，球体保持平衡，球体重心至球体中心的距离不得大于6毫米。</w:t>
            </w:r>
          </w:p>
          <w:p w14:paraId="3B5A988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3.产品规格：重量范围为3.005-3.025kg，颜色为彩色。</w:t>
            </w:r>
          </w:p>
          <w:p w14:paraId="0A4DE97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4.重量：3kg</w:t>
            </w:r>
          </w:p>
        </w:tc>
      </w:tr>
      <w:tr w14:paraId="5A7D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E1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FB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标枪500克</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802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BF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71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专业航空铝合金材质，WA世界田径认证证书，淬火枪头，纯棉把绳，</w:t>
            </w:r>
          </w:p>
        </w:tc>
      </w:tr>
      <w:tr w14:paraId="5382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57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7E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标枪600克</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A85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8D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89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专业航空铝合金材质，WA世界田径认证证书，淬火枪头，纯棉把绳，</w:t>
            </w:r>
          </w:p>
        </w:tc>
      </w:tr>
      <w:tr w14:paraId="5403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C5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5F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标枪700克</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420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6C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9A8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专业航空铝合金材质，WA世界田径认证证书，淬火枪头，纯棉把绳，</w:t>
            </w:r>
          </w:p>
        </w:tc>
      </w:tr>
      <w:tr w14:paraId="48512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61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6C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标枪800克</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303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B0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07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专业航空铝合金材质，WA世界田径认证证书，淬火枪头，纯棉把绳，</w:t>
            </w:r>
          </w:p>
        </w:tc>
      </w:tr>
      <w:tr w14:paraId="119A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F0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F3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铁饼</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02A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7B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0C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材质尼龙，铁结合尼龙加铁圈，铆钉固定，≥2公斤</w:t>
            </w:r>
          </w:p>
        </w:tc>
      </w:tr>
      <w:tr w14:paraId="07A3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D6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2D8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田径比赛服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71F1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6D1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10E4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1.材质：100%聚酯纤维； 核心功能：必须具备吸湿排汗、速干透气性能。通过特殊纤维结构将汗水导出面料表面蒸发，保持干爽。常见结构： 网眼布：透气性极佳，是经典选择。 复合面料：部分区域（如腋下、后背）采用网眼拼接，提升关键部位散热效率。 克重：160-180g/m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是兼顾轻薄、不透和垂坠感的黄金区间。</w:t>
            </w:r>
          </w:p>
        </w:tc>
      </w:tr>
      <w:tr w14:paraId="2007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53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D2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接力棒</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D9B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BA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2B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铝合金材质，长度≥30公分，直径≥38mm，重量≥58g，包装opp袋装，具备激光雕刻名字。</w:t>
            </w:r>
          </w:p>
        </w:tc>
      </w:tr>
      <w:tr w14:paraId="5EE6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D7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10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护腰带</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5F0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E5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ABB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高弹氨纶</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：飞织面料，26°人体工学，软硬双支撑，医用级护腰带，小黄点顶腰器功能。</w:t>
            </w:r>
          </w:p>
        </w:tc>
      </w:tr>
      <w:tr w14:paraId="3B11E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02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95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跑鞋（钉子）</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68C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1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F0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高弹双气垫，全掌碳板，高分子绞宗鞋面，全掌七钉PEBAX大底；</w:t>
            </w:r>
          </w:p>
        </w:tc>
      </w:tr>
      <w:tr w14:paraId="2CAD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13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037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摔柔降重服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E3C7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470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C0C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聚酯纤维：贴身、速干、抗撕裂性能好； </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1.材质（核心）主体：100%聚酯纤维针织布 + PU/离子PU转移膜（复合层），结构：不透气密封层（强制发汗），厚度：0.3–0.5mm（复合后），克重：350–450g/套（成人L码），工艺：针织平纹布与PU复合不离层 ；款式（标准两件套）上衣：长袖、高领（领高2cm）、罗纹收口 ， 裤子：长裤、裤头高弹松紧收缩、裤脚罗纹 设计：全身密封、无透气网眼、无拉链（减少漏汗）；-肩/夹：1/4单针锁链线 ，袖口/裤脚：5线锁边 ，衫脚：1/4双针车线 ，耐折：≥4万次折后无明显裂纹 ，剥离强度：≥30N/cm（复合层不分离） ；功能参数发汗效率：运动15–30分钟大量排汗，控温：锁温3–5℃（加速代谢脱水），弹性：横向拉伸≥120%（不束缚动作）防水：PU膜防渗透（汗水不外漏）</w:t>
            </w:r>
          </w:p>
        </w:tc>
      </w:tr>
      <w:tr w14:paraId="2A3C6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E9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2F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跳绳</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E61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1A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56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5MM绳体粗细，钢丝内芯PVC绳，绳长三米大屏幕精准计时，一键</w:t>
            </w:r>
            <w:bookmarkStart w:id="1321" w:name="_GoBack"/>
            <w:bookmarkEnd w:id="1321"/>
            <w:r>
              <w:rPr>
                <w:rFonts w:hint="eastAsia" w:ascii="仿宋" w:hAnsi="仿宋" w:eastAsia="仿宋" w:cs="仿宋"/>
                <w:i w:val="0"/>
                <w:iCs w:val="0"/>
                <w:color w:val="000000"/>
                <w:kern w:val="0"/>
                <w:sz w:val="20"/>
                <w:szCs w:val="20"/>
                <w:u w:val="none"/>
                <w:lang w:val="en-US" w:eastAsia="zh-CN" w:bidi="ar"/>
              </w:rPr>
              <w:t>复位，精准计数，硅胶手柄，360度悬浮转轴。</w:t>
            </w:r>
          </w:p>
        </w:tc>
      </w:tr>
      <w:tr w14:paraId="2C5C0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B5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19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战绳</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FB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FA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4A3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高强度耐磨涤纶，直径50mm,*15米，带有整绳防护套</w:t>
            </w:r>
          </w:p>
        </w:tc>
      </w:tr>
      <w:tr w14:paraId="6CBD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5C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3C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柔道服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28B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69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7D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上衣，800g,棉菱形纹和竹节布，裤子为280g棉斜卡，配黑色腰带，小袖大领加厚处理，加厚款。</w:t>
            </w:r>
          </w:p>
        </w:tc>
      </w:tr>
      <w:tr w14:paraId="5E8E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13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top"/>
          </w:tcPr>
          <w:p w14:paraId="0EF4FDD5">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圆领白T恤</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C5FD5B">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top"/>
          </w:tcPr>
          <w:p w14:paraId="5B6C2E9F">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E6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100%棉新疆长绒棉，柔软舒适，吸湿透气。</w:t>
            </w:r>
          </w:p>
        </w:tc>
      </w:tr>
      <w:tr w14:paraId="3207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90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99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跆拳道大、小手脚靶</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B09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6B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22C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耐磨防爆PU面料，加厚EVA内胆，手臂魔术贴，成套</w:t>
            </w:r>
          </w:p>
        </w:tc>
      </w:tr>
      <w:tr w14:paraId="4593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3B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8E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拉力带</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D7E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66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4A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标准尺寸4CM宽，0.45CM加厚耐拉，TPE材质，</w:t>
            </w:r>
          </w:p>
        </w:tc>
      </w:tr>
      <w:tr w14:paraId="01B2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1A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0C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跆拳道护头</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8AD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AD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DE5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加厚面罩cr材片，渗泡工艺一次一体成型,双层护耳。</w:t>
            </w:r>
          </w:p>
        </w:tc>
      </w:tr>
      <w:tr w14:paraId="5B7F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0C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21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跆拳道护手</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7FD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97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45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手背菱形耐磨皮革，手掌高档楼梯布，舒适透气。</w:t>
            </w:r>
          </w:p>
        </w:tc>
      </w:tr>
      <w:tr w14:paraId="371F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39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06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电子脚套</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923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56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78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重量180-220只，进口超仟PU，高弹6-8mm抗冲击，16个压电传感器，精度1.5线性采集，2.4G蓝牙BLE50，30米稳定，300Ah锂电，续航10-12，自动计分力度速度部位数据，适配国际保准计分台，APP同步，抗6万次击打。</w:t>
            </w:r>
          </w:p>
        </w:tc>
      </w:tr>
      <w:tr w14:paraId="394E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67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EA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跆拳道道服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5E9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C3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CDD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材质：棉+聚酯纤维混纺：棉65%+聚酯35% 或网格速干面料，克重比赛/品势专业款：280～320g/㎡，特性：挺括、耐磨、透气、不易起皱、踢腿发声清脆；上衣（V领道服）领型：标准V字领，门襟：交叉系带，无拉链、无纽扣，袖口：直口宽松，不束缚手腕，衣长：盖住臀部，下摆两侧开衩便于踢腿，标识： 胸口可印绣协会/道馆LOGO，后背可印绣大字、国旗、品势标识，裤子裤型：宽松阔腿，裆部加深，腰头：宽边松紧腰 + 抽绳双重固定，裤长：站立时距地面约3～5cm，特性：劈叉、高踢不紧绷、不卡裆；腰带（色带/段位带）材质：棉涤织带，宽度：4～5cm，长度：成人：260～300cm；版型与穿着要求，整体宽松适度，动作舒展不贴身，上衣必须扎在裤内（训练/比赛通用），全套干净整洁，无破损、无夸张装饰</w:t>
            </w:r>
          </w:p>
        </w:tc>
      </w:tr>
      <w:tr w14:paraId="4017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43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175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摔跤降重服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3578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F3A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579E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聚酯纤维：贴身、速干、抗撕裂性能好； </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1.材质（核心）主体：100%聚酯纤维针织布 + PU/离子PU转移膜（复合层），结构：不透气密封层（强制发汗），厚度：0.3–0.5mm（复合后），克重：350–450g/套（成人L码），工艺：针织平纹布与PU复合不离层 ；款式（标准两件套）上衣：长袖、高领（领高2cm）、罗纹收口 ， 裤子：长裤、裤头高弹松紧收缩、裤脚罗纹 设计：全身密封、无透气网眼、无拉链（减少漏汗）；-肩/夹：1/4单针锁链线 ，袖口/裤脚：5线锁边 ，衫脚：1/4双针车线 ，耐折：≥4万次折后无明显裂纹 ，剥离强度：≥30N/cm（复合层不分离） ；功能参数发汗效率：运动15–30分钟大量排汗，控温：锁温3–5℃（加速代谢脱水），弹性：横向拉伸≥120%（不束缚动作）防水：PU膜防渗透（汗水不外漏）</w:t>
            </w:r>
          </w:p>
        </w:tc>
      </w:tr>
      <w:tr w14:paraId="4C13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E0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E5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专项杠铃</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E3E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17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3A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内置轴承铜套，限位挡板，限位卡扣，深沟球轴承，减震套筒，主材合金钢，电镀20千克。</w:t>
            </w:r>
          </w:p>
        </w:tc>
      </w:tr>
      <w:tr w14:paraId="6F16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EA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80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战绳</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CD4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78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62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高强度耐磨涤纶，直径≥50mm,*≥15米，带有整绳防护套；</w:t>
            </w:r>
          </w:p>
        </w:tc>
      </w:tr>
      <w:tr w14:paraId="4978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5D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F6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摔跤服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E7E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1D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8C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面料材质：纯棉帆布 / 高支加厚棉帆布含棉量：≥90%，克重：成人款：1.4 kg/㎡ 左右，特性：厚实耐磨、抓握不滑、透气吸汗、抗拉扯；跤衣（上衣）：颜色：主体白色，镶边：衣襟、袖口镶3.5 cm 宽红/蓝色布条，结构：多层加厚缝制，领襟、腋下、袖口加固，腰部两侧有穿带孔，用于穿跤带，袖口宽松，屈臂时有足够活动空间，版型：宽松不紧绷，适合抓握、摔投动作，跤裤材质、颜色、镶边与跤衣一致，裤型：宽松直筒，裆部加深，裤长：及踝，不拖沓、不影响跪撑和移动；跤带（腰带）材质：加厚棉织带，宽度：3.5 cm，厚度：0.5～0.6 cm，长度： 成人：3.4～4.4 m，系好后余长：35～40 cm</w:t>
            </w:r>
          </w:p>
        </w:tc>
      </w:tr>
      <w:tr w14:paraId="29BD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2C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7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摔跤鞋</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73B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F0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805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超纤PU、优质牛皮、网布透气拼接，结构：高帮包裹设计，鞋帮高度10～14cm，一体式鞋舌，防止异物进入，缝线牢固，耐拉扯、抗撕裂，透气性：网眼透气区，不闷脚；鞋底核心参数鞋底类型：全平底、无明显纹路、无深齿，材质：耐磨橡胶 + EVA缓震中底，厚度：鞋底总厚0.8～1.2cm，薄底贴地，抓地：止滑强、不抓地过死，便于移动、跪撑、翻滚，特性：不刮垫子、不伤摔跤垫，弯折灵活，不卡脚、不顶脚；固定方式：系带款：扁形鞋带，不易松开魔术贴高帮款：粘贴牢固，比赛不脱落，鞋口：高弹收口，贴合脚踝防移位</w:t>
            </w:r>
          </w:p>
        </w:tc>
      </w:tr>
      <w:tr w14:paraId="7E0C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B8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99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白毛巾</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D94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86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5B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100%棉，≥50cm*35cm；吸汗轻便</w:t>
            </w:r>
          </w:p>
        </w:tc>
      </w:tr>
      <w:tr w14:paraId="51B4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C4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2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排球</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DB1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F8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C9A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5号比赛用球，材质PU表皮六角突起，丁基内胆，具有缠纱强化层。</w:t>
            </w:r>
          </w:p>
        </w:tc>
      </w:tr>
      <w:tr w14:paraId="01C3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F6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B6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排球推车</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F44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DE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489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铸铁框架</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 xml:space="preserve"> </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轮子采用</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静音铸铁轮</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，带</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锁止功能</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 xml:space="preserve"> </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可折叠</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，带盖尺寸≥110*63*85cm</w:t>
            </w:r>
          </w:p>
        </w:tc>
      </w:tr>
      <w:tr w14:paraId="7DE7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97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B1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护膝</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414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C4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AB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高弹性纤维材质，透气性好，轻薄，垫圈硅胶，支撑条钢，45.3%绵纶，25%聚脂钎维，8.9%氨纶。</w:t>
            </w:r>
          </w:p>
        </w:tc>
      </w:tr>
      <w:tr w14:paraId="0426D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FB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123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E8102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标志杆</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7A9A42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w:t>
            </w:r>
          </w:p>
        </w:tc>
        <w:tc>
          <w:tcPr>
            <w:tcW w:w="58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411F2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29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841F60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≥2千克铁底座，红白杆≥1.8米</w:t>
            </w:r>
          </w:p>
        </w:tc>
      </w:tr>
      <w:tr w14:paraId="5F301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60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27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标志带</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E8E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F6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FA1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宽度≥5cm，长度≥50-100M卷装，材质聚丙烯，每10米带孔眼，配地钉。</w:t>
            </w:r>
          </w:p>
        </w:tc>
      </w:tr>
      <w:tr w14:paraId="4072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53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30F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排球网</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1739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C8F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84ED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颜色：主体黑色，上沿缝5–7 cm双层白帆布带（便于拉紧识别） 高度：男子2.43 m、女子2.24 m；两端高度须相等，偏差≤2 cm 结构：上下沿均有帆布带穿绳/钢丝固定，保证平整不塌陷 ；配套：两侧各挂5 cm宽、1 m长白色标志带；外侧配1.8 m长、10 mm直径玻璃纤维标志杆，杆顶高于网沿80 cm ；材质：优先尼龙/涤纶混纺，耐磨抗拉伸；户外选抗UV款。张力：安装时使网面平整微垂，无明显下塌。高度：按性别/年龄组精准调节，以中间测量为准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p>
        </w:tc>
      </w:tr>
      <w:tr w14:paraId="1742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81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EA4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排球比赛服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CD4D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784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8C8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材质：100%聚酯纤维（速干网眼），克重：140～180 g/㎡，特性：吸湿排汗、速干透气、高弹不紧绷、抗皱耐磨、不贴身；上衣款式领型：V领、圆领、立领为主，袖型：短袖/无袖（背心款），腋下宽松不卡臂，版型：修身微宽松，适合跳跃、挥臂、扑救</w:t>
            </w:r>
          </w:p>
        </w:tc>
      </w:tr>
      <w:tr w14:paraId="089A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CF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41D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排球鞋</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EF3D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574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E9E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鞋面材质：超纤PU + 透气网布， 特性：轻质、透气、支撑性强，包裹脚踝， 鞋舌：一体化/半一体化设计，防止移位， 鞋帮：中低帮为主，兼顾灵活与护踝；中底参数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材质：EVA发泡 + 减震气垫/减震片， 功能：缓震强、回弹快，减少落地冲击， 硬度：适中，兼顾起跳爆发力；外底核心参数材质：耐磨无痕橡胶，纹路：细密防滑纹，抓地强、不打滑、不留痕，厚度：前掌薄、后掌略厚，启动快，弯折：前掌易弯折，适合急停、变向、扑救；鞋头与后跟，鞋头：加固防撞设计，防踢伤，后跟：硬质TPU支撑，稳定不侧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重量单只男款（42码）：280～350g，单只女款（37码）：230～280g</w:t>
            </w:r>
          </w:p>
        </w:tc>
      </w:tr>
      <w:tr w14:paraId="7BC1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49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84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沙滩排球</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9E3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0C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67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材质PU、球重260-280g；手工缝制，防水、防沙、不吸水 柔软不打手，适合沙地弹跳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飞行稳定，风阻适中</w:t>
            </w:r>
          </w:p>
        </w:tc>
      </w:tr>
      <w:tr w14:paraId="1241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73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52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标志带</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E04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49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56F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宽度≥5cm，长度50-100M卷装，材质聚丙烯，每10米带孔眼，配地钉。</w:t>
            </w:r>
          </w:p>
        </w:tc>
      </w:tr>
      <w:tr w14:paraId="1679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F2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B0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沙滩排球网</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E98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BA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D4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长度：8.50米（正式赛） ；宽度：1.00米（±3厘米） ；网眼：10×10厘米（正方形） ；网线直径：3.2–4.0毫米结构：黑色无结网（防沙、耐磨）；网体：聚乙烯PE/，抗紫外线、防海水、抗老化；包边：防水、耐撕、防晒</w:t>
            </w:r>
          </w:p>
        </w:tc>
      </w:tr>
      <w:tr w14:paraId="6092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3D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9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充气筒</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5C6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3A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E7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气筒长度≥610mm直径≥37mm气压峰值160PSL，适用气嘴中英美金属材质，三个气嘴，气筒一体成型。</w:t>
            </w:r>
          </w:p>
        </w:tc>
      </w:tr>
      <w:tr w14:paraId="4DC1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14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7F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平沙器</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455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F0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44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材质：不锈钢；手动平沙耙（两用：梳沙+平沙）；防锈、防沙、耐候；</w:t>
            </w:r>
          </w:p>
        </w:tc>
      </w:tr>
      <w:tr w14:paraId="657E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DC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C2D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沙滩比赛服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EF4F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B02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29A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面料参数：聚酯纤维 + 氨纶（8%～15%），克重：130～160 g/㎡，特性：轻薄、高弹、速干、抗紫外线、透气不粘身；比赛服上衣：无袖背心 / 短袖紧身衣，下装：短裤，裤长大腿中上段，腰头：松紧+抽绳，侧边透气网眼，整体：修身不紧绷，适合跳跃、扑救、跑动</w:t>
            </w:r>
          </w:p>
        </w:tc>
      </w:tr>
      <w:tr w14:paraId="6129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E5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16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拳击靶子</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CB9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DA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D9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防爆耐打，缓冲吸能，防爆双层复合pu，多层缓冲内胆</w:t>
            </w:r>
          </w:p>
        </w:tc>
      </w:tr>
      <w:tr w14:paraId="5D34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CE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9C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拳击绷带</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542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5A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D6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弹力棉：高弹款：含氨纶（5%～15%），贴手不易松透气款：网眼、微弹透气布</w:t>
            </w:r>
          </w:p>
        </w:tc>
      </w:tr>
      <w:tr w14:paraId="0A96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81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08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沙袋手套</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CD2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5C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8C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外皮：PU、超纤PU、内衬：透气网布；闭合方式：宽魔术贴粘腕</w:t>
            </w:r>
          </w:p>
        </w:tc>
      </w:tr>
      <w:tr w14:paraId="4C20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E0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5D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拳击手套</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1E6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C3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2FC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红27，蓝28；外皮： PU，耐用、贴合手型；填充：- 乳胶充填（IMF一体成型）；保护均衡、不易塌； 魔术贴穿戴快</w:t>
            </w:r>
          </w:p>
        </w:tc>
      </w:tr>
      <w:tr w14:paraId="32CD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2F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EA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跳绳</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2FF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D0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A7E5">
            <w:pPr>
              <w:keepNext w:val="0"/>
              <w:keepLines w:val="0"/>
              <w:widowControl/>
              <w:suppressLineNumbers w:val="0"/>
              <w:spacing w:after="200" w:afterAutospacing="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中粗负重款；高速轴承（360°旋转），不打结、不绕绳；材质：铝合金；绳体材质：PVC、钢丝包胶：耐磨、速度快。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br w:type="textWrapping"/>
            </w:r>
          </w:p>
        </w:tc>
      </w:tr>
      <w:tr w14:paraId="3F0E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F0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C5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拳击降体服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D41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0D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3B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聚酯纤维：贴身、速干、抗撕裂性能好； </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1.材质（核心）主体：100%聚酯纤维针织布 + PU/离子PU转移膜（复合层），结构：不透气密封层（强制发汗），厚度：0.3–0.5mm（复合后），克重：350–450g/套（成人L码），工艺：针织平纹布与PU复合不离层 ；款式（标准两件套）上衣：长袖、高领（领高2cm）、罗纹收口 ， 裤子：长裤、裤头高弹松紧收缩、裤脚罗纹 设计：全身密封、无透气网眼、无拉链（减少漏汗）；-肩/夹：1/4单针锁链线 ，袖口/裤脚：5线锁边 ，衫脚：1/4双针车线 ，耐折：≥4万次折后无明显裂纹 ，剥离强度：≥30N/cm（复合层不分离） ；功能参数发汗效率：运动15–30分钟大量排汗，控温：锁温3–5℃（加速代谢脱水），弹性：横向拉伸≥120%（不束缚动作）防水：PU膜防渗透（汗水不外漏）</w:t>
            </w:r>
          </w:p>
        </w:tc>
      </w:tr>
      <w:tr w14:paraId="70C0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52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9E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拳击弹力绳</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334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B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ABB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连接：金属扣/无缝一体，防断裂；材质：主体天然乳胶（高弹、耐用、抗撕裂）、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手柄ABS塑料（防滑吸汗）</w:t>
            </w:r>
          </w:p>
        </w:tc>
      </w:tr>
      <w:tr w14:paraId="4404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56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70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头盔</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B61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32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54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外壳：超纤PU；内胆：高密度海绵； 内衬：网布、吸汗棉； 闭合方式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系带+魔术贴：实战款，更稳固不晃动</w:t>
            </w:r>
          </w:p>
        </w:tc>
      </w:tr>
      <w:tr w14:paraId="2811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26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D6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护齿</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79C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85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80D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主体：EVA医用级热塑材料，可热水软化、贴合牙型； 高弹减震，抗冲击；无异味、不含BPA；双层护齿</w:t>
            </w:r>
          </w:p>
        </w:tc>
      </w:tr>
      <w:tr w14:paraId="2F7AD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DD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CB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护裆</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F85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39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D9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外壳：碳纤维（抗冲击）；内衬：海绵、透气网布；腰带：高弹松紧带，拉伸率 150%+；男士护裆：杯式护裆，弧形硬壳，女士护裆：扁平式防护片，贴合骨盆结构； 固定方式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高弹松紧腰带、带魔术贴调节、</w:t>
            </w:r>
          </w:p>
        </w:tc>
      </w:tr>
      <w:tr w14:paraId="7E5D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58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943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拳击比赛服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2587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A78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3DF2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材质：聚酯纤维 85%~95% + 氨纶 5%~15%，克重：140~180g/㎡，特性：高弹贴身、速干透气、不吸汗、不粘身、耐磨抗撕；上衣（拳击背心），款式：无袖背心，V领/圆领，版型：修身贴合，不松垮、不影响出拳、摇臂、躲闪， 袖口：大圆弧开口，肩部活动无束缚，长度：遮盖腰腹，下摆微收不晃动，颜色：纯色为主，可印国旗、协会标识、运动员姓名，下装（拳击短裤）裤长：大腿中上段，不遮挡膝盖护具，腰头：宽边高弹松紧+抽绳双重固定，裤腿：宽松阔腿，大幅度踢膝、移步不紧绷，侧边：开衩/网眼设计，透气散热，裤脚：宽松不束缚，不卡腿、不卷边</w:t>
            </w:r>
          </w:p>
        </w:tc>
      </w:tr>
      <w:tr w14:paraId="3F583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21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0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拳击鞋</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EF2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2C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42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鞋面：透气网布 + 合成革/超纤拼接，兼顾轻量、透气和耐用；鞋底：生胶底，在拳台帆布上抓地力最佳，能稳能转。</w:t>
            </w:r>
          </w:p>
        </w:tc>
      </w:tr>
      <w:tr w14:paraId="47E3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1F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3A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哑铃</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4D0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61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9A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≥500克材质：浸塑（包胶）；防滑磨砂；整体重量均匀，无明显偏心</w:t>
            </w:r>
          </w:p>
        </w:tc>
      </w:tr>
      <w:tr w14:paraId="70F7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7A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0F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哑铃</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274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02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BDF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≥1公斤材质：浸塑（包胶）；防滑磨砂；整体重量均匀，无明显偏心</w:t>
            </w:r>
          </w:p>
        </w:tc>
      </w:tr>
      <w:tr w14:paraId="393A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13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F6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圆领白T恤</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C6F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9E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59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100%棉新疆长绒棉，柔软舒适，吸湿透气。</w:t>
            </w:r>
          </w:p>
        </w:tc>
      </w:tr>
      <w:tr w14:paraId="345D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F9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22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护胸</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676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A3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62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外层PU；内衬高弹泡棉；冲击能量衰减率≥70%，回弹率≥85%；网布/透气孔占比≥20%，减少闷热</w:t>
            </w:r>
          </w:p>
        </w:tc>
      </w:tr>
      <w:tr w14:paraId="1F35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9D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E4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大靶子</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170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E0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E8AE">
            <w:pPr>
              <w:keepNext w:val="0"/>
              <w:keepLines w:val="0"/>
              <w:widowControl/>
              <w:suppressLineNumbers w:val="0"/>
              <w:spacing w:after="200" w:afterAutospacing="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外层：超纤皮（耐磨、抗撕裂、易清洁）； 内胆：高密度EVA（高弹、缓震、不易变形）；握把：加厚尼龙带+魔术贴，防滑、牢固、不勒手； 弧形曲面：贴合拳脚，受力均匀、不易反弹伤人；侧面加固：多层缝线+防撞条，耐重踢、不易开裂；执靶区：多绑带设计，手持稳固、不晃动</w:t>
            </w:r>
          </w:p>
        </w:tc>
      </w:tr>
      <w:tr w14:paraId="7A7E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A6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C1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手把</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EE3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72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F5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外皮：超纤PU；内胆：一体成型海绵；内衬：透气布、防滑颗粒；靶面：弧形微凹，便于接拳接；腿手握：内置手掌固定带+手腕绑带；手腕处：加宽魔术贴，更稳不翻转；边缘：加固包边，耐击打不开裂</w:t>
            </w:r>
          </w:p>
        </w:tc>
      </w:tr>
      <w:tr w14:paraId="5065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17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6E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手腕绷带</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21C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A5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0C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涤棉 + 氨纶（微弹力）；弹力比例：5%～15%氨纶；特点：贴手、不松脱、透气吸汗</w:t>
            </w:r>
          </w:p>
        </w:tc>
      </w:tr>
      <w:tr w14:paraId="13CD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7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C9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沙袋手套</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593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89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278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外皮：PU、超纤PU、帆布；内衬：透气网布、吸汗棉；手腕固定：宽魔术贴</w:t>
            </w:r>
          </w:p>
        </w:tc>
      </w:tr>
      <w:tr w14:paraId="2B1E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1A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1610" cy="287020"/>
                  <wp:effectExtent l="0" t="0" r="8890" b="1778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7"/>
                          <a:stretch>
                            <a:fillRect/>
                          </a:stretch>
                        </pic:blipFill>
                        <pic:spPr>
                          <a:xfrm>
                            <a:off x="0" y="0"/>
                            <a:ext cx="181610" cy="28702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96</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1B5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武术散打降体服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1DB9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130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FF72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聚酯纤维：贴身、速干、抗撕裂性能好； </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1.材质（核心）主体：100%聚酯纤维针织布 + PU/离子PU转移膜（复合层），结构：不透气密封层（强制发汗），厚度：0.3–0.5mm（复合后），克重：350–450g/套（成人L码），工艺：针织平纹布与PU复合不离层 ；款式（标准两件套）上衣：长袖、高领（领高2cm）、罗纹收口 ， 裤子：长裤、裤头高弹松紧收缩、裤脚罗纹 设计：全身密封、无透气网眼、无拉链（减少漏汗）；-肩/夹：1/4单针锁链线 ，袖口/裤脚：5线锁边 ，衫脚：1/4双针车线 ，耐折：≥4万次折后无明显裂纹 ，剥离强度：≥30N/cm（复合层不分离） ；功能参数发汗效率：运动15–30分钟大量排汗，控温：锁温3–5℃（加速代谢脱水），弹性：横向拉伸≥120%（不束缚动作）防水：PU膜防渗透（汗水不外漏）</w:t>
            </w:r>
          </w:p>
        </w:tc>
      </w:tr>
      <w:tr w14:paraId="468E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59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57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带步法绳子</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06C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1E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152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绳径：6～8mm；材质：尼龙编织绳；耐磨、不打结、不吸水、轻便；单根重量：200～400g</w:t>
            </w:r>
          </w:p>
        </w:tc>
      </w:tr>
      <w:tr w14:paraId="53D0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AB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4D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散打护具</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0D6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28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39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头盔：PU+高密度海绵（全包护鼻梁、护下颌，系带+魔术贴固定）；护胸：PU外壳+EVA高弹内胆（全包胸腹肋，双肩可调节，背部魔术贴）：散打护腿（护胫+护脚背）：PU+高弹海绵（弹力绑带+魔术贴）； 散打护裆：腰围：高弹松紧、外壳：树脂、内衬EVA； 散打护齿：EVA热塑材质； 散打护肘： 弹性绑带固定，防撞击、防擦伤：散打护膝高弹透气，防滑不脱落</w:t>
            </w:r>
          </w:p>
        </w:tc>
      </w:tr>
      <w:tr w14:paraId="0E39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56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33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护齿</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C3E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5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09C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主体：医用级EVA热塑材料；特性：无毒无味、可热水定型、高弹减震；结构：双层加厚</w:t>
            </w:r>
          </w:p>
        </w:tc>
      </w:tr>
      <w:tr w14:paraId="3471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F4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787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武术散打比赛服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70B2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79E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505B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材质成分：聚酯纤维 85%～90% + 氨纶 10%～15%， 克重：160～200 g/㎡，特性：高弹贴身、透气速干、不吸汗、不粘身、耐磨抗撕扯、伸展无束缚；上衣（散打背心）款式：无袖背心，圆领/V领，版型：修身贴合，不松垮、不影响出拳、抱摔、格挡，袖口：大弧度开口，肩部活动自如长度：遮盖腰腹，下摆不晃动，颜色：红、蓝两色为主（比赛区分方）下装（散打短裤）裤长：大腿中上段，不遮挡护腿、护裆，腰头：高弹松紧腰 + 内置抽绳，牢固不脱落，裤腿：宽松微开衩，移步、起腿、劈腿无束缚，裤脚：直口不卷边、不卡腿</w:t>
            </w:r>
          </w:p>
        </w:tc>
      </w:tr>
      <w:tr w14:paraId="5FAA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89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F3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护踝</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7B7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D1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00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高弹尼龙+氨纶；内衬：透气吸汗针织布；拉伸率 150%～200%</w:t>
            </w:r>
          </w:p>
        </w:tc>
      </w:tr>
      <w:tr w14:paraId="0096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D6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F12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紧身衣</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7ECF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C93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19B0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85%~90%聚酯纤维 + 10%~15%氨纶；四面高弹，拉伸率 150%以上；速干、排汗、贴身不紧绷、耐磨抗造</w:t>
            </w:r>
          </w:p>
        </w:tc>
      </w:tr>
      <w:tr w14:paraId="48B5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68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C6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篮球</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57B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29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36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PU合成皮，耐磨、手感好，适合室内外通用 ；内胆：丁基橡胶，气密性好，有效保持气压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气嘴：专用，防漏气、防水 。</w:t>
            </w:r>
          </w:p>
        </w:tc>
      </w:tr>
      <w:tr w14:paraId="3D0B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1C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A3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弹力带</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9A0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D8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5E00">
            <w:pPr>
              <w:keepNext w:val="0"/>
              <w:keepLines w:val="0"/>
              <w:widowControl/>
              <w:suppressLineNumbers w:val="0"/>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rPr>
              <w:t>1、材质：天然乳胶</w:t>
            </w:r>
            <w:r>
              <w:rPr>
                <w:rFonts w:hint="eastAsia" w:ascii="仿宋" w:hAnsi="仿宋" w:eastAsia="仿宋" w:cs="仿宋"/>
                <w:i w:val="0"/>
                <w:iCs w:val="0"/>
                <w:color w:val="000000"/>
                <w:sz w:val="20"/>
                <w:szCs w:val="20"/>
                <w:u w:val="none"/>
                <w:lang w:eastAsia="zh-CN"/>
              </w:rPr>
              <w:t>；</w:t>
            </w:r>
          </w:p>
          <w:p w14:paraId="48A491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2、规格：长度</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sz w:val="20"/>
                <w:szCs w:val="20"/>
                <w:u w:val="none"/>
              </w:rPr>
              <w:t>2</w:t>
            </w:r>
            <w:r>
              <w:rPr>
                <w:rFonts w:hint="eastAsia" w:ascii="仿宋" w:hAnsi="仿宋" w:eastAsia="仿宋" w:cs="仿宋"/>
                <w:i w:val="0"/>
                <w:iCs w:val="0"/>
                <w:color w:val="000000"/>
                <w:sz w:val="20"/>
                <w:szCs w:val="20"/>
                <w:u w:val="none"/>
                <w:lang w:val="en-US" w:eastAsia="zh-CN"/>
              </w:rPr>
              <w:t>4</w:t>
            </w:r>
            <w:r>
              <w:rPr>
                <w:rFonts w:hint="eastAsia" w:ascii="仿宋" w:hAnsi="仿宋" w:eastAsia="仿宋" w:cs="仿宋"/>
                <w:i w:val="0"/>
                <w:iCs w:val="0"/>
                <w:color w:val="000000"/>
                <w:sz w:val="20"/>
                <w:szCs w:val="20"/>
                <w:u w:val="none"/>
              </w:rPr>
              <w:t>00mm，宽度</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sz w:val="20"/>
                <w:szCs w:val="20"/>
                <w:u w:val="none"/>
              </w:rPr>
              <w:t>1</w:t>
            </w:r>
            <w:r>
              <w:rPr>
                <w:rFonts w:hint="eastAsia" w:ascii="仿宋" w:hAnsi="仿宋" w:eastAsia="仿宋" w:cs="仿宋"/>
                <w:i w:val="0"/>
                <w:iCs w:val="0"/>
                <w:color w:val="000000"/>
                <w:sz w:val="20"/>
                <w:szCs w:val="20"/>
                <w:u w:val="none"/>
                <w:lang w:val="en-US" w:eastAsia="zh-CN"/>
              </w:rPr>
              <w:t>4</w:t>
            </w:r>
            <w:r>
              <w:rPr>
                <w:rFonts w:hint="eastAsia" w:ascii="仿宋" w:hAnsi="仿宋" w:eastAsia="仿宋" w:cs="仿宋"/>
                <w:i w:val="0"/>
                <w:iCs w:val="0"/>
                <w:color w:val="000000"/>
                <w:sz w:val="20"/>
                <w:szCs w:val="20"/>
                <w:u w:val="none"/>
              </w:rPr>
              <w:t>0mm。5LB厚0.25MM</w:t>
            </w:r>
            <w:r>
              <w:rPr>
                <w:rFonts w:hint="eastAsia" w:ascii="仿宋" w:hAnsi="仿宋" w:eastAsia="仿宋" w:cs="仿宋"/>
                <w:i w:val="0"/>
                <w:iCs w:val="0"/>
                <w:color w:val="000000"/>
                <w:sz w:val="20"/>
                <w:szCs w:val="20"/>
                <w:u w:val="none"/>
                <w:lang w:eastAsia="zh-CN"/>
              </w:rPr>
              <w:t>；10LB厚0.35MM；15LB厚0.45MM；20LB厚0.55MM；25LB厚0.65MM。</w:t>
            </w:r>
          </w:p>
        </w:tc>
      </w:tr>
      <w:tr w14:paraId="33FE2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50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56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弹力绳</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D05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4D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0CC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1、材质：天然乳胶材质；</w:t>
            </w:r>
          </w:p>
          <w:p w14:paraId="4BB737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2、规格：周长≥480MM，宽度≥47MM。磅重：5LB:厚度0.4MM；10LB厚度0.4MM。</w:t>
            </w:r>
          </w:p>
        </w:tc>
      </w:tr>
      <w:tr w14:paraId="4477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63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B2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常规标志桶</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9EE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E4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E7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PE聚乙烯，软质、耐踩、抗摔、防风、可弯折</w:t>
            </w:r>
          </w:p>
        </w:tc>
      </w:tr>
      <w:tr w14:paraId="560F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E4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78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敏捷梯</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613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FD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9C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16节进口PE原料，碳钢加编织，折叠蝴蝶式多形态，</w:t>
            </w:r>
          </w:p>
        </w:tc>
      </w:tr>
      <w:tr w14:paraId="7A72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93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59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小标志桶</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B4A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47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C7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软PE，可踩扁回弹</w:t>
            </w:r>
          </w:p>
        </w:tc>
      </w:tr>
      <w:tr w14:paraId="5D37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16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09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战术板</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EE4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F3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AED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支架式篮球战术板，磁性板，铝合金 边框，360度可翻转，高度调节，带轮可推移，</w:t>
            </w:r>
          </w:p>
        </w:tc>
      </w:tr>
      <w:tr w14:paraId="0D43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0F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78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跳箱</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031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CA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61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1.产品名称：大七节跳箱  ；                                                                                      2.产品尺寸：上宽≥30cm，下宽≥70cm，长≥115cm，高≥110cm；                                                                  3.产品材质：跳箱表层是皮面，木头原色；</w:t>
            </w:r>
          </w:p>
        </w:tc>
      </w:tr>
      <w:tr w14:paraId="4366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B9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3D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瑜伽球</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2DD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43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7D9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PVC环保材质；防滑磨砂、螺纹面；防爆、防压、无毒无味</w:t>
            </w:r>
          </w:p>
        </w:tc>
      </w:tr>
      <w:tr w14:paraId="320B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08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BF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平衡训练球</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93D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07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13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环保加厚PVC，防爆防裂；磨砂、防滑纹</w:t>
            </w:r>
          </w:p>
        </w:tc>
      </w:tr>
      <w:tr w14:paraId="1012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27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274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篮球比赛服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9EF1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DB5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A33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1.材质：100%聚酯纤维； 核心功能：必须具备吸湿排汗、速干透气性能。通过特殊纤维结构将汗水导出面料表面蒸发，保持干爽。常见结构： 网眼布：透气性极佳，是经典选择。 复合面料：部分区域（如腋下、后背）采用网眼拼接，提升关键部位散热效率。 克重：160-180g/m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是兼顾轻薄、不透和垂坠感的黄金区间。</w:t>
            </w:r>
          </w:p>
        </w:tc>
      </w:tr>
      <w:tr w14:paraId="0D7D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23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793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篮球鞋</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5841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A0A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C56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鞋面参数材质：工程网布 / 超纤PU / 飞织面料， 特性：轻质透气、强包裹、抗拉伸、支撑稳定， 结构：一体式鞋舌、半掌内靴、加固鞋头，中底核心参数，材质：高弹EVA发泡 + 减震科技，功能：缓震强、回弹快、落地稳定，硬度：适中，兼顾起跳与变向，外底参数，材质：无痕耐磨橡胶，纹路：人字纹/不规则防滑纹，抓地强，特性：室内不打滑、不留痕迹、耐磨抗折，支撑与护踝，后跟：TPU稳定片，防侧翻、不崴脚，鞋帮：高/中帮为主，包裹脚踝，抗扭转：中底内置抗扭片，跑动不变形</w:t>
            </w:r>
          </w:p>
        </w:tc>
      </w:tr>
      <w:tr w14:paraId="696AC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88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B0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篮球</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D94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AC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2A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PU合成皮，耐磨、手感好，适合室内外通用 ；内胆：丁基橡胶，气密性好，有效保持气压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气嘴：专用，防漏气、防水 ；表皮：全球面颗粒、专属3x3拼接设计，抓握力强</w:t>
            </w:r>
          </w:p>
        </w:tc>
      </w:tr>
      <w:tr w14:paraId="1D5D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79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B5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护膝</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D94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CD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1F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高弹尼龙+氨纶；内衬：透气吸汗针织布；拉伸率 150%～200%</w:t>
            </w:r>
          </w:p>
        </w:tc>
      </w:tr>
      <w:tr w14:paraId="7215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4B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0E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常规标志桶</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4C1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0F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7C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PE聚乙烯，软质、耐踩、抗摔、防风、可弯折</w:t>
            </w:r>
          </w:p>
        </w:tc>
      </w:tr>
      <w:tr w14:paraId="0A5D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3F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E4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标志杆</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06E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79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CD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杆身：ABS工程塑料杆（韧性好、不易断）</w:t>
            </w:r>
          </w:p>
        </w:tc>
      </w:tr>
      <w:tr w14:paraId="6D49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90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03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敏捷梯</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97C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D3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92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梯片：硬质PP塑料；连接带：尼龙扁带</w:t>
            </w:r>
          </w:p>
        </w:tc>
      </w:tr>
      <w:tr w14:paraId="1E17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84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0D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小标志桶</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73C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DA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FA7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软PE，可踩扁回弹</w:t>
            </w:r>
          </w:p>
        </w:tc>
      </w:tr>
      <w:tr w14:paraId="3CDB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E1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1E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战术板</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F1F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1F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5A7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双面PVC、可擦写</w:t>
            </w:r>
          </w:p>
        </w:tc>
      </w:tr>
      <w:tr w14:paraId="7A0F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00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27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跳箱</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FAA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39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D62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1.产品名称：大五节跳箱；</w:t>
            </w:r>
          </w:p>
          <w:p w14:paraId="3B03E7C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2.产品尺寸：上宽≥25cm，下宽≥55cm，长≥96cm，高≥80cm；</w:t>
            </w:r>
          </w:p>
          <w:p w14:paraId="0E8EFF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3.产品材质：跳箱表层是黑色皮面，木头原色，表面涂清漆；</w:t>
            </w:r>
          </w:p>
        </w:tc>
      </w:tr>
      <w:tr w14:paraId="02744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D0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6EB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三人篮球比赛服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42D3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DC5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0AA1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1.材质：100%聚酯纤维； 核心功能：必须具备吸湿排汗、速干透气性能。通过特殊纤维结构将汗水导出面料表面蒸发，保持干爽。常见结构： 网眼布：透气性极佳，是经典选择。 复合面料：部分区域（如腋下、后背）采用网眼拼接，提升关键部位散热效率。 克重：160-180g/m</w:t>
            </w:r>
            <w:r>
              <w:rPr>
                <w:rFonts w:hint="eastAsia" w:ascii="宋体" w:hAnsi="宋体" w:eastAsia="宋体" w:cs="宋体"/>
                <w:i w:val="0"/>
                <w:iCs w:val="0"/>
                <w:color w:val="000000"/>
                <w:kern w:val="0"/>
                <w:sz w:val="20"/>
                <w:szCs w:val="20"/>
                <w:u w:val="none"/>
                <w:lang w:val="en-US" w:eastAsia="zh-CN" w:bidi="ar"/>
              </w:rPr>
              <w:t>²</w:t>
            </w:r>
            <w:r>
              <w:rPr>
                <w:rFonts w:hint="eastAsia" w:ascii="仿宋" w:hAnsi="仿宋" w:eastAsia="仿宋" w:cs="仿宋"/>
                <w:i w:val="0"/>
                <w:iCs w:val="0"/>
                <w:color w:val="000000"/>
                <w:kern w:val="0"/>
                <w:sz w:val="20"/>
                <w:szCs w:val="20"/>
                <w:u w:val="none"/>
                <w:lang w:val="en-US" w:eastAsia="zh-CN" w:bidi="ar"/>
              </w:rPr>
              <w:t>是兼顾轻薄、不透和垂坠感的黄金区间。</w:t>
            </w:r>
          </w:p>
        </w:tc>
      </w:tr>
      <w:tr w14:paraId="484A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4D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B97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篮球鞋</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C312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D85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795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鞋面参数材质：工程网布 / 超纤PU / 飞织面料， 特性：轻质透气、强包裹、抗拉伸、支撑稳定， 结构：一体式鞋舌、半掌内靴、加固鞋头，中底核心参数，材质：高弹EVA发泡 + 减震科技，功能：缓震强、回弹快、落地稳定，硬度：适中，兼顾起跳与变向，外底参数，材质：无痕耐磨橡胶，纹路：人字纹/不规则防滑纹，抓地强，特性：室内不打滑、不留痕迹、耐磨抗折，支撑与护踝，后跟：TPU稳定片，防侧翻、不崴脚，鞋帮：高/中帮为主，包裹脚踝，抗扭转：中底内置抗扭片，跑动不变形</w:t>
            </w:r>
          </w:p>
        </w:tc>
      </w:tr>
      <w:tr w14:paraId="3F17C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57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E5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网球拍</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71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E0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F0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碳杆，手工穿线，球拍重量级（330g 以上）</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：击球稳定性高；</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球拍硬度</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：反映拍框抗形变能力，通常用 RA 值表示（范围 55-75）。</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软拍（RA≤65）</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拍框厚度</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：影响稳定性与手感。</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厚拍框（≥20mm）</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：抗扭性强，力量足；</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窄拍框（≤20mm）</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：手感细腻，风阻小，</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全碳素</w:t>
            </w:r>
            <w:r>
              <w:rPr>
                <w:rFonts w:hint="default" w:ascii="Times New Roman" w:hAnsi="Times New Roman" w:eastAsia="仿宋" w:cs="Times New Roman"/>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，重量轻、弹性好、减震佳。</w:t>
            </w:r>
          </w:p>
        </w:tc>
      </w:tr>
      <w:tr w14:paraId="51D0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54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ED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网球</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54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B5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CEB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一、标准网球（ITF/国标）核心参数：1. 尺寸（直径） 常规比赛用球（Type 2）：6.54–6.86 cm，慢速球（Type 3）：7.00–7.30 cm；2. 重量56.0–59.4 g（常用 56.7–58.5 g）；3. 弹性（弹跳）2.54m 高度落于水泥地，反弹：1.35–1.47 m；4. 结构内层：加压橡胶内胆，外层：羊毛+尼龙混纺毛呢（无缝），颜色：黄色/白色（比赛主流黄色）；5. 变形（硬度）负荷 8.16kg 时：0.56–0.74 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w:t>
            </w:r>
          </w:p>
        </w:tc>
      </w:tr>
      <w:tr w14:paraId="5151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D1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01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网球网子</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01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9D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E2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标准网球网参数（ITF 国际标准总长度：12.8米（42英尺） 高度中央：0.914米（3英尺）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两端（网柱处）：1.07米（3英尺6英寸）网绳/钢丝绳：最大直径 0.8厘米网孔：约 4cm × 4cm（球无法穿过）上沿包边：白色，宽度 5–6.35cm中心带：白色，最大宽度 5cm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材质：聚酯/聚乙烯（耐磨、抗UV）聚乙烯无结网，四面包边，配钢丝绳12.8m*1.07m</w:t>
            </w:r>
          </w:p>
        </w:tc>
      </w:tr>
      <w:tr w14:paraId="37FC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84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A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分段秒表</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89C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89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F2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机芯：石英晶振，误差＜±0.01s/天；计时中可翻查记忆、不中断；IPX7～IPX8（防泼溅/短时浸泡） </w:t>
            </w:r>
          </w:p>
        </w:tc>
      </w:tr>
      <w:tr w14:paraId="2474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25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D7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哨子</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B46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F6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AA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ABS环保工程塑料，耐水、耐氯、抗腐蚀；高频尖锐音，110–125 分贝；无核球设计（无滚珠），水下/含水都能吹响；防水：全防水，进水不影响发声，甩水即干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超轻便携</w:t>
            </w:r>
          </w:p>
        </w:tc>
      </w:tr>
      <w:tr w14:paraId="3B19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2D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BD9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板夹</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899B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E82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708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防水PP塑料；金属强力夹；磨砂防水，不反光、不吸水</w:t>
            </w:r>
          </w:p>
        </w:tc>
      </w:tr>
      <w:tr w14:paraId="5334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1F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079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硅胶泳帽</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1238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38C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A42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食品级环保硅胶，无毒、低致敏、无异味；断裂伸长率≥600%，拉伸负荷≥12N，回弹迅速；防氯配方，延长在泳池中的使用寿命</w:t>
            </w:r>
          </w:p>
        </w:tc>
      </w:tr>
      <w:tr w14:paraId="6842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F0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535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竞赛泳镜</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CFC4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2F6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AA21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镜片：聚碳酸酯PC（防碎、抗冲击）；镜框：一体注塑硅胶镜框；密封圈：柔软硅胶，低水阻贴合；头带：双层防滑硅胶带，可调节；透明款90%以上；镀膜款50%–80%、纳米防雾涂层，持续防雾≥3小时、UV400全波段防护视野：广角120°–180°，无畸变； 平光/近视（100°–1000°）</w:t>
            </w:r>
          </w:p>
        </w:tc>
      </w:tr>
      <w:tr w14:paraId="0354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8E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024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专业泳衣</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FF26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660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52E4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78%高弹锦纶 + 22%氨纶（专业竞速布）；纵向/横向回弹≥90%，包裹紧致不松垮；水阻系数低；快干、抗氯、抗紫外线；表面疏水，不吸水、不增重</w:t>
            </w:r>
          </w:p>
        </w:tc>
      </w:tr>
      <w:tr w14:paraId="768F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E9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240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专业泳裤</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0C19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0D4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B6F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 高弹锦纶 + 20% 氨纶；抗氯耐用，不易松弛、发黄；疏水快干，不吸水增重；高弹回弹，包裹紧致不打滑</w:t>
            </w:r>
          </w:p>
        </w:tc>
      </w:tr>
      <w:tr w14:paraId="4E30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65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02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吸水巾</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7F4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EC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31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高密度涤锦超细纤维（训练常用）；不含棉，不吸水增重、速干不发霉</w:t>
            </w:r>
          </w:p>
        </w:tc>
      </w:tr>
      <w:tr w14:paraId="2560D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67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8C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泳镜防雾剂</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1F6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AF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E5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性体系为主，含甘油/聚乙二醇等多元醇、PVA成膜剂、烷基聚氧乙烯醚类表面活性剂；无酒精、无氟、无刺激性添加剂；pH值6–7（中性，不伤镀膜）；无毒无味，眼刺激等级为无刺激；兼容PC、玻璃、镀膜镜片，不腐蚀、不脱膜；按GB/T31726-2015测试，85℃湿热环境下20±5mm处不起雾；成膜后透光率≥90%，不干扰水下视野；单次涂抹可覆盖3–10次游泳（普通款2–3小时，长效款可达数天）；耐酒精擦拭≥1000次；QUV紫外老化240小时无失效。</w:t>
            </w:r>
          </w:p>
        </w:tc>
      </w:tr>
      <w:tr w14:paraId="021F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53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7C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游泳装备收纳背包</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C9A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C1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24B2">
            <w:pPr>
              <w:keepNext w:val="0"/>
              <w:keepLines w:val="0"/>
              <w:widowControl/>
              <w:suppressLineNumbers w:val="0"/>
              <w:spacing w:after="200" w:afterAutospacing="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外层：聚酯纤维（涤纶） 防泼水，耐磨抗造；湿区常用TPU/PVC 做防水涂层或独立隔层，防水等级可达IPX8（可短时浸泡）；抗撕裂和轻便。</w:t>
            </w:r>
          </w:p>
        </w:tc>
      </w:tr>
      <w:tr w14:paraId="19A6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21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00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防滑拖鞋</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FD4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CE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D2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鞋底接触地面部分选用橡胶，湿态抓地力强。</w:t>
            </w:r>
          </w:p>
        </w:tc>
      </w:tr>
      <w:tr w14:paraId="3A1A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79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C84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3对3水上足球遥控船（无刷版）</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3606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D94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F57D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船体长≥508mm*宽125mm*高205mm/≥1635无刷电机/15A 无刷/ ≥700mAh电池/USB充电器；</w:t>
            </w:r>
          </w:p>
        </w:tc>
      </w:tr>
      <w:tr w14:paraId="2226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F5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97D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电动遥控足球车（无刷版）</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A3C6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6D5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CF3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1.全国（青少年）车辆模型锦标赛,车辆模型三对三足球赛，遥控距离80米，动力为2040无感无刷电机，25A无刷电调， 1300mAh锂电池。可参加车辆模型赛中足球团体赛；</w:t>
            </w:r>
          </w:p>
        </w:tc>
      </w:tr>
      <w:tr w14:paraId="3713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D5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7DA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竞速无人机</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1D8E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EB6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570C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竞速无人机比赛专业器材 重量：飞控MCU：有刷飞控接收机二合一，螺旋桨叶：31mm，电池：1S 220mah，其它功能：自稳悬停，三段变速，定高功能。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飞机：1台，遥控器：1个，电池：2个，备用桨叶：1套，充电器：1个</w:t>
            </w:r>
          </w:p>
        </w:tc>
      </w:tr>
      <w:tr w14:paraId="24BD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4E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EE3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7A95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4D8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B990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竞速无人机专用锂电池，接受快速充电，（1S/220mah）</w:t>
            </w:r>
          </w:p>
        </w:tc>
      </w:tr>
      <w:tr w14:paraId="6DB7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4D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12D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伞降火箭</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00C8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B0A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EBE1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航空航天竞赛模型，可进行“小力士”火箭伞降留空计时赛，需另配发动机和发射架。箭体直箭体质量：≥77g，飞行高度：80m左右。该模型火箭是一种载荷模型火箭。其透明载荷舱中可以搭载小昆虫或其它质量不大于16g的小载荷。</w:t>
            </w:r>
          </w:p>
        </w:tc>
      </w:tr>
      <w:tr w14:paraId="7723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0F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1F1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火箭发动机</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5837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F6C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B35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火箭专用发动机，适合小力士火箭，每袋2枚发动机，可发射2次，</w:t>
            </w:r>
          </w:p>
        </w:tc>
      </w:tr>
      <w:tr w14:paraId="1E1F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88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F45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450N基础新规套装重剑10件套 重剑整剑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重剑手线450N击剑服 900N重剑面罩 重剑比赛手套 精品小滚轮包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全棉击剑袜 护胸/护板</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4C0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865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FA9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重剑：伦萨金刚材质  连接处崭方构造，延长值≥9.60，适用于枪柄安装。定制款：硬度级别4C.满胶复合伦萨金刚材质  连接处崭方构造，延长值≥9.60，适用于枪柄安装。定制款：硬度级别4C.满胶复合。450N保护服：赛用防刺服，可用于比赛，白色标准服，裆下卡扣设计款。重剑手线：加粗铜芯+PVC材质  耐用型，全透明。900N重剑面罩：面罩符合900N 标准，安全双扣，面罩帽檐刺破力.重剑手套：超纤加厚耐磨，安全防护  重量：≥0.1KG 手线：加粗铜芯+PVC材质  耐用型，全透明，</w:t>
            </w:r>
          </w:p>
        </w:tc>
      </w:tr>
      <w:tr w14:paraId="419C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83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B839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450N基础新规套装花剑12件套  花剑整剑 花剑手线450N击剑服 900N花剑面罩 花剑比赛手套 精品小滚轮包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头线 全棉击剑袜 护胸/护板 花剑金属衣</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894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521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DBD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花剑整剑：专业队赛事使用，伦萨金刚材质  连接处崭方构造，延长值≥9.65，适用于枪柄安装。定制款：硬度级别4C.满胶复合。手线：加粗铜芯+PVC材质  耐用型，全透明。450N保护服：赛用防刺服，可用于比赛，白色标准服，裆下卡扣设计款。 450N重剑手线：加粗铜芯+PVC材质  耐用型，全透明，全棉击剑袜：全棉材质，弹力好，前片做加厚防滑，后片超薄透气。花剑金属衣：电花剑金属衣，使用合金丝制作而成，导电效果好，任意两点的电阻不超过5欧姆，下摆要做直角设计， 900N佩剑面罩：面罩符合900N 标准，安全双扣。</w:t>
            </w:r>
          </w:p>
        </w:tc>
      </w:tr>
      <w:tr w14:paraId="12A5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E1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170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450N基础新规套装佩剑12件套  佩剑整剑 花剑手线450N击剑服900N佩剑面罩 佩剑比赛手套 精品小滚轮包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头线 全棉击剑袜 护胸/护板 花剑金属衣</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702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4A5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E86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佩剑整剑：伦萨金刚材质，连接处品字构造，满胶复合，易用于枪柄安装。 450N击剑服：比赛用防刺服，可用于比赛，白色标准服，裆下卡扣设计款。 900N佩剑面罩：安全双扣， 佩剑比赛手套： 头层牛皮布料制作，加厚耐磨，安全防护  头线：新款面罩束状搭接器，对接面罩处为锌合金触点，连接度高灵敏度强，耐用，必须完全匹配新款器材，定制款，长度65厘米（含夹子）全棉击剑袜：全棉材质，弹力好，前片做加厚防滑，后片超薄透气  花剑金属衣：电花剑金属衣，使用合金丝制作而成，导电效果好，任意两点的电阻不超过5欧姆，下摆要做直角设计， 900N佩剑面罩：，安全双扣</w:t>
            </w:r>
          </w:p>
        </w:tc>
      </w:tr>
      <w:tr w14:paraId="0E28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73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9B2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900N成人新规套装重剑10件套 重剑整剑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重剑手线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900N击剑服 1800N重剑面罩 重剑比赛手套 精品小滚轮包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全棉击剑袜 护胸/护板</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E21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996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41B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重剑：伦萨金刚材质  连接处崭方构造，延长值≥9.65，适用于枪柄安装。定制款：硬度级别4C.满胶复合伦萨金刚材质  连接处崭方构造，延长值≥9.65，适用于枪柄安装。定制款：硬度级别4C.满胶复合。900N保护服：比赛用防刺服，可用于比赛，白色标准服，裆下卡扣设计款。1800N重剑面罩：安全双扣。重剑手套：超纤加厚耐磨，安全防护  重量：≥0.1KG 手线：加粗铜芯+PVC材质  耐用型，全透明。</w:t>
            </w:r>
          </w:p>
        </w:tc>
      </w:tr>
      <w:tr w14:paraId="75F1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20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2C4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900N成人新规套装花剑12件套  花剑整剑 花剑手线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900N击剑服1800N花剑面罩 花剑比赛手套 精品小滚轮包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头线 全棉击剑袜 护胸/护板 花剑金属衣</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217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113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1BF0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花剑整剑：专业队赛事使用，伦萨金刚材质  连接处崭方构造，延长值≥9.65，适用于枪柄安装。满胶复合。手线：加粗铜芯+PVC材质  耐用型，全透明，450N保护服：赛用防刺服，可用于比赛，白色标准服，裆下卡扣设计款。重剑手线：加粗铜芯+PVC材质  耐用型，全透明。全棉击剑袜：全棉材质，弹力好，前片做加厚防滑，后片超薄透气。花剑金属衣：电花剑金属衣，使用合金丝制作而成，导电效果好，任意两点的电阻不超过5欧姆，下摆要做直角设计，900N佩剑面罩：安全双扣。</w:t>
            </w:r>
          </w:p>
        </w:tc>
      </w:tr>
      <w:tr w14:paraId="2CDE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61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C38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900N成人新规套装佩剑12件套  佩剑整剑 花剑手线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900N击剑服1800N佩剑面罩 佩剑比赛手套 精品小滚轮包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头线 全棉击剑袜 护胸/护板 花剑金属衣</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D09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B22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C45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佩剑整剑：伦萨金刚材质，连接处品字构造，满胶复合，易用于枪柄安装。 比赛用防刺服，可用于比赛，白色标准服，裆下卡扣设计款。  1800N佩剑面罩：安全双扣 佩剑比赛手套： 头层牛皮布料制作，加厚耐磨，安全防护  头线：新款面罩束状搭接器，对接面罩处为锌合金触点，连接度高灵敏度强，耐用，必须完全匹配新款器材，定制款，长度65厘米（含夹子）全棉击剑袜：全棉材质，弹力好，前片做加厚防滑，后片超薄透气  花剑金属衣：电花剑金属衣，使用合金丝制作而成，导电效果好，任意两点的电阻不超过5欧姆，下摆要做直角设计。</w:t>
            </w:r>
          </w:p>
        </w:tc>
      </w:tr>
      <w:tr w14:paraId="4CCD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1A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30A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花剑整剑</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19D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85F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3E8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花剑整剑：专业队赛事使用，伦萨金刚材质  连接处崭方构造，延长值≥9.65，适用于枪柄安装。定制款：硬度级别4C.满胶复合。</w:t>
            </w:r>
          </w:p>
        </w:tc>
      </w:tr>
      <w:tr w14:paraId="295D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59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C10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重剑整剑</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80A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0DC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BA1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重剑：伦萨金刚材质  连接处崭方构造，延长值≥9.65，适用于枪柄安装。定制款：硬度级别4C.满胶复合伦萨金刚材质  连接处崭方构造，延长值≥9.65，适用于枪柄安装。定制款：硬度级别4C.满胶复合。</w:t>
            </w:r>
          </w:p>
        </w:tc>
      </w:tr>
      <w:tr w14:paraId="105A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48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341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佩剑整剑</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B6C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FFD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9E2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佩剑整剑：伦萨金刚材质，连接处品字构造，满胶复合，易用于枪柄安装。</w:t>
            </w:r>
          </w:p>
        </w:tc>
      </w:tr>
      <w:tr w14:paraId="2DA4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B6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BCF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入场服（长袖外套+pol衫内搭+运动裤+运动鞋）</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37B0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9F5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902</w:t>
            </w:r>
          </w:p>
        </w:tc>
        <w:tc>
          <w:tcPr>
            <w:tcW w:w="5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BC3A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国产知名名牌，</w:t>
            </w:r>
            <w:r>
              <w:rPr>
                <w:rFonts w:hint="eastAsia" w:ascii="仿宋" w:hAnsi="仿宋" w:eastAsia="仿宋" w:cs="仿宋"/>
                <w:i w:val="0"/>
                <w:iCs w:val="0"/>
                <w:color w:val="000000"/>
                <w:kern w:val="0"/>
                <w:sz w:val="20"/>
                <w:szCs w:val="20"/>
                <w:u w:val="none"/>
                <w:lang w:val="en-US" w:eastAsia="zh-CN" w:bidi="ar"/>
              </w:rPr>
              <w:t>长袖外套，材质：77%锦纶，23氨纶；</w:t>
            </w:r>
          </w:p>
          <w:p w14:paraId="0DBE9E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款式：拉链，主打防风防水透气；pol衫内搭+运动裤+运动鞋； 颜色：白色、蓝色、黑色，胡瓜灰 ，版型：人体工学6D立体剪裁，资深团队共同研发，运动轻束缚；提供优质的回复力、合身度和活动自如而设计；良好速干性</w:t>
            </w:r>
            <w:r>
              <w:rPr>
                <w:rFonts w:hint="eastAsia" w:ascii="仿宋" w:hAnsi="仿宋" w:eastAsia="仿宋" w:cs="仿宋"/>
                <w:b/>
                <w:bCs/>
                <w:i w:val="0"/>
                <w:iCs w:val="0"/>
                <w:color w:val="000000"/>
                <w:kern w:val="0"/>
                <w:sz w:val="20"/>
                <w:szCs w:val="20"/>
                <w:u w:val="none"/>
                <w:lang w:val="en-US" w:eastAsia="zh-CN" w:bidi="ar"/>
              </w:rPr>
              <w:t>（提供检测报告）</w:t>
            </w:r>
          </w:p>
        </w:tc>
      </w:tr>
    </w:tbl>
    <w:p w14:paraId="5A89E4F7">
      <w:pPr>
        <w:rPr>
          <w:rFonts w:hint="eastAsia" w:ascii="仿宋" w:hAnsi="仿宋" w:eastAsia="仿宋" w:cs="仿宋"/>
          <w:b/>
          <w:bCs/>
          <w:color w:val="FF0000"/>
          <w:kern w:val="2"/>
          <w:sz w:val="28"/>
          <w:szCs w:val="28"/>
          <w:lang w:val="en-US" w:eastAsia="zh-CN" w:bidi="ar-SA"/>
        </w:rPr>
      </w:pPr>
    </w:p>
    <w:p w14:paraId="07280B78">
      <w:pPr>
        <w:pStyle w:val="39"/>
        <w:snapToGrid w:val="0"/>
        <w:spacing w:line="480" w:lineRule="exact"/>
        <w:ind w:left="0" w:leftChars="0" w:firstLine="0" w:firstLineChars="0"/>
        <w:textAlignment w:val="baseline"/>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注：</w:t>
      </w:r>
    </w:p>
    <w:p w14:paraId="51758C19">
      <w:pPr>
        <w:pStyle w:val="39"/>
        <w:snapToGrid w:val="0"/>
        <w:spacing w:line="480" w:lineRule="exact"/>
        <w:ind w:left="0" w:leftChars="0" w:firstLine="0" w:firstLineChars="0"/>
        <w:textAlignment w:val="baseline"/>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以上技术参数没有指向任何品牌型号，如潜在投标商认为有指向性，仅为参考，投标商根据上述参数符合商务要求自主选择品牌型号。</w:t>
      </w:r>
    </w:p>
    <w:p w14:paraId="07BC38CD">
      <w:pPr>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br w:type="page"/>
      </w:r>
    </w:p>
    <w:p w14:paraId="41573A77">
      <w:pPr>
        <w:pStyle w:val="39"/>
        <w:ind w:left="0" w:leftChars="0" w:firstLine="0" w:firstLineChars="0"/>
        <w:rPr>
          <w:rFonts w:hint="eastAsia" w:ascii="宋体" w:hAnsi="宋体" w:eastAsia="宋体" w:cs="宋体"/>
          <w:b/>
          <w:bCs/>
          <w:color w:val="FF0000"/>
          <w:sz w:val="28"/>
          <w:szCs w:val="28"/>
          <w:highlight w:val="none"/>
          <w:lang w:val="en-US" w:eastAsia="zh-CN"/>
        </w:rPr>
      </w:pPr>
    </w:p>
    <w:p w14:paraId="1926AD5A">
      <w:pPr>
        <w:bidi w:val="0"/>
        <w:jc w:val="left"/>
        <w:rPr>
          <w:rFonts w:hint="eastAsia" w:ascii="仿宋" w:hAnsi="仿宋" w:eastAsia="仿宋" w:cs="仿宋"/>
          <w:b w:val="0"/>
          <w:bCs w:val="0"/>
          <w:color w:val="auto"/>
          <w:lang w:val="en-US" w:eastAsia="zh-CN"/>
        </w:rPr>
      </w:pPr>
      <w:r>
        <w:rPr>
          <w:rFonts w:hint="eastAsia" w:ascii="仿宋" w:hAnsi="仿宋" w:eastAsia="仿宋" w:cs="仿宋"/>
          <w:b w:val="0"/>
          <w:bCs w:val="0"/>
          <w:color w:val="auto"/>
          <w:sz w:val="28"/>
          <w:szCs w:val="28"/>
          <w:highlight w:val="none"/>
          <w:lang w:val="en-US" w:eastAsia="zh-CN"/>
        </w:rPr>
        <w:t xml:space="preserve">项目要求： </w:t>
      </w:r>
    </w:p>
    <w:p w14:paraId="3E03F26C">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（一）1、所招产品的报价要求</w:t>
      </w:r>
    </w:p>
    <w:p w14:paraId="734D155A">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次报价为人民币报价，投标报价应包括：货物本身价格、包装费、运输费用、二次搬运费、装卸费、安装费、损耗、税金费用、人工费、其他配件费及验收合格前和质保期内发生的一切相关的费用、应当提供的伴随服务/售后服务费用。投标单位要全力做好货物运输途中的人员车辆等安全工作，若发生任何安全事故均由中标供应商负责，与采购单位无关。</w:t>
      </w:r>
    </w:p>
    <w:p w14:paraId="00577813">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2、招标项目的交货期和质保期</w:t>
      </w:r>
    </w:p>
    <w:p w14:paraId="3D75D763">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（1）交货期：器械自合同签订之日起15日内，服装自合同签订之日30日内，供货至招标人指定地点，安装、调试完成并验收合格。（具体以签订合同为准）</w:t>
      </w:r>
    </w:p>
    <w:p w14:paraId="0A8DE4D6">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（2）质保期：1年，器械、服装在质量保证期内，因产品质量出现问题，投标人负责免费维修或更换，并承担与维修和更换相关的运费、安装、调试、保险等全部费用。</w:t>
      </w:r>
    </w:p>
    <w:p w14:paraId="7C949E6B">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3、付款方式和交货地点</w:t>
      </w:r>
    </w:p>
    <w:p w14:paraId="08EC3DA7">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（1）付款方式：具体付款方式以合同签订为准。</w:t>
      </w:r>
    </w:p>
    <w:p w14:paraId="7A3DADE5">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（2）交货地点：采购单位指定地点。</w:t>
      </w:r>
    </w:p>
    <w:p w14:paraId="262512A3">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4、售后服务：</w:t>
      </w:r>
    </w:p>
    <w:p w14:paraId="248FC4E7">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1）货物验收合格后，提供一年的免费质保期，免费提供易损件，成本价格提供其它零部件。在质保期内，如果使用单位技术人员自己无法解决故障问题和相关技术问题，供应商售后服务部门提供电话远程指导服务；如果采取的相关措施都没有解决问题，供应商须及时派出技术人员到达现场排除故障或者解决相关技术问题，相关费用问题由供应商自行承担。 </w:t>
      </w:r>
    </w:p>
    <w:p w14:paraId="00B428E6">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2）质保期过后，终身提供广泛优惠的技术支持及售后服务；以优惠价格提供易损件和其他零部件；在质保期过后，如果使用单位技术人员自己无法解决故障问题和相关技术问题，供应商售后服务部门提供电话远程指导服务；如果采取的相关措施都没有解决问题，供应商须及时派出技术人员到达现场排除故障或者解决相关技术问题，相关费用问题参照安装调试人员的费用处理办法。 </w:t>
      </w:r>
    </w:p>
    <w:p w14:paraId="66E097FA">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供应商在中标后需在项目所在地设立售后服务网点、长期检修维护人员（人员为后期长期对货物及系统进行检修维护的人员，质保期内人员不得随意更换，如需更换人员的需向采购单位提交相关情况说明，采购单位同意后方可更换），需提供承诺书（格式自拟）。</w:t>
      </w:r>
    </w:p>
    <w:p w14:paraId="08626D27">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5、采购标的的验收标准：</w:t>
      </w:r>
    </w:p>
    <w:p w14:paraId="70DFB9E8">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验收主体：喀什地区体育局、中标供应商等。</w:t>
      </w:r>
    </w:p>
    <w:p w14:paraId="22ECE749">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验收时间：供货安装调试完毕。</w:t>
      </w:r>
    </w:p>
    <w:p w14:paraId="55EC0A38">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验收标准：本项目严格按照《财政部关于进一步加强政府采购需求和履约验收管理的指导意见》（财库〔2016〕205号） 等政府采购相关法律法规的要求进行验收。</w:t>
      </w:r>
    </w:p>
    <w:p w14:paraId="12A87C36">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验收中发现供应商未达到货物质量标准或合同的规定，供应商必须及时免费提供达到标准的货物，并且承担由此给委托人造成的损失。</w:t>
      </w:r>
    </w:p>
    <w:p w14:paraId="40E9FD26">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无论招标文件中或采购合同中是否要求，供应商所投货物均应符合国家强制性标准及地方强制性标准。</w:t>
      </w:r>
    </w:p>
    <w:p w14:paraId="38DDD305">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6、其他要求：</w:t>
      </w:r>
    </w:p>
    <w:p w14:paraId="068AADEE">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（1）投标人对所提供的货物应当享有合法的所有权，没有侵犯任何第三方的知识产权、技术秘密等权利，而且不存在任何抵押、留置、查封等产权瑕疵。</w:t>
      </w:r>
    </w:p>
    <w:p w14:paraId="78A7FA31">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（2）如有提供虚假资料，中标后取消中标资格，供应商需对投标文件中提供的资料进行真实性承诺（格式自拟，放入投标文件中，否则按废标处理）。</w:t>
      </w:r>
    </w:p>
    <w:p w14:paraId="24483C51">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（3）投标单位须提供产品合法使用的承诺（格式自拟，否则按废标处理），如因第三方提出侵权指控，投标单位应承担由此而引起的一切法律责任和费用。</w:t>
      </w:r>
    </w:p>
    <w:p w14:paraId="0F186026">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（4）投标人提供的货物必须是全新的、未使用过的，货物和相关服务应当符合招标文件要求。</w:t>
      </w:r>
    </w:p>
    <w:p w14:paraId="6B31F1E8">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（5）项目完成后，能够支撑本项目设施货物正常运行。</w:t>
      </w:r>
    </w:p>
    <w:p w14:paraId="085CE704">
      <w:pPr>
        <w:pStyle w:val="39"/>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80" w:firstLineChars="100"/>
        <w:jc w:val="left"/>
        <w:textAlignment w:val="baseline"/>
        <w:outlineLvl w:val="9"/>
        <w:rPr>
          <w:rFonts w:hint="eastAsia" w:ascii="仿宋" w:hAnsi="仿宋" w:eastAsia="仿宋" w:cs="仿宋"/>
          <w:b w:val="0"/>
          <w:i w:val="0"/>
          <w:caps w:val="0"/>
          <w:color w:val="auto"/>
          <w:spacing w:val="0"/>
          <w:w w:val="100"/>
          <w:sz w:val="28"/>
          <w:szCs w:val="28"/>
          <w:highlight w:val="none"/>
          <w:lang w:val="en-US" w:eastAsia="zh-CN"/>
        </w:rPr>
      </w:pPr>
      <w:r>
        <w:rPr>
          <w:rFonts w:hint="eastAsia" w:ascii="仿宋" w:hAnsi="仿宋" w:eastAsia="仿宋" w:cs="仿宋"/>
          <w:b w:val="0"/>
          <w:i w:val="0"/>
          <w:caps w:val="0"/>
          <w:color w:val="auto"/>
          <w:spacing w:val="0"/>
          <w:w w:val="100"/>
          <w:sz w:val="28"/>
          <w:szCs w:val="28"/>
          <w:highlight w:val="none"/>
          <w:lang w:val="en-US" w:eastAsia="zh-CN"/>
        </w:rPr>
        <w:t xml:space="preserve">  </w:t>
      </w:r>
    </w:p>
    <w:p w14:paraId="296AF94E">
      <w:pPr>
        <w:pStyle w:val="39"/>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80" w:firstLineChars="100"/>
        <w:jc w:val="left"/>
        <w:textAlignment w:val="baseline"/>
        <w:outlineLvl w:val="9"/>
        <w:rPr>
          <w:rFonts w:hint="eastAsia" w:ascii="仿宋" w:hAnsi="仿宋" w:eastAsia="仿宋" w:cs="仿宋"/>
          <w:color w:val="auto"/>
          <w:sz w:val="28"/>
          <w:szCs w:val="28"/>
          <w:highlight w:val="none"/>
          <w:lang w:val="en-US" w:eastAsia="zh-CN"/>
        </w:rPr>
      </w:pPr>
    </w:p>
    <w:p w14:paraId="166C6C33">
      <w:pPr>
        <w:rPr>
          <w:rFonts w:hint="eastAsia" w:ascii="仿宋" w:hAnsi="仿宋" w:eastAsia="仿宋" w:cs="仿宋"/>
          <w:b/>
          <w:bCs/>
          <w:color w:val="auto"/>
          <w:sz w:val="28"/>
          <w:szCs w:val="28"/>
          <w:highlight w:val="none"/>
          <w:lang w:val="en-US" w:eastAsia="zh-CN"/>
        </w:rPr>
      </w:pPr>
    </w:p>
    <w:p w14:paraId="56D7133B">
      <w:pPr>
        <w:rPr>
          <w:rFonts w:hint="eastAsia" w:ascii="仿宋" w:hAnsi="仿宋" w:eastAsia="仿宋" w:cs="仿宋"/>
          <w:b/>
          <w:bCs/>
          <w:color w:val="auto"/>
          <w:sz w:val="28"/>
          <w:szCs w:val="28"/>
          <w:highlight w:val="none"/>
          <w:lang w:val="en-US" w:eastAsia="zh-CN"/>
        </w:rPr>
      </w:pPr>
    </w:p>
    <w:p w14:paraId="3AABC2F2">
      <w:pPr>
        <w:rPr>
          <w:rFonts w:hint="eastAsia" w:ascii="仿宋" w:hAnsi="仿宋" w:eastAsia="仿宋" w:cs="仿宋"/>
          <w:b/>
          <w:bCs/>
          <w:color w:val="auto"/>
          <w:sz w:val="28"/>
          <w:szCs w:val="28"/>
          <w:highlight w:val="none"/>
          <w:lang w:val="en-US" w:eastAsia="zh-CN"/>
        </w:rPr>
      </w:pPr>
    </w:p>
    <w:p w14:paraId="2343A91C">
      <w:pPr>
        <w:rPr>
          <w:rFonts w:hint="eastAsia" w:ascii="仿宋" w:hAnsi="仿宋" w:eastAsia="仿宋" w:cs="仿宋"/>
          <w:b/>
          <w:bCs/>
          <w:color w:val="auto"/>
          <w:sz w:val="28"/>
          <w:szCs w:val="28"/>
          <w:highlight w:val="none"/>
          <w:lang w:val="en-US" w:eastAsia="zh-CN"/>
        </w:rPr>
      </w:pPr>
    </w:p>
    <w:bookmarkEnd w:id="1251"/>
    <w:bookmarkEnd w:id="1252"/>
    <w:p w14:paraId="6A9CD26F">
      <w:pPr>
        <w:rPr>
          <w:rFonts w:hint="eastAsia" w:ascii="仿宋" w:hAnsi="仿宋" w:eastAsia="仿宋" w:cs="仿宋"/>
          <w:b/>
          <w:bCs/>
          <w:color w:val="auto"/>
          <w:kern w:val="0"/>
          <w:sz w:val="32"/>
          <w:szCs w:val="32"/>
          <w:highlight w:val="none"/>
          <w:lang w:val="en-US" w:eastAsia="zh-CN" w:bidi="ar-SA"/>
        </w:rPr>
      </w:pPr>
      <w:bookmarkStart w:id="1255" w:name="_Toc21856"/>
      <w:bookmarkStart w:id="1256" w:name="_Toc26305"/>
      <w:r>
        <w:rPr>
          <w:rFonts w:hint="eastAsia" w:ascii="仿宋" w:hAnsi="仿宋" w:eastAsia="仿宋" w:cs="仿宋"/>
          <w:b/>
          <w:bCs/>
          <w:color w:val="auto"/>
          <w:kern w:val="0"/>
          <w:sz w:val="32"/>
          <w:szCs w:val="32"/>
          <w:highlight w:val="none"/>
          <w:lang w:val="en-US" w:eastAsia="zh-CN" w:bidi="ar-SA"/>
        </w:rPr>
        <w:br w:type="page"/>
      </w:r>
    </w:p>
    <w:p w14:paraId="34BEBB82">
      <w:pPr>
        <w:widowControl/>
        <w:spacing w:line="440" w:lineRule="exact"/>
        <w:jc w:val="center"/>
        <w:outlineLvl w:val="0"/>
        <w:rPr>
          <w:rFonts w:hint="eastAsia" w:ascii="仿宋" w:hAnsi="仿宋" w:eastAsia="仿宋" w:cs="仿宋"/>
          <w:b/>
          <w:bCs/>
          <w:color w:val="auto"/>
          <w:kern w:val="0"/>
          <w:sz w:val="32"/>
          <w:szCs w:val="32"/>
          <w:highlight w:val="none"/>
          <w:lang w:val="en-US" w:eastAsia="zh-CN" w:bidi="ar-SA"/>
        </w:rPr>
      </w:pPr>
    </w:p>
    <w:p w14:paraId="7C423362">
      <w:pPr>
        <w:widowControl/>
        <w:spacing w:line="440" w:lineRule="exact"/>
        <w:jc w:val="both"/>
        <w:outlineLvl w:val="0"/>
        <w:rPr>
          <w:rFonts w:hint="eastAsia" w:ascii="仿宋" w:hAnsi="仿宋" w:eastAsia="仿宋" w:cs="仿宋"/>
          <w:b/>
          <w:bCs/>
          <w:color w:val="auto"/>
          <w:kern w:val="0"/>
          <w:sz w:val="32"/>
          <w:szCs w:val="32"/>
          <w:highlight w:val="none"/>
          <w:lang w:val="en-US" w:eastAsia="zh-CN" w:bidi="ar-SA"/>
        </w:rPr>
      </w:pPr>
    </w:p>
    <w:p w14:paraId="683F34EE">
      <w:pPr>
        <w:widowControl/>
        <w:spacing w:line="440" w:lineRule="exact"/>
        <w:jc w:val="center"/>
        <w:outlineLvl w:val="0"/>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第6章  评标方法和标准</w:t>
      </w:r>
      <w:bookmarkEnd w:id="14"/>
      <w:bookmarkEnd w:id="15"/>
      <w:bookmarkEnd w:id="16"/>
      <w:bookmarkEnd w:id="17"/>
      <w:bookmarkEnd w:id="18"/>
      <w:bookmarkEnd w:id="19"/>
      <w:bookmarkEnd w:id="20"/>
      <w:bookmarkEnd w:id="1253"/>
      <w:bookmarkEnd w:id="1254"/>
      <w:bookmarkEnd w:id="1255"/>
      <w:bookmarkEnd w:id="1256"/>
    </w:p>
    <w:p w14:paraId="1800F393">
      <w:pPr>
        <w:pStyle w:val="11"/>
        <w:keepNext w:val="0"/>
        <w:keepLines w:val="0"/>
        <w:pageBreakBefore w:val="0"/>
        <w:tabs>
          <w:tab w:val="clear" w:pos="567"/>
        </w:tabs>
        <w:kinsoku/>
        <w:wordWrap/>
        <w:overflowPunct/>
        <w:topLinePunct w:val="0"/>
        <w:autoSpaceDE/>
        <w:autoSpaceDN/>
        <w:bidi w:val="0"/>
        <w:adjustRightInd/>
        <w:spacing w:before="0" w:line="380" w:lineRule="exact"/>
        <w:ind w:firstLine="540" w:firstLineChars="225"/>
        <w:outlineLvl w:val="9"/>
        <w:rPr>
          <w:rFonts w:hint="eastAsia" w:ascii="仿宋" w:hAnsi="仿宋" w:eastAsia="仿宋" w:cs="仿宋"/>
          <w:color w:val="auto"/>
          <w:highlight w:val="none"/>
        </w:rPr>
      </w:pPr>
      <w:r>
        <w:rPr>
          <w:rFonts w:hint="eastAsia" w:ascii="仿宋" w:hAnsi="仿宋" w:eastAsia="仿宋" w:cs="仿宋"/>
          <w:color w:val="auto"/>
          <w:highlight w:val="none"/>
        </w:rPr>
        <w:t>本项目将按照招标文件第一章供应商须知中“五 开标及评标”、“六 确定中标”及本章的规定评标。</w:t>
      </w:r>
    </w:p>
    <w:p w14:paraId="10184CA7">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1.投标无效的情形：</w:t>
      </w:r>
    </w:p>
    <w:p w14:paraId="4F1935A6">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（1）单位负责人为同一人或者存在直接控股、管理关系的不同供应商，其相关投标将被认定为投标无效。</w:t>
      </w:r>
    </w:p>
    <w:p w14:paraId="45CBAC86">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（2）供应商报价超过招标文件规定的预算金额或者分项、分包最高限价的，其投标将被认定为投标无效。</w:t>
      </w:r>
    </w:p>
    <w:p w14:paraId="29E54B40">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653BF6D9">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）供应商应当对所投分包投标文件中“</w:t>
      </w:r>
      <w:r>
        <w:rPr>
          <w:rFonts w:hint="eastAsia" w:ascii="仿宋" w:hAnsi="仿宋" w:eastAsia="仿宋" w:cs="仿宋"/>
          <w:color w:val="auto"/>
          <w:sz w:val="24"/>
          <w:highlight w:val="none"/>
          <w:lang w:val="en-US" w:eastAsia="zh-CN"/>
        </w:rPr>
        <w:t>货物</w:t>
      </w:r>
      <w:r>
        <w:rPr>
          <w:rFonts w:hint="eastAsia" w:ascii="仿宋" w:hAnsi="仿宋" w:eastAsia="仿宋" w:cs="仿宋"/>
          <w:color w:val="auto"/>
          <w:sz w:val="24"/>
          <w:highlight w:val="none"/>
        </w:rPr>
        <w:t>内容”所列的所有内容进行投标，如仅响应某一包中的部分内容，其该包投标将被认定为投标无效。</w:t>
      </w:r>
    </w:p>
    <w:p w14:paraId="663AC9A5">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）供应商未按本须知第12.1和12.3条规定提交投标保证金的，其投标资格将被认定为投标无效。</w:t>
      </w:r>
    </w:p>
    <w:p w14:paraId="3D49D9A0">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）所有投标均以人民币报价。供应商的投标报价应遵守《中华人民共和国价格法》。同时，根据《中华人民共和国政府采购法》第二条的规定，为保证公平竞争，如有</w:t>
      </w:r>
      <w:r>
        <w:rPr>
          <w:rFonts w:hint="eastAsia" w:ascii="仿宋" w:hAnsi="仿宋" w:eastAsia="仿宋" w:cs="仿宋"/>
          <w:color w:val="auto"/>
          <w:sz w:val="24"/>
          <w:highlight w:val="none"/>
          <w:lang w:val="en-US" w:eastAsia="zh-CN"/>
        </w:rPr>
        <w:t>货物</w:t>
      </w:r>
      <w:r>
        <w:rPr>
          <w:rFonts w:hint="eastAsia" w:ascii="仿宋" w:hAnsi="仿宋" w:eastAsia="仿宋" w:cs="仿宋"/>
          <w:color w:val="auto"/>
          <w:sz w:val="24"/>
          <w:highlight w:val="none"/>
        </w:rPr>
        <w:t>主体部分的赠与行为，其投标将被认定为投标无效。</w:t>
      </w:r>
    </w:p>
    <w:p w14:paraId="784C005B">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）供应商所报的各分项投标单价在合同履行过程中是固定不变的，不得以任何理由予以变更。任何包含价格调整要求的投标，其投标将被认定为投标无效。</w:t>
      </w:r>
    </w:p>
    <w:p w14:paraId="44D48896">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）投标应在供应商须知资料表中规定时间内保持有效。投标有效期不满足要求的投标，其投标将被认定为投标无效。</w:t>
      </w:r>
    </w:p>
    <w:p w14:paraId="3E449028">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）采购人或采购代理机构将在开标前1个工作日至投标截止后1小时的期间内查询供应商的信用记录。供应商存在不良信用记录的，其投标将被认定为投标无效。</w:t>
      </w:r>
    </w:p>
    <w:p w14:paraId="259BD4B5">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1F01A7AF">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14:paraId="6E1EC6FE">
      <w:pPr>
        <w:keepNext w:val="0"/>
        <w:keepLines w:val="0"/>
        <w:pageBreakBefore w:val="0"/>
        <w:widowControl/>
        <w:kinsoku/>
        <w:wordWrap/>
        <w:overflowPunct/>
        <w:topLinePunct w:val="0"/>
        <w:autoSpaceDE/>
        <w:autoSpaceDN/>
        <w:bidi w:val="0"/>
        <w:adjustRightInd/>
        <w:spacing w:line="380" w:lineRule="exac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14:paraId="33C8903D">
      <w:pPr>
        <w:keepNext w:val="0"/>
        <w:keepLines w:val="0"/>
        <w:pageBreakBefore w:val="0"/>
        <w:widowControl/>
        <w:kinsoku/>
        <w:wordWrap/>
        <w:overflowPunct/>
        <w:topLinePunct w:val="0"/>
        <w:autoSpaceDE/>
        <w:autoSpaceDN/>
        <w:bidi w:val="0"/>
        <w:adjustRightInd/>
        <w:spacing w:line="380" w:lineRule="exact"/>
        <w:jc w:val="left"/>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en-US" w:eastAsia="zh-CN"/>
        </w:rPr>
        <w:t>.</w:t>
      </w:r>
      <w:r>
        <w:rPr>
          <w:rFonts w:hint="eastAsia" w:ascii="仿宋" w:hAnsi="仿宋" w:eastAsia="仿宋" w:cs="仿宋"/>
          <w:b/>
          <w:bCs/>
          <w:color w:val="auto"/>
          <w:sz w:val="24"/>
          <w:highlight w:val="none"/>
          <w:lang w:eastAsia="zh-CN"/>
        </w:rPr>
        <w:t>本项目</w:t>
      </w:r>
      <w:r>
        <w:rPr>
          <w:rFonts w:hint="eastAsia" w:ascii="仿宋" w:hAnsi="仿宋" w:eastAsia="仿宋" w:cs="仿宋"/>
          <w:b/>
          <w:bCs/>
          <w:color w:val="auto"/>
          <w:sz w:val="24"/>
          <w:highlight w:val="none"/>
          <w:lang w:val="en-US" w:eastAsia="zh-CN"/>
        </w:rPr>
        <w:t>不专门</w:t>
      </w:r>
      <w:r>
        <w:rPr>
          <w:rFonts w:hint="eastAsia" w:ascii="仿宋" w:hAnsi="仿宋" w:eastAsia="仿宋" w:cs="仿宋"/>
          <w:b/>
          <w:bCs/>
          <w:color w:val="auto"/>
          <w:sz w:val="24"/>
          <w:highlight w:val="none"/>
          <w:lang w:eastAsia="zh-CN"/>
        </w:rPr>
        <w:t>面向中小企业采购。根据《财政部关于进一步加大政府采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仿宋" w:hAnsi="仿宋" w:eastAsia="仿宋" w:cs="仿宋"/>
          <w:b/>
          <w:bCs/>
          <w:color w:val="auto"/>
          <w:sz w:val="24"/>
          <w:highlight w:val="none"/>
          <w:u w:val="single"/>
          <w:lang w:eastAsia="zh-CN"/>
        </w:rPr>
        <w:t xml:space="preserve">  </w:t>
      </w:r>
      <w:r>
        <w:rPr>
          <w:rFonts w:hint="eastAsia" w:ascii="仿宋" w:hAnsi="仿宋" w:eastAsia="仿宋" w:cs="仿宋"/>
          <w:b/>
          <w:bCs/>
          <w:color w:val="auto"/>
          <w:sz w:val="24"/>
          <w:highlight w:val="none"/>
          <w:u w:val="single"/>
          <w:lang w:val="en-US" w:eastAsia="zh-CN"/>
        </w:rPr>
        <w:t>1</w:t>
      </w:r>
      <w:r>
        <w:rPr>
          <w:rFonts w:hint="eastAsia" w:ascii="仿宋" w:hAnsi="仿宋" w:eastAsia="仿宋" w:cs="仿宋"/>
          <w:b/>
          <w:bCs/>
          <w:color w:val="auto"/>
          <w:sz w:val="24"/>
          <w:highlight w:val="none"/>
          <w:u w:val="single"/>
          <w:lang w:eastAsia="zh-CN"/>
        </w:rPr>
        <w:t>0  %</w:t>
      </w:r>
      <w:r>
        <w:rPr>
          <w:rFonts w:hint="eastAsia" w:ascii="仿宋" w:hAnsi="仿宋" w:eastAsia="仿宋" w:cs="仿宋"/>
          <w:b/>
          <w:bCs/>
          <w:color w:val="auto"/>
          <w:sz w:val="24"/>
          <w:highlight w:val="none"/>
          <w:lang w:eastAsia="zh-CN"/>
        </w:rPr>
        <w:t>后参与评审。对于同时属于小型、微型及小微企业、监狱企业或残疾人福利性单位的，不重复进行报价扣除。</w:t>
      </w:r>
    </w:p>
    <w:p w14:paraId="2C3D1CDE">
      <w:pPr>
        <w:keepNext w:val="0"/>
        <w:keepLines w:val="0"/>
        <w:pageBreakBefore w:val="0"/>
        <w:widowControl/>
        <w:kinsoku/>
        <w:wordWrap/>
        <w:overflowPunct/>
        <w:topLinePunct w:val="0"/>
        <w:autoSpaceDE/>
        <w:autoSpaceDN/>
        <w:bidi w:val="0"/>
        <w:adjustRightInd/>
        <w:spacing w:line="380" w:lineRule="exact"/>
        <w:jc w:val="left"/>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3.联合协议中约定</w:t>
      </w:r>
      <w:r>
        <w:rPr>
          <w:rFonts w:hint="eastAsia" w:ascii="仿宋" w:hAnsi="仿宋" w:eastAsia="仿宋" w:cs="仿宋"/>
          <w:color w:val="auto"/>
          <w:sz w:val="24"/>
          <w:highlight w:val="none"/>
        </w:rPr>
        <w:t>，小型、微型企业和监狱企业的协议合同金额占到联合体协议合同总金额30%以上的，可给予联合体</w:t>
      </w:r>
      <w:r>
        <w:rPr>
          <w:rFonts w:hint="eastAsia" w:ascii="仿宋" w:hAnsi="仿宋" w:eastAsia="仿宋" w:cs="仿宋"/>
          <w:color w:val="auto"/>
          <w:sz w:val="24"/>
          <w:highlight w:val="none"/>
          <w:u w:val="single"/>
        </w:rPr>
        <w:t xml:space="preserve"> 2%-3%</w:t>
      </w:r>
      <w:r>
        <w:rPr>
          <w:rFonts w:hint="eastAsia" w:ascii="仿宋" w:hAnsi="仿宋" w:eastAsia="仿宋" w:cs="仿宋"/>
          <w:color w:val="auto"/>
          <w:sz w:val="24"/>
          <w:highlight w:val="none"/>
        </w:rPr>
        <w:t>的价格扣除。</w:t>
      </w:r>
      <w:r>
        <w:rPr>
          <w:rFonts w:hint="eastAsia" w:ascii="仿宋" w:hAnsi="仿宋" w:eastAsia="仿宋" w:cs="仿宋"/>
          <w:b/>
          <w:bCs/>
          <w:color w:val="auto"/>
          <w:sz w:val="24"/>
          <w:highlight w:val="none"/>
        </w:rPr>
        <w:t>（本项目不适用）</w:t>
      </w:r>
    </w:p>
    <w:p w14:paraId="13F6B63D">
      <w:pPr>
        <w:keepNext w:val="0"/>
        <w:keepLines w:val="0"/>
        <w:pageBreakBefore w:val="0"/>
        <w:widowControl/>
        <w:kinsoku/>
        <w:wordWrap/>
        <w:overflowPunct/>
        <w:topLinePunct w:val="0"/>
        <w:autoSpaceDE/>
        <w:autoSpaceDN/>
        <w:bidi w:val="0"/>
        <w:adjustRightInd/>
        <w:spacing w:line="380" w:lineRule="exact"/>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联合体各方均为小型、微型企业和监狱企业的，联合体视同为小型、微型企业和监狱企业。</w:t>
      </w:r>
    </w:p>
    <w:p w14:paraId="00D35A7B">
      <w:pPr>
        <w:pStyle w:val="11"/>
        <w:keepNext w:val="0"/>
        <w:keepLines w:val="0"/>
        <w:pageBreakBefore w:val="0"/>
        <w:tabs>
          <w:tab w:val="clear" w:pos="567"/>
        </w:tabs>
        <w:kinsoku/>
        <w:wordWrap/>
        <w:overflowPunct/>
        <w:topLinePunct w:val="0"/>
        <w:autoSpaceDE/>
        <w:autoSpaceDN/>
        <w:bidi w:val="0"/>
        <w:adjustRightInd/>
        <w:spacing w:before="0" w:line="380" w:lineRule="exact"/>
        <w:outlineLvl w:val="9"/>
        <w:rPr>
          <w:rFonts w:hint="eastAsia" w:ascii="仿宋" w:hAnsi="仿宋" w:eastAsia="仿宋" w:cs="仿宋"/>
          <w:color w:val="auto"/>
          <w:highlight w:val="none"/>
        </w:rPr>
      </w:pPr>
      <w:r>
        <w:rPr>
          <w:rFonts w:hint="eastAsia" w:ascii="仿宋" w:hAnsi="仿宋" w:eastAsia="仿宋" w:cs="仿宋"/>
          <w:b/>
          <w:bCs/>
          <w:color w:val="auto"/>
          <w:highlight w:val="none"/>
        </w:rPr>
        <w:t>4.供应商</w:t>
      </w:r>
      <w:r>
        <w:rPr>
          <w:rFonts w:hint="eastAsia" w:ascii="仿宋" w:hAnsi="仿宋" w:eastAsia="仿宋" w:cs="仿宋"/>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仿宋" w:hAnsi="仿宋" w:eastAsia="仿宋" w:cs="仿宋"/>
          <w:color w:val="auto"/>
          <w:highlight w:val="none"/>
        </w:rPr>
        <w:t>。</w:t>
      </w:r>
    </w:p>
    <w:p w14:paraId="54613144">
      <w:pPr>
        <w:pStyle w:val="11"/>
        <w:keepNext w:val="0"/>
        <w:keepLines w:val="0"/>
        <w:pageBreakBefore w:val="0"/>
        <w:tabs>
          <w:tab w:val="clear" w:pos="567"/>
        </w:tabs>
        <w:kinsoku/>
        <w:wordWrap/>
        <w:overflowPunct/>
        <w:topLinePunct w:val="0"/>
        <w:autoSpaceDE/>
        <w:autoSpaceDN/>
        <w:bidi w:val="0"/>
        <w:adjustRightInd/>
        <w:spacing w:before="0" w:line="380" w:lineRule="exact"/>
        <w:outlineLvl w:val="9"/>
        <w:rPr>
          <w:rFonts w:hint="eastAsia" w:ascii="仿宋" w:hAnsi="仿宋" w:eastAsia="仿宋" w:cs="仿宋"/>
          <w:color w:val="auto"/>
          <w:highlight w:val="none"/>
          <w:u w:val="single"/>
        </w:rPr>
      </w:pPr>
      <w:r>
        <w:rPr>
          <w:rFonts w:hint="eastAsia" w:ascii="仿宋" w:hAnsi="仿宋" w:eastAsia="仿宋" w:cs="仿宋"/>
          <w:b/>
          <w:bCs/>
          <w:color w:val="auto"/>
          <w:highlight w:val="none"/>
        </w:rPr>
        <w:t>5.对创新产</w:t>
      </w:r>
      <w:r>
        <w:rPr>
          <w:rFonts w:hint="eastAsia" w:ascii="仿宋" w:hAnsi="仿宋" w:eastAsia="仿宋" w:cs="仿宋"/>
          <w:color w:val="auto"/>
          <w:highlight w:val="none"/>
        </w:rPr>
        <w:t>品或创新性企业的优惠措施为：</w:t>
      </w:r>
      <w:r>
        <w:rPr>
          <w:rFonts w:hint="eastAsia" w:ascii="仿宋" w:hAnsi="仿宋" w:eastAsia="仿宋" w:cs="仿宋"/>
          <w:color w:val="auto"/>
          <w:highlight w:val="none"/>
          <w:u w:val="single"/>
        </w:rPr>
        <w:t xml:space="preserve">     /      </w:t>
      </w:r>
    </w:p>
    <w:p w14:paraId="44DFE50F">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6.开标：</w:t>
      </w:r>
    </w:p>
    <w:p w14:paraId="0D053A69">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供应商按照须知资料表中规定的开标时间和地点，在规定时间内上传投标文件。</w:t>
      </w:r>
    </w:p>
    <w:p w14:paraId="2E0FABB7">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lang w:eastAsia="zh-CN"/>
        </w:rPr>
        <w:t xml:space="preserve">，将被认定为无效投标。请供应商提前调试好CA锁，确定在操作时能正常使用。  </w:t>
      </w:r>
    </w:p>
    <w:p w14:paraId="7F62BFE8">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在开标记录时，代理机构开启签字时段，须供应商使用CA锁在政采云平台进行签字确认报价。</w:t>
      </w:r>
    </w:p>
    <w:p w14:paraId="0D95A1C4">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采购人登录政采云平台对供应商的资格证明材料进行审查。</w:t>
      </w:r>
    </w:p>
    <w:p w14:paraId="098DC901">
      <w:pPr>
        <w:pStyle w:val="22"/>
        <w:keepNext w:val="0"/>
        <w:keepLines w:val="0"/>
        <w:pageBreakBefore w:val="0"/>
        <w:kinsoku/>
        <w:wordWrap/>
        <w:overflowPunct/>
        <w:topLinePunct w:val="0"/>
        <w:autoSpaceDE/>
        <w:autoSpaceDN/>
        <w:bidi w:val="0"/>
        <w:adjustRightInd/>
        <w:spacing w:line="380" w:lineRule="exact"/>
        <w:outlineLvl w:val="9"/>
        <w:rPr>
          <w:rFonts w:hint="eastAsia" w:ascii="仿宋" w:hAnsi="仿宋" w:eastAsia="仿宋" w:cs="仿宋"/>
          <w:b/>
          <w:bCs/>
          <w:i w:val="0"/>
          <w:caps w:val="0"/>
          <w:color w:val="auto"/>
          <w:spacing w:val="0"/>
          <w:w w:val="100"/>
          <w:sz w:val="24"/>
          <w:highlight w:val="none"/>
          <w:lang w:val="en-US" w:eastAsia="zh-CN"/>
        </w:rPr>
      </w:pPr>
      <w:r>
        <w:rPr>
          <w:rFonts w:hint="eastAsia" w:ascii="仿宋" w:hAnsi="仿宋" w:eastAsia="仿宋" w:cs="仿宋"/>
          <w:b/>
          <w:bCs/>
          <w:i w:val="0"/>
          <w:caps w:val="0"/>
          <w:color w:val="auto"/>
          <w:spacing w:val="0"/>
          <w:w w:val="100"/>
          <w:sz w:val="24"/>
          <w:highlight w:val="none"/>
          <w:lang w:val="en-US" w:eastAsia="zh-CN"/>
        </w:rPr>
        <w:t>7.评标：</w:t>
      </w:r>
    </w:p>
    <w:p w14:paraId="5DAB1E13">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b/>
          <w:bCs/>
          <w:color w:val="000000" w:themeColor="text1"/>
          <w:sz w:val="24"/>
          <w:highlight w:val="none"/>
          <w:lang w:eastAsia="zh-CN"/>
          <w14:textFill>
            <w14:solidFill>
              <w14:schemeClr w14:val="tx1"/>
            </w14:solidFill>
          </w14:textFill>
        </w:rPr>
        <w:t>1）在政采云平台上随机抽取</w:t>
      </w:r>
      <w:r>
        <w:rPr>
          <w:rFonts w:hint="eastAsia" w:ascii="仿宋" w:hAnsi="仿宋" w:eastAsia="仿宋" w:cs="仿宋"/>
          <w:b/>
          <w:bCs/>
          <w:color w:val="000000" w:themeColor="text1"/>
          <w:sz w:val="24"/>
          <w:highlight w:val="none"/>
          <w:lang w:val="en-US" w:eastAsia="zh-CN"/>
          <w14:textFill>
            <w14:solidFill>
              <w14:schemeClr w14:val="tx1"/>
            </w14:solidFill>
          </w14:textFill>
        </w:rPr>
        <w:t>5</w:t>
      </w:r>
      <w:r>
        <w:rPr>
          <w:rFonts w:hint="eastAsia" w:ascii="仿宋" w:hAnsi="仿宋" w:eastAsia="仿宋" w:cs="仿宋"/>
          <w:b/>
          <w:bCs/>
          <w:color w:val="000000" w:themeColor="text1"/>
          <w:sz w:val="24"/>
          <w:highlight w:val="none"/>
          <w14:textFill>
            <w14:solidFill>
              <w14:schemeClr w14:val="tx1"/>
            </w14:solidFill>
          </w14:textFill>
        </w:rPr>
        <w:t>名</w:t>
      </w:r>
      <w:r>
        <w:rPr>
          <w:rFonts w:hint="eastAsia" w:ascii="仿宋" w:hAnsi="仿宋" w:eastAsia="仿宋" w:cs="仿宋"/>
          <w:b/>
          <w:bCs/>
          <w:color w:val="000000" w:themeColor="text1"/>
          <w:sz w:val="24"/>
          <w:highlight w:val="none"/>
          <w:lang w:eastAsia="zh-CN"/>
          <w14:textFill>
            <w14:solidFill>
              <w14:schemeClr w14:val="tx1"/>
            </w14:solidFill>
          </w14:textFill>
        </w:rPr>
        <w:t>专家</w:t>
      </w:r>
      <w:r>
        <w:rPr>
          <w:rFonts w:hint="eastAsia" w:ascii="仿宋" w:hAnsi="仿宋" w:eastAsia="仿宋" w:cs="仿宋"/>
          <w:b/>
          <w:bCs/>
          <w:color w:val="000000" w:themeColor="text1"/>
          <w:sz w:val="24"/>
          <w:highlight w:val="none"/>
          <w:lang w:val="en-US" w:eastAsia="zh-CN"/>
          <w14:textFill>
            <w14:solidFill>
              <w14:schemeClr w14:val="tx1"/>
            </w14:solidFill>
          </w14:textFill>
        </w:rPr>
        <w:t>，共计5名专家</w:t>
      </w:r>
      <w:r>
        <w:rPr>
          <w:rFonts w:hint="eastAsia" w:ascii="仿宋" w:hAnsi="仿宋" w:eastAsia="仿宋" w:cs="仿宋"/>
          <w:b/>
          <w:bCs/>
          <w:color w:val="000000" w:themeColor="text1"/>
          <w:sz w:val="24"/>
          <w:highlight w:val="none"/>
          <w14:textFill>
            <w14:solidFill>
              <w14:schemeClr w14:val="tx1"/>
            </w14:solidFill>
          </w14:textFill>
        </w:rPr>
        <w:t>负责评标工作。</w:t>
      </w:r>
    </w:p>
    <w:p w14:paraId="1CAF65C8">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（2）评标前，工作人员收取所有参会人员的手机，主持人宣读评标纪律。</w:t>
      </w:r>
    </w:p>
    <w:p w14:paraId="679FAA01">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对采购单位的纪律要求：采购单位不得泄露招投标活动中应当保密的情况和资料，不得与供应商串通损害国家利益、社会公共利益或者他人合法权益</w:t>
      </w:r>
    </w:p>
    <w:p w14:paraId="4FA75D6E">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对与开标大会活动有关的工作人员的纪律要求：与开标大会活动有关的工作人员不得收受他人的财物或者其他好处，不得向他人透露对中标候选人的推荐情况以及评标有关的其他情况。</w:t>
      </w:r>
    </w:p>
    <w:p w14:paraId="7EF281A1">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对评标专家的评标纪律及注意事项：</w:t>
      </w:r>
    </w:p>
    <w:p w14:paraId="7CD3216B">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①与本次评标工作无关的人员不得进入评标现场；</w:t>
      </w:r>
    </w:p>
    <w:p w14:paraId="7CFE2AA5">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②在评标过程中评标委员会以外人员不得干预或影响正常评标工作，不得明示或暗示其倾向性、引导性言论；</w:t>
      </w:r>
    </w:p>
    <w:p w14:paraId="11CFCDA4">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③评标委员会成员要严格遵守政府采购法、政府采购法实施条例、政府采购货物和服务招标投标管理办法及评标专家管理办法，要求公正、公平的参与评标工作；</w:t>
      </w:r>
    </w:p>
    <w:p w14:paraId="656DDF3D">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14:paraId="65CE768F">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14:paraId="6370EC5A">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14:paraId="193C039F">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⑦评标专家与供应商有下列利害关系之一的人员，应当回避</w:t>
      </w:r>
    </w:p>
    <w:p w14:paraId="5FA9729C">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参加采购活动前3年内与供应商存在劳动关系；</w:t>
      </w:r>
    </w:p>
    <w:p w14:paraId="02D7CC95">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参加采购活动前3年内担任供应商的董事、监事；</w:t>
      </w:r>
    </w:p>
    <w:p w14:paraId="4794C9AF">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参加采购活动前3年内是供应商的控股股东或者实际控制人；</w:t>
      </w:r>
    </w:p>
    <w:p w14:paraId="7AE2B3DA">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与供应商的法定代表人或者负责人有夫妻、直系血亲、三代以内旁系血亲或者近姻亲关系。</w:t>
      </w:r>
    </w:p>
    <w:p w14:paraId="46D910BD">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（3）评标委员会应当按照招标文件中规定的评标方法和标准，对所有投标文件进行资格性审查，再对符合资格要求的供应商的投标文件进行符合性审查，以确定其是否满足招标文件的实质性要求。</w:t>
      </w:r>
    </w:p>
    <w:p w14:paraId="6E206718">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14:paraId="10711E83">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14:paraId="59CCAF52">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14:paraId="61EC2D87">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注：现场所有参会人员均要对开标内容进行保密。</w:t>
      </w:r>
    </w:p>
    <w:p w14:paraId="2DF018D9">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bCs/>
          <w:i w:val="0"/>
          <w:caps w:val="0"/>
          <w:color w:val="auto"/>
          <w:spacing w:val="0"/>
          <w:w w:val="100"/>
          <w:sz w:val="24"/>
          <w:highlight w:val="none"/>
          <w:lang w:val="en-US" w:eastAsia="zh-CN"/>
        </w:rPr>
      </w:pPr>
      <w:r>
        <w:rPr>
          <w:rFonts w:hint="eastAsia" w:ascii="仿宋" w:hAnsi="仿宋" w:eastAsia="仿宋" w:cs="仿宋"/>
          <w:b/>
          <w:bCs/>
          <w:i w:val="0"/>
          <w:caps w:val="0"/>
          <w:color w:val="auto"/>
          <w:spacing w:val="0"/>
          <w:w w:val="100"/>
          <w:sz w:val="24"/>
          <w:highlight w:val="none"/>
          <w:lang w:val="en-US" w:eastAsia="zh-CN"/>
        </w:rPr>
        <w:t>8.答疑澄清：</w:t>
      </w:r>
    </w:p>
    <w:p w14:paraId="601CF6C2">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（1）评标委员会对于投标文件中含义不明确、同类问题表述不一致或者有明显文字和计算错误的内容，要求供应商以书面形式现场作出必要的澄清、说明或者补正。</w:t>
      </w:r>
    </w:p>
    <w:p w14:paraId="3EF974B0">
      <w:pPr>
        <w:pStyle w:val="22"/>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（2）供应商的澄清、说明或者补正应当采用书面形式，并加盖公章，或者由法定代表人或其授权的代表签字。供应商的澄清、说明或者补正不得超出投标文件的范围或者改变投标文件的实质性内容。</w:t>
      </w:r>
    </w:p>
    <w:p w14:paraId="14DF0AB2">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bCs/>
          <w:i w:val="0"/>
          <w:caps w:val="0"/>
          <w:color w:val="auto"/>
          <w:spacing w:val="0"/>
          <w:w w:val="100"/>
          <w:sz w:val="24"/>
          <w:highlight w:val="none"/>
          <w:lang w:val="en-US" w:eastAsia="zh-CN"/>
        </w:rPr>
      </w:pPr>
      <w:r>
        <w:rPr>
          <w:rFonts w:hint="eastAsia" w:ascii="仿宋" w:hAnsi="仿宋" w:eastAsia="仿宋" w:cs="仿宋"/>
          <w:b/>
          <w:bCs/>
          <w:i w:val="0"/>
          <w:caps w:val="0"/>
          <w:color w:val="auto"/>
          <w:spacing w:val="0"/>
          <w:w w:val="100"/>
          <w:sz w:val="24"/>
          <w:highlight w:val="none"/>
          <w:lang w:val="en-US" w:eastAsia="zh-CN"/>
        </w:rPr>
        <w:t>9.定标：</w:t>
      </w:r>
    </w:p>
    <w:p w14:paraId="2BCB3FE1">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（1）采购代理机构应当在评标结束后2个工作日内将评标报告送采购人。</w:t>
      </w:r>
    </w:p>
    <w:p w14:paraId="09E21901">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（2）采购人应当自收到评标报告之日起５个工作日内，在评标报告确定的中标候选人名单中按顺序确定中标人。中标候选人并列的，由采购人按照招标文件规定的方式确定中标人。</w:t>
      </w:r>
    </w:p>
    <w:p w14:paraId="3CA28EBF">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14:paraId="3FFACD5F">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2E6FF6A9">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仿宋" w:hAnsi="仿宋" w:eastAsia="仿宋" w:cs="仿宋"/>
          <w:b w:val="0"/>
          <w:i w:val="0"/>
          <w:caps w:val="0"/>
          <w:color w:val="auto"/>
          <w:spacing w:val="0"/>
          <w:w w:val="100"/>
          <w:sz w:val="24"/>
          <w:highlight w:val="none"/>
          <w:lang w:val="en-US" w:eastAsia="zh-CN"/>
        </w:rPr>
      </w:pPr>
      <w:r>
        <w:rPr>
          <w:rFonts w:hint="eastAsia" w:ascii="仿宋" w:hAnsi="仿宋" w:eastAsia="仿宋" w:cs="仿宋"/>
          <w:b w:val="0"/>
          <w:i w:val="0"/>
          <w:caps w:val="0"/>
          <w:color w:val="auto"/>
          <w:spacing w:val="0"/>
          <w:w w:val="100"/>
          <w:sz w:val="24"/>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32CDC2C2">
      <w:pPr>
        <w:outlineLvl w:val="9"/>
        <w:rPr>
          <w:rFonts w:hint="eastAsia" w:ascii="仿宋" w:hAnsi="仿宋" w:eastAsia="仿宋" w:cs="仿宋"/>
          <w:b w:val="0"/>
          <w:i w:val="0"/>
          <w:caps w:val="0"/>
          <w:color w:val="auto"/>
          <w:spacing w:val="0"/>
          <w:w w:val="100"/>
          <w:sz w:val="24"/>
          <w:highlight w:val="none"/>
          <w:lang w:val="en-US" w:eastAsia="zh-CN"/>
        </w:rPr>
      </w:pPr>
      <w:bookmarkStart w:id="1257" w:name="_Toc5986"/>
      <w:bookmarkStart w:id="1258" w:name="_Toc21866"/>
      <w:bookmarkStart w:id="1259" w:name="_Toc19412"/>
      <w:bookmarkStart w:id="1260" w:name="_Toc9116"/>
      <w:bookmarkStart w:id="1261" w:name="_Toc23103"/>
      <w:bookmarkStart w:id="1262" w:name="_Toc10419"/>
      <w:bookmarkStart w:id="1263" w:name="_Toc1327"/>
      <w:bookmarkStart w:id="1264" w:name="_Toc25901"/>
      <w:bookmarkStart w:id="1265" w:name="_Toc21578"/>
      <w:bookmarkStart w:id="1266" w:name="_Toc5478"/>
      <w:bookmarkStart w:id="1267" w:name="_Toc5776"/>
      <w:bookmarkStart w:id="1268" w:name="_Toc28782"/>
      <w:bookmarkStart w:id="1269" w:name="_Toc29085"/>
      <w:bookmarkStart w:id="1270" w:name="_Toc5578"/>
      <w:bookmarkStart w:id="1271" w:name="_Toc6128"/>
      <w:bookmarkStart w:id="1272" w:name="_Toc9835"/>
      <w:bookmarkStart w:id="1273" w:name="_Toc7467"/>
    </w:p>
    <w:p w14:paraId="4DE07C01">
      <w:pPr>
        <w:pStyle w:val="6"/>
        <w:outlineLvl w:val="9"/>
        <w:rPr>
          <w:rFonts w:hint="eastAsia" w:ascii="仿宋" w:hAnsi="仿宋" w:eastAsia="仿宋" w:cs="仿宋"/>
          <w:b w:val="0"/>
          <w:i w:val="0"/>
          <w:caps w:val="0"/>
          <w:color w:val="auto"/>
          <w:spacing w:val="0"/>
          <w:w w:val="100"/>
          <w:sz w:val="24"/>
          <w:highlight w:val="none"/>
          <w:lang w:val="en-US" w:eastAsia="zh-CN"/>
        </w:rPr>
      </w:pPr>
    </w:p>
    <w:p w14:paraId="5F2F67E0">
      <w:pPr>
        <w:pStyle w:val="8"/>
        <w:outlineLvl w:val="9"/>
        <w:rPr>
          <w:rFonts w:hint="eastAsia" w:ascii="仿宋" w:hAnsi="仿宋" w:eastAsia="仿宋" w:cs="仿宋"/>
          <w:b w:val="0"/>
          <w:i w:val="0"/>
          <w:caps w:val="0"/>
          <w:color w:val="auto"/>
          <w:spacing w:val="0"/>
          <w:w w:val="100"/>
          <w:sz w:val="24"/>
          <w:highlight w:val="none"/>
          <w:lang w:val="en-US" w:eastAsia="zh-CN"/>
        </w:rPr>
      </w:pPr>
    </w:p>
    <w:p w14:paraId="1FB15F1A">
      <w:pPr>
        <w:outlineLvl w:val="9"/>
        <w:rPr>
          <w:rFonts w:hint="eastAsia" w:ascii="仿宋" w:hAnsi="仿宋" w:eastAsia="仿宋" w:cs="仿宋"/>
          <w:b w:val="0"/>
          <w:i w:val="0"/>
          <w:caps w:val="0"/>
          <w:color w:val="auto"/>
          <w:spacing w:val="0"/>
          <w:w w:val="100"/>
          <w:sz w:val="24"/>
          <w:highlight w:val="none"/>
          <w:lang w:val="en-US" w:eastAsia="zh-CN"/>
        </w:rPr>
      </w:pPr>
    </w:p>
    <w:p w14:paraId="39175EE5">
      <w:pPr>
        <w:outlineLvl w:val="9"/>
        <w:rPr>
          <w:rFonts w:hint="eastAsia" w:ascii="仿宋" w:hAnsi="仿宋" w:eastAsia="仿宋" w:cs="仿宋"/>
          <w:b w:val="0"/>
          <w:i w:val="0"/>
          <w:caps w:val="0"/>
          <w:color w:val="auto"/>
          <w:spacing w:val="0"/>
          <w:w w:val="100"/>
          <w:sz w:val="24"/>
          <w:highlight w:val="none"/>
          <w:lang w:val="en-US" w:eastAsia="zh-CN"/>
        </w:rPr>
      </w:pPr>
    </w:p>
    <w:p w14:paraId="08243CAC">
      <w:pPr>
        <w:pStyle w:val="6"/>
        <w:outlineLvl w:val="9"/>
        <w:rPr>
          <w:rFonts w:hint="eastAsia" w:ascii="仿宋" w:hAnsi="仿宋" w:eastAsia="仿宋" w:cs="仿宋"/>
          <w:b w:val="0"/>
          <w:i w:val="0"/>
          <w:caps w:val="0"/>
          <w:color w:val="auto"/>
          <w:spacing w:val="0"/>
          <w:w w:val="100"/>
          <w:sz w:val="24"/>
          <w:highlight w:val="none"/>
          <w:lang w:val="en-US" w:eastAsia="zh-CN"/>
        </w:rPr>
      </w:pPr>
    </w:p>
    <w:p w14:paraId="36A130E4">
      <w:pPr>
        <w:pStyle w:val="8"/>
        <w:rPr>
          <w:rFonts w:hint="eastAsia" w:ascii="仿宋" w:hAnsi="仿宋" w:eastAsia="仿宋" w:cs="仿宋"/>
          <w:b w:val="0"/>
          <w:i w:val="0"/>
          <w:caps w:val="0"/>
          <w:color w:val="auto"/>
          <w:spacing w:val="0"/>
          <w:w w:val="100"/>
          <w:sz w:val="24"/>
          <w:highlight w:val="none"/>
          <w:lang w:val="en-US" w:eastAsia="zh-CN"/>
        </w:rPr>
      </w:pPr>
    </w:p>
    <w:p w14:paraId="160AF94E">
      <w:pPr>
        <w:rPr>
          <w:rFonts w:hint="eastAsia" w:ascii="仿宋" w:hAnsi="仿宋" w:eastAsia="仿宋" w:cs="仿宋"/>
          <w:b w:val="0"/>
          <w:i w:val="0"/>
          <w:caps w:val="0"/>
          <w:color w:val="auto"/>
          <w:spacing w:val="0"/>
          <w:w w:val="100"/>
          <w:sz w:val="24"/>
          <w:highlight w:val="none"/>
          <w:lang w:val="en-US" w:eastAsia="zh-CN"/>
        </w:rPr>
      </w:pPr>
    </w:p>
    <w:p w14:paraId="1669DC7D">
      <w:pPr>
        <w:outlineLvl w:val="9"/>
        <w:rPr>
          <w:rFonts w:hint="eastAsia" w:ascii="仿宋" w:hAnsi="仿宋" w:eastAsia="仿宋" w:cs="仿宋"/>
          <w:b w:val="0"/>
          <w:i w:val="0"/>
          <w:caps w:val="0"/>
          <w:color w:val="auto"/>
          <w:spacing w:val="0"/>
          <w:w w:val="100"/>
          <w:sz w:val="24"/>
          <w:highlight w:val="none"/>
          <w:lang w:val="en-US" w:eastAsia="zh-CN"/>
        </w:rPr>
      </w:pPr>
    </w:p>
    <w:p w14:paraId="0E1B8EFD">
      <w:pPr>
        <w:pStyle w:val="6"/>
        <w:rPr>
          <w:rFonts w:hint="eastAsia" w:ascii="仿宋" w:hAnsi="仿宋" w:eastAsia="仿宋" w:cs="仿宋"/>
          <w:b w:val="0"/>
          <w:i w:val="0"/>
          <w:caps w:val="0"/>
          <w:color w:val="auto"/>
          <w:spacing w:val="0"/>
          <w:w w:val="100"/>
          <w:sz w:val="24"/>
          <w:highlight w:val="none"/>
          <w:lang w:val="en-US" w:eastAsia="zh-CN"/>
        </w:rPr>
      </w:pPr>
    </w:p>
    <w:p w14:paraId="1156B2F9">
      <w:pPr>
        <w:pStyle w:val="8"/>
        <w:rPr>
          <w:rFonts w:hint="eastAsia" w:ascii="仿宋" w:hAnsi="仿宋" w:eastAsia="仿宋" w:cs="仿宋"/>
          <w:color w:val="auto"/>
          <w:highlight w:val="none"/>
          <w:lang w:val="en-US" w:eastAsia="zh-CN"/>
        </w:rPr>
      </w:pPr>
    </w:p>
    <w:p w14:paraId="3A212ADA">
      <w:pPr>
        <w:rPr>
          <w:rFonts w:hint="eastAsia" w:ascii="仿宋" w:hAnsi="仿宋" w:eastAsia="仿宋" w:cs="仿宋"/>
          <w:color w:val="auto"/>
          <w:highlight w:val="none"/>
        </w:rPr>
      </w:pPr>
    </w:p>
    <w:p w14:paraId="501D0119">
      <w:pPr>
        <w:rPr>
          <w:rFonts w:hint="eastAsia" w:ascii="仿宋" w:hAnsi="仿宋" w:eastAsia="仿宋" w:cs="仿宋"/>
          <w:color w:val="auto"/>
          <w:highlight w:val="none"/>
        </w:rPr>
      </w:pPr>
      <w:bookmarkStart w:id="1274" w:name="_Toc19552"/>
      <w:bookmarkStart w:id="1275" w:name="_Toc30954"/>
      <w:r>
        <w:rPr>
          <w:rFonts w:hint="eastAsia" w:ascii="仿宋" w:hAnsi="仿宋" w:eastAsia="仿宋" w:cs="仿宋"/>
          <w:color w:val="auto"/>
          <w:highlight w:val="none"/>
        </w:rPr>
        <w:br w:type="page"/>
      </w:r>
    </w:p>
    <w:p w14:paraId="23DA78DF">
      <w:pPr>
        <w:pStyle w:val="3"/>
        <w:outlineLvl w:val="1"/>
        <w:rPr>
          <w:rFonts w:hint="eastAsia" w:ascii="仿宋" w:hAnsi="仿宋" w:eastAsia="仿宋" w:cs="仿宋"/>
          <w:color w:val="auto"/>
          <w:highlight w:val="none"/>
        </w:rPr>
      </w:pPr>
      <w:r>
        <w:rPr>
          <w:rFonts w:hint="eastAsia" w:ascii="仿宋" w:hAnsi="仿宋" w:eastAsia="仿宋" w:cs="仿宋"/>
          <w:color w:val="auto"/>
          <w:highlight w:val="none"/>
        </w:rPr>
        <w:t>初步评审—资格性审查表</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tbl>
      <w:tblPr>
        <w:tblStyle w:val="30"/>
        <w:tblW w:w="53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6759"/>
        <w:gridCol w:w="544"/>
        <w:gridCol w:w="566"/>
        <w:gridCol w:w="587"/>
      </w:tblGrid>
      <w:tr w14:paraId="5661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349" w:type="pct"/>
            <w:vMerge w:val="restart"/>
            <w:vAlign w:val="center"/>
          </w:tcPr>
          <w:p w14:paraId="1F78F7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3716" w:type="pct"/>
            <w:vMerge w:val="restart"/>
            <w:vAlign w:val="center"/>
          </w:tcPr>
          <w:p w14:paraId="2F9E3C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评审内容</w:t>
            </w:r>
          </w:p>
        </w:tc>
        <w:tc>
          <w:tcPr>
            <w:tcW w:w="933" w:type="pct"/>
            <w:gridSpan w:val="3"/>
            <w:vAlign w:val="center"/>
          </w:tcPr>
          <w:p w14:paraId="3F9AD9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供应商</w:t>
            </w:r>
          </w:p>
        </w:tc>
      </w:tr>
      <w:tr w14:paraId="73CC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49" w:type="pct"/>
            <w:vMerge w:val="continue"/>
            <w:vAlign w:val="center"/>
          </w:tcPr>
          <w:p w14:paraId="467F75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0"/>
                <w:szCs w:val="20"/>
                <w:highlight w:val="none"/>
              </w:rPr>
            </w:pPr>
          </w:p>
        </w:tc>
        <w:tc>
          <w:tcPr>
            <w:tcW w:w="3716" w:type="pct"/>
            <w:vMerge w:val="continue"/>
            <w:vAlign w:val="center"/>
          </w:tcPr>
          <w:p w14:paraId="3D37E6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0"/>
                <w:szCs w:val="20"/>
                <w:highlight w:val="none"/>
              </w:rPr>
            </w:pPr>
          </w:p>
        </w:tc>
        <w:tc>
          <w:tcPr>
            <w:tcW w:w="299" w:type="pct"/>
            <w:vAlign w:val="center"/>
          </w:tcPr>
          <w:p w14:paraId="02AC72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是否合格</w:t>
            </w:r>
          </w:p>
        </w:tc>
        <w:tc>
          <w:tcPr>
            <w:tcW w:w="311" w:type="pct"/>
            <w:vAlign w:val="center"/>
          </w:tcPr>
          <w:p w14:paraId="09DA11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是否合格</w:t>
            </w:r>
          </w:p>
        </w:tc>
        <w:tc>
          <w:tcPr>
            <w:tcW w:w="323" w:type="pct"/>
            <w:vAlign w:val="center"/>
          </w:tcPr>
          <w:p w14:paraId="536829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是否合格</w:t>
            </w:r>
          </w:p>
        </w:tc>
      </w:tr>
      <w:tr w14:paraId="593D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49" w:type="pct"/>
            <w:vAlign w:val="center"/>
          </w:tcPr>
          <w:p w14:paraId="206D0F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 w:val="18"/>
                <w:szCs w:val="18"/>
                <w:highlight w:val="none"/>
              </w:rPr>
            </w:pPr>
            <w:r>
              <w:rPr>
                <w:rFonts w:hint="eastAsia" w:ascii="仿宋" w:hAnsi="仿宋" w:eastAsia="仿宋" w:cs="仿宋"/>
                <w:color w:val="auto"/>
                <w:spacing w:val="-2"/>
                <w:sz w:val="18"/>
                <w:szCs w:val="18"/>
                <w:highlight w:val="none"/>
              </w:rPr>
              <w:t>1</w:t>
            </w:r>
          </w:p>
        </w:tc>
        <w:tc>
          <w:tcPr>
            <w:tcW w:w="3716" w:type="pct"/>
            <w:vAlign w:val="center"/>
          </w:tcPr>
          <w:p w14:paraId="1F2D667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lang w:eastAsia="zh-CN"/>
              </w:rPr>
              <w:t>合格有效的三证合一的营业执照（三证合一）或电子营业执照（需加盖公章）或同等法律效力的证明文件（发证机关或公证机关出具的证明材料）</w:t>
            </w:r>
            <w:r>
              <w:rPr>
                <w:rFonts w:hint="eastAsia" w:ascii="仿宋" w:hAnsi="仿宋" w:eastAsia="仿宋" w:cs="仿宋"/>
                <w:color w:val="auto"/>
                <w:spacing w:val="-2"/>
                <w:szCs w:val="21"/>
                <w:highlight w:val="none"/>
              </w:rPr>
              <w:t>；</w:t>
            </w:r>
          </w:p>
        </w:tc>
        <w:tc>
          <w:tcPr>
            <w:tcW w:w="299" w:type="pct"/>
          </w:tcPr>
          <w:p w14:paraId="4A71538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6042879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70244B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022C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49" w:type="pct"/>
            <w:vAlign w:val="center"/>
          </w:tcPr>
          <w:p w14:paraId="08B9A9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sz w:val="18"/>
                <w:szCs w:val="18"/>
                <w:highlight w:val="none"/>
                <w:lang w:val="en-US" w:eastAsia="zh-CN"/>
              </w:rPr>
              <w:t>2</w:t>
            </w:r>
          </w:p>
        </w:tc>
        <w:tc>
          <w:tcPr>
            <w:tcW w:w="3716" w:type="pct"/>
            <w:vAlign w:val="center"/>
          </w:tcPr>
          <w:p w14:paraId="1CA4D99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lang w:eastAsia="zh-CN"/>
              </w:rPr>
            </w:pPr>
            <w:r>
              <w:rPr>
                <w:rFonts w:hint="eastAsia" w:ascii="仿宋" w:hAnsi="仿宋" w:eastAsia="仿宋" w:cs="仿宋"/>
                <w:color w:val="auto"/>
                <w:spacing w:val="-2"/>
                <w:szCs w:val="21"/>
                <w:highlight w:val="none"/>
              </w:rPr>
              <w:t>法定代表人资格证明及授权书、被授权人身份证(法定代表人投标需提供法定代表人身份证)；</w:t>
            </w:r>
          </w:p>
        </w:tc>
        <w:tc>
          <w:tcPr>
            <w:tcW w:w="299" w:type="pct"/>
          </w:tcPr>
          <w:p w14:paraId="27B1B59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5C4C1CE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733EBD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0A7F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49" w:type="pct"/>
            <w:vAlign w:val="center"/>
          </w:tcPr>
          <w:p w14:paraId="2A4458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sz w:val="18"/>
                <w:szCs w:val="18"/>
                <w:highlight w:val="none"/>
                <w:lang w:val="en-US" w:eastAsia="zh-CN"/>
              </w:rPr>
              <w:t>3</w:t>
            </w:r>
          </w:p>
        </w:tc>
        <w:tc>
          <w:tcPr>
            <w:tcW w:w="3716" w:type="pct"/>
            <w:vAlign w:val="center"/>
          </w:tcPr>
          <w:p w14:paraId="62CF643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Cs w:val="21"/>
                <w:highlight w:val="none"/>
              </w:rPr>
              <w:t>提供近两年内任意一年的财务审计报告（新成立未满一年的新公司可提供近三个月内任意一个月的银行资信证明）；</w:t>
            </w:r>
          </w:p>
        </w:tc>
        <w:tc>
          <w:tcPr>
            <w:tcW w:w="299" w:type="pct"/>
          </w:tcPr>
          <w:p w14:paraId="47413DA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20A723C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4445B88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4C46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 w:type="pct"/>
            <w:vAlign w:val="center"/>
          </w:tcPr>
          <w:p w14:paraId="45F12A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sz w:val="18"/>
                <w:szCs w:val="18"/>
                <w:highlight w:val="none"/>
                <w:lang w:val="en-US" w:eastAsia="zh-CN"/>
              </w:rPr>
              <w:t>4</w:t>
            </w:r>
          </w:p>
        </w:tc>
        <w:tc>
          <w:tcPr>
            <w:tcW w:w="3716" w:type="pct"/>
            <w:vAlign w:val="center"/>
          </w:tcPr>
          <w:p w14:paraId="652B82E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Cs w:val="21"/>
                <w:highlight w:val="none"/>
              </w:rPr>
              <w:t>依法缴纳近</w:t>
            </w:r>
            <w:r>
              <w:rPr>
                <w:rFonts w:hint="eastAsia" w:ascii="仿宋" w:hAnsi="仿宋" w:eastAsia="仿宋" w:cs="仿宋"/>
                <w:color w:val="auto"/>
                <w:spacing w:val="-2"/>
                <w:szCs w:val="21"/>
                <w:highlight w:val="none"/>
                <w:lang w:val="en-US" w:eastAsia="zh-CN"/>
              </w:rPr>
              <w:t>3</w:t>
            </w:r>
            <w:r>
              <w:rPr>
                <w:rFonts w:hint="eastAsia" w:ascii="仿宋" w:hAnsi="仿宋" w:eastAsia="仿宋" w:cs="仿宋"/>
                <w:color w:val="auto"/>
                <w:spacing w:val="-2"/>
                <w:szCs w:val="21"/>
                <w:highlight w:val="none"/>
              </w:rPr>
              <w:t>个月内任意一个月</w:t>
            </w:r>
            <w:r>
              <w:rPr>
                <w:rFonts w:hint="eastAsia" w:ascii="仿宋" w:hAnsi="仿宋" w:eastAsia="仿宋" w:cs="仿宋"/>
                <w:color w:val="auto"/>
                <w:spacing w:val="-2"/>
                <w:szCs w:val="21"/>
                <w:highlight w:val="none"/>
                <w:lang w:eastAsia="zh-CN"/>
              </w:rPr>
              <w:t>社会保险证明</w:t>
            </w:r>
            <w:r>
              <w:rPr>
                <w:rFonts w:hint="eastAsia" w:ascii="仿宋" w:hAnsi="仿宋" w:eastAsia="仿宋" w:cs="仿宋"/>
                <w:color w:val="auto"/>
                <w:spacing w:val="-2"/>
                <w:szCs w:val="21"/>
                <w:highlight w:val="none"/>
              </w:rPr>
              <w:t>；</w:t>
            </w:r>
          </w:p>
        </w:tc>
        <w:tc>
          <w:tcPr>
            <w:tcW w:w="299" w:type="pct"/>
          </w:tcPr>
          <w:p w14:paraId="75AA254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36EB22D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003AD6F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117D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349" w:type="pct"/>
            <w:vAlign w:val="center"/>
          </w:tcPr>
          <w:p w14:paraId="1AF9A9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sz w:val="18"/>
                <w:szCs w:val="18"/>
                <w:highlight w:val="none"/>
                <w:lang w:val="en-US" w:eastAsia="zh-CN"/>
              </w:rPr>
              <w:t>5</w:t>
            </w:r>
          </w:p>
        </w:tc>
        <w:tc>
          <w:tcPr>
            <w:tcW w:w="3716" w:type="pct"/>
            <w:vAlign w:val="center"/>
          </w:tcPr>
          <w:p w14:paraId="1FAD087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Cs w:val="21"/>
                <w:highlight w:val="none"/>
                <w:lang w:eastAsia="zh-CN"/>
              </w:rPr>
              <w:t>依法缴纳近</w:t>
            </w:r>
            <w:r>
              <w:rPr>
                <w:rFonts w:hint="eastAsia" w:ascii="仿宋" w:hAnsi="仿宋" w:eastAsia="仿宋" w:cs="仿宋"/>
                <w:color w:val="auto"/>
                <w:spacing w:val="-2"/>
                <w:szCs w:val="21"/>
                <w:highlight w:val="none"/>
                <w:lang w:val="en-US" w:eastAsia="zh-CN"/>
              </w:rPr>
              <w:t>3</w:t>
            </w:r>
            <w:r>
              <w:rPr>
                <w:rFonts w:hint="eastAsia" w:ascii="仿宋" w:hAnsi="仿宋" w:eastAsia="仿宋" w:cs="仿宋"/>
                <w:color w:val="auto"/>
                <w:spacing w:val="-2"/>
                <w:szCs w:val="21"/>
                <w:highlight w:val="none"/>
                <w:lang w:eastAsia="zh-CN"/>
              </w:rPr>
              <w:t>个月内任意一个月税收证明</w:t>
            </w:r>
            <w:r>
              <w:rPr>
                <w:rFonts w:hint="eastAsia" w:ascii="仿宋" w:hAnsi="仿宋" w:eastAsia="仿宋" w:cs="仿宋"/>
                <w:color w:val="auto"/>
                <w:spacing w:val="-2"/>
                <w:szCs w:val="21"/>
                <w:highlight w:val="none"/>
              </w:rPr>
              <w:t>；</w:t>
            </w:r>
          </w:p>
        </w:tc>
        <w:tc>
          <w:tcPr>
            <w:tcW w:w="299" w:type="pct"/>
          </w:tcPr>
          <w:p w14:paraId="29B7394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622775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01C7AB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28EF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49" w:type="pct"/>
            <w:vAlign w:val="center"/>
          </w:tcPr>
          <w:p w14:paraId="7F1767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sz w:val="18"/>
                <w:szCs w:val="18"/>
                <w:highlight w:val="none"/>
                <w:lang w:val="en-US" w:eastAsia="zh-CN"/>
              </w:rPr>
              <w:t>6</w:t>
            </w:r>
          </w:p>
        </w:tc>
        <w:tc>
          <w:tcPr>
            <w:tcW w:w="3716" w:type="pct"/>
            <w:vAlign w:val="center"/>
          </w:tcPr>
          <w:p w14:paraId="0A31CA7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Cs w:val="21"/>
                <w:highlight w:val="none"/>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p>
        </w:tc>
        <w:tc>
          <w:tcPr>
            <w:tcW w:w="299" w:type="pct"/>
          </w:tcPr>
          <w:p w14:paraId="1AB0D4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2B128CB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57E227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7EE3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 w:type="pct"/>
            <w:vAlign w:val="center"/>
          </w:tcPr>
          <w:p w14:paraId="7FF7B5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sz w:val="18"/>
                <w:szCs w:val="18"/>
                <w:highlight w:val="none"/>
                <w:lang w:val="en-US" w:eastAsia="zh-CN"/>
              </w:rPr>
              <w:t>7</w:t>
            </w:r>
          </w:p>
        </w:tc>
        <w:tc>
          <w:tcPr>
            <w:tcW w:w="3716" w:type="pct"/>
            <w:vAlign w:val="center"/>
          </w:tcPr>
          <w:p w14:paraId="5D2BAB3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Cs w:val="21"/>
                <w:highlight w:val="none"/>
              </w:rPr>
              <w:t>参与政府采购活动前3年内未被列入失信、重大税收违法案件、财政部门禁止参加政府采购活动的承诺书；</w:t>
            </w:r>
          </w:p>
        </w:tc>
        <w:tc>
          <w:tcPr>
            <w:tcW w:w="299" w:type="pct"/>
          </w:tcPr>
          <w:p w14:paraId="1358BE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1E130D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75C87E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4886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49" w:type="pct"/>
            <w:vAlign w:val="center"/>
          </w:tcPr>
          <w:p w14:paraId="09C03D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sz w:val="18"/>
                <w:szCs w:val="18"/>
                <w:highlight w:val="none"/>
                <w:lang w:val="en-US" w:eastAsia="zh-CN"/>
              </w:rPr>
              <w:t>8</w:t>
            </w:r>
          </w:p>
        </w:tc>
        <w:tc>
          <w:tcPr>
            <w:tcW w:w="3716" w:type="pct"/>
            <w:vAlign w:val="center"/>
          </w:tcPr>
          <w:p w14:paraId="46EDD7B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Cs w:val="21"/>
                <w:highlight w:val="none"/>
              </w:rPr>
              <w:t>提供针对本次项目的《反商业贿赂承诺书》；</w:t>
            </w:r>
          </w:p>
        </w:tc>
        <w:tc>
          <w:tcPr>
            <w:tcW w:w="299" w:type="pct"/>
          </w:tcPr>
          <w:p w14:paraId="160EF7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2F260C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4C20519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6307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49" w:type="pct"/>
            <w:vAlign w:val="center"/>
          </w:tcPr>
          <w:p w14:paraId="010231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kern w:val="2"/>
                <w:sz w:val="18"/>
                <w:szCs w:val="18"/>
                <w:highlight w:val="none"/>
                <w:lang w:val="en-US" w:eastAsia="zh-CN" w:bidi="ar-SA"/>
              </w:rPr>
              <w:t>9</w:t>
            </w:r>
          </w:p>
        </w:tc>
        <w:tc>
          <w:tcPr>
            <w:tcW w:w="3716" w:type="pct"/>
            <w:vAlign w:val="center"/>
          </w:tcPr>
          <w:p w14:paraId="7CC5164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kern w:val="2"/>
                <w:sz w:val="21"/>
                <w:szCs w:val="21"/>
                <w:highlight w:val="none"/>
                <w:lang w:val="en-US" w:eastAsia="zh-CN" w:bidi="ar-SA"/>
              </w:rPr>
            </w:pPr>
            <w:r>
              <w:rPr>
                <w:rFonts w:hint="eastAsia" w:ascii="仿宋" w:hAnsi="仿宋" w:eastAsia="仿宋" w:cs="仿宋"/>
                <w:color w:val="auto"/>
                <w:spacing w:val="-2"/>
                <w:szCs w:val="21"/>
                <w:highlight w:val="none"/>
              </w:rPr>
              <w:t>缴纳投标保证金的有效凭证。</w:t>
            </w:r>
          </w:p>
        </w:tc>
        <w:tc>
          <w:tcPr>
            <w:tcW w:w="299" w:type="pct"/>
          </w:tcPr>
          <w:p w14:paraId="4F545DE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7CBEF9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4EDB92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2C7D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49" w:type="pct"/>
            <w:vAlign w:val="center"/>
          </w:tcPr>
          <w:p w14:paraId="62DB7C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spacing w:val="-2"/>
                <w:kern w:val="2"/>
                <w:sz w:val="18"/>
                <w:szCs w:val="18"/>
                <w:highlight w:val="none"/>
                <w:lang w:val="en-US" w:eastAsia="zh-CN" w:bidi="ar-SA"/>
              </w:rPr>
            </w:pPr>
            <w:r>
              <w:rPr>
                <w:rFonts w:hint="eastAsia" w:ascii="仿宋" w:hAnsi="仿宋" w:eastAsia="仿宋" w:cs="仿宋"/>
                <w:color w:val="auto"/>
                <w:spacing w:val="-2"/>
                <w:kern w:val="2"/>
                <w:sz w:val="18"/>
                <w:szCs w:val="18"/>
                <w:highlight w:val="none"/>
                <w:lang w:val="en-US" w:eastAsia="zh-CN" w:bidi="ar-SA"/>
              </w:rPr>
              <w:t>10</w:t>
            </w:r>
          </w:p>
        </w:tc>
        <w:tc>
          <w:tcPr>
            <w:tcW w:w="3716" w:type="pct"/>
            <w:vAlign w:val="center"/>
          </w:tcPr>
          <w:p w14:paraId="30D94E1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auto"/>
                <w:spacing w:val="-2"/>
                <w:szCs w:val="21"/>
                <w:highlight w:val="none"/>
                <w:lang w:val="en-US" w:eastAsia="zh-CN"/>
              </w:rPr>
            </w:pPr>
            <w:r>
              <w:rPr>
                <w:rFonts w:hint="eastAsia" w:ascii="仿宋" w:hAnsi="仿宋" w:eastAsia="仿宋" w:cs="仿宋"/>
                <w:color w:val="auto"/>
                <w:spacing w:val="-2"/>
                <w:szCs w:val="21"/>
                <w:highlight w:val="none"/>
                <w:lang w:val="en-US" w:eastAsia="zh-CN"/>
              </w:rPr>
              <w:t>中小企业声明函</w:t>
            </w:r>
          </w:p>
        </w:tc>
        <w:tc>
          <w:tcPr>
            <w:tcW w:w="299" w:type="pct"/>
          </w:tcPr>
          <w:p w14:paraId="5D2BFB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6B869B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5EAE69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r w14:paraId="418E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49" w:type="pct"/>
            <w:vAlign w:val="center"/>
          </w:tcPr>
          <w:p w14:paraId="6B7DBB6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 w:val="20"/>
                <w:szCs w:val="20"/>
                <w:highlight w:val="none"/>
                <w:lang w:val="en-US" w:eastAsia="zh-CN"/>
              </w:rPr>
            </w:pPr>
          </w:p>
        </w:tc>
        <w:tc>
          <w:tcPr>
            <w:tcW w:w="3716" w:type="pct"/>
            <w:vAlign w:val="center"/>
          </w:tcPr>
          <w:p w14:paraId="1EEE339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 w:val="20"/>
                <w:szCs w:val="20"/>
                <w:highlight w:val="none"/>
                <w:lang w:val="en-US" w:eastAsia="zh-CN"/>
              </w:rPr>
            </w:pPr>
            <w:r>
              <w:rPr>
                <w:rFonts w:hint="eastAsia" w:ascii="仿宋" w:hAnsi="仿宋" w:eastAsia="仿宋" w:cs="仿宋"/>
                <w:color w:val="auto"/>
                <w:spacing w:val="-2"/>
                <w:sz w:val="20"/>
                <w:szCs w:val="20"/>
                <w:highlight w:val="none"/>
                <w:lang w:val="en-US" w:eastAsia="zh-CN"/>
              </w:rPr>
              <w:t>结论</w:t>
            </w:r>
          </w:p>
        </w:tc>
        <w:tc>
          <w:tcPr>
            <w:tcW w:w="299" w:type="pct"/>
          </w:tcPr>
          <w:p w14:paraId="5BA562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11" w:type="pct"/>
          </w:tcPr>
          <w:p w14:paraId="0E001C6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c>
          <w:tcPr>
            <w:tcW w:w="323" w:type="pct"/>
          </w:tcPr>
          <w:p w14:paraId="27884F4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0"/>
                <w:szCs w:val="20"/>
                <w:highlight w:val="none"/>
              </w:rPr>
            </w:pPr>
          </w:p>
        </w:tc>
      </w:tr>
    </w:tbl>
    <w:p w14:paraId="317C2546">
      <w:pPr>
        <w:spacing w:line="36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未通过资格审查的供应商不进入评标；通过资格审查的供应商少于不足三家的，不得评标。</w:t>
      </w:r>
    </w:p>
    <w:p w14:paraId="0AE9B6BF">
      <w:pPr>
        <w:pStyle w:val="22"/>
        <w:rPr>
          <w:rFonts w:hint="eastAsia" w:ascii="仿宋" w:hAnsi="仿宋" w:eastAsia="仿宋" w:cs="仿宋"/>
          <w:b/>
          <w:bCs/>
          <w:color w:val="auto"/>
          <w:szCs w:val="21"/>
          <w:highlight w:val="none"/>
        </w:rPr>
      </w:pPr>
    </w:p>
    <w:p w14:paraId="0FC893F9">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bookmarkStart w:id="1276" w:name="_Toc27246"/>
      <w:bookmarkStart w:id="1277" w:name="_Toc21850"/>
      <w:bookmarkStart w:id="1278" w:name="_Toc14007"/>
      <w:bookmarkStart w:id="1279" w:name="_Toc16022"/>
      <w:bookmarkStart w:id="1280" w:name="_Toc18094"/>
      <w:bookmarkStart w:id="1281" w:name="_Toc13854"/>
      <w:bookmarkStart w:id="1282" w:name="_Toc26642"/>
      <w:bookmarkStart w:id="1283" w:name="_Toc8382"/>
      <w:bookmarkStart w:id="1284" w:name="_Toc28858"/>
      <w:bookmarkStart w:id="1285" w:name="_Toc12108"/>
      <w:bookmarkStart w:id="1286" w:name="_Toc3927"/>
      <w:bookmarkStart w:id="1287" w:name="_Toc8255"/>
      <w:bookmarkStart w:id="1288" w:name="_Toc273"/>
      <w:bookmarkStart w:id="1289" w:name="_Toc30395"/>
      <w:bookmarkStart w:id="1290" w:name="_Toc10492"/>
      <w:bookmarkStart w:id="1291" w:name="_Toc3062"/>
      <w:bookmarkStart w:id="1292" w:name="_Toc31983"/>
    </w:p>
    <w:p w14:paraId="7F4AA633">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5770F037">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39AE7445">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68888F71">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31AFDB1D">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27A1F913">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5251F3B6">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5D08E859">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58E0D484">
      <w:pPr>
        <w:pStyle w:val="3"/>
        <w:rPr>
          <w:rFonts w:hint="eastAsia" w:ascii="仿宋" w:hAnsi="仿宋" w:eastAsia="仿宋" w:cs="仿宋"/>
          <w:color w:val="auto"/>
          <w:highlight w:val="none"/>
        </w:rPr>
      </w:pPr>
      <w:r>
        <w:rPr>
          <w:rFonts w:hint="eastAsia" w:ascii="仿宋" w:hAnsi="仿宋" w:eastAsia="仿宋" w:cs="仿宋"/>
          <w:color w:val="auto"/>
          <w:highlight w:val="none"/>
        </w:rPr>
        <w:t>初步评审—符合性审查表</w:t>
      </w:r>
    </w:p>
    <w:tbl>
      <w:tblPr>
        <w:tblStyle w:val="3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7574"/>
        <w:gridCol w:w="766"/>
      </w:tblGrid>
      <w:tr w14:paraId="1032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575" w:type="pct"/>
            <w:gridSpan w:val="2"/>
            <w:vAlign w:val="center"/>
          </w:tcPr>
          <w:p w14:paraId="2400EB01">
            <w:pPr>
              <w:spacing w:line="400" w:lineRule="exact"/>
              <w:jc w:val="center"/>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评审内容</w:t>
            </w:r>
          </w:p>
        </w:tc>
        <w:tc>
          <w:tcPr>
            <w:tcW w:w="424" w:type="pct"/>
            <w:vAlign w:val="center"/>
          </w:tcPr>
          <w:p w14:paraId="30B2E42D">
            <w:pPr>
              <w:spacing w:line="400" w:lineRule="exact"/>
              <w:jc w:val="center"/>
              <w:rPr>
                <w:rFonts w:hint="eastAsia" w:ascii="仿宋" w:hAnsi="仿宋" w:eastAsia="仿宋" w:cs="仿宋"/>
                <w:color w:val="auto"/>
                <w:spacing w:val="-2"/>
                <w:szCs w:val="21"/>
                <w:highlight w:val="none"/>
              </w:rPr>
            </w:pPr>
            <w:r>
              <w:rPr>
                <w:rFonts w:hint="eastAsia" w:ascii="仿宋" w:hAnsi="仿宋" w:eastAsia="仿宋" w:cs="仿宋"/>
                <w:b/>
                <w:color w:val="auto"/>
                <w:szCs w:val="21"/>
                <w:highlight w:val="none"/>
              </w:rPr>
              <w:t>评审意见</w:t>
            </w:r>
          </w:p>
        </w:tc>
      </w:tr>
      <w:tr w14:paraId="4D9D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14:paraId="477D8235">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4194" w:type="pct"/>
            <w:vAlign w:val="center"/>
          </w:tcPr>
          <w:p w14:paraId="02A23350">
            <w:pPr>
              <w:spacing w:line="400" w:lineRule="exact"/>
              <w:jc w:val="center"/>
              <w:rPr>
                <w:rFonts w:hint="eastAsia" w:ascii="仿宋" w:hAnsi="仿宋" w:eastAsia="仿宋" w:cs="仿宋"/>
                <w:color w:val="auto"/>
                <w:spacing w:val="-2"/>
                <w:szCs w:val="21"/>
                <w:highlight w:val="none"/>
              </w:rPr>
            </w:pPr>
          </w:p>
        </w:tc>
        <w:tc>
          <w:tcPr>
            <w:tcW w:w="424" w:type="pct"/>
            <w:vAlign w:val="center"/>
          </w:tcPr>
          <w:p w14:paraId="169ED64F">
            <w:pPr>
              <w:spacing w:line="400" w:lineRule="exact"/>
              <w:jc w:val="center"/>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是否合格</w:t>
            </w:r>
          </w:p>
        </w:tc>
      </w:tr>
      <w:tr w14:paraId="2560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14:paraId="0AA3D9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1</w:t>
            </w:r>
          </w:p>
        </w:tc>
        <w:tc>
          <w:tcPr>
            <w:tcW w:w="4194" w:type="pct"/>
            <w:vAlign w:val="center"/>
          </w:tcPr>
          <w:p w14:paraId="32D92B1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各供应商投标报价未高于预算金额；</w:t>
            </w:r>
          </w:p>
        </w:tc>
        <w:tc>
          <w:tcPr>
            <w:tcW w:w="424" w:type="pct"/>
            <w:vAlign w:val="center"/>
          </w:tcPr>
          <w:p w14:paraId="442BE9C0">
            <w:pPr>
              <w:spacing w:line="400" w:lineRule="exact"/>
              <w:jc w:val="center"/>
              <w:rPr>
                <w:rFonts w:hint="eastAsia" w:ascii="仿宋" w:hAnsi="仿宋" w:eastAsia="仿宋" w:cs="仿宋"/>
                <w:color w:val="auto"/>
                <w:spacing w:val="-2"/>
                <w:szCs w:val="21"/>
                <w:highlight w:val="none"/>
              </w:rPr>
            </w:pPr>
          </w:p>
        </w:tc>
      </w:tr>
      <w:tr w14:paraId="42EB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81" w:type="pct"/>
            <w:vAlign w:val="center"/>
          </w:tcPr>
          <w:p w14:paraId="3F721A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2</w:t>
            </w:r>
          </w:p>
        </w:tc>
        <w:tc>
          <w:tcPr>
            <w:tcW w:w="4194" w:type="pct"/>
            <w:vAlign w:val="center"/>
          </w:tcPr>
          <w:p w14:paraId="186EDBA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评标委员会认为供应商的报价无明显低于其他通过</w:t>
            </w:r>
            <w:r>
              <w:rPr>
                <w:rFonts w:hint="eastAsia" w:ascii="仿宋" w:hAnsi="仿宋" w:eastAsia="仿宋" w:cs="仿宋"/>
                <w:color w:val="auto"/>
                <w:spacing w:val="-2"/>
                <w:szCs w:val="21"/>
                <w:highlight w:val="none"/>
                <w:lang w:val="en-US" w:eastAsia="zh-CN"/>
              </w:rPr>
              <w:t>符合</w:t>
            </w:r>
            <w:r>
              <w:rPr>
                <w:rFonts w:hint="eastAsia" w:ascii="仿宋" w:hAnsi="仿宋" w:eastAsia="仿宋" w:cs="仿宋"/>
                <w:color w:val="auto"/>
                <w:spacing w:val="-2"/>
                <w:szCs w:val="21"/>
                <w:highlight w:val="none"/>
              </w:rPr>
              <w:t>性审查供应商的报价的，供应商的报价不存在异常一致并成规律性的，其报价合理；</w:t>
            </w:r>
          </w:p>
        </w:tc>
        <w:tc>
          <w:tcPr>
            <w:tcW w:w="424" w:type="pct"/>
            <w:vAlign w:val="center"/>
          </w:tcPr>
          <w:p w14:paraId="65C7E0EC">
            <w:pPr>
              <w:spacing w:line="400" w:lineRule="exact"/>
              <w:jc w:val="center"/>
              <w:rPr>
                <w:rFonts w:hint="eastAsia" w:ascii="仿宋" w:hAnsi="仿宋" w:eastAsia="仿宋" w:cs="仿宋"/>
                <w:color w:val="auto"/>
                <w:spacing w:val="-2"/>
                <w:szCs w:val="21"/>
                <w:highlight w:val="none"/>
              </w:rPr>
            </w:pPr>
          </w:p>
        </w:tc>
      </w:tr>
      <w:tr w14:paraId="765E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81" w:type="pct"/>
            <w:vAlign w:val="center"/>
          </w:tcPr>
          <w:p w14:paraId="51AE87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3</w:t>
            </w:r>
          </w:p>
        </w:tc>
        <w:tc>
          <w:tcPr>
            <w:tcW w:w="4194" w:type="pct"/>
            <w:vAlign w:val="center"/>
          </w:tcPr>
          <w:p w14:paraId="0506BE2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投标文件按照招标文件的规定编制、标记及签署盖章的，法定代表人或其授权代表</w:t>
            </w:r>
            <w:r>
              <w:rPr>
                <w:rFonts w:hint="eastAsia" w:ascii="仿宋" w:hAnsi="仿宋" w:eastAsia="仿宋" w:cs="仿宋"/>
                <w:color w:val="auto"/>
                <w:spacing w:val="-2"/>
                <w:szCs w:val="21"/>
                <w:highlight w:val="none"/>
                <w:lang w:val="en-US" w:eastAsia="zh-CN"/>
              </w:rPr>
              <w:t>签</w:t>
            </w:r>
            <w:r>
              <w:rPr>
                <w:rFonts w:hint="eastAsia" w:ascii="仿宋" w:hAnsi="仿宋" w:eastAsia="仿宋" w:cs="仿宋"/>
                <w:color w:val="auto"/>
                <w:spacing w:val="-2"/>
                <w:szCs w:val="21"/>
                <w:highlight w:val="none"/>
              </w:rPr>
              <w:t>章</w:t>
            </w:r>
            <w:r>
              <w:rPr>
                <w:rFonts w:hint="eastAsia" w:ascii="仿宋" w:hAnsi="仿宋" w:eastAsia="仿宋" w:cs="仿宋"/>
                <w:color w:val="auto"/>
                <w:spacing w:val="-2"/>
                <w:szCs w:val="21"/>
                <w:highlight w:val="none"/>
                <w:lang w:eastAsia="zh-CN"/>
              </w:rPr>
              <w:t>；</w:t>
            </w:r>
          </w:p>
        </w:tc>
        <w:tc>
          <w:tcPr>
            <w:tcW w:w="424" w:type="pct"/>
            <w:vAlign w:val="center"/>
          </w:tcPr>
          <w:p w14:paraId="5E4F4D48">
            <w:pPr>
              <w:spacing w:line="400" w:lineRule="exact"/>
              <w:jc w:val="center"/>
              <w:rPr>
                <w:rFonts w:hint="eastAsia" w:ascii="仿宋" w:hAnsi="仿宋" w:eastAsia="仿宋" w:cs="仿宋"/>
                <w:color w:val="auto"/>
                <w:szCs w:val="21"/>
                <w:highlight w:val="none"/>
              </w:rPr>
            </w:pPr>
          </w:p>
        </w:tc>
      </w:tr>
      <w:tr w14:paraId="7435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1" w:type="pct"/>
            <w:vAlign w:val="center"/>
          </w:tcPr>
          <w:p w14:paraId="2D86BF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4</w:t>
            </w:r>
          </w:p>
        </w:tc>
        <w:tc>
          <w:tcPr>
            <w:tcW w:w="4194" w:type="pct"/>
            <w:vAlign w:val="center"/>
          </w:tcPr>
          <w:p w14:paraId="61EC8AA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lang w:eastAsia="zh-CN"/>
              </w:rPr>
            </w:pPr>
            <w:r>
              <w:rPr>
                <w:rFonts w:hint="eastAsia" w:ascii="仿宋" w:hAnsi="仿宋" w:eastAsia="仿宋" w:cs="仿宋"/>
                <w:color w:val="auto"/>
                <w:spacing w:val="-2"/>
                <w:szCs w:val="21"/>
                <w:highlight w:val="none"/>
              </w:rPr>
              <w:t>所投产品的</w:t>
            </w:r>
            <w:r>
              <w:rPr>
                <w:rFonts w:hint="eastAsia" w:ascii="仿宋" w:hAnsi="仿宋" w:eastAsia="仿宋" w:cs="仿宋"/>
                <w:color w:val="auto"/>
                <w:spacing w:val="-2"/>
                <w:szCs w:val="21"/>
                <w:highlight w:val="none"/>
                <w:lang w:eastAsia="zh-CN"/>
              </w:rPr>
              <w:t>货物</w:t>
            </w:r>
            <w:r>
              <w:rPr>
                <w:rFonts w:hint="eastAsia" w:ascii="仿宋" w:hAnsi="仿宋" w:eastAsia="仿宋" w:cs="仿宋"/>
                <w:color w:val="auto"/>
                <w:spacing w:val="-2"/>
                <w:szCs w:val="21"/>
                <w:highlight w:val="none"/>
              </w:rPr>
              <w:t>及数量满足招标文件要求的；</w:t>
            </w:r>
          </w:p>
        </w:tc>
        <w:tc>
          <w:tcPr>
            <w:tcW w:w="424" w:type="pct"/>
            <w:vAlign w:val="center"/>
          </w:tcPr>
          <w:p w14:paraId="4BA1ABD6">
            <w:pPr>
              <w:spacing w:line="400" w:lineRule="exact"/>
              <w:jc w:val="center"/>
              <w:rPr>
                <w:rFonts w:hint="eastAsia" w:ascii="仿宋" w:hAnsi="仿宋" w:eastAsia="仿宋" w:cs="仿宋"/>
                <w:color w:val="auto"/>
                <w:spacing w:val="-2"/>
                <w:szCs w:val="21"/>
                <w:highlight w:val="none"/>
              </w:rPr>
            </w:pPr>
          </w:p>
        </w:tc>
      </w:tr>
      <w:tr w14:paraId="7257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14:paraId="5F7881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5</w:t>
            </w:r>
          </w:p>
        </w:tc>
        <w:tc>
          <w:tcPr>
            <w:tcW w:w="4194" w:type="pct"/>
            <w:vAlign w:val="center"/>
          </w:tcPr>
          <w:p w14:paraId="2F503E0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按招标文件规定的格式填写，内容</w:t>
            </w:r>
            <w:r>
              <w:rPr>
                <w:rFonts w:hint="eastAsia" w:ascii="仿宋" w:hAnsi="仿宋" w:eastAsia="仿宋" w:cs="仿宋"/>
                <w:color w:val="auto"/>
                <w:spacing w:val="-2"/>
                <w:szCs w:val="21"/>
                <w:highlight w:val="none"/>
                <w:lang w:val="en-US" w:eastAsia="zh-CN"/>
              </w:rPr>
              <w:t>全面</w:t>
            </w:r>
            <w:r>
              <w:rPr>
                <w:rFonts w:hint="eastAsia" w:ascii="仿宋" w:hAnsi="仿宋" w:eastAsia="仿宋" w:cs="仿宋"/>
                <w:color w:val="auto"/>
                <w:spacing w:val="-2"/>
                <w:szCs w:val="21"/>
                <w:highlight w:val="none"/>
              </w:rPr>
              <w:t>；</w:t>
            </w:r>
          </w:p>
        </w:tc>
        <w:tc>
          <w:tcPr>
            <w:tcW w:w="424" w:type="pct"/>
            <w:vAlign w:val="center"/>
          </w:tcPr>
          <w:p w14:paraId="1713518B">
            <w:pPr>
              <w:spacing w:line="400" w:lineRule="exact"/>
              <w:jc w:val="center"/>
              <w:rPr>
                <w:rFonts w:hint="eastAsia" w:ascii="仿宋" w:hAnsi="仿宋" w:eastAsia="仿宋" w:cs="仿宋"/>
                <w:color w:val="auto"/>
                <w:spacing w:val="-2"/>
                <w:szCs w:val="21"/>
                <w:highlight w:val="none"/>
              </w:rPr>
            </w:pPr>
          </w:p>
        </w:tc>
      </w:tr>
      <w:tr w14:paraId="450C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14:paraId="7580B1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6</w:t>
            </w:r>
          </w:p>
        </w:tc>
        <w:tc>
          <w:tcPr>
            <w:tcW w:w="4194" w:type="pct"/>
            <w:vAlign w:val="center"/>
          </w:tcPr>
          <w:p w14:paraId="7270254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lang w:val="en-US" w:eastAsia="zh-CN"/>
              </w:rPr>
              <w:t>符合招标文件中规定的要求；（供货期、质保期）</w:t>
            </w:r>
          </w:p>
        </w:tc>
        <w:tc>
          <w:tcPr>
            <w:tcW w:w="424" w:type="pct"/>
            <w:vAlign w:val="center"/>
          </w:tcPr>
          <w:p w14:paraId="51F9AE25">
            <w:pPr>
              <w:spacing w:line="400" w:lineRule="exact"/>
              <w:jc w:val="center"/>
              <w:rPr>
                <w:rFonts w:hint="eastAsia" w:ascii="仿宋" w:hAnsi="仿宋" w:eastAsia="仿宋" w:cs="仿宋"/>
                <w:color w:val="auto"/>
                <w:spacing w:val="-2"/>
                <w:szCs w:val="21"/>
                <w:highlight w:val="none"/>
              </w:rPr>
            </w:pPr>
          </w:p>
        </w:tc>
      </w:tr>
      <w:tr w14:paraId="2967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81" w:type="pct"/>
            <w:vAlign w:val="center"/>
          </w:tcPr>
          <w:p w14:paraId="606F7E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7</w:t>
            </w:r>
          </w:p>
        </w:tc>
        <w:tc>
          <w:tcPr>
            <w:tcW w:w="4194" w:type="pct"/>
            <w:vAlign w:val="center"/>
          </w:tcPr>
          <w:p w14:paraId="4A16C87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lang w:val="en-US" w:eastAsia="zh-CN"/>
              </w:rPr>
            </w:pPr>
            <w:r>
              <w:rPr>
                <w:rFonts w:hint="eastAsia" w:ascii="仿宋" w:hAnsi="仿宋" w:eastAsia="仿宋" w:cs="仿宋"/>
                <w:color w:val="auto"/>
                <w:spacing w:val="-2"/>
                <w:szCs w:val="21"/>
                <w:highlight w:val="none"/>
              </w:rPr>
              <w:t>没有采购人不能接受的附加条件的；</w:t>
            </w:r>
          </w:p>
        </w:tc>
        <w:tc>
          <w:tcPr>
            <w:tcW w:w="424" w:type="pct"/>
            <w:vAlign w:val="center"/>
          </w:tcPr>
          <w:p w14:paraId="32491145">
            <w:pPr>
              <w:spacing w:line="400" w:lineRule="exact"/>
              <w:jc w:val="center"/>
              <w:rPr>
                <w:rFonts w:hint="eastAsia" w:ascii="仿宋" w:hAnsi="仿宋" w:eastAsia="仿宋" w:cs="仿宋"/>
                <w:color w:val="auto"/>
                <w:spacing w:val="-2"/>
                <w:szCs w:val="21"/>
                <w:highlight w:val="none"/>
              </w:rPr>
            </w:pPr>
          </w:p>
        </w:tc>
      </w:tr>
      <w:tr w14:paraId="5A71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14:paraId="161890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8</w:t>
            </w:r>
          </w:p>
        </w:tc>
        <w:tc>
          <w:tcPr>
            <w:tcW w:w="4194" w:type="pct"/>
            <w:vAlign w:val="center"/>
          </w:tcPr>
          <w:p w14:paraId="5A239C9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不同供应商的投标文件没有错漏一致的情况；</w:t>
            </w:r>
          </w:p>
        </w:tc>
        <w:tc>
          <w:tcPr>
            <w:tcW w:w="424" w:type="pct"/>
            <w:vAlign w:val="center"/>
          </w:tcPr>
          <w:p w14:paraId="3D6E0628">
            <w:pPr>
              <w:spacing w:line="400" w:lineRule="exact"/>
              <w:jc w:val="center"/>
              <w:rPr>
                <w:rFonts w:hint="eastAsia" w:ascii="仿宋" w:hAnsi="仿宋" w:eastAsia="仿宋" w:cs="仿宋"/>
                <w:color w:val="auto"/>
                <w:spacing w:val="-2"/>
                <w:szCs w:val="21"/>
                <w:highlight w:val="none"/>
              </w:rPr>
            </w:pPr>
          </w:p>
        </w:tc>
      </w:tr>
      <w:tr w14:paraId="6F9B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14:paraId="51D51A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9</w:t>
            </w:r>
          </w:p>
        </w:tc>
        <w:tc>
          <w:tcPr>
            <w:tcW w:w="4194" w:type="pct"/>
            <w:vAlign w:val="center"/>
          </w:tcPr>
          <w:p w14:paraId="2C4C04A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pacing w:val="-2"/>
                <w:szCs w:val="21"/>
                <w:highlight w:val="none"/>
                <w:lang w:eastAsia="zh-CN"/>
              </w:rPr>
            </w:pPr>
            <w:r>
              <w:rPr>
                <w:rFonts w:hint="eastAsia" w:ascii="仿宋" w:hAnsi="仿宋" w:eastAsia="仿宋" w:cs="仿宋"/>
                <w:color w:val="auto"/>
                <w:spacing w:val="-2"/>
                <w:szCs w:val="21"/>
                <w:highlight w:val="none"/>
              </w:rPr>
              <w:t>供应商附有详细地址、联系人、电话标明的</w:t>
            </w:r>
            <w:r>
              <w:rPr>
                <w:rFonts w:hint="eastAsia" w:ascii="仿宋" w:hAnsi="仿宋" w:eastAsia="仿宋" w:cs="仿宋"/>
                <w:color w:val="auto"/>
                <w:spacing w:val="-2"/>
                <w:szCs w:val="21"/>
                <w:highlight w:val="none"/>
                <w:lang w:eastAsia="zh-CN"/>
              </w:rPr>
              <w:t>。</w:t>
            </w:r>
          </w:p>
        </w:tc>
        <w:tc>
          <w:tcPr>
            <w:tcW w:w="424" w:type="pct"/>
            <w:vAlign w:val="center"/>
          </w:tcPr>
          <w:p w14:paraId="60402CA1">
            <w:pPr>
              <w:spacing w:line="400" w:lineRule="exact"/>
              <w:jc w:val="center"/>
              <w:rPr>
                <w:rFonts w:hint="eastAsia" w:ascii="仿宋" w:hAnsi="仿宋" w:eastAsia="仿宋" w:cs="仿宋"/>
                <w:color w:val="auto"/>
                <w:spacing w:val="-2"/>
                <w:szCs w:val="21"/>
                <w:highlight w:val="none"/>
              </w:rPr>
            </w:pPr>
          </w:p>
        </w:tc>
      </w:tr>
      <w:tr w14:paraId="7763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75" w:type="pct"/>
            <w:gridSpan w:val="2"/>
            <w:vAlign w:val="center"/>
          </w:tcPr>
          <w:p w14:paraId="7BA778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pacing w:val="-2"/>
                <w:szCs w:val="21"/>
                <w:highlight w:val="none"/>
              </w:rPr>
            </w:pPr>
            <w:r>
              <w:rPr>
                <w:rFonts w:hint="eastAsia" w:ascii="仿宋" w:hAnsi="仿宋" w:eastAsia="仿宋" w:cs="仿宋"/>
                <w:color w:val="auto"/>
                <w:spacing w:val="-2"/>
                <w:szCs w:val="21"/>
                <w:highlight w:val="none"/>
              </w:rPr>
              <w:t>结论：通过评审打“√”，未通过评审打“×”</w:t>
            </w:r>
          </w:p>
        </w:tc>
        <w:tc>
          <w:tcPr>
            <w:tcW w:w="424" w:type="pct"/>
            <w:vAlign w:val="center"/>
          </w:tcPr>
          <w:p w14:paraId="723D7974">
            <w:pPr>
              <w:spacing w:line="400" w:lineRule="exact"/>
              <w:ind w:firstLine="370" w:firstLineChars="180"/>
              <w:jc w:val="center"/>
              <w:rPr>
                <w:rFonts w:hint="eastAsia" w:ascii="仿宋" w:hAnsi="仿宋" w:eastAsia="仿宋" w:cs="仿宋"/>
                <w:color w:val="auto"/>
                <w:spacing w:val="-2"/>
                <w:szCs w:val="21"/>
                <w:highlight w:val="none"/>
              </w:rPr>
            </w:pPr>
          </w:p>
        </w:tc>
      </w:tr>
    </w:tbl>
    <w:p w14:paraId="793BF4E4">
      <w:pPr>
        <w:keepNext w:val="0"/>
        <w:keepLines w:val="0"/>
        <w:pageBreakBefore w:val="0"/>
        <w:widowControl w:val="0"/>
        <w:kinsoku/>
        <w:wordWrap/>
        <w:overflowPunct/>
        <w:topLinePunct w:val="0"/>
        <w:bidi w:val="0"/>
        <w:snapToGrid/>
        <w:spacing w:line="400" w:lineRule="exact"/>
        <w:ind w:left="6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p w14:paraId="0BD757E2">
      <w:pPr>
        <w:keepNext w:val="0"/>
        <w:keepLines w:val="0"/>
        <w:pageBreakBefore w:val="0"/>
        <w:widowControl w:val="0"/>
        <w:kinsoku/>
        <w:wordWrap/>
        <w:overflowPunct/>
        <w:topLinePunct w:val="0"/>
        <w:bidi w:val="0"/>
        <w:snapToGrid/>
        <w:spacing w:line="400" w:lineRule="exact"/>
        <w:ind w:left="6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（1）上述各项中用“√”表示合格，“×”表示不合格；</w:t>
      </w:r>
    </w:p>
    <w:p w14:paraId="0596E78E">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（2）上述各项中如有一项为“×”，则结论为“×”，表示该投标文件中存在重大偏差，不能通过初步评审；评委对某一分项评审认为不合格时，必须要写明原因。</w:t>
      </w:r>
    </w:p>
    <w:p w14:paraId="11A523F8">
      <w:pPr>
        <w:pStyle w:val="6"/>
        <w:keepNext w:val="0"/>
        <w:keepLines w:val="0"/>
        <w:pageBreakBefore w:val="0"/>
        <w:widowControl w:val="0"/>
        <w:kinsoku/>
        <w:wordWrap/>
        <w:overflowPunct/>
        <w:topLinePunct w:val="0"/>
        <w:bidi w:val="0"/>
        <w:snapToGrid/>
        <w:spacing w:line="400" w:lineRule="exact"/>
        <w:ind w:firstLine="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（3）投标文件最终合格与否，以所有评委的评审意见中少数服从多数为原则定论。</w:t>
      </w:r>
    </w:p>
    <w:p w14:paraId="6099B6BC">
      <w:pPr>
        <w:keepNext w:val="0"/>
        <w:keepLines w:val="0"/>
        <w:pageBreakBefore w:val="0"/>
        <w:widowControl w:val="0"/>
        <w:kinsoku/>
        <w:wordWrap/>
        <w:overflowPunct/>
        <w:topLinePunct w:val="0"/>
        <w:bidi w:val="0"/>
        <w:snapToGrid/>
        <w:spacing w:line="400" w:lineRule="exact"/>
        <w:textAlignment w:val="auto"/>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未通过资格审查的供应商不进入评标；通过资格审查的供应商少于不足三家的，不得评标。</w:t>
      </w:r>
    </w:p>
    <w:p w14:paraId="13D30F49">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3D5FBA9D">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2E533AB2">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0AC43AE4">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0839042C">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2176E316">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30F39354">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4E1A1AF0">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6FFA3A7E">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0A8D1ADC">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仿宋" w:hAnsi="仿宋" w:eastAsia="仿宋" w:cs="仿宋"/>
          <w:color w:val="auto"/>
          <w:highlight w:val="none"/>
        </w:rPr>
      </w:pPr>
    </w:p>
    <w:p w14:paraId="772DBDD8">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仿宋" w:hAnsi="仿宋" w:eastAsia="仿宋" w:cs="仿宋"/>
          <w:color w:val="auto"/>
          <w:highlight w:val="none"/>
        </w:rPr>
      </w:pPr>
      <w:r>
        <w:rPr>
          <w:rFonts w:hint="eastAsia" w:ascii="仿宋" w:hAnsi="仿宋" w:eastAsia="仿宋" w:cs="仿宋"/>
          <w:color w:val="auto"/>
          <w:highlight w:val="none"/>
        </w:rPr>
        <w:br w:type="page"/>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14:paraId="6D426BB1">
      <w:pPr>
        <w:tabs>
          <w:tab w:val="left" w:pos="1258"/>
          <w:tab w:val="center" w:pos="4199"/>
        </w:tabs>
        <w:jc w:val="left"/>
        <w:outlineLvl w:val="1"/>
        <w:rPr>
          <w:rFonts w:hint="eastAsia" w:ascii="仿宋" w:hAnsi="仿宋" w:eastAsia="仿宋" w:cs="仿宋"/>
          <w:b/>
          <w:bCs/>
          <w:color w:val="auto"/>
          <w:sz w:val="24"/>
          <w:szCs w:val="24"/>
          <w:highlight w:val="none"/>
        </w:rPr>
      </w:pPr>
      <w:bookmarkStart w:id="1293" w:name="_Toc3259"/>
      <w:bookmarkStart w:id="1294" w:name="_Toc3812"/>
      <w:bookmarkStart w:id="1295" w:name="_Toc4034"/>
      <w:bookmarkStart w:id="1296" w:name="_Toc20505"/>
      <w:bookmarkStart w:id="1297" w:name="_Toc21392"/>
      <w:bookmarkStart w:id="1298" w:name="_Toc31042"/>
      <w:bookmarkStart w:id="1299" w:name="_Toc4748"/>
      <w:bookmarkStart w:id="1300" w:name="_Toc26924"/>
      <w:bookmarkStart w:id="1301" w:name="_Toc21350"/>
      <w:bookmarkStart w:id="1302" w:name="_Toc31737"/>
      <w:bookmarkStart w:id="1303" w:name="_Toc29006"/>
      <w:bookmarkStart w:id="1304" w:name="_Toc5375"/>
      <w:bookmarkStart w:id="1305" w:name="_Toc19967"/>
      <w:bookmarkStart w:id="1306" w:name="_Toc359"/>
      <w:bookmarkStart w:id="1307" w:name="_Toc11449"/>
      <w:bookmarkStart w:id="1308" w:name="_Toc17586"/>
      <w:bookmarkStart w:id="1309" w:name="_Toc507399904"/>
      <w:r>
        <w:rPr>
          <w:rFonts w:hint="eastAsia" w:ascii="仿宋" w:hAnsi="仿宋" w:eastAsia="仿宋" w:cs="仿宋"/>
          <w:b/>
          <w:bCs/>
          <w:color w:val="auto"/>
          <w:szCs w:val="21"/>
          <w:highlight w:val="none"/>
          <w:lang w:eastAsia="zh-CN"/>
        </w:rPr>
        <w:tab/>
      </w:r>
      <w:r>
        <w:rPr>
          <w:rFonts w:hint="eastAsia" w:ascii="仿宋" w:hAnsi="仿宋" w:eastAsia="仿宋" w:cs="仿宋"/>
          <w:b/>
          <w:bCs/>
          <w:color w:val="auto"/>
          <w:szCs w:val="21"/>
          <w:highlight w:val="none"/>
          <w:lang w:eastAsia="zh-CN"/>
        </w:rPr>
        <w:tab/>
      </w:r>
      <w:r>
        <w:rPr>
          <w:rFonts w:hint="eastAsia" w:ascii="仿宋" w:hAnsi="仿宋" w:eastAsia="仿宋" w:cs="仿宋"/>
          <w:b/>
          <w:bCs/>
          <w:color w:val="auto"/>
          <w:sz w:val="24"/>
          <w:szCs w:val="24"/>
          <w:highlight w:val="none"/>
        </w:rPr>
        <w:t>综合评分表</w:t>
      </w:r>
      <w:bookmarkEnd w:id="1293"/>
    </w:p>
    <w:tbl>
      <w:tblPr>
        <w:tblStyle w:val="30"/>
        <w:tblpPr w:leftFromText="180" w:rightFromText="180" w:vertAnchor="text" w:horzAnchor="page" w:tblpX="1316" w:tblpY="349"/>
        <w:tblOverlap w:val="never"/>
        <w:tblW w:w="52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728"/>
        <w:gridCol w:w="6421"/>
        <w:gridCol w:w="972"/>
      </w:tblGrid>
      <w:tr w14:paraId="68FD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70" w:type="pct"/>
            <w:noWrap w:val="0"/>
            <w:vAlign w:val="center"/>
          </w:tcPr>
          <w:p w14:paraId="29106DCA">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类型</w:t>
            </w:r>
          </w:p>
        </w:tc>
        <w:tc>
          <w:tcPr>
            <w:tcW w:w="406" w:type="pct"/>
            <w:noWrap w:val="0"/>
            <w:vAlign w:val="center"/>
          </w:tcPr>
          <w:p w14:paraId="425EA2FB">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分值</w:t>
            </w:r>
          </w:p>
        </w:tc>
        <w:tc>
          <w:tcPr>
            <w:tcW w:w="3581" w:type="pct"/>
            <w:noWrap w:val="0"/>
            <w:vAlign w:val="center"/>
          </w:tcPr>
          <w:p w14:paraId="34E5DC11">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评分标准</w:t>
            </w:r>
          </w:p>
          <w:p w14:paraId="0C7445FB">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价格：30分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商务：</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 xml:space="preserve">分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技术：</w:t>
            </w:r>
            <w:r>
              <w:rPr>
                <w:rFonts w:hint="eastAsia" w:ascii="仿宋" w:hAnsi="仿宋" w:eastAsia="仿宋" w:cs="仿宋"/>
                <w:color w:val="000000" w:themeColor="text1"/>
                <w:sz w:val="21"/>
                <w:szCs w:val="21"/>
                <w:highlight w:val="none"/>
                <w:lang w:val="en-US" w:eastAsia="zh-CN"/>
                <w14:textFill>
                  <w14:solidFill>
                    <w14:schemeClr w14:val="tx1"/>
                  </w14:solidFill>
                </w14:textFill>
              </w:rPr>
              <w:t>67</w:t>
            </w:r>
            <w:r>
              <w:rPr>
                <w:rFonts w:hint="eastAsia" w:ascii="仿宋" w:hAnsi="仿宋" w:eastAsia="仿宋" w:cs="仿宋"/>
                <w:color w:val="000000" w:themeColor="text1"/>
                <w:sz w:val="21"/>
                <w:szCs w:val="21"/>
                <w:highlight w:val="none"/>
                <w14:textFill>
                  <w14:solidFill>
                    <w14:schemeClr w14:val="tx1"/>
                  </w14:solidFill>
                </w14:textFill>
              </w:rPr>
              <w:t xml:space="preserve">分              </w:t>
            </w:r>
          </w:p>
        </w:tc>
        <w:tc>
          <w:tcPr>
            <w:tcW w:w="542" w:type="pct"/>
            <w:noWrap w:val="0"/>
            <w:vAlign w:val="center"/>
          </w:tcPr>
          <w:p w14:paraId="4F55A98E">
            <w:pPr>
              <w:keepNext w:val="0"/>
              <w:keepLines w:val="0"/>
              <w:pageBreakBefore w:val="0"/>
              <w:widowControl w:val="0"/>
              <w:kinsoku/>
              <w:wordWrap/>
              <w:overflowPunct/>
              <w:topLinePunct w:val="0"/>
              <w:autoSpaceDE/>
              <w:autoSpaceDN/>
              <w:bidi w:val="0"/>
              <w:adjustRightInd/>
              <w:snapToGrid/>
              <w:spacing w:before="0" w:after="0" w:line="320" w:lineRule="exact"/>
              <w:jc w:val="center"/>
              <w:textAlignment w:val="auto"/>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说明</w:t>
            </w:r>
          </w:p>
        </w:tc>
      </w:tr>
      <w:tr w14:paraId="526C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5" w:hRule="atLeast"/>
        </w:trPr>
        <w:tc>
          <w:tcPr>
            <w:tcW w:w="470" w:type="pct"/>
            <w:noWrap w:val="0"/>
            <w:vAlign w:val="center"/>
          </w:tcPr>
          <w:p w14:paraId="49F4E5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价格评分标</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准</w:t>
            </w:r>
          </w:p>
        </w:tc>
        <w:tc>
          <w:tcPr>
            <w:tcW w:w="406" w:type="pct"/>
            <w:noWrap w:val="0"/>
            <w:vAlign w:val="center"/>
          </w:tcPr>
          <w:p w14:paraId="430063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30</w:t>
            </w:r>
          </w:p>
        </w:tc>
        <w:tc>
          <w:tcPr>
            <w:tcW w:w="3581" w:type="pct"/>
            <w:noWrap w:val="0"/>
            <w:vAlign w:val="center"/>
          </w:tcPr>
          <w:p w14:paraId="74FA0F1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完全满足招标文件参数的投标报价中的最低价为评标基准价，按照下列公式计算每个供应商的投标价格得分。投标报价得分＝（基准价/投标报价）×价格权重×100。</w:t>
            </w:r>
            <w:r>
              <w:rPr>
                <w:rFonts w:hint="eastAsia" w:ascii="仿宋" w:hAnsi="仿宋" w:eastAsia="仿宋" w:cs="仿宋"/>
                <w:b/>
                <w:bCs/>
                <w:color w:val="000000" w:themeColor="text1"/>
                <w:sz w:val="21"/>
                <w:szCs w:val="21"/>
                <w:highlight w:val="none"/>
                <w14:textFill>
                  <w14:solidFill>
                    <w14:schemeClr w14:val="tx1"/>
                  </w14:solidFill>
                </w14:textFill>
              </w:rPr>
              <w:t>（注：根据《政府采购促进中小企业发展管理办法》（财库﹝2020﹞46号）、《关于进一步加大政府采购支持中小企业力度的通知》（财库〔2022〕19号）的规定，对小型和微型企业给予</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1</w:t>
            </w:r>
            <w:r>
              <w:rPr>
                <w:rFonts w:hint="eastAsia" w:ascii="仿宋" w:hAnsi="仿宋" w:eastAsia="仿宋" w:cs="仿宋"/>
                <w:b/>
                <w:bCs/>
                <w:color w:val="000000" w:themeColor="text1"/>
                <w:sz w:val="21"/>
                <w:szCs w:val="21"/>
                <w:highlight w:val="none"/>
                <w14:textFill>
                  <w14:solidFill>
                    <w14:schemeClr w14:val="tx1"/>
                  </w14:solidFill>
                </w14:textFill>
              </w:rPr>
              <w:t>0%的价格扣除，用扣除后的价格参与评标，提供相关证明资料，否则无效。残疾人福利性单位属于小型、微型企业的，不重复享受政策。）</w:t>
            </w:r>
          </w:p>
        </w:tc>
        <w:tc>
          <w:tcPr>
            <w:tcW w:w="542" w:type="pct"/>
            <w:noWrap w:val="0"/>
            <w:vAlign w:val="center"/>
          </w:tcPr>
          <w:p w14:paraId="02B0118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投标报价超过采购预算价的按废标处理</w:t>
            </w:r>
          </w:p>
        </w:tc>
      </w:tr>
      <w:tr w14:paraId="5958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470" w:type="pct"/>
            <w:noWrap w:val="0"/>
            <w:vAlign w:val="center"/>
          </w:tcPr>
          <w:p w14:paraId="0BE17C6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商务评分标</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准</w:t>
            </w:r>
          </w:p>
        </w:tc>
        <w:tc>
          <w:tcPr>
            <w:tcW w:w="406" w:type="pct"/>
            <w:noWrap w:val="0"/>
            <w:vAlign w:val="center"/>
          </w:tcPr>
          <w:p w14:paraId="01AA66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3581" w:type="pct"/>
            <w:noWrap w:val="0"/>
            <w:vAlign w:val="center"/>
          </w:tcPr>
          <w:p w14:paraId="36D69C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提供2023年1月1日起至投标截止日类似项目业绩，需提供合同和中标通知书/成交通知书的扫描件，每提供1份得1分，最高得3分，未提供证明材料的不得分。</w:t>
            </w:r>
          </w:p>
        </w:tc>
        <w:tc>
          <w:tcPr>
            <w:tcW w:w="542" w:type="pct"/>
            <w:noWrap w:val="0"/>
            <w:vAlign w:val="center"/>
          </w:tcPr>
          <w:p w14:paraId="5C03B08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18"/>
                <w:szCs w:val="18"/>
                <w:highlight w:val="none"/>
                <w14:textFill>
                  <w14:solidFill>
                    <w14:schemeClr w14:val="tx1"/>
                  </w14:solidFill>
                </w14:textFill>
              </w:rPr>
              <w:t>根据需求提供必要的证明资料</w:t>
            </w:r>
          </w:p>
        </w:tc>
      </w:tr>
      <w:tr w14:paraId="46DD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6" w:hRule="atLeast"/>
        </w:trPr>
        <w:tc>
          <w:tcPr>
            <w:tcW w:w="470" w:type="pct"/>
            <w:vMerge w:val="restart"/>
            <w:noWrap w:val="0"/>
            <w:vAlign w:val="center"/>
          </w:tcPr>
          <w:p w14:paraId="1299A09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14:paraId="213E92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技术评分标准</w:t>
            </w:r>
          </w:p>
        </w:tc>
        <w:tc>
          <w:tcPr>
            <w:tcW w:w="406" w:type="pct"/>
            <w:noWrap w:val="0"/>
            <w:vAlign w:val="center"/>
          </w:tcPr>
          <w:p w14:paraId="31A960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3581" w:type="pct"/>
            <w:noWrap w:val="0"/>
            <w:vAlign w:val="center"/>
          </w:tcPr>
          <w:p w14:paraId="423DF30C">
            <w:pPr>
              <w:numPr>
                <w:ilvl w:val="0"/>
                <w:numId w:val="0"/>
              </w:num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由评委会根据投标人的投标文件对“技术规格、参数与要求”中提出的技术规格及参数响应情况进行打分，完全满足招标要求的得10分。标“▲”条款为重要条款，提供证明材料，未提供视为负偏离，一项负偏离扣3分；一般参数负偏离扣1分，直至扣完为止。</w:t>
            </w:r>
          </w:p>
          <w:p w14:paraId="0BB1176F">
            <w:pPr>
              <w:numPr>
                <w:ilvl w:val="0"/>
                <w:numId w:val="0"/>
              </w:num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auto"/>
                <w:sz w:val="21"/>
                <w:szCs w:val="21"/>
                <w:highlight w:val="none"/>
                <w:lang w:val="en-US" w:eastAsia="zh-CN"/>
              </w:rPr>
              <w:t>注：投标人需如实填写技术参数偏离表，如虚假响应或提供虚假证明资料，采购人及评审小组有权追究其法律责任。</w:t>
            </w:r>
          </w:p>
        </w:tc>
        <w:tc>
          <w:tcPr>
            <w:tcW w:w="542" w:type="pct"/>
            <w:vMerge w:val="restart"/>
            <w:noWrap w:val="0"/>
            <w:vAlign w:val="center"/>
          </w:tcPr>
          <w:p w14:paraId="3C9FB4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根据需求提供必要的证明资料</w:t>
            </w:r>
          </w:p>
        </w:tc>
      </w:tr>
      <w:tr w14:paraId="789B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6" w:hRule="atLeast"/>
        </w:trPr>
        <w:tc>
          <w:tcPr>
            <w:tcW w:w="470" w:type="pct"/>
            <w:vMerge w:val="continue"/>
            <w:noWrap w:val="0"/>
            <w:vAlign w:val="center"/>
          </w:tcPr>
          <w:p w14:paraId="099448D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406" w:type="pct"/>
            <w:noWrap w:val="0"/>
            <w:vAlign w:val="center"/>
          </w:tcPr>
          <w:p w14:paraId="25A787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16</w:t>
            </w:r>
          </w:p>
        </w:tc>
        <w:tc>
          <w:tcPr>
            <w:tcW w:w="3581" w:type="pct"/>
            <w:noWrap w:val="0"/>
            <w:vAlign w:val="center"/>
          </w:tcPr>
          <w:p w14:paraId="5220E10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实施方案： </w:t>
            </w:r>
          </w:p>
          <w:p w14:paraId="72FF9A1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①实施方案中设备质量、供货、项目安全措施、进度安排完全满足项目实际要求的得8分；每有一项内容缺失的扣2分，每有一项内容存在缺陷或方案描述不清晰的扣1分，直至扣完为止；未提供的不得分。</w:t>
            </w:r>
          </w:p>
          <w:p w14:paraId="50A766D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②项目安装、测试方案合理、逻辑清晰、具有操作性、贴合采购需求，完全满足项目实际要求的得4分；每有一项内容缺失的扣2分，每有一项内容存在缺陷或方案描述不清晰的扣1分，直至扣完为止；未提供的不得分。</w:t>
            </w:r>
          </w:p>
          <w:p w14:paraId="11DF55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③有明确的项目质量管理方案和制度，项目管理机构及职责分配合理，符合项目实际情况，逻辑清晰、具有操作性，完全满足项目实际要求的得4分；每有一项内容缺失的扣2分，每有一项内容存在缺陷或方案描述不清晰的扣1分，直至扣完为止；未提供的不得分。</w:t>
            </w:r>
          </w:p>
          <w:p w14:paraId="396C0C3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542" w:type="pct"/>
            <w:vMerge w:val="continue"/>
            <w:noWrap w:val="0"/>
            <w:vAlign w:val="center"/>
          </w:tcPr>
          <w:p w14:paraId="314ACD7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0E0C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9" w:hRule="atLeast"/>
        </w:trPr>
        <w:tc>
          <w:tcPr>
            <w:tcW w:w="470" w:type="pct"/>
            <w:vMerge w:val="continue"/>
            <w:noWrap w:val="0"/>
            <w:vAlign w:val="center"/>
          </w:tcPr>
          <w:p w14:paraId="1ADA05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406" w:type="pct"/>
            <w:noWrap w:val="0"/>
            <w:vAlign w:val="center"/>
          </w:tcPr>
          <w:p w14:paraId="5F8B52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3581" w:type="pct"/>
            <w:noWrap w:val="0"/>
            <w:vAlign w:val="center"/>
          </w:tcPr>
          <w:p w14:paraId="0EFC15D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配送车辆2辆，满足以上车辆要求的得2分；每増加1辆配送车辆加1分，此项满分3分。</w:t>
            </w:r>
            <w:r>
              <w:rPr>
                <w:rFonts w:hint="eastAsia" w:ascii="仿宋" w:hAnsi="仿宋" w:eastAsia="仿宋" w:cs="仿宋"/>
                <w:b/>
                <w:bCs/>
                <w:color w:val="000000" w:themeColor="text1"/>
                <w:sz w:val="21"/>
                <w:szCs w:val="21"/>
                <w:lang w:val="en-US" w:eastAsia="zh-CN"/>
                <w14:textFill>
                  <w14:solidFill>
                    <w14:schemeClr w14:val="tx1"/>
                  </w14:solidFill>
                </w14:textFill>
              </w:rPr>
              <w:t>注：此项需提供车辆行驶证、车辆登记注册为投标企业或租赁车辆（提供租赁合同）。</w:t>
            </w:r>
          </w:p>
        </w:tc>
        <w:tc>
          <w:tcPr>
            <w:tcW w:w="542" w:type="pct"/>
            <w:vMerge w:val="continue"/>
            <w:noWrap w:val="0"/>
            <w:vAlign w:val="center"/>
          </w:tcPr>
          <w:p w14:paraId="0C13772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267D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trPr>
        <w:tc>
          <w:tcPr>
            <w:tcW w:w="470" w:type="pct"/>
            <w:vMerge w:val="continue"/>
            <w:noWrap w:val="0"/>
            <w:vAlign w:val="center"/>
          </w:tcPr>
          <w:p w14:paraId="45BE988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406" w:type="pct"/>
            <w:noWrap w:val="0"/>
            <w:vAlign w:val="center"/>
          </w:tcPr>
          <w:p w14:paraId="5A8ADE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p>
        </w:tc>
        <w:tc>
          <w:tcPr>
            <w:tcW w:w="3581" w:type="pct"/>
            <w:noWrap w:val="0"/>
            <w:vAlign w:val="center"/>
          </w:tcPr>
          <w:p w14:paraId="700F1DDD">
            <w:pPr>
              <w:pStyle w:val="100"/>
              <w:pageBreakBefore w:val="0"/>
              <w:kinsoku/>
              <w:overflowPunct/>
              <w:topLinePunct/>
              <w:bidi w:val="0"/>
              <w:spacing w:before="78"/>
              <w:jc w:val="both"/>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投标供应商具有库房场地。</w:t>
            </w:r>
          </w:p>
          <w:p w14:paraId="0F7AAD9F">
            <w:pPr>
              <w:pStyle w:val="100"/>
              <w:pageBreakBefore w:val="0"/>
              <w:kinsoku/>
              <w:overflowPunct/>
              <w:topLinePunct/>
              <w:bidi w:val="0"/>
              <w:spacing w:before="78"/>
              <w:ind w:left="114"/>
              <w:jc w:val="both"/>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①仓库面积1000平方米(含)以上，得7分；②仓库面积800平方米以上（不含800），得5分；③仓库面积500平方米(不含500) ，得3分；④仓库面积300平方米以下，得1分；未提供的得不得分。 </w:t>
            </w:r>
          </w:p>
          <w:p w14:paraId="261D53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注：自有场地的须提供产权证明；租赁场地的须提供租赁合同复印件；并提供加盖供应商公章的三张及以上场地实景水印图片。以上资料提供不全或不提供的不得分。</w:t>
            </w:r>
          </w:p>
        </w:tc>
        <w:tc>
          <w:tcPr>
            <w:tcW w:w="542" w:type="pct"/>
            <w:vMerge w:val="continue"/>
            <w:noWrap w:val="0"/>
            <w:vAlign w:val="center"/>
          </w:tcPr>
          <w:p w14:paraId="33DABC1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3881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trPr>
        <w:tc>
          <w:tcPr>
            <w:tcW w:w="470" w:type="pct"/>
            <w:vMerge w:val="continue"/>
            <w:noWrap w:val="0"/>
            <w:vAlign w:val="center"/>
          </w:tcPr>
          <w:p w14:paraId="7F4605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406" w:type="pct"/>
            <w:noWrap w:val="0"/>
            <w:vAlign w:val="center"/>
          </w:tcPr>
          <w:p w14:paraId="7E5139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16</w:t>
            </w:r>
          </w:p>
        </w:tc>
        <w:tc>
          <w:tcPr>
            <w:tcW w:w="3581" w:type="pct"/>
            <w:noWrap w:val="0"/>
            <w:vAlign w:val="center"/>
          </w:tcPr>
          <w:p w14:paraId="4D7ADC58">
            <w:pPr>
              <w:pStyle w:val="100"/>
              <w:pageBreakBefore w:val="0"/>
              <w:kinsoku/>
              <w:overflowPunct/>
              <w:topLinePunct/>
              <w:bidi w:val="0"/>
              <w:spacing w:before="78"/>
              <w:jc w:val="left"/>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投标供应商提供的应急响应预案，包含但不限于以下内容：①商品下单漏项；②问题货物更换；③甲方要求原有配送时间临时调整；④临时增加货物需求量；⑤安全事故应急处置；⑥应急车辆保障；⑦紧急备货方案；⑧验收时感官无异常但使用过程发现异常情况等内容进行评分。</w:t>
            </w:r>
          </w:p>
          <w:p w14:paraId="6E80E501">
            <w:pPr>
              <w:pStyle w:val="115"/>
              <w:spacing w:line="273" w:lineRule="atLeast"/>
              <w:jc w:val="lef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上述内容符合本项目实际情况无缺陷，得16分；每缺少一项内容扣2分，每项内容存在瑕疵扣1分，扣完为止；</w:t>
            </w:r>
          </w:p>
          <w:p w14:paraId="6EC9D1E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val="0"/>
                <w:color w:val="000000"/>
                <w:sz w:val="24"/>
                <w:szCs w:val="24"/>
                <w:lang w:val="en-US" w:eastAsia="zh-CN"/>
              </w:rPr>
              <w:t>说明：“瑕疵”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c>
          <w:tcPr>
            <w:tcW w:w="542" w:type="pct"/>
            <w:vMerge w:val="continue"/>
            <w:noWrap w:val="0"/>
            <w:vAlign w:val="center"/>
          </w:tcPr>
          <w:p w14:paraId="534268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03D3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trPr>
        <w:tc>
          <w:tcPr>
            <w:tcW w:w="470" w:type="pct"/>
            <w:vMerge w:val="continue"/>
            <w:noWrap w:val="0"/>
            <w:vAlign w:val="center"/>
          </w:tcPr>
          <w:p w14:paraId="63F3C7A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406" w:type="pct"/>
            <w:noWrap w:val="0"/>
            <w:vAlign w:val="center"/>
          </w:tcPr>
          <w:p w14:paraId="0E9AB9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12</w:t>
            </w:r>
          </w:p>
        </w:tc>
        <w:tc>
          <w:tcPr>
            <w:tcW w:w="3581" w:type="pct"/>
            <w:noWrap w:val="0"/>
            <w:vAlign w:val="center"/>
          </w:tcPr>
          <w:p w14:paraId="6B32FE19">
            <w:pPr>
              <w:pStyle w:val="115"/>
              <w:spacing w:line="273" w:lineRule="atLeast"/>
              <w:jc w:val="left"/>
              <w:rPr>
                <w:rFonts w:hint="eastAsia" w:ascii="仿宋" w:hAnsi="仿宋" w:eastAsia="仿宋" w:cs="仿宋"/>
                <w:b w:val="0"/>
                <w:bCs/>
                <w:color w:val="000000"/>
                <w:sz w:val="24"/>
                <w:szCs w:val="24"/>
                <w:lang w:val="en-US" w:eastAsia="zh-CN"/>
              </w:rPr>
            </w:pPr>
            <w:r>
              <w:rPr>
                <w:rFonts w:hint="eastAsia" w:ascii="仿宋" w:hAnsi="仿宋" w:eastAsia="仿宋" w:cs="仿宋"/>
                <w:color w:val="auto"/>
                <w:sz w:val="24"/>
                <w:szCs w:val="24"/>
                <w:lang w:val="en-US" w:eastAsia="zh-CN" w:bidi="zh-CN"/>
              </w:rPr>
              <w:t>根据投标供应商售后服务方案、管理水平和服务响应时间，包含但不限于以下内容：①针对服务中出现产品各项问题的解决办法等；②项目售后服务组织措施等；③售后服务响应时间等；④售后服务专线（联系人及联系电话）；⑤进度计划安排；⑥配送到甲方单位的详细时间计划方案等内容进行评分。</w:t>
            </w:r>
            <w:r>
              <w:rPr>
                <w:rFonts w:hint="eastAsia" w:ascii="仿宋" w:hAnsi="仿宋" w:eastAsia="仿宋" w:cs="仿宋"/>
                <w:b w:val="0"/>
                <w:bCs/>
                <w:color w:val="000000"/>
                <w:sz w:val="24"/>
                <w:szCs w:val="24"/>
                <w:lang w:val="en-US" w:eastAsia="zh-CN"/>
              </w:rPr>
              <w:t>上述内容符合本项目实际情况无缺陷，得12分；每缺少一项内容扣2分，每项内容存在瑕疵扣1分，扣完为止；</w:t>
            </w:r>
          </w:p>
          <w:p w14:paraId="09917766">
            <w:pPr>
              <w:pStyle w:val="100"/>
              <w:pageBreakBefore w:val="0"/>
              <w:kinsoku/>
              <w:overflowPunct/>
              <w:topLinePunct/>
              <w:bidi w:val="0"/>
              <w:spacing w:before="78"/>
              <w:ind w:left="0" w:leftChars="0" w:right="0" w:rightChars="0"/>
              <w:jc w:val="left"/>
              <w:outlineLvl w:val="9"/>
              <w:rPr>
                <w:rFonts w:hint="eastAsia"/>
                <w:color w:val="000000" w:themeColor="text1"/>
                <w:lang w:eastAsia="zh-CN"/>
                <w14:textFill>
                  <w14:solidFill>
                    <w14:schemeClr w14:val="tx1"/>
                  </w14:solidFill>
                </w14:textFill>
              </w:rPr>
            </w:pPr>
            <w:r>
              <w:rPr>
                <w:rFonts w:hint="eastAsia" w:ascii="仿宋" w:hAnsi="仿宋" w:eastAsia="仿宋" w:cs="仿宋"/>
                <w:b/>
                <w:bCs w:val="0"/>
                <w:color w:val="000000"/>
                <w:sz w:val="24"/>
                <w:szCs w:val="24"/>
                <w:lang w:val="en-US" w:eastAsia="zh-CN"/>
              </w:rPr>
              <w:t>说明：“瑕疵”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c>
          <w:tcPr>
            <w:tcW w:w="542" w:type="pct"/>
            <w:vMerge w:val="continue"/>
            <w:noWrap w:val="0"/>
            <w:vAlign w:val="center"/>
          </w:tcPr>
          <w:p w14:paraId="45490A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021C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trPr>
        <w:tc>
          <w:tcPr>
            <w:tcW w:w="470" w:type="pct"/>
            <w:noWrap w:val="0"/>
            <w:vAlign w:val="center"/>
          </w:tcPr>
          <w:p w14:paraId="68A06FB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406" w:type="pct"/>
            <w:noWrap w:val="0"/>
            <w:vAlign w:val="center"/>
          </w:tcPr>
          <w:p w14:paraId="32C898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3581" w:type="pct"/>
            <w:noWrap w:val="0"/>
            <w:vAlign w:val="center"/>
          </w:tcPr>
          <w:p w14:paraId="01F4DC9E">
            <w:pPr>
              <w:pStyle w:val="12"/>
              <w:ind w:left="0" w:leftChars="0" w:firstLine="0" w:firstLineChars="0"/>
              <w:jc w:val="lef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投标人提供针对已中标单位出具的好评表和售后服务巡查记录表，提供一份得1分，最高得3分</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（重复单位默认一份）</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p>
        </w:tc>
        <w:tc>
          <w:tcPr>
            <w:tcW w:w="542" w:type="pct"/>
            <w:noWrap w:val="0"/>
            <w:vAlign w:val="center"/>
          </w:tcPr>
          <w:p w14:paraId="370EC9F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tc>
      </w:tr>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tbl>
    <w:p w14:paraId="4AF69594">
      <w:pPr>
        <w:spacing w:line="240" w:lineRule="atLeast"/>
        <w:jc w:val="both"/>
        <w:rPr>
          <w:rFonts w:hint="eastAsia" w:ascii="仿宋" w:hAnsi="仿宋" w:eastAsia="仿宋" w:cs="仿宋"/>
          <w:b/>
          <w:bCs/>
          <w:color w:val="auto"/>
          <w:szCs w:val="21"/>
          <w:highlight w:val="none"/>
        </w:rPr>
      </w:pPr>
    </w:p>
    <w:p w14:paraId="1C3DE4A8">
      <w:pPr>
        <w:spacing w:line="240" w:lineRule="atLeast"/>
        <w:jc w:val="center"/>
        <w:rPr>
          <w:rFonts w:hint="eastAsia" w:ascii="仿宋" w:hAnsi="仿宋" w:eastAsia="仿宋" w:cs="仿宋"/>
          <w:b/>
          <w:bCs/>
          <w:color w:val="auto"/>
          <w:szCs w:val="21"/>
          <w:highlight w:val="none"/>
        </w:rPr>
      </w:pPr>
    </w:p>
    <w:p w14:paraId="4A0BFB3E">
      <w:pPr>
        <w:spacing w:line="240" w:lineRule="atLeast"/>
        <w:jc w:val="center"/>
        <w:rPr>
          <w:rFonts w:hint="eastAsia" w:ascii="仿宋" w:hAnsi="仿宋" w:eastAsia="仿宋" w:cs="仿宋"/>
          <w:b/>
          <w:color w:val="auto"/>
          <w:sz w:val="44"/>
          <w:szCs w:val="44"/>
          <w:highlight w:val="none"/>
        </w:rPr>
      </w:pPr>
    </w:p>
    <w:p w14:paraId="6FB4E383">
      <w:pPr>
        <w:spacing w:line="240" w:lineRule="atLeast"/>
        <w:jc w:val="center"/>
        <w:rPr>
          <w:rFonts w:hint="eastAsia" w:ascii="仿宋" w:hAnsi="仿宋" w:eastAsia="仿宋" w:cs="仿宋"/>
          <w:b/>
          <w:color w:val="auto"/>
          <w:sz w:val="44"/>
          <w:szCs w:val="44"/>
          <w:highlight w:val="none"/>
        </w:rPr>
      </w:pPr>
    </w:p>
    <w:p w14:paraId="06185EB2">
      <w:pPr>
        <w:spacing w:line="240" w:lineRule="atLeast"/>
        <w:jc w:val="center"/>
        <w:rPr>
          <w:rFonts w:hint="eastAsia" w:ascii="仿宋" w:hAnsi="仿宋" w:eastAsia="仿宋" w:cs="仿宋"/>
          <w:b/>
          <w:color w:val="auto"/>
          <w:sz w:val="44"/>
          <w:szCs w:val="44"/>
          <w:highlight w:val="none"/>
        </w:rPr>
      </w:pPr>
    </w:p>
    <w:p w14:paraId="1AC45C22">
      <w:pPr>
        <w:rPr>
          <w:rFonts w:hint="eastAsia" w:ascii="仿宋" w:hAnsi="仿宋" w:eastAsia="仿宋" w:cs="仿宋"/>
          <w:b/>
          <w:color w:val="auto"/>
          <w:sz w:val="44"/>
          <w:szCs w:val="44"/>
          <w:highlight w:val="none"/>
        </w:rPr>
      </w:pPr>
    </w:p>
    <w:p w14:paraId="00373F88">
      <w:pPr>
        <w:spacing w:line="240" w:lineRule="atLeast"/>
        <w:jc w:val="center"/>
        <w:rPr>
          <w:rFonts w:hint="eastAsia" w:ascii="仿宋" w:hAnsi="仿宋" w:eastAsia="仿宋" w:cs="仿宋"/>
          <w:b/>
          <w:color w:val="auto"/>
          <w:sz w:val="44"/>
          <w:szCs w:val="44"/>
          <w:highlight w:val="none"/>
        </w:rPr>
      </w:pPr>
    </w:p>
    <w:p w14:paraId="7DE29386">
      <w:pPr>
        <w:spacing w:line="240" w:lineRule="atLeas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招 标 文 件</w:t>
      </w:r>
    </w:p>
    <w:p w14:paraId="53DA6404">
      <w:pPr>
        <w:spacing w:line="240" w:lineRule="atLeast"/>
        <w:jc w:val="center"/>
        <w:rPr>
          <w:rFonts w:hint="eastAsia" w:ascii="仿宋" w:hAnsi="仿宋" w:eastAsia="仿宋" w:cs="仿宋"/>
          <w:b/>
          <w:color w:val="auto"/>
          <w:sz w:val="40"/>
          <w:szCs w:val="40"/>
          <w:highlight w:val="none"/>
        </w:rPr>
      </w:pPr>
    </w:p>
    <w:p w14:paraId="01D40AB9">
      <w:pPr>
        <w:spacing w:line="240" w:lineRule="atLeast"/>
        <w:jc w:val="center"/>
        <w:rPr>
          <w:rFonts w:hint="eastAsia" w:ascii="仿宋" w:hAnsi="仿宋" w:eastAsia="仿宋" w:cs="仿宋"/>
          <w:b/>
          <w:color w:val="auto"/>
          <w:sz w:val="40"/>
          <w:szCs w:val="40"/>
          <w:highlight w:val="none"/>
        </w:rPr>
      </w:pPr>
      <w:bookmarkStart w:id="1310" w:name="_Toc13284_WPSOffice_Level2"/>
    </w:p>
    <w:p w14:paraId="6FE21F2D">
      <w:pPr>
        <w:spacing w:line="240" w:lineRule="atLeast"/>
        <w:jc w:val="center"/>
        <w:rPr>
          <w:rFonts w:hint="default" w:ascii="仿宋" w:hAnsi="仿宋" w:eastAsia="仿宋" w:cs="仿宋"/>
          <w:b/>
          <w:color w:val="auto"/>
          <w:sz w:val="40"/>
          <w:szCs w:val="40"/>
          <w:highlight w:val="none"/>
          <w:lang w:val="en-US"/>
        </w:rPr>
      </w:pPr>
      <w:r>
        <w:rPr>
          <w:rFonts w:hint="eastAsia" w:ascii="仿宋" w:hAnsi="仿宋" w:eastAsia="仿宋" w:cs="仿宋"/>
          <w:b/>
          <w:color w:val="auto"/>
          <w:sz w:val="40"/>
          <w:szCs w:val="40"/>
          <w:highlight w:val="none"/>
        </w:rPr>
        <w:t>项目编号：</w:t>
      </w:r>
      <w:bookmarkEnd w:id="1310"/>
      <w:r>
        <w:rPr>
          <w:rFonts w:hint="eastAsia" w:ascii="仿宋" w:hAnsi="仿宋" w:eastAsia="仿宋" w:cs="仿宋"/>
          <w:b/>
          <w:color w:val="auto"/>
          <w:sz w:val="40"/>
          <w:szCs w:val="40"/>
          <w:highlight w:val="none"/>
        </w:rPr>
        <w:t>XJJY（Z）202</w:t>
      </w:r>
      <w:r>
        <w:rPr>
          <w:rFonts w:hint="eastAsia" w:ascii="仿宋" w:hAnsi="仿宋" w:eastAsia="仿宋" w:cs="仿宋"/>
          <w:b/>
          <w:color w:val="auto"/>
          <w:sz w:val="40"/>
          <w:szCs w:val="40"/>
          <w:highlight w:val="none"/>
          <w:lang w:val="en-US" w:eastAsia="zh-CN"/>
        </w:rPr>
        <w:t>5</w:t>
      </w:r>
      <w:r>
        <w:rPr>
          <w:rFonts w:hint="eastAsia" w:ascii="仿宋" w:hAnsi="仿宋" w:eastAsia="仿宋" w:cs="仿宋"/>
          <w:b/>
          <w:color w:val="auto"/>
          <w:sz w:val="40"/>
          <w:szCs w:val="40"/>
          <w:highlight w:val="none"/>
        </w:rPr>
        <w:t>-0</w:t>
      </w:r>
      <w:r>
        <w:rPr>
          <w:rFonts w:hint="eastAsia" w:ascii="仿宋" w:hAnsi="仿宋" w:eastAsia="仿宋" w:cs="仿宋"/>
          <w:b/>
          <w:color w:val="auto"/>
          <w:sz w:val="40"/>
          <w:szCs w:val="40"/>
          <w:highlight w:val="none"/>
          <w:lang w:val="en-US" w:eastAsia="zh-CN"/>
        </w:rPr>
        <w:t>22</w:t>
      </w:r>
    </w:p>
    <w:p w14:paraId="6B24DD98">
      <w:pPr>
        <w:spacing w:line="240" w:lineRule="atLeast"/>
        <w:jc w:val="center"/>
        <w:rPr>
          <w:rFonts w:hint="eastAsia" w:ascii="仿宋" w:hAnsi="仿宋" w:eastAsia="仿宋" w:cs="仿宋"/>
          <w:b/>
          <w:color w:val="auto"/>
          <w:sz w:val="40"/>
          <w:szCs w:val="40"/>
          <w:highlight w:val="none"/>
        </w:rPr>
      </w:pPr>
    </w:p>
    <w:p w14:paraId="71B57436">
      <w:pPr>
        <w:spacing w:line="240" w:lineRule="atLeast"/>
        <w:jc w:val="center"/>
        <w:rPr>
          <w:rFonts w:hint="eastAsia" w:ascii="仿宋" w:hAnsi="仿宋" w:eastAsia="仿宋" w:cs="仿宋"/>
          <w:b/>
          <w:color w:val="auto"/>
          <w:sz w:val="40"/>
          <w:szCs w:val="40"/>
          <w:highlight w:val="none"/>
        </w:rPr>
      </w:pPr>
    </w:p>
    <w:p w14:paraId="5ED61F54">
      <w:pPr>
        <w:spacing w:line="240" w:lineRule="atLeast"/>
        <w:jc w:val="center"/>
        <w:rPr>
          <w:rFonts w:hint="eastAsia" w:ascii="仿宋" w:hAnsi="仿宋" w:eastAsia="仿宋" w:cs="仿宋"/>
          <w:b/>
          <w:color w:val="auto"/>
          <w:sz w:val="40"/>
          <w:szCs w:val="40"/>
          <w:highlight w:val="none"/>
        </w:rPr>
      </w:pPr>
      <w:r>
        <w:rPr>
          <w:rFonts w:hint="eastAsia" w:ascii="仿宋" w:hAnsi="仿宋" w:eastAsia="仿宋" w:cs="仿宋"/>
          <w:b/>
          <w:color w:val="auto"/>
          <w:sz w:val="40"/>
          <w:szCs w:val="40"/>
          <w:highlight w:val="none"/>
        </w:rPr>
        <w:t>第 三 册</w:t>
      </w:r>
    </w:p>
    <w:p w14:paraId="3537A126">
      <w:pPr>
        <w:spacing w:line="240" w:lineRule="atLeast"/>
        <w:jc w:val="center"/>
        <w:rPr>
          <w:rFonts w:hint="eastAsia" w:ascii="仿宋" w:hAnsi="仿宋" w:eastAsia="仿宋" w:cs="仿宋"/>
          <w:b/>
          <w:color w:val="auto"/>
          <w:sz w:val="32"/>
          <w:highlight w:val="none"/>
        </w:rPr>
      </w:pPr>
    </w:p>
    <w:p w14:paraId="5E169DB6">
      <w:pPr>
        <w:spacing w:line="240" w:lineRule="atLeast"/>
        <w:ind w:left="1080" w:leftChars="257" w:hanging="540"/>
        <w:jc w:val="center"/>
        <w:rPr>
          <w:rFonts w:hint="eastAsia" w:ascii="仿宋" w:hAnsi="仿宋" w:eastAsia="仿宋" w:cs="仿宋"/>
          <w:b/>
          <w:color w:val="auto"/>
          <w:sz w:val="52"/>
          <w:highlight w:val="none"/>
        </w:rPr>
      </w:pPr>
    </w:p>
    <w:p w14:paraId="0715389D">
      <w:pPr>
        <w:pStyle w:val="29"/>
        <w:rPr>
          <w:rFonts w:hint="eastAsia" w:ascii="仿宋" w:hAnsi="仿宋" w:eastAsia="仿宋" w:cs="仿宋"/>
          <w:b/>
          <w:color w:val="auto"/>
          <w:sz w:val="52"/>
          <w:highlight w:val="none"/>
        </w:rPr>
      </w:pPr>
    </w:p>
    <w:p w14:paraId="07160537">
      <w:pPr>
        <w:pStyle w:val="29"/>
        <w:rPr>
          <w:rFonts w:hint="eastAsia" w:ascii="仿宋" w:hAnsi="仿宋" w:eastAsia="仿宋" w:cs="仿宋"/>
          <w:b/>
          <w:color w:val="auto"/>
          <w:sz w:val="52"/>
          <w:highlight w:val="none"/>
        </w:rPr>
      </w:pPr>
    </w:p>
    <w:p w14:paraId="62F11C05">
      <w:pPr>
        <w:pStyle w:val="29"/>
        <w:rPr>
          <w:rFonts w:hint="eastAsia" w:ascii="仿宋" w:hAnsi="仿宋" w:eastAsia="仿宋" w:cs="仿宋"/>
          <w:b/>
          <w:color w:val="auto"/>
          <w:sz w:val="52"/>
          <w:highlight w:val="none"/>
        </w:rPr>
      </w:pPr>
    </w:p>
    <w:p w14:paraId="335FD2EC">
      <w:pPr>
        <w:rPr>
          <w:rFonts w:hint="eastAsia" w:ascii="仿宋" w:hAnsi="仿宋" w:eastAsia="仿宋" w:cs="仿宋"/>
          <w:color w:val="auto"/>
          <w:highlight w:val="none"/>
        </w:rPr>
      </w:pPr>
      <w:bookmarkStart w:id="1311" w:name="_Toc28085"/>
      <w:bookmarkStart w:id="1312" w:name="_Toc6865"/>
      <w:bookmarkStart w:id="1313" w:name="_Toc515647833"/>
      <w:bookmarkStart w:id="1314" w:name="_Toc4796"/>
      <w:bookmarkStart w:id="1315" w:name="_Toc23920"/>
      <w:r>
        <w:rPr>
          <w:rFonts w:hint="eastAsia" w:ascii="仿宋" w:hAnsi="仿宋" w:eastAsia="仿宋" w:cs="仿宋"/>
          <w:color w:val="auto"/>
          <w:highlight w:val="none"/>
        </w:rPr>
        <w:br w:type="page"/>
      </w:r>
    </w:p>
    <w:bookmarkEnd w:id="1309"/>
    <w:bookmarkEnd w:id="1311"/>
    <w:bookmarkEnd w:id="1312"/>
    <w:bookmarkEnd w:id="1313"/>
    <w:bookmarkEnd w:id="1314"/>
    <w:bookmarkEnd w:id="1315"/>
    <w:p w14:paraId="7BBA2CF9">
      <w:pPr>
        <w:widowControl/>
        <w:spacing w:line="440" w:lineRule="exact"/>
        <w:jc w:val="center"/>
        <w:outlineLvl w:val="0"/>
        <w:rPr>
          <w:rFonts w:hint="eastAsia" w:ascii="仿宋" w:hAnsi="仿宋" w:eastAsia="仿宋" w:cs="仿宋"/>
          <w:b/>
          <w:bCs/>
          <w:color w:val="auto"/>
          <w:kern w:val="0"/>
          <w:sz w:val="32"/>
          <w:szCs w:val="32"/>
          <w:highlight w:val="none"/>
          <w:lang w:val="en-US" w:eastAsia="zh-CN" w:bidi="ar-SA"/>
        </w:rPr>
      </w:pPr>
      <w:bookmarkStart w:id="1316" w:name="_Toc4781"/>
      <w:bookmarkStart w:id="1317" w:name="_Toc18042"/>
      <w:r>
        <w:rPr>
          <w:rFonts w:hint="eastAsia" w:ascii="仿宋" w:hAnsi="仿宋" w:eastAsia="仿宋" w:cs="仿宋"/>
          <w:b/>
          <w:bCs/>
          <w:color w:val="auto"/>
          <w:kern w:val="0"/>
          <w:sz w:val="32"/>
          <w:szCs w:val="32"/>
          <w:highlight w:val="none"/>
          <w:lang w:val="en-US" w:eastAsia="zh-CN" w:bidi="ar-SA"/>
        </w:rPr>
        <w:t>第7章  政府采购合同</w:t>
      </w:r>
      <w:bookmarkEnd w:id="1316"/>
      <w:bookmarkEnd w:id="1317"/>
      <w:bookmarkStart w:id="1318" w:name="_Toc216513788"/>
      <w:bookmarkEnd w:id="1318"/>
      <w:bookmarkStart w:id="1319" w:name="_Hlt487972895"/>
      <w:bookmarkEnd w:id="1319"/>
      <w:bookmarkStart w:id="1320" w:name="_Toc487900382"/>
      <w:bookmarkEnd w:id="1320"/>
    </w:p>
    <w:p w14:paraId="5DF136EA">
      <w:pPr>
        <w:spacing w:line="240" w:lineRule="atLeast"/>
        <w:rPr>
          <w:rFonts w:hint="eastAsia" w:ascii="仿宋" w:hAnsi="仿宋" w:eastAsia="仿宋" w:cs="仿宋"/>
          <w:b/>
          <w:color w:val="auto"/>
          <w:kern w:val="44"/>
          <w:sz w:val="28"/>
          <w:szCs w:val="28"/>
          <w:highlight w:val="none"/>
        </w:rPr>
      </w:pPr>
    </w:p>
    <w:p w14:paraId="4F7F98AD">
      <w:pPr>
        <w:autoSpaceDE w:val="0"/>
        <w:autoSpaceDN w:val="0"/>
        <w:spacing w:before="0" w:after="0" w:line="360" w:lineRule="auto"/>
        <w:ind w:left="0" w:right="0"/>
        <w:jc w:val="left"/>
        <w:rPr>
          <w:rFonts w:hint="eastAsia" w:ascii="仿宋" w:hAnsi="仿宋" w:eastAsia="仿宋" w:cs="仿宋"/>
          <w:color w:val="auto"/>
          <w:kern w:val="0"/>
          <w:sz w:val="32"/>
          <w:szCs w:val="32"/>
          <w:lang w:val="zh-CN" w:bidi="zh-CN"/>
        </w:rPr>
      </w:pPr>
    </w:p>
    <w:p w14:paraId="09EDEA66">
      <w:pPr>
        <w:autoSpaceDE w:val="0"/>
        <w:autoSpaceDN w:val="0"/>
        <w:spacing w:before="0" w:after="0" w:line="360" w:lineRule="auto"/>
        <w:ind w:left="0" w:right="0"/>
        <w:jc w:val="left"/>
        <w:rPr>
          <w:rFonts w:hint="eastAsia" w:ascii="仿宋" w:hAnsi="仿宋" w:eastAsia="仿宋" w:cs="仿宋"/>
          <w:color w:val="auto"/>
          <w:kern w:val="0"/>
          <w:sz w:val="32"/>
          <w:szCs w:val="32"/>
          <w:lang w:val="zh-CN" w:bidi="zh-CN"/>
        </w:rPr>
      </w:pPr>
    </w:p>
    <w:p w14:paraId="596FD19E">
      <w:pPr>
        <w:autoSpaceDE w:val="0"/>
        <w:autoSpaceDN w:val="0"/>
        <w:spacing w:before="0" w:after="0" w:line="360" w:lineRule="auto"/>
        <w:ind w:left="0" w:right="0"/>
        <w:jc w:val="left"/>
        <w:rPr>
          <w:rFonts w:hint="eastAsia" w:ascii="仿宋" w:hAnsi="仿宋" w:eastAsia="仿宋" w:cs="仿宋"/>
          <w:color w:val="auto"/>
          <w:kern w:val="0"/>
          <w:sz w:val="32"/>
          <w:szCs w:val="32"/>
          <w:lang w:val="zh-CN" w:bidi="zh-CN"/>
        </w:rPr>
      </w:pPr>
      <w:r>
        <w:rPr>
          <w:rFonts w:hint="eastAsia" w:ascii="仿宋" w:hAnsi="仿宋" w:eastAsia="仿宋" w:cs="仿宋"/>
          <w:color w:val="auto"/>
          <w:kern w:val="0"/>
          <w:sz w:val="32"/>
          <w:szCs w:val="32"/>
          <w:lang w:val="zh-CN" w:bidi="zh-CN"/>
        </w:rPr>
        <w:t>项目名称：</w:t>
      </w:r>
    </w:p>
    <w:p w14:paraId="4747DAAA">
      <w:pPr>
        <w:autoSpaceDE w:val="0"/>
        <w:autoSpaceDN w:val="0"/>
        <w:spacing w:before="0" w:after="0" w:line="360" w:lineRule="auto"/>
        <w:ind w:left="0" w:right="0"/>
        <w:jc w:val="left"/>
        <w:rPr>
          <w:rFonts w:hint="eastAsia" w:ascii="仿宋" w:hAnsi="仿宋" w:eastAsia="仿宋" w:cs="仿宋"/>
          <w:color w:val="auto"/>
          <w:kern w:val="0"/>
          <w:sz w:val="32"/>
          <w:szCs w:val="32"/>
          <w:lang w:val="zh-CN" w:bidi="zh-CN"/>
        </w:rPr>
      </w:pPr>
    </w:p>
    <w:p w14:paraId="749AEEA9">
      <w:pPr>
        <w:autoSpaceDE w:val="0"/>
        <w:autoSpaceDN w:val="0"/>
        <w:spacing w:before="0" w:after="0" w:line="360" w:lineRule="auto"/>
        <w:ind w:left="0" w:right="0"/>
        <w:jc w:val="left"/>
        <w:rPr>
          <w:rFonts w:hint="eastAsia" w:ascii="仿宋" w:hAnsi="仿宋" w:eastAsia="仿宋" w:cs="仿宋"/>
          <w:color w:val="auto"/>
          <w:kern w:val="0"/>
          <w:sz w:val="32"/>
          <w:szCs w:val="32"/>
          <w:lang w:val="zh-CN" w:bidi="zh-CN"/>
        </w:rPr>
      </w:pPr>
      <w:r>
        <w:rPr>
          <w:rFonts w:hint="eastAsia" w:ascii="仿宋" w:hAnsi="仿宋" w:eastAsia="仿宋" w:cs="仿宋"/>
          <w:color w:val="auto"/>
          <w:kern w:val="0"/>
          <w:sz w:val="32"/>
          <w:szCs w:val="32"/>
          <w:lang w:val="zh-CN" w:bidi="zh-CN"/>
        </w:rPr>
        <w:t>甲方: </w:t>
      </w:r>
    </w:p>
    <w:p w14:paraId="51F5942B">
      <w:pPr>
        <w:autoSpaceDE w:val="0"/>
        <w:autoSpaceDN w:val="0"/>
        <w:spacing w:before="0" w:after="0" w:line="360" w:lineRule="auto"/>
        <w:ind w:left="0" w:right="0"/>
        <w:jc w:val="left"/>
        <w:rPr>
          <w:rFonts w:hint="eastAsia" w:ascii="仿宋" w:hAnsi="仿宋" w:eastAsia="仿宋" w:cs="仿宋"/>
          <w:color w:val="auto"/>
          <w:kern w:val="0"/>
          <w:sz w:val="32"/>
          <w:szCs w:val="32"/>
          <w:lang w:val="zh-CN" w:bidi="zh-CN"/>
        </w:rPr>
      </w:pPr>
    </w:p>
    <w:p w14:paraId="3C9CC9FA">
      <w:pPr>
        <w:autoSpaceDE w:val="0"/>
        <w:autoSpaceDN w:val="0"/>
        <w:spacing w:before="0" w:after="0" w:line="360" w:lineRule="auto"/>
        <w:ind w:left="0" w:right="0"/>
        <w:jc w:val="left"/>
        <w:rPr>
          <w:rFonts w:hint="eastAsia" w:ascii="仿宋" w:hAnsi="仿宋" w:eastAsia="仿宋" w:cs="仿宋"/>
          <w:color w:val="auto"/>
          <w:kern w:val="0"/>
          <w:sz w:val="32"/>
          <w:szCs w:val="32"/>
          <w:u w:val="none"/>
          <w:lang w:val="en-US" w:eastAsia="zh-CN" w:bidi="zh-CN"/>
        </w:rPr>
      </w:pPr>
      <w:r>
        <w:rPr>
          <w:rFonts w:hint="eastAsia" w:ascii="仿宋" w:hAnsi="仿宋" w:eastAsia="仿宋" w:cs="仿宋"/>
          <w:color w:val="auto"/>
          <w:kern w:val="0"/>
          <w:sz w:val="32"/>
          <w:szCs w:val="32"/>
          <w:lang w:val="zh-CN" w:bidi="zh-CN"/>
        </w:rPr>
        <w:t>乙方:</w:t>
      </w:r>
      <w:r>
        <w:rPr>
          <w:rFonts w:hint="eastAsia" w:ascii="仿宋" w:hAnsi="仿宋" w:eastAsia="仿宋" w:cs="仿宋"/>
          <w:color w:val="auto"/>
          <w:kern w:val="0"/>
          <w:sz w:val="32"/>
          <w:szCs w:val="32"/>
          <w:u w:val="none"/>
          <w:lang w:val="zh-CN" w:bidi="zh-CN"/>
        </w:rPr>
        <w:t> </w:t>
      </w:r>
      <w:r>
        <w:rPr>
          <w:rFonts w:hint="eastAsia" w:ascii="仿宋" w:hAnsi="仿宋" w:eastAsia="仿宋" w:cs="仿宋"/>
          <w:color w:val="auto"/>
          <w:kern w:val="0"/>
          <w:sz w:val="32"/>
          <w:szCs w:val="32"/>
          <w:u w:val="none"/>
          <w:lang w:val="en-US" w:eastAsia="zh-CN" w:bidi="zh-CN"/>
        </w:rPr>
        <w:t xml:space="preserve">                        </w:t>
      </w:r>
    </w:p>
    <w:p w14:paraId="01DE3FD4">
      <w:pPr>
        <w:autoSpaceDE w:val="0"/>
        <w:autoSpaceDN w:val="0"/>
        <w:spacing w:before="0" w:after="0" w:line="360" w:lineRule="auto"/>
        <w:ind w:left="0" w:right="0"/>
        <w:jc w:val="left"/>
        <w:rPr>
          <w:rFonts w:hint="eastAsia" w:ascii="仿宋" w:hAnsi="仿宋" w:eastAsia="仿宋" w:cs="仿宋"/>
          <w:color w:val="auto"/>
          <w:kern w:val="0"/>
          <w:sz w:val="32"/>
          <w:szCs w:val="32"/>
          <w:lang w:val="zh-CN" w:bidi="zh-CN"/>
        </w:rPr>
      </w:pPr>
    </w:p>
    <w:p w14:paraId="416D4999">
      <w:pPr>
        <w:autoSpaceDE w:val="0"/>
        <w:autoSpaceDN w:val="0"/>
        <w:spacing w:before="0" w:after="0" w:line="360" w:lineRule="auto"/>
        <w:ind w:left="0" w:right="0"/>
        <w:jc w:val="left"/>
        <w:rPr>
          <w:rFonts w:hint="eastAsia" w:ascii="仿宋" w:hAnsi="仿宋" w:eastAsia="仿宋" w:cs="仿宋"/>
          <w:color w:val="auto"/>
          <w:kern w:val="0"/>
          <w:sz w:val="32"/>
          <w:szCs w:val="32"/>
          <w:u w:val="single"/>
          <w:lang w:val="zh-CN" w:bidi="zh-CN"/>
        </w:rPr>
      </w:pPr>
      <w:r>
        <w:rPr>
          <w:rFonts w:hint="eastAsia" w:ascii="仿宋" w:hAnsi="仿宋" w:eastAsia="仿宋" w:cs="仿宋"/>
          <w:color w:val="auto"/>
          <w:kern w:val="0"/>
          <w:sz w:val="32"/>
          <w:szCs w:val="32"/>
          <w:lang w:val="zh-CN" w:bidi="zh-CN"/>
        </w:rPr>
        <w:t>签订地：</w:t>
      </w:r>
      <w:r>
        <w:rPr>
          <w:rFonts w:hint="eastAsia" w:ascii="仿宋" w:hAnsi="仿宋" w:eastAsia="仿宋" w:cs="仿宋"/>
          <w:color w:val="auto"/>
          <w:kern w:val="0"/>
          <w:sz w:val="32"/>
          <w:szCs w:val="32"/>
          <w:u w:val="single"/>
          <w:lang w:val="zh-CN" w:bidi="zh-CN"/>
        </w:rPr>
        <w:t xml:space="preserve"> </w:t>
      </w:r>
      <w:r>
        <w:rPr>
          <w:rFonts w:hint="eastAsia" w:ascii="仿宋" w:hAnsi="仿宋" w:eastAsia="仿宋" w:cs="仿宋"/>
          <w:color w:val="auto"/>
          <w:kern w:val="0"/>
          <w:sz w:val="32"/>
          <w:szCs w:val="32"/>
          <w:u w:val="single"/>
          <w:lang w:val="en-US" w:bidi="zh-CN"/>
        </w:rPr>
        <w:t xml:space="preserve">                 </w:t>
      </w:r>
      <w:r>
        <w:rPr>
          <w:rFonts w:hint="eastAsia" w:ascii="仿宋" w:hAnsi="仿宋" w:eastAsia="仿宋" w:cs="仿宋"/>
          <w:color w:val="auto"/>
          <w:kern w:val="0"/>
          <w:sz w:val="32"/>
          <w:szCs w:val="32"/>
          <w:u w:val="single"/>
          <w:lang w:val="zh-CN" w:bidi="zh-CN"/>
        </w:rPr>
        <w:t xml:space="preserve">   </w:t>
      </w:r>
    </w:p>
    <w:p w14:paraId="516D160F">
      <w:pPr>
        <w:autoSpaceDE w:val="0"/>
        <w:autoSpaceDN w:val="0"/>
        <w:spacing w:before="0" w:after="0" w:line="360" w:lineRule="auto"/>
        <w:ind w:left="0" w:right="0"/>
        <w:jc w:val="left"/>
        <w:rPr>
          <w:rFonts w:hint="eastAsia" w:ascii="仿宋" w:hAnsi="仿宋" w:eastAsia="仿宋" w:cs="仿宋"/>
          <w:color w:val="auto"/>
          <w:kern w:val="0"/>
          <w:sz w:val="32"/>
          <w:szCs w:val="32"/>
          <w:u w:val="single"/>
          <w:lang w:val="zh-CN" w:bidi="zh-CN"/>
        </w:rPr>
      </w:pPr>
    </w:p>
    <w:p w14:paraId="10BACADA">
      <w:pPr>
        <w:autoSpaceDE w:val="0"/>
        <w:autoSpaceDN w:val="0"/>
        <w:spacing w:before="0" w:after="0" w:line="360" w:lineRule="auto"/>
        <w:ind w:left="0" w:right="0"/>
        <w:jc w:val="left"/>
        <w:rPr>
          <w:rFonts w:hint="eastAsia" w:ascii="仿宋" w:hAnsi="仿宋" w:eastAsia="仿宋" w:cs="仿宋"/>
          <w:color w:val="auto"/>
          <w:kern w:val="0"/>
          <w:sz w:val="32"/>
          <w:szCs w:val="32"/>
          <w:lang w:val="zh-CN" w:bidi="zh-CN"/>
        </w:rPr>
      </w:pPr>
      <w:r>
        <w:rPr>
          <w:rFonts w:hint="eastAsia" w:ascii="仿宋" w:hAnsi="仿宋" w:eastAsia="仿宋" w:cs="仿宋"/>
          <w:color w:val="auto"/>
          <w:kern w:val="0"/>
          <w:sz w:val="32"/>
          <w:szCs w:val="32"/>
          <w:lang w:val="zh-CN" w:bidi="zh-CN"/>
        </w:rPr>
        <w:t>签订日期：</w:t>
      </w:r>
      <w:r>
        <w:rPr>
          <w:rFonts w:hint="eastAsia" w:ascii="仿宋" w:hAnsi="仿宋" w:eastAsia="仿宋" w:cs="仿宋"/>
          <w:color w:val="auto"/>
          <w:kern w:val="0"/>
          <w:sz w:val="32"/>
          <w:szCs w:val="32"/>
          <w:u w:val="single"/>
          <w:lang w:val="zh-CN" w:bidi="zh-CN"/>
        </w:rPr>
        <w:t xml:space="preserve">          </w:t>
      </w:r>
      <w:r>
        <w:rPr>
          <w:rFonts w:hint="eastAsia" w:ascii="仿宋" w:hAnsi="仿宋" w:eastAsia="仿宋" w:cs="仿宋"/>
          <w:color w:val="auto"/>
          <w:kern w:val="0"/>
          <w:sz w:val="32"/>
          <w:szCs w:val="32"/>
          <w:lang w:val="zh-CN" w:bidi="zh-CN"/>
        </w:rPr>
        <w:t>年</w:t>
      </w:r>
      <w:r>
        <w:rPr>
          <w:rFonts w:hint="eastAsia" w:ascii="仿宋" w:hAnsi="仿宋" w:eastAsia="仿宋" w:cs="仿宋"/>
          <w:color w:val="auto"/>
          <w:kern w:val="0"/>
          <w:sz w:val="32"/>
          <w:szCs w:val="32"/>
          <w:u w:val="single"/>
          <w:lang w:val="zh-CN" w:bidi="zh-CN"/>
        </w:rPr>
        <w:t xml:space="preserve">       </w:t>
      </w:r>
      <w:r>
        <w:rPr>
          <w:rFonts w:hint="eastAsia" w:ascii="仿宋" w:hAnsi="仿宋" w:eastAsia="仿宋" w:cs="仿宋"/>
          <w:color w:val="auto"/>
          <w:kern w:val="0"/>
          <w:sz w:val="32"/>
          <w:szCs w:val="32"/>
          <w:lang w:val="zh-CN" w:bidi="zh-CN"/>
        </w:rPr>
        <w:t>月</w:t>
      </w:r>
      <w:r>
        <w:rPr>
          <w:rFonts w:hint="eastAsia" w:ascii="仿宋" w:hAnsi="仿宋" w:eastAsia="仿宋" w:cs="仿宋"/>
          <w:color w:val="auto"/>
          <w:kern w:val="0"/>
          <w:sz w:val="32"/>
          <w:szCs w:val="32"/>
          <w:u w:val="single"/>
          <w:lang w:val="zh-CN" w:bidi="zh-CN"/>
        </w:rPr>
        <w:t xml:space="preserve">       </w:t>
      </w:r>
      <w:r>
        <w:rPr>
          <w:rFonts w:hint="eastAsia" w:ascii="仿宋" w:hAnsi="仿宋" w:eastAsia="仿宋" w:cs="仿宋"/>
          <w:color w:val="auto"/>
          <w:kern w:val="0"/>
          <w:sz w:val="32"/>
          <w:szCs w:val="32"/>
          <w:lang w:val="zh-CN" w:bidi="zh-CN"/>
        </w:rPr>
        <w:t>日</w:t>
      </w:r>
    </w:p>
    <w:p w14:paraId="29B7355F">
      <w:pPr>
        <w:rPr>
          <w:rFonts w:hint="eastAsia" w:ascii="仿宋" w:hAnsi="仿宋" w:eastAsia="仿宋" w:cs="仿宋"/>
          <w:color w:val="auto"/>
          <w:kern w:val="0"/>
          <w:sz w:val="32"/>
          <w:szCs w:val="32"/>
          <w:lang w:val="zh-CN" w:bidi="zh-CN"/>
        </w:rPr>
      </w:pPr>
      <w:r>
        <w:rPr>
          <w:rFonts w:hint="eastAsia" w:ascii="仿宋" w:hAnsi="仿宋" w:eastAsia="仿宋" w:cs="仿宋"/>
          <w:color w:val="auto"/>
          <w:kern w:val="0"/>
          <w:sz w:val="32"/>
          <w:szCs w:val="32"/>
          <w:lang w:val="zh-CN" w:bidi="zh-CN"/>
        </w:rPr>
        <w:br w:type="page"/>
      </w:r>
    </w:p>
    <w:p w14:paraId="41A02B9D">
      <w:pPr>
        <w:pStyle w:val="4"/>
        <w:rPr>
          <w:rFonts w:hint="eastAsia" w:ascii="仿宋" w:hAnsi="仿宋" w:eastAsia="仿宋" w:cs="仿宋"/>
          <w:color w:val="auto"/>
          <w:lang w:val="zh-CN"/>
        </w:rPr>
      </w:pPr>
    </w:p>
    <w:p w14:paraId="6D5E1EE3">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both"/>
        <w:textAlignment w:val="auto"/>
        <w:rPr>
          <w:rFonts w:hint="eastAsia" w:ascii="仿宋" w:hAnsi="仿宋" w:eastAsia="仿宋" w:cs="仿宋"/>
          <w:b/>
          <w:bCs/>
          <w:color w:val="auto"/>
          <w:w w:val="95"/>
          <w:kern w:val="0"/>
          <w:sz w:val="36"/>
          <w:szCs w:val="36"/>
          <w:lang w:val="zh-CN" w:bidi="zh-CN"/>
        </w:rPr>
      </w:pPr>
    </w:p>
    <w:p w14:paraId="0F27C2AC">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jc w:val="center"/>
        <w:textAlignment w:val="auto"/>
        <w:rPr>
          <w:rFonts w:hint="eastAsia" w:ascii="仿宋" w:hAnsi="仿宋" w:eastAsia="仿宋" w:cs="仿宋"/>
          <w:b/>
          <w:bCs/>
          <w:color w:val="auto"/>
          <w:w w:val="95"/>
          <w:kern w:val="0"/>
          <w:sz w:val="36"/>
          <w:szCs w:val="36"/>
          <w:lang w:val="en-US" w:eastAsia="zh-CN" w:bidi="zh-CN"/>
        </w:rPr>
      </w:pPr>
      <w:r>
        <w:rPr>
          <w:rFonts w:hint="eastAsia" w:ascii="仿宋" w:hAnsi="仿宋" w:eastAsia="仿宋" w:cs="仿宋"/>
          <w:b/>
          <w:bCs/>
          <w:color w:val="auto"/>
          <w:w w:val="95"/>
          <w:kern w:val="0"/>
          <w:sz w:val="36"/>
          <w:szCs w:val="36"/>
          <w:lang w:val="zh-CN" w:bidi="zh-CN"/>
        </w:rPr>
        <w:t>货物</w:t>
      </w:r>
      <w:r>
        <w:rPr>
          <w:rFonts w:hint="eastAsia" w:ascii="仿宋" w:hAnsi="仿宋" w:eastAsia="仿宋" w:cs="仿宋"/>
          <w:b/>
          <w:bCs/>
          <w:color w:val="auto"/>
          <w:w w:val="95"/>
          <w:kern w:val="0"/>
          <w:sz w:val="36"/>
          <w:szCs w:val="36"/>
          <w:lang w:val="en-US" w:eastAsia="zh-CN" w:bidi="zh-CN"/>
        </w:rPr>
        <w:t>采购合同</w:t>
      </w:r>
    </w:p>
    <w:p w14:paraId="4D7D71C8">
      <w:pPr>
        <w:keepNext/>
        <w:keepLines/>
        <w:widowControl w:val="0"/>
        <w:autoSpaceDE w:val="0"/>
        <w:autoSpaceDN w:val="0"/>
        <w:adjustRightInd w:val="0"/>
        <w:spacing w:before="120" w:after="120" w:line="240" w:lineRule="auto"/>
        <w:ind w:left="0" w:right="0"/>
        <w:jc w:val="center"/>
        <w:outlineLvl w:val="2"/>
        <w:rPr>
          <w:rFonts w:hint="eastAsia" w:ascii="仿宋" w:hAnsi="仿宋" w:eastAsia="仿宋" w:cs="仿宋"/>
          <w:b/>
          <w:color w:val="auto"/>
          <w:kern w:val="0"/>
          <w:sz w:val="24"/>
          <w:szCs w:val="20"/>
          <w:u w:val="single"/>
          <w:lang w:val="en-US" w:eastAsia="zh-CN" w:bidi="zh-CN"/>
        </w:rPr>
      </w:pPr>
      <w:r>
        <w:rPr>
          <w:rFonts w:hint="eastAsia" w:ascii="仿宋" w:hAnsi="仿宋" w:eastAsia="仿宋" w:cs="仿宋"/>
          <w:b/>
          <w:color w:val="auto"/>
          <w:kern w:val="0"/>
          <w:sz w:val="24"/>
          <w:szCs w:val="20"/>
          <w:lang w:val="en-US" w:eastAsia="zh-CN" w:bidi="zh-CN"/>
        </w:rPr>
        <w:t xml:space="preserve">                                 合同编号： </w:t>
      </w:r>
      <w:r>
        <w:rPr>
          <w:rFonts w:hint="eastAsia" w:ascii="仿宋" w:hAnsi="仿宋" w:eastAsia="仿宋" w:cs="仿宋"/>
          <w:b/>
          <w:color w:val="auto"/>
          <w:kern w:val="0"/>
          <w:sz w:val="24"/>
          <w:szCs w:val="20"/>
          <w:u w:val="single"/>
          <w:lang w:val="en-US" w:eastAsia="zh-CN" w:bidi="zh-CN"/>
        </w:rPr>
        <w:t xml:space="preserve">            </w:t>
      </w:r>
    </w:p>
    <w:p w14:paraId="2A62AC57">
      <w:pPr>
        <w:keepNext/>
        <w:keepLines/>
        <w:widowControl w:val="0"/>
        <w:autoSpaceDE w:val="0"/>
        <w:autoSpaceDN w:val="0"/>
        <w:adjustRightInd w:val="0"/>
        <w:spacing w:before="120" w:after="120" w:line="240" w:lineRule="auto"/>
        <w:ind w:left="0" w:right="0"/>
        <w:jc w:val="right"/>
        <w:outlineLvl w:val="2"/>
        <w:rPr>
          <w:rFonts w:hint="eastAsia" w:ascii="仿宋" w:hAnsi="仿宋" w:eastAsia="仿宋" w:cs="仿宋"/>
          <w:b/>
          <w:color w:val="auto"/>
          <w:kern w:val="0"/>
          <w:sz w:val="24"/>
          <w:szCs w:val="20"/>
          <w:lang w:val="en-US" w:eastAsia="zh-CN" w:bidi="zh-CN"/>
        </w:rPr>
      </w:pPr>
    </w:p>
    <w:p w14:paraId="4CDED8CF">
      <w:pPr>
        <w:widowControl w:val="0"/>
        <w:autoSpaceDE w:val="0"/>
        <w:autoSpaceDN w:val="0"/>
        <w:spacing w:before="265" w:after="0" w:line="360" w:lineRule="auto"/>
        <w:ind w:left="0" w:leftChars="0" w:right="0" w:firstLine="480" w:firstLineChars="200"/>
        <w:jc w:val="left"/>
        <w:rPr>
          <w:rFonts w:hint="eastAsia"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甲方:</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lang w:val="zh-CN" w:eastAsia="zh-CN" w:bidi="zh-CN"/>
        </w:rPr>
        <w:t>乙方：</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u w:val="single"/>
          <w:lang w:val="zh-CN" w:eastAsia="zh-CN" w:bidi="zh-CN"/>
        </w:rPr>
        <w:t xml:space="preserve"> </w:t>
      </w:r>
      <w:r>
        <w:rPr>
          <w:rFonts w:hint="eastAsia" w:ascii="仿宋" w:hAnsi="仿宋" w:eastAsia="仿宋" w:cs="仿宋"/>
          <w:color w:val="auto"/>
          <w:sz w:val="24"/>
          <w:szCs w:val="24"/>
          <w:lang w:val="zh-CN" w:eastAsia="zh-CN" w:bidi="zh-CN"/>
        </w:rPr>
        <w:t xml:space="preserve"> </w:t>
      </w:r>
    </w:p>
    <w:p w14:paraId="4AD6F9FC">
      <w:pPr>
        <w:widowControl w:val="0"/>
        <w:autoSpaceDE w:val="0"/>
        <w:autoSpaceDN w:val="0"/>
        <w:spacing w:before="7" w:after="0" w:line="360" w:lineRule="auto"/>
        <w:ind w:left="0" w:right="0"/>
        <w:jc w:val="left"/>
        <w:rPr>
          <w:rFonts w:hint="eastAsia" w:ascii="仿宋" w:hAnsi="仿宋" w:eastAsia="仿宋" w:cs="仿宋"/>
          <w:color w:val="auto"/>
          <w:sz w:val="19"/>
          <w:szCs w:val="24"/>
          <w:lang w:val="zh-CN" w:eastAsia="zh-CN" w:bidi="zh-CN"/>
        </w:rPr>
      </w:pPr>
    </w:p>
    <w:p w14:paraId="6EB3AF06">
      <w:pPr>
        <w:autoSpaceDE w:val="0"/>
        <w:autoSpaceDN w:val="0"/>
        <w:spacing w:before="0" w:after="0" w:line="240" w:lineRule="auto"/>
        <w:ind w:left="210" w:leftChars="100" w:right="0" w:firstLine="300" w:firstLineChars="100"/>
        <w:jc w:val="left"/>
        <w:rPr>
          <w:rFonts w:hint="eastAsia" w:ascii="仿宋" w:hAnsi="仿宋" w:eastAsia="仿宋" w:cs="仿宋"/>
          <w:color w:val="auto"/>
          <w:kern w:val="0"/>
          <w:sz w:val="30"/>
          <w:szCs w:val="30"/>
          <w:lang w:val="zh-CN" w:bidi="zh-CN"/>
        </w:rPr>
      </w:pPr>
      <w:r>
        <w:rPr>
          <w:rFonts w:hint="eastAsia" w:ascii="仿宋" w:hAnsi="仿宋" w:eastAsia="仿宋" w:cs="仿宋"/>
          <w:color w:val="auto"/>
          <w:kern w:val="0"/>
          <w:sz w:val="30"/>
          <w:szCs w:val="30"/>
          <w:lang w:val="zh-CN" w:bidi="zh-CN"/>
        </w:rPr>
        <w:t>根据《中华人民共和国民法典》及</w:t>
      </w:r>
      <w:r>
        <w:rPr>
          <w:rFonts w:hint="eastAsia" w:ascii="仿宋" w:hAnsi="仿宋" w:eastAsia="仿宋" w:cs="仿宋"/>
          <w:color w:val="auto"/>
          <w:kern w:val="0"/>
          <w:sz w:val="30"/>
          <w:szCs w:val="30"/>
          <w:u w:val="single"/>
          <w:lang w:val="zh-CN" w:bidi="zh-CN"/>
        </w:rPr>
        <w:t xml:space="preserve">                      </w:t>
      </w:r>
      <w:r>
        <w:rPr>
          <w:rFonts w:hint="eastAsia" w:ascii="仿宋" w:hAnsi="仿宋" w:eastAsia="仿宋" w:cs="仿宋"/>
          <w:color w:val="auto"/>
          <w:kern w:val="0"/>
          <w:sz w:val="30"/>
          <w:szCs w:val="30"/>
          <w:lang w:val="zh-CN" w:bidi="zh-CN"/>
        </w:rPr>
        <w:t>公司招标编号：</w:t>
      </w:r>
      <w:r>
        <w:rPr>
          <w:rFonts w:hint="eastAsia" w:ascii="仿宋" w:hAnsi="仿宋" w:eastAsia="仿宋" w:cs="仿宋"/>
          <w:color w:val="auto"/>
          <w:kern w:val="0"/>
          <w:sz w:val="30"/>
          <w:szCs w:val="30"/>
          <w:u w:val="single"/>
          <w:lang w:val="zh-CN" w:bidi="zh-CN"/>
        </w:rPr>
        <w:t xml:space="preserve">                    </w:t>
      </w:r>
      <w:r>
        <w:rPr>
          <w:rFonts w:hint="eastAsia" w:ascii="仿宋" w:hAnsi="仿宋" w:eastAsia="仿宋" w:cs="仿宋"/>
          <w:color w:val="auto"/>
          <w:kern w:val="0"/>
          <w:sz w:val="30"/>
          <w:szCs w:val="30"/>
          <w:lang w:val="zh-CN" w:bidi="zh-CN"/>
        </w:rPr>
        <w:t>对</w:t>
      </w:r>
      <w:r>
        <w:rPr>
          <w:rFonts w:hint="eastAsia" w:ascii="仿宋" w:hAnsi="仿宋" w:eastAsia="仿宋" w:cs="仿宋"/>
          <w:color w:val="auto"/>
          <w:kern w:val="0"/>
          <w:sz w:val="30"/>
          <w:szCs w:val="30"/>
          <w:u w:val="single"/>
          <w:lang w:val="zh-CN" w:bidi="zh-CN"/>
        </w:rPr>
        <w:t xml:space="preserve">                     </w:t>
      </w:r>
      <w:r>
        <w:rPr>
          <w:rFonts w:hint="eastAsia" w:ascii="仿宋" w:hAnsi="仿宋" w:eastAsia="仿宋" w:cs="仿宋"/>
          <w:color w:val="auto"/>
          <w:kern w:val="0"/>
          <w:sz w:val="30"/>
          <w:szCs w:val="30"/>
          <w:lang w:val="zh-CN" w:bidi="zh-CN"/>
        </w:rPr>
        <w:t>项目招标文件要求，甲、乙双方经协商确定，甲方向乙方订购下列货物及其服务，为明确双方责任和权</w:t>
      </w:r>
      <w:r>
        <w:rPr>
          <w:rFonts w:hint="eastAsia" w:ascii="仿宋" w:hAnsi="仿宋" w:eastAsia="仿宋" w:cs="仿宋"/>
          <w:color w:val="auto"/>
          <w:kern w:val="0"/>
          <w:sz w:val="30"/>
          <w:szCs w:val="30"/>
          <w:lang w:val="en-US" w:bidi="zh-CN"/>
        </w:rPr>
        <w:t>利</w:t>
      </w:r>
      <w:r>
        <w:rPr>
          <w:rFonts w:hint="eastAsia" w:ascii="仿宋" w:hAnsi="仿宋" w:eastAsia="仿宋" w:cs="仿宋"/>
          <w:color w:val="auto"/>
          <w:kern w:val="0"/>
          <w:sz w:val="30"/>
          <w:szCs w:val="30"/>
          <w:lang w:val="zh-CN" w:bidi="zh-CN"/>
        </w:rPr>
        <w:t>，特签订本合同，共同遵守。具体条款如下：</w:t>
      </w:r>
    </w:p>
    <w:tbl>
      <w:tblPr>
        <w:tblStyle w:val="30"/>
        <w:tblpPr w:leftFromText="180" w:rightFromText="180" w:vertAnchor="text" w:horzAnchor="page" w:tblpX="1838" w:tblpY="79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5"/>
        <w:gridCol w:w="993"/>
        <w:gridCol w:w="849"/>
        <w:gridCol w:w="1842"/>
        <w:gridCol w:w="2126"/>
      </w:tblGrid>
      <w:tr w14:paraId="6A38D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2405" w:type="dxa"/>
          </w:tcPr>
          <w:p w14:paraId="28482722">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b/>
                <w:bCs/>
                <w:color w:val="auto"/>
                <w:spacing w:val="-14"/>
                <w:sz w:val="24"/>
                <w:szCs w:val="24"/>
                <w:lang w:val="zh-CN" w:eastAsia="zh-CN" w:bidi="zh-CN"/>
              </w:rPr>
            </w:pPr>
            <w:r>
              <w:rPr>
                <w:rFonts w:hint="eastAsia" w:ascii="仿宋" w:hAnsi="仿宋" w:eastAsia="仿宋" w:cs="仿宋"/>
                <w:b/>
                <w:bCs/>
                <w:color w:val="auto"/>
                <w:spacing w:val="-14"/>
                <w:sz w:val="24"/>
                <w:szCs w:val="24"/>
                <w:lang w:val="zh-CN" w:eastAsia="zh-CN" w:bidi="zh-CN"/>
              </w:rPr>
              <w:t xml:space="preserve">货物名称 </w:t>
            </w:r>
          </w:p>
        </w:tc>
        <w:tc>
          <w:tcPr>
            <w:tcW w:w="993" w:type="dxa"/>
          </w:tcPr>
          <w:p w14:paraId="6D73B4A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b/>
                <w:bCs/>
                <w:color w:val="auto"/>
                <w:spacing w:val="-14"/>
                <w:sz w:val="24"/>
                <w:szCs w:val="24"/>
                <w:lang w:val="zh-CN" w:eastAsia="zh-CN" w:bidi="zh-CN"/>
              </w:rPr>
            </w:pPr>
            <w:r>
              <w:rPr>
                <w:rFonts w:hint="eastAsia" w:ascii="仿宋" w:hAnsi="仿宋" w:eastAsia="仿宋" w:cs="仿宋"/>
                <w:b/>
                <w:bCs/>
                <w:color w:val="auto"/>
                <w:spacing w:val="-14"/>
                <w:sz w:val="24"/>
                <w:szCs w:val="24"/>
                <w:lang w:val="zh-CN" w:eastAsia="zh-CN" w:bidi="zh-CN"/>
              </w:rPr>
              <w:t>计量单位</w:t>
            </w:r>
          </w:p>
        </w:tc>
        <w:tc>
          <w:tcPr>
            <w:tcW w:w="849" w:type="dxa"/>
          </w:tcPr>
          <w:p w14:paraId="45CB09E1">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b/>
                <w:bCs/>
                <w:color w:val="auto"/>
                <w:spacing w:val="-14"/>
                <w:sz w:val="24"/>
                <w:szCs w:val="24"/>
                <w:lang w:val="zh-CN" w:eastAsia="zh-CN" w:bidi="zh-CN"/>
              </w:rPr>
            </w:pPr>
            <w:r>
              <w:rPr>
                <w:rFonts w:hint="eastAsia" w:ascii="仿宋" w:hAnsi="仿宋" w:eastAsia="仿宋" w:cs="仿宋"/>
                <w:b/>
                <w:bCs/>
                <w:color w:val="auto"/>
                <w:spacing w:val="-14"/>
                <w:sz w:val="24"/>
                <w:szCs w:val="24"/>
                <w:lang w:val="zh-CN" w:eastAsia="zh-CN" w:bidi="zh-CN"/>
              </w:rPr>
              <w:t xml:space="preserve">数量 </w:t>
            </w:r>
          </w:p>
        </w:tc>
        <w:tc>
          <w:tcPr>
            <w:tcW w:w="1842" w:type="dxa"/>
          </w:tcPr>
          <w:p w14:paraId="5C96C8D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b/>
                <w:bCs/>
                <w:color w:val="auto"/>
                <w:spacing w:val="-14"/>
                <w:sz w:val="24"/>
                <w:szCs w:val="24"/>
                <w:lang w:val="zh-CN" w:eastAsia="zh-CN" w:bidi="zh-CN"/>
              </w:rPr>
            </w:pPr>
            <w:r>
              <w:rPr>
                <w:rFonts w:hint="eastAsia" w:ascii="仿宋" w:hAnsi="仿宋" w:eastAsia="仿宋" w:cs="仿宋"/>
                <w:b/>
                <w:bCs/>
                <w:color w:val="auto"/>
                <w:spacing w:val="-14"/>
                <w:sz w:val="24"/>
                <w:szCs w:val="24"/>
                <w:lang w:val="zh-CN" w:eastAsia="zh-CN" w:bidi="zh-CN"/>
              </w:rPr>
              <w:t xml:space="preserve">单价含税（元） </w:t>
            </w:r>
          </w:p>
        </w:tc>
        <w:tc>
          <w:tcPr>
            <w:tcW w:w="2126" w:type="dxa"/>
          </w:tcPr>
          <w:p w14:paraId="5DEAB8F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b/>
                <w:bCs/>
                <w:color w:val="auto"/>
                <w:spacing w:val="-14"/>
                <w:sz w:val="24"/>
                <w:szCs w:val="24"/>
                <w:lang w:val="zh-CN" w:eastAsia="zh-CN" w:bidi="zh-CN"/>
              </w:rPr>
            </w:pPr>
            <w:r>
              <w:rPr>
                <w:rFonts w:hint="eastAsia" w:ascii="仿宋" w:hAnsi="仿宋" w:eastAsia="仿宋" w:cs="仿宋"/>
                <w:b/>
                <w:bCs/>
                <w:color w:val="auto"/>
                <w:spacing w:val="-14"/>
                <w:sz w:val="24"/>
                <w:szCs w:val="24"/>
                <w:lang w:val="zh-CN" w:eastAsia="zh-CN" w:bidi="zh-CN"/>
              </w:rPr>
              <w:t xml:space="preserve">总金额含税（元） </w:t>
            </w:r>
          </w:p>
        </w:tc>
      </w:tr>
      <w:tr w14:paraId="0AC0F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2405" w:type="dxa"/>
          </w:tcPr>
          <w:p w14:paraId="1649A9E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pacing w:val="-14"/>
                <w:sz w:val="24"/>
                <w:szCs w:val="24"/>
                <w:lang w:val="zh-CN" w:eastAsia="zh-CN" w:bidi="zh-CN"/>
              </w:rPr>
            </w:pPr>
          </w:p>
          <w:p w14:paraId="4C794502">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p>
        </w:tc>
        <w:tc>
          <w:tcPr>
            <w:tcW w:w="993" w:type="dxa"/>
          </w:tcPr>
          <w:p w14:paraId="6AC2BE87">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pacing w:val="-14"/>
                <w:sz w:val="24"/>
                <w:szCs w:val="24"/>
                <w:lang w:val="zh-CN" w:eastAsia="zh-CN" w:bidi="zh-CN"/>
              </w:rPr>
            </w:pPr>
          </w:p>
          <w:p w14:paraId="7C6EB251">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p>
        </w:tc>
        <w:tc>
          <w:tcPr>
            <w:tcW w:w="849" w:type="dxa"/>
          </w:tcPr>
          <w:p w14:paraId="1A7A8B8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pacing w:val="-14"/>
                <w:sz w:val="24"/>
                <w:szCs w:val="24"/>
                <w:lang w:val="zh-CN" w:eastAsia="zh-CN" w:bidi="zh-CN"/>
              </w:rPr>
            </w:pPr>
          </w:p>
          <w:p w14:paraId="0E423B7E">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p>
        </w:tc>
        <w:tc>
          <w:tcPr>
            <w:tcW w:w="1842" w:type="dxa"/>
          </w:tcPr>
          <w:p w14:paraId="1C46C880">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pacing w:val="-14"/>
                <w:sz w:val="24"/>
                <w:szCs w:val="24"/>
                <w:lang w:val="zh-CN" w:eastAsia="zh-CN" w:bidi="zh-CN"/>
              </w:rPr>
            </w:pPr>
          </w:p>
          <w:p w14:paraId="397D2D1D">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r>
              <w:rPr>
                <w:rFonts w:hint="eastAsia" w:ascii="仿宋" w:hAnsi="仿宋" w:eastAsia="仿宋" w:cs="仿宋"/>
                <w:color w:val="auto"/>
                <w:spacing w:val="-14"/>
                <w:sz w:val="24"/>
                <w:szCs w:val="24"/>
                <w:lang w:val="zh-CN" w:eastAsia="zh-CN" w:bidi="zh-CN"/>
              </w:rPr>
              <w:t xml:space="preserve">¥ </w:t>
            </w:r>
          </w:p>
        </w:tc>
        <w:tc>
          <w:tcPr>
            <w:tcW w:w="2126" w:type="dxa"/>
          </w:tcPr>
          <w:p w14:paraId="4FFE6E56">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pacing w:val="-14"/>
                <w:sz w:val="24"/>
                <w:szCs w:val="24"/>
                <w:lang w:val="zh-CN" w:eastAsia="zh-CN" w:bidi="zh-CN"/>
              </w:rPr>
            </w:pPr>
          </w:p>
          <w:p w14:paraId="2483EDA7">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r>
              <w:rPr>
                <w:rFonts w:hint="eastAsia" w:ascii="仿宋" w:hAnsi="仿宋" w:eastAsia="仿宋" w:cs="仿宋"/>
                <w:color w:val="auto"/>
                <w:spacing w:val="-14"/>
                <w:sz w:val="24"/>
                <w:szCs w:val="24"/>
                <w:lang w:val="zh-CN" w:eastAsia="zh-CN" w:bidi="zh-CN"/>
              </w:rPr>
              <w:t>¥</w:t>
            </w:r>
          </w:p>
        </w:tc>
      </w:tr>
      <w:tr w14:paraId="44F32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6089" w:type="dxa"/>
            <w:gridSpan w:val="4"/>
          </w:tcPr>
          <w:p w14:paraId="095DA740">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p>
          <w:p w14:paraId="24FFB096">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r>
              <w:rPr>
                <w:rFonts w:hint="eastAsia" w:ascii="仿宋" w:hAnsi="仿宋" w:eastAsia="仿宋" w:cs="仿宋"/>
                <w:color w:val="auto"/>
                <w:spacing w:val="-14"/>
                <w:sz w:val="24"/>
                <w:szCs w:val="24"/>
                <w:lang w:val="zh-CN" w:eastAsia="zh-CN" w:bidi="zh-CN"/>
              </w:rPr>
              <w:t>合计（</w:t>
            </w:r>
            <w:r>
              <w:rPr>
                <w:rFonts w:hint="eastAsia" w:ascii="仿宋" w:hAnsi="仿宋" w:eastAsia="仿宋" w:cs="仿宋"/>
                <w:color w:val="auto"/>
                <w:spacing w:val="-14"/>
                <w:sz w:val="24"/>
                <w:szCs w:val="24"/>
                <w:lang w:val="en-US" w:eastAsia="zh-CN" w:bidi="zh-CN"/>
              </w:rPr>
              <w:t>含税</w:t>
            </w:r>
            <w:r>
              <w:rPr>
                <w:rFonts w:hint="eastAsia" w:ascii="仿宋" w:hAnsi="仿宋" w:eastAsia="仿宋" w:cs="仿宋"/>
                <w:color w:val="auto"/>
                <w:spacing w:val="-14"/>
                <w:sz w:val="24"/>
                <w:szCs w:val="24"/>
                <w:lang w:val="zh-CN" w:eastAsia="zh-CN" w:bidi="zh-CN"/>
              </w:rPr>
              <w:t>）</w:t>
            </w:r>
          </w:p>
        </w:tc>
        <w:tc>
          <w:tcPr>
            <w:tcW w:w="2126" w:type="dxa"/>
          </w:tcPr>
          <w:p w14:paraId="2622B3E7">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p>
          <w:p w14:paraId="616BCE2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center"/>
              <w:textAlignment w:val="auto"/>
              <w:rPr>
                <w:rFonts w:hint="eastAsia" w:ascii="仿宋" w:hAnsi="仿宋" w:eastAsia="仿宋" w:cs="仿宋"/>
                <w:color w:val="auto"/>
                <w:spacing w:val="-14"/>
                <w:sz w:val="24"/>
                <w:szCs w:val="24"/>
                <w:lang w:val="zh-CN" w:eastAsia="zh-CN" w:bidi="zh-CN"/>
              </w:rPr>
            </w:pPr>
            <w:r>
              <w:rPr>
                <w:rFonts w:hint="eastAsia" w:ascii="仿宋" w:hAnsi="仿宋" w:eastAsia="仿宋" w:cs="仿宋"/>
                <w:color w:val="auto"/>
                <w:spacing w:val="-14"/>
                <w:sz w:val="24"/>
                <w:szCs w:val="24"/>
                <w:lang w:val="zh-CN" w:eastAsia="zh-CN" w:bidi="zh-CN"/>
              </w:rPr>
              <w:t>¥</w:t>
            </w:r>
          </w:p>
        </w:tc>
      </w:tr>
      <w:tr w14:paraId="553C0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8215" w:type="dxa"/>
            <w:gridSpan w:val="5"/>
          </w:tcPr>
          <w:p w14:paraId="75FC14B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6" w:firstLineChars="200"/>
              <w:jc w:val="left"/>
              <w:textAlignment w:val="auto"/>
              <w:rPr>
                <w:rFonts w:hint="eastAsia" w:ascii="仿宋" w:hAnsi="仿宋" w:eastAsia="仿宋" w:cs="仿宋"/>
                <w:color w:val="auto"/>
                <w:spacing w:val="-14"/>
                <w:kern w:val="0"/>
                <w:sz w:val="24"/>
                <w:szCs w:val="24"/>
                <w:lang w:val="en-US" w:eastAsia="zh-CN" w:bidi="zh-CN"/>
              </w:rPr>
            </w:pPr>
            <w:r>
              <w:rPr>
                <w:rFonts w:hint="eastAsia" w:ascii="仿宋" w:hAnsi="仿宋" w:eastAsia="仿宋" w:cs="仿宋"/>
                <w:b/>
                <w:bCs/>
                <w:color w:val="auto"/>
                <w:spacing w:val="-14"/>
                <w:kern w:val="0"/>
                <w:sz w:val="24"/>
                <w:szCs w:val="24"/>
                <w:lang w:val="en-US" w:eastAsia="zh-CN" w:bidi="zh-CN"/>
              </w:rPr>
              <w:t>注：此价格包含为履行本合同所涵盖的一切费用（包括但不限于</w:t>
            </w:r>
            <w:r>
              <w:rPr>
                <w:rFonts w:hint="eastAsia" w:ascii="仿宋" w:hAnsi="仿宋" w:eastAsia="仿宋" w:cs="仿宋"/>
                <w:b/>
                <w:bCs/>
                <w:color w:val="auto"/>
                <w:spacing w:val="-14"/>
                <w:kern w:val="0"/>
                <w:sz w:val="24"/>
                <w:szCs w:val="24"/>
                <w:lang w:val="zh-CN" w:eastAsia="zh-CN" w:bidi="zh-CN"/>
              </w:rPr>
              <w:t>乙方保证</w:t>
            </w:r>
            <w:r>
              <w:rPr>
                <w:rFonts w:hint="eastAsia" w:ascii="仿宋" w:hAnsi="仿宋" w:eastAsia="仿宋" w:cs="仿宋"/>
                <w:b/>
                <w:bCs/>
                <w:color w:val="auto"/>
                <w:spacing w:val="-14"/>
                <w:kern w:val="0"/>
                <w:sz w:val="24"/>
                <w:szCs w:val="24"/>
                <w:lang w:val="en-US" w:eastAsia="zh-CN" w:bidi="zh-CN"/>
              </w:rPr>
              <w:t>货物</w:t>
            </w:r>
            <w:r>
              <w:rPr>
                <w:rFonts w:hint="eastAsia" w:ascii="仿宋" w:hAnsi="仿宋" w:eastAsia="仿宋" w:cs="仿宋"/>
                <w:b/>
                <w:bCs/>
                <w:color w:val="auto"/>
                <w:spacing w:val="-14"/>
                <w:kern w:val="0"/>
                <w:sz w:val="24"/>
                <w:szCs w:val="24"/>
                <w:lang w:val="zh-CN" w:eastAsia="zh-CN" w:bidi="zh-CN"/>
              </w:rPr>
              <w:t>正确安装、合理操作和维护保养</w:t>
            </w:r>
            <w:r>
              <w:rPr>
                <w:rFonts w:hint="eastAsia" w:ascii="仿宋" w:hAnsi="仿宋" w:eastAsia="仿宋" w:cs="仿宋"/>
                <w:b/>
                <w:bCs/>
                <w:color w:val="auto"/>
                <w:spacing w:val="-14"/>
                <w:kern w:val="0"/>
                <w:sz w:val="24"/>
                <w:szCs w:val="24"/>
                <w:lang w:val="en-US" w:eastAsia="zh-CN" w:bidi="zh-CN"/>
              </w:rPr>
              <w:t>的费用</w:t>
            </w:r>
            <w:r>
              <w:rPr>
                <w:rFonts w:hint="eastAsia" w:ascii="仿宋" w:hAnsi="仿宋" w:eastAsia="仿宋" w:cs="仿宋"/>
                <w:b/>
                <w:bCs/>
                <w:color w:val="auto"/>
                <w:spacing w:val="-14"/>
                <w:kern w:val="0"/>
                <w:sz w:val="24"/>
                <w:szCs w:val="24"/>
                <w:lang w:val="zh-CN" w:eastAsia="zh-CN" w:bidi="zh-CN"/>
              </w:rPr>
              <w:t>）</w:t>
            </w:r>
            <w:r>
              <w:rPr>
                <w:rFonts w:hint="eastAsia" w:ascii="仿宋" w:hAnsi="仿宋" w:eastAsia="仿宋" w:cs="仿宋"/>
                <w:b/>
                <w:bCs/>
                <w:color w:val="auto"/>
                <w:spacing w:val="-14"/>
                <w:kern w:val="0"/>
                <w:sz w:val="24"/>
                <w:szCs w:val="24"/>
                <w:lang w:val="en-US" w:eastAsia="zh-CN" w:bidi="zh-CN"/>
              </w:rPr>
              <w:t>，除此费用外甲方无需再行向乙方支付任何价款。</w:t>
            </w:r>
          </w:p>
        </w:tc>
      </w:tr>
    </w:tbl>
    <w:p w14:paraId="7E84B4F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b/>
          <w:bCs/>
          <w:color w:val="auto"/>
          <w:sz w:val="24"/>
          <w:szCs w:val="24"/>
          <w:lang w:val="zh-CN" w:eastAsia="zh-CN" w:bidi="zh-CN"/>
        </w:rPr>
      </w:pPr>
      <w:r>
        <w:rPr>
          <w:rFonts w:hint="eastAsia" w:ascii="仿宋" w:hAnsi="仿宋" w:eastAsia="仿宋" w:cs="仿宋"/>
          <w:b/>
          <w:bCs/>
          <w:color w:val="auto"/>
          <w:sz w:val="24"/>
          <w:szCs w:val="24"/>
          <w:lang w:val="zh-CN" w:eastAsia="zh-CN" w:bidi="zh-CN"/>
        </w:rPr>
        <w:t xml:space="preserve">第一条 货物规格型号、单位、数量、单价、总价款： </w:t>
      </w:r>
    </w:p>
    <w:p w14:paraId="2EB092B4">
      <w:pPr>
        <w:rPr>
          <w:rFonts w:hint="eastAsia" w:ascii="仿宋" w:hAnsi="仿宋" w:eastAsia="仿宋" w:cs="仿宋"/>
          <w:b/>
          <w:bCs/>
          <w:color w:val="auto"/>
          <w:spacing w:val="-7"/>
          <w:sz w:val="24"/>
          <w:szCs w:val="24"/>
          <w:lang w:val="zh-CN" w:eastAsia="zh-CN" w:bidi="zh-CN"/>
        </w:rPr>
      </w:pPr>
      <w:r>
        <w:rPr>
          <w:rFonts w:hint="eastAsia" w:ascii="仿宋" w:hAnsi="仿宋" w:eastAsia="仿宋" w:cs="仿宋"/>
          <w:b/>
          <w:bCs/>
          <w:color w:val="auto"/>
          <w:spacing w:val="-7"/>
          <w:sz w:val="24"/>
          <w:szCs w:val="24"/>
          <w:lang w:val="en-US" w:eastAsia="zh-CN" w:bidi="zh-CN"/>
        </w:rPr>
        <w:br w:type="page"/>
      </w:r>
    </w:p>
    <w:p w14:paraId="331DC1E5">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b/>
          <w:bCs/>
          <w:color w:val="auto"/>
          <w:spacing w:val="-7"/>
          <w:sz w:val="24"/>
          <w:szCs w:val="24"/>
          <w:lang w:val="zh-CN" w:eastAsia="zh-CN" w:bidi="zh-CN"/>
        </w:rPr>
      </w:pPr>
      <w:r>
        <w:rPr>
          <w:rFonts w:hint="eastAsia" w:ascii="仿宋" w:hAnsi="仿宋" w:eastAsia="仿宋" w:cs="仿宋"/>
          <w:b/>
          <w:bCs/>
          <w:color w:val="auto"/>
          <w:spacing w:val="-7"/>
          <w:sz w:val="24"/>
          <w:szCs w:val="24"/>
          <w:lang w:val="en-US" w:eastAsia="zh-CN" w:bidi="zh-CN"/>
        </w:rPr>
        <w:t>付款时间及方式</w:t>
      </w:r>
    </w:p>
    <w:p w14:paraId="52A9A435">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both"/>
        <w:textAlignment w:val="auto"/>
        <w:rPr>
          <w:rFonts w:hint="eastAsia" w:ascii="仿宋" w:hAnsi="仿宋" w:eastAsia="仿宋" w:cs="仿宋"/>
          <w:color w:val="auto"/>
          <w:spacing w:val="-8"/>
          <w:sz w:val="24"/>
          <w:szCs w:val="24"/>
          <w:lang w:val="zh-CN" w:eastAsia="zh-CN" w:bidi="zh-CN"/>
        </w:rPr>
      </w:pPr>
      <w:r>
        <w:rPr>
          <w:rFonts w:hint="eastAsia" w:ascii="仿宋" w:hAnsi="仿宋" w:eastAsia="仿宋" w:cs="仿宋"/>
          <w:color w:val="auto"/>
          <w:spacing w:val="-8"/>
          <w:sz w:val="24"/>
          <w:szCs w:val="24"/>
          <w:lang w:val="en-US" w:eastAsia="zh-CN" w:bidi="zh-CN"/>
        </w:rPr>
        <w:t>1.甲方每次付款前，乙方均应向甲方开具等额有效的增值税发票，</w:t>
      </w:r>
      <w:r>
        <w:rPr>
          <w:rFonts w:hint="eastAsia" w:ascii="仿宋" w:hAnsi="仿宋" w:eastAsia="仿宋" w:cs="仿宋"/>
          <w:b/>
          <w:bCs/>
          <w:color w:val="auto"/>
          <w:spacing w:val="-8"/>
          <w:sz w:val="24"/>
          <w:szCs w:val="24"/>
          <w:u w:val="single"/>
          <w:lang w:val="en-US" w:eastAsia="zh-CN" w:bidi="zh-CN"/>
        </w:rPr>
        <w:t>甲方未收到发票的，有权不予支付相应款项直至乙方提供合格发票，且不承担迟延付款责任。发票认证通过是付款的必要前提之一。</w:t>
      </w:r>
    </w:p>
    <w:p w14:paraId="26A745E2">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both"/>
        <w:textAlignment w:val="auto"/>
        <w:rPr>
          <w:rFonts w:hint="eastAsia" w:ascii="仿宋" w:hAnsi="仿宋" w:eastAsia="仿宋" w:cs="仿宋"/>
          <w:color w:val="auto"/>
          <w:spacing w:val="-6"/>
          <w:sz w:val="24"/>
          <w:szCs w:val="24"/>
          <w:lang w:val="zh-CN" w:eastAsia="zh-CN" w:bidi="zh-CN"/>
        </w:rPr>
      </w:pPr>
      <w:r>
        <w:rPr>
          <w:rFonts w:hint="eastAsia" w:ascii="仿宋" w:hAnsi="仿宋" w:eastAsia="仿宋" w:cs="仿宋"/>
          <w:color w:val="auto"/>
          <w:spacing w:val="-6"/>
          <w:sz w:val="24"/>
          <w:szCs w:val="24"/>
          <w:lang w:val="en-US" w:eastAsia="zh-CN" w:bidi="zh-CN"/>
        </w:rPr>
        <w:t>2.</w:t>
      </w:r>
      <w:r>
        <w:rPr>
          <w:rFonts w:hint="eastAsia" w:ascii="仿宋" w:hAnsi="仿宋" w:eastAsia="仿宋" w:cs="仿宋"/>
          <w:color w:val="auto"/>
          <w:spacing w:val="-6"/>
          <w:sz w:val="24"/>
          <w:szCs w:val="24"/>
          <w:lang w:val="zh-CN" w:eastAsia="zh-CN" w:bidi="zh-CN"/>
        </w:rPr>
        <w:t>本合同签订</w:t>
      </w:r>
      <w:r>
        <w:rPr>
          <w:rFonts w:hint="eastAsia" w:ascii="仿宋" w:hAnsi="仿宋" w:eastAsia="仿宋" w:cs="仿宋"/>
          <w:color w:val="auto"/>
          <w:spacing w:val="-6"/>
          <w:sz w:val="24"/>
          <w:szCs w:val="24"/>
          <w:lang w:val="en-US" w:eastAsia="zh-CN" w:bidi="zh-CN"/>
        </w:rPr>
        <w:t>后，所有货物经到货初步验收完毕后且乙方提供发票</w:t>
      </w:r>
      <w:r>
        <w:rPr>
          <w:rFonts w:hint="eastAsia" w:ascii="仿宋" w:hAnsi="仿宋" w:eastAsia="仿宋" w:cs="仿宋"/>
          <w:color w:val="auto"/>
          <w:spacing w:val="-6"/>
          <w:sz w:val="24"/>
          <w:szCs w:val="24"/>
          <w:lang w:val="zh-CN" w:eastAsia="zh-CN" w:bidi="zh-CN"/>
        </w:rPr>
        <w:t>后，甲方支付支付</w:t>
      </w:r>
      <w:r>
        <w:rPr>
          <w:rFonts w:hint="eastAsia" w:ascii="仿宋" w:hAnsi="仿宋" w:eastAsia="仿宋" w:cs="仿宋"/>
          <w:color w:val="auto"/>
          <w:spacing w:val="-6"/>
          <w:sz w:val="24"/>
          <w:szCs w:val="24"/>
          <w:u w:val="single"/>
          <w:lang w:val="en-US" w:eastAsia="zh-CN" w:bidi="zh-CN"/>
        </w:rPr>
        <w:t xml:space="preserve">   </w:t>
      </w:r>
      <w:r>
        <w:rPr>
          <w:rFonts w:hint="eastAsia" w:ascii="仿宋" w:hAnsi="仿宋" w:eastAsia="仿宋" w:cs="仿宋"/>
          <w:color w:val="auto"/>
          <w:spacing w:val="-6"/>
          <w:sz w:val="24"/>
          <w:szCs w:val="24"/>
          <w:lang w:val="zh-CN" w:eastAsia="zh-CN" w:bidi="zh-CN"/>
        </w:rPr>
        <w:t>%货款，</w:t>
      </w:r>
      <w:r>
        <w:rPr>
          <w:rFonts w:hint="eastAsia" w:ascii="仿宋" w:hAnsi="仿宋" w:eastAsia="仿宋" w:cs="仿宋"/>
          <w:color w:val="auto"/>
          <w:spacing w:val="-6"/>
          <w:sz w:val="24"/>
          <w:szCs w:val="24"/>
          <w:lang w:val="en-US" w:eastAsia="zh-CN" w:bidi="zh-CN"/>
        </w:rPr>
        <w:t>全部货物</w:t>
      </w:r>
      <w:r>
        <w:rPr>
          <w:rFonts w:hint="eastAsia" w:ascii="仿宋" w:hAnsi="仿宋" w:eastAsia="仿宋" w:cs="仿宋"/>
          <w:color w:val="auto"/>
          <w:spacing w:val="-6"/>
          <w:sz w:val="24"/>
          <w:szCs w:val="24"/>
          <w:lang w:val="zh-CN" w:eastAsia="zh-CN" w:bidi="zh-CN"/>
        </w:rPr>
        <w:t>安装合格交付使用</w:t>
      </w:r>
      <w:r>
        <w:rPr>
          <w:rFonts w:hint="eastAsia" w:ascii="仿宋" w:hAnsi="仿宋" w:eastAsia="仿宋" w:cs="仿宋"/>
          <w:color w:val="auto"/>
          <w:spacing w:val="-6"/>
          <w:sz w:val="24"/>
          <w:szCs w:val="24"/>
          <w:lang w:val="en-US" w:eastAsia="zh-CN" w:bidi="zh-CN"/>
        </w:rPr>
        <w:t>通过甲方最终验收且乙方提供发票</w:t>
      </w:r>
      <w:r>
        <w:rPr>
          <w:rFonts w:hint="eastAsia" w:ascii="仿宋" w:hAnsi="仿宋" w:eastAsia="仿宋" w:cs="仿宋"/>
          <w:color w:val="auto"/>
          <w:spacing w:val="-6"/>
          <w:sz w:val="24"/>
          <w:szCs w:val="24"/>
          <w:lang w:val="zh-CN" w:eastAsia="zh-CN" w:bidi="zh-CN"/>
        </w:rPr>
        <w:t>后，甲方支付剩余</w:t>
      </w:r>
      <w:r>
        <w:rPr>
          <w:rFonts w:hint="eastAsia" w:ascii="仿宋" w:hAnsi="仿宋" w:eastAsia="仿宋" w:cs="仿宋"/>
          <w:color w:val="auto"/>
          <w:spacing w:val="-6"/>
          <w:sz w:val="24"/>
          <w:szCs w:val="24"/>
          <w:u w:val="single"/>
          <w:lang w:val="en-US" w:eastAsia="zh-CN" w:bidi="zh-CN"/>
        </w:rPr>
        <w:t xml:space="preserve">   </w:t>
      </w:r>
      <w:r>
        <w:rPr>
          <w:rFonts w:hint="eastAsia" w:ascii="仿宋" w:hAnsi="仿宋" w:eastAsia="仿宋" w:cs="仿宋"/>
          <w:color w:val="auto"/>
          <w:spacing w:val="-6"/>
          <w:sz w:val="24"/>
          <w:szCs w:val="24"/>
          <w:lang w:val="zh-CN" w:eastAsia="zh-CN" w:bidi="zh-CN"/>
        </w:rPr>
        <w:t>%货款。</w:t>
      </w:r>
    </w:p>
    <w:p w14:paraId="7ECF926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both"/>
        <w:textAlignment w:val="auto"/>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3.乙方应对其所提供的账户信息的准确性、安全性、可靠性负责，因账户信息错误造成的损失，由乙方自行承担。</w:t>
      </w:r>
    </w:p>
    <w:p w14:paraId="19648909">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账户名：</w:t>
      </w:r>
    </w:p>
    <w:p w14:paraId="39EC3FD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开户行：</w:t>
      </w:r>
    </w:p>
    <w:p w14:paraId="157044B5">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56" w:firstLineChars="200"/>
        <w:jc w:val="both"/>
        <w:textAlignment w:val="auto"/>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sz w:val="24"/>
          <w:szCs w:val="24"/>
          <w:lang w:val="en-US" w:eastAsia="zh-CN" w:bidi="zh-CN"/>
        </w:rPr>
        <w:t>银行账号：</w:t>
      </w:r>
    </w:p>
    <w:p w14:paraId="1BE6FEE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both"/>
        <w:textAlignment w:val="auto"/>
        <w:rPr>
          <w:rFonts w:hint="eastAsia" w:ascii="仿宋" w:hAnsi="仿宋" w:eastAsia="仿宋" w:cs="仿宋"/>
          <w:color w:val="auto"/>
          <w:spacing w:val="-6"/>
          <w:sz w:val="24"/>
          <w:szCs w:val="24"/>
          <w:lang w:val="en-US" w:eastAsia="zh-CN" w:bidi="zh-CN"/>
        </w:rPr>
      </w:pPr>
      <w:r>
        <w:rPr>
          <w:rFonts w:hint="eastAsia" w:ascii="仿宋" w:hAnsi="仿宋" w:eastAsia="仿宋" w:cs="仿宋"/>
          <w:color w:val="auto"/>
          <w:spacing w:val="-6"/>
          <w:kern w:val="2"/>
          <w:sz w:val="24"/>
          <w:szCs w:val="24"/>
          <w:lang w:val="en-US" w:eastAsia="zh-CN" w:bidi="zh-CN"/>
        </w:rPr>
        <w:t>4.</w:t>
      </w:r>
      <w:r>
        <w:rPr>
          <w:rFonts w:hint="eastAsia" w:ascii="仿宋" w:hAnsi="仿宋" w:eastAsia="仿宋" w:cs="仿宋"/>
          <w:color w:val="auto"/>
          <w:spacing w:val="-6"/>
          <w:sz w:val="24"/>
          <w:szCs w:val="24"/>
          <w:lang w:val="en-US" w:eastAsia="zh-CN" w:bidi="zh-CN"/>
        </w:rPr>
        <w:t>如乙方有任何违约行为或造成任何损失，甲方有权从合同价款中直接扣除违约金或损失。</w:t>
      </w:r>
    </w:p>
    <w:p w14:paraId="00133C9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1442" w:right="0" w:rightChars="0"/>
        <w:jc w:val="left"/>
        <w:textAlignment w:val="auto"/>
        <w:rPr>
          <w:rFonts w:hint="eastAsia" w:ascii="仿宋" w:hAnsi="仿宋" w:eastAsia="仿宋" w:cs="仿宋"/>
          <w:b/>
          <w:bCs/>
          <w:color w:val="auto"/>
          <w:spacing w:val="-7"/>
          <w:sz w:val="24"/>
          <w:szCs w:val="24"/>
          <w:lang w:val="zh-CN" w:eastAsia="zh-CN" w:bidi="zh-CN"/>
        </w:rPr>
      </w:pPr>
    </w:p>
    <w:p w14:paraId="09761437">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b/>
          <w:bCs/>
          <w:color w:val="auto"/>
          <w:spacing w:val="-7"/>
          <w:sz w:val="24"/>
          <w:szCs w:val="24"/>
          <w:lang w:val="zh-CN" w:eastAsia="zh-CN" w:bidi="zh-CN"/>
        </w:rPr>
      </w:pPr>
      <w:r>
        <w:rPr>
          <w:rFonts w:hint="eastAsia" w:ascii="仿宋" w:hAnsi="仿宋" w:eastAsia="仿宋" w:cs="仿宋"/>
          <w:b/>
          <w:bCs/>
          <w:color w:val="auto"/>
          <w:spacing w:val="-7"/>
          <w:sz w:val="24"/>
          <w:szCs w:val="24"/>
          <w:lang w:val="zh-CN" w:eastAsia="zh-CN" w:bidi="zh-CN"/>
        </w:rPr>
        <w:t>质量标准：</w:t>
      </w:r>
    </w:p>
    <w:p w14:paraId="0C0D3B5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1442" w:right="0" w:rightChars="0" w:firstLine="452" w:firstLineChars="200"/>
        <w:jc w:val="left"/>
        <w:textAlignment w:val="auto"/>
        <w:rPr>
          <w:rFonts w:hint="eastAsia" w:ascii="仿宋" w:hAnsi="仿宋" w:eastAsia="仿宋" w:cs="仿宋"/>
          <w:color w:val="auto"/>
          <w:spacing w:val="-7"/>
          <w:sz w:val="24"/>
          <w:szCs w:val="24"/>
          <w:lang w:val="en-US" w:eastAsia="zh-CN" w:bidi="zh-CN"/>
        </w:rPr>
      </w:pPr>
      <w:r>
        <w:rPr>
          <w:rFonts w:hint="eastAsia" w:ascii="仿宋" w:hAnsi="仿宋" w:eastAsia="仿宋" w:cs="仿宋"/>
          <w:color w:val="auto"/>
          <w:spacing w:val="-7"/>
          <w:sz w:val="24"/>
          <w:szCs w:val="24"/>
          <w:lang w:val="en-US" w:eastAsia="zh-CN" w:bidi="zh-CN"/>
        </w:rPr>
        <w:t>1.乙方所提供</w:t>
      </w:r>
      <w:r>
        <w:rPr>
          <w:rFonts w:hint="eastAsia" w:ascii="仿宋" w:hAnsi="仿宋" w:eastAsia="仿宋" w:cs="仿宋"/>
          <w:color w:val="auto"/>
          <w:spacing w:val="-7"/>
          <w:sz w:val="24"/>
          <w:szCs w:val="24"/>
          <w:lang w:val="zh-CN" w:eastAsia="zh-CN" w:bidi="zh-CN"/>
        </w:rPr>
        <w:t>货物（</w:t>
      </w:r>
      <w:r>
        <w:rPr>
          <w:rFonts w:hint="eastAsia" w:ascii="仿宋" w:hAnsi="仿宋" w:eastAsia="仿宋" w:cs="仿宋"/>
          <w:color w:val="auto"/>
          <w:spacing w:val="-7"/>
          <w:sz w:val="24"/>
          <w:szCs w:val="24"/>
          <w:lang w:val="en-US" w:eastAsia="zh-CN" w:bidi="zh-CN"/>
        </w:rPr>
        <w:t>以下所称的“货物”均含随机备品及零、配件</w:t>
      </w:r>
      <w:r>
        <w:rPr>
          <w:rFonts w:hint="eastAsia" w:ascii="仿宋" w:hAnsi="仿宋" w:eastAsia="仿宋" w:cs="仿宋"/>
          <w:color w:val="auto"/>
          <w:spacing w:val="-7"/>
          <w:sz w:val="24"/>
          <w:szCs w:val="24"/>
          <w:lang w:val="zh-CN" w:eastAsia="zh-CN" w:bidi="zh-CN"/>
        </w:rPr>
        <w:t>）</w:t>
      </w:r>
      <w:r>
        <w:rPr>
          <w:rFonts w:hint="eastAsia" w:ascii="仿宋" w:hAnsi="仿宋" w:eastAsia="仿宋" w:cs="仿宋"/>
          <w:color w:val="auto"/>
          <w:spacing w:val="-7"/>
          <w:sz w:val="24"/>
          <w:szCs w:val="24"/>
          <w:lang w:val="en-US" w:eastAsia="zh-CN" w:bidi="zh-CN"/>
        </w:rPr>
        <w:t>必须为全新的、未经修复的，具出厂合格证，序列号、包装箱号与出厂批号致，并可追索查阅。确保其为表面无划伤、无碰撞痕迹，须符合国家有关规范和环保要求及质量要求和技术要求。</w:t>
      </w:r>
    </w:p>
    <w:p w14:paraId="61331F2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1442" w:right="0" w:rightChars="0" w:firstLine="452" w:firstLineChars="200"/>
        <w:jc w:val="left"/>
        <w:textAlignment w:val="auto"/>
        <w:rPr>
          <w:rFonts w:hint="eastAsia" w:ascii="仿宋" w:hAnsi="仿宋" w:eastAsia="仿宋" w:cs="仿宋"/>
          <w:color w:val="auto"/>
          <w:spacing w:val="-7"/>
          <w:sz w:val="24"/>
          <w:szCs w:val="24"/>
          <w:u w:val="single"/>
          <w:lang w:val="zh-CN" w:eastAsia="zh-CN" w:bidi="zh-CN"/>
        </w:rPr>
      </w:pPr>
      <w:r>
        <w:rPr>
          <w:rFonts w:hint="eastAsia" w:ascii="仿宋" w:hAnsi="仿宋" w:eastAsia="仿宋" w:cs="仿宋"/>
          <w:color w:val="auto"/>
          <w:spacing w:val="-7"/>
          <w:sz w:val="24"/>
          <w:szCs w:val="24"/>
          <w:lang w:val="en-US" w:eastAsia="zh-CN" w:bidi="zh-CN"/>
        </w:rPr>
        <w:t>2.</w:t>
      </w:r>
      <w:r>
        <w:rPr>
          <w:rFonts w:hint="eastAsia" w:ascii="仿宋" w:hAnsi="仿宋" w:eastAsia="仿宋" w:cs="仿宋"/>
          <w:color w:val="auto"/>
          <w:spacing w:val="-7"/>
          <w:sz w:val="24"/>
          <w:szCs w:val="24"/>
          <w:u w:val="single"/>
          <w:lang w:val="en-US" w:eastAsia="zh-CN" w:bidi="zh-CN"/>
        </w:rPr>
        <w:t>乙方应将货物的用户手册、保修手册、有关单证资料及配备件、随机备品等交付给甲方，如相关资料未与货物一并提供，则视为乙方未完全履行基于本合同项下义务，甲方有权延期付款直至乙方提供，甲方不因此承担任何责任。</w:t>
      </w:r>
    </w:p>
    <w:p w14:paraId="6893BF6A">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420" w:leftChars="200" w:right="0" w:rightChars="0"/>
        <w:jc w:val="both"/>
        <w:textAlignment w:val="auto"/>
        <w:rPr>
          <w:rFonts w:hint="eastAsia" w:ascii="仿宋" w:hAnsi="仿宋" w:eastAsia="仿宋" w:cs="仿宋"/>
          <w:color w:val="auto"/>
          <w:spacing w:val="-6"/>
          <w:sz w:val="24"/>
          <w:szCs w:val="24"/>
          <w:lang w:val="zh-CN" w:eastAsia="zh-CN" w:bidi="zh-CN"/>
        </w:rPr>
      </w:pPr>
    </w:p>
    <w:p w14:paraId="239EC3FA">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仿宋" w:hAnsi="仿宋" w:eastAsia="仿宋" w:cs="仿宋"/>
          <w:b/>
          <w:bCs/>
          <w:color w:val="auto"/>
          <w:spacing w:val="-7"/>
          <w:kern w:val="0"/>
          <w:sz w:val="24"/>
          <w:szCs w:val="24"/>
          <w:lang w:val="zh-CN" w:eastAsia="zh-CN" w:bidi="zh-CN"/>
        </w:rPr>
      </w:pPr>
      <w:r>
        <w:rPr>
          <w:rFonts w:hint="eastAsia" w:ascii="仿宋" w:hAnsi="仿宋" w:eastAsia="仿宋" w:cs="仿宋"/>
          <w:b/>
          <w:bCs/>
          <w:color w:val="auto"/>
          <w:spacing w:val="-7"/>
          <w:kern w:val="0"/>
          <w:sz w:val="24"/>
          <w:szCs w:val="24"/>
          <w:lang w:val="zh-CN" w:eastAsia="zh-CN" w:bidi="zh-CN"/>
        </w:rPr>
        <w:t>包装标准、包装物的供应与回收：</w:t>
      </w:r>
    </w:p>
    <w:p w14:paraId="0C90DD65">
      <w:pPr>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456" w:firstLineChars="200"/>
        <w:jc w:val="left"/>
        <w:textAlignment w:val="auto"/>
        <w:rPr>
          <w:rFonts w:hint="eastAsia" w:ascii="仿宋" w:hAnsi="仿宋" w:eastAsia="仿宋" w:cs="仿宋"/>
          <w:color w:val="auto"/>
          <w:spacing w:val="-6"/>
          <w:kern w:val="0"/>
          <w:sz w:val="24"/>
          <w:szCs w:val="24"/>
          <w:lang w:val="en-US" w:eastAsia="zh-CN" w:bidi="zh-CN"/>
        </w:rPr>
      </w:pPr>
      <w:r>
        <w:rPr>
          <w:rFonts w:hint="eastAsia" w:ascii="仿宋" w:hAnsi="仿宋" w:eastAsia="仿宋" w:cs="仿宋"/>
          <w:color w:val="auto"/>
          <w:spacing w:val="-6"/>
          <w:kern w:val="0"/>
          <w:sz w:val="24"/>
          <w:szCs w:val="24"/>
          <w:lang w:val="en-US" w:eastAsia="zh-CN" w:bidi="zh-CN"/>
        </w:rPr>
        <w:t>货物的包装</w:t>
      </w:r>
      <w:r>
        <w:rPr>
          <w:rFonts w:hint="eastAsia" w:ascii="仿宋" w:hAnsi="仿宋" w:eastAsia="仿宋" w:cs="仿宋"/>
          <w:color w:val="auto"/>
          <w:spacing w:val="-6"/>
          <w:kern w:val="0"/>
          <w:sz w:val="24"/>
          <w:szCs w:val="24"/>
          <w:lang w:val="zh-CN" w:eastAsia="zh-CN" w:bidi="zh-CN"/>
        </w:rPr>
        <w:t>按原厂包装</w:t>
      </w:r>
      <w:r>
        <w:rPr>
          <w:rFonts w:hint="eastAsia" w:ascii="仿宋" w:hAnsi="仿宋" w:eastAsia="仿宋" w:cs="仿宋"/>
          <w:color w:val="auto"/>
          <w:spacing w:val="-6"/>
          <w:kern w:val="0"/>
          <w:sz w:val="24"/>
          <w:szCs w:val="24"/>
          <w:lang w:val="en-US" w:eastAsia="zh-CN" w:bidi="zh-CN"/>
        </w:rPr>
        <w:t>的同时均应有良好的防湿、防锈、防潮、防雨、防腐及防碰撞的措施。凡由于包装不良造成损失和由此产生的费用均由乙方承担（包括但不限于运输费、卸车费、安装费等费用）。</w:t>
      </w:r>
    </w:p>
    <w:p w14:paraId="56A83060">
      <w:pPr>
        <w:keepNext w:val="0"/>
        <w:keepLines w:val="0"/>
        <w:pageBreakBefore w:val="0"/>
        <w:widowControl w:val="0"/>
        <w:numPr>
          <w:ilvl w:val="0"/>
          <w:numId w:val="8"/>
        </w:numPr>
        <w:kinsoku/>
        <w:wordWrap/>
        <w:overflowPunct/>
        <w:topLinePunct w:val="0"/>
        <w:autoSpaceDE w:val="0"/>
        <w:autoSpaceDN w:val="0"/>
        <w:bidi w:val="0"/>
        <w:adjustRightInd/>
        <w:snapToGrid/>
        <w:spacing w:before="0" w:after="0" w:line="360" w:lineRule="auto"/>
        <w:ind w:left="0" w:leftChars="0" w:right="0" w:rightChars="0" w:firstLine="456" w:firstLineChars="200"/>
        <w:jc w:val="left"/>
        <w:textAlignment w:val="auto"/>
        <w:rPr>
          <w:rFonts w:hint="eastAsia" w:ascii="仿宋" w:hAnsi="仿宋" w:eastAsia="仿宋" w:cs="仿宋"/>
          <w:color w:val="auto"/>
          <w:kern w:val="0"/>
          <w:sz w:val="22"/>
          <w:szCs w:val="22"/>
          <w:lang w:val="zh-CN" w:bidi="zh-CN"/>
        </w:rPr>
      </w:pPr>
      <w:r>
        <w:rPr>
          <w:rFonts w:hint="eastAsia" w:ascii="仿宋" w:hAnsi="仿宋" w:eastAsia="仿宋" w:cs="仿宋"/>
          <w:color w:val="auto"/>
          <w:spacing w:val="-6"/>
          <w:kern w:val="0"/>
          <w:sz w:val="24"/>
          <w:szCs w:val="24"/>
          <w:lang w:val="zh-CN" w:eastAsia="zh-CN" w:bidi="zh-CN"/>
        </w:rPr>
        <w:t>随机备品、</w:t>
      </w:r>
      <w:r>
        <w:rPr>
          <w:rFonts w:hint="eastAsia" w:ascii="仿宋" w:hAnsi="仿宋" w:eastAsia="仿宋" w:cs="仿宋"/>
          <w:color w:val="auto"/>
          <w:spacing w:val="-6"/>
          <w:kern w:val="0"/>
          <w:sz w:val="24"/>
          <w:szCs w:val="24"/>
          <w:lang w:val="en-US" w:eastAsia="zh-CN" w:bidi="zh-CN"/>
        </w:rPr>
        <w:t>配件等</w:t>
      </w:r>
      <w:r>
        <w:rPr>
          <w:rFonts w:hint="eastAsia" w:ascii="仿宋" w:hAnsi="仿宋" w:eastAsia="仿宋" w:cs="仿宋"/>
          <w:color w:val="auto"/>
          <w:spacing w:val="-6"/>
          <w:kern w:val="0"/>
          <w:sz w:val="24"/>
          <w:szCs w:val="24"/>
          <w:lang w:val="zh-CN" w:eastAsia="zh-CN" w:bidi="zh-CN"/>
        </w:rPr>
        <w:t>按所附标准配置，</w:t>
      </w:r>
      <w:r>
        <w:rPr>
          <w:rFonts w:hint="eastAsia" w:ascii="仿宋" w:hAnsi="仿宋" w:eastAsia="仿宋" w:cs="仿宋"/>
          <w:color w:val="auto"/>
          <w:spacing w:val="-6"/>
          <w:kern w:val="0"/>
          <w:sz w:val="24"/>
          <w:szCs w:val="24"/>
          <w:lang w:val="en-US" w:eastAsia="zh-CN" w:bidi="zh-CN"/>
        </w:rPr>
        <w:t>随货物一同移交甲方。如随机备品未与货物一并提供，则视为乙方未完全履行基于本合同项下义务，甲方有权延期付款直至乙方提供，甲方不因此承担任何责任。</w:t>
      </w:r>
    </w:p>
    <w:p w14:paraId="7C1B788A">
      <w:pPr>
        <w:keepNext/>
        <w:keepLines/>
        <w:widowControl w:val="0"/>
        <w:autoSpaceDE w:val="0"/>
        <w:autoSpaceDN w:val="0"/>
        <w:adjustRightInd w:val="0"/>
        <w:spacing w:before="120" w:after="120" w:line="240" w:lineRule="auto"/>
        <w:ind w:left="0" w:right="0"/>
        <w:jc w:val="left"/>
        <w:outlineLvl w:val="2"/>
        <w:rPr>
          <w:rFonts w:hint="eastAsia" w:ascii="仿宋" w:hAnsi="仿宋" w:eastAsia="仿宋" w:cs="仿宋"/>
          <w:b/>
          <w:color w:val="auto"/>
          <w:kern w:val="0"/>
          <w:sz w:val="24"/>
          <w:szCs w:val="20"/>
          <w:lang w:val="zh-CN" w:eastAsia="zh-CN" w:bidi="zh-CN"/>
        </w:rPr>
      </w:pPr>
    </w:p>
    <w:p w14:paraId="3F069C43">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kern w:val="0"/>
          <w:sz w:val="24"/>
          <w:szCs w:val="24"/>
          <w:lang w:val="zh-CN" w:eastAsia="zh-CN" w:bidi="zh-CN"/>
        </w:rPr>
      </w:pPr>
      <w:r>
        <w:rPr>
          <w:rFonts w:hint="eastAsia" w:ascii="仿宋" w:hAnsi="仿宋" w:eastAsia="仿宋" w:cs="仿宋"/>
          <w:b/>
          <w:bCs/>
          <w:color w:val="auto"/>
          <w:kern w:val="0"/>
          <w:sz w:val="24"/>
          <w:szCs w:val="24"/>
          <w:lang w:val="zh-CN" w:eastAsia="zh-CN" w:bidi="zh-CN"/>
        </w:rPr>
        <w:t>交（提）货时间、地点：</w:t>
      </w:r>
    </w:p>
    <w:p w14:paraId="46A9A282">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zh-CN" w:eastAsia="zh-CN" w:bidi="zh-CN"/>
        </w:rPr>
      </w:pPr>
      <w:r>
        <w:rPr>
          <w:rFonts w:hint="eastAsia" w:ascii="仿宋" w:hAnsi="仿宋" w:eastAsia="仿宋" w:cs="仿宋"/>
          <w:color w:val="auto"/>
          <w:kern w:val="0"/>
          <w:sz w:val="24"/>
          <w:szCs w:val="24"/>
          <w:lang w:val="en-US" w:eastAsia="zh-CN" w:bidi="zh-CN"/>
        </w:rPr>
        <w:t>1.</w:t>
      </w:r>
      <w:r>
        <w:rPr>
          <w:rFonts w:hint="eastAsia" w:ascii="仿宋" w:hAnsi="仿宋" w:eastAsia="仿宋" w:cs="仿宋"/>
          <w:color w:val="auto"/>
          <w:kern w:val="0"/>
          <w:sz w:val="24"/>
          <w:szCs w:val="24"/>
          <w:lang w:val="zh-CN" w:eastAsia="zh-CN" w:bidi="zh-CN"/>
        </w:rPr>
        <w:t>交货时间：合同签订后</w:t>
      </w:r>
      <w:r>
        <w:rPr>
          <w:rFonts w:hint="eastAsia" w:ascii="仿宋" w:hAnsi="仿宋" w:eastAsia="仿宋" w:cs="仿宋"/>
          <w:color w:val="auto"/>
          <w:kern w:val="0"/>
          <w:sz w:val="24"/>
          <w:szCs w:val="24"/>
          <w:u w:val="single"/>
          <w:lang w:val="en-US" w:eastAsia="zh-CN" w:bidi="zh-CN"/>
        </w:rPr>
        <w:t xml:space="preserve">   </w:t>
      </w:r>
      <w:r>
        <w:rPr>
          <w:rFonts w:hint="eastAsia" w:ascii="仿宋" w:hAnsi="仿宋" w:eastAsia="仿宋" w:cs="仿宋"/>
          <w:color w:val="auto"/>
          <w:kern w:val="0"/>
          <w:sz w:val="24"/>
          <w:szCs w:val="24"/>
          <w:lang w:val="zh-CN" w:eastAsia="zh-CN" w:bidi="zh-CN"/>
        </w:rPr>
        <w:t>工作日内，</w:t>
      </w:r>
      <w:r>
        <w:rPr>
          <w:rFonts w:hint="eastAsia" w:ascii="仿宋" w:hAnsi="仿宋" w:eastAsia="仿宋" w:cs="仿宋"/>
          <w:color w:val="auto"/>
          <w:kern w:val="0"/>
          <w:sz w:val="24"/>
          <w:szCs w:val="24"/>
          <w:lang w:val="en-US" w:eastAsia="zh-CN" w:bidi="zh-CN"/>
        </w:rPr>
        <w:t>乙方</w:t>
      </w:r>
      <w:r>
        <w:rPr>
          <w:rFonts w:hint="eastAsia" w:ascii="仿宋" w:hAnsi="仿宋" w:eastAsia="仿宋" w:cs="仿宋"/>
          <w:color w:val="auto"/>
          <w:kern w:val="0"/>
          <w:sz w:val="24"/>
          <w:szCs w:val="24"/>
          <w:lang w:val="zh-CN" w:eastAsia="zh-CN" w:bidi="zh-CN"/>
        </w:rPr>
        <w:t>将</w:t>
      </w:r>
      <w:r>
        <w:rPr>
          <w:rFonts w:hint="eastAsia" w:ascii="仿宋" w:hAnsi="仿宋" w:eastAsia="仿宋" w:cs="仿宋"/>
          <w:color w:val="auto"/>
          <w:kern w:val="0"/>
          <w:sz w:val="24"/>
          <w:szCs w:val="24"/>
          <w:u w:val="single"/>
          <w:lang w:val="en-US" w:eastAsia="zh-CN" w:bidi="zh-CN"/>
        </w:rPr>
        <w:t xml:space="preserve">货物 </w:t>
      </w:r>
      <w:r>
        <w:rPr>
          <w:rFonts w:hint="eastAsia" w:ascii="仿宋" w:hAnsi="仿宋" w:eastAsia="仿宋" w:cs="仿宋"/>
          <w:color w:val="auto"/>
          <w:kern w:val="0"/>
          <w:sz w:val="24"/>
          <w:szCs w:val="24"/>
          <w:lang w:val="zh-CN" w:eastAsia="zh-CN" w:bidi="zh-CN"/>
        </w:rPr>
        <w:t>送到交货地点。</w:t>
      </w:r>
    </w:p>
    <w:p w14:paraId="6A168126">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zh-CN" w:eastAsia="zh-CN" w:bidi="zh-CN"/>
        </w:rPr>
      </w:pPr>
      <w:r>
        <w:rPr>
          <w:rFonts w:hint="eastAsia" w:ascii="仿宋" w:hAnsi="仿宋" w:eastAsia="仿宋" w:cs="仿宋"/>
          <w:color w:val="auto"/>
          <w:kern w:val="0"/>
          <w:sz w:val="24"/>
          <w:szCs w:val="24"/>
          <w:lang w:val="en-US" w:eastAsia="zh-CN" w:bidi="zh-CN"/>
        </w:rPr>
        <w:t>2.</w:t>
      </w:r>
      <w:r>
        <w:rPr>
          <w:rFonts w:hint="eastAsia" w:ascii="仿宋" w:hAnsi="仿宋" w:eastAsia="仿宋" w:cs="仿宋"/>
          <w:color w:val="auto"/>
          <w:kern w:val="0"/>
          <w:sz w:val="24"/>
          <w:szCs w:val="24"/>
          <w:lang w:val="zh-CN" w:eastAsia="zh-CN" w:bidi="zh-CN"/>
        </w:rPr>
        <w:t>甲方指定</w:t>
      </w:r>
      <w:r>
        <w:rPr>
          <w:rFonts w:hint="eastAsia" w:ascii="仿宋" w:hAnsi="仿宋" w:eastAsia="仿宋" w:cs="仿宋"/>
          <w:color w:val="auto"/>
          <w:kern w:val="0"/>
          <w:sz w:val="24"/>
          <w:szCs w:val="24"/>
          <w:lang w:val="en-US" w:eastAsia="zh-CN" w:bidi="zh-CN"/>
        </w:rPr>
        <w:t>交货及安装</w:t>
      </w:r>
      <w:r>
        <w:rPr>
          <w:rFonts w:hint="eastAsia" w:ascii="仿宋" w:hAnsi="仿宋" w:eastAsia="仿宋" w:cs="仿宋"/>
          <w:color w:val="auto"/>
          <w:kern w:val="0"/>
          <w:sz w:val="24"/>
          <w:szCs w:val="24"/>
          <w:lang w:val="zh-CN" w:eastAsia="zh-CN" w:bidi="zh-CN"/>
        </w:rPr>
        <w:t>地点：</w:t>
      </w:r>
      <w:r>
        <w:rPr>
          <w:rFonts w:hint="eastAsia" w:ascii="仿宋" w:hAnsi="仿宋" w:eastAsia="仿宋" w:cs="仿宋"/>
          <w:color w:val="auto"/>
          <w:kern w:val="0"/>
          <w:sz w:val="24"/>
          <w:szCs w:val="24"/>
          <w:u w:val="single"/>
          <w:lang w:val="en-US" w:eastAsia="zh-CN" w:bidi="zh-CN"/>
        </w:rPr>
        <w:t xml:space="preserve">              </w:t>
      </w:r>
      <w:r>
        <w:rPr>
          <w:rFonts w:hint="eastAsia" w:ascii="仿宋" w:hAnsi="仿宋" w:eastAsia="仿宋" w:cs="仿宋"/>
          <w:color w:val="auto"/>
          <w:kern w:val="0"/>
          <w:sz w:val="24"/>
          <w:szCs w:val="24"/>
          <w:lang w:val="zh-CN" w:eastAsia="zh-CN" w:bidi="zh-CN"/>
        </w:rPr>
        <w:t>。</w:t>
      </w:r>
    </w:p>
    <w:p w14:paraId="63E37EF6">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zh-CN" w:eastAsia="zh-CN" w:bidi="zh-CN"/>
        </w:rPr>
      </w:pPr>
      <w:r>
        <w:rPr>
          <w:rFonts w:hint="eastAsia" w:ascii="仿宋" w:hAnsi="仿宋" w:eastAsia="仿宋" w:cs="仿宋"/>
          <w:color w:val="auto"/>
          <w:kern w:val="0"/>
          <w:sz w:val="24"/>
          <w:szCs w:val="24"/>
          <w:lang w:val="en-US" w:eastAsia="zh-CN" w:bidi="zh-CN"/>
        </w:rPr>
        <w:t>甲方对交货地点有变更的，可以在送货前</w:t>
      </w:r>
      <w:r>
        <w:rPr>
          <w:rFonts w:hint="eastAsia" w:ascii="仿宋" w:hAnsi="仿宋" w:eastAsia="仿宋" w:cs="仿宋"/>
          <w:color w:val="auto"/>
          <w:kern w:val="0"/>
          <w:sz w:val="24"/>
          <w:szCs w:val="24"/>
          <w:u w:val="single"/>
          <w:lang w:val="en-US" w:eastAsia="zh-CN" w:bidi="zh-CN"/>
        </w:rPr>
        <w:t xml:space="preserve"> 15 </w:t>
      </w:r>
      <w:r>
        <w:rPr>
          <w:rFonts w:hint="eastAsia" w:ascii="仿宋" w:hAnsi="仿宋" w:eastAsia="仿宋" w:cs="仿宋"/>
          <w:color w:val="auto"/>
          <w:kern w:val="0"/>
          <w:sz w:val="24"/>
          <w:szCs w:val="24"/>
          <w:lang w:val="en-US" w:eastAsia="zh-CN" w:bidi="zh-CN"/>
        </w:rPr>
        <w:t>日内通知乙方，乙方应当按照甲方最后一次通知的地点完成交货。非甲方原因导致乙方错送地点，由乙方承担逾期交货的责任及一切损失。</w:t>
      </w:r>
    </w:p>
    <w:p w14:paraId="52F3EC6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3.风险转移：货物的毁损、灭失的风险在实际交付甲方，经甲方初步验收合格之前由</w:t>
      </w:r>
      <w:r>
        <w:rPr>
          <w:rFonts w:hint="eastAsia" w:ascii="仿宋" w:hAnsi="仿宋" w:eastAsia="仿宋" w:cs="仿宋"/>
          <w:color w:val="auto"/>
          <w:kern w:val="0"/>
          <w:sz w:val="24"/>
          <w:szCs w:val="24"/>
          <w:u w:val="single"/>
          <w:lang w:val="en-US" w:eastAsia="zh-CN" w:bidi="zh-CN"/>
        </w:rPr>
        <w:t>乙方</w:t>
      </w:r>
      <w:r>
        <w:rPr>
          <w:rFonts w:hint="eastAsia" w:ascii="仿宋" w:hAnsi="仿宋" w:eastAsia="仿宋" w:cs="仿宋"/>
          <w:color w:val="auto"/>
          <w:kern w:val="0"/>
          <w:sz w:val="24"/>
          <w:szCs w:val="24"/>
          <w:lang w:val="en-US" w:eastAsia="zh-CN" w:bidi="zh-CN"/>
        </w:rPr>
        <w:t>承担。</w:t>
      </w:r>
    </w:p>
    <w:p w14:paraId="386EDC8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4"/>
          <w:szCs w:val="24"/>
          <w:lang w:val="en-US" w:eastAsia="zh-CN" w:bidi="zh-CN"/>
        </w:rPr>
        <w:t>4.甲方指定收货人：（姓名：</w:t>
      </w:r>
      <w:r>
        <w:rPr>
          <w:rFonts w:hint="eastAsia" w:ascii="仿宋" w:hAnsi="仿宋" w:eastAsia="仿宋" w:cs="仿宋"/>
          <w:color w:val="auto"/>
          <w:kern w:val="0"/>
          <w:sz w:val="24"/>
          <w:szCs w:val="24"/>
          <w:u w:val="single"/>
          <w:lang w:val="en-US" w:eastAsia="zh-CN" w:bidi="zh-CN"/>
        </w:rPr>
        <w:t xml:space="preserve">         </w:t>
      </w:r>
      <w:r>
        <w:rPr>
          <w:rFonts w:hint="eastAsia" w:ascii="仿宋" w:hAnsi="仿宋" w:eastAsia="仿宋" w:cs="仿宋"/>
          <w:color w:val="auto"/>
          <w:kern w:val="0"/>
          <w:sz w:val="24"/>
          <w:szCs w:val="24"/>
          <w:lang w:val="en-US" w:eastAsia="zh-CN" w:bidi="zh-CN"/>
        </w:rPr>
        <w:t>；联系方式：</w:t>
      </w:r>
      <w:r>
        <w:rPr>
          <w:rFonts w:hint="eastAsia" w:ascii="仿宋" w:hAnsi="仿宋" w:eastAsia="仿宋" w:cs="仿宋"/>
          <w:color w:val="auto"/>
          <w:kern w:val="0"/>
          <w:sz w:val="24"/>
          <w:szCs w:val="24"/>
          <w:u w:val="single"/>
          <w:lang w:val="en-US" w:eastAsia="zh-CN" w:bidi="zh-CN"/>
        </w:rPr>
        <w:t xml:space="preserve">            </w:t>
      </w:r>
      <w:r>
        <w:rPr>
          <w:rFonts w:hint="eastAsia" w:ascii="仿宋" w:hAnsi="仿宋" w:eastAsia="仿宋" w:cs="仿宋"/>
          <w:color w:val="auto"/>
          <w:kern w:val="0"/>
          <w:sz w:val="24"/>
          <w:szCs w:val="24"/>
          <w:lang w:val="en-US" w:eastAsia="zh-CN" w:bidi="zh-CN"/>
        </w:rPr>
        <w:t>）。乙方应当在送货前以及货物到达指定地点前</w:t>
      </w:r>
      <w:r>
        <w:rPr>
          <w:rFonts w:hint="eastAsia" w:ascii="仿宋" w:hAnsi="仿宋" w:eastAsia="仿宋" w:cs="仿宋"/>
          <w:color w:val="auto"/>
          <w:spacing w:val="-6"/>
          <w:kern w:val="0"/>
          <w:sz w:val="22"/>
          <w:szCs w:val="22"/>
          <w:u w:val="single"/>
          <w:lang w:val="en-US" w:eastAsia="zh-CN" w:bidi="zh-CN"/>
        </w:rPr>
        <w:t xml:space="preserve">   </w:t>
      </w:r>
      <w:r>
        <w:rPr>
          <w:rFonts w:hint="eastAsia" w:ascii="仿宋" w:hAnsi="仿宋" w:eastAsia="仿宋" w:cs="仿宋"/>
          <w:color w:val="auto"/>
          <w:kern w:val="0"/>
          <w:sz w:val="24"/>
          <w:szCs w:val="24"/>
          <w:lang w:val="en-US" w:eastAsia="zh-CN" w:bidi="zh-CN"/>
        </w:rPr>
        <w:t>小时内以电话或短信形式通知甲方收货人。甲方收货人出具的入库单/接收单为甲方确认收货的初步依据，实际还需以甲方的最终验收结果为准。因乙方未通知收货人或未及时通知收货人，导致乙方逾期交货或其他不利后果的，由乙方承担一切责任。如货物需要乙方进行安装，则乙方应当自货物到达甲方指定地点后24小时内开始安装工作，逾期安装的应当承担相应的违约责任。</w:t>
      </w:r>
    </w:p>
    <w:p w14:paraId="7395F2A8">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7"/>
          <w:kern w:val="0"/>
          <w:sz w:val="24"/>
          <w:szCs w:val="24"/>
          <w:lang w:val="zh-CN" w:eastAsia="zh-CN" w:bidi="zh-CN"/>
        </w:rPr>
      </w:pPr>
      <w:r>
        <w:rPr>
          <w:rFonts w:hint="eastAsia" w:ascii="仿宋" w:hAnsi="仿宋" w:eastAsia="仿宋" w:cs="仿宋"/>
          <w:b/>
          <w:bCs/>
          <w:color w:val="auto"/>
          <w:kern w:val="0"/>
          <w:sz w:val="24"/>
          <w:szCs w:val="24"/>
          <w:lang w:val="en-US" w:eastAsia="zh-CN" w:bidi="zh-CN"/>
        </w:rPr>
        <w:t>安装及验收</w:t>
      </w:r>
    </w:p>
    <w:p w14:paraId="679269C6">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1.合同标的物的安装</w:t>
      </w:r>
    </w:p>
    <w:p w14:paraId="41D33501">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（1）乙方应在合同签署后</w:t>
      </w:r>
      <w:r>
        <w:rPr>
          <w:rFonts w:hint="eastAsia" w:ascii="仿宋" w:hAnsi="仿宋" w:eastAsia="仿宋" w:cs="仿宋"/>
          <w:color w:val="auto"/>
          <w:spacing w:val="-6"/>
          <w:kern w:val="0"/>
          <w:sz w:val="22"/>
          <w:szCs w:val="22"/>
          <w:u w:val="single"/>
          <w:lang w:val="en-US" w:eastAsia="zh-CN" w:bidi="zh-CN"/>
        </w:rPr>
        <w:t xml:space="preserve">   </w:t>
      </w:r>
      <w:r>
        <w:rPr>
          <w:rFonts w:hint="eastAsia" w:ascii="仿宋" w:hAnsi="仿宋" w:eastAsia="仿宋" w:cs="仿宋"/>
          <w:color w:val="auto"/>
          <w:kern w:val="0"/>
          <w:sz w:val="24"/>
          <w:szCs w:val="24"/>
          <w:lang w:val="en-US" w:eastAsia="zh-CN" w:bidi="zh-CN"/>
        </w:rPr>
        <w:t>日内完成货物的安装工作，确保货物达到预定可使用状态。货物安装测试完毕，由乙方工程师</w:t>
      </w:r>
      <w:r>
        <w:rPr>
          <w:rFonts w:hint="eastAsia" w:ascii="仿宋" w:hAnsi="仿宋" w:eastAsia="仿宋" w:cs="仿宋"/>
          <w:color w:val="auto"/>
          <w:kern w:val="0"/>
          <w:sz w:val="24"/>
          <w:szCs w:val="24"/>
          <w:u w:val="single"/>
          <w:lang w:val="en-US" w:eastAsia="zh-CN" w:bidi="zh-CN"/>
        </w:rPr>
        <w:t>免费对甲方人员</w:t>
      </w:r>
      <w:r>
        <w:rPr>
          <w:rFonts w:hint="eastAsia" w:ascii="仿宋" w:hAnsi="仿宋" w:eastAsia="仿宋" w:cs="仿宋"/>
          <w:color w:val="auto"/>
          <w:kern w:val="0"/>
          <w:sz w:val="24"/>
          <w:szCs w:val="24"/>
          <w:lang w:val="en-US" w:eastAsia="zh-CN" w:bidi="zh-CN"/>
        </w:rPr>
        <w:t>做操作使用及维护的培训服务。</w:t>
      </w:r>
    </w:p>
    <w:p w14:paraId="3DF12158">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（2）乙方负责合同项下货物的安装，一切费用由乙方负责。</w:t>
      </w:r>
    </w:p>
    <w:p w14:paraId="74FB155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（3）乙方安装时须对各安装场地内的其他货物、设施有良好保护措施。</w:t>
      </w:r>
    </w:p>
    <w:p w14:paraId="5FA4B261">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2.</w:t>
      </w:r>
      <w:r>
        <w:rPr>
          <w:rFonts w:hint="eastAsia" w:ascii="仿宋" w:hAnsi="仿宋" w:eastAsia="仿宋" w:cs="仿宋"/>
          <w:color w:val="auto"/>
          <w:kern w:val="0"/>
          <w:sz w:val="24"/>
          <w:szCs w:val="24"/>
          <w:lang w:val="zh-CN" w:eastAsia="zh-CN" w:bidi="zh-CN"/>
        </w:rPr>
        <w:t>检验标准、方法：</w:t>
      </w:r>
    </w:p>
    <w:p w14:paraId="214002E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color w:val="auto"/>
          <w:sz w:val="24"/>
          <w:szCs w:val="24"/>
          <w:u w:val="single"/>
          <w:lang w:val="en-US" w:eastAsia="zh-CN" w:bidi="zh-CN"/>
        </w:rPr>
      </w:pPr>
      <w:r>
        <w:rPr>
          <w:rFonts w:hint="eastAsia" w:ascii="仿宋" w:hAnsi="仿宋" w:eastAsia="仿宋" w:cs="仿宋"/>
          <w:color w:val="auto"/>
          <w:sz w:val="24"/>
          <w:szCs w:val="24"/>
          <w:lang w:val="zh-CN" w:eastAsia="zh-CN" w:bidi="zh-CN"/>
        </w:rPr>
        <w:t>乙方交货时，应同时提供加盖公章的《随货同行单》等单据材料，确保核查、签验工作的顺利进行。货到甲方指定点后，甲方应在货到当天对产品外包装、产品数量、外观等进行</w:t>
      </w:r>
      <w:r>
        <w:rPr>
          <w:rFonts w:hint="eastAsia" w:ascii="仿宋" w:hAnsi="仿宋" w:eastAsia="仿宋" w:cs="仿宋"/>
          <w:color w:val="auto"/>
          <w:sz w:val="24"/>
          <w:szCs w:val="24"/>
          <w:lang w:val="en-US" w:eastAsia="zh-CN" w:bidi="zh-CN"/>
        </w:rPr>
        <w:t>初步</w:t>
      </w:r>
      <w:r>
        <w:rPr>
          <w:rFonts w:hint="eastAsia" w:ascii="仿宋" w:hAnsi="仿宋" w:eastAsia="仿宋" w:cs="仿宋"/>
          <w:color w:val="auto"/>
          <w:sz w:val="24"/>
          <w:szCs w:val="24"/>
          <w:lang w:val="zh-CN" w:eastAsia="zh-CN" w:bidi="zh-CN"/>
        </w:rPr>
        <w:t>验收。甲方</w:t>
      </w:r>
      <w:r>
        <w:rPr>
          <w:rFonts w:hint="eastAsia" w:ascii="仿宋" w:hAnsi="仿宋" w:eastAsia="仿宋" w:cs="仿宋"/>
          <w:color w:val="auto"/>
          <w:sz w:val="24"/>
          <w:szCs w:val="24"/>
          <w:lang w:val="en-US" w:eastAsia="zh-CN" w:bidi="zh-CN"/>
        </w:rPr>
        <w:t>于交货后</w:t>
      </w:r>
      <w:r>
        <w:rPr>
          <w:rFonts w:hint="eastAsia" w:ascii="仿宋" w:hAnsi="仿宋" w:eastAsia="仿宋" w:cs="仿宋"/>
          <w:color w:val="auto"/>
          <w:spacing w:val="-6"/>
          <w:sz w:val="24"/>
          <w:szCs w:val="24"/>
          <w:u w:val="single"/>
          <w:lang w:val="en-US" w:eastAsia="zh-CN" w:bidi="zh-CN"/>
        </w:rPr>
        <w:t xml:space="preserve">   </w:t>
      </w:r>
      <w:r>
        <w:rPr>
          <w:rFonts w:hint="eastAsia" w:ascii="仿宋" w:hAnsi="仿宋" w:eastAsia="仿宋" w:cs="仿宋"/>
          <w:color w:val="auto"/>
          <w:sz w:val="24"/>
          <w:szCs w:val="24"/>
          <w:lang w:val="en-US" w:eastAsia="zh-CN" w:bidi="zh-CN"/>
        </w:rPr>
        <w:t>工作日内</w:t>
      </w:r>
      <w:r>
        <w:rPr>
          <w:rFonts w:hint="eastAsia" w:ascii="仿宋" w:hAnsi="仿宋" w:eastAsia="仿宋" w:cs="仿宋"/>
          <w:color w:val="auto"/>
          <w:sz w:val="24"/>
          <w:szCs w:val="24"/>
          <w:lang w:val="zh-CN" w:eastAsia="zh-CN" w:bidi="zh-CN"/>
        </w:rPr>
        <w:t>未验收自动视为验收合格。</w:t>
      </w:r>
      <w:r>
        <w:rPr>
          <w:rFonts w:hint="eastAsia" w:ascii="仿宋" w:hAnsi="仿宋" w:eastAsia="仿宋" w:cs="仿宋"/>
          <w:color w:val="auto"/>
          <w:sz w:val="24"/>
          <w:szCs w:val="24"/>
          <w:u w:val="single"/>
          <w:lang w:val="en-US" w:eastAsia="zh-CN" w:bidi="zh-CN"/>
        </w:rPr>
        <w:t>同时，乙方明确初步验收结果并不代表着最终验收合格，只有甲方最终验收通过方视为甲方对货物质量的认可。</w:t>
      </w:r>
    </w:p>
    <w:p w14:paraId="302DF60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b/>
          <w:bCs/>
          <w:color w:val="auto"/>
          <w:kern w:val="0"/>
          <w:sz w:val="24"/>
          <w:szCs w:val="24"/>
          <w:lang w:val="en-US" w:eastAsia="zh-CN" w:bidi="zh-CN"/>
        </w:rPr>
        <w:t>（1）初步验收：</w:t>
      </w:r>
      <w:r>
        <w:rPr>
          <w:rFonts w:hint="eastAsia" w:ascii="仿宋" w:hAnsi="仿宋" w:eastAsia="仿宋" w:cs="仿宋"/>
          <w:color w:val="auto"/>
          <w:kern w:val="0"/>
          <w:sz w:val="24"/>
          <w:szCs w:val="24"/>
          <w:lang w:val="en-US" w:eastAsia="zh-CN" w:bidi="zh-CN"/>
        </w:rPr>
        <w:t>甲方对交付及安装货物的货物标识、品牌型号、随附资料、货物数量及包装等进行确认，并在合同货物、系统安装完成后达到预定可使用状态时进行初步验收并书面签收。初步验收不合格的，甲方可当场拒绝收货，并不因此延长收货期限。甲方拒绝接收货物的，由此造成的一切不利后果均由乙方承担。</w:t>
      </w:r>
    </w:p>
    <w:p w14:paraId="4550139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b/>
          <w:bCs/>
          <w:color w:val="auto"/>
          <w:kern w:val="0"/>
          <w:sz w:val="24"/>
          <w:szCs w:val="24"/>
          <w:lang w:val="en-US" w:eastAsia="zh-CN" w:bidi="zh-CN"/>
        </w:rPr>
        <w:t>（2）最终验收：</w:t>
      </w:r>
      <w:r>
        <w:rPr>
          <w:rFonts w:hint="eastAsia" w:ascii="仿宋" w:hAnsi="仿宋" w:eastAsia="仿宋" w:cs="仿宋"/>
          <w:color w:val="auto"/>
          <w:kern w:val="0"/>
          <w:sz w:val="24"/>
          <w:szCs w:val="24"/>
          <w:lang w:val="en-US" w:eastAsia="zh-CN" w:bidi="zh-CN"/>
        </w:rPr>
        <w:t>合同项目安装完成后达到预定可使用状态后进入</w:t>
      </w:r>
      <w:r>
        <w:rPr>
          <w:rFonts w:hint="eastAsia" w:ascii="仿宋" w:hAnsi="仿宋" w:eastAsia="仿宋" w:cs="仿宋"/>
          <w:color w:val="auto"/>
          <w:kern w:val="0"/>
          <w:sz w:val="24"/>
          <w:szCs w:val="24"/>
          <w:u w:val="single"/>
          <w:lang w:val="en-US" w:eastAsia="zh-CN" w:bidi="zh-CN"/>
        </w:rPr>
        <w:t xml:space="preserve">    </w:t>
      </w:r>
      <w:r>
        <w:rPr>
          <w:rFonts w:hint="eastAsia" w:ascii="仿宋" w:hAnsi="仿宋" w:eastAsia="仿宋" w:cs="仿宋"/>
          <w:color w:val="auto"/>
          <w:kern w:val="0"/>
          <w:sz w:val="24"/>
          <w:szCs w:val="24"/>
          <w:lang w:val="en-US" w:eastAsia="zh-CN" w:bidi="zh-CN"/>
        </w:rPr>
        <w:t>日的</w:t>
      </w:r>
      <w:r>
        <w:rPr>
          <w:rFonts w:hint="eastAsia" w:ascii="仿宋" w:hAnsi="仿宋" w:eastAsia="仿宋" w:cs="仿宋"/>
          <w:color w:val="auto"/>
          <w:kern w:val="0"/>
          <w:sz w:val="24"/>
          <w:szCs w:val="24"/>
          <w:u w:val="single"/>
          <w:lang w:val="en-US" w:eastAsia="zh-CN" w:bidi="zh-CN"/>
        </w:rPr>
        <w:t>试用期</w:t>
      </w:r>
      <w:r>
        <w:rPr>
          <w:rFonts w:hint="eastAsia" w:ascii="仿宋" w:hAnsi="仿宋" w:eastAsia="仿宋" w:cs="仿宋"/>
          <w:color w:val="auto"/>
          <w:kern w:val="0"/>
          <w:sz w:val="24"/>
          <w:szCs w:val="24"/>
          <w:lang w:val="en-US" w:eastAsia="zh-CN" w:bidi="zh-CN"/>
        </w:rPr>
        <w:t>，乙方</w:t>
      </w:r>
      <w:r>
        <w:rPr>
          <w:rFonts w:hint="eastAsia" w:ascii="仿宋" w:hAnsi="仿宋" w:eastAsia="仿宋" w:cs="仿宋"/>
          <w:color w:val="auto"/>
          <w:kern w:val="0"/>
          <w:sz w:val="24"/>
          <w:szCs w:val="24"/>
          <w:lang w:val="zh-CN" w:eastAsia="zh-CN" w:bidi="zh-CN"/>
        </w:rPr>
        <w:t>保障甲方在</w:t>
      </w:r>
      <w:r>
        <w:rPr>
          <w:rFonts w:hint="eastAsia" w:ascii="仿宋" w:hAnsi="仿宋" w:eastAsia="仿宋" w:cs="仿宋"/>
          <w:color w:val="auto"/>
          <w:kern w:val="0"/>
          <w:sz w:val="24"/>
          <w:szCs w:val="24"/>
          <w:lang w:val="en-US" w:eastAsia="zh-CN" w:bidi="zh-CN"/>
        </w:rPr>
        <w:t>此期间</w:t>
      </w:r>
      <w:r>
        <w:rPr>
          <w:rFonts w:hint="eastAsia" w:ascii="仿宋" w:hAnsi="仿宋" w:eastAsia="仿宋" w:cs="仿宋"/>
          <w:color w:val="auto"/>
          <w:kern w:val="0"/>
          <w:sz w:val="24"/>
          <w:szCs w:val="24"/>
          <w:lang w:val="zh-CN" w:eastAsia="zh-CN" w:bidi="zh-CN"/>
        </w:rPr>
        <w:t>连续稳定运转</w:t>
      </w:r>
      <w:r>
        <w:rPr>
          <w:rFonts w:hint="eastAsia" w:ascii="仿宋" w:hAnsi="仿宋" w:eastAsia="仿宋" w:cs="仿宋"/>
          <w:color w:val="auto"/>
          <w:kern w:val="0"/>
          <w:sz w:val="24"/>
          <w:szCs w:val="24"/>
          <w:lang w:val="en-US" w:eastAsia="zh-CN" w:bidi="zh-CN"/>
        </w:rPr>
        <w:t>，试用期满后</w:t>
      </w:r>
      <w:r>
        <w:rPr>
          <w:rFonts w:hint="eastAsia" w:ascii="仿宋" w:hAnsi="仿宋" w:eastAsia="仿宋" w:cs="仿宋"/>
          <w:color w:val="auto"/>
          <w:kern w:val="0"/>
          <w:sz w:val="24"/>
          <w:szCs w:val="24"/>
          <w:u w:val="single"/>
          <w:lang w:val="en-US" w:eastAsia="zh-CN" w:bidi="zh-CN"/>
        </w:rPr>
        <w:t xml:space="preserve">      日内</w:t>
      </w:r>
      <w:r>
        <w:rPr>
          <w:rFonts w:hint="eastAsia" w:ascii="仿宋" w:hAnsi="仿宋" w:eastAsia="仿宋" w:cs="仿宋"/>
          <w:color w:val="auto"/>
          <w:kern w:val="0"/>
          <w:sz w:val="24"/>
          <w:szCs w:val="24"/>
          <w:lang w:val="en-US" w:eastAsia="zh-CN" w:bidi="zh-CN"/>
        </w:rPr>
        <w:t>进行最终验收，验收应在甲乙双方共同参加下进行，甲方无异议且出具最终验收合格证明文件，则视为验收合格。（试用期内甲方提出异议的，乙方应当在接到异议通知后</w:t>
      </w:r>
      <w:r>
        <w:rPr>
          <w:rFonts w:hint="eastAsia" w:ascii="仿宋" w:hAnsi="仿宋" w:eastAsia="仿宋" w:cs="仿宋"/>
          <w:color w:val="auto"/>
          <w:spacing w:val="-6"/>
          <w:kern w:val="0"/>
          <w:sz w:val="22"/>
          <w:szCs w:val="22"/>
          <w:u w:val="single"/>
          <w:lang w:val="en-US" w:eastAsia="zh-CN" w:bidi="zh-CN"/>
        </w:rPr>
        <w:t xml:space="preserve">   </w:t>
      </w:r>
      <w:r>
        <w:rPr>
          <w:rFonts w:hint="eastAsia" w:ascii="仿宋" w:hAnsi="仿宋" w:eastAsia="仿宋" w:cs="仿宋"/>
          <w:color w:val="auto"/>
          <w:kern w:val="0"/>
          <w:sz w:val="24"/>
          <w:szCs w:val="24"/>
          <w:lang w:val="en-US" w:eastAsia="zh-CN" w:bidi="zh-CN"/>
        </w:rPr>
        <w:t>小时内完成对货物进行调试、更换、加固等补救措施，逾期未完成的则试用期限相应顺延。试用期间经乙方补救无效后，乙方需在甲方要求期限内更换全新同一品牌型号货物，货物经更换后试用期重新计算。）</w:t>
      </w:r>
    </w:p>
    <w:p w14:paraId="25FF3A1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3.验收时如发现乙方所交付的货物不符合本合同规定，甲方应做出详尽的现场记录，或由甲乙双方签署备忘录，用作补货、换货、退货、折价处理和更换损坏部件的有效证据，甲方对乙方补救措施的实施及时限具有决定权，由此产生的有关费用及损失由乙方承担，补救措施实施完毕后，重新按照相关要求组织验收。</w:t>
      </w:r>
    </w:p>
    <w:p w14:paraId="4D16458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4.如果合同货物运输和安装过程中因事故造成货物短缺、损坏，乙方应于事故发生后</w:t>
      </w:r>
      <w:r>
        <w:rPr>
          <w:rFonts w:hint="eastAsia" w:ascii="仿宋" w:hAnsi="仿宋" w:eastAsia="仿宋" w:cs="仿宋"/>
          <w:color w:val="auto"/>
          <w:spacing w:val="-6"/>
          <w:kern w:val="0"/>
          <w:sz w:val="22"/>
          <w:szCs w:val="22"/>
          <w:u w:val="single"/>
          <w:lang w:val="en-US" w:eastAsia="zh-CN" w:bidi="zh-CN"/>
        </w:rPr>
        <w:t xml:space="preserve">   </w:t>
      </w:r>
      <w:r>
        <w:rPr>
          <w:rFonts w:hint="eastAsia" w:ascii="仿宋" w:hAnsi="仿宋" w:eastAsia="仿宋" w:cs="仿宋"/>
          <w:color w:val="auto"/>
          <w:kern w:val="0"/>
          <w:sz w:val="24"/>
          <w:szCs w:val="24"/>
          <w:lang w:val="en-US" w:eastAsia="zh-CN" w:bidi="zh-CN"/>
        </w:rPr>
        <w:t>日内完成换装，以保证合同货物安装的成功完成。换货的相关费用由乙方承担。</w:t>
      </w:r>
    </w:p>
    <w:p w14:paraId="3933C2B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5.如有需退换货情形，乙方应在收到甲方通知后</w:t>
      </w:r>
      <w:r>
        <w:rPr>
          <w:rFonts w:hint="eastAsia" w:ascii="仿宋" w:hAnsi="仿宋" w:eastAsia="仿宋" w:cs="仿宋"/>
          <w:color w:val="auto"/>
          <w:kern w:val="0"/>
          <w:sz w:val="24"/>
          <w:szCs w:val="24"/>
          <w:u w:val="single"/>
          <w:lang w:val="en-US" w:eastAsia="zh-CN" w:bidi="zh-CN"/>
        </w:rPr>
        <w:t>7日内</w:t>
      </w:r>
      <w:r>
        <w:rPr>
          <w:rFonts w:hint="eastAsia" w:ascii="仿宋" w:hAnsi="仿宋" w:eastAsia="仿宋" w:cs="仿宋"/>
          <w:color w:val="auto"/>
          <w:kern w:val="0"/>
          <w:sz w:val="24"/>
          <w:szCs w:val="24"/>
          <w:lang w:val="en-US" w:eastAsia="zh-CN" w:bidi="zh-CN"/>
        </w:rPr>
        <w:t>将相关货物自行带离甲方指定区域，</w:t>
      </w:r>
      <w:r>
        <w:rPr>
          <w:rFonts w:hint="eastAsia" w:ascii="仿宋" w:hAnsi="仿宋" w:eastAsia="仿宋" w:cs="仿宋"/>
          <w:color w:val="auto"/>
          <w:kern w:val="0"/>
          <w:sz w:val="24"/>
          <w:szCs w:val="24"/>
          <w:u w:val="single"/>
          <w:lang w:val="en-US" w:eastAsia="zh-CN" w:bidi="zh-CN"/>
        </w:rPr>
        <w:t>否则视为乙方对相关货物的遗弃，甲方有权自行处理且不承担任何责任</w:t>
      </w:r>
      <w:r>
        <w:rPr>
          <w:rFonts w:hint="eastAsia" w:ascii="仿宋" w:hAnsi="仿宋" w:eastAsia="仿宋" w:cs="仿宋"/>
          <w:color w:val="auto"/>
          <w:kern w:val="0"/>
          <w:sz w:val="24"/>
          <w:szCs w:val="24"/>
          <w:lang w:val="en-US" w:eastAsia="zh-CN" w:bidi="zh-CN"/>
        </w:rPr>
        <w:t>。</w:t>
      </w:r>
    </w:p>
    <w:p w14:paraId="3B548CE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6.因货物质量问题发生争议时，由</w:t>
      </w:r>
      <w:r>
        <w:rPr>
          <w:rFonts w:hint="eastAsia" w:ascii="仿宋" w:hAnsi="仿宋" w:eastAsia="仿宋" w:cs="仿宋"/>
          <w:color w:val="auto"/>
          <w:kern w:val="0"/>
          <w:sz w:val="24"/>
          <w:szCs w:val="24"/>
          <w:u w:val="single"/>
          <w:lang w:val="en-US" w:eastAsia="zh-CN" w:bidi="zh-CN"/>
        </w:rPr>
        <w:t>甲方所在地</w:t>
      </w:r>
      <w:r>
        <w:rPr>
          <w:rFonts w:hint="eastAsia" w:ascii="仿宋" w:hAnsi="仿宋" w:eastAsia="仿宋" w:cs="仿宋"/>
          <w:color w:val="auto"/>
          <w:kern w:val="0"/>
          <w:sz w:val="24"/>
          <w:szCs w:val="24"/>
          <w:lang w:val="en-US" w:eastAsia="zh-CN" w:bidi="zh-CN"/>
        </w:rPr>
        <w:t>的质量技术监督部门或质量检测机构进行鉴定。项目符合质量技术标准的，鉴定费由</w:t>
      </w:r>
      <w:r>
        <w:rPr>
          <w:rFonts w:hint="eastAsia" w:ascii="仿宋" w:hAnsi="仿宋" w:eastAsia="仿宋" w:cs="仿宋"/>
          <w:color w:val="auto"/>
          <w:kern w:val="0"/>
          <w:sz w:val="24"/>
          <w:szCs w:val="24"/>
          <w:u w:val="single"/>
          <w:lang w:val="en-US" w:eastAsia="zh-CN" w:bidi="zh-CN"/>
        </w:rPr>
        <w:t>甲方</w:t>
      </w:r>
      <w:r>
        <w:rPr>
          <w:rFonts w:hint="eastAsia" w:ascii="仿宋" w:hAnsi="仿宋" w:eastAsia="仿宋" w:cs="仿宋"/>
          <w:color w:val="auto"/>
          <w:kern w:val="0"/>
          <w:sz w:val="24"/>
          <w:szCs w:val="24"/>
          <w:lang w:val="en-US" w:eastAsia="zh-CN" w:bidi="zh-CN"/>
        </w:rPr>
        <w:t>承担；否则鉴定费由</w:t>
      </w:r>
      <w:r>
        <w:rPr>
          <w:rFonts w:hint="eastAsia" w:ascii="仿宋" w:hAnsi="仿宋" w:eastAsia="仿宋" w:cs="仿宋"/>
          <w:color w:val="auto"/>
          <w:kern w:val="0"/>
          <w:sz w:val="24"/>
          <w:szCs w:val="24"/>
          <w:u w:val="single"/>
          <w:lang w:val="en-US" w:eastAsia="zh-CN" w:bidi="zh-CN"/>
        </w:rPr>
        <w:t>乙方</w:t>
      </w:r>
      <w:r>
        <w:rPr>
          <w:rFonts w:hint="eastAsia" w:ascii="仿宋" w:hAnsi="仿宋" w:eastAsia="仿宋" w:cs="仿宋"/>
          <w:color w:val="auto"/>
          <w:kern w:val="0"/>
          <w:sz w:val="24"/>
          <w:szCs w:val="24"/>
          <w:lang w:val="en-US" w:eastAsia="zh-CN" w:bidi="zh-CN"/>
        </w:rPr>
        <w:t>承担。</w:t>
      </w:r>
    </w:p>
    <w:p w14:paraId="33CA0E3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7.乙方所提供货物权属清楚，不得侵害他人的知识产权,如产生纠纷则全部责任由</w:t>
      </w:r>
      <w:r>
        <w:rPr>
          <w:rFonts w:hint="eastAsia" w:ascii="仿宋" w:hAnsi="仿宋" w:eastAsia="仿宋" w:cs="仿宋"/>
          <w:color w:val="auto"/>
          <w:kern w:val="0"/>
          <w:sz w:val="24"/>
          <w:szCs w:val="24"/>
          <w:u w:val="single"/>
          <w:lang w:val="en-US" w:eastAsia="zh-CN" w:bidi="zh-CN"/>
        </w:rPr>
        <w:t>乙方</w:t>
      </w:r>
      <w:r>
        <w:rPr>
          <w:rFonts w:hint="eastAsia" w:ascii="仿宋" w:hAnsi="仿宋" w:eastAsia="仿宋" w:cs="仿宋"/>
          <w:color w:val="auto"/>
          <w:kern w:val="0"/>
          <w:sz w:val="24"/>
          <w:szCs w:val="24"/>
          <w:lang w:val="en-US" w:eastAsia="zh-CN" w:bidi="zh-CN"/>
        </w:rPr>
        <w:t>自行承担，如因此给甲方造成损害的，甲方可向乙方进行追偿，追</w:t>
      </w:r>
      <w:r>
        <w:rPr>
          <w:rFonts w:hint="eastAsia" w:ascii="仿宋" w:hAnsi="仿宋" w:eastAsia="仿宋" w:cs="仿宋"/>
          <w:color w:val="auto"/>
          <w:kern w:val="0"/>
          <w:sz w:val="24"/>
          <w:szCs w:val="24"/>
          <w:u w:val="single"/>
          <w:lang w:val="en-US" w:eastAsia="zh-CN" w:bidi="zh-CN"/>
        </w:rPr>
        <w:t>偿费用包括但不限于甲方实际垫付的费用、律师费、交通费等费用</w:t>
      </w:r>
      <w:r>
        <w:rPr>
          <w:rFonts w:hint="eastAsia" w:ascii="仿宋" w:hAnsi="仿宋" w:eastAsia="仿宋" w:cs="仿宋"/>
          <w:color w:val="auto"/>
          <w:kern w:val="0"/>
          <w:sz w:val="24"/>
          <w:szCs w:val="24"/>
          <w:lang w:val="en-US" w:eastAsia="zh-CN" w:bidi="zh-CN"/>
        </w:rPr>
        <w:t>。</w:t>
      </w:r>
    </w:p>
    <w:p w14:paraId="25962051">
      <w:pPr>
        <w:keepNext/>
        <w:keepLines/>
        <w:widowControl w:val="0"/>
        <w:autoSpaceDE w:val="0"/>
        <w:autoSpaceDN w:val="0"/>
        <w:adjustRightInd w:val="0"/>
        <w:spacing w:before="120" w:after="120" w:line="240" w:lineRule="auto"/>
        <w:ind w:left="0" w:right="0"/>
        <w:jc w:val="left"/>
        <w:outlineLvl w:val="2"/>
        <w:rPr>
          <w:rFonts w:hint="eastAsia" w:ascii="仿宋" w:hAnsi="仿宋" w:eastAsia="仿宋" w:cs="仿宋"/>
          <w:b/>
          <w:color w:val="auto"/>
          <w:kern w:val="0"/>
          <w:sz w:val="24"/>
          <w:szCs w:val="20"/>
          <w:lang w:val="zh-CN" w:eastAsia="zh-CN" w:bidi="zh-CN"/>
        </w:rPr>
      </w:pPr>
    </w:p>
    <w:p w14:paraId="26603D34">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pacing w:val="-7"/>
          <w:kern w:val="0"/>
          <w:sz w:val="24"/>
          <w:szCs w:val="24"/>
          <w:lang w:val="zh-CN" w:eastAsia="zh-CN" w:bidi="zh-CN"/>
        </w:rPr>
      </w:pPr>
      <w:r>
        <w:rPr>
          <w:rFonts w:hint="eastAsia" w:ascii="仿宋" w:hAnsi="仿宋" w:eastAsia="仿宋" w:cs="仿宋"/>
          <w:b/>
          <w:bCs/>
          <w:color w:val="auto"/>
          <w:spacing w:val="-7"/>
          <w:kern w:val="0"/>
          <w:sz w:val="24"/>
          <w:szCs w:val="24"/>
          <w:lang w:val="zh-CN" w:eastAsia="zh-CN" w:bidi="zh-CN"/>
        </w:rPr>
        <w:t>质保条件及期限：</w:t>
      </w:r>
    </w:p>
    <w:p w14:paraId="55B85FB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zh-CN" w:eastAsia="zh-CN" w:bidi="zh-CN"/>
        </w:rPr>
        <w:t>质保期</w:t>
      </w:r>
      <w:r>
        <w:rPr>
          <w:rFonts w:hint="eastAsia" w:ascii="仿宋" w:hAnsi="仿宋" w:eastAsia="仿宋" w:cs="仿宋"/>
          <w:color w:val="auto"/>
          <w:kern w:val="0"/>
          <w:sz w:val="24"/>
          <w:szCs w:val="24"/>
          <w:lang w:val="en-US" w:eastAsia="zh-CN" w:bidi="zh-CN"/>
        </w:rPr>
        <w:t>为自货物最终验收合格之次日起</w:t>
      </w:r>
      <w:r>
        <w:rPr>
          <w:rFonts w:hint="eastAsia" w:ascii="仿宋" w:hAnsi="仿宋" w:eastAsia="仿宋" w:cs="仿宋"/>
          <w:color w:val="auto"/>
          <w:kern w:val="0"/>
          <w:sz w:val="24"/>
          <w:szCs w:val="24"/>
          <w:u w:val="single"/>
          <w:lang w:val="en-US" w:eastAsia="zh-CN" w:bidi="zh-CN"/>
        </w:rPr>
        <w:t xml:space="preserve">   日</w:t>
      </w:r>
      <w:r>
        <w:rPr>
          <w:rFonts w:hint="eastAsia" w:ascii="仿宋" w:hAnsi="仿宋" w:eastAsia="仿宋" w:cs="仿宋"/>
          <w:color w:val="auto"/>
          <w:kern w:val="0"/>
          <w:sz w:val="24"/>
          <w:szCs w:val="24"/>
          <w:lang w:val="en-US" w:eastAsia="zh-CN" w:bidi="zh-CN"/>
        </w:rPr>
        <w:t>内</w:t>
      </w:r>
      <w:r>
        <w:rPr>
          <w:rFonts w:hint="eastAsia" w:ascii="仿宋" w:hAnsi="仿宋" w:eastAsia="仿宋" w:cs="仿宋"/>
          <w:color w:val="auto"/>
          <w:kern w:val="0"/>
          <w:sz w:val="24"/>
          <w:szCs w:val="24"/>
          <w:lang w:val="zh-CN" w:eastAsia="zh-CN" w:bidi="zh-CN"/>
        </w:rPr>
        <w:t>，</w:t>
      </w:r>
      <w:r>
        <w:rPr>
          <w:rFonts w:hint="eastAsia" w:ascii="仿宋" w:hAnsi="仿宋" w:eastAsia="仿宋" w:cs="仿宋"/>
          <w:color w:val="auto"/>
          <w:kern w:val="0"/>
          <w:sz w:val="24"/>
          <w:szCs w:val="24"/>
          <w:lang w:val="en-US" w:eastAsia="zh-CN" w:bidi="zh-CN"/>
        </w:rPr>
        <w:t>主要内容为：对</w:t>
      </w:r>
      <w:r>
        <w:rPr>
          <w:rFonts w:hint="eastAsia" w:ascii="仿宋" w:hAnsi="仿宋" w:eastAsia="仿宋" w:cs="仿宋"/>
          <w:color w:val="auto"/>
          <w:kern w:val="0"/>
          <w:sz w:val="24"/>
          <w:szCs w:val="24"/>
          <w:lang w:val="zh-CN" w:eastAsia="zh-CN" w:bidi="zh-CN"/>
        </w:rPr>
        <w:t>因产品设计、工艺或者材料缺陷而导致的问题免费</w:t>
      </w:r>
      <w:r>
        <w:rPr>
          <w:rFonts w:hint="eastAsia" w:ascii="仿宋" w:hAnsi="仿宋" w:eastAsia="仿宋" w:cs="仿宋"/>
          <w:color w:val="auto"/>
          <w:kern w:val="0"/>
          <w:sz w:val="24"/>
          <w:szCs w:val="24"/>
          <w:lang w:val="en-US" w:eastAsia="zh-CN" w:bidi="zh-CN"/>
        </w:rPr>
        <w:t>包修、包换、包退、包维护保养</w:t>
      </w:r>
      <w:r>
        <w:rPr>
          <w:rFonts w:hint="eastAsia" w:ascii="仿宋" w:hAnsi="仿宋" w:eastAsia="仿宋" w:cs="仿宋"/>
          <w:color w:val="auto"/>
          <w:kern w:val="0"/>
          <w:sz w:val="24"/>
          <w:szCs w:val="24"/>
          <w:lang w:val="zh-CN" w:eastAsia="zh-CN" w:bidi="zh-CN"/>
        </w:rPr>
        <w:t>。</w:t>
      </w:r>
      <w:r>
        <w:rPr>
          <w:rFonts w:hint="eastAsia" w:ascii="仿宋" w:hAnsi="仿宋" w:eastAsia="仿宋" w:cs="仿宋"/>
          <w:color w:val="auto"/>
          <w:kern w:val="0"/>
          <w:sz w:val="24"/>
          <w:szCs w:val="24"/>
          <w:lang w:val="en-US" w:eastAsia="zh-CN" w:bidi="zh-CN"/>
        </w:rPr>
        <w:t>质保期满，乙方保证为货物终身供应零备件和正常的售后服务，不计人工费用。质保期满，如需更换配件和材料，费用另计，但不能超过</w:t>
      </w:r>
      <w:r>
        <w:rPr>
          <w:rFonts w:hint="eastAsia" w:ascii="仿宋" w:hAnsi="仿宋" w:eastAsia="仿宋" w:cs="仿宋"/>
          <w:color w:val="auto"/>
          <w:kern w:val="0"/>
          <w:sz w:val="24"/>
          <w:szCs w:val="24"/>
          <w:u w:val="single"/>
          <w:lang w:val="en-US" w:eastAsia="zh-CN" w:bidi="zh-CN"/>
        </w:rPr>
        <w:t>甲方所在地</w:t>
      </w:r>
      <w:r>
        <w:rPr>
          <w:rFonts w:hint="eastAsia" w:ascii="仿宋" w:hAnsi="仿宋" w:eastAsia="仿宋" w:cs="仿宋"/>
          <w:color w:val="auto"/>
          <w:kern w:val="0"/>
          <w:sz w:val="24"/>
          <w:szCs w:val="24"/>
          <w:lang w:val="en-US" w:eastAsia="zh-CN" w:bidi="zh-CN"/>
        </w:rPr>
        <w:t>市场成本价格。</w:t>
      </w:r>
    </w:p>
    <w:p w14:paraId="742EEBF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zh-CN" w:eastAsia="zh-CN" w:bidi="zh-CN"/>
        </w:rPr>
      </w:pPr>
      <w:r>
        <w:rPr>
          <w:rFonts w:hint="eastAsia" w:ascii="仿宋" w:hAnsi="仿宋" w:eastAsia="仿宋" w:cs="仿宋"/>
          <w:color w:val="auto"/>
          <w:kern w:val="0"/>
          <w:sz w:val="24"/>
          <w:szCs w:val="24"/>
          <w:lang w:val="en-US" w:eastAsia="zh-CN" w:bidi="zh-CN"/>
        </w:rPr>
        <w:t>2.乙方每次为进行维护工作后，需对维护情况及所发现的问题出具书面报告，该报告需甲乙双方签字，作为维护工作的凭据。</w:t>
      </w:r>
    </w:p>
    <w:p w14:paraId="46D58B5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3.质保期内，如货物因非人为因素出现故障而造成短期停用时（“短期”指2日以内，不满1日的按1日计算），则质保期和免费维护期相应顺延，如停用时间累计超过</w:t>
      </w:r>
      <w:r>
        <w:rPr>
          <w:rFonts w:hint="eastAsia" w:ascii="仿宋" w:hAnsi="仿宋" w:eastAsia="仿宋" w:cs="仿宋"/>
          <w:color w:val="auto"/>
          <w:kern w:val="0"/>
          <w:sz w:val="24"/>
          <w:szCs w:val="24"/>
          <w:u w:val="single"/>
          <w:lang w:val="en-US" w:eastAsia="zh-CN" w:bidi="zh-CN"/>
        </w:rPr>
        <w:t>60天</w:t>
      </w:r>
      <w:r>
        <w:rPr>
          <w:rFonts w:hint="eastAsia" w:ascii="仿宋" w:hAnsi="仿宋" w:eastAsia="仿宋" w:cs="仿宋"/>
          <w:color w:val="auto"/>
          <w:kern w:val="0"/>
          <w:sz w:val="24"/>
          <w:szCs w:val="24"/>
          <w:lang w:val="en-US" w:eastAsia="zh-CN" w:bidi="zh-CN"/>
        </w:rPr>
        <w:t>则质保期和免费维护期重新计算。</w:t>
      </w:r>
    </w:p>
    <w:p w14:paraId="031916A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4.质保期内所有因货物质量问题而产生的费用（包括但不限于维护过程中更换配件的费用）均由</w:t>
      </w:r>
      <w:r>
        <w:rPr>
          <w:rFonts w:hint="eastAsia" w:ascii="仿宋" w:hAnsi="仿宋" w:eastAsia="仿宋" w:cs="仿宋"/>
          <w:color w:val="auto"/>
          <w:kern w:val="0"/>
          <w:sz w:val="24"/>
          <w:szCs w:val="24"/>
          <w:u w:val="single"/>
          <w:lang w:val="en-US" w:eastAsia="zh-CN" w:bidi="zh-CN"/>
        </w:rPr>
        <w:t>乙方</w:t>
      </w:r>
      <w:r>
        <w:rPr>
          <w:rFonts w:hint="eastAsia" w:ascii="仿宋" w:hAnsi="仿宋" w:eastAsia="仿宋" w:cs="仿宋"/>
          <w:color w:val="auto"/>
          <w:kern w:val="0"/>
          <w:sz w:val="24"/>
          <w:szCs w:val="24"/>
          <w:lang w:val="en-US" w:eastAsia="zh-CN" w:bidi="zh-CN"/>
        </w:rPr>
        <w:t>负责</w:t>
      </w:r>
    </w:p>
    <w:p w14:paraId="18641BA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5.质保期内，乙方为甲方提供专业的售后服务。质保期内货物发生故障，乙方在接到通知后</w:t>
      </w:r>
      <w:r>
        <w:rPr>
          <w:rFonts w:hint="eastAsia" w:ascii="仿宋" w:hAnsi="仿宋" w:eastAsia="仿宋" w:cs="仿宋"/>
          <w:color w:val="auto"/>
          <w:kern w:val="0"/>
          <w:sz w:val="24"/>
          <w:szCs w:val="24"/>
          <w:u w:val="single"/>
          <w:lang w:val="en-US" w:eastAsia="zh-CN" w:bidi="zh-CN"/>
        </w:rPr>
        <w:t>2小时内</w:t>
      </w:r>
      <w:r>
        <w:rPr>
          <w:rFonts w:hint="eastAsia" w:ascii="仿宋" w:hAnsi="仿宋" w:eastAsia="仿宋" w:cs="仿宋"/>
          <w:color w:val="auto"/>
          <w:kern w:val="0"/>
          <w:sz w:val="24"/>
          <w:szCs w:val="24"/>
          <w:lang w:val="en-US" w:eastAsia="zh-CN" w:bidi="zh-CN"/>
        </w:rPr>
        <w:t>维修响应，自接到通知后</w:t>
      </w:r>
      <w:r>
        <w:rPr>
          <w:rFonts w:hint="eastAsia" w:ascii="仿宋" w:hAnsi="仿宋" w:eastAsia="仿宋" w:cs="仿宋"/>
          <w:color w:val="auto"/>
          <w:kern w:val="0"/>
          <w:sz w:val="24"/>
          <w:szCs w:val="24"/>
          <w:u w:val="single"/>
          <w:lang w:val="en-US" w:eastAsia="zh-CN" w:bidi="zh-CN"/>
        </w:rPr>
        <w:t>12小时内</w:t>
      </w:r>
      <w:r>
        <w:rPr>
          <w:rFonts w:hint="eastAsia" w:ascii="仿宋" w:hAnsi="仿宋" w:eastAsia="仿宋" w:cs="仿宋"/>
          <w:color w:val="auto"/>
          <w:kern w:val="0"/>
          <w:sz w:val="24"/>
          <w:szCs w:val="24"/>
          <w:lang w:val="en-US" w:eastAsia="zh-CN" w:bidi="zh-CN"/>
        </w:rPr>
        <w:t>到位检修，并在到位检修后24小时内处理完毕，否则乙方应于48小时内为甲方提供同等规格的备用货物。</w:t>
      </w:r>
    </w:p>
    <w:p w14:paraId="1FE0E60A">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2"/>
          <w:szCs w:val="22"/>
          <w:u w:val="single"/>
          <w:lang w:val="en-US" w:eastAsia="zh-CN" w:bidi="zh-CN"/>
        </w:rPr>
      </w:pPr>
      <w:r>
        <w:rPr>
          <w:rFonts w:hint="eastAsia" w:ascii="仿宋" w:hAnsi="仿宋" w:eastAsia="仿宋" w:cs="仿宋"/>
          <w:color w:val="auto"/>
          <w:kern w:val="0"/>
          <w:sz w:val="24"/>
          <w:szCs w:val="24"/>
          <w:lang w:val="en-US" w:eastAsia="zh-CN" w:bidi="zh-CN"/>
        </w:rPr>
        <w:t>6.质保期内的其他约定：</w:t>
      </w:r>
      <w:r>
        <w:rPr>
          <w:rFonts w:hint="eastAsia" w:ascii="仿宋" w:hAnsi="仿宋" w:eastAsia="仿宋" w:cs="仿宋"/>
          <w:color w:val="auto"/>
          <w:kern w:val="0"/>
          <w:sz w:val="24"/>
          <w:szCs w:val="24"/>
          <w:u w:val="single"/>
          <w:lang w:val="en-US" w:eastAsia="zh-CN" w:bidi="zh-CN"/>
        </w:rPr>
        <w:t xml:space="preserve">              </w:t>
      </w:r>
      <w:r>
        <w:rPr>
          <w:rFonts w:hint="eastAsia" w:ascii="仿宋" w:hAnsi="仿宋" w:eastAsia="仿宋" w:cs="仿宋"/>
          <w:color w:val="auto"/>
          <w:kern w:val="0"/>
          <w:sz w:val="24"/>
          <w:szCs w:val="24"/>
          <w:u w:val="none"/>
          <w:lang w:val="en-US" w:eastAsia="zh-CN" w:bidi="zh-CN"/>
        </w:rPr>
        <w:t>。</w:t>
      </w:r>
    </w:p>
    <w:p w14:paraId="13B74636">
      <w:pPr>
        <w:keepNext/>
        <w:keepLines/>
        <w:widowControl w:val="0"/>
        <w:autoSpaceDE w:val="0"/>
        <w:autoSpaceDN w:val="0"/>
        <w:adjustRightInd w:val="0"/>
        <w:spacing w:before="120" w:after="120" w:line="240" w:lineRule="auto"/>
        <w:ind w:left="0" w:right="0"/>
        <w:jc w:val="left"/>
        <w:outlineLvl w:val="2"/>
        <w:rPr>
          <w:rFonts w:hint="eastAsia" w:ascii="仿宋" w:hAnsi="仿宋" w:eastAsia="仿宋" w:cs="仿宋"/>
          <w:b/>
          <w:color w:val="auto"/>
          <w:kern w:val="0"/>
          <w:sz w:val="24"/>
          <w:szCs w:val="20"/>
          <w:lang w:val="zh-CN" w:eastAsia="zh-CN" w:bidi="zh-CN"/>
        </w:rPr>
      </w:pPr>
    </w:p>
    <w:p w14:paraId="0EB8E6D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right="0" w:rightChars="0"/>
        <w:jc w:val="left"/>
        <w:textAlignment w:val="auto"/>
        <w:rPr>
          <w:rFonts w:hint="eastAsia" w:ascii="仿宋" w:hAnsi="仿宋" w:eastAsia="仿宋" w:cs="仿宋"/>
          <w:b/>
          <w:bCs/>
          <w:color w:val="auto"/>
          <w:kern w:val="0"/>
          <w:sz w:val="24"/>
          <w:szCs w:val="24"/>
          <w:lang w:val="en-US" w:eastAsia="zh-CN" w:bidi="zh-CN"/>
        </w:rPr>
      </w:pPr>
      <w:r>
        <w:rPr>
          <w:rFonts w:hint="eastAsia" w:ascii="仿宋" w:hAnsi="仿宋" w:eastAsia="仿宋" w:cs="仿宋"/>
          <w:b/>
          <w:bCs/>
          <w:color w:val="auto"/>
          <w:kern w:val="0"/>
          <w:sz w:val="24"/>
          <w:szCs w:val="24"/>
          <w:lang w:val="en-US" w:eastAsia="zh-CN" w:bidi="zh-CN"/>
        </w:rPr>
        <w:t>第八条 违约责任</w:t>
      </w:r>
    </w:p>
    <w:p w14:paraId="6EA9F741">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1.如甲方逾期付款，乙方可要求甲方支付违约金，自逾期之日起，甲方以逾期付款金额为基数，按年利率4%向乙方支付违约金至实际支付之日。</w:t>
      </w:r>
    </w:p>
    <w:p w14:paraId="203E14C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2、如乙方未按合同约定完成供货或安装的，每逾期一日乙方应以合同总价款为基数按年利率4%向甲方支付违约金，逾期超过15日的，甲方有权单方解除合同并要求乙方按本合同总价款的30%向甲方支付违约金。此外，乙方提供的货物累计三次（包含更换或补充的货物）无法经过甲方验收合格的，视为乙方履行不能，甲方有权单方面全部或部分解除本合同，同时乙方应向甲方支付合同总价款30%的违约金。</w:t>
      </w:r>
    </w:p>
    <w:p w14:paraId="60DC5AE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3.乙方所供货物达不到约定的技术标准的，则甲方有权拒收，由此产生的一切不利后果均由乙方承担。</w:t>
      </w:r>
    </w:p>
    <w:p w14:paraId="1017E195">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4.如乙方未按本合同约定提供质保服务，甲方有权寻找第三方维保公司进行单次应急维保，以确保医疗工作不受影响，由此产生的一切费用及风险均由乙方全额承担（包括但不限于甲方实际垫付的维修费用、律师费、交通费等费用），且每违约一次，乙方应向甲方支付合同总价款5%的违约金。累计达到三次的，甲方有权单方解除合同，乙方应按本合同价款总额的30%向甲方支付违约金。</w:t>
      </w:r>
    </w:p>
    <w:p w14:paraId="7FB5AC3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5.乙方所提供货物的物权属清楚，不得侵害他人的知识产权。产生纠纷的，责任由乙方自行承担，如因此给甲方造成损害的，甲方可向乙方进行追偿，追偿费用包括但不限于甲方实际垫付的费用、律师费、交通费等费用。</w:t>
      </w:r>
    </w:p>
    <w:p w14:paraId="681C3668">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6.因乙方或乙方工作人员的任何不当行为或违约行为，及乙方所提供产品的产品质量问题给甲方或第三人造成人身、财产损害的，乙方应承担损害赔偿责任。如因此给甲方造成损害的，甲方可向乙方进行追偿，追偿费用包括但不限于甲方实际垫付的费用、律师费、交通费等费用。</w:t>
      </w:r>
    </w:p>
    <w:p w14:paraId="07C0371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7.未经甲方书面同意，乙方不得将本合同项下全部或部分义务转让给任何第三方，否则甲方有权单方解除本合同，乙方应按本合同价款总额的30%向甲方支付违约金。</w:t>
      </w:r>
    </w:p>
    <w:p w14:paraId="144BED3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8.除上述约定外，任何一方无法定理由或正当理由擅自终止合同或拒不履行合同导致合同目的无法实现的，违约方按照本合同价款总额的30%支付违约金，该违约金不足以弥补守约方实际损失的，违约方需继续赔偿；除上述约定外，乙方违反本合同项下的其他约定的，应向甲方支付合同总价10%的违约金，如本条所规定之违约金数额不足以弥补甲方的实际经济损失的，乙方应按照给甲方造成的实际经济损失支付赔偿金。</w:t>
      </w:r>
    </w:p>
    <w:p w14:paraId="19337E30">
      <w:pPr>
        <w:keepNext/>
        <w:keepLines/>
        <w:widowControl w:val="0"/>
        <w:autoSpaceDE w:val="0"/>
        <w:autoSpaceDN w:val="0"/>
        <w:adjustRightInd w:val="0"/>
        <w:spacing w:before="120" w:after="120" w:line="240" w:lineRule="auto"/>
        <w:ind w:left="0" w:right="0"/>
        <w:jc w:val="left"/>
        <w:outlineLvl w:val="2"/>
        <w:rPr>
          <w:rFonts w:hint="eastAsia" w:ascii="仿宋" w:hAnsi="仿宋" w:eastAsia="仿宋" w:cs="仿宋"/>
          <w:b/>
          <w:color w:val="auto"/>
          <w:kern w:val="0"/>
          <w:sz w:val="24"/>
          <w:szCs w:val="20"/>
          <w:lang w:val="en-US" w:eastAsia="zh-CN" w:bidi="zh-CN"/>
        </w:rPr>
      </w:pPr>
    </w:p>
    <w:p w14:paraId="3E6B9E4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62" w:firstLineChars="200"/>
        <w:jc w:val="both"/>
        <w:textAlignment w:val="auto"/>
        <w:rPr>
          <w:rFonts w:hint="eastAsia" w:ascii="仿宋" w:hAnsi="仿宋" w:eastAsia="仿宋" w:cs="仿宋"/>
          <w:b/>
          <w:bCs/>
          <w:color w:val="auto"/>
          <w:spacing w:val="-5"/>
          <w:sz w:val="24"/>
          <w:szCs w:val="24"/>
          <w:lang w:val="zh-CN" w:eastAsia="zh-CN" w:bidi="zh-CN"/>
        </w:rPr>
      </w:pPr>
      <w:r>
        <w:rPr>
          <w:rFonts w:hint="eastAsia" w:ascii="仿宋" w:hAnsi="仿宋" w:eastAsia="仿宋" w:cs="仿宋"/>
          <w:b/>
          <w:bCs/>
          <w:color w:val="auto"/>
          <w:spacing w:val="-5"/>
          <w:sz w:val="24"/>
          <w:szCs w:val="24"/>
          <w:lang w:val="en-US" w:eastAsia="zh-CN" w:bidi="zh-CN"/>
        </w:rPr>
        <w:t xml:space="preserve">第九条 </w:t>
      </w:r>
      <w:r>
        <w:rPr>
          <w:rFonts w:hint="eastAsia" w:ascii="仿宋" w:hAnsi="仿宋" w:eastAsia="仿宋" w:cs="仿宋"/>
          <w:b/>
          <w:bCs/>
          <w:color w:val="auto"/>
          <w:spacing w:val="-5"/>
          <w:sz w:val="24"/>
          <w:szCs w:val="24"/>
          <w:lang w:val="zh-CN" w:eastAsia="zh-CN" w:bidi="zh-CN"/>
        </w:rPr>
        <w:t>争议解决方式：</w:t>
      </w:r>
    </w:p>
    <w:p w14:paraId="1A9C0E4D">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u w:val="single"/>
          <w:lang w:val="en-US" w:eastAsia="zh-CN" w:bidi="zh-CN"/>
        </w:rPr>
      </w:pPr>
      <w:r>
        <w:rPr>
          <w:rFonts w:hint="eastAsia" w:ascii="仿宋" w:hAnsi="仿宋" w:eastAsia="仿宋" w:cs="仿宋"/>
          <w:color w:val="auto"/>
          <w:kern w:val="0"/>
          <w:sz w:val="24"/>
          <w:szCs w:val="24"/>
          <w:u w:val="single"/>
          <w:lang w:val="en-US" w:eastAsia="zh-CN" w:bidi="zh-CN"/>
        </w:rPr>
        <w:t>因本合同的履行如有争议，可协商解决，协商不成的，甲乙双方均有权向</w:t>
      </w:r>
      <w:r>
        <w:rPr>
          <w:rFonts w:hint="eastAsia" w:ascii="仿宋" w:hAnsi="仿宋" w:eastAsia="仿宋" w:cs="仿宋"/>
          <w:b/>
          <w:bCs/>
          <w:color w:val="auto"/>
          <w:kern w:val="0"/>
          <w:sz w:val="24"/>
          <w:szCs w:val="24"/>
          <w:u w:val="single"/>
          <w:lang w:val="en-US" w:eastAsia="zh-CN" w:bidi="zh-CN"/>
        </w:rPr>
        <w:t>甲方所在地有管辖权的人民法院</w:t>
      </w:r>
      <w:r>
        <w:rPr>
          <w:rFonts w:hint="eastAsia" w:ascii="仿宋" w:hAnsi="仿宋" w:eastAsia="仿宋" w:cs="仿宋"/>
          <w:color w:val="auto"/>
          <w:kern w:val="0"/>
          <w:sz w:val="24"/>
          <w:szCs w:val="24"/>
          <w:u w:val="single"/>
          <w:lang w:val="en-US" w:eastAsia="zh-CN" w:bidi="zh-CN"/>
        </w:rPr>
        <w:t xml:space="preserve">提起诉讼。守约方为维护基于本合同项下约定的合法权益，通过司法程序而产生的相关费用（包括但不限于诉讼费、保全费、律师费、鉴定费等）由违约方承担。 </w:t>
      </w:r>
    </w:p>
    <w:p w14:paraId="5E66D32D">
      <w:pPr>
        <w:keepNext/>
        <w:keepLines/>
        <w:widowControl w:val="0"/>
        <w:autoSpaceDE w:val="0"/>
        <w:autoSpaceDN w:val="0"/>
        <w:adjustRightInd w:val="0"/>
        <w:spacing w:before="120" w:after="120" w:line="240" w:lineRule="auto"/>
        <w:ind w:left="0" w:right="0"/>
        <w:jc w:val="left"/>
        <w:outlineLvl w:val="2"/>
        <w:rPr>
          <w:rFonts w:hint="eastAsia" w:ascii="仿宋" w:hAnsi="仿宋" w:eastAsia="仿宋" w:cs="仿宋"/>
          <w:b/>
          <w:color w:val="auto"/>
          <w:kern w:val="0"/>
          <w:sz w:val="24"/>
          <w:szCs w:val="20"/>
          <w:lang w:val="en-US" w:eastAsia="zh-CN" w:bidi="zh-CN"/>
        </w:rPr>
      </w:pPr>
    </w:p>
    <w:p w14:paraId="1FF87A3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2" w:firstLineChars="200"/>
        <w:jc w:val="left"/>
        <w:textAlignment w:val="auto"/>
        <w:rPr>
          <w:rFonts w:hint="eastAsia" w:ascii="仿宋" w:hAnsi="仿宋" w:eastAsia="仿宋" w:cs="仿宋"/>
          <w:b/>
          <w:bCs/>
          <w:color w:val="auto"/>
          <w:kern w:val="0"/>
          <w:sz w:val="24"/>
          <w:szCs w:val="24"/>
          <w:lang w:val="zh-CN" w:eastAsia="zh-CN" w:bidi="zh-CN"/>
        </w:rPr>
      </w:pPr>
      <w:r>
        <w:rPr>
          <w:rFonts w:hint="eastAsia" w:ascii="仿宋" w:hAnsi="仿宋" w:eastAsia="仿宋" w:cs="仿宋"/>
          <w:b/>
          <w:bCs/>
          <w:color w:val="auto"/>
          <w:kern w:val="0"/>
          <w:sz w:val="24"/>
          <w:szCs w:val="24"/>
          <w:lang w:val="en-US" w:eastAsia="zh-CN" w:bidi="zh-CN"/>
        </w:rPr>
        <w:t>第十条 不可抗力：</w:t>
      </w:r>
    </w:p>
    <w:p w14:paraId="35485C4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不可抗力事件发生后，不能履行合同的一方应当立即将不可抗力情况通知对方，若无法立即通知对方，在不可抗力结束后3天内通知对方，并在不可抗力结束后7天内提出不能履行合同的有效之独立的权威的第三者方证明，否则相对方有权对不可抗力的发生不予认可。</w:t>
      </w:r>
      <w:r>
        <w:rPr>
          <w:rFonts w:hint="eastAsia" w:ascii="仿宋" w:hAnsi="仿宋" w:eastAsia="仿宋" w:cs="仿宋"/>
          <w:color w:val="auto"/>
          <w:kern w:val="0"/>
          <w:sz w:val="24"/>
          <w:szCs w:val="24"/>
          <w:lang w:val="zh-CN" w:eastAsia="zh-CN" w:bidi="zh-CN"/>
        </w:rPr>
        <w:t>双方对于突发疫情，物资、运力等均受到不利影响的情况予以充分的理解，在不可抗力因素下非乙方意愿而造成的延迟交货,不作为乙方责任，乙方将竭力尽快发货，</w:t>
      </w:r>
      <w:r>
        <w:rPr>
          <w:rFonts w:hint="eastAsia" w:ascii="仿宋" w:hAnsi="仿宋" w:eastAsia="仿宋" w:cs="仿宋"/>
          <w:color w:val="auto"/>
          <w:kern w:val="0"/>
          <w:sz w:val="24"/>
          <w:szCs w:val="24"/>
          <w:lang w:val="en-US" w:eastAsia="zh-CN" w:bidi="zh-CN"/>
        </w:rPr>
        <w:t>同时双方可按照不可抗力对合同的影响程度，由双方协商确定是否变更或解除合同。</w:t>
      </w:r>
    </w:p>
    <w:p w14:paraId="01619918">
      <w:pPr>
        <w:keepNext/>
        <w:keepLines/>
        <w:widowControl w:val="0"/>
        <w:autoSpaceDE w:val="0"/>
        <w:autoSpaceDN w:val="0"/>
        <w:adjustRightInd w:val="0"/>
        <w:spacing w:before="120" w:after="120" w:line="240" w:lineRule="auto"/>
        <w:ind w:left="0" w:right="0"/>
        <w:jc w:val="left"/>
        <w:outlineLvl w:val="2"/>
        <w:rPr>
          <w:rFonts w:hint="eastAsia" w:ascii="仿宋" w:hAnsi="仿宋" w:eastAsia="仿宋" w:cs="仿宋"/>
          <w:b/>
          <w:color w:val="auto"/>
          <w:kern w:val="0"/>
          <w:sz w:val="24"/>
          <w:szCs w:val="20"/>
          <w:lang w:val="en-US" w:eastAsia="zh-CN" w:bidi="zh-CN"/>
        </w:rPr>
      </w:pPr>
    </w:p>
    <w:p w14:paraId="48566EB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z w:val="24"/>
          <w:szCs w:val="24"/>
          <w:lang w:val="en-US" w:eastAsia="zh-CN" w:bidi="zh-CN"/>
        </w:rPr>
      </w:pPr>
      <w:r>
        <w:rPr>
          <w:rFonts w:hint="eastAsia" w:ascii="仿宋" w:hAnsi="仿宋" w:eastAsia="仿宋" w:cs="仿宋"/>
          <w:b/>
          <w:bCs/>
          <w:color w:val="auto"/>
          <w:sz w:val="24"/>
          <w:szCs w:val="24"/>
          <w:lang w:val="en-US" w:eastAsia="zh-CN" w:bidi="zh-CN"/>
        </w:rPr>
        <w:t>第十一条  送达条款：</w:t>
      </w:r>
    </w:p>
    <w:p w14:paraId="2DD7774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u w:val="single"/>
          <w:lang w:val="en-US" w:eastAsia="zh-CN" w:bidi="zh-CN"/>
        </w:rPr>
      </w:pPr>
      <w:r>
        <w:rPr>
          <w:rFonts w:hint="eastAsia" w:ascii="仿宋" w:hAnsi="仿宋" w:eastAsia="仿宋" w:cs="仿宋"/>
          <w:color w:val="auto"/>
          <w:sz w:val="24"/>
          <w:szCs w:val="24"/>
          <w:u w:val="single"/>
          <w:lang w:val="en-US" w:eastAsia="zh-CN" w:bidi="zh-CN"/>
        </w:rPr>
        <w:t>本合同签署处载明的地址系双方文件往来、法院送达诉讼文书的地址，在履行本合同期间，甲乙双方的文件往来均应送达至本合同签署处载明的地址，任何一方如变更地址，均需以书面形式于三日内告知对方，如因载明的地址有误或未及时告知变更后的地址，导致相关文书及诉讼文书未能实际被接收的、邮寄送达的，相关文书及诉讼文书退回之日即视为送达之日。</w:t>
      </w:r>
    </w:p>
    <w:p w14:paraId="2BACE56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u w:val="single"/>
          <w:lang w:val="en-US" w:eastAsia="zh-CN" w:bidi="zh-CN"/>
        </w:rPr>
      </w:pPr>
    </w:p>
    <w:p w14:paraId="4141F933">
      <w:pPr>
        <w:pStyle w:val="4"/>
        <w:rPr>
          <w:rFonts w:hint="eastAsia" w:ascii="仿宋" w:hAnsi="仿宋" w:eastAsia="仿宋" w:cs="仿宋"/>
          <w:color w:val="auto"/>
          <w:lang w:val="en-US" w:eastAsia="zh-CN"/>
        </w:rPr>
      </w:pPr>
    </w:p>
    <w:p w14:paraId="75FED70D">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left"/>
        <w:textAlignment w:val="auto"/>
        <w:rPr>
          <w:rFonts w:hint="eastAsia" w:ascii="仿宋" w:hAnsi="仿宋" w:eastAsia="仿宋" w:cs="仿宋"/>
          <w:b/>
          <w:bCs/>
          <w:color w:val="auto"/>
          <w:sz w:val="24"/>
          <w:szCs w:val="24"/>
          <w:lang w:val="en-US" w:eastAsia="zh-CN" w:bidi="zh-CN"/>
        </w:rPr>
      </w:pPr>
      <w:r>
        <w:rPr>
          <w:rFonts w:hint="eastAsia" w:ascii="仿宋" w:hAnsi="仿宋" w:eastAsia="仿宋" w:cs="仿宋"/>
          <w:b/>
          <w:bCs/>
          <w:color w:val="auto"/>
          <w:sz w:val="24"/>
          <w:szCs w:val="24"/>
          <w:lang w:val="zh-CN" w:eastAsia="zh-CN" w:bidi="zh-CN"/>
        </w:rPr>
        <w:t>第十</w:t>
      </w:r>
      <w:r>
        <w:rPr>
          <w:rFonts w:hint="eastAsia" w:ascii="仿宋" w:hAnsi="仿宋" w:eastAsia="仿宋" w:cs="仿宋"/>
          <w:b/>
          <w:bCs/>
          <w:color w:val="auto"/>
          <w:sz w:val="24"/>
          <w:szCs w:val="24"/>
          <w:lang w:val="en-US" w:eastAsia="zh-CN" w:bidi="zh-CN"/>
        </w:rPr>
        <w:t>二</w:t>
      </w:r>
      <w:r>
        <w:rPr>
          <w:rFonts w:hint="eastAsia" w:ascii="仿宋" w:hAnsi="仿宋" w:eastAsia="仿宋" w:cs="仿宋"/>
          <w:b/>
          <w:bCs/>
          <w:color w:val="auto"/>
          <w:sz w:val="24"/>
          <w:szCs w:val="24"/>
          <w:lang w:val="zh-CN" w:eastAsia="zh-CN" w:bidi="zh-CN"/>
        </w:rPr>
        <w:t xml:space="preserve">条 </w:t>
      </w:r>
      <w:r>
        <w:rPr>
          <w:rFonts w:hint="eastAsia" w:ascii="仿宋" w:hAnsi="仿宋" w:eastAsia="仿宋" w:cs="仿宋"/>
          <w:b/>
          <w:bCs/>
          <w:color w:val="auto"/>
          <w:sz w:val="24"/>
          <w:szCs w:val="24"/>
          <w:lang w:val="en-US" w:eastAsia="zh-CN" w:bidi="zh-CN"/>
        </w:rPr>
        <w:t>其他：</w:t>
      </w:r>
    </w:p>
    <w:p w14:paraId="3C5A1DB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1.本合同一式</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lang w:val="en-US" w:eastAsia="zh-CN" w:bidi="zh-CN"/>
        </w:rPr>
        <w:t>份，甲方</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lang w:val="en-US" w:eastAsia="zh-CN" w:bidi="zh-CN"/>
        </w:rPr>
        <w:t>份,乙方</w:t>
      </w:r>
      <w:r>
        <w:rPr>
          <w:rFonts w:hint="eastAsia" w:ascii="仿宋" w:hAnsi="仿宋" w:eastAsia="仿宋" w:cs="仿宋"/>
          <w:color w:val="auto"/>
          <w:sz w:val="24"/>
          <w:szCs w:val="24"/>
          <w:u w:val="single"/>
          <w:lang w:val="en-US" w:eastAsia="zh-CN" w:bidi="zh-CN"/>
        </w:rPr>
        <w:t xml:space="preserve">  份</w:t>
      </w:r>
      <w:r>
        <w:rPr>
          <w:rFonts w:hint="eastAsia" w:ascii="仿宋" w:hAnsi="仿宋" w:eastAsia="仿宋" w:cs="仿宋"/>
          <w:color w:val="auto"/>
          <w:sz w:val="24"/>
          <w:szCs w:val="24"/>
          <w:lang w:val="en-US" w:eastAsia="zh-CN" w:bidi="zh-CN"/>
        </w:rPr>
        <w:t>。本合同自签订之日起生效，如系授权代表人签署合同需出示有法律效力的书面委托书和身份证明。</w:t>
      </w:r>
    </w:p>
    <w:p w14:paraId="5266886E">
      <w:pPr>
        <w:autoSpaceDE w:val="0"/>
        <w:autoSpaceDN w:val="0"/>
        <w:spacing w:before="0" w:after="0" w:line="240" w:lineRule="auto"/>
        <w:ind w:left="0" w:right="0" w:firstLine="480" w:firstLineChars="200"/>
        <w:jc w:val="left"/>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2.本合同正文不详之处，以招标文件、投标文件及招标会议上的答疑记录为准。</w:t>
      </w:r>
    </w:p>
    <w:p w14:paraId="19E8096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lang w:val="en-US" w:eastAsia="zh-CN" w:bidi="zh-CN"/>
        </w:rPr>
        <w:t>3.本合同未尽事宜，双方可以另行签署书面协议或者附件，另行签署的相关文件或附件与本合同具有同等效力。</w:t>
      </w:r>
      <w:r>
        <w:rPr>
          <w:rFonts w:hint="eastAsia" w:ascii="仿宋" w:hAnsi="仿宋" w:eastAsia="仿宋" w:cs="仿宋"/>
          <w:color w:val="auto"/>
          <w:sz w:val="24"/>
          <w:szCs w:val="24"/>
          <w:highlight w:val="none"/>
          <w:lang w:val="en-US" w:eastAsia="zh-CN" w:bidi="zh-CN"/>
        </w:rPr>
        <w:t>（注：打印前需完善“</w:t>
      </w:r>
      <w:r>
        <w:rPr>
          <w:rFonts w:hint="eastAsia" w:ascii="仿宋" w:hAnsi="仿宋" w:eastAsia="仿宋" w:cs="仿宋"/>
          <w:color w:val="auto"/>
          <w:sz w:val="24"/>
          <w:szCs w:val="24"/>
          <w:highlight w:val="none"/>
          <w:u w:val="single"/>
          <w:lang w:val="en-US" w:eastAsia="zh-CN" w:bidi="zh-CN"/>
        </w:rPr>
        <w:t xml:space="preserve">   </w:t>
      </w:r>
      <w:r>
        <w:rPr>
          <w:rFonts w:hint="eastAsia" w:ascii="仿宋" w:hAnsi="仿宋" w:eastAsia="仿宋" w:cs="仿宋"/>
          <w:color w:val="auto"/>
          <w:sz w:val="24"/>
          <w:szCs w:val="24"/>
          <w:highlight w:val="none"/>
          <w:lang w:val="en-US" w:eastAsia="zh-CN" w:bidi="zh-CN"/>
        </w:rPr>
        <w:t>”中内容，否则将本条款删除）</w:t>
      </w:r>
    </w:p>
    <w:p w14:paraId="26DE8F4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4.本合同为清洁打印文本，任何修改和补充、任何非打印的文字或图形均须经甲乙双方书面确认，否则不产生约束力。</w:t>
      </w:r>
    </w:p>
    <w:p w14:paraId="208C0099">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5.甲方指定</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lang w:val="en-US" w:eastAsia="zh-CN" w:bidi="zh-CN"/>
        </w:rPr>
        <w:t>（联系方式：</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lang w:val="en-US" w:eastAsia="zh-CN" w:bidi="zh-CN"/>
        </w:rPr>
        <w:t>）为联络人；乙方指定</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lang w:val="en-US" w:eastAsia="zh-CN" w:bidi="zh-CN"/>
        </w:rPr>
        <w:t>（联系方式：</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color w:val="auto"/>
          <w:sz w:val="24"/>
          <w:szCs w:val="24"/>
          <w:lang w:val="en-US" w:eastAsia="zh-CN" w:bidi="zh-CN"/>
        </w:rPr>
        <w:t>）为联络人。甲乙双方所指定联络人为本合同履行所做出的任何意思表示及所签署的任何文件均代表甲乙双方的真实意思表示，如需更换联络人或其联系方式甲乙双方均需提前三日以书面形式告知相对方，否则造成的一切不利后果均由未按约告知方自行承担。</w:t>
      </w:r>
    </w:p>
    <w:p w14:paraId="6E4CBCAF">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6.</w:t>
      </w:r>
      <w:r>
        <w:rPr>
          <w:rFonts w:hint="eastAsia" w:ascii="仿宋" w:hAnsi="仿宋" w:eastAsia="仿宋" w:cs="仿宋"/>
          <w:b/>
          <w:bCs/>
          <w:color w:val="auto"/>
          <w:sz w:val="24"/>
          <w:szCs w:val="24"/>
          <w:u w:val="single"/>
          <w:lang w:val="en-US" w:eastAsia="zh-CN" w:bidi="zh-CN"/>
        </w:rPr>
        <w:t>当双方发生争议时，以有利于守约方的原则进行解释。</w:t>
      </w:r>
    </w:p>
    <w:p w14:paraId="4303B929">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b/>
          <w:bCs/>
          <w:color w:val="auto"/>
          <w:sz w:val="24"/>
          <w:szCs w:val="24"/>
          <w:highlight w:val="none"/>
          <w:u w:val="none"/>
          <w:lang w:val="en-US" w:eastAsia="zh-CN" w:bidi="zh-CN"/>
        </w:rPr>
      </w:pPr>
      <w:r>
        <w:rPr>
          <w:rFonts w:hint="eastAsia" w:ascii="仿宋" w:hAnsi="仿宋" w:eastAsia="仿宋" w:cs="仿宋"/>
          <w:color w:val="auto"/>
          <w:sz w:val="24"/>
          <w:szCs w:val="24"/>
          <w:lang w:val="en-US" w:eastAsia="zh-CN" w:bidi="zh-CN"/>
        </w:rPr>
        <w:t xml:space="preserve">7.其他补充约定： </w:t>
      </w:r>
      <w:r>
        <w:rPr>
          <w:rFonts w:hint="eastAsia" w:ascii="仿宋" w:hAnsi="仿宋" w:eastAsia="仿宋" w:cs="仿宋"/>
          <w:color w:val="auto"/>
          <w:sz w:val="24"/>
          <w:szCs w:val="24"/>
          <w:u w:val="single"/>
          <w:lang w:val="en-US" w:eastAsia="zh-CN" w:bidi="zh-CN"/>
        </w:rPr>
        <w:t xml:space="preserve">                       </w:t>
      </w:r>
      <w:r>
        <w:rPr>
          <w:rFonts w:hint="eastAsia" w:ascii="仿宋" w:hAnsi="仿宋" w:eastAsia="仿宋" w:cs="仿宋"/>
          <w:b/>
          <w:bCs/>
          <w:color w:val="auto"/>
          <w:sz w:val="24"/>
          <w:szCs w:val="24"/>
          <w:u w:val="none"/>
          <w:lang w:val="en-US" w:eastAsia="zh-CN" w:bidi="zh-CN"/>
        </w:rPr>
        <w:t>（本条款之约定与其他约定不一致的，以本条款之约定为准）。</w:t>
      </w:r>
      <w:r>
        <w:rPr>
          <w:rFonts w:hint="eastAsia" w:ascii="仿宋" w:hAnsi="仿宋" w:eastAsia="仿宋" w:cs="仿宋"/>
          <w:b/>
          <w:bCs/>
          <w:color w:val="auto"/>
          <w:sz w:val="24"/>
          <w:szCs w:val="24"/>
          <w:highlight w:val="none"/>
          <w:u w:val="none"/>
          <w:lang w:val="en-US" w:eastAsia="zh-CN" w:bidi="zh-CN"/>
        </w:rPr>
        <w:t>注：若无补充约定，则建议在下滑线处载明“/”或“无”。</w:t>
      </w:r>
    </w:p>
    <w:p w14:paraId="18E873A2">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80" w:firstLineChars="200"/>
        <w:jc w:val="left"/>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（以下为本合同签署处及合同附件）</w:t>
      </w:r>
    </w:p>
    <w:tbl>
      <w:tblPr>
        <w:tblStyle w:val="30"/>
        <w:tblpPr w:leftFromText="180" w:rightFromText="180" w:vertAnchor="text" w:horzAnchor="page" w:tblpX="1537" w:tblpY="3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3"/>
        <w:gridCol w:w="4118"/>
      </w:tblGrid>
      <w:tr w14:paraId="0528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23" w:type="dxa"/>
            <w:tcBorders>
              <w:bottom w:val="nil"/>
              <w:right w:val="single" w:color="auto" w:sz="4" w:space="0"/>
            </w:tcBorders>
          </w:tcPr>
          <w:p w14:paraId="6FA75F5E">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en-US" w:eastAsia="zh-CN" w:bidi="zh-CN"/>
              </w:rPr>
            </w:pPr>
            <w:r>
              <w:rPr>
                <w:rFonts w:hint="eastAsia" w:ascii="仿宋" w:hAnsi="仿宋" w:eastAsia="仿宋" w:cs="仿宋"/>
                <w:color w:val="auto"/>
                <w:spacing w:val="-26"/>
                <w:sz w:val="21"/>
                <w:szCs w:val="22"/>
                <w:lang w:val="en-US" w:eastAsia="zh-CN" w:bidi="zh-CN"/>
              </w:rPr>
              <w:t>甲</w:t>
            </w:r>
            <w:r>
              <w:rPr>
                <w:rFonts w:hint="eastAsia" w:ascii="仿宋" w:hAnsi="仿宋" w:eastAsia="仿宋" w:cs="仿宋"/>
                <w:color w:val="auto"/>
                <w:spacing w:val="-26"/>
                <w:sz w:val="21"/>
                <w:szCs w:val="22"/>
                <w:lang w:val="zh-CN" w:eastAsia="zh-CN" w:bidi="zh-CN"/>
              </w:rPr>
              <w:t>方</w:t>
            </w:r>
            <w:r>
              <w:rPr>
                <w:rFonts w:hint="eastAsia" w:ascii="仿宋" w:hAnsi="仿宋" w:eastAsia="仿宋" w:cs="仿宋"/>
                <w:color w:val="auto"/>
                <w:spacing w:val="-3"/>
                <w:sz w:val="21"/>
                <w:szCs w:val="22"/>
                <w:lang w:val="zh-CN" w:eastAsia="zh-CN" w:bidi="zh-CN"/>
              </w:rPr>
              <w:t>（</w:t>
            </w:r>
            <w:r>
              <w:rPr>
                <w:rFonts w:hint="eastAsia" w:ascii="仿宋" w:hAnsi="仿宋" w:eastAsia="仿宋" w:cs="仿宋"/>
                <w:color w:val="auto"/>
                <w:sz w:val="21"/>
                <w:szCs w:val="22"/>
                <w:lang w:val="zh-CN" w:eastAsia="zh-CN" w:bidi="zh-CN"/>
              </w:rPr>
              <w:t>章</w:t>
            </w:r>
            <w:r>
              <w:rPr>
                <w:rFonts w:hint="eastAsia" w:ascii="仿宋" w:hAnsi="仿宋" w:eastAsia="仿宋" w:cs="仿宋"/>
                <w:color w:val="auto"/>
                <w:spacing w:val="-52"/>
                <w:sz w:val="21"/>
                <w:szCs w:val="22"/>
                <w:lang w:val="zh-CN" w:eastAsia="zh-CN" w:bidi="zh-CN"/>
              </w:rPr>
              <w:t>）</w:t>
            </w:r>
            <w:r>
              <w:rPr>
                <w:rFonts w:hint="eastAsia" w:ascii="仿宋" w:hAnsi="仿宋" w:eastAsia="仿宋" w:cs="仿宋"/>
                <w:color w:val="auto"/>
                <w:spacing w:val="-8"/>
                <w:sz w:val="21"/>
                <w:szCs w:val="22"/>
                <w:lang w:val="zh-CN" w:eastAsia="zh-CN" w:bidi="zh-CN"/>
              </w:rPr>
              <w:t>：</w:t>
            </w:r>
          </w:p>
        </w:tc>
        <w:tc>
          <w:tcPr>
            <w:tcW w:w="4118" w:type="dxa"/>
            <w:tcBorders>
              <w:top w:val="single" w:color="auto" w:sz="4" w:space="0"/>
              <w:left w:val="single" w:color="auto" w:sz="4" w:space="0"/>
              <w:bottom w:val="nil"/>
              <w:right w:val="single" w:color="auto" w:sz="4" w:space="0"/>
            </w:tcBorders>
          </w:tcPr>
          <w:p w14:paraId="0FCB203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en-US" w:eastAsia="zh-CN" w:bidi="zh-CN"/>
              </w:rPr>
              <w:t>乙</w:t>
            </w:r>
            <w:r>
              <w:rPr>
                <w:rFonts w:hint="eastAsia" w:ascii="仿宋" w:hAnsi="仿宋" w:eastAsia="仿宋" w:cs="仿宋"/>
                <w:color w:val="auto"/>
                <w:sz w:val="21"/>
                <w:szCs w:val="22"/>
                <w:lang w:val="zh-CN" w:eastAsia="zh-CN" w:bidi="zh-CN"/>
              </w:rPr>
              <w:t>方（章）：</w:t>
            </w:r>
          </w:p>
        </w:tc>
      </w:tr>
      <w:tr w14:paraId="76740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23" w:type="dxa"/>
            <w:tcBorders>
              <w:top w:val="nil"/>
              <w:bottom w:val="nil"/>
              <w:right w:val="single" w:color="auto" w:sz="4" w:space="0"/>
            </w:tcBorders>
          </w:tcPr>
          <w:p w14:paraId="1F15735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p>
        </w:tc>
        <w:tc>
          <w:tcPr>
            <w:tcW w:w="4118" w:type="dxa"/>
            <w:tcBorders>
              <w:top w:val="nil"/>
              <w:left w:val="single" w:color="auto" w:sz="4" w:space="0"/>
              <w:bottom w:val="nil"/>
              <w:right w:val="single" w:color="auto" w:sz="4" w:space="0"/>
            </w:tcBorders>
          </w:tcPr>
          <w:p w14:paraId="23F8EA5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p>
        </w:tc>
      </w:tr>
      <w:tr w14:paraId="6924E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23" w:type="dxa"/>
            <w:tcBorders>
              <w:top w:val="nil"/>
              <w:bottom w:val="nil"/>
              <w:right w:val="single" w:color="auto" w:sz="4" w:space="0"/>
            </w:tcBorders>
          </w:tcPr>
          <w:p w14:paraId="0B05BF0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zh-CN" w:eastAsia="zh-CN" w:bidi="zh-CN"/>
              </w:rPr>
              <w:t xml:space="preserve">地址： </w:t>
            </w:r>
          </w:p>
        </w:tc>
        <w:tc>
          <w:tcPr>
            <w:tcW w:w="4118" w:type="dxa"/>
            <w:tcBorders>
              <w:top w:val="nil"/>
              <w:left w:val="single" w:color="auto" w:sz="4" w:space="0"/>
              <w:bottom w:val="nil"/>
              <w:right w:val="single" w:color="auto" w:sz="4" w:space="0"/>
            </w:tcBorders>
          </w:tcPr>
          <w:p w14:paraId="26055C7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zh-CN" w:eastAsia="zh-CN" w:bidi="zh-CN"/>
              </w:rPr>
              <w:t xml:space="preserve">地址： </w:t>
            </w:r>
          </w:p>
        </w:tc>
      </w:tr>
      <w:tr w14:paraId="6777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23" w:type="dxa"/>
            <w:tcBorders>
              <w:top w:val="nil"/>
              <w:bottom w:val="nil"/>
              <w:right w:val="single" w:color="auto" w:sz="4" w:space="0"/>
            </w:tcBorders>
          </w:tcPr>
          <w:p w14:paraId="616E9986">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en-US" w:eastAsia="zh-CN" w:bidi="zh-CN"/>
              </w:rPr>
            </w:pPr>
          </w:p>
        </w:tc>
        <w:tc>
          <w:tcPr>
            <w:tcW w:w="4118" w:type="dxa"/>
            <w:tcBorders>
              <w:top w:val="nil"/>
              <w:left w:val="single" w:color="auto" w:sz="4" w:space="0"/>
              <w:bottom w:val="nil"/>
              <w:right w:val="single" w:color="auto" w:sz="4" w:space="0"/>
            </w:tcBorders>
          </w:tcPr>
          <w:p w14:paraId="4E0E7CE1">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p>
        </w:tc>
      </w:tr>
      <w:tr w14:paraId="29A0D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23" w:type="dxa"/>
            <w:tcBorders>
              <w:top w:val="nil"/>
              <w:bottom w:val="nil"/>
              <w:right w:val="single" w:color="auto" w:sz="4" w:space="0"/>
            </w:tcBorders>
          </w:tcPr>
          <w:p w14:paraId="7E885EA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en-US" w:eastAsia="zh-CN" w:bidi="zh-CN"/>
              </w:rPr>
            </w:pPr>
            <w:r>
              <w:rPr>
                <w:rFonts w:hint="eastAsia" w:ascii="仿宋" w:hAnsi="仿宋" w:eastAsia="仿宋" w:cs="仿宋"/>
                <w:color w:val="auto"/>
                <w:sz w:val="21"/>
                <w:szCs w:val="22"/>
                <w:lang w:val="en-US" w:eastAsia="zh-CN" w:bidi="zh-CN"/>
              </w:rPr>
              <w:t>法定代表人或委托代理人（签字）：</w:t>
            </w:r>
          </w:p>
        </w:tc>
        <w:tc>
          <w:tcPr>
            <w:tcW w:w="4118" w:type="dxa"/>
            <w:tcBorders>
              <w:top w:val="nil"/>
              <w:left w:val="single" w:color="auto" w:sz="4" w:space="0"/>
              <w:bottom w:val="nil"/>
              <w:right w:val="single" w:color="auto" w:sz="4" w:space="0"/>
            </w:tcBorders>
          </w:tcPr>
          <w:p w14:paraId="273155E0">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en-US" w:eastAsia="zh-CN" w:bidi="zh-CN"/>
              </w:rPr>
              <w:t>法定代表人或</w:t>
            </w:r>
            <w:r>
              <w:rPr>
                <w:rFonts w:hint="eastAsia" w:ascii="仿宋" w:hAnsi="仿宋" w:eastAsia="仿宋" w:cs="仿宋"/>
                <w:color w:val="auto"/>
                <w:sz w:val="21"/>
                <w:szCs w:val="22"/>
                <w:lang w:val="zh-CN" w:eastAsia="zh-CN" w:bidi="zh-CN"/>
              </w:rPr>
              <w:t>委托代理人</w:t>
            </w:r>
            <w:r>
              <w:rPr>
                <w:rFonts w:hint="eastAsia" w:ascii="仿宋" w:hAnsi="仿宋" w:eastAsia="仿宋" w:cs="仿宋"/>
                <w:color w:val="auto"/>
                <w:sz w:val="21"/>
                <w:szCs w:val="22"/>
                <w:lang w:val="en-US" w:eastAsia="zh-CN" w:bidi="zh-CN"/>
              </w:rPr>
              <w:t>（签字）</w:t>
            </w:r>
            <w:r>
              <w:rPr>
                <w:rFonts w:hint="eastAsia" w:ascii="仿宋" w:hAnsi="仿宋" w:eastAsia="仿宋" w:cs="仿宋"/>
                <w:color w:val="auto"/>
                <w:sz w:val="21"/>
                <w:szCs w:val="22"/>
                <w:lang w:val="zh-CN" w:eastAsia="zh-CN" w:bidi="zh-CN"/>
              </w:rPr>
              <w:t xml:space="preserve">： </w:t>
            </w:r>
          </w:p>
        </w:tc>
      </w:tr>
      <w:tr w14:paraId="1C0F0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23" w:type="dxa"/>
            <w:tcBorders>
              <w:top w:val="nil"/>
              <w:bottom w:val="nil"/>
              <w:right w:val="single" w:color="auto" w:sz="4" w:space="0"/>
            </w:tcBorders>
          </w:tcPr>
          <w:p w14:paraId="1F4ECA7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zh-CN" w:eastAsia="zh-CN" w:bidi="zh-CN"/>
              </w:rPr>
              <w:t>电话：</w:t>
            </w:r>
            <w:r>
              <w:rPr>
                <w:rFonts w:hint="eastAsia" w:ascii="仿宋" w:hAnsi="仿宋" w:eastAsia="仿宋" w:cs="仿宋"/>
                <w:color w:val="auto"/>
                <w:sz w:val="21"/>
                <w:szCs w:val="22"/>
                <w:lang w:val="en-US" w:eastAsia="zh-CN" w:bidi="zh-CN"/>
              </w:rPr>
              <w:t xml:space="preserve"> </w:t>
            </w:r>
            <w:r>
              <w:rPr>
                <w:rFonts w:hint="eastAsia" w:ascii="仿宋" w:hAnsi="仿宋" w:eastAsia="仿宋" w:cs="仿宋"/>
                <w:color w:val="auto"/>
                <w:sz w:val="30"/>
                <w:szCs w:val="30"/>
                <w:lang w:val="zh-CN" w:eastAsia="zh-CN" w:bidi="zh-CN"/>
              </w:rPr>
              <w:t xml:space="preserve"> </w:t>
            </w:r>
          </w:p>
        </w:tc>
        <w:tc>
          <w:tcPr>
            <w:tcW w:w="4118" w:type="dxa"/>
            <w:tcBorders>
              <w:top w:val="nil"/>
              <w:left w:val="single" w:color="auto" w:sz="4" w:space="0"/>
              <w:bottom w:val="nil"/>
              <w:right w:val="single" w:color="auto" w:sz="4" w:space="0"/>
            </w:tcBorders>
          </w:tcPr>
          <w:p w14:paraId="0FB6159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zh-CN" w:eastAsia="zh-CN" w:bidi="zh-CN"/>
              </w:rPr>
              <w:t>电话：</w:t>
            </w:r>
          </w:p>
        </w:tc>
      </w:tr>
      <w:tr w14:paraId="2BF2F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23" w:type="dxa"/>
            <w:tcBorders>
              <w:top w:val="nil"/>
              <w:bottom w:val="nil"/>
              <w:right w:val="single" w:color="auto" w:sz="4" w:space="0"/>
            </w:tcBorders>
          </w:tcPr>
          <w:p w14:paraId="69FF980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zh-CN" w:eastAsia="zh-CN" w:bidi="zh-CN"/>
              </w:rPr>
              <w:t>开户银行：</w:t>
            </w:r>
            <w:r>
              <w:rPr>
                <w:rFonts w:hint="eastAsia" w:ascii="仿宋" w:hAnsi="仿宋" w:eastAsia="仿宋" w:cs="仿宋"/>
                <w:color w:val="auto"/>
                <w:sz w:val="21"/>
                <w:szCs w:val="22"/>
                <w:lang w:val="en-US" w:eastAsia="zh-CN" w:bidi="zh-CN"/>
              </w:rPr>
              <w:t>行</w:t>
            </w:r>
          </w:p>
        </w:tc>
        <w:tc>
          <w:tcPr>
            <w:tcW w:w="4118" w:type="dxa"/>
            <w:tcBorders>
              <w:top w:val="nil"/>
              <w:left w:val="single" w:color="auto" w:sz="4" w:space="0"/>
              <w:bottom w:val="nil"/>
              <w:right w:val="single" w:color="auto" w:sz="4" w:space="0"/>
            </w:tcBorders>
          </w:tcPr>
          <w:p w14:paraId="2DCF6E1D">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zh-CN" w:eastAsia="zh-CN" w:bidi="zh-CN"/>
              </w:rPr>
              <w:t>开户银行：</w:t>
            </w:r>
          </w:p>
        </w:tc>
      </w:tr>
      <w:tr w14:paraId="1E459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523" w:type="dxa"/>
            <w:tcBorders>
              <w:top w:val="nil"/>
              <w:bottom w:val="nil"/>
              <w:right w:val="single" w:color="auto" w:sz="4" w:space="0"/>
            </w:tcBorders>
          </w:tcPr>
          <w:p w14:paraId="0A2E3AF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p>
        </w:tc>
        <w:tc>
          <w:tcPr>
            <w:tcW w:w="4118" w:type="dxa"/>
            <w:tcBorders>
              <w:top w:val="nil"/>
              <w:left w:val="single" w:color="auto" w:sz="4" w:space="0"/>
              <w:bottom w:val="nil"/>
              <w:right w:val="single" w:color="auto" w:sz="4" w:space="0"/>
            </w:tcBorders>
          </w:tcPr>
          <w:p w14:paraId="1341A6F1">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p>
        </w:tc>
      </w:tr>
      <w:tr w14:paraId="281AE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523" w:type="dxa"/>
            <w:tcBorders>
              <w:top w:val="nil"/>
              <w:right w:val="single" w:color="auto" w:sz="4" w:space="0"/>
            </w:tcBorders>
          </w:tcPr>
          <w:p w14:paraId="702C1483">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zh-CN" w:eastAsia="zh-CN" w:bidi="zh-CN"/>
              </w:rPr>
              <w:t>帐号：</w:t>
            </w:r>
          </w:p>
        </w:tc>
        <w:tc>
          <w:tcPr>
            <w:tcW w:w="4118" w:type="dxa"/>
            <w:tcBorders>
              <w:top w:val="nil"/>
              <w:left w:val="single" w:color="auto" w:sz="4" w:space="0"/>
              <w:bottom w:val="single" w:color="auto" w:sz="4" w:space="0"/>
              <w:right w:val="single" w:color="auto" w:sz="4" w:space="0"/>
            </w:tcBorders>
          </w:tcPr>
          <w:p w14:paraId="4A4826A4">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jc w:val="left"/>
              <w:textAlignment w:val="auto"/>
              <w:rPr>
                <w:rFonts w:hint="eastAsia" w:ascii="仿宋" w:hAnsi="仿宋" w:eastAsia="仿宋" w:cs="仿宋"/>
                <w:color w:val="auto"/>
                <w:sz w:val="21"/>
                <w:szCs w:val="22"/>
                <w:lang w:val="zh-CN" w:eastAsia="zh-CN" w:bidi="zh-CN"/>
              </w:rPr>
            </w:pPr>
            <w:r>
              <w:rPr>
                <w:rFonts w:hint="eastAsia" w:ascii="仿宋" w:hAnsi="仿宋" w:eastAsia="仿宋" w:cs="仿宋"/>
                <w:color w:val="auto"/>
                <w:sz w:val="21"/>
                <w:szCs w:val="22"/>
                <w:lang w:val="zh-CN" w:eastAsia="zh-CN" w:bidi="zh-CN"/>
              </w:rPr>
              <w:t>帐号：</w:t>
            </w:r>
          </w:p>
        </w:tc>
      </w:tr>
    </w:tbl>
    <w:p w14:paraId="2C773A7D">
      <w:pPr>
        <w:autoSpaceDE w:val="0"/>
        <w:autoSpaceDN w:val="0"/>
        <w:bidi w:val="0"/>
        <w:spacing w:before="0" w:after="0" w:line="240" w:lineRule="auto"/>
        <w:ind w:left="0" w:right="0"/>
        <w:jc w:val="left"/>
        <w:rPr>
          <w:rFonts w:hint="eastAsia" w:ascii="仿宋" w:hAnsi="仿宋" w:eastAsia="仿宋" w:cs="仿宋"/>
          <w:color w:val="auto"/>
          <w:kern w:val="0"/>
          <w:sz w:val="22"/>
          <w:szCs w:val="22"/>
          <w:lang w:val="zh-CN" w:eastAsia="zh-CN" w:bidi="zh-CN"/>
        </w:rPr>
      </w:pPr>
    </w:p>
    <w:p w14:paraId="09785721">
      <w:pPr>
        <w:outlineLvl w:val="9"/>
        <w:rPr>
          <w:rFonts w:hint="eastAsia" w:ascii="仿宋" w:hAnsi="仿宋" w:eastAsia="仿宋" w:cs="仿宋"/>
          <w:color w:val="auto"/>
          <w:sz w:val="24"/>
          <w:szCs w:val="24"/>
          <w:highlight w:val="none"/>
        </w:rPr>
      </w:pPr>
    </w:p>
    <w:sectPr>
      <w:headerReference r:id="rId4" w:type="default"/>
      <w:footerReference r:id="rId5"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_x000B__x000C_">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3144">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D0F3A">
                          <w:pPr>
                            <w:pStyle w:val="1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AD0F3A">
                    <w:pPr>
                      <w:pStyle w:val="1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2612">
    <w:pPr>
      <w:pStyle w:val="20"/>
      <w:pBdr>
        <w:bottom w:val="double" w:color="auto" w:sz="8"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FFD8">
    <w:pPr>
      <w:pStyle w:val="20"/>
      <w:pBdr>
        <w:bottom w:val="double" w:color="auto" w:sz="8" w:space="0"/>
      </w:pBdr>
      <w:jc w:val="left"/>
    </w:pPr>
  </w:p>
  <w:p w14:paraId="2AAA1F72">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D0104"/>
    <w:multiLevelType w:val="singleLevel"/>
    <w:tmpl w:val="8B3D0104"/>
    <w:lvl w:ilvl="0" w:tentative="0">
      <w:start w:val="3"/>
      <w:numFmt w:val="decimal"/>
      <w:lvlText w:val="%1."/>
      <w:lvlJc w:val="left"/>
      <w:pPr>
        <w:tabs>
          <w:tab w:val="left" w:pos="312"/>
        </w:tabs>
      </w:pPr>
      <w:rPr>
        <w:rFonts w:hint="default"/>
        <w:color w:val="000000" w:themeColor="text1"/>
        <w14:textFill>
          <w14:solidFill>
            <w14:schemeClr w14:val="tx1"/>
          </w14:solidFill>
        </w14:textFill>
      </w:rPr>
    </w:lvl>
  </w:abstractNum>
  <w:abstractNum w:abstractNumId="1">
    <w:nsid w:val="93CB77FE"/>
    <w:multiLevelType w:val="singleLevel"/>
    <w:tmpl w:val="93CB77FE"/>
    <w:lvl w:ilvl="0" w:tentative="0">
      <w:start w:val="2"/>
      <w:numFmt w:val="chineseCounting"/>
      <w:suff w:val="space"/>
      <w:lvlText w:val="第%1条"/>
      <w:lvlJc w:val="left"/>
      <w:rPr>
        <w:rFonts w:hint="eastAsia"/>
      </w:rPr>
    </w:lvl>
  </w:abstractNum>
  <w:abstractNum w:abstractNumId="2">
    <w:nsid w:val="9E9EED5D"/>
    <w:multiLevelType w:val="singleLevel"/>
    <w:tmpl w:val="9E9EED5D"/>
    <w:lvl w:ilvl="0" w:tentative="0">
      <w:start w:val="1"/>
      <w:numFmt w:val="decimal"/>
      <w:lvlText w:val="%1."/>
      <w:lvlJc w:val="left"/>
      <w:pPr>
        <w:tabs>
          <w:tab w:val="left" w:pos="312"/>
        </w:tabs>
      </w:pPr>
    </w:lvl>
  </w:abstractNum>
  <w:abstractNum w:abstractNumId="3">
    <w:nsid w:val="00000001"/>
    <w:multiLevelType w:val="multilevel"/>
    <w:tmpl w:val="00000001"/>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00000006"/>
    <w:multiLevelType w:val="multilevel"/>
    <w:tmpl w:val="00000006"/>
    <w:lvl w:ilvl="0" w:tentative="0">
      <w:start w:val="1"/>
      <w:numFmt w:val="upperLetter"/>
      <w:pStyle w:val="43"/>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5">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81"/>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195599DC"/>
    <w:multiLevelType w:val="singleLevel"/>
    <w:tmpl w:val="195599DC"/>
    <w:lvl w:ilvl="0" w:tentative="0">
      <w:start w:val="5"/>
      <w:numFmt w:val="decimal"/>
      <w:suff w:val="space"/>
      <w:lvlText w:val="第%1章"/>
      <w:lvlJc w:val="left"/>
    </w:lvl>
  </w:abstractNum>
  <w:abstractNum w:abstractNumId="7">
    <w:nsid w:val="55828DFF"/>
    <w:multiLevelType w:val="multilevel"/>
    <w:tmpl w:val="55828DFF"/>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89"/>
      <w:lvlText w:val="%1.%2.%3."/>
      <w:lvlJc w:val="left"/>
      <w:pPr>
        <w:tabs>
          <w:tab w:val="left" w:pos="720"/>
        </w:tabs>
        <w:ind w:left="720" w:hanging="720"/>
      </w:pPr>
      <w:rPr>
        <w:rFonts w:hint="default" w:ascii="Times New Roman" w:hAnsi="Times New Roman" w:eastAsia="黑体" w:cs="Times New Roman"/>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90"/>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num w:numId="1">
    <w:abstractNumId w:val="5"/>
  </w:num>
  <w:num w:numId="2">
    <w:abstractNumId w:val="4"/>
  </w:num>
  <w:num w:numId="3">
    <w:abstractNumId w:val="7"/>
  </w:num>
  <w:num w:numId="4">
    <w:abstractNumId w:val="3"/>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Y2RhMjFjNzFmZGYwODMwMjcyYWI4ODdlNWRlMzIifQ=="/>
  </w:docVars>
  <w:rsids>
    <w:rsidRoot w:val="00000000"/>
    <w:rsid w:val="00081654"/>
    <w:rsid w:val="00186BF0"/>
    <w:rsid w:val="00281F65"/>
    <w:rsid w:val="00320039"/>
    <w:rsid w:val="003A4DB8"/>
    <w:rsid w:val="00417EF4"/>
    <w:rsid w:val="004D6899"/>
    <w:rsid w:val="005F037B"/>
    <w:rsid w:val="006360BD"/>
    <w:rsid w:val="0073763C"/>
    <w:rsid w:val="008E53B2"/>
    <w:rsid w:val="009E5347"/>
    <w:rsid w:val="00A010BF"/>
    <w:rsid w:val="00A20AC9"/>
    <w:rsid w:val="00A34580"/>
    <w:rsid w:val="00AE30B0"/>
    <w:rsid w:val="00B22F90"/>
    <w:rsid w:val="00B40FC0"/>
    <w:rsid w:val="00B5443F"/>
    <w:rsid w:val="00B71F65"/>
    <w:rsid w:val="00CA58C6"/>
    <w:rsid w:val="00DE5743"/>
    <w:rsid w:val="00E80370"/>
    <w:rsid w:val="010C0502"/>
    <w:rsid w:val="01113BE8"/>
    <w:rsid w:val="014632E9"/>
    <w:rsid w:val="014E721F"/>
    <w:rsid w:val="01621A8C"/>
    <w:rsid w:val="016A347B"/>
    <w:rsid w:val="017B2BE6"/>
    <w:rsid w:val="017B7CDB"/>
    <w:rsid w:val="0192652E"/>
    <w:rsid w:val="01AC75F0"/>
    <w:rsid w:val="01B36BD0"/>
    <w:rsid w:val="01D60B10"/>
    <w:rsid w:val="01E24E4B"/>
    <w:rsid w:val="02036538"/>
    <w:rsid w:val="023F0464"/>
    <w:rsid w:val="02445A7A"/>
    <w:rsid w:val="0247556A"/>
    <w:rsid w:val="02714395"/>
    <w:rsid w:val="02775E4F"/>
    <w:rsid w:val="0281282A"/>
    <w:rsid w:val="02A00FF1"/>
    <w:rsid w:val="02A418D7"/>
    <w:rsid w:val="02BD2F28"/>
    <w:rsid w:val="02C933CD"/>
    <w:rsid w:val="02CB1CF7"/>
    <w:rsid w:val="02CD36F4"/>
    <w:rsid w:val="02DD1F30"/>
    <w:rsid w:val="02E44052"/>
    <w:rsid w:val="02E86A9C"/>
    <w:rsid w:val="02EF2801"/>
    <w:rsid w:val="030D2310"/>
    <w:rsid w:val="032338E1"/>
    <w:rsid w:val="0328714A"/>
    <w:rsid w:val="032923D9"/>
    <w:rsid w:val="032D29B2"/>
    <w:rsid w:val="033C6899"/>
    <w:rsid w:val="03557E34"/>
    <w:rsid w:val="03635BA2"/>
    <w:rsid w:val="036A59B4"/>
    <w:rsid w:val="0370464D"/>
    <w:rsid w:val="037C7496"/>
    <w:rsid w:val="039B2F0B"/>
    <w:rsid w:val="039B6747"/>
    <w:rsid w:val="03A07E5E"/>
    <w:rsid w:val="03A17621"/>
    <w:rsid w:val="03AF4EB5"/>
    <w:rsid w:val="03B15391"/>
    <w:rsid w:val="03B24C65"/>
    <w:rsid w:val="03CC1FC2"/>
    <w:rsid w:val="03CD7CF8"/>
    <w:rsid w:val="03D60954"/>
    <w:rsid w:val="03E00F19"/>
    <w:rsid w:val="03F139E0"/>
    <w:rsid w:val="04071455"/>
    <w:rsid w:val="040C0819"/>
    <w:rsid w:val="0418202A"/>
    <w:rsid w:val="041B6CAE"/>
    <w:rsid w:val="042042C5"/>
    <w:rsid w:val="0422003D"/>
    <w:rsid w:val="042647B4"/>
    <w:rsid w:val="043F0538"/>
    <w:rsid w:val="0442248D"/>
    <w:rsid w:val="045B52FD"/>
    <w:rsid w:val="048E7480"/>
    <w:rsid w:val="04926F71"/>
    <w:rsid w:val="04956A61"/>
    <w:rsid w:val="04C64E6C"/>
    <w:rsid w:val="04DA0DAB"/>
    <w:rsid w:val="04E11CA6"/>
    <w:rsid w:val="04E946B7"/>
    <w:rsid w:val="05151950"/>
    <w:rsid w:val="051A6F66"/>
    <w:rsid w:val="05241B93"/>
    <w:rsid w:val="052A61F4"/>
    <w:rsid w:val="052B035A"/>
    <w:rsid w:val="052E222C"/>
    <w:rsid w:val="05652F4C"/>
    <w:rsid w:val="05A401A4"/>
    <w:rsid w:val="05AA2098"/>
    <w:rsid w:val="05B13426"/>
    <w:rsid w:val="05B178CA"/>
    <w:rsid w:val="05B918D7"/>
    <w:rsid w:val="05E74AEF"/>
    <w:rsid w:val="05EE467B"/>
    <w:rsid w:val="05F0727E"/>
    <w:rsid w:val="05F9301F"/>
    <w:rsid w:val="06043E9E"/>
    <w:rsid w:val="060A6FDB"/>
    <w:rsid w:val="062513A7"/>
    <w:rsid w:val="065169B7"/>
    <w:rsid w:val="065232F6"/>
    <w:rsid w:val="066E1317"/>
    <w:rsid w:val="068B1EC9"/>
    <w:rsid w:val="068C3E93"/>
    <w:rsid w:val="069D39AB"/>
    <w:rsid w:val="06A27213"/>
    <w:rsid w:val="06A905A2"/>
    <w:rsid w:val="06B82B89"/>
    <w:rsid w:val="06BF5690"/>
    <w:rsid w:val="06C4362D"/>
    <w:rsid w:val="06CD0C1A"/>
    <w:rsid w:val="06ED4932"/>
    <w:rsid w:val="070677A2"/>
    <w:rsid w:val="070E48A8"/>
    <w:rsid w:val="07155A8F"/>
    <w:rsid w:val="072A6B99"/>
    <w:rsid w:val="073C1416"/>
    <w:rsid w:val="07407ED7"/>
    <w:rsid w:val="07577514"/>
    <w:rsid w:val="07593D76"/>
    <w:rsid w:val="07623E5D"/>
    <w:rsid w:val="07666493"/>
    <w:rsid w:val="077A1B80"/>
    <w:rsid w:val="078F1CCE"/>
    <w:rsid w:val="07A11524"/>
    <w:rsid w:val="07A44D2D"/>
    <w:rsid w:val="07C1191B"/>
    <w:rsid w:val="07C92D30"/>
    <w:rsid w:val="07D459E5"/>
    <w:rsid w:val="080B2B96"/>
    <w:rsid w:val="080F6B2A"/>
    <w:rsid w:val="084B1AA8"/>
    <w:rsid w:val="08573CD6"/>
    <w:rsid w:val="08595E73"/>
    <w:rsid w:val="0861131E"/>
    <w:rsid w:val="086C1BEB"/>
    <w:rsid w:val="08752E31"/>
    <w:rsid w:val="088F0C53"/>
    <w:rsid w:val="08C1200F"/>
    <w:rsid w:val="08D60107"/>
    <w:rsid w:val="08D833C0"/>
    <w:rsid w:val="08E12275"/>
    <w:rsid w:val="08E13DC4"/>
    <w:rsid w:val="08E458C1"/>
    <w:rsid w:val="08E55999"/>
    <w:rsid w:val="08E873D7"/>
    <w:rsid w:val="08EE04EE"/>
    <w:rsid w:val="08F024B8"/>
    <w:rsid w:val="08F32F05"/>
    <w:rsid w:val="08F86759"/>
    <w:rsid w:val="08FF2615"/>
    <w:rsid w:val="09016473"/>
    <w:rsid w:val="09033A4F"/>
    <w:rsid w:val="090441B5"/>
    <w:rsid w:val="090B72F2"/>
    <w:rsid w:val="090D0669"/>
    <w:rsid w:val="091B4EA8"/>
    <w:rsid w:val="091C0C95"/>
    <w:rsid w:val="09532A47"/>
    <w:rsid w:val="095347F5"/>
    <w:rsid w:val="095C0648"/>
    <w:rsid w:val="096125FF"/>
    <w:rsid w:val="097E5D15"/>
    <w:rsid w:val="0989582F"/>
    <w:rsid w:val="099A0675"/>
    <w:rsid w:val="09A03C4E"/>
    <w:rsid w:val="09A07FFE"/>
    <w:rsid w:val="09C6272F"/>
    <w:rsid w:val="09CD1222"/>
    <w:rsid w:val="09E029B5"/>
    <w:rsid w:val="09F61AD0"/>
    <w:rsid w:val="09FD66D9"/>
    <w:rsid w:val="0A074BE8"/>
    <w:rsid w:val="0A2F3B17"/>
    <w:rsid w:val="0A386E6F"/>
    <w:rsid w:val="0A3B1EE1"/>
    <w:rsid w:val="0A3D172D"/>
    <w:rsid w:val="0A546A76"/>
    <w:rsid w:val="0A5627EE"/>
    <w:rsid w:val="0A7333A0"/>
    <w:rsid w:val="0A960E3D"/>
    <w:rsid w:val="0AA00E18"/>
    <w:rsid w:val="0ADA0003"/>
    <w:rsid w:val="0AF04068"/>
    <w:rsid w:val="0AF50259"/>
    <w:rsid w:val="0B0C55A3"/>
    <w:rsid w:val="0B3D1979"/>
    <w:rsid w:val="0B432F08"/>
    <w:rsid w:val="0B5A00BC"/>
    <w:rsid w:val="0B6E381F"/>
    <w:rsid w:val="0B7A075E"/>
    <w:rsid w:val="0B876D63"/>
    <w:rsid w:val="0B8909A2"/>
    <w:rsid w:val="0B894DF9"/>
    <w:rsid w:val="0B8B2DEC"/>
    <w:rsid w:val="0B8D2240"/>
    <w:rsid w:val="0BBC2B25"/>
    <w:rsid w:val="0BC07AD2"/>
    <w:rsid w:val="0BD11617"/>
    <w:rsid w:val="0BE27694"/>
    <w:rsid w:val="0C063DA0"/>
    <w:rsid w:val="0C1D5661"/>
    <w:rsid w:val="0C1E558E"/>
    <w:rsid w:val="0C291FD0"/>
    <w:rsid w:val="0C300E1D"/>
    <w:rsid w:val="0C405504"/>
    <w:rsid w:val="0C4D19CF"/>
    <w:rsid w:val="0C522904"/>
    <w:rsid w:val="0C601702"/>
    <w:rsid w:val="0C7D0506"/>
    <w:rsid w:val="0C7F4408"/>
    <w:rsid w:val="0C8A49D1"/>
    <w:rsid w:val="0CCF6888"/>
    <w:rsid w:val="0CE66217"/>
    <w:rsid w:val="0CED6F2A"/>
    <w:rsid w:val="0CF84031"/>
    <w:rsid w:val="0D065FC8"/>
    <w:rsid w:val="0D0E1995"/>
    <w:rsid w:val="0D1310E7"/>
    <w:rsid w:val="0D4C2F10"/>
    <w:rsid w:val="0D4E3C51"/>
    <w:rsid w:val="0D5A43A4"/>
    <w:rsid w:val="0D837D9E"/>
    <w:rsid w:val="0D896A37"/>
    <w:rsid w:val="0D8A1A1C"/>
    <w:rsid w:val="0D957AD2"/>
    <w:rsid w:val="0D9D2C7A"/>
    <w:rsid w:val="0DB42460"/>
    <w:rsid w:val="0DCD726B"/>
    <w:rsid w:val="0DDA54E4"/>
    <w:rsid w:val="0DE849A2"/>
    <w:rsid w:val="0DF91E0E"/>
    <w:rsid w:val="0E043EE4"/>
    <w:rsid w:val="0E0F38A2"/>
    <w:rsid w:val="0E2956A2"/>
    <w:rsid w:val="0E33264F"/>
    <w:rsid w:val="0E7C47EE"/>
    <w:rsid w:val="0EAA4EB7"/>
    <w:rsid w:val="0EB16245"/>
    <w:rsid w:val="0EC5310D"/>
    <w:rsid w:val="0ECE329B"/>
    <w:rsid w:val="0EEF72C3"/>
    <w:rsid w:val="0EF61A0D"/>
    <w:rsid w:val="0EF645A0"/>
    <w:rsid w:val="0EF90F11"/>
    <w:rsid w:val="0EFE3455"/>
    <w:rsid w:val="0F113188"/>
    <w:rsid w:val="0F143C29"/>
    <w:rsid w:val="0F3853C5"/>
    <w:rsid w:val="0F4075C9"/>
    <w:rsid w:val="0F4935D9"/>
    <w:rsid w:val="0F5E2A0F"/>
    <w:rsid w:val="0F73174D"/>
    <w:rsid w:val="0F7617CD"/>
    <w:rsid w:val="0F837278"/>
    <w:rsid w:val="0F8C51D2"/>
    <w:rsid w:val="0FB32592"/>
    <w:rsid w:val="0FC54741"/>
    <w:rsid w:val="0FD14C8B"/>
    <w:rsid w:val="0FD64CFF"/>
    <w:rsid w:val="0FF652C6"/>
    <w:rsid w:val="10000D77"/>
    <w:rsid w:val="10120F66"/>
    <w:rsid w:val="10162528"/>
    <w:rsid w:val="10246EEB"/>
    <w:rsid w:val="10280789"/>
    <w:rsid w:val="10321608"/>
    <w:rsid w:val="104574EA"/>
    <w:rsid w:val="105D6D13"/>
    <w:rsid w:val="10616D58"/>
    <w:rsid w:val="107B505A"/>
    <w:rsid w:val="108300B5"/>
    <w:rsid w:val="108D7DC6"/>
    <w:rsid w:val="10901321"/>
    <w:rsid w:val="109149C6"/>
    <w:rsid w:val="109220A6"/>
    <w:rsid w:val="10950831"/>
    <w:rsid w:val="10961B97"/>
    <w:rsid w:val="10A34A6C"/>
    <w:rsid w:val="10B84B6F"/>
    <w:rsid w:val="10BE4C49"/>
    <w:rsid w:val="10C7057C"/>
    <w:rsid w:val="10E020BE"/>
    <w:rsid w:val="10EA3C90"/>
    <w:rsid w:val="112A6783"/>
    <w:rsid w:val="112F74B4"/>
    <w:rsid w:val="11375FBE"/>
    <w:rsid w:val="11503189"/>
    <w:rsid w:val="115F151F"/>
    <w:rsid w:val="116C28F7"/>
    <w:rsid w:val="11806BCC"/>
    <w:rsid w:val="119245C3"/>
    <w:rsid w:val="11AB78C4"/>
    <w:rsid w:val="11B62D5B"/>
    <w:rsid w:val="11C50105"/>
    <w:rsid w:val="11CE678B"/>
    <w:rsid w:val="11CF74C4"/>
    <w:rsid w:val="11D30BC8"/>
    <w:rsid w:val="11E50F2B"/>
    <w:rsid w:val="11FF376C"/>
    <w:rsid w:val="123C676E"/>
    <w:rsid w:val="12492972"/>
    <w:rsid w:val="12525F91"/>
    <w:rsid w:val="12592360"/>
    <w:rsid w:val="126637EB"/>
    <w:rsid w:val="126D2DCB"/>
    <w:rsid w:val="126F5464"/>
    <w:rsid w:val="1285528C"/>
    <w:rsid w:val="128937E3"/>
    <w:rsid w:val="128B14A3"/>
    <w:rsid w:val="12A460C1"/>
    <w:rsid w:val="12AC5303"/>
    <w:rsid w:val="12BB3B36"/>
    <w:rsid w:val="12DD1CFF"/>
    <w:rsid w:val="12E12E71"/>
    <w:rsid w:val="12ED5CBA"/>
    <w:rsid w:val="12EF37E0"/>
    <w:rsid w:val="12F11306"/>
    <w:rsid w:val="12FC31D3"/>
    <w:rsid w:val="130D010A"/>
    <w:rsid w:val="131905E4"/>
    <w:rsid w:val="133631BD"/>
    <w:rsid w:val="13373D29"/>
    <w:rsid w:val="135F0966"/>
    <w:rsid w:val="136E0BA9"/>
    <w:rsid w:val="1377365B"/>
    <w:rsid w:val="13785584"/>
    <w:rsid w:val="13857617"/>
    <w:rsid w:val="138D4967"/>
    <w:rsid w:val="1393060F"/>
    <w:rsid w:val="139A6651"/>
    <w:rsid w:val="13A16876"/>
    <w:rsid w:val="13B16CE7"/>
    <w:rsid w:val="13B642FE"/>
    <w:rsid w:val="13BA2040"/>
    <w:rsid w:val="13BB1914"/>
    <w:rsid w:val="13C44C6D"/>
    <w:rsid w:val="13C557BE"/>
    <w:rsid w:val="13D6315D"/>
    <w:rsid w:val="13DB225F"/>
    <w:rsid w:val="13E1581F"/>
    <w:rsid w:val="13EB21F9"/>
    <w:rsid w:val="13EF73B4"/>
    <w:rsid w:val="13F866C4"/>
    <w:rsid w:val="14027543"/>
    <w:rsid w:val="140328ED"/>
    <w:rsid w:val="140530B1"/>
    <w:rsid w:val="141C5039"/>
    <w:rsid w:val="142A5FDC"/>
    <w:rsid w:val="142B2A40"/>
    <w:rsid w:val="142E0338"/>
    <w:rsid w:val="143B3D82"/>
    <w:rsid w:val="146E4BD8"/>
    <w:rsid w:val="14700951"/>
    <w:rsid w:val="148651F0"/>
    <w:rsid w:val="149169E7"/>
    <w:rsid w:val="14AD5701"/>
    <w:rsid w:val="14C02376"/>
    <w:rsid w:val="14D329F2"/>
    <w:rsid w:val="150B2427"/>
    <w:rsid w:val="151B6B0E"/>
    <w:rsid w:val="15290693"/>
    <w:rsid w:val="15325C06"/>
    <w:rsid w:val="153A49DE"/>
    <w:rsid w:val="153D570D"/>
    <w:rsid w:val="156F0C08"/>
    <w:rsid w:val="157334D1"/>
    <w:rsid w:val="15825156"/>
    <w:rsid w:val="158E5532"/>
    <w:rsid w:val="15973CBB"/>
    <w:rsid w:val="159A283B"/>
    <w:rsid w:val="15A44D56"/>
    <w:rsid w:val="15B900D5"/>
    <w:rsid w:val="15B905DD"/>
    <w:rsid w:val="15B92770"/>
    <w:rsid w:val="15C727F2"/>
    <w:rsid w:val="15D078F9"/>
    <w:rsid w:val="15E11B06"/>
    <w:rsid w:val="15EF58A5"/>
    <w:rsid w:val="161A5018"/>
    <w:rsid w:val="161B48EC"/>
    <w:rsid w:val="1638724C"/>
    <w:rsid w:val="16421E79"/>
    <w:rsid w:val="16507CC6"/>
    <w:rsid w:val="16552373"/>
    <w:rsid w:val="166626C1"/>
    <w:rsid w:val="166B7621"/>
    <w:rsid w:val="1679118E"/>
    <w:rsid w:val="1683496B"/>
    <w:rsid w:val="16A00DA8"/>
    <w:rsid w:val="16A13043"/>
    <w:rsid w:val="16B02706"/>
    <w:rsid w:val="16D57BCB"/>
    <w:rsid w:val="16FB177F"/>
    <w:rsid w:val="170D15F4"/>
    <w:rsid w:val="171037CA"/>
    <w:rsid w:val="17123F41"/>
    <w:rsid w:val="17131521"/>
    <w:rsid w:val="17384C14"/>
    <w:rsid w:val="17393C13"/>
    <w:rsid w:val="175B20CB"/>
    <w:rsid w:val="176A116E"/>
    <w:rsid w:val="176F6C9D"/>
    <w:rsid w:val="17793FC0"/>
    <w:rsid w:val="177D47A8"/>
    <w:rsid w:val="178A7F7B"/>
    <w:rsid w:val="179018DD"/>
    <w:rsid w:val="17961E8F"/>
    <w:rsid w:val="17A65C04"/>
    <w:rsid w:val="17C82214"/>
    <w:rsid w:val="17C972FA"/>
    <w:rsid w:val="18023FB5"/>
    <w:rsid w:val="1820443C"/>
    <w:rsid w:val="187A3B4C"/>
    <w:rsid w:val="187C5B16"/>
    <w:rsid w:val="188B14FF"/>
    <w:rsid w:val="18955D2D"/>
    <w:rsid w:val="189F33C8"/>
    <w:rsid w:val="18AF6446"/>
    <w:rsid w:val="18CB43A7"/>
    <w:rsid w:val="18D13587"/>
    <w:rsid w:val="18D46B77"/>
    <w:rsid w:val="18DF7E53"/>
    <w:rsid w:val="18F51424"/>
    <w:rsid w:val="190A28AF"/>
    <w:rsid w:val="19172397"/>
    <w:rsid w:val="19203773"/>
    <w:rsid w:val="19282810"/>
    <w:rsid w:val="194505FE"/>
    <w:rsid w:val="19483C4A"/>
    <w:rsid w:val="195A1EDE"/>
    <w:rsid w:val="196F6835"/>
    <w:rsid w:val="19856C4C"/>
    <w:rsid w:val="19866520"/>
    <w:rsid w:val="19940C3D"/>
    <w:rsid w:val="1998697F"/>
    <w:rsid w:val="19A03A86"/>
    <w:rsid w:val="19A0795C"/>
    <w:rsid w:val="19D92AF4"/>
    <w:rsid w:val="19F35C26"/>
    <w:rsid w:val="1A0538E9"/>
    <w:rsid w:val="1A084B70"/>
    <w:rsid w:val="1A163D48"/>
    <w:rsid w:val="1A19736B"/>
    <w:rsid w:val="1A203775"/>
    <w:rsid w:val="1A383B94"/>
    <w:rsid w:val="1A46462D"/>
    <w:rsid w:val="1A554870"/>
    <w:rsid w:val="1A705133"/>
    <w:rsid w:val="1AD0039B"/>
    <w:rsid w:val="1AD03EF7"/>
    <w:rsid w:val="1AE254F2"/>
    <w:rsid w:val="1AEB0D31"/>
    <w:rsid w:val="1AFA464A"/>
    <w:rsid w:val="1B121D3A"/>
    <w:rsid w:val="1B1B5E81"/>
    <w:rsid w:val="1B2129A5"/>
    <w:rsid w:val="1B222DFA"/>
    <w:rsid w:val="1B2435A0"/>
    <w:rsid w:val="1B254CC7"/>
    <w:rsid w:val="1B274760"/>
    <w:rsid w:val="1B497395"/>
    <w:rsid w:val="1B4D19EC"/>
    <w:rsid w:val="1B4F63C0"/>
    <w:rsid w:val="1B50328A"/>
    <w:rsid w:val="1B614635"/>
    <w:rsid w:val="1B6D1746"/>
    <w:rsid w:val="1BB630C1"/>
    <w:rsid w:val="1BC17CE4"/>
    <w:rsid w:val="1BE0267C"/>
    <w:rsid w:val="1C2C1601"/>
    <w:rsid w:val="1C2F2E9F"/>
    <w:rsid w:val="1C38492A"/>
    <w:rsid w:val="1C3B7A96"/>
    <w:rsid w:val="1C485D0F"/>
    <w:rsid w:val="1C4C3A51"/>
    <w:rsid w:val="1C4E77C9"/>
    <w:rsid w:val="1C4F0B8B"/>
    <w:rsid w:val="1C551199"/>
    <w:rsid w:val="1C5F46E4"/>
    <w:rsid w:val="1C60574F"/>
    <w:rsid w:val="1C6276B3"/>
    <w:rsid w:val="1C662D65"/>
    <w:rsid w:val="1C753007"/>
    <w:rsid w:val="1C9A2A0F"/>
    <w:rsid w:val="1CA92C5C"/>
    <w:rsid w:val="1CD87093"/>
    <w:rsid w:val="1CF07981"/>
    <w:rsid w:val="1CF87BD9"/>
    <w:rsid w:val="1CFB5A88"/>
    <w:rsid w:val="1D01040A"/>
    <w:rsid w:val="1D012A8E"/>
    <w:rsid w:val="1D230C56"/>
    <w:rsid w:val="1D285447"/>
    <w:rsid w:val="1D38412F"/>
    <w:rsid w:val="1D5C27DD"/>
    <w:rsid w:val="1D5E4D92"/>
    <w:rsid w:val="1D632E00"/>
    <w:rsid w:val="1D7A5D3C"/>
    <w:rsid w:val="1D8D4321"/>
    <w:rsid w:val="1D954F84"/>
    <w:rsid w:val="1D9C6BA7"/>
    <w:rsid w:val="1DC85359"/>
    <w:rsid w:val="1DD95F2A"/>
    <w:rsid w:val="1DDC3E11"/>
    <w:rsid w:val="1DE2466D"/>
    <w:rsid w:val="1DFE521F"/>
    <w:rsid w:val="1E081BFA"/>
    <w:rsid w:val="1E14234D"/>
    <w:rsid w:val="1E171883"/>
    <w:rsid w:val="1E1965DF"/>
    <w:rsid w:val="1E360515"/>
    <w:rsid w:val="1E3C6860"/>
    <w:rsid w:val="1E5E3995"/>
    <w:rsid w:val="1E613D0C"/>
    <w:rsid w:val="1E620DE7"/>
    <w:rsid w:val="1E6A65D5"/>
    <w:rsid w:val="1E74103D"/>
    <w:rsid w:val="1E8618AA"/>
    <w:rsid w:val="1E8E65A3"/>
    <w:rsid w:val="1E982F7E"/>
    <w:rsid w:val="1E9A6CF6"/>
    <w:rsid w:val="1ED27475"/>
    <w:rsid w:val="1ED3045A"/>
    <w:rsid w:val="1ED45E22"/>
    <w:rsid w:val="1ED61CF8"/>
    <w:rsid w:val="1EE879B6"/>
    <w:rsid w:val="1EF503D0"/>
    <w:rsid w:val="1F073C5F"/>
    <w:rsid w:val="1F0B3750"/>
    <w:rsid w:val="1F1F544D"/>
    <w:rsid w:val="1F4153C3"/>
    <w:rsid w:val="1F444276"/>
    <w:rsid w:val="1F585820"/>
    <w:rsid w:val="1F7B107E"/>
    <w:rsid w:val="1F8E4D0D"/>
    <w:rsid w:val="1F8E612F"/>
    <w:rsid w:val="1F933265"/>
    <w:rsid w:val="1F933745"/>
    <w:rsid w:val="1F941997"/>
    <w:rsid w:val="1F9C6A9E"/>
    <w:rsid w:val="1F9C7E4C"/>
    <w:rsid w:val="1FA83694"/>
    <w:rsid w:val="1FAC0A03"/>
    <w:rsid w:val="1FB65DB1"/>
    <w:rsid w:val="1FC2498B"/>
    <w:rsid w:val="1FFC578E"/>
    <w:rsid w:val="1FFE1506"/>
    <w:rsid w:val="1FFE5062"/>
    <w:rsid w:val="201C198C"/>
    <w:rsid w:val="202A22FB"/>
    <w:rsid w:val="203767C6"/>
    <w:rsid w:val="2039253E"/>
    <w:rsid w:val="2043516B"/>
    <w:rsid w:val="20923F96"/>
    <w:rsid w:val="2096528F"/>
    <w:rsid w:val="209B6D55"/>
    <w:rsid w:val="209F6845"/>
    <w:rsid w:val="20A42F05"/>
    <w:rsid w:val="20A774A8"/>
    <w:rsid w:val="20AB6760"/>
    <w:rsid w:val="20B971DB"/>
    <w:rsid w:val="20C067BC"/>
    <w:rsid w:val="21134B3E"/>
    <w:rsid w:val="211F7986"/>
    <w:rsid w:val="212E275B"/>
    <w:rsid w:val="215533A8"/>
    <w:rsid w:val="215E22A9"/>
    <w:rsid w:val="215E79BE"/>
    <w:rsid w:val="216E2542"/>
    <w:rsid w:val="21821CC3"/>
    <w:rsid w:val="21863561"/>
    <w:rsid w:val="21983295"/>
    <w:rsid w:val="219A0DBB"/>
    <w:rsid w:val="21A734D8"/>
    <w:rsid w:val="21A80E9D"/>
    <w:rsid w:val="21C8620E"/>
    <w:rsid w:val="21CB2917"/>
    <w:rsid w:val="21DA1AFF"/>
    <w:rsid w:val="21E169EA"/>
    <w:rsid w:val="2207555D"/>
    <w:rsid w:val="222D7D43"/>
    <w:rsid w:val="225624DA"/>
    <w:rsid w:val="225B49EE"/>
    <w:rsid w:val="22675C42"/>
    <w:rsid w:val="22712318"/>
    <w:rsid w:val="227E06DD"/>
    <w:rsid w:val="22813E3B"/>
    <w:rsid w:val="229323DA"/>
    <w:rsid w:val="22D4654E"/>
    <w:rsid w:val="22E907A2"/>
    <w:rsid w:val="22EE3A71"/>
    <w:rsid w:val="22F17100"/>
    <w:rsid w:val="23137077"/>
    <w:rsid w:val="23261B35"/>
    <w:rsid w:val="23330577"/>
    <w:rsid w:val="2338088B"/>
    <w:rsid w:val="233F31F6"/>
    <w:rsid w:val="23476D20"/>
    <w:rsid w:val="234A6048"/>
    <w:rsid w:val="23573852"/>
    <w:rsid w:val="235E2BD1"/>
    <w:rsid w:val="235F22BC"/>
    <w:rsid w:val="235F2990"/>
    <w:rsid w:val="23641BC9"/>
    <w:rsid w:val="2378337E"/>
    <w:rsid w:val="239179D6"/>
    <w:rsid w:val="23AF5712"/>
    <w:rsid w:val="23BC3AB0"/>
    <w:rsid w:val="23F67FA6"/>
    <w:rsid w:val="240069B4"/>
    <w:rsid w:val="240D3AC6"/>
    <w:rsid w:val="240D6652"/>
    <w:rsid w:val="241035B6"/>
    <w:rsid w:val="2429545C"/>
    <w:rsid w:val="244D3098"/>
    <w:rsid w:val="246F2824"/>
    <w:rsid w:val="249441E7"/>
    <w:rsid w:val="24997A50"/>
    <w:rsid w:val="249C4BBB"/>
    <w:rsid w:val="24A20936"/>
    <w:rsid w:val="24AE5C38"/>
    <w:rsid w:val="24D54779"/>
    <w:rsid w:val="24D6035C"/>
    <w:rsid w:val="250F386E"/>
    <w:rsid w:val="25267DED"/>
    <w:rsid w:val="252E056F"/>
    <w:rsid w:val="25361296"/>
    <w:rsid w:val="2536529E"/>
    <w:rsid w:val="25381017"/>
    <w:rsid w:val="253F23A5"/>
    <w:rsid w:val="254B5DAB"/>
    <w:rsid w:val="254D531C"/>
    <w:rsid w:val="256421C0"/>
    <w:rsid w:val="256C6F12"/>
    <w:rsid w:val="258E20A6"/>
    <w:rsid w:val="25902676"/>
    <w:rsid w:val="25A42208"/>
    <w:rsid w:val="25B974F6"/>
    <w:rsid w:val="25BB0E73"/>
    <w:rsid w:val="25DA0320"/>
    <w:rsid w:val="25DE2665"/>
    <w:rsid w:val="25E116AE"/>
    <w:rsid w:val="25E91C5D"/>
    <w:rsid w:val="25F0544D"/>
    <w:rsid w:val="25F34F3E"/>
    <w:rsid w:val="25F82554"/>
    <w:rsid w:val="26061B44"/>
    <w:rsid w:val="26192BF6"/>
    <w:rsid w:val="262275D1"/>
    <w:rsid w:val="26345C82"/>
    <w:rsid w:val="263C68E5"/>
    <w:rsid w:val="2648527A"/>
    <w:rsid w:val="267B565F"/>
    <w:rsid w:val="267C3185"/>
    <w:rsid w:val="267E514F"/>
    <w:rsid w:val="268A7650"/>
    <w:rsid w:val="26997893"/>
    <w:rsid w:val="26AA4381"/>
    <w:rsid w:val="26AB7EF8"/>
    <w:rsid w:val="26B20955"/>
    <w:rsid w:val="26CA4055"/>
    <w:rsid w:val="26CC5EBA"/>
    <w:rsid w:val="2700271D"/>
    <w:rsid w:val="27263790"/>
    <w:rsid w:val="27277595"/>
    <w:rsid w:val="27286E18"/>
    <w:rsid w:val="2758774E"/>
    <w:rsid w:val="276C144B"/>
    <w:rsid w:val="27750300"/>
    <w:rsid w:val="277D0F63"/>
    <w:rsid w:val="27846795"/>
    <w:rsid w:val="279938C3"/>
    <w:rsid w:val="27A75FE0"/>
    <w:rsid w:val="27A97FAA"/>
    <w:rsid w:val="27B8643F"/>
    <w:rsid w:val="27C13545"/>
    <w:rsid w:val="2803474D"/>
    <w:rsid w:val="28037997"/>
    <w:rsid w:val="280B47C0"/>
    <w:rsid w:val="281776AC"/>
    <w:rsid w:val="282D5367"/>
    <w:rsid w:val="28341F69"/>
    <w:rsid w:val="284B3BC6"/>
    <w:rsid w:val="28645A37"/>
    <w:rsid w:val="287700A8"/>
    <w:rsid w:val="288527C5"/>
    <w:rsid w:val="28893937"/>
    <w:rsid w:val="28A16ED3"/>
    <w:rsid w:val="28CA192F"/>
    <w:rsid w:val="28CA642A"/>
    <w:rsid w:val="28DB4EF1"/>
    <w:rsid w:val="29011C0D"/>
    <w:rsid w:val="29065508"/>
    <w:rsid w:val="29213387"/>
    <w:rsid w:val="29315676"/>
    <w:rsid w:val="29336BF5"/>
    <w:rsid w:val="29515CEB"/>
    <w:rsid w:val="29521364"/>
    <w:rsid w:val="295D5ECC"/>
    <w:rsid w:val="29681708"/>
    <w:rsid w:val="29695C42"/>
    <w:rsid w:val="29763724"/>
    <w:rsid w:val="2984482A"/>
    <w:rsid w:val="2996630C"/>
    <w:rsid w:val="29B64C00"/>
    <w:rsid w:val="29D82DC8"/>
    <w:rsid w:val="2A112973"/>
    <w:rsid w:val="2A135BAE"/>
    <w:rsid w:val="2A1C2CB5"/>
    <w:rsid w:val="2A241B69"/>
    <w:rsid w:val="2A2B114A"/>
    <w:rsid w:val="2A391AB9"/>
    <w:rsid w:val="2A522E74"/>
    <w:rsid w:val="2A573CED"/>
    <w:rsid w:val="2A720B27"/>
    <w:rsid w:val="2A742AF1"/>
    <w:rsid w:val="2A7A3E7F"/>
    <w:rsid w:val="2A950CB9"/>
    <w:rsid w:val="2A9A007E"/>
    <w:rsid w:val="2AA07B14"/>
    <w:rsid w:val="2AAF7153"/>
    <w:rsid w:val="2AB953CD"/>
    <w:rsid w:val="2AC1385C"/>
    <w:rsid w:val="2AD43590"/>
    <w:rsid w:val="2AD510B6"/>
    <w:rsid w:val="2AF53506"/>
    <w:rsid w:val="2B1240B8"/>
    <w:rsid w:val="2B1716CE"/>
    <w:rsid w:val="2B2A31B0"/>
    <w:rsid w:val="2B3109E2"/>
    <w:rsid w:val="2B6352AF"/>
    <w:rsid w:val="2B69403C"/>
    <w:rsid w:val="2BC5112A"/>
    <w:rsid w:val="2BE45A54"/>
    <w:rsid w:val="2BEE242F"/>
    <w:rsid w:val="2BFE65D6"/>
    <w:rsid w:val="2BFF63EA"/>
    <w:rsid w:val="2C1A1476"/>
    <w:rsid w:val="2C1F4CDE"/>
    <w:rsid w:val="2C333511"/>
    <w:rsid w:val="2C477D91"/>
    <w:rsid w:val="2C6F1ADB"/>
    <w:rsid w:val="2C9A25B7"/>
    <w:rsid w:val="2CAB0E29"/>
    <w:rsid w:val="2CAB6572"/>
    <w:rsid w:val="2CAE39BA"/>
    <w:rsid w:val="2CB573F1"/>
    <w:rsid w:val="2CED26E7"/>
    <w:rsid w:val="2CF0667B"/>
    <w:rsid w:val="2D18318D"/>
    <w:rsid w:val="2D300EFC"/>
    <w:rsid w:val="2D357669"/>
    <w:rsid w:val="2D3F513B"/>
    <w:rsid w:val="2D595FCE"/>
    <w:rsid w:val="2D6A3D37"/>
    <w:rsid w:val="2D742E08"/>
    <w:rsid w:val="2D7B0A56"/>
    <w:rsid w:val="2D833E1B"/>
    <w:rsid w:val="2D904F8F"/>
    <w:rsid w:val="2DB11400"/>
    <w:rsid w:val="2DC97D1C"/>
    <w:rsid w:val="2DD85145"/>
    <w:rsid w:val="2DEB5BE1"/>
    <w:rsid w:val="2DF14458"/>
    <w:rsid w:val="2DF45CF7"/>
    <w:rsid w:val="2E0917A2"/>
    <w:rsid w:val="2E0B376C"/>
    <w:rsid w:val="2E1B4BAE"/>
    <w:rsid w:val="2E254102"/>
    <w:rsid w:val="2E304F81"/>
    <w:rsid w:val="2E312AA7"/>
    <w:rsid w:val="2E316A88"/>
    <w:rsid w:val="2E3879E0"/>
    <w:rsid w:val="2E4A2DDA"/>
    <w:rsid w:val="2E4B40DF"/>
    <w:rsid w:val="2E5721D6"/>
    <w:rsid w:val="2E592537"/>
    <w:rsid w:val="2E823302"/>
    <w:rsid w:val="2E870919"/>
    <w:rsid w:val="2E9F5C62"/>
    <w:rsid w:val="2EA8315E"/>
    <w:rsid w:val="2EB1632E"/>
    <w:rsid w:val="2EB425F1"/>
    <w:rsid w:val="2EB57CA5"/>
    <w:rsid w:val="2EBE07DF"/>
    <w:rsid w:val="2ED33B5E"/>
    <w:rsid w:val="2EDE49DD"/>
    <w:rsid w:val="2EED10C4"/>
    <w:rsid w:val="2EF3743D"/>
    <w:rsid w:val="2F0106CB"/>
    <w:rsid w:val="2F1777F0"/>
    <w:rsid w:val="2F19499B"/>
    <w:rsid w:val="2F2A7575"/>
    <w:rsid w:val="2F2B2AD1"/>
    <w:rsid w:val="2F3445FD"/>
    <w:rsid w:val="2F4E399B"/>
    <w:rsid w:val="2F4F1437"/>
    <w:rsid w:val="2F5702EB"/>
    <w:rsid w:val="2F633F94"/>
    <w:rsid w:val="2F6E42FA"/>
    <w:rsid w:val="2F8108E2"/>
    <w:rsid w:val="2F972DDE"/>
    <w:rsid w:val="2FB35E69"/>
    <w:rsid w:val="2FC16BFF"/>
    <w:rsid w:val="2FD31175"/>
    <w:rsid w:val="2FE75B13"/>
    <w:rsid w:val="2FF40284"/>
    <w:rsid w:val="301D32E3"/>
    <w:rsid w:val="3049232A"/>
    <w:rsid w:val="305603A6"/>
    <w:rsid w:val="30654D09"/>
    <w:rsid w:val="306A22A0"/>
    <w:rsid w:val="306C7DC6"/>
    <w:rsid w:val="3086532C"/>
    <w:rsid w:val="308B51BC"/>
    <w:rsid w:val="30936FF5"/>
    <w:rsid w:val="30963095"/>
    <w:rsid w:val="309B020D"/>
    <w:rsid w:val="309C45E7"/>
    <w:rsid w:val="30A12166"/>
    <w:rsid w:val="30A13BD7"/>
    <w:rsid w:val="30B71989"/>
    <w:rsid w:val="30CA0702"/>
    <w:rsid w:val="30D51E0F"/>
    <w:rsid w:val="30F57DBC"/>
    <w:rsid w:val="310224D9"/>
    <w:rsid w:val="310F320C"/>
    <w:rsid w:val="31104BF6"/>
    <w:rsid w:val="311D630A"/>
    <w:rsid w:val="31313A34"/>
    <w:rsid w:val="315C0D08"/>
    <w:rsid w:val="317F1A54"/>
    <w:rsid w:val="31C364EC"/>
    <w:rsid w:val="31CC4FC0"/>
    <w:rsid w:val="31D41044"/>
    <w:rsid w:val="31D64091"/>
    <w:rsid w:val="31D976DD"/>
    <w:rsid w:val="31EE6F31"/>
    <w:rsid w:val="31F77B64"/>
    <w:rsid w:val="31FB5844"/>
    <w:rsid w:val="31FB7654"/>
    <w:rsid w:val="31FD1366"/>
    <w:rsid w:val="32145110"/>
    <w:rsid w:val="32153953"/>
    <w:rsid w:val="32186458"/>
    <w:rsid w:val="32195D2C"/>
    <w:rsid w:val="321E77E6"/>
    <w:rsid w:val="32236BAB"/>
    <w:rsid w:val="323E13A8"/>
    <w:rsid w:val="3243731A"/>
    <w:rsid w:val="32560D2E"/>
    <w:rsid w:val="325E42E9"/>
    <w:rsid w:val="32780945"/>
    <w:rsid w:val="32894E5A"/>
    <w:rsid w:val="328E591A"/>
    <w:rsid w:val="32B1065A"/>
    <w:rsid w:val="32B83797"/>
    <w:rsid w:val="32BF4B25"/>
    <w:rsid w:val="32C74EEE"/>
    <w:rsid w:val="32D0288E"/>
    <w:rsid w:val="32F02F31"/>
    <w:rsid w:val="32F26CA9"/>
    <w:rsid w:val="330469DC"/>
    <w:rsid w:val="332E1CAB"/>
    <w:rsid w:val="3341378C"/>
    <w:rsid w:val="3344794C"/>
    <w:rsid w:val="33490375"/>
    <w:rsid w:val="336456CD"/>
    <w:rsid w:val="33661C03"/>
    <w:rsid w:val="337F6063"/>
    <w:rsid w:val="33947D60"/>
    <w:rsid w:val="339733AC"/>
    <w:rsid w:val="33A13E34"/>
    <w:rsid w:val="33BB353F"/>
    <w:rsid w:val="33D44600"/>
    <w:rsid w:val="33EA7980"/>
    <w:rsid w:val="33F94067"/>
    <w:rsid w:val="33FD557F"/>
    <w:rsid w:val="34082B44"/>
    <w:rsid w:val="341669C7"/>
    <w:rsid w:val="34184417"/>
    <w:rsid w:val="341A3513"/>
    <w:rsid w:val="342F1837"/>
    <w:rsid w:val="347B4A7C"/>
    <w:rsid w:val="347C7A35"/>
    <w:rsid w:val="34931DC5"/>
    <w:rsid w:val="349B3370"/>
    <w:rsid w:val="34A02734"/>
    <w:rsid w:val="34AB35B3"/>
    <w:rsid w:val="34B41D3C"/>
    <w:rsid w:val="34BA1A48"/>
    <w:rsid w:val="34D04DC8"/>
    <w:rsid w:val="34E24AFB"/>
    <w:rsid w:val="34F226A3"/>
    <w:rsid w:val="34FC3E0F"/>
    <w:rsid w:val="351C2BB8"/>
    <w:rsid w:val="352C6230"/>
    <w:rsid w:val="352E7D40"/>
    <w:rsid w:val="353802ED"/>
    <w:rsid w:val="35380BBF"/>
    <w:rsid w:val="3538296D"/>
    <w:rsid w:val="353A713F"/>
    <w:rsid w:val="35513922"/>
    <w:rsid w:val="356E0679"/>
    <w:rsid w:val="357F059C"/>
    <w:rsid w:val="357F5BD0"/>
    <w:rsid w:val="35865BA7"/>
    <w:rsid w:val="358D3C5A"/>
    <w:rsid w:val="3592002F"/>
    <w:rsid w:val="35AA397D"/>
    <w:rsid w:val="35AB5DCB"/>
    <w:rsid w:val="35B00755"/>
    <w:rsid w:val="35BD5187"/>
    <w:rsid w:val="35BF4E3C"/>
    <w:rsid w:val="35F43F4A"/>
    <w:rsid w:val="35F63E63"/>
    <w:rsid w:val="36056CF3"/>
    <w:rsid w:val="36472C31"/>
    <w:rsid w:val="365C3BAD"/>
    <w:rsid w:val="366072AB"/>
    <w:rsid w:val="366150EE"/>
    <w:rsid w:val="366A4DA8"/>
    <w:rsid w:val="36703DC4"/>
    <w:rsid w:val="3676199F"/>
    <w:rsid w:val="367F7DF8"/>
    <w:rsid w:val="36941E25"/>
    <w:rsid w:val="36AB243C"/>
    <w:rsid w:val="36BB0808"/>
    <w:rsid w:val="36BF3346"/>
    <w:rsid w:val="36C07608"/>
    <w:rsid w:val="36C33AFE"/>
    <w:rsid w:val="36C95B54"/>
    <w:rsid w:val="36D30B9F"/>
    <w:rsid w:val="36DA1F2E"/>
    <w:rsid w:val="36E508D2"/>
    <w:rsid w:val="37133692"/>
    <w:rsid w:val="37140E86"/>
    <w:rsid w:val="37141830"/>
    <w:rsid w:val="37206361"/>
    <w:rsid w:val="3728009E"/>
    <w:rsid w:val="373B7086"/>
    <w:rsid w:val="374A67D1"/>
    <w:rsid w:val="37695060"/>
    <w:rsid w:val="376E08C8"/>
    <w:rsid w:val="378F1341"/>
    <w:rsid w:val="37914E1C"/>
    <w:rsid w:val="379876F3"/>
    <w:rsid w:val="37B02C8E"/>
    <w:rsid w:val="37B81B43"/>
    <w:rsid w:val="38081CBD"/>
    <w:rsid w:val="380958D5"/>
    <w:rsid w:val="381C6576"/>
    <w:rsid w:val="3825367C"/>
    <w:rsid w:val="384B0C09"/>
    <w:rsid w:val="38530FF4"/>
    <w:rsid w:val="38575DB5"/>
    <w:rsid w:val="385F3BBA"/>
    <w:rsid w:val="386E183D"/>
    <w:rsid w:val="387168C2"/>
    <w:rsid w:val="388243D6"/>
    <w:rsid w:val="38AE5AAE"/>
    <w:rsid w:val="38AF73EA"/>
    <w:rsid w:val="38BE211F"/>
    <w:rsid w:val="38C5558A"/>
    <w:rsid w:val="38DD71EC"/>
    <w:rsid w:val="38EA0422"/>
    <w:rsid w:val="391334D5"/>
    <w:rsid w:val="391978EF"/>
    <w:rsid w:val="39364146"/>
    <w:rsid w:val="3950297B"/>
    <w:rsid w:val="3962620A"/>
    <w:rsid w:val="396C52DB"/>
    <w:rsid w:val="397A17A6"/>
    <w:rsid w:val="39891B3E"/>
    <w:rsid w:val="398A1150"/>
    <w:rsid w:val="39C60B71"/>
    <w:rsid w:val="39D0617D"/>
    <w:rsid w:val="39F73239"/>
    <w:rsid w:val="39FF1E0A"/>
    <w:rsid w:val="3A0A0D7C"/>
    <w:rsid w:val="3A0D43C8"/>
    <w:rsid w:val="3A105C66"/>
    <w:rsid w:val="3A135A35"/>
    <w:rsid w:val="3A1C460B"/>
    <w:rsid w:val="3A2B6F44"/>
    <w:rsid w:val="3A347BA7"/>
    <w:rsid w:val="3A445910"/>
    <w:rsid w:val="3A573895"/>
    <w:rsid w:val="3A613026"/>
    <w:rsid w:val="3A886145"/>
    <w:rsid w:val="3AB17012"/>
    <w:rsid w:val="3ABB3136"/>
    <w:rsid w:val="3ABF22C1"/>
    <w:rsid w:val="3AFB60DC"/>
    <w:rsid w:val="3B286FE0"/>
    <w:rsid w:val="3B2F65C0"/>
    <w:rsid w:val="3B443E1A"/>
    <w:rsid w:val="3B583D69"/>
    <w:rsid w:val="3B5D2AB7"/>
    <w:rsid w:val="3B6B615A"/>
    <w:rsid w:val="3B7B3C9E"/>
    <w:rsid w:val="3B7F22D6"/>
    <w:rsid w:val="3B9A1EA4"/>
    <w:rsid w:val="3B9A52EF"/>
    <w:rsid w:val="3BB15227"/>
    <w:rsid w:val="3BBC42F8"/>
    <w:rsid w:val="3BBF7944"/>
    <w:rsid w:val="3BE54A14"/>
    <w:rsid w:val="3BF750E1"/>
    <w:rsid w:val="3C0C4D5B"/>
    <w:rsid w:val="3C293BC2"/>
    <w:rsid w:val="3C2F4ACA"/>
    <w:rsid w:val="3C3F6EED"/>
    <w:rsid w:val="3C495460"/>
    <w:rsid w:val="3C6F3118"/>
    <w:rsid w:val="3C74613C"/>
    <w:rsid w:val="3C7E2B25"/>
    <w:rsid w:val="3C8B3CCA"/>
    <w:rsid w:val="3C94492D"/>
    <w:rsid w:val="3CA01012"/>
    <w:rsid w:val="3CAA05F4"/>
    <w:rsid w:val="3CAD3C40"/>
    <w:rsid w:val="3CB202D6"/>
    <w:rsid w:val="3CB52AF5"/>
    <w:rsid w:val="3CD613E9"/>
    <w:rsid w:val="3CE401C5"/>
    <w:rsid w:val="3CE91981"/>
    <w:rsid w:val="3D0221DE"/>
    <w:rsid w:val="3D163594"/>
    <w:rsid w:val="3D207281"/>
    <w:rsid w:val="3D2C2DB7"/>
    <w:rsid w:val="3D303A6E"/>
    <w:rsid w:val="3D3308B8"/>
    <w:rsid w:val="3D672041"/>
    <w:rsid w:val="3D6A7D83"/>
    <w:rsid w:val="3D7B789B"/>
    <w:rsid w:val="3D913959"/>
    <w:rsid w:val="3DB00D18"/>
    <w:rsid w:val="3DC9653B"/>
    <w:rsid w:val="3DC96858"/>
    <w:rsid w:val="3DD1395F"/>
    <w:rsid w:val="3DD31EFC"/>
    <w:rsid w:val="3DEB4E28"/>
    <w:rsid w:val="3DF94B88"/>
    <w:rsid w:val="3E1C2E2C"/>
    <w:rsid w:val="3E444130"/>
    <w:rsid w:val="3E45258B"/>
    <w:rsid w:val="3E492211"/>
    <w:rsid w:val="3E8F7AA2"/>
    <w:rsid w:val="3EC27A88"/>
    <w:rsid w:val="3ECA2888"/>
    <w:rsid w:val="3EDA1E89"/>
    <w:rsid w:val="3EE55332"/>
    <w:rsid w:val="3EF47905"/>
    <w:rsid w:val="3EFC4A0B"/>
    <w:rsid w:val="3F160838"/>
    <w:rsid w:val="3F1B7587"/>
    <w:rsid w:val="3F2006FA"/>
    <w:rsid w:val="3F2432A9"/>
    <w:rsid w:val="3F2C3542"/>
    <w:rsid w:val="3F316DAB"/>
    <w:rsid w:val="3F367F1D"/>
    <w:rsid w:val="3F3B2E5C"/>
    <w:rsid w:val="3F436D2C"/>
    <w:rsid w:val="3F4C7741"/>
    <w:rsid w:val="3F514D57"/>
    <w:rsid w:val="3F520ACF"/>
    <w:rsid w:val="3F6F38B1"/>
    <w:rsid w:val="3F815597"/>
    <w:rsid w:val="3F8C0675"/>
    <w:rsid w:val="3FA53259"/>
    <w:rsid w:val="3FB65236"/>
    <w:rsid w:val="3FBE071F"/>
    <w:rsid w:val="3FE43E1D"/>
    <w:rsid w:val="3FFA0F65"/>
    <w:rsid w:val="400E7381"/>
    <w:rsid w:val="40104C12"/>
    <w:rsid w:val="4032541F"/>
    <w:rsid w:val="403B61BE"/>
    <w:rsid w:val="403C77B5"/>
    <w:rsid w:val="403D6568"/>
    <w:rsid w:val="404C2CAF"/>
    <w:rsid w:val="40552625"/>
    <w:rsid w:val="40784565"/>
    <w:rsid w:val="408745C2"/>
    <w:rsid w:val="409D1DE9"/>
    <w:rsid w:val="40A62E81"/>
    <w:rsid w:val="40AF442B"/>
    <w:rsid w:val="40BA4B7E"/>
    <w:rsid w:val="40BD01A1"/>
    <w:rsid w:val="40C94DC1"/>
    <w:rsid w:val="40CD3FF4"/>
    <w:rsid w:val="40D6411C"/>
    <w:rsid w:val="40EB2F89"/>
    <w:rsid w:val="40F77B80"/>
    <w:rsid w:val="4105337E"/>
    <w:rsid w:val="4108613C"/>
    <w:rsid w:val="411F101A"/>
    <w:rsid w:val="412532A9"/>
    <w:rsid w:val="413C5593"/>
    <w:rsid w:val="41511589"/>
    <w:rsid w:val="415957F8"/>
    <w:rsid w:val="41670862"/>
    <w:rsid w:val="41760AA5"/>
    <w:rsid w:val="41993698"/>
    <w:rsid w:val="419E624E"/>
    <w:rsid w:val="41AA4BF2"/>
    <w:rsid w:val="41AD023F"/>
    <w:rsid w:val="41CA7043"/>
    <w:rsid w:val="41E35FAA"/>
    <w:rsid w:val="41F3622B"/>
    <w:rsid w:val="41F6443A"/>
    <w:rsid w:val="41FF65A5"/>
    <w:rsid w:val="42067245"/>
    <w:rsid w:val="42417305"/>
    <w:rsid w:val="424B0183"/>
    <w:rsid w:val="424C6071"/>
    <w:rsid w:val="425773AB"/>
    <w:rsid w:val="426B6130"/>
    <w:rsid w:val="42816EC0"/>
    <w:rsid w:val="42B62EBF"/>
    <w:rsid w:val="42BF13A8"/>
    <w:rsid w:val="42C73FA3"/>
    <w:rsid w:val="42D303DE"/>
    <w:rsid w:val="42D81D62"/>
    <w:rsid w:val="42DC004C"/>
    <w:rsid w:val="42E163F2"/>
    <w:rsid w:val="42F92679"/>
    <w:rsid w:val="42FB3958"/>
    <w:rsid w:val="42FD6AEA"/>
    <w:rsid w:val="43066BB7"/>
    <w:rsid w:val="430F26D4"/>
    <w:rsid w:val="43170066"/>
    <w:rsid w:val="432A251A"/>
    <w:rsid w:val="432A61EE"/>
    <w:rsid w:val="43714A4A"/>
    <w:rsid w:val="4372194D"/>
    <w:rsid w:val="43972F54"/>
    <w:rsid w:val="43BD0C0D"/>
    <w:rsid w:val="43D30AB1"/>
    <w:rsid w:val="43E04ECE"/>
    <w:rsid w:val="43FB34E3"/>
    <w:rsid w:val="4416031D"/>
    <w:rsid w:val="44224F14"/>
    <w:rsid w:val="44242BF2"/>
    <w:rsid w:val="44295A18"/>
    <w:rsid w:val="443600D1"/>
    <w:rsid w:val="44422052"/>
    <w:rsid w:val="4446213C"/>
    <w:rsid w:val="444E4E5B"/>
    <w:rsid w:val="44501A81"/>
    <w:rsid w:val="445B0426"/>
    <w:rsid w:val="447A4D50"/>
    <w:rsid w:val="448C0A90"/>
    <w:rsid w:val="44915BF6"/>
    <w:rsid w:val="44A1052F"/>
    <w:rsid w:val="44B171DC"/>
    <w:rsid w:val="44B85878"/>
    <w:rsid w:val="44D0671E"/>
    <w:rsid w:val="44E16B7D"/>
    <w:rsid w:val="44E560B2"/>
    <w:rsid w:val="44F57952"/>
    <w:rsid w:val="44F763A1"/>
    <w:rsid w:val="45097E82"/>
    <w:rsid w:val="451A5BEB"/>
    <w:rsid w:val="452254A5"/>
    <w:rsid w:val="45380515"/>
    <w:rsid w:val="453942C3"/>
    <w:rsid w:val="453F3F6E"/>
    <w:rsid w:val="4541177A"/>
    <w:rsid w:val="454C6212"/>
    <w:rsid w:val="455870C9"/>
    <w:rsid w:val="455A248C"/>
    <w:rsid w:val="455C26A8"/>
    <w:rsid w:val="455E01CE"/>
    <w:rsid w:val="45701CAF"/>
    <w:rsid w:val="4586275D"/>
    <w:rsid w:val="45A100BA"/>
    <w:rsid w:val="45CC4274"/>
    <w:rsid w:val="45DE620E"/>
    <w:rsid w:val="45E958C2"/>
    <w:rsid w:val="45EB67D2"/>
    <w:rsid w:val="45F8417E"/>
    <w:rsid w:val="4609638B"/>
    <w:rsid w:val="46144D30"/>
    <w:rsid w:val="46160AA8"/>
    <w:rsid w:val="463A6B3C"/>
    <w:rsid w:val="463B406B"/>
    <w:rsid w:val="46412573"/>
    <w:rsid w:val="464F7B16"/>
    <w:rsid w:val="46525488"/>
    <w:rsid w:val="46554453"/>
    <w:rsid w:val="465B1E84"/>
    <w:rsid w:val="46674E60"/>
    <w:rsid w:val="46804174"/>
    <w:rsid w:val="468C64C8"/>
    <w:rsid w:val="46A2233C"/>
    <w:rsid w:val="46A75BA4"/>
    <w:rsid w:val="46B9431C"/>
    <w:rsid w:val="46D83FB0"/>
    <w:rsid w:val="46DC584E"/>
    <w:rsid w:val="46DD15C6"/>
    <w:rsid w:val="46DF0E9A"/>
    <w:rsid w:val="46F069CC"/>
    <w:rsid w:val="46FD0452"/>
    <w:rsid w:val="46FE1EC1"/>
    <w:rsid w:val="46FF24EF"/>
    <w:rsid w:val="47120417"/>
    <w:rsid w:val="47173339"/>
    <w:rsid w:val="471D19C3"/>
    <w:rsid w:val="4726180B"/>
    <w:rsid w:val="473A2575"/>
    <w:rsid w:val="473B6AF6"/>
    <w:rsid w:val="4743767B"/>
    <w:rsid w:val="47631ACB"/>
    <w:rsid w:val="47681176"/>
    <w:rsid w:val="476D22CC"/>
    <w:rsid w:val="477C0DDF"/>
    <w:rsid w:val="478B23DE"/>
    <w:rsid w:val="47905353"/>
    <w:rsid w:val="479271AB"/>
    <w:rsid w:val="479903C6"/>
    <w:rsid w:val="479B74B7"/>
    <w:rsid w:val="47AF0CB0"/>
    <w:rsid w:val="47C14A44"/>
    <w:rsid w:val="47D64B6C"/>
    <w:rsid w:val="47ED5839"/>
    <w:rsid w:val="47EE3876"/>
    <w:rsid w:val="47FC0C33"/>
    <w:rsid w:val="482B052A"/>
    <w:rsid w:val="482F19AD"/>
    <w:rsid w:val="48321BFE"/>
    <w:rsid w:val="483B2A48"/>
    <w:rsid w:val="483D40CA"/>
    <w:rsid w:val="4840005F"/>
    <w:rsid w:val="484F2050"/>
    <w:rsid w:val="487A3570"/>
    <w:rsid w:val="487F60CE"/>
    <w:rsid w:val="48AB372A"/>
    <w:rsid w:val="48D24757"/>
    <w:rsid w:val="48DF1625"/>
    <w:rsid w:val="48E71DE0"/>
    <w:rsid w:val="48E955FE"/>
    <w:rsid w:val="48F50E49"/>
    <w:rsid w:val="49184B37"/>
    <w:rsid w:val="49324224"/>
    <w:rsid w:val="494476DB"/>
    <w:rsid w:val="49494CF1"/>
    <w:rsid w:val="49583186"/>
    <w:rsid w:val="49650D95"/>
    <w:rsid w:val="49775F25"/>
    <w:rsid w:val="49830203"/>
    <w:rsid w:val="498875C7"/>
    <w:rsid w:val="499A72FA"/>
    <w:rsid w:val="49A81A17"/>
    <w:rsid w:val="49B900C8"/>
    <w:rsid w:val="49B948C6"/>
    <w:rsid w:val="49C36851"/>
    <w:rsid w:val="49CD7BD0"/>
    <w:rsid w:val="4A143551"/>
    <w:rsid w:val="4A3B4F46"/>
    <w:rsid w:val="4A5971B6"/>
    <w:rsid w:val="4A5C2802"/>
    <w:rsid w:val="4A857FAB"/>
    <w:rsid w:val="4A871F75"/>
    <w:rsid w:val="4A9457E6"/>
    <w:rsid w:val="4A9F72BE"/>
    <w:rsid w:val="4AC16991"/>
    <w:rsid w:val="4AC24D5B"/>
    <w:rsid w:val="4ACB602B"/>
    <w:rsid w:val="4ACE1952"/>
    <w:rsid w:val="4AEC1DD8"/>
    <w:rsid w:val="4AEC6DA7"/>
    <w:rsid w:val="4B0F4B86"/>
    <w:rsid w:val="4B200A28"/>
    <w:rsid w:val="4B2D7D14"/>
    <w:rsid w:val="4B4E4840"/>
    <w:rsid w:val="4B582164"/>
    <w:rsid w:val="4B585BB2"/>
    <w:rsid w:val="4B6E6C91"/>
    <w:rsid w:val="4B7324F9"/>
    <w:rsid w:val="4B8137BE"/>
    <w:rsid w:val="4B814C16"/>
    <w:rsid w:val="4B8169C4"/>
    <w:rsid w:val="4B8270B7"/>
    <w:rsid w:val="4B863FDA"/>
    <w:rsid w:val="4B882CCA"/>
    <w:rsid w:val="4B897627"/>
    <w:rsid w:val="4B9009B5"/>
    <w:rsid w:val="4BA803F5"/>
    <w:rsid w:val="4BC06985"/>
    <w:rsid w:val="4BD9235C"/>
    <w:rsid w:val="4BEF63DD"/>
    <w:rsid w:val="4C1710D6"/>
    <w:rsid w:val="4C172E84"/>
    <w:rsid w:val="4C266B6F"/>
    <w:rsid w:val="4C3C0B3D"/>
    <w:rsid w:val="4C417533"/>
    <w:rsid w:val="4C493FB8"/>
    <w:rsid w:val="4C4A14AC"/>
    <w:rsid w:val="4C545E87"/>
    <w:rsid w:val="4CAF54B5"/>
    <w:rsid w:val="4CCB5621"/>
    <w:rsid w:val="4CD6614F"/>
    <w:rsid w:val="4CD945DE"/>
    <w:rsid w:val="4CDB65A8"/>
    <w:rsid w:val="4CDE39A2"/>
    <w:rsid w:val="4D021466"/>
    <w:rsid w:val="4D147D15"/>
    <w:rsid w:val="4D203FBB"/>
    <w:rsid w:val="4D2C6E03"/>
    <w:rsid w:val="4D3D7270"/>
    <w:rsid w:val="4D491763"/>
    <w:rsid w:val="4D5E6D65"/>
    <w:rsid w:val="4D626BB3"/>
    <w:rsid w:val="4D6537ED"/>
    <w:rsid w:val="4D7A191D"/>
    <w:rsid w:val="4D7C3266"/>
    <w:rsid w:val="4D840509"/>
    <w:rsid w:val="4D9B2972"/>
    <w:rsid w:val="4D9F75D5"/>
    <w:rsid w:val="4DAB7D28"/>
    <w:rsid w:val="4DB43081"/>
    <w:rsid w:val="4DC87D7D"/>
    <w:rsid w:val="4DCB2178"/>
    <w:rsid w:val="4DDD1EDB"/>
    <w:rsid w:val="4DE80F7C"/>
    <w:rsid w:val="4DEB1F11"/>
    <w:rsid w:val="4DFD3E60"/>
    <w:rsid w:val="4E015B9A"/>
    <w:rsid w:val="4E1B3100"/>
    <w:rsid w:val="4E1C0C26"/>
    <w:rsid w:val="4E1C52A3"/>
    <w:rsid w:val="4E230DF5"/>
    <w:rsid w:val="4E2D698F"/>
    <w:rsid w:val="4E330B17"/>
    <w:rsid w:val="4E807407"/>
    <w:rsid w:val="4E9C018D"/>
    <w:rsid w:val="4EA330F5"/>
    <w:rsid w:val="4EA8070C"/>
    <w:rsid w:val="4EB470B0"/>
    <w:rsid w:val="4EB87B5E"/>
    <w:rsid w:val="4EC866B8"/>
    <w:rsid w:val="4ECE7984"/>
    <w:rsid w:val="4ED137BE"/>
    <w:rsid w:val="4EDD3D64"/>
    <w:rsid w:val="4EE81AFA"/>
    <w:rsid w:val="4EF63225"/>
    <w:rsid w:val="4F0F2539"/>
    <w:rsid w:val="4F1066B1"/>
    <w:rsid w:val="4F26273B"/>
    <w:rsid w:val="4F2F0FF2"/>
    <w:rsid w:val="4F440434"/>
    <w:rsid w:val="4F561F16"/>
    <w:rsid w:val="4F565CBB"/>
    <w:rsid w:val="4F6E725F"/>
    <w:rsid w:val="4F740E0E"/>
    <w:rsid w:val="4F7C7BCE"/>
    <w:rsid w:val="4F845501"/>
    <w:rsid w:val="4F894099"/>
    <w:rsid w:val="4F8A253C"/>
    <w:rsid w:val="4F950C90"/>
    <w:rsid w:val="4F9667B6"/>
    <w:rsid w:val="4FA16D29"/>
    <w:rsid w:val="4FCC21D8"/>
    <w:rsid w:val="4FD572DE"/>
    <w:rsid w:val="4FDC066D"/>
    <w:rsid w:val="4FE5334A"/>
    <w:rsid w:val="4FE70E6E"/>
    <w:rsid w:val="4FE87012"/>
    <w:rsid w:val="4FF9723D"/>
    <w:rsid w:val="4FFF25AD"/>
    <w:rsid w:val="50077ED7"/>
    <w:rsid w:val="500A32CB"/>
    <w:rsid w:val="502142D2"/>
    <w:rsid w:val="502E0831"/>
    <w:rsid w:val="502F155F"/>
    <w:rsid w:val="50354221"/>
    <w:rsid w:val="504A0F22"/>
    <w:rsid w:val="504A72AE"/>
    <w:rsid w:val="50632B3C"/>
    <w:rsid w:val="50726BE2"/>
    <w:rsid w:val="507E4A78"/>
    <w:rsid w:val="50870E47"/>
    <w:rsid w:val="50960077"/>
    <w:rsid w:val="50977777"/>
    <w:rsid w:val="50B11AF9"/>
    <w:rsid w:val="50B96C00"/>
    <w:rsid w:val="50D2381E"/>
    <w:rsid w:val="50E14814"/>
    <w:rsid w:val="50E726EA"/>
    <w:rsid w:val="50EF2A55"/>
    <w:rsid w:val="50F24D94"/>
    <w:rsid w:val="50FE4613"/>
    <w:rsid w:val="51566BAA"/>
    <w:rsid w:val="51711289"/>
    <w:rsid w:val="517174DB"/>
    <w:rsid w:val="51840FBC"/>
    <w:rsid w:val="51856C95"/>
    <w:rsid w:val="51864D34"/>
    <w:rsid w:val="51894824"/>
    <w:rsid w:val="518E3BE9"/>
    <w:rsid w:val="51A11B6E"/>
    <w:rsid w:val="51AE7DE7"/>
    <w:rsid w:val="51B00003"/>
    <w:rsid w:val="51B11685"/>
    <w:rsid w:val="51C836E8"/>
    <w:rsid w:val="51D47A06"/>
    <w:rsid w:val="51D84E64"/>
    <w:rsid w:val="51F10A82"/>
    <w:rsid w:val="521F2A93"/>
    <w:rsid w:val="5227392D"/>
    <w:rsid w:val="522B58DB"/>
    <w:rsid w:val="52397FF8"/>
    <w:rsid w:val="523C53F3"/>
    <w:rsid w:val="524E0305"/>
    <w:rsid w:val="524F15CA"/>
    <w:rsid w:val="526D37FE"/>
    <w:rsid w:val="5288688A"/>
    <w:rsid w:val="528C45CC"/>
    <w:rsid w:val="529841B0"/>
    <w:rsid w:val="52AB2578"/>
    <w:rsid w:val="52AB64C9"/>
    <w:rsid w:val="52AC3333"/>
    <w:rsid w:val="52C04276"/>
    <w:rsid w:val="52C534B2"/>
    <w:rsid w:val="52D37DCB"/>
    <w:rsid w:val="52D63A99"/>
    <w:rsid w:val="52E71802"/>
    <w:rsid w:val="52F65D6E"/>
    <w:rsid w:val="52F91536"/>
    <w:rsid w:val="52FF4DD7"/>
    <w:rsid w:val="530C1269"/>
    <w:rsid w:val="53193986"/>
    <w:rsid w:val="53206AC2"/>
    <w:rsid w:val="533A0733"/>
    <w:rsid w:val="534559D2"/>
    <w:rsid w:val="536410A5"/>
    <w:rsid w:val="53B25492"/>
    <w:rsid w:val="53EE096F"/>
    <w:rsid w:val="53F73CC7"/>
    <w:rsid w:val="540D34EB"/>
    <w:rsid w:val="541C1980"/>
    <w:rsid w:val="541C54DC"/>
    <w:rsid w:val="542919A7"/>
    <w:rsid w:val="542E2280"/>
    <w:rsid w:val="543071D9"/>
    <w:rsid w:val="54336424"/>
    <w:rsid w:val="5438608E"/>
    <w:rsid w:val="543C5B7E"/>
    <w:rsid w:val="543D5452"/>
    <w:rsid w:val="54436F0C"/>
    <w:rsid w:val="54493DF7"/>
    <w:rsid w:val="544C75C8"/>
    <w:rsid w:val="544F0695"/>
    <w:rsid w:val="54B020C8"/>
    <w:rsid w:val="54BF40B9"/>
    <w:rsid w:val="54CD67D6"/>
    <w:rsid w:val="54D14506"/>
    <w:rsid w:val="54D33745"/>
    <w:rsid w:val="54E3249D"/>
    <w:rsid w:val="54EB4EAE"/>
    <w:rsid w:val="55056B6F"/>
    <w:rsid w:val="550B72FE"/>
    <w:rsid w:val="55342CF9"/>
    <w:rsid w:val="55506E59"/>
    <w:rsid w:val="55564A1D"/>
    <w:rsid w:val="5563538C"/>
    <w:rsid w:val="55801A9A"/>
    <w:rsid w:val="55992B5C"/>
    <w:rsid w:val="55A21A11"/>
    <w:rsid w:val="55B300C2"/>
    <w:rsid w:val="55BD1A84"/>
    <w:rsid w:val="55E711DA"/>
    <w:rsid w:val="55EC5382"/>
    <w:rsid w:val="55EF275F"/>
    <w:rsid w:val="55F67FAE"/>
    <w:rsid w:val="56026815"/>
    <w:rsid w:val="5606673C"/>
    <w:rsid w:val="5627460C"/>
    <w:rsid w:val="566118CC"/>
    <w:rsid w:val="566B5F8F"/>
    <w:rsid w:val="566D200C"/>
    <w:rsid w:val="567A473C"/>
    <w:rsid w:val="567E3100"/>
    <w:rsid w:val="56A63783"/>
    <w:rsid w:val="56A812A9"/>
    <w:rsid w:val="56A874FB"/>
    <w:rsid w:val="56C8194B"/>
    <w:rsid w:val="56D54068"/>
    <w:rsid w:val="56EF512A"/>
    <w:rsid w:val="56F36D7A"/>
    <w:rsid w:val="57232708"/>
    <w:rsid w:val="57234DD3"/>
    <w:rsid w:val="5725579B"/>
    <w:rsid w:val="5726041F"/>
    <w:rsid w:val="57405985"/>
    <w:rsid w:val="574134AB"/>
    <w:rsid w:val="574376B4"/>
    <w:rsid w:val="574D3998"/>
    <w:rsid w:val="57500440"/>
    <w:rsid w:val="57560D05"/>
    <w:rsid w:val="575907F5"/>
    <w:rsid w:val="577B69BD"/>
    <w:rsid w:val="578421FC"/>
    <w:rsid w:val="579E08FE"/>
    <w:rsid w:val="579F1996"/>
    <w:rsid w:val="57B62A48"/>
    <w:rsid w:val="57B9742D"/>
    <w:rsid w:val="57BC2B32"/>
    <w:rsid w:val="57C873E9"/>
    <w:rsid w:val="57DA0C4C"/>
    <w:rsid w:val="57E02CC4"/>
    <w:rsid w:val="5814296E"/>
    <w:rsid w:val="5815081C"/>
    <w:rsid w:val="582726A1"/>
    <w:rsid w:val="582901C7"/>
    <w:rsid w:val="58444F48"/>
    <w:rsid w:val="58731BEA"/>
    <w:rsid w:val="58824ECF"/>
    <w:rsid w:val="588540F9"/>
    <w:rsid w:val="5886386C"/>
    <w:rsid w:val="588854DF"/>
    <w:rsid w:val="58A27F7A"/>
    <w:rsid w:val="58DA5965"/>
    <w:rsid w:val="58E6255C"/>
    <w:rsid w:val="58F5279F"/>
    <w:rsid w:val="59071FB3"/>
    <w:rsid w:val="590F1AB3"/>
    <w:rsid w:val="591744C4"/>
    <w:rsid w:val="591764DD"/>
    <w:rsid w:val="591A1FE8"/>
    <w:rsid w:val="593E7CA2"/>
    <w:rsid w:val="59433CDD"/>
    <w:rsid w:val="59480B21"/>
    <w:rsid w:val="594A4ECB"/>
    <w:rsid w:val="595C45CC"/>
    <w:rsid w:val="5967369D"/>
    <w:rsid w:val="59684D1F"/>
    <w:rsid w:val="596B480F"/>
    <w:rsid w:val="597E2795"/>
    <w:rsid w:val="598558D1"/>
    <w:rsid w:val="598D29D8"/>
    <w:rsid w:val="598D6C40"/>
    <w:rsid w:val="599124C8"/>
    <w:rsid w:val="5999137D"/>
    <w:rsid w:val="599D70BF"/>
    <w:rsid w:val="599E6993"/>
    <w:rsid w:val="59A85A64"/>
    <w:rsid w:val="59C70328"/>
    <w:rsid w:val="59EF71EF"/>
    <w:rsid w:val="5A117165"/>
    <w:rsid w:val="5A1E1882"/>
    <w:rsid w:val="5A1F7AD4"/>
    <w:rsid w:val="5A5B4884"/>
    <w:rsid w:val="5A663955"/>
    <w:rsid w:val="5A6951F3"/>
    <w:rsid w:val="5A6A06F6"/>
    <w:rsid w:val="5A731BCE"/>
    <w:rsid w:val="5A7E7F78"/>
    <w:rsid w:val="5A80128B"/>
    <w:rsid w:val="5A851901"/>
    <w:rsid w:val="5A955FE8"/>
    <w:rsid w:val="5AA1673B"/>
    <w:rsid w:val="5AAC05D0"/>
    <w:rsid w:val="5AD51B54"/>
    <w:rsid w:val="5ADE4336"/>
    <w:rsid w:val="5AE623A0"/>
    <w:rsid w:val="5AE67453"/>
    <w:rsid w:val="5AFE2B5B"/>
    <w:rsid w:val="5B005012"/>
    <w:rsid w:val="5B0E7B48"/>
    <w:rsid w:val="5B101B12"/>
    <w:rsid w:val="5B275E78"/>
    <w:rsid w:val="5B286E5C"/>
    <w:rsid w:val="5B3752F1"/>
    <w:rsid w:val="5B3A12E0"/>
    <w:rsid w:val="5B3C43F9"/>
    <w:rsid w:val="5B411CCC"/>
    <w:rsid w:val="5B455011"/>
    <w:rsid w:val="5B4F689D"/>
    <w:rsid w:val="5B727555"/>
    <w:rsid w:val="5B7713D0"/>
    <w:rsid w:val="5B7C4AB2"/>
    <w:rsid w:val="5B8500D2"/>
    <w:rsid w:val="5B871A54"/>
    <w:rsid w:val="5B8B7B28"/>
    <w:rsid w:val="5B8E1F77"/>
    <w:rsid w:val="5B953D21"/>
    <w:rsid w:val="5BC528FD"/>
    <w:rsid w:val="5BDB3ECE"/>
    <w:rsid w:val="5BE508A9"/>
    <w:rsid w:val="5C0E31E0"/>
    <w:rsid w:val="5C2515ED"/>
    <w:rsid w:val="5C294C3A"/>
    <w:rsid w:val="5C371101"/>
    <w:rsid w:val="5C6C6ABA"/>
    <w:rsid w:val="5CCB7A9F"/>
    <w:rsid w:val="5CD55DB2"/>
    <w:rsid w:val="5CE9261B"/>
    <w:rsid w:val="5D03088A"/>
    <w:rsid w:val="5D373386"/>
    <w:rsid w:val="5D4B0BE0"/>
    <w:rsid w:val="5D6F0D72"/>
    <w:rsid w:val="5D7C348F"/>
    <w:rsid w:val="5D812854"/>
    <w:rsid w:val="5D814602"/>
    <w:rsid w:val="5DA721EE"/>
    <w:rsid w:val="5DA93022"/>
    <w:rsid w:val="5DD8604D"/>
    <w:rsid w:val="5DDA44C4"/>
    <w:rsid w:val="5DDC5CDC"/>
    <w:rsid w:val="5DE828D3"/>
    <w:rsid w:val="5DED1C97"/>
    <w:rsid w:val="5E036058"/>
    <w:rsid w:val="5E0D4729"/>
    <w:rsid w:val="5E0D5F05"/>
    <w:rsid w:val="5E225DE5"/>
    <w:rsid w:val="5E27164D"/>
    <w:rsid w:val="5E4541A5"/>
    <w:rsid w:val="5E581806"/>
    <w:rsid w:val="5E622188"/>
    <w:rsid w:val="5E6A0C09"/>
    <w:rsid w:val="5E7D301B"/>
    <w:rsid w:val="5E841F66"/>
    <w:rsid w:val="5E850121"/>
    <w:rsid w:val="5E8C325E"/>
    <w:rsid w:val="5EA902B4"/>
    <w:rsid w:val="5ECF75EF"/>
    <w:rsid w:val="5ED846F5"/>
    <w:rsid w:val="5ED864A3"/>
    <w:rsid w:val="5ED97AB4"/>
    <w:rsid w:val="5EF157B7"/>
    <w:rsid w:val="5F014280"/>
    <w:rsid w:val="5F021772"/>
    <w:rsid w:val="5F04373C"/>
    <w:rsid w:val="5F0B4ACB"/>
    <w:rsid w:val="5F0C5367"/>
    <w:rsid w:val="5F1F2324"/>
    <w:rsid w:val="5F36189D"/>
    <w:rsid w:val="5F3833E6"/>
    <w:rsid w:val="5F555D46"/>
    <w:rsid w:val="5F571ABE"/>
    <w:rsid w:val="5F583601"/>
    <w:rsid w:val="5F61742A"/>
    <w:rsid w:val="5F9871DA"/>
    <w:rsid w:val="5F9F3465"/>
    <w:rsid w:val="5FB00017"/>
    <w:rsid w:val="5FD21144"/>
    <w:rsid w:val="5FD255E8"/>
    <w:rsid w:val="5FD96977"/>
    <w:rsid w:val="5FE57916"/>
    <w:rsid w:val="5FF67EAC"/>
    <w:rsid w:val="5FFE018B"/>
    <w:rsid w:val="60013D7F"/>
    <w:rsid w:val="60213E7A"/>
    <w:rsid w:val="60363DC9"/>
    <w:rsid w:val="603C56C2"/>
    <w:rsid w:val="603E4B8A"/>
    <w:rsid w:val="604A2DD9"/>
    <w:rsid w:val="604B4748"/>
    <w:rsid w:val="604E1113"/>
    <w:rsid w:val="6058765C"/>
    <w:rsid w:val="606A75CF"/>
    <w:rsid w:val="60804663"/>
    <w:rsid w:val="608C39E9"/>
    <w:rsid w:val="60917251"/>
    <w:rsid w:val="6098238E"/>
    <w:rsid w:val="609B1E7E"/>
    <w:rsid w:val="609D1752"/>
    <w:rsid w:val="60AD1AB9"/>
    <w:rsid w:val="60BE791B"/>
    <w:rsid w:val="60BF4EB3"/>
    <w:rsid w:val="60E27AAD"/>
    <w:rsid w:val="60E539A3"/>
    <w:rsid w:val="60E6759D"/>
    <w:rsid w:val="60F17F09"/>
    <w:rsid w:val="60F33A68"/>
    <w:rsid w:val="60FD0443"/>
    <w:rsid w:val="61047A23"/>
    <w:rsid w:val="611D0AE5"/>
    <w:rsid w:val="612F525A"/>
    <w:rsid w:val="61364C91"/>
    <w:rsid w:val="613A1697"/>
    <w:rsid w:val="6151138E"/>
    <w:rsid w:val="61581B1D"/>
    <w:rsid w:val="617B7A11"/>
    <w:rsid w:val="6181138D"/>
    <w:rsid w:val="61883922"/>
    <w:rsid w:val="618B7E6E"/>
    <w:rsid w:val="61907509"/>
    <w:rsid w:val="61994610"/>
    <w:rsid w:val="619A2136"/>
    <w:rsid w:val="619E75CA"/>
    <w:rsid w:val="619F6CF6"/>
    <w:rsid w:val="61A60ADB"/>
    <w:rsid w:val="61D355A0"/>
    <w:rsid w:val="61DC62AA"/>
    <w:rsid w:val="61E403FB"/>
    <w:rsid w:val="61F47A98"/>
    <w:rsid w:val="61FE4473"/>
    <w:rsid w:val="62001846"/>
    <w:rsid w:val="620140DF"/>
    <w:rsid w:val="620B6B90"/>
    <w:rsid w:val="620F042E"/>
    <w:rsid w:val="622A170C"/>
    <w:rsid w:val="623A42B8"/>
    <w:rsid w:val="625C50B7"/>
    <w:rsid w:val="62620EA5"/>
    <w:rsid w:val="626647B3"/>
    <w:rsid w:val="627E55B4"/>
    <w:rsid w:val="62970423"/>
    <w:rsid w:val="62BD1642"/>
    <w:rsid w:val="62C54E4A"/>
    <w:rsid w:val="62D1763C"/>
    <w:rsid w:val="62D376AD"/>
    <w:rsid w:val="62DE42A4"/>
    <w:rsid w:val="62F12229"/>
    <w:rsid w:val="630261E5"/>
    <w:rsid w:val="631C1015"/>
    <w:rsid w:val="6329551F"/>
    <w:rsid w:val="632A16A7"/>
    <w:rsid w:val="63302D52"/>
    <w:rsid w:val="6345051E"/>
    <w:rsid w:val="63471D15"/>
    <w:rsid w:val="634C4DBD"/>
    <w:rsid w:val="636B26DB"/>
    <w:rsid w:val="63784A9C"/>
    <w:rsid w:val="637F15E3"/>
    <w:rsid w:val="63956756"/>
    <w:rsid w:val="63B147CB"/>
    <w:rsid w:val="63B55005"/>
    <w:rsid w:val="63BA086D"/>
    <w:rsid w:val="63CC3CF3"/>
    <w:rsid w:val="63CF41AF"/>
    <w:rsid w:val="63DC6A36"/>
    <w:rsid w:val="64124205"/>
    <w:rsid w:val="64145061"/>
    <w:rsid w:val="64165252"/>
    <w:rsid w:val="64191A38"/>
    <w:rsid w:val="642E6B65"/>
    <w:rsid w:val="64416899"/>
    <w:rsid w:val="644F5459"/>
    <w:rsid w:val="6456039C"/>
    <w:rsid w:val="64570C2A"/>
    <w:rsid w:val="64713622"/>
    <w:rsid w:val="64715A0E"/>
    <w:rsid w:val="64721DC1"/>
    <w:rsid w:val="6490508C"/>
    <w:rsid w:val="64A137DB"/>
    <w:rsid w:val="64DB0657"/>
    <w:rsid w:val="64E558BE"/>
    <w:rsid w:val="651C7EDC"/>
    <w:rsid w:val="651E4E2C"/>
    <w:rsid w:val="654C1999"/>
    <w:rsid w:val="655A60B2"/>
    <w:rsid w:val="655B7737"/>
    <w:rsid w:val="656E2178"/>
    <w:rsid w:val="658514DA"/>
    <w:rsid w:val="658E3D60"/>
    <w:rsid w:val="65AA3AE4"/>
    <w:rsid w:val="65AC2438"/>
    <w:rsid w:val="65B55790"/>
    <w:rsid w:val="65B71508"/>
    <w:rsid w:val="65BA4B55"/>
    <w:rsid w:val="65BA6903"/>
    <w:rsid w:val="65BF03BD"/>
    <w:rsid w:val="65C638F5"/>
    <w:rsid w:val="65ED4F48"/>
    <w:rsid w:val="65F71905"/>
    <w:rsid w:val="65F938CF"/>
    <w:rsid w:val="66081D64"/>
    <w:rsid w:val="66124586"/>
    <w:rsid w:val="6616725E"/>
    <w:rsid w:val="66187ACD"/>
    <w:rsid w:val="661B13ED"/>
    <w:rsid w:val="661E50E3"/>
    <w:rsid w:val="662465C8"/>
    <w:rsid w:val="665A1CA4"/>
    <w:rsid w:val="665F56FC"/>
    <w:rsid w:val="66737EE4"/>
    <w:rsid w:val="668141DE"/>
    <w:rsid w:val="669838C9"/>
    <w:rsid w:val="66C24F70"/>
    <w:rsid w:val="66CB4350"/>
    <w:rsid w:val="66ED4AB6"/>
    <w:rsid w:val="66FE4F15"/>
    <w:rsid w:val="67006EDF"/>
    <w:rsid w:val="6712451C"/>
    <w:rsid w:val="67284C27"/>
    <w:rsid w:val="673715D0"/>
    <w:rsid w:val="675C1FE7"/>
    <w:rsid w:val="67670D0C"/>
    <w:rsid w:val="6771220F"/>
    <w:rsid w:val="67864576"/>
    <w:rsid w:val="678E6299"/>
    <w:rsid w:val="67A96C2F"/>
    <w:rsid w:val="67C021CA"/>
    <w:rsid w:val="67D8681C"/>
    <w:rsid w:val="67EB36EB"/>
    <w:rsid w:val="67ED1A09"/>
    <w:rsid w:val="67F02AB0"/>
    <w:rsid w:val="680700DC"/>
    <w:rsid w:val="68126ECA"/>
    <w:rsid w:val="6820259D"/>
    <w:rsid w:val="682E35D8"/>
    <w:rsid w:val="68490412"/>
    <w:rsid w:val="685C6397"/>
    <w:rsid w:val="685D03F9"/>
    <w:rsid w:val="685F7C35"/>
    <w:rsid w:val="686C6B6B"/>
    <w:rsid w:val="68813268"/>
    <w:rsid w:val="68BC6E36"/>
    <w:rsid w:val="68BE1741"/>
    <w:rsid w:val="68BF71FB"/>
    <w:rsid w:val="68C82C22"/>
    <w:rsid w:val="6905258B"/>
    <w:rsid w:val="69273E73"/>
    <w:rsid w:val="692C7B17"/>
    <w:rsid w:val="693115D2"/>
    <w:rsid w:val="693B7D5A"/>
    <w:rsid w:val="69434640"/>
    <w:rsid w:val="694A2693"/>
    <w:rsid w:val="694C1F68"/>
    <w:rsid w:val="695B21AB"/>
    <w:rsid w:val="696C085C"/>
    <w:rsid w:val="69794D27"/>
    <w:rsid w:val="698E07D2"/>
    <w:rsid w:val="69951B60"/>
    <w:rsid w:val="69BA15C7"/>
    <w:rsid w:val="69C55155"/>
    <w:rsid w:val="69F30635"/>
    <w:rsid w:val="6A042842"/>
    <w:rsid w:val="6A097E59"/>
    <w:rsid w:val="6A334ED5"/>
    <w:rsid w:val="6A465C5D"/>
    <w:rsid w:val="6A51640E"/>
    <w:rsid w:val="6A6B466F"/>
    <w:rsid w:val="6A786D8C"/>
    <w:rsid w:val="6A863A05"/>
    <w:rsid w:val="6A883473"/>
    <w:rsid w:val="6AA67D9D"/>
    <w:rsid w:val="6AB9187F"/>
    <w:rsid w:val="6ABB4EF4"/>
    <w:rsid w:val="6AC344AB"/>
    <w:rsid w:val="6AC55036"/>
    <w:rsid w:val="6ACE4BFE"/>
    <w:rsid w:val="6ADF1E70"/>
    <w:rsid w:val="6AE13432"/>
    <w:rsid w:val="6AEB2C75"/>
    <w:rsid w:val="6AFE3735"/>
    <w:rsid w:val="6B014FD4"/>
    <w:rsid w:val="6B050FEE"/>
    <w:rsid w:val="6B1439B1"/>
    <w:rsid w:val="6B252A70"/>
    <w:rsid w:val="6B266147"/>
    <w:rsid w:val="6B2667E8"/>
    <w:rsid w:val="6B421874"/>
    <w:rsid w:val="6B460C38"/>
    <w:rsid w:val="6B482C03"/>
    <w:rsid w:val="6B531AB3"/>
    <w:rsid w:val="6B560266"/>
    <w:rsid w:val="6B5B7BB3"/>
    <w:rsid w:val="6B5C220A"/>
    <w:rsid w:val="6B647ACE"/>
    <w:rsid w:val="6B7834E8"/>
    <w:rsid w:val="6B7E4876"/>
    <w:rsid w:val="6B9051F9"/>
    <w:rsid w:val="6B9876E6"/>
    <w:rsid w:val="6B991B92"/>
    <w:rsid w:val="6BC7621D"/>
    <w:rsid w:val="6BCA055A"/>
    <w:rsid w:val="6BCE6D20"/>
    <w:rsid w:val="6BD34BC2"/>
    <w:rsid w:val="6BE75F78"/>
    <w:rsid w:val="6BF012D0"/>
    <w:rsid w:val="6C045D80"/>
    <w:rsid w:val="6C0C513D"/>
    <w:rsid w:val="6C1A459F"/>
    <w:rsid w:val="6C1B3E73"/>
    <w:rsid w:val="6C347ED9"/>
    <w:rsid w:val="6C360CAD"/>
    <w:rsid w:val="6C445178"/>
    <w:rsid w:val="6C4B378C"/>
    <w:rsid w:val="6C4C0AD1"/>
    <w:rsid w:val="6C4D758C"/>
    <w:rsid w:val="6C597133"/>
    <w:rsid w:val="6C8B724B"/>
    <w:rsid w:val="6C8E5108"/>
    <w:rsid w:val="6C937EAD"/>
    <w:rsid w:val="6C944351"/>
    <w:rsid w:val="6C9E6F7E"/>
    <w:rsid w:val="6CCF0D79"/>
    <w:rsid w:val="6CDA3D2E"/>
    <w:rsid w:val="6CEE1E7E"/>
    <w:rsid w:val="6CF3576D"/>
    <w:rsid w:val="6D0226C3"/>
    <w:rsid w:val="6D0F5D7A"/>
    <w:rsid w:val="6D13119B"/>
    <w:rsid w:val="6D166445"/>
    <w:rsid w:val="6D203E37"/>
    <w:rsid w:val="6D3452D3"/>
    <w:rsid w:val="6D4E1FD9"/>
    <w:rsid w:val="6D605FE2"/>
    <w:rsid w:val="6D745F31"/>
    <w:rsid w:val="6D8018C0"/>
    <w:rsid w:val="6D9143ED"/>
    <w:rsid w:val="6D934099"/>
    <w:rsid w:val="6D960677"/>
    <w:rsid w:val="6D9A3239"/>
    <w:rsid w:val="6D9E6CE0"/>
    <w:rsid w:val="6DA72D5F"/>
    <w:rsid w:val="6DA77C55"/>
    <w:rsid w:val="6DAA54AF"/>
    <w:rsid w:val="6DB14A8F"/>
    <w:rsid w:val="6DBD6A9D"/>
    <w:rsid w:val="6DCA36D7"/>
    <w:rsid w:val="6DCE4C80"/>
    <w:rsid w:val="6DFA4688"/>
    <w:rsid w:val="6DFA6436"/>
    <w:rsid w:val="6E0472B5"/>
    <w:rsid w:val="6E166FE8"/>
    <w:rsid w:val="6E1B63AC"/>
    <w:rsid w:val="6E1D0376"/>
    <w:rsid w:val="6E213562"/>
    <w:rsid w:val="6E3A4A84"/>
    <w:rsid w:val="6E3C705B"/>
    <w:rsid w:val="6E511637"/>
    <w:rsid w:val="6E535B46"/>
    <w:rsid w:val="6E557448"/>
    <w:rsid w:val="6E7F2DDF"/>
    <w:rsid w:val="6E7F3A9C"/>
    <w:rsid w:val="6ED24CBD"/>
    <w:rsid w:val="6ED870F8"/>
    <w:rsid w:val="6EE20FB0"/>
    <w:rsid w:val="6EE5266B"/>
    <w:rsid w:val="6F0C75E9"/>
    <w:rsid w:val="6F0F1F10"/>
    <w:rsid w:val="6F127BBD"/>
    <w:rsid w:val="6F1C23DC"/>
    <w:rsid w:val="6F235519"/>
    <w:rsid w:val="6F34175B"/>
    <w:rsid w:val="6F343BCA"/>
    <w:rsid w:val="6F413BF1"/>
    <w:rsid w:val="6F581908"/>
    <w:rsid w:val="6F61218F"/>
    <w:rsid w:val="6F800BBD"/>
    <w:rsid w:val="6F82139A"/>
    <w:rsid w:val="6F8A37EA"/>
    <w:rsid w:val="6F9603E0"/>
    <w:rsid w:val="6FA348AB"/>
    <w:rsid w:val="6FA7614A"/>
    <w:rsid w:val="6FC364A6"/>
    <w:rsid w:val="6FC860C0"/>
    <w:rsid w:val="6FD41ABE"/>
    <w:rsid w:val="6FE13847"/>
    <w:rsid w:val="6FFA03B4"/>
    <w:rsid w:val="701F6C1E"/>
    <w:rsid w:val="702A0B29"/>
    <w:rsid w:val="7034110A"/>
    <w:rsid w:val="70347EC5"/>
    <w:rsid w:val="7037325E"/>
    <w:rsid w:val="70386C15"/>
    <w:rsid w:val="704C0A9F"/>
    <w:rsid w:val="704D7FE5"/>
    <w:rsid w:val="705362D1"/>
    <w:rsid w:val="705636CC"/>
    <w:rsid w:val="70716758"/>
    <w:rsid w:val="70756248"/>
    <w:rsid w:val="707D6EAA"/>
    <w:rsid w:val="70877D29"/>
    <w:rsid w:val="70BA5135"/>
    <w:rsid w:val="70C865BA"/>
    <w:rsid w:val="70D0347E"/>
    <w:rsid w:val="70E37655"/>
    <w:rsid w:val="70EE5FFA"/>
    <w:rsid w:val="710359C7"/>
    <w:rsid w:val="7104581E"/>
    <w:rsid w:val="710C4F64"/>
    <w:rsid w:val="712832BA"/>
    <w:rsid w:val="712E7CE0"/>
    <w:rsid w:val="7141684A"/>
    <w:rsid w:val="71494FDF"/>
    <w:rsid w:val="714B2F5B"/>
    <w:rsid w:val="714D518E"/>
    <w:rsid w:val="715B3690"/>
    <w:rsid w:val="716342F2"/>
    <w:rsid w:val="71844269"/>
    <w:rsid w:val="719B7F30"/>
    <w:rsid w:val="719E532A"/>
    <w:rsid w:val="71A306A7"/>
    <w:rsid w:val="71A37C91"/>
    <w:rsid w:val="71BB56FA"/>
    <w:rsid w:val="72097BAE"/>
    <w:rsid w:val="72281098"/>
    <w:rsid w:val="723B0DCB"/>
    <w:rsid w:val="724F424E"/>
    <w:rsid w:val="72677E12"/>
    <w:rsid w:val="726B686B"/>
    <w:rsid w:val="728B1D53"/>
    <w:rsid w:val="729C3F60"/>
    <w:rsid w:val="72A44BC2"/>
    <w:rsid w:val="72BD5C84"/>
    <w:rsid w:val="72D66D46"/>
    <w:rsid w:val="72EB27F1"/>
    <w:rsid w:val="72EB459F"/>
    <w:rsid w:val="72EC51B3"/>
    <w:rsid w:val="72ED34B8"/>
    <w:rsid w:val="72FA32DB"/>
    <w:rsid w:val="73010267"/>
    <w:rsid w:val="730758BC"/>
    <w:rsid w:val="73136182"/>
    <w:rsid w:val="73221F8B"/>
    <w:rsid w:val="73281C56"/>
    <w:rsid w:val="733028FA"/>
    <w:rsid w:val="733046A8"/>
    <w:rsid w:val="73315854"/>
    <w:rsid w:val="73342522"/>
    <w:rsid w:val="7349146F"/>
    <w:rsid w:val="73571C35"/>
    <w:rsid w:val="735E2268"/>
    <w:rsid w:val="735F0AE9"/>
    <w:rsid w:val="73657957"/>
    <w:rsid w:val="737C6D64"/>
    <w:rsid w:val="73834F73"/>
    <w:rsid w:val="73B01345"/>
    <w:rsid w:val="73B47087"/>
    <w:rsid w:val="73C3551C"/>
    <w:rsid w:val="73CA68AB"/>
    <w:rsid w:val="73D9089C"/>
    <w:rsid w:val="73DE4A8A"/>
    <w:rsid w:val="73F82115"/>
    <w:rsid w:val="73FE6554"/>
    <w:rsid w:val="74235FBB"/>
    <w:rsid w:val="74244BBD"/>
    <w:rsid w:val="7491438D"/>
    <w:rsid w:val="74961CFE"/>
    <w:rsid w:val="749F246B"/>
    <w:rsid w:val="74AF784E"/>
    <w:rsid w:val="74B02D01"/>
    <w:rsid w:val="74BF0D5E"/>
    <w:rsid w:val="74D37CCA"/>
    <w:rsid w:val="74DC2D7E"/>
    <w:rsid w:val="74DD3266"/>
    <w:rsid w:val="74F0721D"/>
    <w:rsid w:val="74FD680C"/>
    <w:rsid w:val="750162FC"/>
    <w:rsid w:val="751853F4"/>
    <w:rsid w:val="75267B11"/>
    <w:rsid w:val="752E2E69"/>
    <w:rsid w:val="75387844"/>
    <w:rsid w:val="753C330D"/>
    <w:rsid w:val="75457333"/>
    <w:rsid w:val="757E794D"/>
    <w:rsid w:val="75901BFB"/>
    <w:rsid w:val="75970A0E"/>
    <w:rsid w:val="759A405B"/>
    <w:rsid w:val="75A4312B"/>
    <w:rsid w:val="75A46F31"/>
    <w:rsid w:val="75A8117E"/>
    <w:rsid w:val="75E55C1E"/>
    <w:rsid w:val="75E83018"/>
    <w:rsid w:val="75F24464"/>
    <w:rsid w:val="75FA70B8"/>
    <w:rsid w:val="76197675"/>
    <w:rsid w:val="761E2EDE"/>
    <w:rsid w:val="761E6A3A"/>
    <w:rsid w:val="762A2599"/>
    <w:rsid w:val="7641097A"/>
    <w:rsid w:val="76465CA4"/>
    <w:rsid w:val="76527883"/>
    <w:rsid w:val="76593F16"/>
    <w:rsid w:val="76676633"/>
    <w:rsid w:val="767A147A"/>
    <w:rsid w:val="767D5E56"/>
    <w:rsid w:val="768D2719"/>
    <w:rsid w:val="76967AE3"/>
    <w:rsid w:val="769B51D8"/>
    <w:rsid w:val="76AF3B36"/>
    <w:rsid w:val="76C53359"/>
    <w:rsid w:val="76CC293A"/>
    <w:rsid w:val="76DB2B7D"/>
    <w:rsid w:val="76E01F41"/>
    <w:rsid w:val="76F77172"/>
    <w:rsid w:val="771852A8"/>
    <w:rsid w:val="77312D10"/>
    <w:rsid w:val="77471AC4"/>
    <w:rsid w:val="77587D9F"/>
    <w:rsid w:val="77664B3C"/>
    <w:rsid w:val="77737259"/>
    <w:rsid w:val="778E31B0"/>
    <w:rsid w:val="779A47E6"/>
    <w:rsid w:val="77A711E5"/>
    <w:rsid w:val="77B27D81"/>
    <w:rsid w:val="77B75C63"/>
    <w:rsid w:val="77BF1197"/>
    <w:rsid w:val="77D0645A"/>
    <w:rsid w:val="77DC095A"/>
    <w:rsid w:val="77EC380F"/>
    <w:rsid w:val="77F122C3"/>
    <w:rsid w:val="77FA431C"/>
    <w:rsid w:val="78000AED"/>
    <w:rsid w:val="78006D3F"/>
    <w:rsid w:val="78047EB1"/>
    <w:rsid w:val="780E2ADE"/>
    <w:rsid w:val="78153E6C"/>
    <w:rsid w:val="782347DB"/>
    <w:rsid w:val="784F3822"/>
    <w:rsid w:val="785B6A4B"/>
    <w:rsid w:val="78700AEC"/>
    <w:rsid w:val="78720118"/>
    <w:rsid w:val="78817E80"/>
    <w:rsid w:val="78881314"/>
    <w:rsid w:val="78E81581"/>
    <w:rsid w:val="78E937B9"/>
    <w:rsid w:val="78FE4D5E"/>
    <w:rsid w:val="79004B1D"/>
    <w:rsid w:val="791B49FB"/>
    <w:rsid w:val="792425B9"/>
    <w:rsid w:val="794970F6"/>
    <w:rsid w:val="794A0ECC"/>
    <w:rsid w:val="7950774B"/>
    <w:rsid w:val="795A13EC"/>
    <w:rsid w:val="79674EFE"/>
    <w:rsid w:val="796C5667"/>
    <w:rsid w:val="79752E15"/>
    <w:rsid w:val="797D616D"/>
    <w:rsid w:val="798F3A5E"/>
    <w:rsid w:val="799F634B"/>
    <w:rsid w:val="79AA45C6"/>
    <w:rsid w:val="79AC0800"/>
    <w:rsid w:val="79B25E17"/>
    <w:rsid w:val="79BD47BC"/>
    <w:rsid w:val="79CB512B"/>
    <w:rsid w:val="79EB30D7"/>
    <w:rsid w:val="79FF3026"/>
    <w:rsid w:val="7A146E06"/>
    <w:rsid w:val="7A1532E7"/>
    <w:rsid w:val="7A2D36EF"/>
    <w:rsid w:val="7A41010A"/>
    <w:rsid w:val="7A4A15A8"/>
    <w:rsid w:val="7A4C5587"/>
    <w:rsid w:val="7A552488"/>
    <w:rsid w:val="7A6335B5"/>
    <w:rsid w:val="7A635363"/>
    <w:rsid w:val="7A862E00"/>
    <w:rsid w:val="7A8D0632"/>
    <w:rsid w:val="7A9C77AE"/>
    <w:rsid w:val="7AB73F37"/>
    <w:rsid w:val="7ABE2599"/>
    <w:rsid w:val="7AD43DCB"/>
    <w:rsid w:val="7ADE09A6"/>
    <w:rsid w:val="7AE51608"/>
    <w:rsid w:val="7AE53FCA"/>
    <w:rsid w:val="7AEE7323"/>
    <w:rsid w:val="7AF8058E"/>
    <w:rsid w:val="7AF81F4F"/>
    <w:rsid w:val="7B2A7C2F"/>
    <w:rsid w:val="7B486307"/>
    <w:rsid w:val="7B684125"/>
    <w:rsid w:val="7B7A2964"/>
    <w:rsid w:val="7B7D31C4"/>
    <w:rsid w:val="7B8E776C"/>
    <w:rsid w:val="7B9375BF"/>
    <w:rsid w:val="7B9E0996"/>
    <w:rsid w:val="7BDC53CD"/>
    <w:rsid w:val="7BE97AEA"/>
    <w:rsid w:val="7BEB7BB7"/>
    <w:rsid w:val="7C00543C"/>
    <w:rsid w:val="7C013085"/>
    <w:rsid w:val="7C057E14"/>
    <w:rsid w:val="7C1253BC"/>
    <w:rsid w:val="7C1B1A99"/>
    <w:rsid w:val="7C1D1CA8"/>
    <w:rsid w:val="7C224DAA"/>
    <w:rsid w:val="7C370855"/>
    <w:rsid w:val="7C423191"/>
    <w:rsid w:val="7C4D1E27"/>
    <w:rsid w:val="7C5979BA"/>
    <w:rsid w:val="7C6113AE"/>
    <w:rsid w:val="7C61562B"/>
    <w:rsid w:val="7C624460"/>
    <w:rsid w:val="7C792C1C"/>
    <w:rsid w:val="7C8C718A"/>
    <w:rsid w:val="7C961A20"/>
    <w:rsid w:val="7C9B6DD9"/>
    <w:rsid w:val="7C9E2B82"/>
    <w:rsid w:val="7CB1685A"/>
    <w:rsid w:val="7CC44656"/>
    <w:rsid w:val="7CCC5441"/>
    <w:rsid w:val="7CD1673C"/>
    <w:rsid w:val="7CDB7433"/>
    <w:rsid w:val="7D0746CC"/>
    <w:rsid w:val="7D0A5F6A"/>
    <w:rsid w:val="7D0C35D2"/>
    <w:rsid w:val="7D0C3A90"/>
    <w:rsid w:val="7D2540DE"/>
    <w:rsid w:val="7D3157E6"/>
    <w:rsid w:val="7D340266"/>
    <w:rsid w:val="7D741635"/>
    <w:rsid w:val="7D7A4E9D"/>
    <w:rsid w:val="7D837FCA"/>
    <w:rsid w:val="7DAE0FEB"/>
    <w:rsid w:val="7DCC76C3"/>
    <w:rsid w:val="7DD1096F"/>
    <w:rsid w:val="7DD56578"/>
    <w:rsid w:val="7DE10D4F"/>
    <w:rsid w:val="7DEA19F0"/>
    <w:rsid w:val="7DEF65D0"/>
    <w:rsid w:val="7DF6029C"/>
    <w:rsid w:val="7E124581"/>
    <w:rsid w:val="7E176B90"/>
    <w:rsid w:val="7E1F77F3"/>
    <w:rsid w:val="7E2272E3"/>
    <w:rsid w:val="7E3A287F"/>
    <w:rsid w:val="7E3A378D"/>
    <w:rsid w:val="7E406D3B"/>
    <w:rsid w:val="7E591548"/>
    <w:rsid w:val="7E703D97"/>
    <w:rsid w:val="7E843AFA"/>
    <w:rsid w:val="7E9523EE"/>
    <w:rsid w:val="7EAC1F50"/>
    <w:rsid w:val="7EE06F82"/>
    <w:rsid w:val="7EE879B8"/>
    <w:rsid w:val="7EF651B9"/>
    <w:rsid w:val="7EF97A8A"/>
    <w:rsid w:val="7F067F7C"/>
    <w:rsid w:val="7F0A2251"/>
    <w:rsid w:val="7F1B26B0"/>
    <w:rsid w:val="7F2E0730"/>
    <w:rsid w:val="7F3D0A9C"/>
    <w:rsid w:val="7F4365A6"/>
    <w:rsid w:val="7F4A7452"/>
    <w:rsid w:val="7F601E71"/>
    <w:rsid w:val="7F686F78"/>
    <w:rsid w:val="7F767868"/>
    <w:rsid w:val="7F8E4463"/>
    <w:rsid w:val="7F912972"/>
    <w:rsid w:val="7FA53B5B"/>
    <w:rsid w:val="7FCB5E84"/>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6"/>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spacing w:before="360" w:after="120"/>
      <w:jc w:val="left"/>
      <w:outlineLvl w:val="2"/>
    </w:pPr>
    <w:rPr>
      <w:rFonts w:ascii="宋体" w:hAnsi="Times New Roman" w:eastAsia="宋体"/>
      <w:sz w:val="24"/>
      <w:u w:val="single"/>
    </w:rPr>
  </w:style>
  <w:style w:type="paragraph" w:styleId="5">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32">
    <w:name w:val="Default Paragraph Font"/>
    <w:qFormat/>
    <w:uiPriority w:val="1"/>
  </w:style>
  <w:style w:type="table" w:default="1" w:styleId="30">
    <w:name w:val="Normal Table"/>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hAnsi="Times New Roman"/>
      <w:kern w:val="0"/>
      <w:sz w:val="24"/>
      <w:szCs w:val="20"/>
    </w:rPr>
  </w:style>
  <w:style w:type="paragraph" w:styleId="7">
    <w:name w:val="Document Map"/>
    <w:basedOn w:val="1"/>
    <w:autoRedefine/>
    <w:qFormat/>
    <w:uiPriority w:val="99"/>
    <w:pPr>
      <w:shd w:val="clear" w:color="auto" w:fill="000080"/>
    </w:pPr>
  </w:style>
  <w:style w:type="paragraph" w:styleId="8">
    <w:name w:val="toa heading"/>
    <w:basedOn w:val="1"/>
    <w:next w:val="1"/>
    <w:autoRedefine/>
    <w:qFormat/>
    <w:uiPriority w:val="0"/>
    <w:pPr>
      <w:widowControl/>
      <w:spacing w:before="120"/>
      <w:ind w:firstLine="3584"/>
    </w:pPr>
  </w:style>
  <w:style w:type="paragraph" w:styleId="9">
    <w:name w:val="annotation text"/>
    <w:basedOn w:val="1"/>
    <w:link w:val="69"/>
    <w:autoRedefine/>
    <w:qFormat/>
    <w:uiPriority w:val="0"/>
    <w:pPr>
      <w:jc w:val="left"/>
    </w:pPr>
  </w:style>
  <w:style w:type="paragraph" w:styleId="10">
    <w:name w:val="index 6"/>
    <w:basedOn w:val="1"/>
    <w:next w:val="1"/>
    <w:qFormat/>
    <w:uiPriority w:val="99"/>
    <w:pPr>
      <w:ind w:left="2100"/>
    </w:pPr>
  </w:style>
  <w:style w:type="paragraph" w:styleId="11">
    <w:name w:val="Body Text"/>
    <w:basedOn w:val="1"/>
    <w:autoRedefine/>
    <w:qFormat/>
    <w:uiPriority w:val="0"/>
    <w:pPr>
      <w:tabs>
        <w:tab w:val="left" w:pos="567"/>
      </w:tabs>
      <w:spacing w:before="120" w:line="22" w:lineRule="atLeast"/>
    </w:pPr>
    <w:rPr>
      <w:rFonts w:ascii="宋体" w:hAnsi="宋体"/>
      <w:sz w:val="24"/>
    </w:rPr>
  </w:style>
  <w:style w:type="paragraph" w:styleId="12">
    <w:name w:val="Body Text Indent"/>
    <w:basedOn w:val="1"/>
    <w:next w:val="1"/>
    <w:autoRedefine/>
    <w:qFormat/>
    <w:uiPriority w:val="0"/>
    <w:pPr>
      <w:spacing w:line="360" w:lineRule="auto"/>
      <w:ind w:firstLine="570"/>
    </w:pPr>
    <w:rPr>
      <w:rFonts w:ascii="Times New Roman" w:hAnsi="Times New Roman"/>
      <w:sz w:val="24"/>
    </w:rPr>
  </w:style>
  <w:style w:type="paragraph" w:styleId="13">
    <w:name w:val="List 2"/>
    <w:basedOn w:val="1"/>
    <w:autoRedefine/>
    <w:qFormat/>
    <w:uiPriority w:val="0"/>
    <w:pPr>
      <w:ind w:left="100" w:leftChars="200" w:hanging="200" w:hangingChars="200"/>
      <w:contextualSpacing/>
    </w:pPr>
  </w:style>
  <w:style w:type="paragraph" w:styleId="14">
    <w:name w:val="index 4"/>
    <w:basedOn w:val="1"/>
    <w:next w:val="1"/>
    <w:unhideWhenUsed/>
    <w:qFormat/>
    <w:uiPriority w:val="99"/>
    <w:pPr>
      <w:ind w:left="600" w:leftChars="600"/>
    </w:pPr>
  </w:style>
  <w:style w:type="paragraph" w:styleId="15">
    <w:name w:val="toc 3"/>
    <w:basedOn w:val="1"/>
    <w:next w:val="1"/>
    <w:autoRedefine/>
    <w:qFormat/>
    <w:uiPriority w:val="0"/>
    <w:pPr>
      <w:ind w:left="840" w:leftChars="400"/>
    </w:pPr>
  </w:style>
  <w:style w:type="paragraph" w:styleId="16">
    <w:name w:val="Plain Text"/>
    <w:basedOn w:val="1"/>
    <w:autoRedefine/>
    <w:qFormat/>
    <w:uiPriority w:val="0"/>
    <w:rPr>
      <w:rFonts w:ascii="宋体" w:hAnsi="Courier New"/>
      <w:szCs w:val="20"/>
    </w:rPr>
  </w:style>
  <w:style w:type="paragraph" w:styleId="17">
    <w:name w:val="Date"/>
    <w:basedOn w:val="1"/>
    <w:next w:val="1"/>
    <w:autoRedefine/>
    <w:qFormat/>
    <w:uiPriority w:val="0"/>
    <w:pPr>
      <w:ind w:left="100" w:leftChars="2500"/>
    </w:pPr>
    <w:rPr>
      <w:rFonts w:ascii="仿宋_GB2312" w:hAnsi="Courier New" w:eastAsia="仿宋_GB2312"/>
      <w:kern w:val="0"/>
      <w:sz w:val="24"/>
    </w:rPr>
  </w:style>
  <w:style w:type="paragraph" w:styleId="18">
    <w:name w:val="Balloon Text"/>
    <w:basedOn w:val="1"/>
    <w:link w:val="68"/>
    <w:autoRedefine/>
    <w:qFormat/>
    <w:uiPriority w:val="0"/>
    <w:rPr>
      <w:sz w:val="18"/>
      <w:szCs w:val="18"/>
    </w:rPr>
  </w:style>
  <w:style w:type="paragraph" w:styleId="19">
    <w:name w:val="footer"/>
    <w:basedOn w:val="1"/>
    <w:autoRedefine/>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1">
    <w:name w:val="toc 1"/>
    <w:basedOn w:val="1"/>
    <w:next w:val="1"/>
    <w:autoRedefine/>
    <w:qFormat/>
    <w:uiPriority w:val="0"/>
    <w:rPr>
      <w:rFonts w:ascii="Times New Roman" w:hAnsi="Times New Roman"/>
    </w:rPr>
  </w:style>
  <w:style w:type="paragraph" w:styleId="22">
    <w:name w:val="footnote text"/>
    <w:basedOn w:val="1"/>
    <w:next w:val="11"/>
    <w:autoRedefine/>
    <w:qFormat/>
    <w:uiPriority w:val="0"/>
    <w:pPr>
      <w:snapToGrid w:val="0"/>
      <w:jc w:val="left"/>
    </w:pPr>
    <w:rPr>
      <w:rFonts w:ascii="Times New Roman" w:hAnsi="Times New Roman"/>
      <w:sz w:val="18"/>
    </w:rPr>
  </w:style>
  <w:style w:type="paragraph" w:styleId="23">
    <w:name w:val="Body Text Indent 3"/>
    <w:basedOn w:val="1"/>
    <w:autoRedefine/>
    <w:unhideWhenUsed/>
    <w:qFormat/>
    <w:uiPriority w:val="0"/>
    <w:pPr>
      <w:spacing w:after="120" w:line="440" w:lineRule="exact"/>
      <w:ind w:left="200" w:leftChars="200" w:firstLine="480" w:firstLineChars="200"/>
    </w:pPr>
    <w:rPr>
      <w:rFonts w:ascii="Times New Roman" w:hAnsi="Times New Roman" w:eastAsia="微软雅黑" w:cs="Arial"/>
      <w:sz w:val="16"/>
      <w:szCs w:val="16"/>
    </w:rPr>
  </w:style>
  <w:style w:type="paragraph" w:styleId="24">
    <w:name w:val="toc 2"/>
    <w:basedOn w:val="1"/>
    <w:next w:val="1"/>
    <w:autoRedefine/>
    <w:qFormat/>
    <w:uiPriority w:val="0"/>
    <w:pPr>
      <w:ind w:left="420" w:leftChars="200"/>
    </w:pPr>
    <w:rPr>
      <w:rFonts w:ascii="Times New Roman" w:hAnsi="Times New Roman"/>
    </w:rPr>
  </w:style>
  <w:style w:type="paragraph" w:styleId="25">
    <w:name w:val="Normal (Web)"/>
    <w:basedOn w:val="1"/>
    <w:autoRedefine/>
    <w:qFormat/>
    <w:uiPriority w:val="0"/>
    <w:pPr>
      <w:spacing w:beforeAutospacing="1" w:afterAutospacing="1"/>
      <w:jc w:val="left"/>
    </w:pPr>
    <w:rPr>
      <w:kern w:val="0"/>
      <w:sz w:val="24"/>
    </w:rPr>
  </w:style>
  <w:style w:type="paragraph" w:styleId="26">
    <w:name w:val="Title"/>
    <w:basedOn w:val="1"/>
    <w:autoRedefine/>
    <w:qFormat/>
    <w:uiPriority w:val="10"/>
    <w:pPr>
      <w:spacing w:before="240" w:after="60"/>
      <w:jc w:val="center"/>
      <w:outlineLvl w:val="0"/>
    </w:pPr>
    <w:rPr>
      <w:rFonts w:ascii="Calibri Light" w:hAnsi="Calibri Light" w:eastAsia="宋体" w:cs="宋体"/>
      <w:b/>
      <w:bCs/>
      <w:sz w:val="32"/>
      <w:szCs w:val="32"/>
    </w:rPr>
  </w:style>
  <w:style w:type="paragraph" w:styleId="27">
    <w:name w:val="annotation subject"/>
    <w:basedOn w:val="9"/>
    <w:next w:val="9"/>
    <w:link w:val="70"/>
    <w:autoRedefine/>
    <w:qFormat/>
    <w:uiPriority w:val="0"/>
    <w:rPr>
      <w:b/>
      <w:bCs/>
    </w:rPr>
  </w:style>
  <w:style w:type="paragraph" w:styleId="28">
    <w:name w:val="Body Text First Indent"/>
    <w:basedOn w:val="11"/>
    <w:next w:val="1"/>
    <w:autoRedefine/>
    <w:qFormat/>
    <w:uiPriority w:val="0"/>
    <w:pPr>
      <w:spacing w:after="120" w:line="240" w:lineRule="auto"/>
      <w:ind w:firstLine="420" w:firstLineChars="100"/>
    </w:pPr>
    <w:rPr>
      <w:rFonts w:ascii="Calibri" w:hAnsi="Calibri"/>
      <w:sz w:val="18"/>
      <w:szCs w:val="18"/>
    </w:rPr>
  </w:style>
  <w:style w:type="paragraph" w:styleId="29">
    <w:name w:val="Body Text First Indent 2"/>
    <w:basedOn w:val="12"/>
    <w:next w:val="6"/>
    <w:autoRedefine/>
    <w:qFormat/>
    <w:uiPriority w:val="0"/>
    <w:pPr>
      <w:ind w:firstLine="420" w:firstLineChars="200"/>
    </w:p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uiPriority w:val="0"/>
    <w:rPr>
      <w:b/>
      <w:bCs/>
    </w:rPr>
  </w:style>
  <w:style w:type="character" w:styleId="34">
    <w:name w:val="page number"/>
    <w:basedOn w:val="32"/>
    <w:autoRedefine/>
    <w:qFormat/>
    <w:uiPriority w:val="0"/>
    <w:rPr>
      <w:rFonts w:ascii="Times New Roman" w:hAnsi="Times New Roman" w:eastAsia="宋体" w:cs="Times New Roman"/>
    </w:rPr>
  </w:style>
  <w:style w:type="character" w:styleId="35">
    <w:name w:val="Hyperlink"/>
    <w:basedOn w:val="32"/>
    <w:autoRedefine/>
    <w:qFormat/>
    <w:uiPriority w:val="0"/>
    <w:rPr>
      <w:color w:val="0000FF"/>
      <w:u w:val="single"/>
    </w:rPr>
  </w:style>
  <w:style w:type="character" w:styleId="36">
    <w:name w:val="annotation reference"/>
    <w:basedOn w:val="32"/>
    <w:autoRedefine/>
    <w:qFormat/>
    <w:uiPriority w:val="0"/>
    <w:rPr>
      <w:sz w:val="21"/>
      <w:szCs w:val="21"/>
    </w:rPr>
  </w:style>
  <w:style w:type="character" w:styleId="37">
    <w:name w:val="HTML Sample"/>
    <w:basedOn w:val="32"/>
    <w:qFormat/>
    <w:uiPriority w:val="0"/>
    <w:rPr>
      <w:rFonts w:ascii="Courier New" w:hAnsi="Courier New"/>
    </w:rPr>
  </w:style>
  <w:style w:type="paragraph" w:customStyle="1" w:styleId="38">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39">
    <w:name w:val="列出段落1"/>
    <w:basedOn w:val="1"/>
    <w:autoRedefine/>
    <w:qFormat/>
    <w:uiPriority w:val="0"/>
    <w:pPr>
      <w:ind w:firstLine="420" w:firstLineChars="200"/>
    </w:pPr>
  </w:style>
  <w:style w:type="paragraph" w:customStyle="1" w:styleId="40">
    <w:name w:val="Heading2"/>
    <w:basedOn w:val="1"/>
    <w:next w:val="1"/>
    <w:autoRedefine/>
    <w:qFormat/>
    <w:uiPriority w:val="0"/>
    <w:pPr>
      <w:keepNext/>
      <w:widowControl/>
      <w:numPr>
        <w:ilvl w:val="1"/>
        <w:numId w:val="1"/>
      </w:numPr>
      <w:spacing w:before="240" w:after="60"/>
      <w:textAlignment w:val="baseline"/>
    </w:pPr>
    <w:rPr>
      <w:rFonts w:ascii="Cambria" w:hAnsi="Cambria" w:cs="Times New Roman"/>
      <w:b/>
      <w:bCs/>
      <w:i/>
      <w:iCs/>
      <w:sz w:val="28"/>
      <w:szCs w:val="28"/>
      <w:lang w:bidi="ar-SA"/>
    </w:rPr>
  </w:style>
  <w:style w:type="paragraph" w:customStyle="1" w:styleId="41">
    <w:name w:val="正文王森"/>
    <w:basedOn w:val="1"/>
    <w:autoRedefine/>
    <w:qFormat/>
    <w:uiPriority w:val="0"/>
    <w:pPr>
      <w:spacing w:line="360" w:lineRule="auto"/>
      <w:ind w:firstLine="480" w:firstLineChars="200"/>
    </w:pPr>
    <w:rPr>
      <w:rFonts w:ascii="黑体" w:hAnsi="黑体" w:eastAsia="黑体"/>
      <w:sz w:val="24"/>
    </w:rPr>
  </w:style>
  <w:style w:type="paragraph" w:customStyle="1" w:styleId="42">
    <w:name w:val="List2"/>
    <w:basedOn w:val="1"/>
    <w:autoRedefine/>
    <w:qFormat/>
    <w:uiPriority w:val="0"/>
    <w:pPr>
      <w:widowControl/>
      <w:ind w:left="100" w:leftChars="200" w:hanging="200" w:hangingChars="200"/>
      <w:contextualSpacing/>
      <w:textAlignment w:val="baseline"/>
    </w:pPr>
  </w:style>
  <w:style w:type="paragraph" w:customStyle="1" w:styleId="43">
    <w:name w:val="Heading3"/>
    <w:basedOn w:val="1"/>
    <w:next w:val="1"/>
    <w:autoRedefine/>
    <w:qFormat/>
    <w:uiPriority w:val="0"/>
    <w:pPr>
      <w:keepNext/>
      <w:numPr>
        <w:ilvl w:val="0"/>
        <w:numId w:val="2"/>
      </w:numPr>
      <w:jc w:val="both"/>
      <w:textAlignment w:val="baseline"/>
    </w:pPr>
    <w:rPr>
      <w:rFonts w:cs="Times New Roman"/>
      <w:b/>
      <w:bCs/>
      <w:kern w:val="2"/>
      <w:sz w:val="28"/>
      <w:szCs w:val="24"/>
      <w:lang w:val="en-US" w:eastAsia="zh-CN" w:bidi="ar-SA"/>
    </w:rPr>
  </w:style>
  <w:style w:type="paragraph" w:customStyle="1" w:styleId="44">
    <w:name w:val="BodyText"/>
    <w:basedOn w:val="1"/>
    <w:autoRedefine/>
    <w:qFormat/>
    <w:uiPriority w:val="0"/>
    <w:pPr>
      <w:spacing w:after="120"/>
    </w:pPr>
  </w:style>
  <w:style w:type="paragraph" w:customStyle="1" w:styleId="45">
    <w:name w:val="Default"/>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46">
    <w:name w:val="标题 1 Char"/>
    <w:link w:val="2"/>
    <w:autoRedefine/>
    <w:qFormat/>
    <w:uiPriority w:val="0"/>
    <w:rPr>
      <w:rFonts w:ascii="宋体"/>
      <w:b/>
      <w:kern w:val="44"/>
      <w:sz w:val="32"/>
      <w:szCs w:val="20"/>
    </w:rPr>
  </w:style>
  <w:style w:type="paragraph" w:customStyle="1" w:styleId="47">
    <w:name w:val="No Spacing_3b93350b-94da-44fa-8143-641484b951a0"/>
    <w:link w:val="63"/>
    <w:autoRedefine/>
    <w:qFormat/>
    <w:uiPriority w:val="1"/>
    <w:pPr>
      <w:widowControl w:val="0"/>
      <w:jc w:val="both"/>
    </w:pPr>
    <w:rPr>
      <w:rFonts w:ascii="Calibri" w:hAnsi="Calibri" w:eastAsia="宋体" w:cs="Times New Roman"/>
      <w:kern w:val="2"/>
      <w:sz w:val="21"/>
      <w:szCs w:val="24"/>
      <w:lang w:val="en-US" w:eastAsia="zh-CN" w:bidi="ar-SA"/>
    </w:rPr>
  </w:style>
  <w:style w:type="character" w:customStyle="1" w:styleId="48">
    <w:name w:val="NormalCharacter"/>
    <w:autoRedefine/>
    <w:qFormat/>
    <w:uiPriority w:val="0"/>
    <w:rPr>
      <w:rFonts w:ascii="Calibri" w:hAnsi="Calibri" w:eastAsia="宋体" w:cs="Times New Roman"/>
      <w:kern w:val="2"/>
      <w:sz w:val="21"/>
      <w:szCs w:val="24"/>
      <w:lang w:val="en-US" w:eastAsia="zh-CN" w:bidi="ar-SA"/>
    </w:rPr>
  </w:style>
  <w:style w:type="paragraph" w:customStyle="1" w:styleId="49">
    <w:name w:val="图例"/>
    <w:basedOn w:val="1"/>
    <w:autoRedefine/>
    <w:qFormat/>
    <w:uiPriority w:val="0"/>
    <w:pPr>
      <w:spacing w:before="120" w:after="120" w:line="360" w:lineRule="auto"/>
      <w:jc w:val="center"/>
    </w:pPr>
    <w:rPr>
      <w:rFonts w:eastAsia="仿宋_GB2312"/>
      <w:b/>
      <w:sz w:val="24"/>
    </w:rPr>
  </w:style>
  <w:style w:type="paragraph" w:customStyle="1" w:styleId="50">
    <w:name w:val="List Paragraph_7aecd6e6-fc70-4df6-be05-ef790174fbad"/>
    <w:basedOn w:val="1"/>
    <w:autoRedefine/>
    <w:qFormat/>
    <w:uiPriority w:val="34"/>
    <w:pPr>
      <w:ind w:firstLine="420" w:firstLineChars="200"/>
    </w:pPr>
  </w:style>
  <w:style w:type="paragraph" w:customStyle="1" w:styleId="51">
    <w:name w:val="正文-manu"/>
    <w:basedOn w:val="1"/>
    <w:autoRedefine/>
    <w:qFormat/>
    <w:uiPriority w:val="0"/>
    <w:pPr>
      <w:spacing w:line="300" w:lineRule="auto"/>
    </w:pPr>
    <w:rPr>
      <w:b/>
      <w:snapToGrid w:val="0"/>
      <w:kern w:val="0"/>
      <w:sz w:val="24"/>
      <w:szCs w:val="20"/>
    </w:rPr>
  </w:style>
  <w:style w:type="character" w:customStyle="1" w:styleId="52">
    <w:name w:val="font01"/>
    <w:basedOn w:val="32"/>
    <w:autoRedefine/>
    <w:qFormat/>
    <w:uiPriority w:val="0"/>
    <w:rPr>
      <w:rFonts w:hint="default" w:ascii="Arial" w:hAnsi="Arial" w:cs="Arial"/>
      <w:color w:val="000000"/>
      <w:sz w:val="22"/>
      <w:szCs w:val="22"/>
      <w:u w:val="none"/>
    </w:rPr>
  </w:style>
  <w:style w:type="character" w:customStyle="1" w:styleId="53">
    <w:name w:val="font41"/>
    <w:basedOn w:val="32"/>
    <w:autoRedefine/>
    <w:qFormat/>
    <w:uiPriority w:val="0"/>
    <w:rPr>
      <w:rFonts w:hint="eastAsia" w:ascii="宋体" w:hAnsi="宋体" w:eastAsia="宋体" w:cs="宋体"/>
      <w:color w:val="000000"/>
      <w:sz w:val="22"/>
      <w:szCs w:val="22"/>
      <w:u w:val="none"/>
    </w:rPr>
  </w:style>
  <w:style w:type="character" w:customStyle="1" w:styleId="54">
    <w:name w:val="font51"/>
    <w:basedOn w:val="32"/>
    <w:autoRedefine/>
    <w:qFormat/>
    <w:uiPriority w:val="0"/>
    <w:rPr>
      <w:rFonts w:hint="eastAsia" w:ascii="宋体" w:hAnsi="宋体" w:eastAsia="宋体" w:cs="宋体"/>
      <w:color w:val="000000"/>
      <w:sz w:val="22"/>
      <w:szCs w:val="22"/>
      <w:u w:val="none"/>
    </w:rPr>
  </w:style>
  <w:style w:type="character" w:customStyle="1" w:styleId="55">
    <w:name w:val="font31"/>
    <w:basedOn w:val="32"/>
    <w:autoRedefine/>
    <w:qFormat/>
    <w:uiPriority w:val="0"/>
    <w:rPr>
      <w:rFonts w:hint="default" w:ascii="Arial" w:hAnsi="Arial" w:cs="Arial"/>
      <w:b/>
      <w:color w:val="000000"/>
      <w:sz w:val="22"/>
      <w:szCs w:val="22"/>
      <w:u w:val="none"/>
    </w:rPr>
  </w:style>
  <w:style w:type="character" w:customStyle="1" w:styleId="56">
    <w:name w:val="font91"/>
    <w:basedOn w:val="32"/>
    <w:autoRedefine/>
    <w:qFormat/>
    <w:uiPriority w:val="0"/>
    <w:rPr>
      <w:rFonts w:hint="default" w:ascii="Arial" w:hAnsi="Arial" w:cs="Arial"/>
      <w:color w:val="000000"/>
      <w:sz w:val="22"/>
      <w:szCs w:val="22"/>
      <w:u w:val="none"/>
    </w:rPr>
  </w:style>
  <w:style w:type="character" w:customStyle="1" w:styleId="57">
    <w:name w:val="font81"/>
    <w:basedOn w:val="32"/>
    <w:autoRedefine/>
    <w:qFormat/>
    <w:uiPriority w:val="0"/>
    <w:rPr>
      <w:rFonts w:hint="eastAsia" w:ascii="宋体" w:hAnsi="宋体" w:eastAsia="宋体" w:cs="宋体"/>
      <w:color w:val="000000"/>
      <w:sz w:val="22"/>
      <w:szCs w:val="22"/>
      <w:u w:val="none"/>
    </w:rPr>
  </w:style>
  <w:style w:type="character" w:customStyle="1" w:styleId="58">
    <w:name w:val="font21"/>
    <w:basedOn w:val="32"/>
    <w:autoRedefine/>
    <w:qFormat/>
    <w:uiPriority w:val="0"/>
    <w:rPr>
      <w:rFonts w:ascii="微软雅黑" w:hAnsi="微软雅黑" w:eastAsia="微软雅黑" w:cs="微软雅黑"/>
      <w:b/>
      <w:color w:val="000000"/>
      <w:sz w:val="24"/>
      <w:szCs w:val="24"/>
      <w:u w:val="none"/>
    </w:rPr>
  </w:style>
  <w:style w:type="character" w:customStyle="1" w:styleId="59">
    <w:name w:val="font61"/>
    <w:basedOn w:val="32"/>
    <w:autoRedefine/>
    <w:qFormat/>
    <w:uiPriority w:val="0"/>
    <w:rPr>
      <w:rFonts w:hint="default" w:ascii="Times New Roman" w:hAnsi="Times New Roman" w:cs="Times New Roman"/>
      <w:b/>
      <w:color w:val="000000"/>
      <w:sz w:val="24"/>
      <w:szCs w:val="24"/>
      <w:u w:val="none"/>
    </w:rPr>
  </w:style>
  <w:style w:type="character" w:customStyle="1" w:styleId="60">
    <w:name w:val="font71"/>
    <w:basedOn w:val="32"/>
    <w:autoRedefine/>
    <w:qFormat/>
    <w:uiPriority w:val="0"/>
    <w:rPr>
      <w:rFonts w:hint="eastAsia" w:ascii="微软雅黑" w:hAnsi="微软雅黑" w:eastAsia="微软雅黑" w:cs="微软雅黑"/>
      <w:color w:val="000000"/>
      <w:sz w:val="24"/>
      <w:szCs w:val="24"/>
      <w:u w:val="none"/>
    </w:rPr>
  </w:style>
  <w:style w:type="character" w:customStyle="1" w:styleId="61">
    <w:name w:val="font101"/>
    <w:basedOn w:val="32"/>
    <w:autoRedefine/>
    <w:qFormat/>
    <w:uiPriority w:val="0"/>
    <w:rPr>
      <w:rFonts w:hint="default" w:ascii="Times New Roman" w:hAnsi="Times New Roman" w:cs="Times New Roman"/>
      <w:color w:val="000000"/>
      <w:sz w:val="24"/>
      <w:szCs w:val="24"/>
      <w:u w:val="none"/>
    </w:rPr>
  </w:style>
  <w:style w:type="paragraph" w:customStyle="1" w:styleId="62">
    <w:name w:val="_Style 1"/>
    <w:basedOn w:val="1"/>
    <w:autoRedefine/>
    <w:qFormat/>
    <w:uiPriority w:val="34"/>
    <w:pPr>
      <w:ind w:firstLine="420" w:firstLineChars="200"/>
    </w:pPr>
  </w:style>
  <w:style w:type="character" w:customStyle="1" w:styleId="63">
    <w:name w:val="无间隔 Char"/>
    <w:link w:val="47"/>
    <w:autoRedefine/>
    <w:qFormat/>
    <w:uiPriority w:val="1"/>
    <w:rPr>
      <w:rFonts w:ascii="Calibri" w:hAnsi="Calibri" w:eastAsia="宋体" w:cs="Times New Roman"/>
      <w:kern w:val="2"/>
      <w:sz w:val="21"/>
      <w:szCs w:val="24"/>
      <w:lang w:val="en-US" w:eastAsia="zh-CN" w:bidi="ar-SA"/>
    </w:rPr>
  </w:style>
  <w:style w:type="paragraph" w:customStyle="1" w:styleId="64">
    <w:name w:val="索引 11"/>
    <w:basedOn w:val="1"/>
    <w:next w:val="1"/>
    <w:autoRedefine/>
    <w:qFormat/>
    <w:uiPriority w:val="0"/>
    <w:pPr>
      <w:spacing w:line="360" w:lineRule="auto"/>
    </w:pPr>
    <w:rPr>
      <w:rFonts w:ascii="仿宋_GB2312" w:eastAsia="仿宋_GB2312"/>
      <w:sz w:val="24"/>
      <w:szCs w:val="20"/>
    </w:rPr>
  </w:style>
  <w:style w:type="paragraph" w:customStyle="1" w:styleId="65">
    <w:name w:val="纯文本1"/>
    <w:basedOn w:val="1"/>
    <w:autoRedefine/>
    <w:qFormat/>
    <w:uiPriority w:val="0"/>
    <w:rPr>
      <w:rFonts w:ascii="宋体" w:hAnsi="Courier New"/>
      <w:kern w:val="0"/>
      <w:sz w:val="20"/>
      <w:szCs w:val="20"/>
    </w:rPr>
  </w:style>
  <w:style w:type="paragraph" w:customStyle="1" w:styleId="66">
    <w:name w:val="段"/>
    <w:next w:val="1"/>
    <w:autoRedefine/>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7">
    <w:name w:val="石墨文档正文"/>
    <w:autoRedefine/>
    <w:qFormat/>
    <w:uiPriority w:val="0"/>
    <w:rPr>
      <w:rFonts w:ascii="微软雅黑" w:hAnsi="微软雅黑" w:eastAsia="微软雅黑" w:cs="微软雅黑"/>
      <w:sz w:val="24"/>
      <w:szCs w:val="24"/>
      <w:lang w:val="en-US" w:eastAsia="zh-CN" w:bidi="ar-SA"/>
    </w:rPr>
  </w:style>
  <w:style w:type="character" w:customStyle="1" w:styleId="68">
    <w:name w:val="批注框文本 Char"/>
    <w:basedOn w:val="32"/>
    <w:link w:val="18"/>
    <w:autoRedefine/>
    <w:qFormat/>
    <w:uiPriority w:val="0"/>
    <w:rPr>
      <w:kern w:val="2"/>
      <w:sz w:val="18"/>
      <w:szCs w:val="18"/>
    </w:rPr>
  </w:style>
  <w:style w:type="character" w:customStyle="1" w:styleId="69">
    <w:name w:val="批注文字 Char"/>
    <w:basedOn w:val="32"/>
    <w:link w:val="9"/>
    <w:autoRedefine/>
    <w:qFormat/>
    <w:uiPriority w:val="0"/>
    <w:rPr>
      <w:kern w:val="2"/>
      <w:sz w:val="21"/>
      <w:szCs w:val="24"/>
    </w:rPr>
  </w:style>
  <w:style w:type="character" w:customStyle="1" w:styleId="70">
    <w:name w:val="批注主题 Char"/>
    <w:basedOn w:val="69"/>
    <w:link w:val="27"/>
    <w:autoRedefine/>
    <w:qFormat/>
    <w:uiPriority w:val="0"/>
    <w:rPr>
      <w:b/>
      <w:bCs/>
      <w:kern w:val="2"/>
      <w:sz w:val="21"/>
      <w:szCs w:val="24"/>
    </w:rPr>
  </w:style>
  <w:style w:type="paragraph" w:customStyle="1" w:styleId="71">
    <w:name w:val="CL标准正文首行缩进2字"/>
    <w:autoRedefine/>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72">
    <w:name w:val="Table Normal1"/>
    <w:autoRedefine/>
    <w:qFormat/>
    <w:uiPriority w:val="0"/>
    <w:rPr>
      <w:rFonts w:ascii="Times New Roman" w:hAnsi="Times New Roman" w:cs="Times New Roman"/>
    </w:rPr>
    <w:tblPr>
      <w:tblCellMar>
        <w:top w:w="0" w:type="dxa"/>
        <w:left w:w="0" w:type="dxa"/>
        <w:bottom w:w="0" w:type="dxa"/>
        <w:right w:w="0" w:type="dxa"/>
      </w:tblCellMar>
    </w:tblPr>
  </w:style>
  <w:style w:type="paragraph" w:customStyle="1" w:styleId="7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74">
    <w:name w:val="p1"/>
    <w:basedOn w:val="1"/>
    <w:autoRedefine/>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75">
    <w:name w:val="s1"/>
    <w:basedOn w:val="32"/>
    <w:autoRedefine/>
    <w:qFormat/>
    <w:uiPriority w:val="0"/>
    <w:rPr>
      <w:rFonts w:ascii="pingfang sc" w:hAnsi="pingfang sc" w:eastAsia="pingfang sc" w:cs="pingfang sc"/>
      <w:sz w:val="40"/>
      <w:szCs w:val="40"/>
    </w:rPr>
  </w:style>
  <w:style w:type="character" w:customStyle="1" w:styleId="76">
    <w:name w:val="trans"/>
    <w:autoRedefine/>
    <w:qFormat/>
    <w:uiPriority w:val="99"/>
  </w:style>
  <w:style w:type="paragraph" w:customStyle="1" w:styleId="77">
    <w:name w:val="正文 A"/>
    <w:autoRedefine/>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8">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9">
    <w:name w:val="PageNumber"/>
    <w:autoRedefine/>
    <w:qFormat/>
    <w:uiPriority w:val="99"/>
    <w:rPr>
      <w:rFonts w:cs="Times New Roman"/>
    </w:rPr>
  </w:style>
  <w:style w:type="paragraph" w:customStyle="1" w:styleId="80">
    <w:name w:val="样式1"/>
    <w:basedOn w:val="3"/>
    <w:autoRedefine/>
    <w:qFormat/>
    <w:uiPriority w:val="0"/>
    <w:pPr>
      <w:spacing w:before="100" w:beforeAutospacing="1" w:after="100" w:afterAutospacing="1"/>
      <w:ind w:right="100" w:rightChars="100"/>
    </w:pPr>
    <w:rPr>
      <w:sz w:val="21"/>
    </w:rPr>
  </w:style>
  <w:style w:type="paragraph" w:customStyle="1" w:styleId="81">
    <w:name w:val="UserStyle_15"/>
    <w:basedOn w:val="40"/>
    <w:autoRedefine/>
    <w:qFormat/>
    <w:uiPriority w:val="0"/>
    <w:pPr>
      <w:keepNext/>
      <w:widowControl/>
      <w:numPr>
        <w:ilvl w:val="1"/>
        <w:numId w:val="1"/>
      </w:numPr>
      <w:spacing w:before="100" w:beforeAutospacing="1" w:after="100" w:afterAutospacing="1"/>
      <w:ind w:left="1710" w:right="100" w:rightChars="100"/>
      <w:textAlignment w:val="baseline"/>
    </w:pPr>
    <w:rPr>
      <w:rFonts w:ascii="Cambria" w:hAnsi="Cambria" w:cs="Times New Roman"/>
      <w:sz w:val="21"/>
      <w:szCs w:val="28"/>
      <w:lang w:bidi="ar-SA"/>
    </w:rPr>
  </w:style>
  <w:style w:type="character" w:customStyle="1" w:styleId="82">
    <w:name w:val="UserStyle_2"/>
    <w:link w:val="83"/>
    <w:autoRedefine/>
    <w:qFormat/>
    <w:uiPriority w:val="0"/>
    <w:rPr>
      <w:kern w:val="0"/>
      <w:sz w:val="20"/>
      <w:szCs w:val="24"/>
      <w:lang w:val="en-US" w:eastAsia="zh-CN" w:bidi="ar-SA"/>
    </w:rPr>
  </w:style>
  <w:style w:type="paragraph" w:customStyle="1" w:styleId="83">
    <w:name w:val="UserStyle_3"/>
    <w:basedOn w:val="1"/>
    <w:link w:val="82"/>
    <w:autoRedefine/>
    <w:qFormat/>
    <w:uiPriority w:val="0"/>
    <w:pPr>
      <w:jc w:val="both"/>
      <w:textAlignment w:val="baseline"/>
    </w:pPr>
    <w:rPr>
      <w:kern w:val="0"/>
      <w:sz w:val="20"/>
      <w:szCs w:val="24"/>
      <w:lang w:val="en-US" w:eastAsia="zh-CN" w:bidi="ar-SA"/>
    </w:rPr>
  </w:style>
  <w:style w:type="paragraph" w:customStyle="1" w:styleId="84">
    <w:name w:val="List Paragraph1"/>
    <w:basedOn w:val="1"/>
    <w:autoRedefine/>
    <w:qFormat/>
    <w:uiPriority w:val="0"/>
    <w:pPr>
      <w:ind w:firstLine="420" w:firstLineChars="200"/>
    </w:pPr>
  </w:style>
  <w:style w:type="paragraph" w:customStyle="1" w:styleId="85">
    <w:name w:val="List Paragraph"/>
    <w:basedOn w:val="1"/>
    <w:autoRedefine/>
    <w:qFormat/>
    <w:uiPriority w:val="34"/>
    <w:pPr>
      <w:ind w:firstLine="420" w:firstLineChars="200"/>
    </w:pPr>
  </w:style>
  <w:style w:type="paragraph" w:styleId="86">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xl4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szCs w:val="24"/>
    </w:rPr>
  </w:style>
  <w:style w:type="paragraph" w:customStyle="1" w:styleId="88">
    <w:name w:val="TOC Heading"/>
    <w:basedOn w:val="2"/>
    <w:next w:val="1"/>
    <w:autoRedefine/>
    <w:semiHidden/>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89">
    <w:name w:val="标题33"/>
    <w:basedOn w:val="4"/>
    <w:next w:val="41"/>
    <w:autoRedefine/>
    <w:qFormat/>
    <w:uiPriority w:val="0"/>
    <w:pPr>
      <w:numPr>
        <w:ilvl w:val="2"/>
        <w:numId w:val="3"/>
      </w:numPr>
      <w:tabs>
        <w:tab w:val="clear" w:pos="720"/>
      </w:tabs>
    </w:pPr>
    <w:rPr>
      <w:rFonts w:hAnsi="黑体" w:eastAsia="黑体"/>
      <w:sz w:val="30"/>
      <w:szCs w:val="30"/>
    </w:rPr>
  </w:style>
  <w:style w:type="paragraph" w:customStyle="1" w:styleId="90">
    <w:name w:val="标题44"/>
    <w:basedOn w:val="5"/>
    <w:next w:val="41"/>
    <w:autoRedefine/>
    <w:qFormat/>
    <w:uiPriority w:val="0"/>
    <w:pPr>
      <w:numPr>
        <w:ilvl w:val="3"/>
        <w:numId w:val="3"/>
      </w:numPr>
    </w:pPr>
    <w:rPr>
      <w:sz w:val="30"/>
      <w:szCs w:val="30"/>
    </w:rPr>
  </w:style>
  <w:style w:type="paragraph" w:customStyle="1" w:styleId="91">
    <w:name w:val="表格文字"/>
    <w:basedOn w:val="1"/>
    <w:autoRedefine/>
    <w:qFormat/>
    <w:uiPriority w:val="0"/>
    <w:pPr>
      <w:spacing w:before="25" w:after="25"/>
      <w:jc w:val="left"/>
    </w:pPr>
    <w:rPr>
      <w:bCs/>
      <w:spacing w:val="10"/>
      <w:kern w:val="0"/>
      <w:sz w:val="24"/>
    </w:rPr>
  </w:style>
  <w:style w:type="paragraph" w:customStyle="1" w:styleId="92">
    <w:name w:val="p0"/>
    <w:basedOn w:val="1"/>
    <w:autoRedefine/>
    <w:qFormat/>
    <w:uiPriority w:val="0"/>
    <w:pPr>
      <w:widowControl/>
    </w:pPr>
    <w:rPr>
      <w:kern w:val="0"/>
      <w:szCs w:val="21"/>
    </w:rPr>
  </w:style>
  <w:style w:type="character" w:customStyle="1" w:styleId="93">
    <w:name w:val="font11"/>
    <w:basedOn w:val="32"/>
    <w:autoRedefine/>
    <w:qFormat/>
    <w:uiPriority w:val="0"/>
    <w:rPr>
      <w:rFonts w:hint="eastAsia" w:ascii="宋体" w:hAnsi="宋体" w:eastAsia="宋体" w:cs="宋体"/>
      <w:color w:val="333333"/>
      <w:sz w:val="24"/>
      <w:szCs w:val="24"/>
      <w:u w:val="none"/>
    </w:rPr>
  </w:style>
  <w:style w:type="table" w:customStyle="1" w:styleId="94">
    <w:name w:val="Table Normal"/>
    <w:autoRedefine/>
    <w:semiHidden/>
    <w:unhideWhenUsed/>
    <w:qFormat/>
    <w:uiPriority w:val="0"/>
    <w:tblPr>
      <w:tblCellMar>
        <w:top w:w="0" w:type="dxa"/>
        <w:left w:w="0" w:type="dxa"/>
        <w:bottom w:w="0" w:type="dxa"/>
        <w:right w:w="0" w:type="dxa"/>
      </w:tblCellMar>
    </w:tblPr>
  </w:style>
  <w:style w:type="paragraph" w:customStyle="1" w:styleId="95">
    <w:name w:val="ParaAttribute13"/>
    <w:autoRedefine/>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96">
    <w:name w:val="CharAttribute0"/>
    <w:autoRedefine/>
    <w:qFormat/>
    <w:uiPriority w:val="0"/>
    <w:rPr>
      <w:rFonts w:ascii="Times New Roman" w:eastAsia="宋体"/>
      <w:sz w:val="21"/>
    </w:rPr>
  </w:style>
  <w:style w:type="paragraph" w:customStyle="1" w:styleId="97">
    <w:name w:val="普通(网站)1"/>
    <w:basedOn w:val="1"/>
    <w:autoRedefine/>
    <w:qFormat/>
    <w:uiPriority w:val="2"/>
    <w:pPr>
      <w:spacing w:before="75" w:after="75"/>
      <w:ind w:left="0" w:right="0" w:firstLine="0"/>
      <w:jc w:val="left"/>
    </w:pPr>
    <w:rPr>
      <w:kern w:val="0"/>
      <w:sz w:val="24"/>
      <w:lang w:val="en-US" w:eastAsia="zh-CN" w:bidi="ar"/>
    </w:rPr>
  </w:style>
  <w:style w:type="character" w:customStyle="1" w:styleId="98">
    <w:name w:val="font121"/>
    <w:basedOn w:val="32"/>
    <w:autoRedefine/>
    <w:qFormat/>
    <w:uiPriority w:val="0"/>
    <w:rPr>
      <w:rFonts w:hint="default" w:ascii="Times New Roman" w:hAnsi="Times New Roman" w:cs="Times New Roman"/>
      <w:b/>
      <w:bCs/>
      <w:color w:val="000000"/>
      <w:sz w:val="22"/>
      <w:szCs w:val="22"/>
      <w:u w:val="none"/>
    </w:rPr>
  </w:style>
  <w:style w:type="character" w:customStyle="1" w:styleId="99">
    <w:name w:val="font131"/>
    <w:basedOn w:val="32"/>
    <w:autoRedefine/>
    <w:qFormat/>
    <w:uiPriority w:val="0"/>
    <w:rPr>
      <w:rFonts w:hint="eastAsia" w:ascii="宋体" w:hAnsi="宋体" w:eastAsia="宋体" w:cs="宋体"/>
      <w:b/>
      <w:bCs/>
      <w:color w:val="FF0000"/>
      <w:sz w:val="22"/>
      <w:szCs w:val="22"/>
      <w:u w:val="none"/>
    </w:rPr>
  </w:style>
  <w:style w:type="paragraph" w:customStyle="1" w:styleId="100">
    <w:name w:val="Table Paragraph"/>
    <w:basedOn w:val="101"/>
    <w:autoRedefine/>
    <w:qFormat/>
    <w:uiPriority w:val="1"/>
    <w:pPr>
      <w:spacing w:before="85"/>
      <w:jc w:val="center"/>
    </w:pPr>
    <w:rPr>
      <w:rFonts w:ascii="宋体" w:hAnsi="宋体" w:eastAsia="宋体" w:cs="宋体"/>
      <w:lang w:val="zh-CN" w:eastAsia="zh-CN" w:bidi="zh-CN"/>
    </w:rPr>
  </w:style>
  <w:style w:type="paragraph" w:customStyle="1" w:styleId="101">
    <w:name w:val="正文_1_0"/>
    <w:basedOn w:val="102"/>
    <w:next w:val="104"/>
    <w:autoRedefine/>
    <w:qFormat/>
    <w:uiPriority w:val="0"/>
    <w:rPr>
      <w:rFonts w:ascii="Calibri" w:hAnsi="Calibri" w:cs="Calibri"/>
      <w:szCs w:val="21"/>
      <w:lang w:bidi="ug-CN"/>
    </w:rPr>
  </w:style>
  <w:style w:type="paragraph" w:customStyle="1" w:styleId="102">
    <w:name w:val="正文_1_1"/>
    <w:basedOn w:val="103"/>
    <w:autoRedefine/>
    <w:qFormat/>
    <w:uiPriority w:val="0"/>
    <w:pPr>
      <w:widowControl w:val="0"/>
      <w:jc w:val="both"/>
    </w:pPr>
    <w:rPr>
      <w:kern w:val="2"/>
      <w:sz w:val="21"/>
      <w:szCs w:val="22"/>
      <w:lang w:val="en-US" w:eastAsia="zh-CN" w:bidi="ar-SA"/>
    </w:rPr>
  </w:style>
  <w:style w:type="paragraph" w:customStyle="1" w:styleId="103">
    <w:name w:val="正文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正文首行缩进1"/>
    <w:basedOn w:val="105"/>
    <w:autoRedefine/>
    <w:unhideWhenUsed/>
    <w:qFormat/>
    <w:uiPriority w:val="99"/>
    <w:pPr>
      <w:ind w:firstLine="420" w:firstLineChars="100"/>
    </w:pPr>
    <w:rPr>
      <w:szCs w:val="22"/>
    </w:rPr>
  </w:style>
  <w:style w:type="paragraph" w:customStyle="1" w:styleId="105">
    <w:name w:val="正文文本_0_0"/>
    <w:basedOn w:val="106"/>
    <w:autoRedefine/>
    <w:qFormat/>
    <w:uiPriority w:val="0"/>
    <w:pPr>
      <w:spacing w:after="120"/>
    </w:pPr>
    <w:rPr>
      <w:rFonts w:ascii="Calibri" w:hAnsi="Calibri"/>
      <w:kern w:val="0"/>
      <w:sz w:val="20"/>
    </w:rPr>
  </w:style>
  <w:style w:type="paragraph" w:customStyle="1" w:styleId="106">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p15"/>
    <w:basedOn w:val="1"/>
    <w:autoRedefine/>
    <w:qFormat/>
    <w:uiPriority w:val="0"/>
    <w:pPr>
      <w:snapToGrid/>
      <w:spacing w:after="0"/>
    </w:pPr>
    <w:rPr>
      <w:rFonts w:ascii="Arial Unicode MS" w:hAnsi="Arial Unicode MS" w:eastAsia="宋体" w:cs="宋体"/>
      <w:color w:val="000000"/>
      <w:sz w:val="24"/>
      <w:szCs w:val="24"/>
    </w:rPr>
  </w:style>
  <w:style w:type="paragraph" w:customStyle="1" w:styleId="108">
    <w:name w:val="style8"/>
    <w:basedOn w:val="1"/>
    <w:autoRedefine/>
    <w:qFormat/>
    <w:uiPriority w:val="0"/>
    <w:pPr>
      <w:widowControl/>
      <w:spacing w:before="100" w:beforeAutospacing="1" w:after="100" w:afterAutospacing="1"/>
      <w:jc w:val="left"/>
    </w:pPr>
    <w:rPr>
      <w:rFonts w:ascii="Arial Unicode MS" w:hAnsi="Arial Unicode MS" w:eastAsia="Arial Unicode MS" w:cs="黑体"/>
      <w:color w:val="000000"/>
      <w:kern w:val="0"/>
      <w:sz w:val="24"/>
      <w:szCs w:val="24"/>
    </w:rPr>
  </w:style>
  <w:style w:type="paragraph" w:customStyle="1" w:styleId="109">
    <w:name w:val="列表段落1"/>
    <w:basedOn w:val="1"/>
    <w:autoRedefine/>
    <w:qFormat/>
    <w:uiPriority w:val="34"/>
    <w:pPr>
      <w:ind w:firstLine="420" w:firstLineChars="200"/>
    </w:pPr>
  </w:style>
  <w:style w:type="paragraph" w:styleId="110">
    <w:name w:val="Quote"/>
    <w:basedOn w:val="1"/>
    <w:next w:val="1"/>
    <w:autoRedefine/>
    <w:qFormat/>
    <w:uiPriority w:val="0"/>
    <w:rPr>
      <w:i/>
      <w:iCs/>
      <w:color w:val="000000"/>
      <w:szCs w:val="22"/>
    </w:rPr>
  </w:style>
  <w:style w:type="character" w:customStyle="1" w:styleId="111">
    <w:name w:val="case31"/>
    <w:qFormat/>
    <w:uiPriority w:val="0"/>
    <w:rPr>
      <w:rFonts w:hint="default" w:ascii="_x000B__x000C_" w:hAnsi="_x000B__x000C_"/>
      <w:sz w:val="21"/>
      <w:szCs w:val="21"/>
    </w:rPr>
  </w:style>
  <w:style w:type="paragraph" w:customStyle="1" w:styleId="112">
    <w:name w:val="正文1"/>
    <w:basedOn w:val="1"/>
    <w:next w:val="1"/>
    <w:qFormat/>
    <w:uiPriority w:val="0"/>
    <w:pPr>
      <w:spacing w:line="300" w:lineRule="auto"/>
      <w:ind w:firstLine="200" w:firstLineChars="200"/>
    </w:pPr>
    <w:rPr>
      <w:sz w:val="24"/>
    </w:rPr>
  </w:style>
  <w:style w:type="paragraph" w:customStyle="1" w:styleId="113">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114">
    <w:name w:val="Table Text"/>
    <w:basedOn w:val="1"/>
    <w:semiHidden/>
    <w:qFormat/>
    <w:uiPriority w:val="0"/>
    <w:rPr>
      <w:rFonts w:ascii="楷体" w:hAnsi="楷体" w:eastAsia="楷体" w:cs="楷体"/>
      <w:sz w:val="19"/>
      <w:szCs w:val="19"/>
      <w:lang w:val="en-US" w:eastAsia="en-US" w:bidi="ar-SA"/>
    </w:rPr>
  </w:style>
  <w:style w:type="paragraph" w:customStyle="1" w:styleId="115">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85</Pages>
  <Words>14782</Words>
  <Characters>15797</Characters>
  <Paragraphs>2159</Paragraphs>
  <TotalTime>0</TotalTime>
  <ScaleCrop>false</ScaleCrop>
  <LinksUpToDate>false</LinksUpToDate>
  <CharactersWithSpaces>17556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柚子果酱</cp:lastModifiedBy>
  <cp:lastPrinted>2025-03-24T06:48:00Z</cp:lastPrinted>
  <dcterms:modified xsi:type="dcterms:W3CDTF">2026-04-26T05:11:42Z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7896A8415A604AD8958A365D2819AD9F_13</vt:lpwstr>
  </property>
  <property fmtid="{D5CDD505-2E9C-101B-9397-08002B2CF9AE}" pid="4" name="KSOTemplateDocerSaveRecord">
    <vt:lpwstr>eyJoZGlkIjoiZjRkMWZlOTY3NDBhYjc5Njk5YTBlOWJlNTU2OGJjNzIiLCJ1c2VySWQiOiIyODcxNDYzMjIifQ==</vt:lpwstr>
  </property>
</Properties>
</file>