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7C8A7">
      <w:pPr>
        <w:spacing w:line="360" w:lineRule="auto"/>
        <w:jc w:val="center"/>
        <w:rPr>
          <w:rFonts w:ascii="宋体" w:hAnsi="宋体" w:cs="宋体"/>
          <w:b/>
          <w:color w:val="auto"/>
          <w:sz w:val="24"/>
          <w:highlight w:val="none"/>
        </w:rPr>
      </w:pPr>
    </w:p>
    <w:p w14:paraId="0A5C5A0D">
      <w:pPr>
        <w:spacing w:line="360" w:lineRule="auto"/>
        <w:jc w:val="center"/>
        <w:rPr>
          <w:rFonts w:ascii="宋体" w:hAnsi="宋体" w:cs="宋体"/>
          <w:b/>
          <w:color w:val="auto"/>
          <w:sz w:val="24"/>
          <w:highlight w:val="none"/>
        </w:rPr>
      </w:pPr>
    </w:p>
    <w:p w14:paraId="0F01F23D">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桐庐县公路治超非现场执法点位运维</w:t>
      </w:r>
    </w:p>
    <w:p w14:paraId="7F808CB1">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2C8D9204">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1F4C79A8">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fldChar w:fldCharType="begin"/>
      </w:r>
      <w:r>
        <w:rPr>
          <w:rFonts w:hint="eastAsia" w:ascii="宋体" w:hAnsi="宋体" w:cs="宋体"/>
          <w:color w:val="auto"/>
          <w:sz w:val="30"/>
          <w:szCs w:val="30"/>
          <w:highlight w:val="none"/>
          <w:lang w:eastAsia="zh-CN"/>
        </w:rPr>
        <w:instrText xml:space="preserve"> HYPERLINK "https://pay.zcygov.cn/purchaseplan_front/" \l "/procurement-plan/plan/detail?id=1101000000961687&amp;_app_=zcy.purchase-plan" \t "https://www.zcygov.cn/delegation-order/_procurement_/order/_blank" </w:instrText>
      </w:r>
      <w:r>
        <w:rPr>
          <w:rFonts w:hint="eastAsia" w:ascii="宋体" w:hAnsi="宋体" w:cs="宋体"/>
          <w:color w:val="auto"/>
          <w:sz w:val="30"/>
          <w:szCs w:val="30"/>
          <w:highlight w:val="none"/>
          <w:lang w:eastAsia="zh-CN"/>
        </w:rPr>
        <w:fldChar w:fldCharType="separate"/>
      </w:r>
      <w:r>
        <w:rPr>
          <w:rFonts w:hint="eastAsia" w:ascii="宋体" w:hAnsi="宋体" w:cs="宋体"/>
          <w:color w:val="auto"/>
          <w:sz w:val="30"/>
          <w:szCs w:val="30"/>
          <w:highlight w:val="none"/>
          <w:lang w:eastAsia="zh-CN"/>
        </w:rPr>
        <w:t>330122261050010000003</w:t>
      </w:r>
      <w:r>
        <w:rPr>
          <w:rFonts w:hint="eastAsia" w:ascii="宋体" w:hAnsi="宋体" w:cs="宋体"/>
          <w:color w:val="auto"/>
          <w:sz w:val="30"/>
          <w:szCs w:val="30"/>
          <w:highlight w:val="none"/>
          <w:lang w:eastAsia="zh-CN"/>
        </w:rPr>
        <w:fldChar w:fldCharType="end"/>
      </w:r>
      <w:r>
        <w:rPr>
          <w:rFonts w:hint="eastAsia" w:ascii="宋体" w:hAnsi="宋体" w:cs="宋体"/>
          <w:color w:val="auto"/>
          <w:sz w:val="30"/>
          <w:szCs w:val="30"/>
          <w:highlight w:val="none"/>
        </w:rPr>
        <w:t>）</w:t>
      </w:r>
    </w:p>
    <w:p w14:paraId="5BBD926D">
      <w:pPr>
        <w:adjustRightInd/>
        <w:spacing w:line="360" w:lineRule="auto"/>
        <w:rPr>
          <w:rFonts w:ascii="宋体" w:hAnsi="宋体" w:cs="宋体"/>
          <w:color w:val="auto"/>
          <w:sz w:val="28"/>
          <w:szCs w:val="20"/>
          <w:highlight w:val="none"/>
        </w:rPr>
      </w:pPr>
    </w:p>
    <w:p w14:paraId="5649A9C9">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5BC8996A">
      <w:pPr>
        <w:spacing w:line="360" w:lineRule="auto"/>
        <w:jc w:val="center"/>
        <w:rPr>
          <w:rFonts w:ascii="宋体" w:hAnsi="宋体" w:cs="宋体"/>
          <w:b/>
          <w:color w:val="auto"/>
          <w:sz w:val="44"/>
          <w:szCs w:val="44"/>
          <w:highlight w:val="none"/>
        </w:rPr>
      </w:pPr>
    </w:p>
    <w:p w14:paraId="6854E374">
      <w:pPr>
        <w:spacing w:line="360" w:lineRule="auto"/>
        <w:jc w:val="center"/>
        <w:rPr>
          <w:rFonts w:ascii="宋体" w:hAnsi="宋体" w:cs="宋体"/>
          <w:color w:val="auto"/>
          <w:sz w:val="24"/>
          <w:highlight w:val="none"/>
        </w:rPr>
      </w:pPr>
    </w:p>
    <w:p w14:paraId="46C38D6F">
      <w:pPr>
        <w:spacing w:line="360" w:lineRule="auto"/>
        <w:jc w:val="center"/>
        <w:rPr>
          <w:rFonts w:ascii="宋体" w:hAnsi="宋体" w:cs="宋体"/>
          <w:color w:val="auto"/>
          <w:sz w:val="24"/>
          <w:highlight w:val="none"/>
        </w:rPr>
      </w:pPr>
    </w:p>
    <w:p w14:paraId="72941B48">
      <w:pPr>
        <w:spacing w:line="360" w:lineRule="auto"/>
        <w:rPr>
          <w:rFonts w:ascii="宋体" w:hAnsi="宋体" w:cs="宋体"/>
          <w:color w:val="auto"/>
          <w:sz w:val="32"/>
          <w:szCs w:val="32"/>
          <w:highlight w:val="none"/>
        </w:rPr>
      </w:pPr>
    </w:p>
    <w:p w14:paraId="47E4FC7A">
      <w:pPr>
        <w:snapToGrid w:val="0"/>
        <w:spacing w:line="360" w:lineRule="auto"/>
        <w:jc w:val="center"/>
        <w:rPr>
          <w:rFonts w:hint="eastAsia" w:ascii="宋体" w:hAnsi="宋体" w:cs="宋体"/>
          <w:color w:val="auto"/>
          <w:sz w:val="32"/>
          <w:szCs w:val="32"/>
          <w:highlight w:val="none"/>
        </w:rPr>
      </w:pPr>
    </w:p>
    <w:p w14:paraId="329922A6">
      <w:pPr>
        <w:snapToGrid w:val="0"/>
        <w:spacing w:line="360" w:lineRule="auto"/>
        <w:jc w:val="center"/>
        <w:rPr>
          <w:rFonts w:hint="eastAsia" w:ascii="宋体" w:hAnsi="宋体" w:cs="宋体"/>
          <w:color w:val="auto"/>
          <w:sz w:val="32"/>
          <w:szCs w:val="32"/>
          <w:highlight w:val="none"/>
        </w:rPr>
      </w:pPr>
    </w:p>
    <w:p w14:paraId="6DFBDAF3">
      <w:pPr>
        <w:snapToGrid w:val="0"/>
        <w:spacing w:line="360" w:lineRule="auto"/>
        <w:jc w:val="center"/>
        <w:rPr>
          <w:rFonts w:hint="eastAsia" w:ascii="宋体" w:hAnsi="宋体" w:cs="宋体"/>
          <w:color w:val="auto"/>
          <w:sz w:val="32"/>
          <w:szCs w:val="32"/>
          <w:highlight w:val="none"/>
        </w:rPr>
      </w:pPr>
    </w:p>
    <w:p w14:paraId="48366948">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w:t>
      </w:r>
      <w:r>
        <w:rPr>
          <w:rFonts w:hint="eastAsia" w:ascii="宋体" w:hAnsi="宋体" w:cs="宋体"/>
          <w:color w:val="auto"/>
          <w:sz w:val="32"/>
          <w:szCs w:val="32"/>
          <w:highlight w:val="none"/>
          <w:lang w:eastAsia="zh-CN"/>
        </w:rPr>
        <w:t>桐庐县交通运输局</w:t>
      </w:r>
      <w:r>
        <w:rPr>
          <w:rFonts w:hint="eastAsia" w:ascii="宋体" w:hAnsi="宋体" w:cs="宋体"/>
          <w:color w:val="auto"/>
          <w:sz w:val="32"/>
          <w:szCs w:val="32"/>
          <w:highlight w:val="none"/>
        </w:rPr>
        <w:t>）</w:t>
      </w:r>
    </w:p>
    <w:p w14:paraId="289DCB78">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w:t>
      </w:r>
      <w:r>
        <w:rPr>
          <w:rFonts w:hint="eastAsia" w:ascii="宋体" w:hAnsi="宋体" w:cs="宋体"/>
          <w:bCs/>
          <w:color w:val="auto"/>
          <w:sz w:val="32"/>
          <w:szCs w:val="32"/>
          <w:highlight w:val="none"/>
          <w:lang w:eastAsia="zh-CN"/>
        </w:rPr>
        <w:t>桐庐鸿泰工程咨询有限公司</w:t>
      </w:r>
      <w:r>
        <w:rPr>
          <w:rFonts w:hint="eastAsia" w:ascii="宋体" w:hAnsi="宋体" w:cs="宋体"/>
          <w:bCs/>
          <w:color w:val="auto"/>
          <w:sz w:val="32"/>
          <w:szCs w:val="32"/>
          <w:highlight w:val="none"/>
        </w:rPr>
        <w:t>）</w:t>
      </w:r>
    </w:p>
    <w:p w14:paraId="59BEA590">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eastAsia="zh-CN"/>
        </w:rPr>
        <w:t>四</w:t>
      </w:r>
      <w:r>
        <w:rPr>
          <w:rFonts w:hint="eastAsia" w:ascii="宋体" w:hAnsi="宋体" w:cs="宋体"/>
          <w:bCs/>
          <w:color w:val="auto"/>
          <w:sz w:val="32"/>
          <w:szCs w:val="32"/>
          <w:highlight w:val="none"/>
        </w:rPr>
        <w:t>月</w:t>
      </w:r>
    </w:p>
    <w:p w14:paraId="0875FCC9">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19A67650">
      <w:pPr>
        <w:pStyle w:val="637"/>
        <w:rPr>
          <w:color w:val="auto"/>
          <w:highlight w:val="none"/>
        </w:rPr>
      </w:pPr>
    </w:p>
    <w:p w14:paraId="6FA1B737">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86412B2">
      <w:pPr>
        <w:spacing w:line="360" w:lineRule="auto"/>
        <w:rPr>
          <w:rFonts w:ascii="宋体" w:hAnsi="宋体" w:cs="宋体"/>
          <w:color w:val="auto"/>
          <w:sz w:val="32"/>
          <w:szCs w:val="32"/>
          <w:highlight w:val="none"/>
        </w:rPr>
      </w:pPr>
    </w:p>
    <w:p w14:paraId="1D3A535C">
      <w:pPr>
        <w:spacing w:line="360" w:lineRule="auto"/>
        <w:rPr>
          <w:rFonts w:ascii="宋体" w:hAnsi="宋体" w:cs="宋体"/>
          <w:color w:val="auto"/>
          <w:sz w:val="32"/>
          <w:szCs w:val="32"/>
          <w:highlight w:val="none"/>
        </w:rPr>
      </w:pPr>
    </w:p>
    <w:p w14:paraId="7BE113A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2E973D9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2203D1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66EF074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7309CF1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1F6815E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11AB8175">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6E2B1657">
      <w:pPr>
        <w:spacing w:line="360" w:lineRule="auto"/>
        <w:ind w:firstLine="549" w:firstLineChars="229"/>
        <w:rPr>
          <w:rFonts w:ascii="宋体" w:hAnsi="宋体" w:cs="宋体"/>
          <w:color w:val="auto"/>
          <w:sz w:val="24"/>
          <w:highlight w:val="none"/>
        </w:rPr>
      </w:pPr>
    </w:p>
    <w:p w14:paraId="4B655421">
      <w:pPr>
        <w:spacing w:line="360" w:lineRule="auto"/>
        <w:ind w:firstLine="549" w:firstLineChars="229"/>
        <w:rPr>
          <w:rFonts w:ascii="宋体" w:hAnsi="宋体" w:cs="宋体"/>
          <w:color w:val="auto"/>
          <w:sz w:val="24"/>
          <w:highlight w:val="none"/>
        </w:rPr>
      </w:pPr>
    </w:p>
    <w:p w14:paraId="0737F2FF">
      <w:pPr>
        <w:spacing w:line="360" w:lineRule="auto"/>
        <w:ind w:firstLine="549" w:firstLineChars="229"/>
        <w:rPr>
          <w:rFonts w:ascii="宋体" w:hAnsi="宋体" w:cs="宋体"/>
          <w:color w:val="auto"/>
          <w:sz w:val="24"/>
          <w:highlight w:val="none"/>
        </w:rPr>
      </w:pPr>
    </w:p>
    <w:p w14:paraId="0D24148D">
      <w:pPr>
        <w:spacing w:line="360" w:lineRule="auto"/>
        <w:ind w:firstLine="549" w:firstLineChars="229"/>
        <w:rPr>
          <w:rFonts w:ascii="宋体" w:hAnsi="宋体" w:cs="宋体"/>
          <w:color w:val="auto"/>
          <w:sz w:val="24"/>
          <w:highlight w:val="none"/>
        </w:rPr>
      </w:pPr>
    </w:p>
    <w:p w14:paraId="78FDDF64">
      <w:pPr>
        <w:spacing w:line="360" w:lineRule="auto"/>
        <w:ind w:firstLine="549" w:firstLineChars="229"/>
        <w:rPr>
          <w:rFonts w:ascii="宋体" w:hAnsi="宋体" w:cs="宋体"/>
          <w:color w:val="auto"/>
          <w:sz w:val="24"/>
          <w:highlight w:val="none"/>
        </w:rPr>
      </w:pPr>
    </w:p>
    <w:p w14:paraId="0A915DB0">
      <w:pPr>
        <w:spacing w:line="360" w:lineRule="auto"/>
        <w:ind w:firstLine="549" w:firstLineChars="229"/>
        <w:rPr>
          <w:rFonts w:ascii="宋体" w:hAnsi="宋体" w:cs="宋体"/>
          <w:color w:val="auto"/>
          <w:sz w:val="24"/>
          <w:highlight w:val="none"/>
        </w:rPr>
      </w:pPr>
    </w:p>
    <w:p w14:paraId="0B435453">
      <w:pPr>
        <w:spacing w:line="360" w:lineRule="auto"/>
        <w:ind w:firstLine="549" w:firstLineChars="229"/>
        <w:rPr>
          <w:rFonts w:ascii="宋体" w:hAnsi="宋体" w:cs="宋体"/>
          <w:color w:val="auto"/>
          <w:sz w:val="24"/>
          <w:highlight w:val="none"/>
        </w:rPr>
      </w:pPr>
    </w:p>
    <w:p w14:paraId="283CD491">
      <w:pPr>
        <w:spacing w:line="360" w:lineRule="auto"/>
        <w:ind w:firstLine="549" w:firstLineChars="229"/>
        <w:rPr>
          <w:rFonts w:ascii="宋体" w:hAnsi="宋体" w:cs="宋体"/>
          <w:color w:val="auto"/>
          <w:sz w:val="24"/>
          <w:highlight w:val="none"/>
        </w:rPr>
      </w:pPr>
    </w:p>
    <w:p w14:paraId="6721B4C0">
      <w:pPr>
        <w:spacing w:line="360" w:lineRule="auto"/>
        <w:ind w:firstLine="549" w:firstLineChars="229"/>
        <w:rPr>
          <w:rFonts w:ascii="宋体" w:hAnsi="宋体" w:cs="宋体"/>
          <w:color w:val="auto"/>
          <w:sz w:val="24"/>
          <w:highlight w:val="none"/>
        </w:rPr>
      </w:pPr>
    </w:p>
    <w:p w14:paraId="578FE1E8">
      <w:pPr>
        <w:spacing w:line="360" w:lineRule="auto"/>
        <w:ind w:firstLine="549" w:firstLineChars="229"/>
        <w:rPr>
          <w:rFonts w:ascii="宋体" w:hAnsi="宋体" w:cs="宋体"/>
          <w:color w:val="auto"/>
          <w:sz w:val="24"/>
          <w:highlight w:val="none"/>
        </w:rPr>
      </w:pPr>
    </w:p>
    <w:p w14:paraId="38BD0AC8">
      <w:pPr>
        <w:spacing w:line="360" w:lineRule="auto"/>
        <w:ind w:firstLine="549" w:firstLineChars="229"/>
        <w:rPr>
          <w:rFonts w:ascii="宋体" w:hAnsi="宋体" w:cs="宋体"/>
          <w:color w:val="auto"/>
          <w:sz w:val="24"/>
          <w:highlight w:val="none"/>
        </w:rPr>
      </w:pPr>
    </w:p>
    <w:p w14:paraId="0D0F25D2">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07423"/>
      <w:bookmarkEnd w:id="4"/>
      <w:bookmarkStart w:id="5" w:name="_Hlt74729822"/>
      <w:bookmarkEnd w:id="5"/>
      <w:bookmarkStart w:id="6" w:name="_Hlt74728647"/>
      <w:bookmarkEnd w:id="6"/>
      <w:bookmarkStart w:id="7" w:name="_Hlt74649545"/>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26C4255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7773343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桐庐县公路治超非现场执法点位运维</w:t>
      </w:r>
      <w:r>
        <w:rPr>
          <w:rFonts w:hint="eastAsia" w:ascii="宋体" w:hAnsi="宋体" w:cs="宋体"/>
          <w:color w:val="auto"/>
          <w:sz w:val="24"/>
          <w:highlight w:val="none"/>
        </w:rPr>
        <w:t>招标项目的潜在投标人应在政采云平台（</w:t>
      </w:r>
      <w:r>
        <w:rPr>
          <w:color w:val="auto"/>
          <w:highlight w:val="yellow"/>
        </w:rPr>
        <w:fldChar w:fldCharType="begin"/>
      </w:r>
      <w:r>
        <w:rPr>
          <w:color w:val="auto"/>
          <w:highlight w:val="yellow"/>
        </w:rPr>
        <w:instrText xml:space="preserve"> HYPERLINK "https://www.zcygov.cn/）获取（下载）招标文件，并于202%20年%20月%20日%20点%20分00秒" </w:instrText>
      </w:r>
      <w:r>
        <w:rPr>
          <w:color w:val="auto"/>
          <w:highlight w:val="yellow"/>
        </w:rPr>
        <w:fldChar w:fldCharType="separate"/>
      </w:r>
      <w:r>
        <w:rPr>
          <w:rStyle w:val="76"/>
          <w:rFonts w:hint="eastAsia" w:ascii="宋体" w:hAnsi="宋体" w:eastAsia="宋体" w:cs="宋体"/>
          <w:snapToGrid/>
          <w:color w:val="auto"/>
          <w:kern w:val="2"/>
          <w:sz w:val="24"/>
          <w:szCs w:val="24"/>
          <w:highlight w:val="none"/>
        </w:rPr>
        <w:t>https://www.zcygov.cn/）获取（下载）招标文件，并于</w:t>
      </w:r>
      <w:r>
        <w:rPr>
          <w:rStyle w:val="76"/>
          <w:rFonts w:hint="eastAsia" w:ascii="宋体" w:hAnsi="宋体" w:cs="宋体"/>
          <w:snapToGrid/>
          <w:color w:val="auto"/>
          <w:kern w:val="2"/>
          <w:sz w:val="24"/>
          <w:szCs w:val="24"/>
          <w:highlight w:val="none"/>
          <w:lang w:eastAsia="zh-CN"/>
        </w:rPr>
        <w:t>2026年04月30日09点30分00秒</w:t>
      </w:r>
      <w:r>
        <w:rPr>
          <w:rStyle w:val="76"/>
          <w:rFonts w:hint="eastAsia" w:ascii="宋体" w:hAnsi="宋体" w:eastAsia="宋体" w:cs="宋体"/>
          <w:bCs/>
          <w:snapToGrid/>
          <w:color w:val="auto"/>
          <w:kern w:val="2"/>
          <w:sz w:val="24"/>
          <w:szCs w:val="24"/>
          <w:highlight w:val="yellow"/>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3FCC9302">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6CAB100E">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30"/>
          <w:szCs w:val="30"/>
          <w:highlight w:val="none"/>
          <w:lang w:eastAsia="zh-CN"/>
        </w:rPr>
        <w:fldChar w:fldCharType="begin"/>
      </w:r>
      <w:r>
        <w:rPr>
          <w:rFonts w:hint="eastAsia" w:ascii="宋体" w:hAnsi="宋体" w:cs="宋体"/>
          <w:color w:val="auto"/>
          <w:sz w:val="30"/>
          <w:szCs w:val="30"/>
          <w:highlight w:val="none"/>
          <w:lang w:eastAsia="zh-CN"/>
        </w:rPr>
        <w:instrText xml:space="preserve"> HYPERLINK "https://pay.zcygov.cn/purchaseplan_front/" \l "/procurement-plan/plan/detail?id=1101000000961687&amp;_app_=zcy.purchase-plan" \t "https://www.zcygov.cn/delegation-order/_procurement_/order/_blank" </w:instrText>
      </w:r>
      <w:r>
        <w:rPr>
          <w:rFonts w:hint="eastAsia" w:ascii="宋体" w:hAnsi="宋体" w:cs="宋体"/>
          <w:color w:val="auto"/>
          <w:sz w:val="30"/>
          <w:szCs w:val="30"/>
          <w:highlight w:val="none"/>
          <w:lang w:eastAsia="zh-CN"/>
        </w:rPr>
        <w:fldChar w:fldCharType="separate"/>
      </w:r>
      <w:r>
        <w:rPr>
          <w:rFonts w:hint="eastAsia" w:ascii="宋体" w:hAnsi="宋体" w:cs="宋体"/>
          <w:color w:val="auto"/>
          <w:sz w:val="30"/>
          <w:szCs w:val="30"/>
          <w:highlight w:val="none"/>
          <w:lang w:eastAsia="zh-CN"/>
        </w:rPr>
        <w:t>330122261050010000003</w:t>
      </w:r>
      <w:r>
        <w:rPr>
          <w:rFonts w:hint="eastAsia" w:ascii="宋体" w:hAnsi="宋体" w:cs="宋体"/>
          <w:color w:val="auto"/>
          <w:sz w:val="30"/>
          <w:szCs w:val="30"/>
          <w:highlight w:val="none"/>
          <w:lang w:eastAsia="zh-CN"/>
        </w:rPr>
        <w:fldChar w:fldCharType="end"/>
      </w:r>
      <w:r>
        <w:rPr>
          <w:rFonts w:hint="eastAsia" w:ascii="宋体" w:hAnsi="宋体" w:cs="宋体"/>
          <w:color w:val="auto"/>
          <w:sz w:val="24"/>
          <w:highlight w:val="none"/>
          <w:lang w:eastAsia="zh-CN"/>
        </w:rPr>
        <w:t xml:space="preserve"> </w:t>
      </w:r>
    </w:p>
    <w:p w14:paraId="0312DF7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桐庐县公路治超非现场执法点位运维</w:t>
      </w:r>
    </w:p>
    <w:p w14:paraId="1C6D4CAA">
      <w:pPr>
        <w:spacing w:line="360" w:lineRule="auto"/>
        <w:rPr>
          <w:rFonts w:hint="default" w:ascii="宋体" w:hAnsi="宋体" w:cs="宋体"/>
          <w:color w:val="0000FF"/>
          <w:sz w:val="24"/>
          <w:highlight w:val="none"/>
          <w:lang w:val="en-US"/>
        </w:rPr>
      </w:pPr>
      <w:r>
        <w:rPr>
          <w:rFonts w:hint="eastAsia" w:ascii="宋体" w:hAnsi="宋体" w:cs="宋体"/>
          <w:color w:val="auto"/>
          <w:sz w:val="24"/>
          <w:highlight w:val="none"/>
        </w:rPr>
        <w:t xml:space="preserve">   </w:t>
      </w:r>
      <w:r>
        <w:rPr>
          <w:rFonts w:hint="eastAsia" w:ascii="宋体" w:hAnsi="宋体" w:cs="宋体"/>
          <w:b/>
          <w:color w:val="FF0000"/>
          <w:sz w:val="24"/>
          <w:highlight w:val="none"/>
        </w:rPr>
        <w:t xml:space="preserve"> </w:t>
      </w:r>
      <w:r>
        <w:rPr>
          <w:rFonts w:hint="eastAsia" w:ascii="宋体" w:hAnsi="宋体" w:cs="宋体"/>
          <w:b/>
          <w:color w:val="0000FF"/>
          <w:sz w:val="24"/>
          <w:highlight w:val="none"/>
        </w:rPr>
        <w:t>预算金额（元）：</w:t>
      </w:r>
      <w:r>
        <w:rPr>
          <w:rFonts w:hint="eastAsia" w:ascii="宋体" w:hAnsi="宋体" w:cs="宋体"/>
          <w:b w:val="0"/>
          <w:bCs/>
          <w:color w:val="0000FF"/>
          <w:sz w:val="24"/>
          <w:highlight w:val="none"/>
          <w:lang w:val="en-US" w:eastAsia="zh-CN"/>
        </w:rPr>
        <w:t>2000000</w:t>
      </w:r>
    </w:p>
    <w:p w14:paraId="524783DF">
      <w:pPr>
        <w:spacing w:line="360" w:lineRule="auto"/>
        <w:ind w:firstLine="480"/>
        <w:rPr>
          <w:rFonts w:hint="default" w:ascii="宋体" w:hAnsi="宋体" w:cs="宋体"/>
          <w:color w:val="0000FF"/>
          <w:sz w:val="24"/>
          <w:highlight w:val="none"/>
          <w:lang w:val="en-US"/>
        </w:rPr>
      </w:pPr>
      <w:r>
        <w:rPr>
          <w:rFonts w:hint="eastAsia" w:ascii="宋体" w:hAnsi="宋体" w:cs="宋体"/>
          <w:b/>
          <w:color w:val="0000FF"/>
          <w:sz w:val="24"/>
          <w:highlight w:val="none"/>
        </w:rPr>
        <w:t>最高限价（元）：</w:t>
      </w:r>
      <w:r>
        <w:rPr>
          <w:rFonts w:hint="eastAsia" w:ascii="宋体" w:hAnsi="宋体" w:cs="宋体"/>
          <w:b w:val="0"/>
          <w:bCs/>
          <w:color w:val="0000FF"/>
          <w:sz w:val="24"/>
          <w:highlight w:val="none"/>
          <w:lang w:val="en-US" w:eastAsia="zh-CN"/>
        </w:rPr>
        <w:t>1478000</w:t>
      </w:r>
    </w:p>
    <w:p w14:paraId="6EC5DB8E">
      <w:pPr>
        <w:pStyle w:val="1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14:paraId="0CF83623">
      <w:pPr>
        <w:pStyle w:val="131"/>
        <w:ind w:firstLine="482"/>
        <w:outlineLvl w:val="2"/>
        <w:rPr>
          <w:rFonts w:hint="eastAsia" w:ascii="宋体" w:hAnsi="宋体" w:eastAsia="宋体" w:cs="宋体"/>
          <w:color w:val="auto"/>
          <w:highlight w:val="none"/>
          <w:lang w:val="en-US" w:eastAsia="zh-CN"/>
        </w:rPr>
      </w:pPr>
      <w:r>
        <w:rPr>
          <w:rFonts w:hint="eastAsia" w:ascii="宋体" w:hAnsi="宋体" w:cs="宋体"/>
          <w:b/>
          <w:color w:val="auto"/>
          <w:highlight w:val="none"/>
        </w:rPr>
        <w:t>合同履约期限：</w:t>
      </w:r>
      <w:r>
        <w:rPr>
          <w:rFonts w:hint="eastAsia" w:ascii="宋体" w:hAnsi="宋体" w:cs="宋体"/>
          <w:b w:val="0"/>
          <w:bCs/>
          <w:color w:val="auto"/>
          <w:highlight w:val="none"/>
        </w:rPr>
        <w:t>本项目服务期限为</w:t>
      </w:r>
      <w:r>
        <w:rPr>
          <w:rFonts w:hint="eastAsia" w:ascii="宋体" w:hAnsi="宋体" w:cs="宋体"/>
          <w:b w:val="0"/>
          <w:bCs/>
          <w:color w:val="auto"/>
          <w:highlight w:val="none"/>
          <w:lang w:val="en-US" w:eastAsia="zh-CN"/>
        </w:rPr>
        <w:t>2</w:t>
      </w:r>
      <w:r>
        <w:rPr>
          <w:rFonts w:hint="eastAsia" w:ascii="宋体" w:hAnsi="宋体" w:cs="宋体"/>
          <w:b w:val="0"/>
          <w:bCs/>
          <w:color w:val="auto"/>
          <w:highlight w:val="none"/>
        </w:rPr>
        <w:t>年</w:t>
      </w:r>
      <w:r>
        <w:rPr>
          <w:rFonts w:hint="eastAsia" w:ascii="宋体" w:hAnsi="宋体" w:cs="宋体"/>
          <w:b w:val="0"/>
          <w:bCs/>
          <w:color w:val="auto"/>
          <w:highlight w:val="none"/>
          <w:lang w:eastAsia="zh-CN"/>
        </w:rPr>
        <w:t>。</w:t>
      </w:r>
    </w:p>
    <w:p w14:paraId="07281B02">
      <w:pPr>
        <w:pStyle w:val="15"/>
        <w:spacing w:line="360" w:lineRule="auto"/>
        <w:ind w:firstLine="480"/>
        <w:rPr>
          <w:rFonts w:hAnsi="宋体" w:cs="宋体"/>
          <w:b/>
          <w:color w:val="FF0000"/>
          <w:highlight w:val="none"/>
        </w:rPr>
      </w:pPr>
      <w:r>
        <w:rPr>
          <w:rFonts w:hint="eastAsia" w:hAnsi="宋体" w:cs="宋体"/>
          <w:b/>
          <w:color w:val="FF0000"/>
          <w:sz w:val="24"/>
          <w:highlight w:val="none"/>
        </w:rPr>
        <w:t>本项目接受联合体投标：</w:t>
      </w:r>
      <w:r>
        <w:rPr>
          <w:rFonts w:hAnsi="宋体" w:cs="宋体"/>
          <w:color w:val="FF0000"/>
          <w:kern w:val="0"/>
          <w:sz w:val="24"/>
          <w:highlight w:val="none"/>
        </w:rPr>
        <w:t xml:space="preserve"> </w:t>
      </w:r>
      <w:sdt>
        <w:sdtPr>
          <w:rPr>
            <w:rFonts w:hAnsi="宋体" w:cs="宋体"/>
            <w:color w:val="FF0000"/>
            <w:kern w:val="0"/>
            <w:sz w:val="24"/>
            <w:highlight w:val="none"/>
          </w:rPr>
          <w:id w:val="-1"/>
          <w14:checkbox>
            <w14:checked w14:val="0"/>
            <w14:checkedState w14:val="00FE" w14:font="Wingdings"/>
            <w14:uncheckedState w14:val="2610" w14:font="MS Gothic"/>
          </w14:checkbox>
        </w:sdtPr>
        <w:sdtEndPr>
          <w:rPr>
            <w:rFonts w:hAnsi="宋体" w:cs="宋体"/>
            <w:color w:val="FF0000"/>
            <w:kern w:val="0"/>
            <w:sz w:val="24"/>
            <w:highlight w:val="none"/>
          </w:rPr>
        </w:sdtEndPr>
        <w:sdtContent>
          <w:r>
            <w:rPr>
              <w:rFonts w:ascii="MS Gothic" w:hAnsi="MS Gothic" w:eastAsia="宋体" w:cs="宋体"/>
              <w:snapToGrid w:val="0"/>
              <w:color w:val="FF0000"/>
              <w:kern w:val="0"/>
              <w:sz w:val="24"/>
              <w:szCs w:val="20"/>
              <w:highlight w:val="none"/>
              <w:lang w:val="en-US" w:eastAsia="zh-CN" w:bidi="ar-SA"/>
            </w:rPr>
            <w:t>☐</w:t>
          </w:r>
        </w:sdtContent>
      </w:sdt>
      <w:r>
        <w:rPr>
          <w:rFonts w:hint="eastAsia" w:hAnsi="宋体" w:cs="宋体"/>
          <w:b/>
          <w:color w:val="FF0000"/>
          <w:sz w:val="24"/>
          <w:highlight w:val="none"/>
        </w:rPr>
        <w:t>是；</w:t>
      </w:r>
      <w:sdt>
        <w:sdtPr>
          <w:rPr>
            <w:rFonts w:hAnsi="宋体" w:cs="宋体"/>
            <w:color w:val="FF0000"/>
            <w:kern w:val="0"/>
            <w:sz w:val="24"/>
            <w:highlight w:val="none"/>
          </w:rPr>
          <w:id w:val="747548208"/>
          <w14:checkbox>
            <w14:checked w14:val="1"/>
            <w14:checkedState w14:val="00FE" w14:font="Wingdings"/>
            <w14:uncheckedState w14:val="2610" w14:font="MS Gothic"/>
          </w14:checkbox>
        </w:sdtPr>
        <w:sdtEndPr>
          <w:rPr>
            <w:rFonts w:hAnsi="宋体" w:cs="宋体"/>
            <w:color w:val="FF0000"/>
            <w:kern w:val="0"/>
            <w:sz w:val="24"/>
            <w:highlight w:val="none"/>
          </w:rPr>
        </w:sdtEndPr>
        <w:sdtContent>
          <w:r>
            <w:rPr>
              <w:rFonts w:ascii="Wingdings" w:hAnsi="Wingdings" w:eastAsia="宋体" w:cs="Segoe UI Symbol"/>
              <w:snapToGrid w:val="0"/>
              <w:color w:val="FF0000"/>
              <w:kern w:val="0"/>
              <w:sz w:val="24"/>
              <w:szCs w:val="20"/>
              <w:highlight w:val="none"/>
              <w:lang w:val="en-US" w:eastAsia="zh-CN" w:bidi="ar-SA"/>
            </w:rPr>
            <w:t>þ</w:t>
          </w:r>
        </w:sdtContent>
      </w:sdt>
      <w:r>
        <w:rPr>
          <w:rFonts w:hint="eastAsia" w:hAnsi="宋体" w:cs="宋体"/>
          <w:b/>
          <w:color w:val="FF0000"/>
          <w:sz w:val="24"/>
          <w:highlight w:val="none"/>
        </w:rPr>
        <w:t>否</w:t>
      </w:r>
      <w:r>
        <w:rPr>
          <w:rFonts w:hint="eastAsia" w:hAnsi="宋体" w:cs="宋体"/>
          <w:color w:val="FF0000"/>
          <w:kern w:val="0"/>
          <w:sz w:val="24"/>
          <w:highlight w:val="none"/>
        </w:rPr>
        <w:t>。</w:t>
      </w:r>
    </w:p>
    <w:p w14:paraId="08B50DBF">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5FDBAFE8">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、中国政府采购网（www.ccgp.gov.cn）列入失信被执行人、重大税收违法案件当事人名单、政府采购严重违法失信行为记录名单；</w:t>
      </w:r>
    </w:p>
    <w:p w14:paraId="007A2EF5">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 xml:space="preserve"> ；</w:t>
      </w:r>
    </w:p>
    <w:p w14:paraId="1F9DEC0D">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7269F9B4">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7D88538E">
      <w:pPr>
        <w:spacing w:line="360" w:lineRule="auto"/>
        <w:ind w:firstLine="480" w:firstLineChars="200"/>
        <w:rPr>
          <w:rFonts w:ascii="宋体" w:hAnsi="宋体" w:cs="宋体"/>
          <w:color w:val="FF0000"/>
          <w:sz w:val="24"/>
          <w:highlight w:val="none"/>
        </w:rPr>
      </w:pPr>
      <w:sdt>
        <w:sdtPr>
          <w:rPr>
            <w:rFonts w:hint="eastAsia" w:ascii="宋体" w:hAnsi="宋体" w:cs="宋体"/>
            <w:color w:val="auto"/>
            <w:kern w:val="0"/>
            <w:sz w:val="24"/>
            <w:highlight w:val="none"/>
          </w:rPr>
          <w:id w:val="597832300"/>
          <w14:checkbox>
            <w14:checked w14:val="1"/>
            <w14:checkedState w14:val="00FE" w14:font="Wingdings"/>
            <w14:uncheckedState w14:val="2610" w14:font="MS Gothic"/>
          </w14:checkbox>
        </w:sdtPr>
        <w:sdtEndPr>
          <w:rPr>
            <w:rFonts w:hint="eastAsia" w:ascii="宋体" w:hAnsi="宋体" w:cs="宋体"/>
            <w:color w:val="FF0000"/>
            <w:kern w:val="0"/>
            <w:sz w:val="24"/>
            <w:highlight w:val="none"/>
          </w:rPr>
        </w:sdtEndPr>
        <w:sdtContent>
          <w:r>
            <w:rPr>
              <w:rFonts w:hint="eastAsia" w:ascii="Wingdings" w:hAnsi="Wingdings" w:eastAsia="MS Gothic" w:cs="宋体"/>
              <w:color w:val="FF0000"/>
              <w:kern w:val="0"/>
              <w:sz w:val="24"/>
              <w:szCs w:val="24"/>
              <w:highlight w:val="none"/>
              <w:lang w:val="en-US" w:eastAsia="zh-CN" w:bidi="ar-SA"/>
            </w:rPr>
            <w:t>þ</w:t>
          </w:r>
        </w:sdtContent>
      </w:sdt>
      <w:r>
        <w:rPr>
          <w:rFonts w:hint="eastAsia" w:ascii="宋体" w:hAnsi="宋体" w:cs="宋体"/>
          <w:color w:val="FF0000"/>
          <w:kern w:val="0"/>
          <w:sz w:val="24"/>
          <w:highlight w:val="none"/>
        </w:rPr>
        <w:t>专</w:t>
      </w:r>
      <w:r>
        <w:rPr>
          <w:rFonts w:hint="eastAsia" w:ascii="宋体" w:hAnsi="宋体" w:cs="宋体"/>
          <w:color w:val="FF0000"/>
          <w:sz w:val="24"/>
          <w:highlight w:val="none"/>
        </w:rPr>
        <w:t>门面向中小企业</w:t>
      </w:r>
    </w:p>
    <w:p w14:paraId="1253AD27">
      <w:pPr>
        <w:spacing w:line="360" w:lineRule="auto"/>
        <w:ind w:firstLine="897" w:firstLineChars="374"/>
        <w:rPr>
          <w:rFonts w:ascii="宋体" w:hAnsi="宋体" w:cs="宋体"/>
          <w:color w:val="FF0000"/>
          <w:sz w:val="24"/>
          <w:highlight w:val="none"/>
        </w:rPr>
      </w:pPr>
      <w:sdt>
        <w:sdtPr>
          <w:rPr>
            <w:rFonts w:hint="eastAsia" w:ascii="宋体" w:hAnsi="宋体" w:cs="宋体"/>
            <w:color w:val="FF0000"/>
            <w:kern w:val="0"/>
            <w:sz w:val="24"/>
            <w:highlight w:val="none"/>
          </w:rPr>
          <w:id w:val="414455266"/>
          <w14:checkbox>
            <w14:checked w14:val="1"/>
            <w14:checkedState w14:val="00FE" w14:font="Wingdings"/>
            <w14:uncheckedState w14:val="2610" w14:font="MS Gothic"/>
          </w14:checkbox>
        </w:sdtPr>
        <w:sdtEndPr>
          <w:rPr>
            <w:rFonts w:hint="eastAsia" w:ascii="宋体" w:hAnsi="宋体" w:cs="宋体"/>
            <w:color w:val="FF0000"/>
            <w:kern w:val="0"/>
            <w:sz w:val="24"/>
            <w:highlight w:val="none"/>
          </w:rPr>
        </w:sdtEndPr>
        <w:sdtContent>
          <w:r>
            <w:rPr>
              <w:rFonts w:hint="eastAsia" w:ascii="Wingdings" w:hAnsi="Wingdings" w:eastAsia="MS Gothic" w:cs="宋体"/>
              <w:color w:val="FF0000"/>
              <w:kern w:val="0"/>
              <w:sz w:val="24"/>
              <w:szCs w:val="24"/>
              <w:highlight w:val="none"/>
              <w:lang w:val="en-US" w:eastAsia="zh-CN" w:bidi="ar-SA"/>
            </w:rPr>
            <w:t>þ</w:t>
          </w:r>
        </w:sdtContent>
      </w:sdt>
      <w:r>
        <w:rPr>
          <w:rFonts w:hint="eastAsia" w:ascii="宋体" w:hAnsi="宋体" w:cs="宋体"/>
          <w:color w:val="FF0000"/>
          <w:sz w:val="24"/>
          <w:highlight w:val="none"/>
        </w:rPr>
        <w:t>服务全部由符合政策要求的中小企业承接，提供中小企业声明函；</w:t>
      </w:r>
    </w:p>
    <w:p w14:paraId="2FD4197A">
      <w:pPr>
        <w:spacing w:line="360" w:lineRule="auto"/>
        <w:ind w:firstLine="897" w:firstLineChars="374"/>
        <w:rPr>
          <w:rFonts w:ascii="宋体" w:hAnsi="宋体" w:cs="宋体"/>
          <w:color w:val="FF0000"/>
          <w:highlight w:val="none"/>
        </w:rPr>
      </w:pPr>
      <w:sdt>
        <w:sdtPr>
          <w:rPr>
            <w:rFonts w:hint="eastAsia" w:ascii="宋体" w:hAnsi="宋体" w:cs="宋体"/>
            <w:color w:val="FF0000"/>
            <w:kern w:val="0"/>
            <w:sz w:val="24"/>
            <w:highlight w:val="none"/>
          </w:rPr>
          <w:id w:val="420027464"/>
          <w14:checkbox>
            <w14:checked w14:val="1"/>
            <w14:checkedState w14:val="00FE" w14:font="Wingdings"/>
            <w14:uncheckedState w14:val="2610" w14:font="MS Gothic"/>
          </w14:checkbox>
        </w:sdtPr>
        <w:sdtEndPr>
          <w:rPr>
            <w:rFonts w:hint="eastAsia" w:ascii="宋体" w:hAnsi="宋体" w:cs="宋体"/>
            <w:color w:val="FF0000"/>
            <w:kern w:val="0"/>
            <w:sz w:val="24"/>
            <w:highlight w:val="none"/>
          </w:rPr>
        </w:sdtEndPr>
        <w:sdtContent>
          <w:r>
            <w:rPr>
              <w:rFonts w:hint="eastAsia" w:ascii="Wingdings" w:hAnsi="Wingdings" w:eastAsia="宋体" w:cs="宋体"/>
              <w:color w:val="FF0000"/>
              <w:kern w:val="0"/>
              <w:sz w:val="24"/>
              <w:szCs w:val="24"/>
              <w:highlight w:val="none"/>
              <w:lang w:val="en-US" w:eastAsia="zh-CN" w:bidi="ar-SA"/>
            </w:rPr>
            <w:t>þ</w:t>
          </w:r>
        </w:sdtContent>
      </w:sdt>
      <w:r>
        <w:rPr>
          <w:rFonts w:hint="eastAsia" w:ascii="宋体" w:hAnsi="宋体" w:cs="宋体"/>
          <w:color w:val="FF0000"/>
          <w:sz w:val="24"/>
          <w:highlight w:val="none"/>
        </w:rPr>
        <w:t>服务全部由符合政策要求的小微企业承接，提供中小企业声明函；</w:t>
      </w:r>
    </w:p>
    <w:p w14:paraId="58C41DE8">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2947653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17804FE0">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3E29ACB2">
      <w:pPr>
        <w:snapToGrid w:val="0"/>
        <w:spacing w:line="360" w:lineRule="auto"/>
        <w:ind w:firstLine="480" w:firstLineChars="200"/>
        <w:rPr>
          <w:rFonts w:hint="eastAsia" w:ascii="宋体" w:hAnsi="宋体" w:eastAsia="宋体" w:cs="宋体"/>
          <w:color w:val="auto"/>
          <w:sz w:val="24"/>
          <w:highlight w:val="none"/>
          <w:lang w:val="en-US" w:eastAsia="zh-CN"/>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C0D77A1">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54F80419">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8134451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0DBA15">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E891A5B">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086F134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w:t>
      </w:r>
      <w:r>
        <w:rPr>
          <w:rFonts w:hint="eastAsia" w:ascii="宋体" w:hAnsi="宋体" w:cs="宋体"/>
          <w:color w:val="auto"/>
          <w:sz w:val="24"/>
          <w:highlight w:val="none"/>
          <w:u w:val="single"/>
          <w:lang w:val="en-US" w:eastAsia="zh-CN"/>
        </w:rPr>
        <w:t>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0DC6730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34D5C0F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634F2D6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7F44D63D">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7FA2075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2026年04月30日09点30分00秒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3790463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2B5D577C">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lang w:eastAsia="zh-CN"/>
        </w:rPr>
        <w:t>2026年04月30日09点30分00秒</w:t>
      </w:r>
      <w:r>
        <w:rPr>
          <w:rFonts w:hint="eastAsia" w:ascii="宋体" w:hAnsi="宋体" w:cs="宋体"/>
          <w:bCs/>
          <w:color w:val="auto"/>
          <w:sz w:val="24"/>
          <w:highlight w:val="none"/>
          <w:u w:val="single"/>
        </w:rPr>
        <w:t xml:space="preserve">  </w:t>
      </w:r>
    </w:p>
    <w:p w14:paraId="0784271B">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54B8770C">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4EE036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5C8F6F1C">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02C1E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454F1F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DD0DC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3E805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EAD3211">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6F83661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5B5231C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桐庐县交通运输局</w:t>
      </w:r>
      <w:r>
        <w:rPr>
          <w:rFonts w:hint="eastAsia" w:ascii="宋体" w:hAnsi="宋体" w:cs="宋体"/>
          <w:color w:val="auto"/>
          <w:sz w:val="24"/>
          <w:highlight w:val="none"/>
        </w:rPr>
        <w:t xml:space="preserve"> </w:t>
      </w:r>
    </w:p>
    <w:p w14:paraId="141E4C2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浙江省杭州市桐庐县云栖中路500号</w:t>
      </w:r>
      <w:r>
        <w:rPr>
          <w:rFonts w:hint="eastAsia" w:ascii="宋体" w:hAnsi="宋体" w:cs="宋体"/>
          <w:color w:val="auto"/>
          <w:sz w:val="24"/>
          <w:highlight w:val="none"/>
        </w:rPr>
        <w:t xml:space="preserve">      </w:t>
      </w:r>
    </w:p>
    <w:p w14:paraId="7911895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张莺莺</w:t>
      </w:r>
      <w:r>
        <w:rPr>
          <w:rFonts w:hint="eastAsia" w:ascii="宋体" w:hAnsi="宋体" w:cs="宋体"/>
          <w:color w:val="auto"/>
          <w:sz w:val="24"/>
          <w:highlight w:val="none"/>
        </w:rPr>
        <w:t xml:space="preserve"> </w:t>
      </w:r>
    </w:p>
    <w:p w14:paraId="31CC70F5">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eastAsia="zh-CN"/>
        </w:rPr>
        <w:t>0571-64386850</w:t>
      </w:r>
      <w:r>
        <w:rPr>
          <w:rFonts w:hint="eastAsia" w:ascii="宋体" w:hAnsi="宋体" w:cs="宋体"/>
          <w:color w:val="auto"/>
          <w:sz w:val="24"/>
          <w:highlight w:val="none"/>
          <w:lang w:val="en-US" w:eastAsia="zh-CN"/>
        </w:rPr>
        <w:t xml:space="preserve"> </w:t>
      </w:r>
    </w:p>
    <w:p w14:paraId="160DB77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color w:val="0000FF"/>
          <w:sz w:val="24"/>
          <w:highlight w:val="none"/>
          <w:lang w:eastAsia="zh-CN"/>
        </w:rPr>
        <w:t>方勇</w:t>
      </w:r>
      <w:r>
        <w:rPr>
          <w:rFonts w:hint="eastAsia" w:ascii="宋体" w:hAnsi="宋体" w:cs="宋体"/>
          <w:color w:val="auto"/>
          <w:sz w:val="24"/>
          <w:highlight w:val="none"/>
        </w:rPr>
        <w:t xml:space="preserve"> </w:t>
      </w:r>
    </w:p>
    <w:p w14:paraId="6722B27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eastAsia="zh-CN"/>
        </w:rPr>
        <w:t>0571-64616011</w:t>
      </w:r>
      <w:r>
        <w:rPr>
          <w:rFonts w:hint="eastAsia" w:ascii="宋体" w:hAnsi="宋体" w:cs="宋体"/>
          <w:color w:val="auto"/>
          <w:sz w:val="24"/>
          <w:highlight w:val="none"/>
        </w:rPr>
        <w:t xml:space="preserve"> </w:t>
      </w:r>
    </w:p>
    <w:p w14:paraId="4A6470C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60382607">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桐庐鸿泰工程咨询有限公司</w:t>
      </w:r>
    </w:p>
    <w:p w14:paraId="4E949C17">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桐庐县迎春南路88号桦桐大厦20楼</w:t>
      </w:r>
    </w:p>
    <w:p w14:paraId="100F335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eastAsia="zh-CN"/>
        </w:rPr>
        <w:t>孙鸣</w:t>
      </w:r>
      <w:r>
        <w:rPr>
          <w:rFonts w:hint="eastAsia" w:ascii="宋体" w:hAnsi="宋体" w:cs="宋体"/>
          <w:color w:val="auto"/>
          <w:sz w:val="24"/>
          <w:highlight w:val="none"/>
        </w:rPr>
        <w:t xml:space="preserve"> </w:t>
      </w:r>
    </w:p>
    <w:p w14:paraId="5C2D7216">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eastAsia="zh-CN"/>
        </w:rPr>
        <w:t>15168292397</w:t>
      </w:r>
    </w:p>
    <w:p w14:paraId="44BADC8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eastAsia="zh-CN"/>
        </w:rPr>
        <w:t>许洪波</w:t>
      </w:r>
      <w:r>
        <w:rPr>
          <w:rFonts w:hint="eastAsia" w:ascii="宋体" w:hAnsi="宋体" w:cs="宋体"/>
          <w:color w:val="auto"/>
          <w:sz w:val="24"/>
          <w:highlight w:val="none"/>
        </w:rPr>
        <w:t xml:space="preserve"> </w:t>
      </w:r>
    </w:p>
    <w:p w14:paraId="23E21F3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0571-64627070</w:t>
      </w:r>
    </w:p>
    <w:p w14:paraId="1905126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0B28FC7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称：桐庐县财政局 /浙江省政府采购行政裁决服务中心（杭州）</w:t>
      </w:r>
    </w:p>
    <w:p w14:paraId="3557A2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bookmarkStart w:id="405" w:name="_GoBack"/>
      <w:bookmarkEnd w:id="405"/>
    </w:p>
    <w:p w14:paraId="2F2E85C9">
      <w:pPr>
        <w:spacing w:line="360" w:lineRule="auto"/>
        <w:rPr>
          <w:rFonts w:ascii="宋体" w:hAnsi="宋体" w:cs="宋体"/>
          <w:color w:val="auto"/>
          <w:sz w:val="24"/>
        </w:rPr>
      </w:pPr>
      <w:r>
        <w:rPr>
          <w:rFonts w:hint="eastAsia" w:ascii="宋体" w:hAnsi="宋体" w:cs="宋体"/>
          <w:color w:val="auto"/>
          <w:sz w:val="24"/>
          <w:highlight w:val="none"/>
        </w:rPr>
        <w:t xml:space="preserve">   </w:t>
      </w:r>
      <w:r>
        <w:rPr>
          <w:rFonts w:hint="eastAsia" w:ascii="宋体" w:hAnsi="宋体" w:cs="宋体"/>
          <w:color w:val="auto"/>
          <w:sz w:val="24"/>
        </w:rPr>
        <w:t xml:space="preserve"> 联系人 ：朱女士</w:t>
      </w:r>
    </w:p>
    <w:p w14:paraId="421A9656">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rPr>
        <w:t>监督投诉电话：</w:t>
      </w:r>
      <w:r>
        <w:rPr>
          <w:rFonts w:hint="eastAsia" w:ascii="宋体" w:hAnsi="宋体" w:eastAsia="宋体" w:cs="宋体"/>
          <w:i w:val="0"/>
          <w:caps w:val="0"/>
          <w:color w:val="auto"/>
          <w:spacing w:val="0"/>
          <w:sz w:val="24"/>
          <w:szCs w:val="24"/>
          <w:highlight w:val="none"/>
          <w:lang w:val="en-US" w:eastAsia="zh-CN"/>
        </w:rPr>
        <w:t>0571-87800218</w:t>
      </w:r>
      <w:r>
        <w:rPr>
          <w:rFonts w:hint="eastAsia" w:ascii="宋体" w:hAnsi="宋体" w:cs="宋体"/>
          <w:color w:val="auto"/>
          <w:sz w:val="24"/>
          <w:highlight w:val="none"/>
          <w:lang w:val="en-US" w:eastAsia="zh-CN"/>
        </w:rPr>
        <w:t>政策咨询电话：张先生，0571-58507058 政府采购监管部门工作人员</w:t>
      </w:r>
    </w:p>
    <w:p w14:paraId="0BA22B1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DCC92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579A3491">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4753FAE8">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68601067">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5129D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tcPr>
          <w:p w14:paraId="37CF1AE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BF79A5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023DC29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70CFF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6308F35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4E4AB13">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5EEA470E">
            <w:pPr>
              <w:spacing w:line="240" w:lineRule="auto"/>
              <w:jc w:val="left"/>
              <w:rPr>
                <w:rFonts w:ascii="宋体" w:hAnsi="宋体" w:cs="宋体"/>
                <w:color w:val="auto"/>
                <w:sz w:val="24"/>
                <w:highlight w:val="none"/>
              </w:rPr>
            </w:pPr>
            <w:r>
              <w:rPr>
                <w:rFonts w:hint="eastAsia" w:ascii="宋体" w:hAnsi="宋体" w:cs="宋体"/>
                <w:color w:val="auto"/>
                <w:sz w:val="24"/>
                <w:highlight w:val="none"/>
              </w:rPr>
              <w:t>服务类。</w:t>
            </w:r>
          </w:p>
        </w:tc>
      </w:tr>
      <w:tr w14:paraId="71E22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tcPr>
          <w:p w14:paraId="69A206F5">
            <w:pPr>
              <w:snapToGrid w:val="0"/>
              <w:spacing w:line="360" w:lineRule="auto"/>
              <w:jc w:val="center"/>
              <w:rPr>
                <w:rFonts w:ascii="宋体" w:hAnsi="宋体" w:cs="宋体"/>
                <w:color w:val="auto"/>
                <w:sz w:val="24"/>
                <w:highlight w:val="none"/>
              </w:rPr>
            </w:pPr>
          </w:p>
          <w:p w14:paraId="241F26C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6AA107A">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29380E4B">
            <w:pPr>
              <w:snapToGrid w:val="0"/>
              <w:spacing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桐庐县公路治超非现场执法点位运维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信息传输业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27019300">
            <w:pPr>
              <w:snapToGrid w:val="0"/>
              <w:spacing w:line="240" w:lineRule="auto"/>
              <w:jc w:val="left"/>
              <w:rPr>
                <w:rFonts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w:t>
            </w:r>
            <w:r>
              <w:rPr>
                <w:rFonts w:hint="eastAsia" w:ascii="宋体" w:hAnsi="宋体" w:cs="宋体"/>
                <w:b w:val="0"/>
                <w:bCs w:val="0"/>
                <w:color w:val="auto"/>
                <w:kern w:val="0"/>
                <w:sz w:val="24"/>
                <w:szCs w:val="24"/>
                <w:highlight w:val="none"/>
                <w:lang w:val="en-US" w:eastAsia="zh-CN" w:bidi="ar-SA"/>
              </w:rPr>
              <w:t>信息传输业</w:t>
            </w:r>
            <w:r>
              <w:rPr>
                <w:rFonts w:hint="eastAsia" w:ascii="宋体" w:hAnsi="宋体" w:eastAsia="宋体" w:cs="宋体"/>
                <w:b w:val="0"/>
                <w:bCs w:val="0"/>
                <w:color w:val="auto"/>
                <w:kern w:val="0"/>
                <w:sz w:val="24"/>
                <w:szCs w:val="24"/>
                <w:highlight w:val="none"/>
                <w:lang w:val="en-US" w:eastAsia="zh-CN" w:bidi="ar-SA"/>
              </w:rPr>
              <w:t>。从业人员</w:t>
            </w:r>
            <w:r>
              <w:rPr>
                <w:rFonts w:hint="eastAsia" w:ascii="宋体" w:hAnsi="宋体" w:cs="宋体"/>
                <w:b w:val="0"/>
                <w:bCs w:val="0"/>
                <w:color w:val="auto"/>
                <w:kern w:val="0"/>
                <w:sz w:val="24"/>
                <w:szCs w:val="24"/>
                <w:highlight w:val="none"/>
                <w:lang w:val="en-US" w:eastAsia="zh-CN" w:bidi="ar-SA"/>
              </w:rPr>
              <w:t>2000</w:t>
            </w:r>
            <w:r>
              <w:rPr>
                <w:rFonts w:hint="eastAsia" w:ascii="宋体" w:hAnsi="宋体" w:eastAsia="宋体" w:cs="宋体"/>
                <w:b w:val="0"/>
                <w:bCs w:val="0"/>
                <w:color w:val="auto"/>
                <w:kern w:val="0"/>
                <w:sz w:val="24"/>
                <w:szCs w:val="24"/>
                <w:highlight w:val="none"/>
                <w:lang w:val="en-US" w:eastAsia="zh-CN" w:bidi="ar-SA"/>
              </w:rPr>
              <w:t>人以下</w:t>
            </w:r>
            <w:r>
              <w:rPr>
                <w:rFonts w:hint="eastAsia" w:ascii="宋体" w:hAnsi="宋体" w:cs="宋体"/>
                <w:b w:val="0"/>
                <w:bCs w:val="0"/>
                <w:color w:val="auto"/>
                <w:kern w:val="0"/>
                <w:sz w:val="24"/>
                <w:szCs w:val="24"/>
                <w:highlight w:val="none"/>
                <w:lang w:val="en-US" w:eastAsia="zh-CN" w:bidi="ar-SA"/>
              </w:rPr>
              <w:t>且营收入小于100000万元</w:t>
            </w:r>
            <w:r>
              <w:rPr>
                <w:rFonts w:hint="eastAsia" w:ascii="宋体" w:hAnsi="宋体" w:eastAsia="宋体" w:cs="宋体"/>
                <w:b w:val="0"/>
                <w:bCs w:val="0"/>
                <w:color w:val="auto"/>
                <w:kern w:val="0"/>
                <w:sz w:val="24"/>
                <w:szCs w:val="24"/>
                <w:highlight w:val="none"/>
                <w:lang w:val="en-US" w:eastAsia="zh-CN" w:bidi="ar-SA"/>
              </w:rPr>
              <w:t>的为中小微型企业。其中，从业人员100人及以上</w:t>
            </w:r>
            <w:r>
              <w:rPr>
                <w:rFonts w:hint="eastAsia" w:ascii="宋体" w:hAnsi="宋体" w:cs="宋体"/>
                <w:b w:val="0"/>
                <w:bCs w:val="0"/>
                <w:color w:val="auto"/>
                <w:kern w:val="0"/>
                <w:sz w:val="24"/>
                <w:szCs w:val="24"/>
                <w:highlight w:val="none"/>
                <w:lang w:val="en-US" w:eastAsia="zh-CN" w:bidi="ar-SA"/>
              </w:rPr>
              <w:t>或营业收入超过1000万元</w:t>
            </w:r>
            <w:r>
              <w:rPr>
                <w:rFonts w:hint="eastAsia" w:ascii="宋体" w:hAnsi="宋体" w:eastAsia="宋体" w:cs="宋体"/>
                <w:b w:val="0"/>
                <w:bCs w:val="0"/>
                <w:color w:val="auto"/>
                <w:kern w:val="0"/>
                <w:sz w:val="24"/>
                <w:szCs w:val="24"/>
                <w:highlight w:val="none"/>
                <w:lang w:val="en-US" w:eastAsia="zh-CN" w:bidi="ar-SA"/>
              </w:rPr>
              <w:t>的为中型企业；从业人员10人及以上</w:t>
            </w:r>
            <w:r>
              <w:rPr>
                <w:rFonts w:hint="eastAsia" w:ascii="宋体" w:hAnsi="宋体" w:cs="宋体"/>
                <w:b w:val="0"/>
                <w:bCs w:val="0"/>
                <w:color w:val="auto"/>
                <w:kern w:val="0"/>
                <w:sz w:val="24"/>
                <w:szCs w:val="24"/>
                <w:highlight w:val="none"/>
                <w:lang w:val="en-US" w:eastAsia="zh-CN" w:bidi="ar-SA"/>
              </w:rPr>
              <w:t>或营业额超过100万元</w:t>
            </w:r>
            <w:r>
              <w:rPr>
                <w:rFonts w:hint="eastAsia" w:ascii="宋体" w:hAnsi="宋体" w:eastAsia="宋体" w:cs="宋体"/>
                <w:b w:val="0"/>
                <w:bCs w:val="0"/>
                <w:color w:val="auto"/>
                <w:kern w:val="0"/>
                <w:sz w:val="24"/>
                <w:szCs w:val="24"/>
                <w:highlight w:val="none"/>
                <w:lang w:val="en-US" w:eastAsia="zh-CN" w:bidi="ar-SA"/>
              </w:rPr>
              <w:t>的为小型企业；从业人员10人以下</w:t>
            </w:r>
            <w:r>
              <w:rPr>
                <w:rFonts w:hint="eastAsia" w:ascii="宋体" w:hAnsi="宋体" w:cs="宋体"/>
                <w:b w:val="0"/>
                <w:bCs w:val="0"/>
                <w:color w:val="auto"/>
                <w:kern w:val="0"/>
                <w:sz w:val="24"/>
                <w:szCs w:val="24"/>
                <w:highlight w:val="none"/>
                <w:lang w:val="en-US" w:eastAsia="zh-CN" w:bidi="ar-SA"/>
              </w:rPr>
              <w:t>且营业额少于100万元</w:t>
            </w:r>
            <w:r>
              <w:rPr>
                <w:rFonts w:hint="eastAsia" w:ascii="宋体" w:hAnsi="宋体" w:eastAsia="宋体" w:cs="宋体"/>
                <w:b w:val="0"/>
                <w:bCs w:val="0"/>
                <w:color w:val="auto"/>
                <w:kern w:val="0"/>
                <w:sz w:val="24"/>
                <w:szCs w:val="24"/>
                <w:highlight w:val="none"/>
                <w:lang w:val="en-US" w:eastAsia="zh-CN" w:bidi="ar-SA"/>
              </w:rPr>
              <w:t>的为微型企业。</w:t>
            </w:r>
          </w:p>
        </w:tc>
      </w:tr>
      <w:tr w14:paraId="021C6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tcPr>
          <w:p w14:paraId="254054B7">
            <w:pPr>
              <w:snapToGrid w:val="0"/>
              <w:spacing w:line="360" w:lineRule="auto"/>
              <w:jc w:val="center"/>
              <w:rPr>
                <w:rFonts w:ascii="宋体" w:hAnsi="宋体" w:cs="宋体"/>
                <w:color w:val="auto"/>
                <w:sz w:val="24"/>
                <w:highlight w:val="none"/>
              </w:rPr>
            </w:pPr>
          </w:p>
          <w:p w14:paraId="73FFBC6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86A7D26">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8D6E171">
            <w:pPr>
              <w:spacing w:line="240" w:lineRule="auto"/>
              <w:jc w:val="left"/>
              <w:rPr>
                <w:rFonts w:ascii="宋体" w:hAnsi="宋体" w:cs="宋体"/>
                <w:color w:val="auto"/>
                <w:kern w:val="0"/>
                <w:sz w:val="24"/>
                <w:highlight w:val="none"/>
              </w:rPr>
            </w:pPr>
            <w:sdt>
              <w:sdtPr>
                <w:rPr>
                  <w:rFonts w:hint="eastAsia" w:ascii="宋体" w:hAnsi="宋体" w:cs="宋体"/>
                  <w:color w:val="auto"/>
                  <w:kern w:val="0"/>
                  <w:sz w:val="24"/>
                  <w:highlight w:val="none"/>
                </w:rPr>
                <w:id w:val="292530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59CFD0C2">
            <w:pPr>
              <w:spacing w:line="240" w:lineRule="auto"/>
              <w:jc w:val="left"/>
              <w:rPr>
                <w:rFonts w:ascii="宋体" w:hAnsi="宋体" w:cs="宋体"/>
                <w:color w:val="auto"/>
                <w:highlight w:val="none"/>
              </w:rPr>
            </w:pPr>
            <w:sdt>
              <w:sdtPr>
                <w:rPr>
                  <w:rFonts w:hint="eastAsia" w:ascii="宋体" w:hAnsi="宋体" w:cs="宋体"/>
                  <w:color w:val="auto"/>
                  <w:kern w:val="0"/>
                  <w:sz w:val="24"/>
                  <w:highlight w:val="none"/>
                </w:rPr>
                <w:id w:val="45069696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5E622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7D9677A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79E4312">
            <w:pPr>
              <w:snapToGrid w:val="0"/>
              <w:spacing w:line="240" w:lineRule="auto"/>
              <w:ind w:firstLine="482" w:firstLineChars="200"/>
              <w:jc w:val="center"/>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2FE069BD">
            <w:pPr>
              <w:spacing w:line="240" w:lineRule="auto"/>
              <w:jc w:val="left"/>
              <w:rPr>
                <w:rFonts w:ascii="宋体" w:hAnsi="宋体" w:cs="宋体"/>
                <w:color w:val="auto"/>
                <w:sz w:val="24"/>
                <w:highlight w:val="none"/>
              </w:rPr>
            </w:pPr>
            <w:sdt>
              <w:sdtPr>
                <w:rPr>
                  <w:rFonts w:hint="eastAsia" w:ascii="宋体" w:hAnsi="宋体" w:cs="宋体"/>
                  <w:color w:val="auto"/>
                  <w:kern w:val="0"/>
                  <w:sz w:val="24"/>
                  <w:highlight w:val="none"/>
                </w:rPr>
                <w:id w:val="54654123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68165565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75748277">
            <w:pPr>
              <w:spacing w:line="240" w:lineRule="auto"/>
              <w:jc w:val="left"/>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1F94E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tcPr>
          <w:p w14:paraId="62F8702D">
            <w:pPr>
              <w:snapToGrid w:val="0"/>
              <w:spacing w:line="360" w:lineRule="auto"/>
              <w:jc w:val="center"/>
              <w:rPr>
                <w:rFonts w:ascii="宋体" w:hAnsi="宋体" w:cs="宋体"/>
                <w:color w:val="auto"/>
                <w:sz w:val="24"/>
                <w:highlight w:val="none"/>
              </w:rPr>
            </w:pPr>
          </w:p>
          <w:p w14:paraId="5A407A49">
            <w:pPr>
              <w:snapToGrid w:val="0"/>
              <w:spacing w:line="360" w:lineRule="auto"/>
              <w:jc w:val="center"/>
              <w:rPr>
                <w:rFonts w:ascii="宋体" w:hAnsi="宋体" w:cs="宋体"/>
                <w:color w:val="auto"/>
                <w:sz w:val="24"/>
                <w:highlight w:val="none"/>
              </w:rPr>
            </w:pPr>
          </w:p>
          <w:p w14:paraId="4E3B3BF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F59C2C2">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07723BC">
            <w:pPr>
              <w:spacing w:line="240" w:lineRule="auto"/>
              <w:jc w:val="left"/>
              <w:rPr>
                <w:rFonts w:ascii="宋体" w:hAnsi="宋体" w:cs="宋体"/>
                <w:color w:val="auto"/>
                <w:sz w:val="24"/>
                <w:highlight w:val="none"/>
              </w:rPr>
            </w:pPr>
            <w:sdt>
              <w:sdtPr>
                <w:rPr>
                  <w:rFonts w:hint="eastAsia" w:ascii="宋体" w:hAnsi="宋体" w:cs="宋体"/>
                  <w:color w:val="auto"/>
                  <w:kern w:val="0"/>
                  <w:sz w:val="24"/>
                  <w:highlight w:val="none"/>
                </w:rPr>
                <w:id w:val="18654975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C03CD1E">
            <w:pPr>
              <w:spacing w:line="240" w:lineRule="auto"/>
              <w:jc w:val="left"/>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3889990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418E5266">
            <w:pPr>
              <w:pStyle w:val="79"/>
              <w:spacing w:line="24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 ，联系人： ，联系方式： 。</w:t>
            </w:r>
          </w:p>
        </w:tc>
      </w:tr>
      <w:tr w14:paraId="47563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tcPr>
          <w:p w14:paraId="40405E14">
            <w:pPr>
              <w:snapToGrid w:val="0"/>
              <w:spacing w:line="360" w:lineRule="auto"/>
              <w:jc w:val="center"/>
              <w:rPr>
                <w:rFonts w:ascii="宋体" w:hAnsi="宋体" w:cs="宋体"/>
                <w:color w:val="auto"/>
                <w:sz w:val="24"/>
                <w:highlight w:val="none"/>
              </w:rPr>
            </w:pPr>
          </w:p>
          <w:p w14:paraId="748F2304">
            <w:pPr>
              <w:snapToGrid w:val="0"/>
              <w:spacing w:line="360" w:lineRule="auto"/>
              <w:jc w:val="center"/>
              <w:rPr>
                <w:rFonts w:ascii="宋体" w:hAnsi="宋体" w:cs="宋体"/>
                <w:color w:val="auto"/>
                <w:sz w:val="24"/>
                <w:highlight w:val="none"/>
              </w:rPr>
            </w:pPr>
          </w:p>
          <w:p w14:paraId="390C1AD1">
            <w:pPr>
              <w:snapToGrid w:val="0"/>
              <w:spacing w:line="360" w:lineRule="auto"/>
              <w:jc w:val="center"/>
              <w:rPr>
                <w:rFonts w:ascii="宋体" w:hAnsi="宋体" w:cs="宋体"/>
                <w:color w:val="auto"/>
                <w:sz w:val="24"/>
                <w:highlight w:val="none"/>
              </w:rPr>
            </w:pPr>
          </w:p>
          <w:p w14:paraId="6E646EC9">
            <w:pPr>
              <w:snapToGrid w:val="0"/>
              <w:spacing w:line="360" w:lineRule="auto"/>
              <w:jc w:val="center"/>
              <w:rPr>
                <w:rFonts w:ascii="宋体" w:hAnsi="宋体" w:cs="宋体"/>
                <w:color w:val="auto"/>
                <w:sz w:val="24"/>
                <w:highlight w:val="none"/>
              </w:rPr>
            </w:pPr>
          </w:p>
          <w:p w14:paraId="266EEE47">
            <w:pPr>
              <w:snapToGrid w:val="0"/>
              <w:spacing w:line="360" w:lineRule="auto"/>
              <w:jc w:val="center"/>
              <w:rPr>
                <w:rFonts w:ascii="宋体" w:hAnsi="宋体" w:cs="宋体"/>
                <w:color w:val="auto"/>
                <w:sz w:val="24"/>
                <w:highlight w:val="none"/>
              </w:rPr>
            </w:pPr>
          </w:p>
          <w:p w14:paraId="5A1660CB">
            <w:pPr>
              <w:snapToGrid w:val="0"/>
              <w:spacing w:line="360" w:lineRule="auto"/>
              <w:jc w:val="center"/>
              <w:rPr>
                <w:rFonts w:ascii="宋体" w:hAnsi="宋体" w:cs="宋体"/>
                <w:color w:val="auto"/>
                <w:sz w:val="24"/>
                <w:highlight w:val="none"/>
              </w:rPr>
            </w:pPr>
          </w:p>
          <w:p w14:paraId="69111327">
            <w:pPr>
              <w:snapToGrid w:val="0"/>
              <w:spacing w:line="360" w:lineRule="auto"/>
              <w:jc w:val="center"/>
              <w:rPr>
                <w:rFonts w:ascii="宋体" w:hAnsi="宋体" w:cs="宋体"/>
                <w:color w:val="auto"/>
                <w:sz w:val="24"/>
                <w:highlight w:val="none"/>
              </w:rPr>
            </w:pPr>
          </w:p>
          <w:p w14:paraId="3E72E277">
            <w:pPr>
              <w:snapToGrid w:val="0"/>
              <w:spacing w:line="360" w:lineRule="auto"/>
              <w:jc w:val="center"/>
              <w:rPr>
                <w:rFonts w:ascii="宋体" w:hAnsi="宋体" w:cs="宋体"/>
                <w:color w:val="auto"/>
                <w:sz w:val="24"/>
                <w:highlight w:val="none"/>
              </w:rPr>
            </w:pPr>
          </w:p>
          <w:p w14:paraId="12D2F995">
            <w:pPr>
              <w:snapToGrid w:val="0"/>
              <w:spacing w:line="360" w:lineRule="auto"/>
              <w:jc w:val="center"/>
              <w:rPr>
                <w:rFonts w:ascii="宋体" w:hAnsi="宋体" w:cs="宋体"/>
                <w:color w:val="auto"/>
                <w:sz w:val="24"/>
                <w:highlight w:val="none"/>
              </w:rPr>
            </w:pPr>
          </w:p>
          <w:p w14:paraId="3925828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4F96D8E">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29A19C74">
            <w:pPr>
              <w:spacing w:line="240" w:lineRule="auto"/>
              <w:jc w:val="left"/>
              <w:rPr>
                <w:rFonts w:ascii="宋体" w:hAnsi="宋体" w:cs="宋体"/>
                <w:color w:val="auto"/>
                <w:sz w:val="24"/>
                <w:highlight w:val="none"/>
              </w:rPr>
            </w:pPr>
            <w:sdt>
              <w:sdtPr>
                <w:rPr>
                  <w:rFonts w:hint="eastAsia" w:ascii="宋体" w:hAnsi="宋体" w:cs="宋体"/>
                  <w:color w:val="auto"/>
                  <w:kern w:val="0"/>
                  <w:sz w:val="24"/>
                  <w:highlight w:val="none"/>
                </w:rPr>
                <w:id w:val="9862823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5E0D3FFD">
            <w:pPr>
              <w:spacing w:line="240" w:lineRule="auto"/>
              <w:jc w:val="left"/>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49DE0ED2">
            <w:pP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DE88776">
            <w:pP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2AE00BAE">
            <w:pP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3216AAEE">
            <w:pP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756F4883">
            <w:pPr>
              <w:spacing w:line="240" w:lineRule="auto"/>
              <w:jc w:val="left"/>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0A11BDBA">
            <w:pPr>
              <w:spacing w:line="240" w:lineRule="auto"/>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78AD61E6">
            <w:pPr>
              <w:spacing w:line="240" w:lineRule="auto"/>
              <w:jc w:val="left"/>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6B10D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tcPr>
          <w:p w14:paraId="52246244">
            <w:pPr>
              <w:snapToGrid w:val="0"/>
              <w:spacing w:line="360" w:lineRule="auto"/>
              <w:jc w:val="center"/>
              <w:rPr>
                <w:rFonts w:ascii="宋体" w:hAnsi="宋体" w:cs="宋体"/>
                <w:color w:val="auto"/>
                <w:sz w:val="24"/>
                <w:highlight w:val="none"/>
              </w:rPr>
            </w:pPr>
          </w:p>
          <w:p w14:paraId="29FA9A8C">
            <w:pPr>
              <w:snapToGrid w:val="0"/>
              <w:spacing w:line="360" w:lineRule="auto"/>
              <w:jc w:val="center"/>
              <w:rPr>
                <w:rFonts w:ascii="宋体" w:hAnsi="宋体" w:cs="宋体"/>
                <w:color w:val="auto"/>
                <w:sz w:val="24"/>
                <w:highlight w:val="none"/>
              </w:rPr>
            </w:pPr>
          </w:p>
          <w:p w14:paraId="18497155">
            <w:pPr>
              <w:snapToGrid w:val="0"/>
              <w:spacing w:line="360" w:lineRule="auto"/>
              <w:jc w:val="center"/>
              <w:rPr>
                <w:rFonts w:ascii="宋体" w:hAnsi="宋体" w:cs="宋体"/>
                <w:color w:val="auto"/>
                <w:sz w:val="24"/>
                <w:highlight w:val="none"/>
              </w:rPr>
            </w:pPr>
          </w:p>
          <w:p w14:paraId="42DDB8BE">
            <w:pPr>
              <w:snapToGrid w:val="0"/>
              <w:spacing w:line="360" w:lineRule="auto"/>
              <w:jc w:val="center"/>
              <w:rPr>
                <w:rFonts w:ascii="宋体" w:hAnsi="宋体" w:cs="宋体"/>
                <w:color w:val="auto"/>
                <w:sz w:val="24"/>
                <w:highlight w:val="none"/>
              </w:rPr>
            </w:pPr>
          </w:p>
          <w:p w14:paraId="1D875970">
            <w:pPr>
              <w:snapToGrid w:val="0"/>
              <w:spacing w:line="360" w:lineRule="auto"/>
              <w:jc w:val="center"/>
              <w:rPr>
                <w:rFonts w:ascii="宋体" w:hAnsi="宋体" w:cs="宋体"/>
                <w:color w:val="auto"/>
                <w:sz w:val="24"/>
                <w:highlight w:val="none"/>
              </w:rPr>
            </w:pPr>
          </w:p>
          <w:p w14:paraId="0BC922C3">
            <w:pPr>
              <w:snapToGrid w:val="0"/>
              <w:spacing w:line="360" w:lineRule="auto"/>
              <w:jc w:val="center"/>
              <w:rPr>
                <w:rFonts w:ascii="宋体" w:hAnsi="宋体" w:cs="宋体"/>
                <w:color w:val="auto"/>
                <w:sz w:val="24"/>
                <w:highlight w:val="none"/>
              </w:rPr>
            </w:pPr>
          </w:p>
          <w:p w14:paraId="2D356E36">
            <w:pPr>
              <w:snapToGrid w:val="0"/>
              <w:spacing w:line="360" w:lineRule="auto"/>
              <w:jc w:val="center"/>
              <w:rPr>
                <w:rFonts w:ascii="宋体" w:hAnsi="宋体" w:cs="宋体"/>
                <w:color w:val="auto"/>
                <w:sz w:val="24"/>
                <w:highlight w:val="none"/>
              </w:rPr>
            </w:pPr>
          </w:p>
          <w:p w14:paraId="32D3B44A">
            <w:pPr>
              <w:snapToGrid w:val="0"/>
              <w:spacing w:line="360" w:lineRule="auto"/>
              <w:jc w:val="center"/>
              <w:rPr>
                <w:rFonts w:ascii="宋体" w:hAnsi="宋体" w:cs="宋体"/>
                <w:color w:val="auto"/>
                <w:sz w:val="24"/>
                <w:highlight w:val="none"/>
              </w:rPr>
            </w:pPr>
          </w:p>
          <w:p w14:paraId="32C2B9F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CE53DDF">
            <w:pPr>
              <w:snapToGrid w:val="0"/>
              <w:spacing w:line="24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150BEE83">
            <w:pPr>
              <w:spacing w:line="240" w:lineRule="auto"/>
              <w:jc w:val="left"/>
              <w:rPr>
                <w:rFonts w:ascii="宋体" w:hAnsi="宋体" w:cs="宋体"/>
                <w:color w:val="auto"/>
                <w:sz w:val="24"/>
                <w:highlight w:val="none"/>
              </w:rPr>
            </w:pPr>
            <w:sdt>
              <w:sdtPr>
                <w:rPr>
                  <w:rFonts w:hint="eastAsia" w:ascii="宋体" w:hAnsi="宋体" w:cs="宋体"/>
                  <w:color w:val="auto"/>
                  <w:kern w:val="0"/>
                  <w:sz w:val="24"/>
                  <w:highlight w:val="none"/>
                </w:rPr>
                <w:id w:val="9141071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5A64D05">
            <w:pPr>
              <w:spacing w:line="240" w:lineRule="auto"/>
              <w:jc w:val="left"/>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012FD386">
            <w:pPr>
              <w:snapToGrid w:val="0"/>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人。讲解演示结束后按要求解答评标委员会提问。</w:t>
            </w:r>
          </w:p>
          <w:p w14:paraId="0CAC8707">
            <w:pPr>
              <w:snapToGrid w:val="0"/>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6EEF9621">
            <w:pPr>
              <w:snapToGrid w:val="0"/>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76B6E23D">
            <w:pPr>
              <w:snapToGrid w:val="0"/>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552D1C2A">
            <w:pPr>
              <w:snapToGrid w:val="0"/>
              <w:spacing w:line="24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7401F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auto" w:sz="4" w:space="0"/>
              <w:right w:val="single" w:color="auto" w:sz="4" w:space="0"/>
            </w:tcBorders>
          </w:tcPr>
          <w:p w14:paraId="0B401F15">
            <w:pPr>
              <w:snapToGrid w:val="0"/>
              <w:spacing w:line="360" w:lineRule="auto"/>
              <w:jc w:val="center"/>
              <w:rPr>
                <w:rFonts w:ascii="宋体" w:hAnsi="宋体" w:cs="宋体"/>
                <w:color w:val="auto"/>
                <w:sz w:val="24"/>
                <w:highlight w:val="none"/>
              </w:rPr>
            </w:pPr>
          </w:p>
          <w:p w14:paraId="6D928564">
            <w:pPr>
              <w:snapToGrid w:val="0"/>
              <w:spacing w:line="360" w:lineRule="auto"/>
              <w:jc w:val="center"/>
              <w:rPr>
                <w:rFonts w:ascii="宋体" w:hAnsi="宋体" w:cs="宋体"/>
                <w:color w:val="auto"/>
                <w:sz w:val="24"/>
                <w:highlight w:val="none"/>
              </w:rPr>
            </w:pPr>
          </w:p>
          <w:p w14:paraId="40B1E49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4DDDB98A">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1715BE8">
            <w:pPr>
              <w:spacing w:line="240" w:lineRule="auto"/>
              <w:jc w:val="left"/>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64058F87">
            <w:pPr>
              <w:spacing w:line="240" w:lineRule="auto"/>
              <w:jc w:val="left"/>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0CBE6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auto" w:sz="4" w:space="0"/>
              <w:bottom w:val="single" w:color="auto" w:sz="4" w:space="0"/>
              <w:right w:val="single" w:color="auto" w:sz="4" w:space="0"/>
            </w:tcBorders>
          </w:tcPr>
          <w:p w14:paraId="5C7A07D6">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4590D7B1">
            <w:pPr>
              <w:snapToGrid w:val="0"/>
              <w:spacing w:line="24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A08AE2E">
            <w:pPr>
              <w:spacing w:line="240" w:lineRule="auto"/>
              <w:jc w:val="left"/>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44203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tcPr>
          <w:p w14:paraId="584C4EC5">
            <w:pPr>
              <w:snapToGrid w:val="0"/>
              <w:spacing w:line="360" w:lineRule="auto"/>
              <w:jc w:val="center"/>
              <w:rPr>
                <w:rFonts w:ascii="宋体" w:hAnsi="宋体" w:cs="宋体"/>
                <w:color w:val="auto"/>
                <w:sz w:val="24"/>
                <w:highlight w:val="none"/>
              </w:rPr>
            </w:pPr>
          </w:p>
          <w:p w14:paraId="38589266">
            <w:pPr>
              <w:snapToGrid w:val="0"/>
              <w:spacing w:line="360" w:lineRule="auto"/>
              <w:jc w:val="center"/>
              <w:rPr>
                <w:rFonts w:ascii="宋体" w:hAnsi="宋体" w:cs="宋体"/>
                <w:color w:val="auto"/>
                <w:sz w:val="24"/>
                <w:highlight w:val="none"/>
              </w:rPr>
            </w:pPr>
          </w:p>
          <w:p w14:paraId="6F751B8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A8F3422">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79EFCC3">
            <w:pPr>
              <w:pStyle w:val="79"/>
              <w:snapToGrid w:val="0"/>
              <w:spacing w:line="24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294ECC9">
            <w:pPr>
              <w:pStyle w:val="79"/>
              <w:spacing w:line="240" w:lineRule="auto"/>
              <w:jc w:val="left"/>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p>
          <w:p w14:paraId="3002CF9E">
            <w:pPr>
              <w:pStyle w:val="79"/>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p>
          <w:p w14:paraId="76782679">
            <w:pPr>
              <w:pStyle w:val="79"/>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p>
          <w:p w14:paraId="36C9C289">
            <w:pPr>
              <w:pStyle w:val="79"/>
              <w:spacing w:line="240" w:lineRule="auto"/>
              <w:jc w:val="left"/>
              <w:rPr>
                <w:color w:val="auto"/>
                <w:highlight w:val="none"/>
              </w:rPr>
            </w:pPr>
            <w:r>
              <w:rPr>
                <w:rFonts w:hint="eastAsia" w:ascii="宋体" w:hAnsi="宋体" w:eastAsia="宋体" w:cs="宋体"/>
                <w:color w:val="auto"/>
                <w:kern w:val="2"/>
                <w:sz w:val="24"/>
                <w:szCs w:val="24"/>
                <w:highlight w:val="none"/>
                <w:lang w:val="en-US" w:eastAsia="zh-CN" w:bidi="ar-SA"/>
              </w:rPr>
              <w:t>☑无</w:t>
            </w:r>
          </w:p>
        </w:tc>
      </w:tr>
      <w:tr w14:paraId="341A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tcPr>
          <w:p w14:paraId="3DD6CE36">
            <w:pPr>
              <w:snapToGrid w:val="0"/>
              <w:spacing w:line="360" w:lineRule="auto"/>
              <w:jc w:val="center"/>
              <w:rPr>
                <w:rFonts w:ascii="宋体" w:hAnsi="宋体" w:cs="宋体"/>
                <w:color w:val="auto"/>
                <w:sz w:val="24"/>
                <w:highlight w:val="none"/>
              </w:rPr>
            </w:pPr>
          </w:p>
          <w:p w14:paraId="26731BE1">
            <w:pPr>
              <w:snapToGrid w:val="0"/>
              <w:spacing w:line="360" w:lineRule="auto"/>
              <w:jc w:val="center"/>
              <w:rPr>
                <w:rFonts w:ascii="宋体" w:hAnsi="宋体" w:cs="宋体"/>
                <w:color w:val="auto"/>
                <w:sz w:val="24"/>
                <w:highlight w:val="none"/>
              </w:rPr>
            </w:pPr>
          </w:p>
          <w:p w14:paraId="79F3F4C6">
            <w:pPr>
              <w:snapToGrid w:val="0"/>
              <w:spacing w:line="360" w:lineRule="auto"/>
              <w:jc w:val="center"/>
              <w:rPr>
                <w:rFonts w:ascii="宋体" w:hAnsi="宋体" w:cs="宋体"/>
                <w:color w:val="auto"/>
                <w:sz w:val="24"/>
                <w:highlight w:val="none"/>
              </w:rPr>
            </w:pPr>
          </w:p>
          <w:p w14:paraId="0CC08E98">
            <w:pPr>
              <w:snapToGrid w:val="0"/>
              <w:spacing w:line="360" w:lineRule="auto"/>
              <w:jc w:val="center"/>
              <w:rPr>
                <w:rFonts w:ascii="宋体" w:hAnsi="宋体" w:cs="宋体"/>
                <w:color w:val="auto"/>
                <w:sz w:val="24"/>
                <w:highlight w:val="none"/>
              </w:rPr>
            </w:pPr>
          </w:p>
          <w:p w14:paraId="35826F79">
            <w:pPr>
              <w:snapToGrid w:val="0"/>
              <w:spacing w:line="360" w:lineRule="auto"/>
              <w:jc w:val="center"/>
              <w:rPr>
                <w:rFonts w:ascii="宋体" w:hAnsi="宋体" w:cs="宋体"/>
                <w:color w:val="auto"/>
                <w:sz w:val="24"/>
                <w:highlight w:val="none"/>
              </w:rPr>
            </w:pPr>
          </w:p>
          <w:p w14:paraId="65ED4C9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0383485">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C0E6760">
            <w:pPr>
              <w:snapToGrid w:val="0"/>
              <w:spacing w:line="24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107CE792">
            <w:pPr>
              <w:snapToGrid w:val="0"/>
              <w:spacing w:line="24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05A1A0FA">
            <w:pPr>
              <w:snapToGrid w:val="0"/>
              <w:spacing w:line="24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04968A37">
            <w:pPr>
              <w:snapToGrid w:val="0"/>
              <w:spacing w:line="24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02250257">
            <w:pPr>
              <w:spacing w:line="240" w:lineRule="auto"/>
              <w:ind w:firstLine="241" w:firstLineChars="100"/>
              <w:jc w:val="left"/>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5289611D">
            <w:pPr>
              <w:spacing w:line="240" w:lineRule="auto"/>
              <w:ind w:firstLine="241" w:firstLineChars="100"/>
              <w:jc w:val="left"/>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0E0D5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right w:val="single" w:color="000000" w:sz="2" w:space="0"/>
            </w:tcBorders>
          </w:tcPr>
          <w:p w14:paraId="1128B2D4">
            <w:pPr>
              <w:snapToGrid w:val="0"/>
              <w:spacing w:line="360" w:lineRule="auto"/>
              <w:jc w:val="center"/>
              <w:rPr>
                <w:rFonts w:ascii="宋体" w:hAnsi="宋体" w:cs="宋体"/>
                <w:color w:val="auto"/>
                <w:sz w:val="24"/>
                <w:highlight w:val="none"/>
              </w:rPr>
            </w:pPr>
          </w:p>
          <w:p w14:paraId="508204F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3D8BAA3D">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204574E8">
            <w:pPr>
              <w:spacing w:line="240" w:lineRule="auto"/>
              <w:jc w:val="left"/>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76C5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3E67B0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002ED00">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备份投标文件送达地点和签收人员</w:t>
            </w:r>
          </w:p>
        </w:tc>
        <w:tc>
          <w:tcPr>
            <w:tcW w:w="6095" w:type="dxa"/>
            <w:tcBorders>
              <w:top w:val="single" w:color="000000" w:sz="8" w:space="0"/>
              <w:left w:val="single" w:color="000000" w:sz="2" w:space="0"/>
              <w:bottom w:val="single" w:color="000000" w:sz="8" w:space="0"/>
              <w:right w:val="single" w:color="000000" w:sz="8" w:space="0"/>
            </w:tcBorders>
            <w:vAlign w:val="center"/>
          </w:tcPr>
          <w:p w14:paraId="1C4D0354">
            <w:pPr>
              <w:pStyle w:val="32"/>
              <w:spacing w:line="240" w:lineRule="auto"/>
              <w:jc w:val="left"/>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sz w:val="24"/>
                <w:highlight w:val="none"/>
                <w:u w:val="single"/>
                <w:lang w:eastAsia="zh-CN"/>
              </w:rPr>
              <w:t>桐庐县迎春南路88号桦桐大厦20楼</w:t>
            </w:r>
            <w:r>
              <w:rPr>
                <w:rFonts w:hint="eastAsia" w:hAnsi="宋体" w:cs="宋体"/>
                <w:color w:val="auto"/>
                <w:sz w:val="24"/>
                <w:highlight w:val="none"/>
                <w:u w:val="single"/>
              </w:rPr>
              <w:t xml:space="preserve">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u w:val="single"/>
                <w:lang w:eastAsia="zh-CN"/>
              </w:rPr>
              <w:t>孙鸣</w:t>
            </w:r>
            <w:r>
              <w:rPr>
                <w:rFonts w:hint="eastAsia" w:hAnsi="宋体" w:cs="宋体"/>
                <w:color w:val="auto"/>
                <w:sz w:val="24"/>
                <w:highlight w:val="none"/>
                <w:u w:val="single"/>
                <w:lang w:val="en-US" w:eastAsia="zh-CN"/>
              </w:rPr>
              <w:t>15168292397</w:t>
            </w:r>
            <w:r>
              <w:rPr>
                <w:rFonts w:hint="eastAsia" w:hAnsi="宋体" w:cs="宋体"/>
                <w:color w:val="auto"/>
                <w:sz w:val="24"/>
                <w:highlight w:val="none"/>
                <w:u w:val="single"/>
              </w:rPr>
              <w:t xml:space="preserve"> </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19046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000000" w:sz="8" w:space="0"/>
              <w:right w:val="single" w:color="000000" w:sz="2" w:space="0"/>
            </w:tcBorders>
            <w:vAlign w:val="center"/>
          </w:tcPr>
          <w:p w14:paraId="26667A4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251E7FA4">
            <w:pPr>
              <w:snapToGrid w:val="0"/>
              <w:spacing w:line="24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087E5F2E">
            <w:pPr>
              <w:spacing w:line="240" w:lineRule="auto"/>
              <w:jc w:val="lef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48560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000000" w:sz="8" w:space="0"/>
              <w:right w:val="single" w:color="000000" w:sz="2" w:space="0"/>
            </w:tcBorders>
            <w:vAlign w:val="center"/>
          </w:tcPr>
          <w:p w14:paraId="7FF9857B">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500B23DB">
            <w:pPr>
              <w:snapToGrid w:val="0"/>
              <w:spacing w:line="24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1456170E">
            <w:pPr>
              <w:spacing w:line="240" w:lineRule="auto"/>
              <w:jc w:val="left"/>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273E0D79">
            <w:pPr>
              <w:spacing w:line="240" w:lineRule="auto"/>
              <w:jc w:val="left"/>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2992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cs="Arial" w:eastAsiaTheme="minorEastAsia"/>
                    <w:color w:val="auto"/>
                    <w:kern w:val="0"/>
                    <w:sz w:val="24"/>
                    <w:szCs w:val="24"/>
                    <w:highlight w:val="none"/>
                    <w:lang w:val="en-US" w:eastAsia="zh-CN" w:bidi="ar-SA"/>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4A164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left w:val="single" w:color="000000" w:sz="8" w:space="0"/>
              <w:right w:val="single" w:color="000000" w:sz="2" w:space="0"/>
            </w:tcBorders>
            <w:vAlign w:val="center"/>
          </w:tcPr>
          <w:p w14:paraId="07538E15">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vMerge w:val="continue"/>
            <w:tcBorders>
              <w:left w:val="single" w:color="000000" w:sz="2" w:space="0"/>
              <w:right w:val="single" w:color="000000" w:sz="8" w:space="0"/>
            </w:tcBorders>
            <w:vAlign w:val="center"/>
          </w:tcPr>
          <w:p w14:paraId="74C8F7DC">
            <w:pPr>
              <w:snapToGrid w:val="0"/>
              <w:spacing w:line="24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0CFDA188">
            <w:pPr>
              <w:spacing w:line="240" w:lineRule="auto"/>
              <w:jc w:val="left"/>
              <w:rPr>
                <w:rFonts w:hint="default" w:cs="Arial" w:asciiTheme="minorEastAsia" w:hAnsiTheme="minorEastAsia" w:eastAsiaTheme="minorEastAsia"/>
                <w:color w:val="auto"/>
                <w:kern w:val="0"/>
                <w:sz w:val="24"/>
                <w:highlight w:val="none"/>
                <w:lang w:val="en-US" w:eastAsia="zh-CN"/>
              </w:rPr>
            </w:pPr>
            <w:r>
              <w:rPr>
                <w:rFonts w:hint="eastAsia" w:cs="Arial" w:asciiTheme="minorEastAsia" w:hAnsiTheme="minorEastAsia" w:eastAsiaTheme="minorEastAsia"/>
                <w:color w:val="FF0000"/>
                <w:kern w:val="0"/>
                <w:sz w:val="24"/>
                <w:highlight w:val="none"/>
                <w:lang w:eastAsia="zh-CN"/>
              </w:rPr>
              <w:t>关于演示视频材料的要求：</w:t>
            </w:r>
            <w:r>
              <w:rPr>
                <w:rFonts w:hint="eastAsia" w:cs="Arial" w:asciiTheme="minorEastAsia" w:hAnsiTheme="minorEastAsia" w:eastAsiaTheme="minorEastAsia"/>
                <w:color w:val="FF0000"/>
                <w:kern w:val="0"/>
                <w:sz w:val="24"/>
                <w:highlight w:val="none"/>
                <w:lang w:eastAsia="zh-CN"/>
              </w:rPr>
              <w:br w:type="textWrapping"/>
            </w:r>
            <w:r>
              <w:rPr>
                <w:rFonts w:hint="eastAsia" w:cs="Arial" w:asciiTheme="minorEastAsia" w:hAnsiTheme="minorEastAsia" w:eastAsiaTheme="minorEastAsia"/>
                <w:color w:val="FF0000"/>
                <w:kern w:val="0"/>
                <w:sz w:val="24"/>
                <w:highlight w:val="none"/>
                <w:lang w:val="en-US" w:eastAsia="zh-CN"/>
              </w:rPr>
              <w:t>1、请各供应商将演示视频按采购文件要求录制后以MP4格式拷贝至U盘中；</w:t>
            </w:r>
            <w:r>
              <w:rPr>
                <w:rFonts w:hint="eastAsia" w:cs="Arial" w:asciiTheme="minorEastAsia" w:hAnsiTheme="minorEastAsia" w:eastAsiaTheme="minorEastAsia"/>
                <w:color w:val="FF0000"/>
                <w:kern w:val="0"/>
                <w:sz w:val="24"/>
                <w:highlight w:val="none"/>
                <w:lang w:val="en-US" w:eastAsia="zh-CN"/>
              </w:rPr>
              <w:br w:type="textWrapping"/>
            </w:r>
            <w:r>
              <w:rPr>
                <w:rFonts w:hint="eastAsia" w:cs="Arial" w:asciiTheme="minorEastAsia" w:hAnsiTheme="minorEastAsia" w:eastAsiaTheme="minorEastAsia"/>
                <w:color w:val="FF0000"/>
                <w:kern w:val="0"/>
                <w:sz w:val="24"/>
                <w:highlight w:val="none"/>
                <w:lang w:val="en-US" w:eastAsia="zh-CN"/>
              </w:rPr>
              <w:t>2、请将载有演示文件的U盘至少在开标前1个工作日前邮寄至代理机构处（桐庐县迎春南路88桦桐大厦20楼 孙鸣收 15168292397）；</w:t>
            </w:r>
            <w:r>
              <w:rPr>
                <w:rFonts w:hint="eastAsia" w:cs="Arial" w:asciiTheme="minorEastAsia" w:hAnsiTheme="minorEastAsia" w:eastAsiaTheme="minorEastAsia"/>
                <w:color w:val="FF0000"/>
                <w:kern w:val="0"/>
                <w:sz w:val="24"/>
                <w:highlight w:val="none"/>
                <w:lang w:val="en-US" w:eastAsia="zh-CN"/>
              </w:rPr>
              <w:br w:type="textWrapping"/>
            </w:r>
            <w:r>
              <w:rPr>
                <w:rFonts w:hint="eastAsia" w:cs="Arial" w:asciiTheme="minorEastAsia" w:hAnsiTheme="minorEastAsia" w:eastAsiaTheme="minorEastAsia"/>
                <w:color w:val="FF0000"/>
                <w:kern w:val="0"/>
                <w:sz w:val="24"/>
                <w:highlight w:val="none"/>
                <w:lang w:val="en-US" w:eastAsia="zh-CN"/>
              </w:rPr>
              <w:t>3、因软件问题、U盘硬件问题或快递等原因导致演示文件无法播放或载体U盘未能按时邮寄至代理机构的，由此产生的后果由供应商自行承担。</w:t>
            </w:r>
          </w:p>
        </w:tc>
      </w:tr>
      <w:tr w14:paraId="2EFD7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000000" w:sz="2" w:space="0"/>
            </w:tcBorders>
            <w:vAlign w:val="center"/>
          </w:tcPr>
          <w:p w14:paraId="67AD759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5</w:t>
            </w:r>
          </w:p>
        </w:tc>
        <w:tc>
          <w:tcPr>
            <w:tcW w:w="1843" w:type="dxa"/>
            <w:tcBorders>
              <w:top w:val="single" w:color="auto" w:sz="4" w:space="0"/>
              <w:left w:val="single" w:color="000000" w:sz="2" w:space="0"/>
              <w:bottom w:val="single" w:color="auto" w:sz="4" w:space="0"/>
              <w:right w:val="single" w:color="000000" w:sz="8" w:space="0"/>
            </w:tcBorders>
            <w:vAlign w:val="center"/>
          </w:tcPr>
          <w:p w14:paraId="7BF9C4C7">
            <w:pPr>
              <w:snapToGrid w:val="0"/>
              <w:spacing w:line="24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C98162B">
            <w:pPr>
              <w:spacing w:line="240" w:lineRule="auto"/>
              <w:jc w:val="left"/>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本项目推荐的中标候选人数量：</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1</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 w:eastAsia="zh-CN"/>
              </w:rPr>
              <w:t>。</w:t>
            </w:r>
          </w:p>
        </w:tc>
      </w:tr>
      <w:tr w14:paraId="4F3D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000000" w:sz="2" w:space="0"/>
            </w:tcBorders>
            <w:vAlign w:val="center"/>
          </w:tcPr>
          <w:p w14:paraId="7D09EDA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6</w:t>
            </w:r>
          </w:p>
        </w:tc>
        <w:tc>
          <w:tcPr>
            <w:tcW w:w="1843" w:type="dxa"/>
            <w:tcBorders>
              <w:top w:val="single" w:color="auto" w:sz="4" w:space="0"/>
              <w:left w:val="single" w:color="000000" w:sz="2" w:space="0"/>
              <w:bottom w:val="single" w:color="auto" w:sz="4" w:space="0"/>
              <w:right w:val="single" w:color="auto" w:sz="4" w:space="0"/>
            </w:tcBorders>
            <w:vAlign w:val="center"/>
          </w:tcPr>
          <w:p w14:paraId="61E57FAC">
            <w:pPr>
              <w:snapToGrid w:val="0"/>
              <w:spacing w:line="24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000000" w:sz="8" w:space="0"/>
              <w:right w:val="single" w:color="auto" w:sz="4" w:space="0"/>
            </w:tcBorders>
            <w:vAlign w:val="center"/>
          </w:tcPr>
          <w:p w14:paraId="1330303C">
            <w:pPr>
              <w:spacing w:line="240" w:lineRule="auto"/>
              <w:jc w:val="left"/>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代理服务费：</w:t>
            </w:r>
          </w:p>
          <w:p w14:paraId="6129343D">
            <w:pPr>
              <w:spacing w:line="240" w:lineRule="auto"/>
              <w:jc w:val="left"/>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招投标过程中产生的代理费用由中标（成交）供应商在领取中标通知书前一次性支付给代理公司。</w:t>
            </w:r>
          </w:p>
        </w:tc>
      </w:tr>
      <w:tr w14:paraId="4D8DA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000000" w:sz="2" w:space="0"/>
            </w:tcBorders>
            <w:vAlign w:val="center"/>
          </w:tcPr>
          <w:p w14:paraId="2C18E4F2">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1843" w:type="dxa"/>
            <w:tcBorders>
              <w:top w:val="single" w:color="auto" w:sz="4" w:space="0"/>
              <w:left w:val="single" w:color="000000" w:sz="2" w:space="0"/>
              <w:bottom w:val="single" w:color="auto" w:sz="4" w:space="0"/>
              <w:right w:val="single" w:color="auto" w:sz="4" w:space="0"/>
            </w:tcBorders>
            <w:vAlign w:val="center"/>
          </w:tcPr>
          <w:p w14:paraId="7369CC87">
            <w:pPr>
              <w:snapToGrid w:val="0"/>
              <w:spacing w:line="240" w:lineRule="auto"/>
              <w:jc w:val="center"/>
              <w:rPr>
                <w:rFonts w:hint="eastAsia" w:cs="仿宋_GB2312" w:asciiTheme="minorEastAsia" w:hAnsiTheme="minorEastAsia" w:eastAsiaTheme="minorEastAsia"/>
                <w:b/>
                <w:color w:val="auto"/>
                <w:sz w:val="24"/>
                <w:highlight w:val="none"/>
                <w:lang w:val="en" w:eastAsia="zh-CN"/>
              </w:rPr>
            </w:pPr>
            <w:r>
              <w:rPr>
                <w:rFonts w:hint="eastAsia" w:ascii="宋体" w:hAnsi="宋体" w:cs="宋体"/>
                <w:b/>
                <w:sz w:val="24"/>
              </w:rPr>
              <w:t>异常低价投标(响应</w:t>
            </w:r>
            <w:r>
              <w:rPr>
                <w:rFonts w:hint="eastAsia" w:ascii="宋体" w:hAnsi="宋体" w:cs="宋体"/>
                <w:b/>
                <w:sz w:val="24"/>
                <w:lang w:eastAsia="zh-CN"/>
              </w:rPr>
              <w:t>）</w:t>
            </w:r>
            <w:r>
              <w:rPr>
                <w:rFonts w:hint="eastAsia" w:ascii="宋体" w:hAnsi="宋体" w:cs="宋体"/>
                <w:b/>
                <w:sz w:val="24"/>
              </w:rPr>
              <w:t>审查程序</w:t>
            </w:r>
          </w:p>
        </w:tc>
        <w:tc>
          <w:tcPr>
            <w:tcW w:w="6095" w:type="dxa"/>
            <w:tcBorders>
              <w:top w:val="single" w:color="000000" w:sz="8" w:space="0"/>
              <w:left w:val="single" w:color="auto" w:sz="4" w:space="0"/>
              <w:bottom w:val="single" w:color="auto" w:sz="4" w:space="0"/>
              <w:right w:val="single" w:color="auto" w:sz="4" w:space="0"/>
            </w:tcBorders>
            <w:vAlign w:val="center"/>
          </w:tcPr>
          <w:p w14:paraId="576E9470">
            <w:pPr>
              <w:spacing w:line="240" w:lineRule="auto"/>
              <w:rPr>
                <w:rFonts w:hint="eastAsia" w:ascii="宋体" w:hAnsi="宋体" w:cs="宋体"/>
                <w:b/>
                <w:kern w:val="0"/>
                <w:sz w:val="24"/>
              </w:rPr>
            </w:pPr>
            <w:r>
              <w:rPr>
                <w:rFonts w:hint="eastAsia" w:ascii="宋体" w:hAnsi="宋体" w:cs="宋体"/>
                <w:b/>
                <w:kern w:val="0"/>
                <w:sz w:val="24"/>
              </w:rPr>
              <w:t>（一）采购人应当在采购文件中明确，政府采购评审中出现下列情形之一的，评审委员会应当启动异常低价投标（响应）审查程序： </w:t>
            </w:r>
          </w:p>
          <w:p w14:paraId="1159B3F2">
            <w:pPr>
              <w:spacing w:line="240" w:lineRule="auto"/>
              <w:rPr>
                <w:rFonts w:hint="eastAsia" w:ascii="宋体" w:hAnsi="宋体" w:cs="宋体"/>
                <w:b/>
                <w:kern w:val="0"/>
                <w:sz w:val="24"/>
              </w:rPr>
            </w:pPr>
            <w:r>
              <w:rPr>
                <w:rFonts w:hint="eastAsia" w:ascii="宋体" w:hAnsi="宋体" w:cs="宋体"/>
                <w:b/>
                <w:kern w:val="0"/>
                <w:sz w:val="24"/>
              </w:rPr>
              <w:t>1.投标（响应）报价低于全部通过符合性审查供应商投标（响应）报价平均值50%的，即投标（响应）报价&lt;全部通过符合性审查供应商投标（响应）报价平均值×50%； </w:t>
            </w:r>
          </w:p>
          <w:p w14:paraId="2C74B4E6">
            <w:pPr>
              <w:spacing w:line="240" w:lineRule="auto"/>
              <w:rPr>
                <w:rFonts w:hint="eastAsia" w:ascii="宋体" w:hAnsi="宋体" w:cs="宋体"/>
                <w:b/>
                <w:kern w:val="0"/>
                <w:sz w:val="24"/>
              </w:rPr>
            </w:pPr>
            <w:r>
              <w:rPr>
                <w:rFonts w:hint="eastAsia" w:ascii="宋体" w:hAnsi="宋体" w:cs="宋体"/>
                <w:b/>
                <w:kern w:val="0"/>
                <w:sz w:val="24"/>
              </w:rPr>
              <w:t>2.投标（响应）报价低于通过符合性审查的次低报价供应商投标（响应）报价50%的，即投标（响应）报价&lt;通过符合性审查的次低报价供应商投标（响应）报价×50%； </w:t>
            </w:r>
          </w:p>
          <w:p w14:paraId="337D22B3">
            <w:pPr>
              <w:spacing w:line="240" w:lineRule="auto"/>
              <w:rPr>
                <w:rFonts w:hint="eastAsia" w:ascii="宋体" w:hAnsi="宋体" w:cs="宋体"/>
                <w:b/>
                <w:kern w:val="0"/>
                <w:sz w:val="24"/>
              </w:rPr>
            </w:pPr>
            <w:r>
              <w:rPr>
                <w:rFonts w:hint="eastAsia" w:ascii="宋体" w:hAnsi="宋体" w:cs="宋体"/>
                <w:b/>
                <w:kern w:val="0"/>
                <w:sz w:val="24"/>
              </w:rPr>
              <w:t>3.投标（响应）报价低于采购项目最高限价45%的，即投标（响应）报价&lt;采购项目最高限价×45%； 4.评审委员会基于专业判断，认为供应商报价过低，有可能影响产品质量或者不能诚信履约的其他情形。 </w:t>
            </w:r>
          </w:p>
          <w:p w14:paraId="73FEC4D5">
            <w:pPr>
              <w:spacing w:line="240" w:lineRule="auto"/>
              <w:rPr>
                <w:rFonts w:hint="eastAsia" w:ascii="宋体" w:hAnsi="宋体" w:cs="宋体"/>
                <w:b/>
                <w:kern w:val="0"/>
                <w:sz w:val="24"/>
              </w:rPr>
            </w:pPr>
            <w:r>
              <w:rPr>
                <w:rFonts w:hint="eastAsia" w:ascii="宋体" w:hAnsi="宋体" w:cs="宋体"/>
                <w:b/>
                <w:kern w:val="0"/>
                <w:sz w:val="24"/>
              </w:rPr>
              <w:t>采购人可以结合具体项目实际情况，提高上述第1项至第3项中启动异常低价投标（响应）审查的数值标准，但是最高不得超过65%。 </w:t>
            </w:r>
          </w:p>
          <w:p w14:paraId="5FAA4A07">
            <w:pPr>
              <w:spacing w:line="240" w:lineRule="auto"/>
              <w:rPr>
                <w:rFonts w:hint="eastAsia" w:ascii="宋体" w:hAnsi="宋体" w:eastAsia="宋体" w:cs="宋体"/>
                <w:color w:val="auto"/>
                <w:kern w:val="0"/>
                <w:sz w:val="24"/>
                <w:highlight w:val="none"/>
                <w:lang w:val="en" w:eastAsia="zh-CN"/>
              </w:rPr>
            </w:pPr>
            <w:r>
              <w:rPr>
                <w:rFonts w:hint="eastAsia" w:ascii="宋体" w:hAnsi="宋体" w:cs="宋体"/>
                <w:b/>
                <w:kern w:val="0"/>
                <w:sz w:val="24"/>
              </w:rPr>
              <w:t>相关法律法规对供应商报价有规定的，从其规定。</w:t>
            </w:r>
          </w:p>
        </w:tc>
      </w:tr>
    </w:tbl>
    <w:p w14:paraId="2E8C621B">
      <w:pPr>
        <w:snapToGrid w:val="0"/>
        <w:spacing w:line="360" w:lineRule="auto"/>
        <w:jc w:val="center"/>
        <w:rPr>
          <w:rFonts w:ascii="宋体" w:hAnsi="宋体" w:cs="宋体"/>
          <w:b/>
          <w:color w:val="auto"/>
          <w:sz w:val="32"/>
          <w:szCs w:val="20"/>
          <w:highlight w:val="none"/>
        </w:rPr>
      </w:pPr>
    </w:p>
    <w:bookmarkEnd w:id="10"/>
    <w:p w14:paraId="3A63F5E7">
      <w:pPr>
        <w:rPr>
          <w:rFonts w:hint="eastAsia" w:ascii="宋体" w:hAnsi="宋体" w:cs="宋体"/>
          <w:b/>
          <w:color w:val="auto"/>
          <w:sz w:val="32"/>
          <w:szCs w:val="20"/>
          <w:highlight w:val="none"/>
        </w:rPr>
      </w:pPr>
      <w:bookmarkStart w:id="11" w:name="_Toc164416483"/>
      <w:bookmarkStart w:id="12" w:name="第三部分"/>
      <w:r>
        <w:rPr>
          <w:rFonts w:hint="eastAsia" w:ascii="宋体" w:hAnsi="宋体" w:cs="宋体"/>
          <w:b/>
          <w:color w:val="auto"/>
          <w:sz w:val="32"/>
          <w:szCs w:val="20"/>
          <w:highlight w:val="none"/>
        </w:rPr>
        <w:br w:type="page"/>
      </w:r>
    </w:p>
    <w:p w14:paraId="75264CA2">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56B79E12">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0B2D25F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1874DAD6">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452AA1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7D0D8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7719B6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25340D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0F6878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E8537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12A4C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79F2398D">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174331A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134CA64D">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29B8521C">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51ADA5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358A0B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FE2BED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5958D2A">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4D267C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E520B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45D5B39E">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2CE230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46AAD4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1556AA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7862C9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78CC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0CE372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7C7E74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2DB10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3663ABCB">
      <w:pPr>
        <w:pStyle w:val="3"/>
        <w:adjustRightInd w:val="0"/>
        <w:ind w:left="0"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3097E8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EE38953">
      <w:pPr>
        <w:spacing w:line="360" w:lineRule="auto"/>
        <w:ind w:firstLine="240" w:firstLineChars="100"/>
        <w:rPr>
          <w:rFonts w:hint="eastAsia" w:ascii="宋体" w:hAnsi="宋体" w:eastAsia="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eastAsia="宋体" w:cs="宋体"/>
          <w:b/>
          <w:color w:val="auto"/>
          <w:sz w:val="24"/>
          <w:highlight w:val="none"/>
        </w:rPr>
        <w:t>、补偿救济</w:t>
      </w:r>
    </w:p>
    <w:p w14:paraId="6F1AE62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02F5A9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ACB7464">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1C00706">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053F4E11">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4DB81FF4">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6521B6BF">
      <w:pPr>
        <w:pStyle w:val="1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593C149A">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34CBB85F">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0C727DD6">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3E3EAF25">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2486A27E">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4D239430">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6C90EC9C">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5D64CD02">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35E9E5F8">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CE89DCF">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13D330D2">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6BAEB4E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63F18984">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2680FC7B">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3B98A2A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0B604195">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245CA2E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65D7F310">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700A975D">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p>
    <w:p w14:paraId="712FF852">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54AEF82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22C34A00">
      <w:pPr>
        <w:pStyle w:val="889"/>
        <w:shd w:val="clear" w:color="auto" w:fill="FFFFFF"/>
        <w:snapToGrid w:val="0"/>
        <w:spacing w:after="240" w:afterAutospacing="0" w:line="360" w:lineRule="auto"/>
        <w:ind w:firstLine="400"/>
        <w:contextualSpacing/>
        <w:rPr>
          <w:rFonts w:hint="eastAsia"/>
          <w:color w:val="auto"/>
          <w:highlight w:val="none"/>
        </w:rPr>
      </w:pPr>
    </w:p>
    <w:p w14:paraId="72BB4CF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00B71198">
      <w:pPr>
        <w:pStyle w:val="131"/>
        <w:snapToGrid w:val="0"/>
        <w:spacing w:before="0"/>
        <w:ind w:firstLine="360"/>
        <w:rPr>
          <w:rFonts w:ascii="宋体" w:hAnsi="宋体" w:cs="宋体"/>
          <w:color w:val="auto"/>
          <w:sz w:val="18"/>
          <w:szCs w:val="18"/>
          <w:highlight w:val="none"/>
        </w:rPr>
      </w:pPr>
    </w:p>
    <w:p w14:paraId="60847ABF">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4B83C9F8">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743FBF41">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448832F7">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40208193">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3DECB49D">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7B107D15">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7FEA5162">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4C8291B4">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196C0D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455F09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6177C23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64AD250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BB4D946">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53A42102">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11640B7F">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FE5694F">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67BCB54C">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04728D9E">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10177369">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617BD70F">
      <w:pPr>
        <w:pStyle w:val="1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37DA2D84">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39107709">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699A92E7">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693E5C2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5B3DB47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03F8D47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w:t>
      </w:r>
    </w:p>
    <w:p w14:paraId="208560E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09013B6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6AD56734">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3A185A5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0B74C80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279A306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13E7F7D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DDBD84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3B9291F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1A42F8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5AAD2E4">
      <w:pPr>
        <w:snapToGrid w:val="0"/>
        <w:spacing w:line="360" w:lineRule="auto"/>
        <w:ind w:firstLine="960" w:firstLineChars="400"/>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601FEED4">
      <w:pPr>
        <w:snapToGrid w:val="0"/>
        <w:spacing w:line="360" w:lineRule="auto"/>
        <w:ind w:firstLine="960" w:firstLineChars="4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11.2.9</w:t>
      </w:r>
      <w:r>
        <w:rPr>
          <w:rFonts w:hint="eastAsia" w:ascii="宋体" w:hAnsi="宋体" w:cs="宋体"/>
          <w:sz w:val="24"/>
        </w:rPr>
        <w:t>代理服务费的承诺书</w:t>
      </w:r>
      <w:r>
        <w:rPr>
          <w:rFonts w:hint="eastAsia" w:ascii="宋体" w:hAnsi="宋体" w:cs="宋体"/>
          <w:sz w:val="24"/>
          <w:lang w:eastAsia="zh-CN"/>
        </w:rPr>
        <w:t>。</w:t>
      </w:r>
    </w:p>
    <w:p w14:paraId="737ABAA2">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1C3D93F9">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2BDB0CA6">
      <w:pPr>
        <w:pStyle w:val="3"/>
        <w:snapToGrid w:val="0"/>
        <w:spacing w:line="360" w:lineRule="auto"/>
        <w:ind w:left="0" w:firstLine="960" w:firstLineChars="4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highlight w:val="none"/>
        </w:rPr>
        <w:t>中小企业声明函。</w:t>
      </w:r>
    </w:p>
    <w:p w14:paraId="1DC36947">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768BB57C">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0F02E42D">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30120E37">
      <w:pPr>
        <w:pStyle w:val="131"/>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5599684A">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44919A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99FF374">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16CD10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3B93CB6D">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286B4080">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F65C72E">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348BCF79">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5BCDF5B">
      <w:pPr>
        <w:pStyle w:val="131"/>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D029645">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C0FF7C3">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1CFFFBD8">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42A04E0C">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45B22E94">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color w:val="auto"/>
          <w:sz w:val="24"/>
          <w:szCs w:val="24"/>
          <w:highlight w:val="none"/>
          <w:lang w:eastAsia="zh-CN"/>
        </w:rPr>
        <w:t>）</w:t>
      </w:r>
      <w:r>
        <w:rPr>
          <w:rFonts w:hint="eastAsia" w:hAnsi="宋体" w:cs="宋体"/>
          <w:color w:val="auto"/>
          <w:sz w:val="24"/>
          <w:szCs w:val="24"/>
          <w:highlight w:val="none"/>
        </w:rPr>
        <w:t>。</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17435F7A">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343F0A03">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251A884F">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6DB60A0B">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074E5FFB">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77669CCC">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4E78CE15">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159A5936">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0B27342F">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2B060547">
      <w:pPr>
        <w:pStyle w:val="131"/>
        <w:spacing w:before="0"/>
        <w:ind w:firstLine="643"/>
        <w:rPr>
          <w:rFonts w:ascii="宋体" w:hAnsi="宋体" w:cs="宋体"/>
          <w:b/>
          <w:color w:val="auto"/>
          <w:sz w:val="32"/>
          <w:highlight w:val="none"/>
        </w:rPr>
      </w:pPr>
    </w:p>
    <w:p w14:paraId="25870E80">
      <w:pPr>
        <w:pStyle w:val="131"/>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1D3F69FE">
      <w:pPr>
        <w:pStyle w:val="557"/>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6B6042C8">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75EC8592">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2E1B55E9">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7CBE3002">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5023066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7ECDA655">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58AA200A">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3869969E">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56CCE8D2">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385E7C5D">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、中国政府采购网(www.ccgp.gov.cn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渠道查询投标人接受资格时的信用记录。</w:t>
      </w:r>
    </w:p>
    <w:p w14:paraId="1F25F72F">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5987AE4E">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7E3A0A42">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18D73C6">
      <w:pPr>
        <w:pStyle w:val="131"/>
        <w:spacing w:before="0"/>
        <w:ind w:firstLine="0" w:firstLineChars="0"/>
        <w:rPr>
          <w:rFonts w:ascii="宋体" w:hAnsi="宋体" w:cs="宋体"/>
          <w:color w:val="auto"/>
          <w:kern w:val="0"/>
          <w:szCs w:val="24"/>
          <w:highlight w:val="none"/>
        </w:rPr>
      </w:pPr>
    </w:p>
    <w:p w14:paraId="46D47E96">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11FD2421">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0DC5F1C0">
      <w:pPr>
        <w:spacing w:line="360" w:lineRule="auto"/>
        <w:rPr>
          <w:rFonts w:ascii="宋体" w:hAnsi="宋体" w:cs="宋体"/>
          <w:b/>
          <w:color w:val="auto"/>
          <w:sz w:val="24"/>
          <w:highlight w:val="none"/>
        </w:rPr>
      </w:pPr>
    </w:p>
    <w:p w14:paraId="53E6E205">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1F2C2BB3">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724C3DA6">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5FA0F692">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76E71B6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681D7DB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63BD62E0">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7BEABF55">
      <w:pPr>
        <w:pStyle w:val="131"/>
        <w:adjustRightInd w:val="0"/>
        <w:snapToGrid w:val="0"/>
        <w:spacing w:before="0"/>
        <w:ind w:firstLine="482" w:firstLineChars="200"/>
        <w:rPr>
          <w:rStyle w:val="78"/>
          <w:color w:val="auto"/>
          <w:highlight w:val="none"/>
        </w:rPr>
      </w:pPr>
      <w:r>
        <w:rPr>
          <w:rFonts w:hint="eastAsia" w:ascii="宋体" w:hAnsi="宋体" w:cs="宋体"/>
          <w:b/>
          <w:color w:val="auto"/>
          <w:szCs w:val="24"/>
          <w:highlight w:val="none"/>
          <w:lang w:val="en-US" w:eastAsia="zh-CN"/>
        </w:rPr>
        <w:t xml:space="preserve">23.4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45E8376F">
      <w:pPr>
        <w:pStyle w:val="80"/>
        <w:rPr>
          <w:color w:val="auto"/>
          <w:highlight w:val="none"/>
        </w:rPr>
      </w:pPr>
    </w:p>
    <w:p w14:paraId="618C358E">
      <w:pPr>
        <w:snapToGrid w:val="0"/>
        <w:spacing w:line="360" w:lineRule="auto"/>
        <w:ind w:left="120" w:leftChars="57" w:firstLine="482" w:firstLineChars="150"/>
        <w:jc w:val="center"/>
        <w:rPr>
          <w:rFonts w:ascii="宋体" w:hAnsi="宋体" w:cs="宋体"/>
          <w:b/>
          <w:color w:val="auto"/>
          <w:sz w:val="32"/>
          <w:highlight w:val="none"/>
        </w:rPr>
      </w:pPr>
    </w:p>
    <w:p w14:paraId="0F58D648">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3BB7C477">
      <w:pPr>
        <w:pStyle w:val="24"/>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216AA38D">
      <w:pPr>
        <w:pStyle w:val="24"/>
        <w:spacing w:line="360" w:lineRule="auto"/>
        <w:ind w:left="479" w:hanging="479" w:hangingChars="199"/>
        <w:rPr>
          <w:rFonts w:cs="宋体"/>
          <w:b/>
          <w:color w:val="auto"/>
          <w:highlight w:val="none"/>
        </w:rPr>
      </w:pPr>
      <w:r>
        <w:rPr>
          <w:rFonts w:hint="eastAsia" w:cs="宋体"/>
          <w:b/>
          <w:color w:val="auto"/>
          <w:highlight w:val="none"/>
        </w:rPr>
        <w:t>25. 合同的签订</w:t>
      </w:r>
    </w:p>
    <w:p w14:paraId="6670DD70">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554482F7">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12A0FF6F">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6FE73C7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0E217D3C">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686FF9F0">
      <w:pPr>
        <w:pStyle w:val="24"/>
        <w:spacing w:line="360" w:lineRule="auto"/>
        <w:ind w:left="479" w:hanging="479" w:hangingChars="199"/>
        <w:rPr>
          <w:rFonts w:cs="宋体"/>
          <w:b/>
          <w:color w:val="auto"/>
          <w:highlight w:val="none"/>
        </w:rPr>
      </w:pPr>
      <w:r>
        <w:rPr>
          <w:rFonts w:hint="eastAsia" w:cs="宋体"/>
          <w:b/>
          <w:color w:val="auto"/>
          <w:highlight w:val="none"/>
        </w:rPr>
        <w:t>26. 履约保证金</w:t>
      </w:r>
    </w:p>
    <w:p w14:paraId="5155207B">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hint="eastAsia" w:ascii="宋体" w:hAnsi="宋体" w:cs="宋体"/>
          <w:color w:val="auto"/>
          <w:sz w:val="24"/>
          <w:highlight w:val="none"/>
          <w:lang w:val="en-US" w:eastAsia="zh-CN"/>
        </w:rPr>
        <w:t>0.1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068AD04">
      <w:pPr>
        <w:pStyle w:val="3"/>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3C939F7B">
      <w:pPr>
        <w:pStyle w:val="3"/>
        <w:rPr>
          <w:color w:val="auto"/>
          <w:highlight w:val="none"/>
        </w:rPr>
      </w:pPr>
      <w:r>
        <w:rPr>
          <w:rFonts w:ascii="宋体" w:hAnsi="宋体" w:eastAsia="宋体"/>
          <w:b/>
          <w:bCs/>
          <w:color w:val="auto"/>
          <w:sz w:val="24"/>
          <w:szCs w:val="32"/>
          <w:highlight w:val="none"/>
          <w:lang w:val="en-US"/>
        </w:rPr>
        <w:t>27.预付款</w:t>
      </w:r>
    </w:p>
    <w:p w14:paraId="02CAFB67">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3E18607F">
      <w:pPr>
        <w:rPr>
          <w:color w:val="auto"/>
          <w:highlight w:val="none"/>
        </w:rPr>
      </w:pPr>
    </w:p>
    <w:p w14:paraId="6CF853D2">
      <w:pPr>
        <w:snapToGrid w:val="0"/>
        <w:spacing w:line="360" w:lineRule="auto"/>
        <w:ind w:firstLine="3357" w:firstLineChars="1045"/>
        <w:rPr>
          <w:rFonts w:ascii="宋体" w:hAnsi="宋体" w:cs="宋体"/>
          <w:b/>
          <w:color w:val="auto"/>
          <w:sz w:val="32"/>
          <w:highlight w:val="none"/>
        </w:rPr>
      </w:pPr>
    </w:p>
    <w:p w14:paraId="3C901466">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26658814">
      <w:pPr>
        <w:pStyle w:val="131"/>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1B73C079">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3E46E7D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47FAC8C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5FD1FB3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0C80746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45181751">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F4F139C">
      <w:pPr>
        <w:tabs>
          <w:tab w:val="left" w:pos="0"/>
        </w:tabs>
        <w:spacing w:line="360" w:lineRule="auto"/>
        <w:ind w:firstLine="480"/>
        <w:rPr>
          <w:rFonts w:ascii="宋体" w:hAnsi="宋体" w:cs="宋体"/>
          <w:color w:val="auto"/>
          <w:sz w:val="24"/>
          <w:highlight w:val="none"/>
        </w:rPr>
      </w:pPr>
    </w:p>
    <w:p w14:paraId="652757CD">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3E32013D">
      <w:pPr>
        <w:pStyle w:val="24"/>
        <w:spacing w:line="360" w:lineRule="auto"/>
        <w:ind w:firstLine="0" w:firstLineChars="0"/>
        <w:rPr>
          <w:rFonts w:cs="宋体"/>
          <w:b/>
          <w:color w:val="auto"/>
          <w:highlight w:val="none"/>
        </w:rPr>
      </w:pPr>
      <w:r>
        <w:rPr>
          <w:rFonts w:hint="eastAsia" w:cs="宋体"/>
          <w:b/>
          <w:color w:val="auto"/>
          <w:highlight w:val="none"/>
        </w:rPr>
        <w:t>30.验收</w:t>
      </w:r>
    </w:p>
    <w:p w14:paraId="76A3AA3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9E4F8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1658F91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5485AF">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6515D65">
      <w:pPr>
        <w:pStyle w:val="3"/>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411DFA42">
      <w:pPr>
        <w:pStyle w:val="80"/>
        <w:rPr>
          <w:color w:val="auto"/>
          <w:highlight w:val="none"/>
        </w:rPr>
      </w:pPr>
    </w:p>
    <w:bookmarkEnd w:id="13"/>
    <w:p w14:paraId="4A7945A2">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5" w:name="_Hlt75236101"/>
      <w:bookmarkEnd w:id="15"/>
      <w:bookmarkStart w:id="16" w:name="_Hlt75236290"/>
      <w:bookmarkEnd w:id="16"/>
      <w:bookmarkStart w:id="17" w:name="_Hlt68072998"/>
      <w:bookmarkEnd w:id="17"/>
      <w:bookmarkStart w:id="18" w:name="_Hlt75236011"/>
      <w:bookmarkEnd w:id="18"/>
      <w:bookmarkStart w:id="19" w:name="_Hlt68073093"/>
      <w:bookmarkEnd w:id="19"/>
      <w:bookmarkStart w:id="20" w:name="_Hlt68072990"/>
      <w:bookmarkEnd w:id="20"/>
      <w:bookmarkStart w:id="21" w:name="_Hlt68057669"/>
      <w:bookmarkEnd w:id="21"/>
      <w:bookmarkStart w:id="22" w:name="_Hlt74729768"/>
      <w:bookmarkEnd w:id="22"/>
      <w:bookmarkStart w:id="23" w:name="_Hlt68403820"/>
      <w:bookmarkEnd w:id="23"/>
      <w:bookmarkStart w:id="24" w:name="_Hlt74714665"/>
      <w:bookmarkEnd w:id="24"/>
      <w:bookmarkStart w:id="25" w:name="_Hlt74707468"/>
      <w:bookmarkEnd w:id="25"/>
      <w:bookmarkStart w:id="26" w:name="_Hlt74730295"/>
      <w:bookmarkEnd w:id="26"/>
    </w:p>
    <w:bookmarkEnd w:id="11"/>
    <w:bookmarkEnd w:id="12"/>
    <w:p w14:paraId="4C17EAF8">
      <w:pPr>
        <w:spacing w:line="360" w:lineRule="auto"/>
        <w:jc w:val="center"/>
        <w:outlineLvl w:val="0"/>
        <w:rPr>
          <w:rFonts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   采购需求</w:t>
      </w:r>
    </w:p>
    <w:p w14:paraId="55EF7366">
      <w:pPr>
        <w:pStyle w:val="2"/>
        <w:spacing w:line="440" w:lineRule="exact"/>
        <w:ind w:left="0" w:firstLine="482" w:firstLineChars="200"/>
        <w:jc w:val="both"/>
        <w:rPr>
          <w:bCs w:val="0"/>
          <w:sz w:val="24"/>
          <w:szCs w:val="24"/>
        </w:rPr>
      </w:pPr>
      <w:r>
        <w:rPr>
          <w:rFonts w:hint="eastAsia"/>
          <w:bCs w:val="0"/>
          <w:sz w:val="24"/>
          <w:szCs w:val="24"/>
        </w:rPr>
        <w:t>一、项目概况</w:t>
      </w:r>
    </w:p>
    <w:p w14:paraId="1538B73B">
      <w:pPr>
        <w:spacing w:line="440" w:lineRule="exact"/>
        <w:ind w:firstLine="480" w:firstLineChars="200"/>
        <w:rPr>
          <w:b w:val="0"/>
          <w:sz w:val="24"/>
          <w:szCs w:val="24"/>
        </w:rPr>
      </w:pPr>
      <w:r>
        <w:rPr>
          <w:rFonts w:hint="eastAsia" w:ascii="宋体" w:hAnsi="宋体" w:eastAsia="宋体" w:cs="宋体"/>
          <w:b w:val="0"/>
          <w:sz w:val="24"/>
          <w:szCs w:val="24"/>
        </w:rPr>
        <w:t>1、项目名称：</w:t>
      </w:r>
      <w:r>
        <w:rPr>
          <w:rFonts w:hint="eastAsia" w:ascii="宋体" w:hAnsi="宋体" w:eastAsia="宋体" w:cs="宋体"/>
          <w:color w:val="auto"/>
          <w:sz w:val="24"/>
          <w:szCs w:val="24"/>
          <w:lang w:eastAsia="zh-CN"/>
        </w:rPr>
        <w:t>桐庐县公路治超非现场执法</w:t>
      </w:r>
      <w:r>
        <w:rPr>
          <w:rFonts w:hint="eastAsia" w:ascii="宋体" w:hAnsi="宋体" w:eastAsia="宋体" w:cs="宋体"/>
          <w:color w:val="FF0000"/>
          <w:sz w:val="24"/>
          <w:szCs w:val="24"/>
          <w:lang w:val="en-US" w:eastAsia="zh-CN"/>
        </w:rPr>
        <w:t>8</w:t>
      </w:r>
      <w:r>
        <w:rPr>
          <w:rFonts w:hint="eastAsia" w:ascii="宋体" w:hAnsi="宋体" w:eastAsia="宋体" w:cs="宋体"/>
          <w:color w:val="auto"/>
          <w:sz w:val="24"/>
          <w:szCs w:val="24"/>
          <w:lang w:eastAsia="zh-CN"/>
        </w:rPr>
        <w:t>处点位两年维保项目</w:t>
      </w:r>
    </w:p>
    <w:p w14:paraId="46480FE8">
      <w:pPr>
        <w:pStyle w:val="2"/>
        <w:spacing w:line="440" w:lineRule="exact"/>
        <w:ind w:left="0" w:firstLine="480" w:firstLineChars="200"/>
        <w:jc w:val="both"/>
        <w:rPr>
          <w:rFonts w:hint="eastAsia" w:eastAsia="仿宋"/>
          <w:b w:val="0"/>
          <w:sz w:val="24"/>
          <w:szCs w:val="24"/>
          <w:lang w:eastAsia="zh-CN"/>
        </w:rPr>
      </w:pPr>
      <w:r>
        <w:rPr>
          <w:rFonts w:hint="eastAsia"/>
          <w:b w:val="0"/>
          <w:sz w:val="24"/>
          <w:szCs w:val="24"/>
        </w:rPr>
        <w:t>2、运维服务期：</w:t>
      </w:r>
      <w:r>
        <w:rPr>
          <w:rFonts w:hint="eastAsia" w:ascii="宋体" w:hAnsi="宋体" w:eastAsia="宋体" w:cs="宋体"/>
          <w:b w:val="0"/>
          <w:bCs w:val="0"/>
          <w:color w:val="auto"/>
          <w:kern w:val="2"/>
          <w:sz w:val="24"/>
          <w:szCs w:val="24"/>
          <w:lang w:val="en-US" w:eastAsia="zh-CN" w:bidi="ar-SA"/>
        </w:rPr>
        <w:t>合同签订之日起2年。</w:t>
      </w:r>
    </w:p>
    <w:p w14:paraId="47DF1D0B">
      <w:pPr>
        <w:numPr>
          <w:ilvl w:val="0"/>
          <w:numId w:val="0"/>
        </w:numPr>
        <w:spacing w:line="440" w:lineRule="exact"/>
        <w:ind w:left="0" w:leftChars="0" w:firstLine="480" w:firstLineChars="200"/>
        <w:jc w:val="left"/>
        <w:rPr>
          <w:rFonts w:hint="eastAsia" w:ascii="宋体" w:hAnsi="宋体" w:eastAsia="宋体"/>
          <w:b/>
          <w:bCs/>
          <w:color w:val="FF0000"/>
          <w:szCs w:val="21"/>
          <w:lang w:eastAsia="zh-CN"/>
        </w:rPr>
      </w:pPr>
      <w:r>
        <w:rPr>
          <w:rFonts w:hint="eastAsia"/>
          <w:bCs w:val="0"/>
          <w:sz w:val="24"/>
          <w:szCs w:val="24"/>
        </w:rPr>
        <w:t>二、项目服务内容及要求</w:t>
      </w:r>
    </w:p>
    <w:p w14:paraId="0D54214B">
      <w:pPr>
        <w:pStyle w:val="4"/>
        <w:keepNext w:val="0"/>
        <w:keepLines w:val="0"/>
        <w:tabs>
          <w:tab w:val="left" w:pos="720"/>
          <w:tab w:val="clear" w:pos="900"/>
        </w:tabs>
        <w:spacing w:line="440" w:lineRule="exact"/>
        <w:ind w:left="0" w:firstLine="480" w:firstLineChars="200"/>
        <w:rPr>
          <w:rFonts w:hint="default" w:ascii="仿宋" w:hAnsi="仿宋" w:eastAsia="仿宋" w:cs="仿宋"/>
          <w:b/>
          <w:bCs w:val="0"/>
          <w:color w:val="auto"/>
          <w:sz w:val="24"/>
          <w:szCs w:val="24"/>
          <w:lang w:val="en-US" w:eastAsia="zh-CN"/>
        </w:rPr>
      </w:pPr>
      <w:r>
        <w:rPr>
          <w:rFonts w:hint="eastAsia"/>
          <w:b w:val="0"/>
          <w:color w:val="auto"/>
          <w:sz w:val="24"/>
          <w:szCs w:val="24"/>
        </w:rPr>
        <w:t>1</w:t>
      </w:r>
      <w:r>
        <w:rPr>
          <w:b w:val="0"/>
          <w:color w:val="auto"/>
          <w:sz w:val="24"/>
          <w:szCs w:val="24"/>
        </w:rPr>
        <w:t>.</w:t>
      </w:r>
      <w:r>
        <w:rPr>
          <w:rFonts w:hint="eastAsia"/>
          <w:b w:val="0"/>
          <w:color w:val="auto"/>
          <w:sz w:val="24"/>
          <w:szCs w:val="24"/>
        </w:rPr>
        <w:t>本次运维服务内容包括</w:t>
      </w:r>
      <w:r>
        <w:rPr>
          <w:rFonts w:hint="eastAsia"/>
          <w:b w:val="0"/>
          <w:color w:val="auto"/>
          <w:sz w:val="24"/>
          <w:szCs w:val="24"/>
          <w:lang w:val="en-US" w:eastAsia="zh-CN"/>
        </w:rPr>
        <w:t>S208（桐千线）桐庐方向K6+400，X506（徐七线）徐家埠、七里泷方向K16+600，S208（桐千线）桐庐方向K19+900，S215（安洞线）安吉方向K1+750，S215（安洞线）洞头方向K0+150，S302（新淳线）淳安方向K16+500，S305（富衢线）富阳方向K55+200，S305（富衢线）衢州方向K54+700等8处非现场治超点位两年维保，共计18个车道的全包运维服务，</w:t>
      </w:r>
      <w:r>
        <w:rPr>
          <w:rFonts w:hint="eastAsia"/>
          <w:b w:val="0"/>
          <w:color w:val="auto"/>
          <w:sz w:val="24"/>
          <w:szCs w:val="24"/>
        </w:rPr>
        <w:t>包括但不限于点位维保、故障排除、设备维修、例行巡检、评估优化、调试升级</w:t>
      </w:r>
      <w:r>
        <w:rPr>
          <w:rFonts w:hint="eastAsia"/>
          <w:b w:val="0"/>
          <w:color w:val="auto"/>
          <w:sz w:val="24"/>
          <w:szCs w:val="24"/>
          <w:lang w:val="en-US" w:eastAsia="zh-CN"/>
        </w:rPr>
        <w:t>和</w:t>
      </w:r>
      <w:r>
        <w:rPr>
          <w:rFonts w:hint="eastAsia"/>
          <w:b w:val="0"/>
          <w:color w:val="auto"/>
          <w:sz w:val="24"/>
          <w:szCs w:val="24"/>
        </w:rPr>
        <w:t>维保期内老化损坏设备的更新等，确保点位正常运行</w:t>
      </w:r>
      <w:r>
        <w:rPr>
          <w:rFonts w:hint="eastAsia"/>
          <w:b w:val="0"/>
          <w:color w:val="auto"/>
          <w:sz w:val="24"/>
          <w:szCs w:val="24"/>
          <w:lang w:eastAsia="zh-CN"/>
        </w:rPr>
        <w:t>，</w:t>
      </w:r>
      <w:r>
        <w:rPr>
          <w:rFonts w:hint="eastAsia"/>
          <w:b w:val="0"/>
          <w:color w:val="auto"/>
          <w:sz w:val="24"/>
          <w:szCs w:val="24"/>
          <w:lang w:val="en-US" w:eastAsia="zh-CN"/>
        </w:rPr>
        <w:t>以及数据的实时、准确、完整。</w:t>
      </w:r>
    </w:p>
    <w:p w14:paraId="3BDF47CA">
      <w:pPr>
        <w:pStyle w:val="258"/>
        <w:spacing w:line="440" w:lineRule="exact"/>
        <w:ind w:firstLine="480"/>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2.提供7*24h应急保障，根据事件严重程度和紧急程度，在相应的规定时限内解决。</w:t>
      </w:r>
    </w:p>
    <w:p w14:paraId="7347A8B4">
      <w:pPr>
        <w:pStyle w:val="258"/>
        <w:adjustRightInd w:val="0"/>
        <w:snapToGrid w:val="0"/>
        <w:spacing w:line="440" w:lineRule="exact"/>
        <w:ind w:firstLine="480"/>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3.每月点位非现场执法系统正常运行天数不低于25天。根据系统运行情况进行不定期的检测与调优。每月低于25天的，每车道每少1天扣500元。</w:t>
      </w:r>
    </w:p>
    <w:p w14:paraId="0FEF51B0">
      <w:pPr>
        <w:pStyle w:val="258"/>
        <w:adjustRightInd w:val="0"/>
        <w:snapToGrid w:val="0"/>
        <w:spacing w:line="440" w:lineRule="exact"/>
        <w:ind w:firstLine="480"/>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4.每月开展1次例行巡查，巡查记录不足的每车道每少1次扣500元。</w:t>
      </w:r>
    </w:p>
    <w:p w14:paraId="494B0055">
      <w:pPr>
        <w:pStyle w:val="258"/>
        <w:adjustRightInd w:val="0"/>
        <w:snapToGrid w:val="0"/>
        <w:spacing w:line="440" w:lineRule="exact"/>
        <w:ind w:firstLine="480"/>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5.出现故障30分钟响应，2小时内提交故障处理方案，轻微问题当天解决，复杂问题7天内解决，故障排查需设施设备配货的15天内解决，每车道每超1天扣500元。</w:t>
      </w:r>
    </w:p>
    <w:p w14:paraId="1E5415B3">
      <w:pPr>
        <w:pStyle w:val="258"/>
        <w:adjustRightInd w:val="0"/>
        <w:snapToGrid w:val="0"/>
        <w:spacing w:line="440" w:lineRule="exact"/>
        <w:ind w:firstLine="480"/>
        <w:rPr>
          <w:rFonts w:hint="eastAsia" w:ascii="Times New Roman" w:hAnsi="Times New Roman" w:eastAsia="宋体" w:cs="Times New Roman"/>
          <w:b w:val="0"/>
          <w:bCs/>
          <w:color w:val="FF0000"/>
          <w:kern w:val="2"/>
          <w:sz w:val="24"/>
          <w:szCs w:val="24"/>
          <w:lang w:val="en-US" w:eastAsia="zh-CN" w:bidi="ar-SA"/>
        </w:rPr>
      </w:pPr>
      <w:r>
        <w:rPr>
          <w:rFonts w:hint="eastAsia" w:ascii="Times New Roman" w:hAnsi="Times New Roman" w:eastAsia="宋体" w:cs="Times New Roman"/>
          <w:b w:val="0"/>
          <w:bCs/>
          <w:color w:val="FF0000"/>
          <w:kern w:val="2"/>
          <w:sz w:val="24"/>
          <w:szCs w:val="24"/>
          <w:lang w:val="en-US" w:eastAsia="zh-CN" w:bidi="ar-SA"/>
        </w:rPr>
        <w:t>6.需完成7个</w:t>
      </w:r>
      <w:r>
        <w:rPr>
          <w:rFonts w:hint="eastAsia" w:eastAsia="宋体" w:cs="Times New Roman"/>
          <w:b w:val="0"/>
          <w:bCs/>
          <w:color w:val="FF0000"/>
          <w:kern w:val="2"/>
          <w:sz w:val="24"/>
          <w:szCs w:val="24"/>
          <w:lang w:val="en-US" w:eastAsia="zh-CN" w:bidi="ar-SA"/>
        </w:rPr>
        <w:t>以上</w:t>
      </w:r>
      <w:r>
        <w:rPr>
          <w:rFonts w:hint="eastAsia" w:ascii="Times New Roman" w:hAnsi="Times New Roman" w:eastAsia="宋体" w:cs="Times New Roman"/>
          <w:b w:val="0"/>
          <w:bCs/>
          <w:color w:val="FF0000"/>
          <w:kern w:val="2"/>
          <w:sz w:val="24"/>
          <w:szCs w:val="24"/>
          <w:lang w:val="en-US" w:eastAsia="zh-CN" w:bidi="ar-SA"/>
        </w:rPr>
        <w:t>车道的称重设备整体更新。中标</w:t>
      </w:r>
      <w:r>
        <w:rPr>
          <w:rFonts w:hint="eastAsia" w:eastAsia="宋体" w:cs="Times New Roman"/>
          <w:b w:val="0"/>
          <w:bCs/>
          <w:color w:val="FF0000"/>
          <w:kern w:val="2"/>
          <w:sz w:val="24"/>
          <w:szCs w:val="24"/>
          <w:lang w:val="en-US" w:eastAsia="zh-CN" w:bidi="ar-SA"/>
        </w:rPr>
        <w:t>6</w:t>
      </w:r>
      <w:r>
        <w:rPr>
          <w:rFonts w:hint="eastAsia" w:ascii="Times New Roman" w:hAnsi="Times New Roman" w:eastAsia="宋体" w:cs="Times New Roman"/>
          <w:b w:val="0"/>
          <w:bCs/>
          <w:color w:val="FF0000"/>
          <w:kern w:val="2"/>
          <w:sz w:val="24"/>
          <w:szCs w:val="24"/>
          <w:lang w:val="en-US" w:eastAsia="zh-CN" w:bidi="ar-SA"/>
        </w:rPr>
        <w:t>个月内完成</w:t>
      </w:r>
      <w:r>
        <w:rPr>
          <w:rFonts w:hint="eastAsia" w:eastAsia="宋体" w:cs="Times New Roman"/>
          <w:b w:val="0"/>
          <w:bCs/>
          <w:color w:val="FF0000"/>
          <w:kern w:val="2"/>
          <w:sz w:val="24"/>
          <w:szCs w:val="24"/>
          <w:lang w:val="en-US" w:eastAsia="zh-CN" w:bidi="ar-SA"/>
        </w:rPr>
        <w:t>3</w:t>
      </w:r>
      <w:r>
        <w:rPr>
          <w:rFonts w:hint="eastAsia" w:ascii="Times New Roman" w:hAnsi="Times New Roman" w:eastAsia="宋体" w:cs="Times New Roman"/>
          <w:b w:val="0"/>
          <w:bCs/>
          <w:color w:val="FF0000"/>
          <w:kern w:val="2"/>
          <w:sz w:val="24"/>
          <w:szCs w:val="24"/>
          <w:lang w:val="en-US" w:eastAsia="zh-CN" w:bidi="ar-SA"/>
        </w:rPr>
        <w:t>个以上车道的称重设备整体更新，中标12个月内完成7个</w:t>
      </w:r>
      <w:r>
        <w:rPr>
          <w:rFonts w:hint="eastAsia" w:eastAsia="宋体" w:cs="Times New Roman"/>
          <w:b w:val="0"/>
          <w:bCs/>
          <w:color w:val="FF0000"/>
          <w:kern w:val="2"/>
          <w:sz w:val="24"/>
          <w:szCs w:val="24"/>
          <w:lang w:val="en-US" w:eastAsia="zh-CN" w:bidi="ar-SA"/>
        </w:rPr>
        <w:t>以上</w:t>
      </w:r>
      <w:r>
        <w:rPr>
          <w:rFonts w:hint="eastAsia" w:ascii="Times New Roman" w:hAnsi="Times New Roman" w:eastAsia="宋体" w:cs="Times New Roman"/>
          <w:b w:val="0"/>
          <w:bCs/>
          <w:color w:val="FF0000"/>
          <w:kern w:val="2"/>
          <w:sz w:val="24"/>
          <w:szCs w:val="24"/>
          <w:lang w:val="en-US" w:eastAsia="zh-CN" w:bidi="ar-SA"/>
        </w:rPr>
        <w:t>车道的称重设备整体更新。</w:t>
      </w:r>
    </w:p>
    <w:p w14:paraId="7AFDBD00">
      <w:pPr>
        <w:pStyle w:val="258"/>
        <w:adjustRightInd w:val="0"/>
        <w:snapToGrid w:val="0"/>
        <w:spacing w:line="440" w:lineRule="exact"/>
        <w:ind w:firstLine="480"/>
        <w:rPr>
          <w:rFonts w:hint="default" w:ascii="Times New Roman" w:hAnsi="Times New Roman" w:eastAsia="宋体" w:cs="Times New Roman"/>
          <w:b w:val="0"/>
          <w:bCs/>
          <w:color w:val="0000FF"/>
          <w:kern w:val="2"/>
          <w:sz w:val="24"/>
          <w:szCs w:val="24"/>
          <w:lang w:val="en-US" w:eastAsia="zh-CN" w:bidi="ar-SA"/>
        </w:rPr>
      </w:pPr>
      <w:r>
        <w:rPr>
          <w:rFonts w:hint="eastAsia" w:eastAsia="宋体" w:cs="Times New Roman"/>
          <w:b w:val="0"/>
          <w:bCs/>
          <w:color w:val="0000FF"/>
          <w:kern w:val="2"/>
          <w:sz w:val="24"/>
          <w:szCs w:val="24"/>
          <w:lang w:val="en-US" w:eastAsia="zh-CN" w:bidi="ar-SA"/>
        </w:rPr>
        <w:t>7.中标人需每月使用固定重量车辆对辖区内非现场执法点位的地磅进行巡检，并建立巡检台账。</w:t>
      </w:r>
    </w:p>
    <w:p w14:paraId="3A16BB0F">
      <w:pPr>
        <w:pStyle w:val="258"/>
        <w:adjustRightInd w:val="0"/>
        <w:snapToGrid w:val="0"/>
        <w:spacing w:line="440" w:lineRule="exact"/>
        <w:ind w:firstLine="480"/>
        <w:rPr>
          <w:rFonts w:hint="eastAsia" w:ascii="Times New Roman" w:hAnsi="Times New Roman" w:eastAsia="宋体" w:cs="Times New Roman"/>
          <w:b w:val="0"/>
          <w:bCs/>
          <w:color w:val="auto"/>
          <w:kern w:val="2"/>
          <w:sz w:val="24"/>
          <w:szCs w:val="24"/>
          <w:lang w:val="en-US" w:eastAsia="zh-CN" w:bidi="ar-SA"/>
        </w:rPr>
      </w:pPr>
      <w:r>
        <w:rPr>
          <w:rFonts w:hint="eastAsia" w:eastAsia="宋体" w:cs="Times New Roman"/>
          <w:b w:val="0"/>
          <w:bCs/>
          <w:color w:val="auto"/>
          <w:kern w:val="2"/>
          <w:sz w:val="24"/>
          <w:szCs w:val="24"/>
          <w:lang w:val="en-US" w:eastAsia="zh-CN" w:bidi="ar-SA"/>
        </w:rPr>
        <w:t>8</w:t>
      </w:r>
      <w:r>
        <w:rPr>
          <w:rFonts w:hint="eastAsia" w:ascii="Times New Roman" w:hAnsi="Times New Roman" w:eastAsia="宋体" w:cs="Times New Roman"/>
          <w:b w:val="0"/>
          <w:bCs/>
          <w:color w:val="auto"/>
          <w:kern w:val="2"/>
          <w:sz w:val="24"/>
          <w:szCs w:val="24"/>
          <w:lang w:val="en-US" w:eastAsia="zh-CN" w:bidi="ar-SA"/>
        </w:rPr>
        <w:t>.中标人必须保证投标文件中所提供的人员实际参与本项目，原则上不得更换，如有特殊情况要调整的，需事先经采购人确认之后才能调整。</w:t>
      </w:r>
    </w:p>
    <w:p w14:paraId="012EC701">
      <w:pPr>
        <w:pStyle w:val="258"/>
        <w:adjustRightInd w:val="0"/>
        <w:snapToGrid w:val="0"/>
        <w:spacing w:line="440" w:lineRule="exact"/>
        <w:ind w:firstLine="480"/>
        <w:rPr>
          <w:rFonts w:hint="default" w:ascii="Times New Roman" w:hAnsi="Times New Roman" w:eastAsia="宋体" w:cs="Times New Roman"/>
          <w:b w:val="0"/>
          <w:bCs/>
          <w:color w:val="auto"/>
          <w:kern w:val="2"/>
          <w:sz w:val="24"/>
          <w:szCs w:val="24"/>
          <w:lang w:val="en-US" w:eastAsia="zh-CN" w:bidi="ar-SA"/>
        </w:rPr>
      </w:pPr>
      <w:r>
        <w:rPr>
          <w:rFonts w:hint="eastAsia" w:eastAsia="宋体" w:cs="Times New Roman"/>
          <w:b w:val="0"/>
          <w:bCs/>
          <w:color w:val="auto"/>
          <w:kern w:val="2"/>
          <w:sz w:val="24"/>
          <w:szCs w:val="24"/>
          <w:lang w:val="en-US" w:eastAsia="zh-CN" w:bidi="ar-SA"/>
        </w:rPr>
        <w:t>9</w:t>
      </w:r>
      <w:r>
        <w:rPr>
          <w:rFonts w:hint="eastAsia" w:ascii="Times New Roman" w:hAnsi="Times New Roman" w:eastAsia="宋体" w:cs="Times New Roman"/>
          <w:b w:val="0"/>
          <w:bCs/>
          <w:color w:val="auto"/>
          <w:kern w:val="2"/>
          <w:sz w:val="24"/>
          <w:szCs w:val="24"/>
          <w:lang w:val="en-US" w:eastAsia="zh-CN" w:bidi="ar-SA"/>
        </w:rPr>
        <w:t>.若中标人在服务期限内，违反下列相关规定，采购人有权罚款和解除合同：</w:t>
      </w:r>
    </w:p>
    <w:p w14:paraId="1EA5A40B">
      <w:pPr>
        <w:pStyle w:val="258"/>
        <w:adjustRightInd w:val="0"/>
        <w:snapToGrid w:val="0"/>
        <w:spacing w:line="440" w:lineRule="exact"/>
        <w:ind w:firstLine="480"/>
        <w:rPr>
          <w:rFonts w:hint="default"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①出现问题不及时响应、配合业主方的，一次罚款3万元。</w:t>
      </w:r>
    </w:p>
    <w:p w14:paraId="43BB445A">
      <w:pPr>
        <w:pStyle w:val="258"/>
        <w:adjustRightInd w:val="0"/>
        <w:snapToGrid w:val="0"/>
        <w:spacing w:line="440" w:lineRule="exact"/>
        <w:ind w:firstLine="480"/>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②出现问题不及时响应、配合业主方的，累计次数达3次以上，采购方有权单方面终止合同，并有权向中标方索赔因此造成的损失。</w:t>
      </w:r>
    </w:p>
    <w:p w14:paraId="5419F4F8">
      <w:pPr>
        <w:pStyle w:val="258"/>
        <w:adjustRightInd w:val="0"/>
        <w:snapToGrid w:val="0"/>
        <w:spacing w:line="440" w:lineRule="exact"/>
        <w:ind w:firstLine="480"/>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③</w:t>
      </w:r>
      <w:r>
        <w:rPr>
          <w:rFonts w:hint="eastAsia" w:ascii="Times New Roman" w:hAnsi="Times New Roman" w:eastAsia="宋体" w:cs="Times New Roman"/>
          <w:b w:val="0"/>
          <w:bCs/>
          <w:color w:val="auto"/>
          <w:kern w:val="2"/>
          <w:sz w:val="24"/>
          <w:szCs w:val="24"/>
          <w:lang w:val="en-US" w:eastAsia="zh-CN" w:bidi="ar-SA"/>
        </w:rPr>
        <w:t>发生违法违纪违规问题，或者出现隐瞒、造假、纰漏等责任的，采购方有权单方面终止合同，并有权向中标方索赔因此造成的损失。</w:t>
      </w:r>
    </w:p>
    <w:p w14:paraId="55BDE1CB">
      <w:pPr>
        <w:numPr>
          <w:ilvl w:val="0"/>
          <w:numId w:val="0"/>
        </w:numPr>
        <w:spacing w:line="440" w:lineRule="exact"/>
        <w:ind w:left="0" w:leftChars="0" w:firstLine="480" w:firstLineChars="200"/>
        <w:jc w:val="left"/>
        <w:rPr>
          <w:rFonts w:hint="eastAsia" w:ascii="仿宋" w:hAnsi="仿宋" w:eastAsia="仿宋" w:cs="仿宋"/>
          <w:color w:val="auto"/>
          <w:kern w:val="0"/>
          <w:sz w:val="24"/>
          <w:szCs w:val="24"/>
          <w:highlight w:val="none"/>
        </w:rPr>
      </w:pPr>
      <w:r>
        <w:rPr>
          <w:rFonts w:hint="eastAsia" w:cs="Times New Roman"/>
          <w:b w:val="0"/>
          <w:bCs/>
          <w:color w:val="auto"/>
          <w:kern w:val="2"/>
          <w:sz w:val="24"/>
          <w:szCs w:val="24"/>
          <w:lang w:val="en-US" w:eastAsia="zh-CN" w:bidi="ar-SA"/>
        </w:rPr>
        <w:t>10</w:t>
      </w:r>
      <w:r>
        <w:rPr>
          <w:rFonts w:hint="default" w:ascii="Times New Roman" w:hAnsi="Times New Roman" w:eastAsia="宋体" w:cs="Times New Roman"/>
          <w:b w:val="0"/>
          <w:bCs/>
          <w:color w:val="auto"/>
          <w:kern w:val="2"/>
          <w:sz w:val="24"/>
          <w:szCs w:val="24"/>
          <w:lang w:val="en-US" w:eastAsia="zh-CN" w:bidi="ar-SA"/>
        </w:rPr>
        <w:t>.</w:t>
      </w:r>
      <w:r>
        <w:rPr>
          <w:rFonts w:hint="eastAsia" w:ascii="Times New Roman" w:hAnsi="Times New Roman" w:eastAsia="宋体" w:cs="Times New Roman"/>
          <w:b w:val="0"/>
          <w:bCs/>
          <w:color w:val="auto"/>
          <w:kern w:val="2"/>
          <w:sz w:val="24"/>
          <w:szCs w:val="24"/>
          <w:lang w:val="en-US" w:eastAsia="zh-CN" w:bidi="ar-SA"/>
        </w:rPr>
        <w:t>如产生上述扣费，从支付款中相应扣除。</w:t>
      </w:r>
    </w:p>
    <w:p w14:paraId="3354F315">
      <w:pPr>
        <w:numPr>
          <w:ilvl w:val="0"/>
          <w:numId w:val="0"/>
        </w:numPr>
        <w:spacing w:line="440" w:lineRule="exact"/>
        <w:ind w:left="0" w:leftChars="0" w:firstLine="482" w:firstLineChars="200"/>
        <w:jc w:val="left"/>
        <w:rPr>
          <w:rFonts w:hint="eastAsia" w:ascii="宋体" w:hAnsi="宋体" w:eastAsia="宋体"/>
          <w:b/>
          <w:bCs/>
          <w:color w:val="FF0000"/>
          <w:szCs w:val="21"/>
          <w:lang w:eastAsia="zh-CN"/>
        </w:rPr>
      </w:pPr>
      <w:r>
        <w:rPr>
          <w:rFonts w:hint="default" w:ascii="宋体" w:hAnsi="宋体" w:eastAsia="仿宋" w:cs="仿宋"/>
          <w:b/>
          <w:bCs/>
          <w:color w:val="FF0000"/>
          <w:kern w:val="3"/>
          <w:sz w:val="24"/>
          <w:szCs w:val="21"/>
          <w:lang w:val="en-US" w:eastAsia="zh-CN" w:bidi="ar-SA"/>
        </w:rPr>
        <w:t>1</w:t>
      </w:r>
      <w:r>
        <w:rPr>
          <w:rFonts w:hint="eastAsia" w:ascii="宋体" w:hAnsi="宋体" w:eastAsia="仿宋" w:cs="仿宋"/>
          <w:b/>
          <w:bCs/>
          <w:color w:val="FF0000"/>
          <w:kern w:val="3"/>
          <w:sz w:val="24"/>
          <w:szCs w:val="21"/>
          <w:lang w:val="en-US" w:eastAsia="zh-CN" w:bidi="ar-SA"/>
        </w:rPr>
        <w:t>1</w:t>
      </w:r>
      <w:r>
        <w:rPr>
          <w:rFonts w:hint="default" w:ascii="宋体" w:hAnsi="宋体" w:eastAsia="仿宋" w:cs="仿宋"/>
          <w:b/>
          <w:bCs/>
          <w:color w:val="FF0000"/>
          <w:kern w:val="3"/>
          <w:sz w:val="24"/>
          <w:szCs w:val="21"/>
          <w:lang w:val="en-US" w:eastAsia="zh-CN" w:bidi="ar-SA"/>
        </w:rPr>
        <w:t>.</w:t>
      </w:r>
      <w:r>
        <w:rPr>
          <w:rFonts w:hint="eastAsia" w:ascii="宋体" w:hAnsi="宋体"/>
          <w:b/>
          <w:bCs/>
          <w:color w:val="FF0000"/>
          <w:szCs w:val="21"/>
        </w:rPr>
        <w:t>运维包含内容及治超设备点位明细表</w:t>
      </w:r>
    </w:p>
    <w:tbl>
      <w:tblPr>
        <w:tblStyle w:val="6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789"/>
        <w:gridCol w:w="3782"/>
        <w:gridCol w:w="850"/>
        <w:gridCol w:w="1342"/>
        <w:gridCol w:w="1046"/>
      </w:tblGrid>
      <w:tr w14:paraId="6396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04" w:type="pct"/>
            <w:noWrap w:val="0"/>
            <w:vAlign w:val="center"/>
          </w:tcPr>
          <w:p w14:paraId="571F711A">
            <w:pPr>
              <w:widowControl/>
              <w:adjustRightInd w:val="0"/>
              <w:snapToGrid w:val="0"/>
              <w:spacing w:line="440" w:lineRule="exact"/>
              <w:jc w:val="center"/>
              <w:rPr>
                <w:rFonts w:cs="宋体"/>
                <w:b/>
                <w:bCs/>
                <w:color w:val="auto"/>
                <w:kern w:val="0"/>
                <w:highlight w:val="none"/>
              </w:rPr>
            </w:pPr>
            <w:r>
              <w:rPr>
                <w:rFonts w:hint="eastAsia" w:cs="宋体"/>
                <w:b/>
                <w:bCs/>
                <w:color w:val="auto"/>
                <w:kern w:val="0"/>
                <w:highlight w:val="none"/>
              </w:rPr>
              <w:t>序号</w:t>
            </w:r>
          </w:p>
        </w:tc>
        <w:tc>
          <w:tcPr>
            <w:tcW w:w="464" w:type="pct"/>
            <w:noWrap w:val="0"/>
            <w:vAlign w:val="center"/>
          </w:tcPr>
          <w:p w14:paraId="30CC0BCD">
            <w:pPr>
              <w:widowControl/>
              <w:adjustRightInd w:val="0"/>
              <w:snapToGrid w:val="0"/>
              <w:spacing w:line="440" w:lineRule="exact"/>
              <w:jc w:val="center"/>
              <w:rPr>
                <w:rFonts w:cs="宋体"/>
                <w:b/>
                <w:bCs/>
                <w:color w:val="auto"/>
                <w:kern w:val="0"/>
                <w:highlight w:val="none"/>
              </w:rPr>
            </w:pPr>
            <w:r>
              <w:rPr>
                <w:rFonts w:hint="eastAsia" w:cs="宋体"/>
                <w:b/>
                <w:bCs/>
                <w:color w:val="auto"/>
                <w:kern w:val="0"/>
                <w:highlight w:val="none"/>
              </w:rPr>
              <w:t>地点</w:t>
            </w:r>
          </w:p>
        </w:tc>
        <w:tc>
          <w:tcPr>
            <w:tcW w:w="2224" w:type="pct"/>
            <w:noWrap w:val="0"/>
            <w:vAlign w:val="center"/>
          </w:tcPr>
          <w:p w14:paraId="45A8501B">
            <w:pPr>
              <w:widowControl/>
              <w:adjustRightInd w:val="0"/>
              <w:snapToGrid w:val="0"/>
              <w:spacing w:line="440" w:lineRule="exact"/>
              <w:jc w:val="center"/>
              <w:rPr>
                <w:rFonts w:cs="宋体"/>
                <w:b/>
                <w:bCs/>
                <w:color w:val="auto"/>
                <w:kern w:val="0"/>
                <w:highlight w:val="none"/>
              </w:rPr>
            </w:pPr>
            <w:r>
              <w:rPr>
                <w:rFonts w:hint="eastAsia" w:cs="宋体"/>
                <w:b/>
                <w:bCs/>
                <w:color w:val="auto"/>
                <w:kern w:val="0"/>
                <w:highlight w:val="none"/>
              </w:rPr>
              <w:t>站点名称</w:t>
            </w:r>
          </w:p>
        </w:tc>
        <w:tc>
          <w:tcPr>
            <w:tcW w:w="500" w:type="pct"/>
            <w:noWrap w:val="0"/>
            <w:vAlign w:val="center"/>
          </w:tcPr>
          <w:p w14:paraId="244B736C">
            <w:pPr>
              <w:widowControl/>
              <w:adjustRightInd w:val="0"/>
              <w:snapToGrid w:val="0"/>
              <w:spacing w:line="440" w:lineRule="exact"/>
              <w:jc w:val="center"/>
              <w:rPr>
                <w:rFonts w:hint="eastAsia" w:cs="宋体"/>
                <w:b/>
                <w:bCs/>
                <w:color w:val="auto"/>
                <w:kern w:val="0"/>
                <w:highlight w:val="none"/>
              </w:rPr>
            </w:pPr>
            <w:r>
              <w:rPr>
                <w:rFonts w:hint="eastAsia" w:cs="宋体"/>
                <w:b/>
                <w:bCs/>
                <w:color w:val="auto"/>
                <w:kern w:val="0"/>
                <w:highlight w:val="none"/>
              </w:rPr>
              <w:t>车道</w:t>
            </w:r>
          </w:p>
          <w:p w14:paraId="0B3A223C">
            <w:pPr>
              <w:widowControl/>
              <w:adjustRightInd w:val="0"/>
              <w:snapToGrid w:val="0"/>
              <w:spacing w:line="440" w:lineRule="exact"/>
              <w:jc w:val="center"/>
              <w:rPr>
                <w:rFonts w:cs="宋体"/>
                <w:b/>
                <w:bCs/>
                <w:color w:val="auto"/>
                <w:kern w:val="0"/>
                <w:highlight w:val="none"/>
              </w:rPr>
            </w:pPr>
            <w:r>
              <w:rPr>
                <w:rFonts w:hint="eastAsia" w:cs="宋体"/>
                <w:b/>
                <w:bCs/>
                <w:color w:val="auto"/>
                <w:kern w:val="0"/>
                <w:highlight w:val="none"/>
              </w:rPr>
              <w:t>数量</w:t>
            </w:r>
          </w:p>
        </w:tc>
        <w:tc>
          <w:tcPr>
            <w:tcW w:w="789" w:type="pct"/>
            <w:noWrap w:val="0"/>
            <w:vAlign w:val="center"/>
          </w:tcPr>
          <w:p w14:paraId="0C832B94">
            <w:pPr>
              <w:widowControl/>
              <w:adjustRightInd w:val="0"/>
              <w:snapToGrid w:val="0"/>
              <w:spacing w:line="440" w:lineRule="exact"/>
              <w:jc w:val="center"/>
              <w:rPr>
                <w:rFonts w:cs="宋体"/>
                <w:b/>
                <w:bCs/>
                <w:color w:val="auto"/>
                <w:kern w:val="0"/>
                <w:highlight w:val="none"/>
              </w:rPr>
            </w:pPr>
            <w:r>
              <w:rPr>
                <w:rFonts w:hint="eastAsia" w:cs="宋体"/>
                <w:b/>
                <w:bCs/>
                <w:color w:val="auto"/>
                <w:kern w:val="0"/>
                <w:highlight w:val="none"/>
              </w:rPr>
              <w:t>单双向检测</w:t>
            </w:r>
          </w:p>
        </w:tc>
        <w:tc>
          <w:tcPr>
            <w:tcW w:w="615" w:type="pct"/>
            <w:noWrap w:val="0"/>
            <w:vAlign w:val="center"/>
          </w:tcPr>
          <w:p w14:paraId="1F038B13">
            <w:pPr>
              <w:widowControl/>
              <w:adjustRightInd w:val="0"/>
              <w:snapToGrid w:val="0"/>
              <w:spacing w:line="440" w:lineRule="exact"/>
              <w:jc w:val="center"/>
              <w:rPr>
                <w:rFonts w:cs="宋体"/>
                <w:b/>
                <w:bCs/>
                <w:color w:val="auto"/>
                <w:kern w:val="0"/>
                <w:highlight w:val="none"/>
              </w:rPr>
            </w:pPr>
            <w:r>
              <w:rPr>
                <w:rFonts w:hint="eastAsia" w:cs="宋体"/>
                <w:b/>
                <w:bCs/>
                <w:color w:val="auto"/>
                <w:kern w:val="0"/>
                <w:highlight w:val="none"/>
              </w:rPr>
              <w:t>维保期</w:t>
            </w:r>
          </w:p>
        </w:tc>
      </w:tr>
      <w:tr w14:paraId="433B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04" w:type="pct"/>
            <w:noWrap w:val="0"/>
            <w:vAlign w:val="center"/>
          </w:tcPr>
          <w:p w14:paraId="0E618850">
            <w:pPr>
              <w:widowControl/>
              <w:adjustRightInd w:val="0"/>
              <w:snapToGrid w:val="0"/>
              <w:spacing w:line="440" w:lineRule="exact"/>
              <w:jc w:val="center"/>
              <w:rPr>
                <w:rFonts w:hint="eastAsia" w:eastAsia="仿宋" w:cs="宋体"/>
                <w:b w:val="0"/>
                <w:bCs w:val="0"/>
                <w:color w:val="auto"/>
                <w:kern w:val="0"/>
                <w:highlight w:val="none"/>
                <w:lang w:val="en-US" w:eastAsia="zh-CN"/>
              </w:rPr>
            </w:pPr>
            <w:r>
              <w:rPr>
                <w:rFonts w:hint="eastAsia" w:cs="宋体"/>
                <w:b w:val="0"/>
                <w:bCs w:val="0"/>
                <w:color w:val="auto"/>
                <w:kern w:val="0"/>
                <w:highlight w:val="none"/>
                <w:lang w:val="en-US" w:eastAsia="zh-CN"/>
              </w:rPr>
              <w:t>1</w:t>
            </w:r>
          </w:p>
        </w:tc>
        <w:tc>
          <w:tcPr>
            <w:tcW w:w="464" w:type="pct"/>
            <w:noWrap w:val="0"/>
            <w:vAlign w:val="center"/>
          </w:tcPr>
          <w:p w14:paraId="58836D74">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rPr>
              <w:t>桐庐</w:t>
            </w:r>
          </w:p>
        </w:tc>
        <w:tc>
          <w:tcPr>
            <w:tcW w:w="2224" w:type="pct"/>
            <w:noWrap w:val="0"/>
            <w:vAlign w:val="center"/>
          </w:tcPr>
          <w:p w14:paraId="57070C22">
            <w:pPr>
              <w:widowControl/>
              <w:adjustRightInd w:val="0"/>
              <w:snapToGrid w:val="0"/>
              <w:spacing w:line="440" w:lineRule="exact"/>
              <w:jc w:val="center"/>
              <w:rPr>
                <w:rFonts w:hint="eastAsia" w:cs="宋体"/>
                <w:b w:val="0"/>
                <w:bCs w:val="0"/>
                <w:color w:val="auto"/>
                <w:kern w:val="0"/>
                <w:highlight w:val="none"/>
              </w:rPr>
            </w:pPr>
            <w:r>
              <w:rPr>
                <w:rFonts w:hint="eastAsia" w:cs="Times New Roman"/>
                <w:b w:val="0"/>
                <w:bCs w:val="0"/>
                <w:color w:val="auto"/>
                <w:sz w:val="24"/>
                <w:szCs w:val="24"/>
                <w:highlight w:val="none"/>
              </w:rPr>
              <w:t>S208（桐千线）桐庐方向K6+400</w:t>
            </w:r>
          </w:p>
        </w:tc>
        <w:tc>
          <w:tcPr>
            <w:tcW w:w="500" w:type="pct"/>
            <w:noWrap w:val="0"/>
            <w:vAlign w:val="center"/>
          </w:tcPr>
          <w:p w14:paraId="47E88595">
            <w:pPr>
              <w:widowControl/>
              <w:adjustRightInd w:val="0"/>
              <w:snapToGrid w:val="0"/>
              <w:spacing w:line="440" w:lineRule="exact"/>
              <w:jc w:val="center"/>
              <w:rPr>
                <w:rFonts w:hint="eastAsia" w:eastAsia="仿宋" w:cs="宋体"/>
                <w:b w:val="0"/>
                <w:bCs w:val="0"/>
                <w:color w:val="auto"/>
                <w:kern w:val="0"/>
                <w:highlight w:val="none"/>
                <w:lang w:val="en-US" w:eastAsia="zh-CN"/>
              </w:rPr>
            </w:pPr>
            <w:r>
              <w:rPr>
                <w:rFonts w:hint="eastAsia" w:cs="宋体"/>
                <w:b w:val="0"/>
                <w:bCs w:val="0"/>
                <w:color w:val="auto"/>
                <w:kern w:val="0"/>
                <w:highlight w:val="none"/>
                <w:lang w:val="en-US" w:eastAsia="zh-CN"/>
              </w:rPr>
              <w:t>2</w:t>
            </w:r>
          </w:p>
        </w:tc>
        <w:tc>
          <w:tcPr>
            <w:tcW w:w="789" w:type="pct"/>
            <w:noWrap w:val="0"/>
            <w:vAlign w:val="center"/>
          </w:tcPr>
          <w:p w14:paraId="505A2366">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lang w:val="en-US" w:eastAsia="zh-CN"/>
              </w:rPr>
              <w:t>单向</w:t>
            </w:r>
          </w:p>
        </w:tc>
        <w:tc>
          <w:tcPr>
            <w:tcW w:w="615" w:type="pct"/>
            <w:noWrap w:val="0"/>
            <w:vAlign w:val="center"/>
          </w:tcPr>
          <w:p w14:paraId="7EA379E1">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lang w:val="en-US" w:eastAsia="zh-CN"/>
              </w:rPr>
              <w:t>24个月</w:t>
            </w:r>
          </w:p>
        </w:tc>
      </w:tr>
      <w:tr w14:paraId="29FE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04" w:type="pct"/>
            <w:noWrap w:val="0"/>
            <w:vAlign w:val="center"/>
          </w:tcPr>
          <w:p w14:paraId="0AC2C99D">
            <w:pPr>
              <w:widowControl/>
              <w:adjustRightInd w:val="0"/>
              <w:snapToGrid w:val="0"/>
              <w:spacing w:line="440" w:lineRule="exact"/>
              <w:jc w:val="center"/>
              <w:rPr>
                <w:rFonts w:hint="eastAsia" w:eastAsia="仿宋" w:cs="宋体"/>
                <w:b w:val="0"/>
                <w:bCs w:val="0"/>
                <w:color w:val="auto"/>
                <w:kern w:val="0"/>
                <w:highlight w:val="none"/>
                <w:lang w:val="en-US" w:eastAsia="zh-CN"/>
              </w:rPr>
            </w:pPr>
            <w:r>
              <w:rPr>
                <w:rFonts w:hint="eastAsia" w:cs="宋体"/>
                <w:b w:val="0"/>
                <w:bCs w:val="0"/>
                <w:color w:val="auto"/>
                <w:kern w:val="0"/>
                <w:highlight w:val="none"/>
                <w:lang w:val="en-US" w:eastAsia="zh-CN"/>
              </w:rPr>
              <w:t>2</w:t>
            </w:r>
          </w:p>
        </w:tc>
        <w:tc>
          <w:tcPr>
            <w:tcW w:w="464" w:type="pct"/>
            <w:noWrap w:val="0"/>
            <w:vAlign w:val="center"/>
          </w:tcPr>
          <w:p w14:paraId="5A2A82D2">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rPr>
              <w:t>桐庐</w:t>
            </w:r>
          </w:p>
        </w:tc>
        <w:tc>
          <w:tcPr>
            <w:tcW w:w="2224" w:type="pct"/>
            <w:noWrap w:val="0"/>
            <w:vAlign w:val="center"/>
          </w:tcPr>
          <w:p w14:paraId="455D172B">
            <w:pPr>
              <w:widowControl/>
              <w:adjustRightInd w:val="0"/>
              <w:snapToGrid w:val="0"/>
              <w:spacing w:line="440" w:lineRule="exact"/>
              <w:jc w:val="center"/>
              <w:rPr>
                <w:rFonts w:hint="eastAsia" w:cs="宋体"/>
                <w:b w:val="0"/>
                <w:bCs w:val="0"/>
                <w:color w:val="auto"/>
                <w:kern w:val="0"/>
                <w:highlight w:val="none"/>
              </w:rPr>
            </w:pPr>
            <w:r>
              <w:rPr>
                <w:rFonts w:hint="eastAsia" w:cs="Times New Roman"/>
                <w:b w:val="0"/>
                <w:bCs w:val="0"/>
                <w:color w:val="auto"/>
                <w:sz w:val="24"/>
                <w:szCs w:val="24"/>
                <w:highlight w:val="none"/>
              </w:rPr>
              <w:t>X506（徐七线）徐家埠、七里泷方向K16+600</w:t>
            </w:r>
          </w:p>
        </w:tc>
        <w:tc>
          <w:tcPr>
            <w:tcW w:w="500" w:type="pct"/>
            <w:noWrap w:val="0"/>
            <w:vAlign w:val="center"/>
          </w:tcPr>
          <w:p w14:paraId="67C0EDFE">
            <w:pPr>
              <w:widowControl/>
              <w:adjustRightInd w:val="0"/>
              <w:snapToGrid w:val="0"/>
              <w:spacing w:line="440" w:lineRule="exact"/>
              <w:jc w:val="center"/>
              <w:rPr>
                <w:rFonts w:hint="eastAsia" w:eastAsia="仿宋" w:cs="宋体"/>
                <w:b w:val="0"/>
                <w:bCs w:val="0"/>
                <w:color w:val="auto"/>
                <w:kern w:val="0"/>
                <w:highlight w:val="none"/>
                <w:lang w:val="en-US" w:eastAsia="zh-CN"/>
              </w:rPr>
            </w:pPr>
            <w:r>
              <w:rPr>
                <w:rFonts w:hint="eastAsia" w:cs="宋体"/>
                <w:b w:val="0"/>
                <w:bCs w:val="0"/>
                <w:color w:val="auto"/>
                <w:kern w:val="0"/>
                <w:highlight w:val="none"/>
                <w:lang w:val="en-US" w:eastAsia="zh-CN"/>
              </w:rPr>
              <w:t>2</w:t>
            </w:r>
          </w:p>
        </w:tc>
        <w:tc>
          <w:tcPr>
            <w:tcW w:w="789" w:type="pct"/>
            <w:noWrap w:val="0"/>
            <w:vAlign w:val="center"/>
          </w:tcPr>
          <w:p w14:paraId="3ACB0C54">
            <w:pPr>
              <w:widowControl/>
              <w:adjustRightInd w:val="0"/>
              <w:snapToGrid w:val="0"/>
              <w:spacing w:line="440" w:lineRule="exact"/>
              <w:jc w:val="center"/>
              <w:rPr>
                <w:rFonts w:hint="eastAsia" w:eastAsia="仿宋" w:cs="宋体"/>
                <w:b w:val="0"/>
                <w:bCs w:val="0"/>
                <w:color w:val="auto"/>
                <w:kern w:val="0"/>
                <w:highlight w:val="none"/>
                <w:lang w:val="en-US" w:eastAsia="zh-CN"/>
              </w:rPr>
            </w:pPr>
            <w:r>
              <w:rPr>
                <w:rFonts w:hint="eastAsia" w:cs="宋体"/>
                <w:b w:val="0"/>
                <w:bCs w:val="0"/>
                <w:color w:val="auto"/>
                <w:kern w:val="0"/>
                <w:highlight w:val="none"/>
                <w:lang w:val="en-US" w:eastAsia="zh-CN"/>
              </w:rPr>
              <w:t>双向</w:t>
            </w:r>
          </w:p>
        </w:tc>
        <w:tc>
          <w:tcPr>
            <w:tcW w:w="615" w:type="pct"/>
            <w:noWrap w:val="0"/>
            <w:vAlign w:val="center"/>
          </w:tcPr>
          <w:p w14:paraId="6924BA8A">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lang w:val="en-US" w:eastAsia="zh-CN"/>
              </w:rPr>
              <w:t>24个月</w:t>
            </w:r>
          </w:p>
        </w:tc>
      </w:tr>
      <w:tr w14:paraId="44B1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04" w:type="pct"/>
            <w:noWrap w:val="0"/>
            <w:vAlign w:val="center"/>
          </w:tcPr>
          <w:p w14:paraId="15DE12C7">
            <w:pPr>
              <w:widowControl/>
              <w:adjustRightInd w:val="0"/>
              <w:snapToGrid w:val="0"/>
              <w:spacing w:line="440" w:lineRule="exact"/>
              <w:jc w:val="center"/>
              <w:rPr>
                <w:rFonts w:hint="default" w:eastAsia="仿宋" w:cs="宋体"/>
                <w:b w:val="0"/>
                <w:bCs w:val="0"/>
                <w:color w:val="auto"/>
                <w:kern w:val="0"/>
                <w:highlight w:val="none"/>
                <w:lang w:val="en-US" w:eastAsia="zh-CN"/>
              </w:rPr>
            </w:pPr>
            <w:r>
              <w:rPr>
                <w:rFonts w:hint="eastAsia" w:cs="宋体"/>
                <w:b w:val="0"/>
                <w:bCs w:val="0"/>
                <w:color w:val="auto"/>
                <w:kern w:val="0"/>
                <w:highlight w:val="none"/>
                <w:lang w:val="en-US" w:eastAsia="zh-CN"/>
              </w:rPr>
              <w:t>3</w:t>
            </w:r>
          </w:p>
        </w:tc>
        <w:tc>
          <w:tcPr>
            <w:tcW w:w="464" w:type="pct"/>
            <w:noWrap w:val="0"/>
            <w:vAlign w:val="center"/>
          </w:tcPr>
          <w:p w14:paraId="0B9F6840">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rPr>
              <w:t>桐庐</w:t>
            </w:r>
          </w:p>
        </w:tc>
        <w:tc>
          <w:tcPr>
            <w:tcW w:w="2224" w:type="pct"/>
            <w:noWrap w:val="0"/>
            <w:vAlign w:val="center"/>
          </w:tcPr>
          <w:p w14:paraId="1810271F">
            <w:pPr>
              <w:widowControl/>
              <w:adjustRightInd w:val="0"/>
              <w:snapToGrid w:val="0"/>
              <w:spacing w:line="440" w:lineRule="exact"/>
              <w:jc w:val="center"/>
              <w:rPr>
                <w:rFonts w:hint="eastAsia" w:cs="宋体"/>
                <w:b w:val="0"/>
                <w:bCs w:val="0"/>
                <w:color w:val="auto"/>
                <w:kern w:val="0"/>
                <w:highlight w:val="none"/>
              </w:rPr>
            </w:pPr>
            <w:r>
              <w:rPr>
                <w:rFonts w:hint="eastAsia" w:cs="Times New Roman"/>
                <w:b w:val="0"/>
                <w:bCs w:val="0"/>
                <w:color w:val="auto"/>
                <w:sz w:val="24"/>
                <w:szCs w:val="24"/>
                <w:highlight w:val="none"/>
              </w:rPr>
              <w:t>S208（桐千线）桐庐方向K19+900</w:t>
            </w:r>
          </w:p>
        </w:tc>
        <w:tc>
          <w:tcPr>
            <w:tcW w:w="500" w:type="pct"/>
            <w:noWrap w:val="0"/>
            <w:vAlign w:val="center"/>
          </w:tcPr>
          <w:p w14:paraId="7B1B844F">
            <w:pPr>
              <w:widowControl/>
              <w:adjustRightInd w:val="0"/>
              <w:snapToGrid w:val="0"/>
              <w:spacing w:line="440" w:lineRule="exact"/>
              <w:jc w:val="center"/>
              <w:rPr>
                <w:rFonts w:hint="eastAsia" w:eastAsia="仿宋" w:cs="宋体"/>
                <w:b w:val="0"/>
                <w:bCs w:val="0"/>
                <w:color w:val="auto"/>
                <w:kern w:val="0"/>
                <w:highlight w:val="none"/>
                <w:lang w:val="en-US" w:eastAsia="zh-CN"/>
              </w:rPr>
            </w:pPr>
            <w:r>
              <w:rPr>
                <w:rFonts w:hint="eastAsia" w:cs="宋体"/>
                <w:b w:val="0"/>
                <w:bCs w:val="0"/>
                <w:color w:val="auto"/>
                <w:kern w:val="0"/>
                <w:highlight w:val="none"/>
                <w:lang w:val="en-US" w:eastAsia="zh-CN"/>
              </w:rPr>
              <w:t>2</w:t>
            </w:r>
          </w:p>
        </w:tc>
        <w:tc>
          <w:tcPr>
            <w:tcW w:w="789" w:type="pct"/>
            <w:noWrap w:val="0"/>
            <w:vAlign w:val="center"/>
          </w:tcPr>
          <w:p w14:paraId="398E9798">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lang w:val="en-US" w:eastAsia="zh-CN"/>
              </w:rPr>
              <w:t>单向</w:t>
            </w:r>
          </w:p>
        </w:tc>
        <w:tc>
          <w:tcPr>
            <w:tcW w:w="615" w:type="pct"/>
            <w:noWrap w:val="0"/>
            <w:vAlign w:val="center"/>
          </w:tcPr>
          <w:p w14:paraId="6CC664D0">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lang w:val="en-US" w:eastAsia="zh-CN"/>
              </w:rPr>
              <w:t>24个月</w:t>
            </w:r>
          </w:p>
        </w:tc>
      </w:tr>
      <w:tr w14:paraId="744C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04" w:type="pct"/>
            <w:noWrap w:val="0"/>
            <w:vAlign w:val="center"/>
          </w:tcPr>
          <w:p w14:paraId="6120D324">
            <w:pPr>
              <w:widowControl/>
              <w:adjustRightInd w:val="0"/>
              <w:snapToGrid w:val="0"/>
              <w:spacing w:line="440" w:lineRule="exact"/>
              <w:jc w:val="center"/>
              <w:rPr>
                <w:rFonts w:hint="eastAsia" w:eastAsia="仿宋" w:cs="宋体"/>
                <w:b w:val="0"/>
                <w:bCs w:val="0"/>
                <w:color w:val="auto"/>
                <w:kern w:val="0"/>
                <w:highlight w:val="none"/>
                <w:lang w:val="en-US" w:eastAsia="zh-CN"/>
              </w:rPr>
            </w:pPr>
            <w:r>
              <w:rPr>
                <w:rFonts w:hint="eastAsia" w:cs="宋体"/>
                <w:b w:val="0"/>
                <w:bCs w:val="0"/>
                <w:color w:val="auto"/>
                <w:kern w:val="0"/>
                <w:highlight w:val="none"/>
                <w:lang w:val="en-US" w:eastAsia="zh-CN"/>
              </w:rPr>
              <w:t>4</w:t>
            </w:r>
          </w:p>
        </w:tc>
        <w:tc>
          <w:tcPr>
            <w:tcW w:w="464" w:type="pct"/>
            <w:noWrap w:val="0"/>
            <w:vAlign w:val="center"/>
          </w:tcPr>
          <w:p w14:paraId="59DF15ED">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rPr>
              <w:t>桐庐</w:t>
            </w:r>
          </w:p>
        </w:tc>
        <w:tc>
          <w:tcPr>
            <w:tcW w:w="2224" w:type="pct"/>
            <w:noWrap w:val="0"/>
            <w:vAlign w:val="center"/>
          </w:tcPr>
          <w:p w14:paraId="51671DAC">
            <w:pPr>
              <w:widowControl/>
              <w:adjustRightInd w:val="0"/>
              <w:snapToGrid w:val="0"/>
              <w:spacing w:line="440" w:lineRule="exact"/>
              <w:jc w:val="center"/>
              <w:rPr>
                <w:rFonts w:hint="eastAsia" w:cs="宋体"/>
                <w:b w:val="0"/>
                <w:bCs w:val="0"/>
                <w:color w:val="auto"/>
                <w:kern w:val="0"/>
                <w:highlight w:val="none"/>
              </w:rPr>
            </w:pPr>
            <w:r>
              <w:rPr>
                <w:rFonts w:hint="eastAsia" w:cs="Times New Roman"/>
                <w:b w:val="0"/>
                <w:bCs w:val="0"/>
                <w:color w:val="auto"/>
                <w:sz w:val="24"/>
                <w:szCs w:val="24"/>
                <w:highlight w:val="none"/>
              </w:rPr>
              <w:t>S215（安洞线）安吉方向K1+750</w:t>
            </w:r>
          </w:p>
        </w:tc>
        <w:tc>
          <w:tcPr>
            <w:tcW w:w="500" w:type="pct"/>
            <w:noWrap w:val="0"/>
            <w:vAlign w:val="center"/>
          </w:tcPr>
          <w:p w14:paraId="00E3D847">
            <w:pPr>
              <w:widowControl/>
              <w:adjustRightInd w:val="0"/>
              <w:snapToGrid w:val="0"/>
              <w:spacing w:line="440" w:lineRule="exact"/>
              <w:jc w:val="center"/>
              <w:rPr>
                <w:rFonts w:hint="eastAsia" w:eastAsia="仿宋" w:cs="宋体"/>
                <w:b w:val="0"/>
                <w:bCs w:val="0"/>
                <w:color w:val="auto"/>
                <w:kern w:val="0"/>
                <w:highlight w:val="none"/>
                <w:lang w:val="en-US" w:eastAsia="zh-CN"/>
              </w:rPr>
            </w:pPr>
            <w:r>
              <w:rPr>
                <w:rFonts w:hint="eastAsia" w:cs="宋体"/>
                <w:b w:val="0"/>
                <w:bCs w:val="0"/>
                <w:color w:val="auto"/>
                <w:kern w:val="0"/>
                <w:highlight w:val="none"/>
                <w:lang w:val="en-US" w:eastAsia="zh-CN"/>
              </w:rPr>
              <w:t>3</w:t>
            </w:r>
          </w:p>
        </w:tc>
        <w:tc>
          <w:tcPr>
            <w:tcW w:w="789" w:type="pct"/>
            <w:noWrap w:val="0"/>
            <w:vAlign w:val="center"/>
          </w:tcPr>
          <w:p w14:paraId="4B965A1F">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lang w:val="en-US" w:eastAsia="zh-CN"/>
              </w:rPr>
              <w:t>单向</w:t>
            </w:r>
          </w:p>
        </w:tc>
        <w:tc>
          <w:tcPr>
            <w:tcW w:w="615" w:type="pct"/>
            <w:noWrap w:val="0"/>
            <w:vAlign w:val="center"/>
          </w:tcPr>
          <w:p w14:paraId="2386F96F">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lang w:val="en-US" w:eastAsia="zh-CN"/>
              </w:rPr>
              <w:t>24个月</w:t>
            </w:r>
          </w:p>
        </w:tc>
      </w:tr>
      <w:tr w14:paraId="582E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04" w:type="pct"/>
            <w:noWrap w:val="0"/>
            <w:vAlign w:val="center"/>
          </w:tcPr>
          <w:p w14:paraId="57AF248A">
            <w:pPr>
              <w:widowControl/>
              <w:adjustRightInd w:val="0"/>
              <w:snapToGrid w:val="0"/>
              <w:spacing w:line="440" w:lineRule="exact"/>
              <w:jc w:val="center"/>
              <w:rPr>
                <w:rFonts w:hint="eastAsia" w:eastAsia="仿宋" w:cs="宋体"/>
                <w:b w:val="0"/>
                <w:bCs w:val="0"/>
                <w:color w:val="auto"/>
                <w:kern w:val="0"/>
                <w:highlight w:val="none"/>
                <w:lang w:val="en-US" w:eastAsia="zh-CN"/>
              </w:rPr>
            </w:pPr>
            <w:r>
              <w:rPr>
                <w:rFonts w:hint="eastAsia" w:cs="宋体"/>
                <w:b w:val="0"/>
                <w:bCs w:val="0"/>
                <w:color w:val="auto"/>
                <w:kern w:val="0"/>
                <w:highlight w:val="none"/>
                <w:lang w:val="en-US" w:eastAsia="zh-CN"/>
              </w:rPr>
              <w:t>5</w:t>
            </w:r>
          </w:p>
        </w:tc>
        <w:tc>
          <w:tcPr>
            <w:tcW w:w="464" w:type="pct"/>
            <w:noWrap w:val="0"/>
            <w:vAlign w:val="center"/>
          </w:tcPr>
          <w:p w14:paraId="4BA5F06E">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rPr>
              <w:t>桐庐</w:t>
            </w:r>
          </w:p>
        </w:tc>
        <w:tc>
          <w:tcPr>
            <w:tcW w:w="2224" w:type="pct"/>
            <w:noWrap w:val="0"/>
            <w:vAlign w:val="center"/>
          </w:tcPr>
          <w:p w14:paraId="3A02EE73">
            <w:pPr>
              <w:widowControl/>
              <w:adjustRightInd w:val="0"/>
              <w:snapToGrid w:val="0"/>
              <w:spacing w:line="440" w:lineRule="exact"/>
              <w:jc w:val="center"/>
              <w:rPr>
                <w:rFonts w:hint="eastAsia" w:cs="宋体"/>
                <w:b w:val="0"/>
                <w:bCs w:val="0"/>
                <w:color w:val="auto"/>
                <w:kern w:val="0"/>
                <w:highlight w:val="none"/>
              </w:rPr>
            </w:pPr>
            <w:r>
              <w:rPr>
                <w:rFonts w:hint="eastAsia" w:cs="Times New Roman"/>
                <w:b w:val="0"/>
                <w:bCs w:val="0"/>
                <w:color w:val="auto"/>
                <w:sz w:val="24"/>
                <w:szCs w:val="24"/>
                <w:highlight w:val="none"/>
              </w:rPr>
              <w:t>S215（安洞线）洞头方向K0+150</w:t>
            </w:r>
          </w:p>
        </w:tc>
        <w:tc>
          <w:tcPr>
            <w:tcW w:w="500" w:type="pct"/>
            <w:noWrap w:val="0"/>
            <w:vAlign w:val="center"/>
          </w:tcPr>
          <w:p w14:paraId="19115E98">
            <w:pPr>
              <w:widowControl/>
              <w:adjustRightInd w:val="0"/>
              <w:snapToGrid w:val="0"/>
              <w:spacing w:line="440" w:lineRule="exact"/>
              <w:jc w:val="center"/>
              <w:rPr>
                <w:rFonts w:hint="eastAsia" w:eastAsia="仿宋" w:cs="宋体"/>
                <w:b w:val="0"/>
                <w:bCs w:val="0"/>
                <w:color w:val="auto"/>
                <w:kern w:val="0"/>
                <w:highlight w:val="none"/>
                <w:lang w:val="en-US" w:eastAsia="zh-CN"/>
              </w:rPr>
            </w:pPr>
            <w:r>
              <w:rPr>
                <w:rFonts w:hint="eastAsia" w:cs="宋体"/>
                <w:b w:val="0"/>
                <w:bCs w:val="0"/>
                <w:color w:val="auto"/>
                <w:kern w:val="0"/>
                <w:highlight w:val="none"/>
                <w:lang w:val="en-US" w:eastAsia="zh-CN"/>
              </w:rPr>
              <w:t>3</w:t>
            </w:r>
          </w:p>
        </w:tc>
        <w:tc>
          <w:tcPr>
            <w:tcW w:w="789" w:type="pct"/>
            <w:noWrap w:val="0"/>
            <w:vAlign w:val="center"/>
          </w:tcPr>
          <w:p w14:paraId="5FC8D7CF">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lang w:val="en-US" w:eastAsia="zh-CN"/>
              </w:rPr>
              <w:t>单向</w:t>
            </w:r>
          </w:p>
        </w:tc>
        <w:tc>
          <w:tcPr>
            <w:tcW w:w="615" w:type="pct"/>
            <w:noWrap w:val="0"/>
            <w:vAlign w:val="center"/>
          </w:tcPr>
          <w:p w14:paraId="1C023B33">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lang w:val="en-US" w:eastAsia="zh-CN"/>
              </w:rPr>
              <w:t>24个月</w:t>
            </w:r>
          </w:p>
        </w:tc>
      </w:tr>
      <w:tr w14:paraId="402C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04" w:type="pct"/>
            <w:noWrap w:val="0"/>
            <w:vAlign w:val="center"/>
          </w:tcPr>
          <w:p w14:paraId="5E17C3C8">
            <w:pPr>
              <w:widowControl/>
              <w:adjustRightInd w:val="0"/>
              <w:snapToGrid w:val="0"/>
              <w:spacing w:line="440" w:lineRule="exact"/>
              <w:jc w:val="center"/>
              <w:rPr>
                <w:rFonts w:hint="eastAsia" w:eastAsia="仿宋" w:cs="宋体"/>
                <w:b w:val="0"/>
                <w:bCs w:val="0"/>
                <w:color w:val="auto"/>
                <w:kern w:val="0"/>
                <w:highlight w:val="none"/>
                <w:lang w:val="en-US" w:eastAsia="zh-CN"/>
              </w:rPr>
            </w:pPr>
            <w:r>
              <w:rPr>
                <w:rFonts w:hint="eastAsia" w:cs="宋体"/>
                <w:b w:val="0"/>
                <w:bCs w:val="0"/>
                <w:color w:val="auto"/>
                <w:kern w:val="0"/>
                <w:highlight w:val="none"/>
                <w:lang w:val="en-US" w:eastAsia="zh-CN"/>
              </w:rPr>
              <w:t>6</w:t>
            </w:r>
          </w:p>
        </w:tc>
        <w:tc>
          <w:tcPr>
            <w:tcW w:w="464" w:type="pct"/>
            <w:noWrap w:val="0"/>
            <w:vAlign w:val="center"/>
          </w:tcPr>
          <w:p w14:paraId="2910BA43">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rPr>
              <w:t>桐庐</w:t>
            </w:r>
          </w:p>
        </w:tc>
        <w:tc>
          <w:tcPr>
            <w:tcW w:w="2224" w:type="pct"/>
            <w:noWrap w:val="0"/>
            <w:vAlign w:val="center"/>
          </w:tcPr>
          <w:p w14:paraId="59CD6131">
            <w:pPr>
              <w:widowControl/>
              <w:adjustRightInd w:val="0"/>
              <w:snapToGrid w:val="0"/>
              <w:spacing w:line="440" w:lineRule="exact"/>
              <w:jc w:val="center"/>
              <w:rPr>
                <w:rFonts w:hint="eastAsia" w:cs="宋体"/>
                <w:b w:val="0"/>
                <w:bCs w:val="0"/>
                <w:color w:val="auto"/>
                <w:kern w:val="0"/>
                <w:highlight w:val="none"/>
              </w:rPr>
            </w:pPr>
            <w:r>
              <w:rPr>
                <w:rFonts w:hint="eastAsia" w:cs="Times New Roman"/>
                <w:b w:val="0"/>
                <w:bCs w:val="0"/>
                <w:color w:val="auto"/>
                <w:sz w:val="24"/>
                <w:szCs w:val="24"/>
                <w:highlight w:val="none"/>
              </w:rPr>
              <w:t>S302（新淳线）淳安方向K16+500</w:t>
            </w:r>
          </w:p>
        </w:tc>
        <w:tc>
          <w:tcPr>
            <w:tcW w:w="500" w:type="pct"/>
            <w:noWrap w:val="0"/>
            <w:vAlign w:val="center"/>
          </w:tcPr>
          <w:p w14:paraId="4D604569">
            <w:pPr>
              <w:widowControl/>
              <w:adjustRightInd w:val="0"/>
              <w:snapToGrid w:val="0"/>
              <w:spacing w:line="440" w:lineRule="exact"/>
              <w:jc w:val="center"/>
              <w:rPr>
                <w:rFonts w:hint="eastAsia" w:eastAsia="仿宋" w:cs="宋体"/>
                <w:b w:val="0"/>
                <w:bCs w:val="0"/>
                <w:color w:val="auto"/>
                <w:kern w:val="0"/>
                <w:highlight w:val="none"/>
                <w:lang w:val="en-US" w:eastAsia="zh-CN"/>
              </w:rPr>
            </w:pPr>
            <w:r>
              <w:rPr>
                <w:rFonts w:hint="eastAsia" w:cs="宋体"/>
                <w:b w:val="0"/>
                <w:bCs w:val="0"/>
                <w:color w:val="auto"/>
                <w:kern w:val="0"/>
                <w:highlight w:val="none"/>
                <w:lang w:val="en-US" w:eastAsia="zh-CN"/>
              </w:rPr>
              <w:t>2</w:t>
            </w:r>
          </w:p>
        </w:tc>
        <w:tc>
          <w:tcPr>
            <w:tcW w:w="789" w:type="pct"/>
            <w:noWrap w:val="0"/>
            <w:vAlign w:val="center"/>
          </w:tcPr>
          <w:p w14:paraId="4DD6F09E">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lang w:val="en-US" w:eastAsia="zh-CN"/>
              </w:rPr>
              <w:t>单向</w:t>
            </w:r>
          </w:p>
        </w:tc>
        <w:tc>
          <w:tcPr>
            <w:tcW w:w="615" w:type="pct"/>
            <w:noWrap w:val="0"/>
            <w:vAlign w:val="center"/>
          </w:tcPr>
          <w:p w14:paraId="3CDFEE4D">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lang w:val="en-US" w:eastAsia="zh-CN"/>
              </w:rPr>
              <w:t>24个月</w:t>
            </w:r>
          </w:p>
        </w:tc>
      </w:tr>
      <w:tr w14:paraId="525D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04" w:type="pct"/>
            <w:noWrap w:val="0"/>
            <w:vAlign w:val="center"/>
          </w:tcPr>
          <w:p w14:paraId="55F422B9">
            <w:pPr>
              <w:widowControl/>
              <w:adjustRightInd w:val="0"/>
              <w:snapToGrid w:val="0"/>
              <w:spacing w:line="440" w:lineRule="exact"/>
              <w:jc w:val="center"/>
              <w:rPr>
                <w:rFonts w:hint="eastAsia" w:eastAsia="仿宋" w:cs="宋体"/>
                <w:b w:val="0"/>
                <w:bCs w:val="0"/>
                <w:color w:val="auto"/>
                <w:kern w:val="0"/>
                <w:highlight w:val="none"/>
                <w:lang w:val="en-US" w:eastAsia="zh-CN"/>
              </w:rPr>
            </w:pPr>
            <w:r>
              <w:rPr>
                <w:rFonts w:hint="eastAsia" w:cs="宋体"/>
                <w:b w:val="0"/>
                <w:bCs w:val="0"/>
                <w:color w:val="auto"/>
                <w:kern w:val="0"/>
                <w:highlight w:val="none"/>
                <w:lang w:val="en-US" w:eastAsia="zh-CN"/>
              </w:rPr>
              <w:t>7</w:t>
            </w:r>
          </w:p>
        </w:tc>
        <w:tc>
          <w:tcPr>
            <w:tcW w:w="464" w:type="pct"/>
            <w:noWrap w:val="0"/>
            <w:vAlign w:val="center"/>
          </w:tcPr>
          <w:p w14:paraId="784EFA0D">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rPr>
              <w:t>桐庐</w:t>
            </w:r>
          </w:p>
        </w:tc>
        <w:tc>
          <w:tcPr>
            <w:tcW w:w="2224" w:type="pct"/>
            <w:noWrap w:val="0"/>
            <w:vAlign w:val="center"/>
          </w:tcPr>
          <w:p w14:paraId="6C8BED70">
            <w:pPr>
              <w:widowControl/>
              <w:adjustRightInd w:val="0"/>
              <w:snapToGrid w:val="0"/>
              <w:spacing w:line="440" w:lineRule="exact"/>
              <w:jc w:val="center"/>
              <w:rPr>
                <w:rFonts w:hint="eastAsia" w:cs="宋体"/>
                <w:b w:val="0"/>
                <w:bCs w:val="0"/>
                <w:color w:val="auto"/>
                <w:kern w:val="0"/>
                <w:highlight w:val="none"/>
              </w:rPr>
            </w:pPr>
            <w:r>
              <w:rPr>
                <w:rFonts w:hint="eastAsia" w:cs="Times New Roman"/>
                <w:b w:val="0"/>
                <w:bCs w:val="0"/>
                <w:color w:val="auto"/>
                <w:sz w:val="24"/>
                <w:szCs w:val="24"/>
                <w:highlight w:val="none"/>
              </w:rPr>
              <w:t>S305（富衢线）富阳方向K55+200</w:t>
            </w:r>
          </w:p>
        </w:tc>
        <w:tc>
          <w:tcPr>
            <w:tcW w:w="500" w:type="pct"/>
            <w:noWrap w:val="0"/>
            <w:vAlign w:val="center"/>
          </w:tcPr>
          <w:p w14:paraId="0E729D3E">
            <w:pPr>
              <w:widowControl/>
              <w:adjustRightInd w:val="0"/>
              <w:snapToGrid w:val="0"/>
              <w:spacing w:line="440" w:lineRule="exact"/>
              <w:jc w:val="center"/>
              <w:rPr>
                <w:rFonts w:hint="eastAsia" w:eastAsia="仿宋" w:cs="宋体"/>
                <w:b w:val="0"/>
                <w:bCs w:val="0"/>
                <w:color w:val="auto"/>
                <w:kern w:val="0"/>
                <w:highlight w:val="none"/>
                <w:lang w:val="en-US" w:eastAsia="zh-CN"/>
              </w:rPr>
            </w:pPr>
            <w:r>
              <w:rPr>
                <w:rFonts w:hint="eastAsia" w:cs="宋体"/>
                <w:b w:val="0"/>
                <w:bCs w:val="0"/>
                <w:color w:val="auto"/>
                <w:kern w:val="0"/>
                <w:highlight w:val="none"/>
                <w:lang w:val="en-US" w:eastAsia="zh-CN"/>
              </w:rPr>
              <w:t>2</w:t>
            </w:r>
          </w:p>
        </w:tc>
        <w:tc>
          <w:tcPr>
            <w:tcW w:w="789" w:type="pct"/>
            <w:noWrap w:val="0"/>
            <w:vAlign w:val="center"/>
          </w:tcPr>
          <w:p w14:paraId="78DF1333">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lang w:val="en-US" w:eastAsia="zh-CN"/>
              </w:rPr>
              <w:t>单向</w:t>
            </w:r>
          </w:p>
        </w:tc>
        <w:tc>
          <w:tcPr>
            <w:tcW w:w="615" w:type="pct"/>
            <w:noWrap w:val="0"/>
            <w:vAlign w:val="center"/>
          </w:tcPr>
          <w:p w14:paraId="4D600C39">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lang w:val="en-US" w:eastAsia="zh-CN"/>
              </w:rPr>
              <w:t>24个月</w:t>
            </w:r>
          </w:p>
        </w:tc>
      </w:tr>
      <w:tr w14:paraId="0286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04" w:type="pct"/>
            <w:noWrap w:val="0"/>
            <w:vAlign w:val="center"/>
          </w:tcPr>
          <w:p w14:paraId="6DE5A0B2">
            <w:pPr>
              <w:widowControl/>
              <w:adjustRightInd w:val="0"/>
              <w:snapToGrid w:val="0"/>
              <w:spacing w:line="440" w:lineRule="exact"/>
              <w:jc w:val="center"/>
              <w:rPr>
                <w:rFonts w:hint="default" w:eastAsia="仿宋" w:cs="宋体"/>
                <w:b w:val="0"/>
                <w:bCs w:val="0"/>
                <w:color w:val="auto"/>
                <w:kern w:val="0"/>
                <w:highlight w:val="none"/>
                <w:lang w:val="en-US" w:eastAsia="zh-CN"/>
              </w:rPr>
            </w:pPr>
            <w:r>
              <w:rPr>
                <w:rFonts w:hint="eastAsia" w:cs="宋体"/>
                <w:b w:val="0"/>
                <w:bCs w:val="0"/>
                <w:color w:val="auto"/>
                <w:kern w:val="0"/>
                <w:highlight w:val="none"/>
                <w:lang w:val="en-US" w:eastAsia="zh-CN"/>
              </w:rPr>
              <w:t>8</w:t>
            </w:r>
          </w:p>
        </w:tc>
        <w:tc>
          <w:tcPr>
            <w:tcW w:w="464" w:type="pct"/>
            <w:noWrap w:val="0"/>
            <w:vAlign w:val="center"/>
          </w:tcPr>
          <w:p w14:paraId="666040D6">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rPr>
              <w:t>桐庐</w:t>
            </w:r>
          </w:p>
        </w:tc>
        <w:tc>
          <w:tcPr>
            <w:tcW w:w="2224" w:type="pct"/>
            <w:noWrap w:val="0"/>
            <w:vAlign w:val="center"/>
          </w:tcPr>
          <w:p w14:paraId="3F46AB8E">
            <w:pPr>
              <w:widowControl/>
              <w:adjustRightInd w:val="0"/>
              <w:snapToGrid w:val="0"/>
              <w:spacing w:line="440" w:lineRule="exact"/>
              <w:jc w:val="center"/>
              <w:rPr>
                <w:rFonts w:hint="eastAsia" w:cs="宋体"/>
                <w:b w:val="0"/>
                <w:bCs w:val="0"/>
                <w:color w:val="auto"/>
                <w:kern w:val="0"/>
                <w:highlight w:val="none"/>
              </w:rPr>
            </w:pPr>
            <w:r>
              <w:rPr>
                <w:rFonts w:hint="eastAsia" w:cs="Times New Roman"/>
                <w:b w:val="0"/>
                <w:bCs w:val="0"/>
                <w:color w:val="auto"/>
                <w:sz w:val="24"/>
                <w:szCs w:val="24"/>
                <w:highlight w:val="none"/>
              </w:rPr>
              <w:t>S305（富衢线）衢州方向K54+700</w:t>
            </w:r>
          </w:p>
        </w:tc>
        <w:tc>
          <w:tcPr>
            <w:tcW w:w="500" w:type="pct"/>
            <w:noWrap w:val="0"/>
            <w:vAlign w:val="center"/>
          </w:tcPr>
          <w:p w14:paraId="5A78A607">
            <w:pPr>
              <w:widowControl/>
              <w:adjustRightInd w:val="0"/>
              <w:snapToGrid w:val="0"/>
              <w:spacing w:line="440" w:lineRule="exact"/>
              <w:jc w:val="center"/>
              <w:rPr>
                <w:rFonts w:hint="eastAsia" w:eastAsia="仿宋" w:cs="宋体"/>
                <w:b w:val="0"/>
                <w:bCs w:val="0"/>
                <w:color w:val="auto"/>
                <w:kern w:val="0"/>
                <w:highlight w:val="none"/>
                <w:lang w:val="en-US" w:eastAsia="zh-CN"/>
              </w:rPr>
            </w:pPr>
            <w:r>
              <w:rPr>
                <w:rFonts w:hint="eastAsia" w:cs="宋体"/>
                <w:b w:val="0"/>
                <w:bCs w:val="0"/>
                <w:color w:val="auto"/>
                <w:kern w:val="0"/>
                <w:highlight w:val="none"/>
                <w:lang w:val="en-US" w:eastAsia="zh-CN"/>
              </w:rPr>
              <w:t>2</w:t>
            </w:r>
          </w:p>
        </w:tc>
        <w:tc>
          <w:tcPr>
            <w:tcW w:w="789" w:type="pct"/>
            <w:noWrap w:val="0"/>
            <w:vAlign w:val="center"/>
          </w:tcPr>
          <w:p w14:paraId="44B87227">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lang w:val="en-US" w:eastAsia="zh-CN"/>
              </w:rPr>
              <w:t>单向</w:t>
            </w:r>
          </w:p>
        </w:tc>
        <w:tc>
          <w:tcPr>
            <w:tcW w:w="615" w:type="pct"/>
            <w:noWrap w:val="0"/>
            <w:vAlign w:val="center"/>
          </w:tcPr>
          <w:p w14:paraId="44FD3D2B">
            <w:pPr>
              <w:widowControl/>
              <w:adjustRightInd w:val="0"/>
              <w:snapToGrid w:val="0"/>
              <w:spacing w:line="440" w:lineRule="exact"/>
              <w:jc w:val="center"/>
              <w:rPr>
                <w:rFonts w:hint="eastAsia" w:cs="宋体"/>
                <w:b w:val="0"/>
                <w:bCs w:val="0"/>
                <w:color w:val="auto"/>
                <w:kern w:val="0"/>
                <w:highlight w:val="none"/>
              </w:rPr>
            </w:pPr>
            <w:r>
              <w:rPr>
                <w:rFonts w:hint="eastAsia" w:cs="宋体"/>
                <w:b w:val="0"/>
                <w:bCs w:val="0"/>
                <w:color w:val="auto"/>
                <w:kern w:val="0"/>
                <w:highlight w:val="none"/>
                <w:lang w:val="en-US" w:eastAsia="zh-CN"/>
              </w:rPr>
              <w:t>24个月</w:t>
            </w:r>
          </w:p>
        </w:tc>
      </w:tr>
    </w:tbl>
    <w:p w14:paraId="3814E259">
      <w:pPr>
        <w:numPr>
          <w:ilvl w:val="0"/>
          <w:numId w:val="1"/>
        </w:numPr>
        <w:autoSpaceDE w:val="0"/>
        <w:autoSpaceDN w:val="0"/>
        <w:spacing w:line="440" w:lineRule="exact"/>
        <w:ind w:firstLine="422" w:firstLineChars="200"/>
        <w:rPr>
          <w:b/>
          <w:szCs w:val="22"/>
          <w:lang w:val="zh-CN"/>
        </w:rPr>
      </w:pPr>
      <w:r>
        <w:rPr>
          <w:rFonts w:hint="eastAsia"/>
          <w:b/>
        </w:rPr>
        <w:t>验收</w:t>
      </w:r>
    </w:p>
    <w:p w14:paraId="6A0CE033">
      <w:pPr>
        <w:autoSpaceDE w:val="0"/>
        <w:autoSpaceDN w:val="0"/>
        <w:spacing w:line="440" w:lineRule="exact"/>
        <w:ind w:firstLine="480" w:firstLineChars="200"/>
        <w:rPr>
          <w:b/>
          <w:szCs w:val="22"/>
          <w:lang w:val="zh-CN"/>
        </w:rPr>
      </w:pPr>
      <w:r>
        <w:rPr>
          <w:rFonts w:hint="eastAsia" w:ascii="Times New Roman" w:hAnsi="Times New Roman" w:eastAsia="宋体" w:cs="Times New Roman"/>
          <w:b w:val="0"/>
          <w:bCs/>
          <w:color w:val="auto"/>
          <w:kern w:val="2"/>
          <w:sz w:val="24"/>
          <w:szCs w:val="24"/>
          <w:lang w:val="en-US" w:eastAsia="zh-CN" w:bidi="ar-SA"/>
        </w:rPr>
        <w:t>严格按照相关的法律法规执行，有新规定的按照新规定标准执行，由采购人自行组织验收。</w:t>
      </w:r>
    </w:p>
    <w:p w14:paraId="10763D0D">
      <w:pPr>
        <w:numPr>
          <w:ilvl w:val="0"/>
          <w:numId w:val="1"/>
        </w:numPr>
        <w:autoSpaceDE w:val="0"/>
        <w:autoSpaceDN w:val="0"/>
        <w:spacing w:line="440" w:lineRule="exact"/>
        <w:ind w:firstLine="422" w:firstLineChars="200"/>
        <w:rPr>
          <w:b/>
          <w:szCs w:val="22"/>
          <w:lang w:val="zh-CN"/>
        </w:rPr>
      </w:pPr>
      <w:r>
        <w:rPr>
          <w:rFonts w:hint="eastAsia"/>
          <w:b/>
          <w:szCs w:val="22"/>
          <w:lang w:val="zh-CN"/>
        </w:rPr>
        <w:t>其他说明</w:t>
      </w:r>
    </w:p>
    <w:p w14:paraId="4DEB8BA6">
      <w:pPr>
        <w:autoSpaceDE w:val="0"/>
        <w:autoSpaceDN w:val="0"/>
        <w:spacing w:line="440" w:lineRule="exact"/>
        <w:ind w:firstLine="480" w:firstLineChars="200"/>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1、配备必要的项目负责人及对接人员等（视实际情况自行配备）。</w:t>
      </w:r>
    </w:p>
    <w:p w14:paraId="0846B03D">
      <w:pPr>
        <w:autoSpaceDE w:val="0"/>
        <w:autoSpaceDN w:val="0"/>
        <w:spacing w:line="440" w:lineRule="exact"/>
        <w:ind w:firstLine="480" w:firstLineChars="200"/>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2、中标方须严格按照标准化的操作程序、和质量控制体系完成本项目服务，以保证整个项目安全、高效、有序和有计划地进行。</w:t>
      </w:r>
    </w:p>
    <w:p w14:paraId="7511DD80">
      <w:pPr>
        <w:autoSpaceDE w:val="0"/>
        <w:autoSpaceDN w:val="0"/>
        <w:spacing w:line="440" w:lineRule="exact"/>
        <w:ind w:firstLine="480" w:firstLineChars="200"/>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3、中标方有责任配合招标方接受上级领导部门的监督、检查，提供必须的资料。</w:t>
      </w:r>
    </w:p>
    <w:p w14:paraId="5589250E">
      <w:pPr>
        <w:autoSpaceDE w:val="0"/>
        <w:autoSpaceDN w:val="0"/>
        <w:spacing w:line="440" w:lineRule="exact"/>
        <w:ind w:firstLine="480" w:firstLineChars="200"/>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4、中标方须承担在交付验收前发生的一切事宜全部责任。</w:t>
      </w:r>
    </w:p>
    <w:p w14:paraId="433958A6">
      <w:pPr>
        <w:autoSpaceDE w:val="0"/>
        <w:autoSpaceDN w:val="0"/>
        <w:spacing w:line="440" w:lineRule="exact"/>
        <w:ind w:firstLine="480" w:firstLineChars="200"/>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5、如因中标人方原因造成第三方损失的或在服务过程中中标方与从业人员发生任何劳动纠纷的，一切责任及费用由中标方全部负责。</w:t>
      </w:r>
    </w:p>
    <w:p w14:paraId="2F4EF520">
      <w:pPr>
        <w:autoSpaceDE w:val="0"/>
        <w:autoSpaceDN w:val="0"/>
        <w:spacing w:line="440" w:lineRule="exact"/>
        <w:ind w:firstLine="480" w:firstLineChars="200"/>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6、投标报价包含人工费、管理费、利润、税金和根据合同全包运维服务设备更新等确保点位正常运行的所有费用，以及可合理推断的责任和义务。</w:t>
      </w:r>
    </w:p>
    <w:p w14:paraId="54D2DA3C">
      <w:pPr>
        <w:autoSpaceDE w:val="0"/>
        <w:autoSpaceDN w:val="0"/>
        <w:spacing w:line="440" w:lineRule="exact"/>
        <w:ind w:firstLine="480" w:firstLineChars="200"/>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7、业主方不接受投标人任何因遗漏报价而发生的费用追加。</w:t>
      </w:r>
    </w:p>
    <w:p w14:paraId="76C41F49">
      <w:pPr>
        <w:autoSpaceDE w:val="0"/>
        <w:autoSpaceDN w:val="0"/>
        <w:spacing w:line="440" w:lineRule="exact"/>
        <w:ind w:firstLine="480" w:firstLineChars="200"/>
      </w:pPr>
      <w:r>
        <w:rPr>
          <w:rFonts w:hint="eastAsia" w:ascii="Times New Roman" w:hAnsi="Times New Roman" w:eastAsia="宋体" w:cs="Times New Roman"/>
          <w:b w:val="0"/>
          <w:bCs/>
          <w:color w:val="auto"/>
          <w:kern w:val="2"/>
          <w:sz w:val="24"/>
          <w:szCs w:val="24"/>
          <w:lang w:val="en-US" w:eastAsia="zh-CN" w:bidi="ar-SA"/>
        </w:rPr>
        <w:t>8、中标人须认真履行职责，严格按服务协议中的质量保证体系做好承包服务工作。确保符合各项要求和质量标准。</w:t>
      </w:r>
    </w:p>
    <w:p w14:paraId="12D30DD8">
      <w:pPr>
        <w:spacing w:line="440" w:lineRule="exact"/>
        <w:ind w:firstLine="422" w:firstLineChars="200"/>
        <w:rPr>
          <w:b/>
        </w:rPr>
      </w:pPr>
      <w:r>
        <w:rPr>
          <w:rFonts w:hint="eastAsia"/>
          <w:b/>
        </w:rPr>
        <w:t>五、履约保证金</w:t>
      </w:r>
    </w:p>
    <w:p w14:paraId="394465A1">
      <w:pPr>
        <w:autoSpaceDE w:val="0"/>
        <w:autoSpaceDN w:val="0"/>
        <w:spacing w:line="440" w:lineRule="exact"/>
        <w:ind w:firstLine="480" w:firstLineChars="200"/>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（1）本项目的履约保证金按合同总价的0.1%收取，中标人在合同签订后5日内交付至指定账户。履约期结束，采购人无息退还履约保证金。</w:t>
      </w:r>
    </w:p>
    <w:p w14:paraId="274B41F9">
      <w:pPr>
        <w:autoSpaceDE w:val="0"/>
        <w:autoSpaceDN w:val="0"/>
        <w:spacing w:line="440" w:lineRule="exact"/>
        <w:ind w:firstLine="480" w:firstLineChars="200"/>
        <w:rPr>
          <w:rFonts w:hint="eastAsia"/>
          <w:color w:val="auto"/>
          <w:highlight w:val="none"/>
        </w:rPr>
      </w:pPr>
      <w:r>
        <w:rPr>
          <w:rFonts w:hint="eastAsia" w:ascii="Times New Roman" w:hAnsi="Times New Roman" w:eastAsia="宋体" w:cs="Times New Roman"/>
          <w:b w:val="0"/>
          <w:bCs/>
          <w:color w:val="auto"/>
          <w:kern w:val="2"/>
          <w:sz w:val="24"/>
          <w:szCs w:val="24"/>
          <w:lang w:val="en-US" w:eastAsia="zh-CN" w:bidi="ar-SA"/>
        </w:rPr>
        <w:t>（2）缴纳方式：可采用转账或履约保函形式。</w:t>
      </w:r>
    </w:p>
    <w:p w14:paraId="36A244ED">
      <w:pPr>
        <w:spacing w:line="440" w:lineRule="exact"/>
        <w:ind w:firstLine="422" w:firstLineChars="200"/>
        <w:rPr>
          <w:b/>
          <w:bCs/>
          <w:color w:val="auto"/>
          <w:highlight w:val="none"/>
        </w:rPr>
      </w:pPr>
      <w:r>
        <w:rPr>
          <w:rFonts w:hint="eastAsia"/>
          <w:b/>
          <w:bCs/>
          <w:color w:val="auto"/>
          <w:highlight w:val="none"/>
        </w:rPr>
        <w:t>六、付款方式</w:t>
      </w:r>
    </w:p>
    <w:p w14:paraId="0371FC6E">
      <w:pPr>
        <w:autoSpaceDE w:val="0"/>
        <w:autoSpaceDN w:val="0"/>
        <w:spacing w:line="440" w:lineRule="exact"/>
        <w:ind w:firstLine="480" w:firstLineChars="200"/>
        <w:rPr>
          <w:rFonts w:hint="eastAsia" w:ascii="Times New Roman" w:hAnsi="Times New Roman" w:eastAsia="宋体" w:cs="Times New Roman"/>
          <w:b w:val="0"/>
          <w:bCs/>
          <w:snapToGrid/>
          <w:color w:val="auto"/>
          <w:kern w:val="2"/>
          <w:sz w:val="24"/>
          <w:szCs w:val="24"/>
          <w:lang w:val="en-US" w:eastAsia="zh-CN" w:bidi="ar-SA"/>
        </w:rPr>
      </w:pPr>
      <w:r>
        <w:rPr>
          <w:rFonts w:hint="eastAsia" w:ascii="Times New Roman" w:hAnsi="Times New Roman" w:eastAsia="宋体" w:cs="Times New Roman"/>
          <w:b w:val="0"/>
          <w:bCs/>
          <w:snapToGrid/>
          <w:color w:val="auto"/>
          <w:kern w:val="2"/>
          <w:sz w:val="24"/>
          <w:szCs w:val="24"/>
          <w:lang w:val="en-US" w:eastAsia="zh-CN" w:bidi="ar-SA"/>
        </w:rPr>
        <w:t>合同周期内每季度末支付合同款项总额的12.5%。首次付款需满足车道的称重设备整体更新完成至30%。</w:t>
      </w:r>
    </w:p>
    <w:p w14:paraId="6EF1DD15">
      <w:pPr>
        <w:autoSpaceDE w:val="0"/>
        <w:autoSpaceDN w:val="0"/>
        <w:adjustRightInd w:val="0"/>
        <w:spacing w:line="440" w:lineRule="exact"/>
        <w:ind w:firstLine="723" w:firstLineChars="300"/>
        <w:jc w:val="center"/>
        <w:rPr>
          <w:rFonts w:hint="eastAsia" w:ascii="宋体" w:hAnsi="宋体" w:cs="宋体"/>
          <w:b/>
          <w:color w:val="auto"/>
          <w:sz w:val="36"/>
          <w:szCs w:val="36"/>
          <w:highlight w:val="none"/>
        </w:rPr>
      </w:pPr>
      <w:r>
        <w:rPr>
          <w:rFonts w:hint="eastAsia" w:ascii="宋体" w:hAnsi="宋体" w:eastAsia="宋体" w:cs="宋体"/>
          <w:b/>
          <w:bCs/>
          <w:kern w:val="0"/>
          <w:sz w:val="24"/>
          <w:highlight w:val="none"/>
          <w:lang w:val="en-US" w:eastAsia="zh-CN"/>
        </w:rPr>
        <w:br w:type="page"/>
      </w:r>
      <w:r>
        <w:rPr>
          <w:rFonts w:hint="eastAsia" w:ascii="宋体" w:hAnsi="宋体" w:cs="宋体"/>
          <w:b/>
          <w:color w:val="auto"/>
          <w:sz w:val="36"/>
          <w:szCs w:val="36"/>
          <w:highlight w:val="none"/>
        </w:rPr>
        <w:t xml:space="preserve">第四部分   </w:t>
      </w:r>
      <w:bookmarkStart w:id="28" w:name="_Toc184314453"/>
      <w:bookmarkEnd w:id="28"/>
      <w:bookmarkStart w:id="29" w:name="_Toc184308100"/>
      <w:bookmarkEnd w:id="29"/>
      <w:bookmarkStart w:id="30" w:name="_Toc184313283"/>
      <w:bookmarkEnd w:id="30"/>
      <w:bookmarkStart w:id="31" w:name="_Toc184313246"/>
      <w:bookmarkEnd w:id="31"/>
      <w:bookmarkStart w:id="32" w:name="_Toc184308091"/>
      <w:bookmarkEnd w:id="32"/>
      <w:bookmarkStart w:id="33" w:name="_Toc184313304"/>
      <w:bookmarkEnd w:id="33"/>
      <w:bookmarkStart w:id="34" w:name="_Toc184312130"/>
      <w:bookmarkEnd w:id="34"/>
      <w:bookmarkStart w:id="35" w:name="_Toc184310318"/>
      <w:bookmarkEnd w:id="35"/>
      <w:bookmarkStart w:id="36" w:name="_Toc184310323"/>
      <w:bookmarkEnd w:id="36"/>
      <w:bookmarkStart w:id="37" w:name="_Toc184314452"/>
      <w:bookmarkEnd w:id="37"/>
      <w:bookmarkStart w:id="38" w:name="_Toc184314466"/>
      <w:bookmarkEnd w:id="38"/>
      <w:bookmarkStart w:id="39" w:name="_Toc184308049"/>
      <w:bookmarkEnd w:id="39"/>
      <w:bookmarkStart w:id="40" w:name="_Toc184308051"/>
      <w:bookmarkEnd w:id="40"/>
      <w:bookmarkStart w:id="41" w:name="_Toc184308064"/>
      <w:bookmarkEnd w:id="41"/>
      <w:bookmarkStart w:id="42" w:name="_Toc184313277"/>
      <w:bookmarkEnd w:id="42"/>
      <w:bookmarkStart w:id="43" w:name="_Toc184314436"/>
      <w:bookmarkEnd w:id="43"/>
      <w:bookmarkStart w:id="44" w:name="_Toc184314414"/>
      <w:bookmarkEnd w:id="44"/>
      <w:bookmarkStart w:id="45" w:name="_Toc184312132"/>
      <w:bookmarkEnd w:id="45"/>
      <w:bookmarkStart w:id="46" w:name="_Toc184310340"/>
      <w:bookmarkEnd w:id="46"/>
      <w:bookmarkStart w:id="47" w:name="_Toc184314473"/>
      <w:bookmarkEnd w:id="47"/>
      <w:bookmarkStart w:id="48" w:name="_Toc184310342"/>
      <w:bookmarkEnd w:id="48"/>
      <w:bookmarkStart w:id="49" w:name="_Toc184310333"/>
      <w:bookmarkEnd w:id="49"/>
      <w:bookmarkStart w:id="50" w:name="_Toc184314410"/>
      <w:bookmarkEnd w:id="50"/>
      <w:bookmarkStart w:id="51" w:name="_Toc184313310"/>
      <w:bookmarkEnd w:id="51"/>
      <w:bookmarkStart w:id="52" w:name="_Toc184313278"/>
      <w:bookmarkEnd w:id="52"/>
      <w:bookmarkStart w:id="53" w:name="_Toc184308083"/>
      <w:bookmarkEnd w:id="53"/>
      <w:bookmarkStart w:id="54" w:name="_Toc184310282"/>
      <w:bookmarkEnd w:id="54"/>
      <w:bookmarkStart w:id="55" w:name="_Toc184308039"/>
      <w:bookmarkEnd w:id="55"/>
      <w:bookmarkStart w:id="56" w:name="_Toc184310304"/>
      <w:bookmarkEnd w:id="56"/>
      <w:bookmarkStart w:id="57" w:name="_Toc184314418"/>
      <w:bookmarkEnd w:id="57"/>
      <w:bookmarkStart w:id="58" w:name="_Toc184314475"/>
      <w:bookmarkEnd w:id="58"/>
      <w:bookmarkStart w:id="59" w:name="_Toc184312075"/>
      <w:bookmarkEnd w:id="59"/>
      <w:bookmarkStart w:id="60" w:name="_Toc184310325"/>
      <w:bookmarkEnd w:id="60"/>
      <w:bookmarkStart w:id="61" w:name="_Toc184310344"/>
      <w:bookmarkEnd w:id="61"/>
      <w:bookmarkStart w:id="62" w:name="_Toc184313298"/>
      <w:bookmarkEnd w:id="62"/>
      <w:bookmarkStart w:id="63" w:name="_Toc184310329"/>
      <w:bookmarkEnd w:id="63"/>
      <w:bookmarkStart w:id="64" w:name="_Toc184310291"/>
      <w:bookmarkEnd w:id="64"/>
      <w:bookmarkStart w:id="65" w:name="_Toc184313241"/>
      <w:bookmarkEnd w:id="65"/>
      <w:bookmarkStart w:id="66" w:name="_Toc184312073"/>
      <w:bookmarkEnd w:id="66"/>
      <w:bookmarkStart w:id="67" w:name="_Toc184312103"/>
      <w:bookmarkEnd w:id="67"/>
      <w:bookmarkStart w:id="68" w:name="_Toc184312092"/>
      <w:bookmarkEnd w:id="68"/>
      <w:bookmarkStart w:id="69" w:name="_Toc184314470"/>
      <w:bookmarkEnd w:id="69"/>
      <w:bookmarkStart w:id="70" w:name="_Toc184310331"/>
      <w:bookmarkEnd w:id="70"/>
      <w:bookmarkStart w:id="71" w:name="_Toc184312121"/>
      <w:bookmarkEnd w:id="71"/>
      <w:bookmarkStart w:id="72" w:name="_Toc184312138"/>
      <w:bookmarkEnd w:id="72"/>
      <w:bookmarkStart w:id="73" w:name="_Toc184310328"/>
      <w:bookmarkEnd w:id="73"/>
      <w:bookmarkStart w:id="74" w:name="_Toc184313242"/>
      <w:bookmarkEnd w:id="74"/>
      <w:bookmarkStart w:id="75" w:name="_Toc184313294"/>
      <w:bookmarkEnd w:id="75"/>
      <w:bookmarkStart w:id="76" w:name="_Toc184308041"/>
      <w:bookmarkEnd w:id="76"/>
      <w:bookmarkStart w:id="77" w:name="_Toc184308106"/>
      <w:bookmarkEnd w:id="77"/>
      <w:bookmarkStart w:id="78" w:name="_Toc184308090"/>
      <w:bookmarkEnd w:id="78"/>
      <w:bookmarkStart w:id="79" w:name="_Toc184314435"/>
      <w:bookmarkEnd w:id="79"/>
      <w:bookmarkStart w:id="80" w:name="_Toc184314481"/>
      <w:bookmarkEnd w:id="80"/>
      <w:bookmarkStart w:id="81" w:name="_Toc184312133"/>
      <w:bookmarkEnd w:id="81"/>
      <w:bookmarkStart w:id="82" w:name="_Toc184310279"/>
      <w:bookmarkEnd w:id="82"/>
      <w:bookmarkStart w:id="83" w:name="_Toc184312068"/>
      <w:bookmarkEnd w:id="83"/>
      <w:bookmarkStart w:id="84" w:name="_Toc184310283"/>
      <w:bookmarkEnd w:id="84"/>
      <w:bookmarkStart w:id="85" w:name="_Toc184312096"/>
      <w:bookmarkEnd w:id="85"/>
      <w:bookmarkStart w:id="86" w:name="_Toc184312085"/>
      <w:bookmarkEnd w:id="86"/>
      <w:bookmarkStart w:id="87" w:name="_Toc184310303"/>
      <w:bookmarkEnd w:id="87"/>
      <w:bookmarkStart w:id="88" w:name="_Toc184308079"/>
      <w:bookmarkEnd w:id="88"/>
      <w:bookmarkStart w:id="89" w:name="_Toc184314463"/>
      <w:bookmarkEnd w:id="89"/>
      <w:bookmarkStart w:id="90" w:name="_Toc184308063"/>
      <w:bookmarkEnd w:id="90"/>
      <w:bookmarkStart w:id="91" w:name="_Toc184310334"/>
      <w:bookmarkEnd w:id="91"/>
      <w:bookmarkStart w:id="92" w:name="_Toc184308044"/>
      <w:bookmarkEnd w:id="92"/>
      <w:bookmarkStart w:id="93" w:name="_Toc184310316"/>
      <w:bookmarkEnd w:id="93"/>
      <w:bookmarkStart w:id="94" w:name="_Toc184308052"/>
      <w:bookmarkEnd w:id="94"/>
      <w:bookmarkStart w:id="95" w:name="_Toc184310322"/>
      <w:bookmarkEnd w:id="95"/>
      <w:bookmarkStart w:id="96" w:name="_Toc184314412"/>
      <w:bookmarkEnd w:id="96"/>
      <w:bookmarkStart w:id="97" w:name="_Toc184312124"/>
      <w:bookmarkEnd w:id="97"/>
      <w:bookmarkStart w:id="98" w:name="_Toc184313266"/>
      <w:bookmarkEnd w:id="98"/>
      <w:bookmarkStart w:id="99" w:name="_Toc184310327"/>
      <w:bookmarkEnd w:id="99"/>
      <w:bookmarkStart w:id="100" w:name="_Toc184310298"/>
      <w:bookmarkEnd w:id="100"/>
      <w:bookmarkStart w:id="101" w:name="_Toc184310341"/>
      <w:bookmarkEnd w:id="101"/>
      <w:bookmarkStart w:id="102" w:name="_Toc184314448"/>
      <w:bookmarkEnd w:id="102"/>
      <w:bookmarkStart w:id="103" w:name="_Toc184308038"/>
      <w:bookmarkEnd w:id="103"/>
      <w:bookmarkStart w:id="104" w:name="_Toc184313268"/>
      <w:bookmarkEnd w:id="104"/>
      <w:bookmarkStart w:id="105" w:name="_Toc184310294"/>
      <w:bookmarkEnd w:id="105"/>
      <w:bookmarkStart w:id="106" w:name="_Toc184314438"/>
      <w:bookmarkEnd w:id="106"/>
      <w:bookmarkStart w:id="107" w:name="_Toc184314479"/>
      <w:bookmarkEnd w:id="107"/>
      <w:bookmarkStart w:id="108" w:name="_Toc184313297"/>
      <w:bookmarkEnd w:id="108"/>
      <w:bookmarkStart w:id="109" w:name="_Toc184314464"/>
      <w:bookmarkEnd w:id="109"/>
      <w:bookmarkStart w:id="110" w:name="_Toc184308092"/>
      <w:bookmarkEnd w:id="110"/>
      <w:bookmarkStart w:id="111" w:name="_Toc184308082"/>
      <w:bookmarkEnd w:id="111"/>
      <w:bookmarkStart w:id="112" w:name="_Toc184310313"/>
      <w:bookmarkEnd w:id="112"/>
      <w:bookmarkStart w:id="113" w:name="_Toc184308088"/>
      <w:bookmarkEnd w:id="113"/>
      <w:bookmarkStart w:id="114" w:name="_Toc184308047"/>
      <w:bookmarkEnd w:id="114"/>
      <w:bookmarkStart w:id="115" w:name="_Toc184313240"/>
      <w:bookmarkEnd w:id="115"/>
      <w:bookmarkStart w:id="116" w:name="_Toc184308050"/>
      <w:bookmarkEnd w:id="116"/>
      <w:bookmarkStart w:id="117" w:name="_Toc184314413"/>
      <w:bookmarkEnd w:id="117"/>
      <w:bookmarkStart w:id="118" w:name="_Toc184308089"/>
      <w:bookmarkEnd w:id="118"/>
      <w:bookmarkStart w:id="119" w:name="_Toc184310289"/>
      <w:bookmarkEnd w:id="119"/>
      <w:bookmarkStart w:id="120" w:name="_Toc184308037"/>
      <w:bookmarkEnd w:id="120"/>
      <w:bookmarkStart w:id="121" w:name="_Toc184313289"/>
      <w:bookmarkEnd w:id="121"/>
      <w:bookmarkStart w:id="122" w:name="_Toc184310288"/>
      <w:bookmarkEnd w:id="122"/>
      <w:bookmarkStart w:id="123" w:name="_Toc184308073"/>
      <w:bookmarkEnd w:id="123"/>
      <w:bookmarkStart w:id="124" w:name="_Toc184313254"/>
      <w:bookmarkEnd w:id="124"/>
      <w:bookmarkStart w:id="125" w:name="_Toc184310336"/>
      <w:bookmarkEnd w:id="125"/>
      <w:bookmarkStart w:id="126" w:name="_Toc184310309"/>
      <w:bookmarkEnd w:id="126"/>
      <w:bookmarkStart w:id="127" w:name="_Toc184312067"/>
      <w:bookmarkEnd w:id="127"/>
      <w:bookmarkStart w:id="128" w:name="_Toc184312102"/>
      <w:bookmarkEnd w:id="128"/>
      <w:bookmarkStart w:id="129" w:name="_Toc184312071"/>
      <w:bookmarkEnd w:id="129"/>
      <w:bookmarkStart w:id="130" w:name="_Toc184313243"/>
      <w:bookmarkEnd w:id="130"/>
      <w:bookmarkStart w:id="131" w:name="_Toc184314467"/>
      <w:bookmarkEnd w:id="131"/>
      <w:bookmarkStart w:id="132" w:name="_Toc184312104"/>
      <w:bookmarkEnd w:id="132"/>
      <w:bookmarkStart w:id="133" w:name="_Toc184312111"/>
      <w:bookmarkEnd w:id="133"/>
      <w:bookmarkStart w:id="134" w:name="_Toc184312088"/>
      <w:bookmarkEnd w:id="134"/>
      <w:bookmarkStart w:id="135" w:name="_Toc184314461"/>
      <w:bookmarkEnd w:id="135"/>
      <w:bookmarkStart w:id="136" w:name="_Toc184312129"/>
      <w:bookmarkEnd w:id="136"/>
      <w:bookmarkStart w:id="137" w:name="_Toc184313281"/>
      <w:bookmarkEnd w:id="137"/>
      <w:bookmarkStart w:id="138" w:name="_Toc184314429"/>
      <w:bookmarkEnd w:id="138"/>
      <w:bookmarkStart w:id="139" w:name="_Toc184310297"/>
      <w:bookmarkEnd w:id="139"/>
      <w:bookmarkStart w:id="140" w:name="_Toc184312139"/>
      <w:bookmarkEnd w:id="140"/>
      <w:bookmarkStart w:id="141" w:name="_Toc184314456"/>
      <w:bookmarkEnd w:id="141"/>
      <w:bookmarkStart w:id="142" w:name="_Toc184308062"/>
      <w:bookmarkEnd w:id="142"/>
      <w:bookmarkStart w:id="143" w:name="_Toc184308105"/>
      <w:bookmarkEnd w:id="143"/>
      <w:bookmarkStart w:id="144" w:name="_Toc184314431"/>
      <w:bookmarkEnd w:id="144"/>
      <w:bookmarkStart w:id="145" w:name="_Toc184314465"/>
      <w:bookmarkEnd w:id="145"/>
      <w:bookmarkStart w:id="146" w:name="_Toc184312087"/>
      <w:bookmarkEnd w:id="146"/>
      <w:bookmarkStart w:id="147" w:name="_Toc184308107"/>
      <w:bookmarkEnd w:id="147"/>
      <w:bookmarkStart w:id="148" w:name="_Toc184313291"/>
      <w:bookmarkEnd w:id="148"/>
      <w:bookmarkStart w:id="149" w:name="_Toc184312122"/>
      <w:bookmarkEnd w:id="149"/>
      <w:bookmarkStart w:id="150" w:name="_Toc184314432"/>
      <w:bookmarkEnd w:id="150"/>
      <w:bookmarkStart w:id="151" w:name="_Toc184312106"/>
      <w:bookmarkEnd w:id="151"/>
      <w:bookmarkStart w:id="152" w:name="_Toc184310317"/>
      <w:bookmarkEnd w:id="152"/>
      <w:bookmarkStart w:id="153" w:name="_Toc184313307"/>
      <w:bookmarkEnd w:id="153"/>
      <w:bookmarkStart w:id="154" w:name="_Toc184314460"/>
      <w:bookmarkEnd w:id="154"/>
      <w:bookmarkStart w:id="155" w:name="_Toc184310280"/>
      <w:bookmarkEnd w:id="155"/>
      <w:bookmarkStart w:id="156" w:name="_Toc184312128"/>
      <w:bookmarkEnd w:id="156"/>
      <w:bookmarkStart w:id="157" w:name="_Toc184314430"/>
      <w:bookmarkEnd w:id="157"/>
      <w:bookmarkStart w:id="158" w:name="_Toc184313306"/>
      <w:bookmarkEnd w:id="158"/>
      <w:bookmarkStart w:id="159" w:name="_Toc184313253"/>
      <w:bookmarkEnd w:id="159"/>
      <w:bookmarkStart w:id="160" w:name="_Toc184314477"/>
      <w:bookmarkEnd w:id="160"/>
      <w:bookmarkStart w:id="161" w:name="_Toc184312117"/>
      <w:bookmarkEnd w:id="161"/>
      <w:bookmarkStart w:id="162" w:name="_Toc184313286"/>
      <w:bookmarkEnd w:id="162"/>
      <w:bookmarkStart w:id="163" w:name="_Toc184312114"/>
      <w:bookmarkEnd w:id="163"/>
      <w:bookmarkStart w:id="164" w:name="_Toc184314468"/>
      <w:bookmarkEnd w:id="164"/>
      <w:bookmarkStart w:id="165" w:name="_Toc184314449"/>
      <w:bookmarkEnd w:id="165"/>
      <w:bookmarkStart w:id="166" w:name="_Toc184308068"/>
      <w:bookmarkEnd w:id="166"/>
      <w:bookmarkStart w:id="167" w:name="_Toc184313255"/>
      <w:bookmarkEnd w:id="167"/>
      <w:bookmarkStart w:id="168" w:name="_Toc184310302"/>
      <w:bookmarkEnd w:id="168"/>
      <w:bookmarkStart w:id="169" w:name="_Toc184312089"/>
      <w:bookmarkEnd w:id="169"/>
      <w:bookmarkStart w:id="170" w:name="_Toc184308099"/>
      <w:bookmarkEnd w:id="170"/>
      <w:bookmarkStart w:id="171" w:name="_Toc184308056"/>
      <w:bookmarkEnd w:id="171"/>
      <w:bookmarkStart w:id="172" w:name="_Toc184310305"/>
      <w:bookmarkEnd w:id="172"/>
      <w:bookmarkStart w:id="173" w:name="_Toc184310295"/>
      <w:bookmarkEnd w:id="173"/>
      <w:bookmarkStart w:id="174" w:name="_Toc184308093"/>
      <w:bookmarkEnd w:id="174"/>
      <w:bookmarkStart w:id="175" w:name="_Toc184308066"/>
      <w:bookmarkEnd w:id="175"/>
      <w:bookmarkStart w:id="176" w:name="_Toc184312120"/>
      <w:bookmarkEnd w:id="176"/>
      <w:bookmarkStart w:id="177" w:name="_Toc184312116"/>
      <w:bookmarkEnd w:id="177"/>
      <w:bookmarkStart w:id="178" w:name="_Toc184308074"/>
      <w:bookmarkEnd w:id="178"/>
      <w:bookmarkStart w:id="179" w:name="_Toc184312090"/>
      <w:bookmarkEnd w:id="179"/>
      <w:bookmarkStart w:id="180" w:name="_Toc184312135"/>
      <w:bookmarkEnd w:id="180"/>
      <w:bookmarkStart w:id="181" w:name="_Toc184312094"/>
      <w:bookmarkEnd w:id="181"/>
      <w:bookmarkStart w:id="182" w:name="_Toc184314469"/>
      <w:bookmarkEnd w:id="182"/>
      <w:bookmarkStart w:id="183" w:name="_Toc184310300"/>
      <w:bookmarkEnd w:id="183"/>
      <w:bookmarkStart w:id="184" w:name="_Toc184308042"/>
      <w:bookmarkEnd w:id="184"/>
      <w:bookmarkStart w:id="185" w:name="_Toc184312119"/>
      <w:bookmarkEnd w:id="185"/>
      <w:bookmarkStart w:id="186" w:name="_Toc184310338"/>
      <w:bookmarkEnd w:id="186"/>
      <w:bookmarkStart w:id="187" w:name="_Toc184310339"/>
      <w:bookmarkEnd w:id="187"/>
      <w:bookmarkStart w:id="188" w:name="_Toc184308043"/>
      <w:bookmarkEnd w:id="188"/>
      <w:bookmarkStart w:id="189" w:name="_Toc184314457"/>
      <w:bookmarkEnd w:id="189"/>
      <w:bookmarkStart w:id="190" w:name="_Toc184308104"/>
      <w:bookmarkEnd w:id="190"/>
      <w:bookmarkStart w:id="191" w:name="_Toc184313301"/>
      <w:bookmarkEnd w:id="191"/>
      <w:bookmarkStart w:id="192" w:name="_Toc184313244"/>
      <w:bookmarkEnd w:id="192"/>
      <w:bookmarkStart w:id="193" w:name="_Toc184314441"/>
      <w:bookmarkEnd w:id="193"/>
      <w:bookmarkStart w:id="194" w:name="_Toc184312100"/>
      <w:bookmarkEnd w:id="194"/>
      <w:bookmarkStart w:id="195" w:name="_Toc184312098"/>
      <w:bookmarkEnd w:id="195"/>
      <w:bookmarkStart w:id="196" w:name="_Toc184314416"/>
      <w:bookmarkEnd w:id="196"/>
      <w:bookmarkStart w:id="197" w:name="_Toc184313258"/>
      <w:bookmarkEnd w:id="197"/>
      <w:bookmarkStart w:id="198" w:name="_Toc184314472"/>
      <w:bookmarkEnd w:id="198"/>
      <w:bookmarkStart w:id="199" w:name="_Toc184313308"/>
      <w:bookmarkEnd w:id="199"/>
      <w:bookmarkStart w:id="200" w:name="_Toc184313285"/>
      <w:bookmarkEnd w:id="200"/>
      <w:bookmarkStart w:id="201" w:name="_Toc184310314"/>
      <w:bookmarkEnd w:id="201"/>
      <w:bookmarkStart w:id="202" w:name="_Toc184312118"/>
      <w:bookmarkEnd w:id="202"/>
      <w:bookmarkStart w:id="203" w:name="_Toc184314471"/>
      <w:bookmarkEnd w:id="203"/>
      <w:bookmarkStart w:id="204" w:name="_Toc184312077"/>
      <w:bookmarkEnd w:id="204"/>
      <w:bookmarkStart w:id="205" w:name="_Toc184310312"/>
      <w:bookmarkEnd w:id="205"/>
      <w:bookmarkStart w:id="206" w:name="_Toc184312105"/>
      <w:bookmarkEnd w:id="206"/>
      <w:bookmarkStart w:id="207" w:name="_Toc184312125"/>
      <w:bookmarkEnd w:id="207"/>
      <w:bookmarkStart w:id="208" w:name="_Toc184313296"/>
      <w:bookmarkEnd w:id="208"/>
      <w:bookmarkStart w:id="209" w:name="_Toc184308081"/>
      <w:bookmarkEnd w:id="209"/>
      <w:bookmarkStart w:id="210" w:name="_Toc184308060"/>
      <w:bookmarkEnd w:id="210"/>
      <w:bookmarkStart w:id="211" w:name="_Toc184310306"/>
      <w:bookmarkEnd w:id="211"/>
      <w:bookmarkStart w:id="212" w:name="_Toc184312112"/>
      <w:bookmarkEnd w:id="212"/>
      <w:bookmarkStart w:id="213" w:name="_Toc184314476"/>
      <w:bookmarkEnd w:id="213"/>
      <w:bookmarkStart w:id="214" w:name="_Toc184312107"/>
      <w:bookmarkEnd w:id="214"/>
      <w:bookmarkStart w:id="215" w:name="_Toc184314451"/>
      <w:bookmarkEnd w:id="215"/>
      <w:bookmarkStart w:id="216" w:name="_Toc184312072"/>
      <w:bookmarkEnd w:id="216"/>
      <w:bookmarkStart w:id="217" w:name="_Toc184308084"/>
      <w:bookmarkEnd w:id="217"/>
      <w:bookmarkStart w:id="218" w:name="_Toc184313248"/>
      <w:bookmarkEnd w:id="218"/>
      <w:bookmarkStart w:id="219" w:name="_Toc184314424"/>
      <w:bookmarkEnd w:id="219"/>
      <w:bookmarkStart w:id="220" w:name="_Toc184312093"/>
      <w:bookmarkEnd w:id="220"/>
      <w:bookmarkStart w:id="221" w:name="_Toc184313295"/>
      <w:bookmarkEnd w:id="221"/>
      <w:bookmarkStart w:id="222" w:name="_Toc184313272"/>
      <w:bookmarkEnd w:id="222"/>
      <w:bookmarkStart w:id="223" w:name="_Toc184312131"/>
      <w:bookmarkEnd w:id="223"/>
      <w:bookmarkStart w:id="224" w:name="_Toc184313302"/>
      <w:bookmarkEnd w:id="224"/>
      <w:bookmarkStart w:id="225" w:name="_Toc184308054"/>
      <w:bookmarkEnd w:id="225"/>
      <w:bookmarkStart w:id="226" w:name="_Toc184308085"/>
      <w:bookmarkEnd w:id="226"/>
      <w:bookmarkStart w:id="227" w:name="_Toc184312136"/>
      <w:bookmarkEnd w:id="227"/>
      <w:bookmarkStart w:id="228" w:name="_Toc184308103"/>
      <w:bookmarkEnd w:id="228"/>
      <w:bookmarkStart w:id="229" w:name="_Toc184312091"/>
      <w:bookmarkEnd w:id="229"/>
      <w:bookmarkStart w:id="230" w:name="_Toc184314411"/>
      <w:bookmarkEnd w:id="230"/>
      <w:bookmarkStart w:id="231" w:name="_Toc184308075"/>
      <w:bookmarkEnd w:id="231"/>
      <w:bookmarkStart w:id="232" w:name="_Toc184313280"/>
      <w:bookmarkEnd w:id="232"/>
      <w:bookmarkStart w:id="233" w:name="_Toc184313239"/>
      <w:bookmarkEnd w:id="233"/>
      <w:bookmarkStart w:id="234" w:name="_Toc184308077"/>
      <w:bookmarkEnd w:id="234"/>
      <w:bookmarkStart w:id="235" w:name="_Toc184310276"/>
      <w:bookmarkEnd w:id="235"/>
      <w:bookmarkStart w:id="236" w:name="_Toc184308065"/>
      <w:bookmarkEnd w:id="236"/>
      <w:bookmarkStart w:id="237" w:name="_Toc184308076"/>
      <w:bookmarkEnd w:id="237"/>
      <w:bookmarkStart w:id="238" w:name="_Toc184308108"/>
      <w:bookmarkEnd w:id="238"/>
      <w:bookmarkStart w:id="239" w:name="_Toc184308070"/>
      <w:bookmarkEnd w:id="239"/>
      <w:bookmarkStart w:id="240" w:name="_Toc184314427"/>
      <w:bookmarkEnd w:id="240"/>
      <w:bookmarkStart w:id="241" w:name="_Toc184313260"/>
      <w:bookmarkEnd w:id="241"/>
      <w:bookmarkStart w:id="242" w:name="_Toc184310290"/>
      <w:bookmarkEnd w:id="242"/>
      <w:bookmarkStart w:id="243" w:name="_Toc184308055"/>
      <w:bookmarkEnd w:id="243"/>
      <w:bookmarkStart w:id="244" w:name="_Toc184314439"/>
      <w:bookmarkEnd w:id="244"/>
      <w:bookmarkStart w:id="245" w:name="_Toc184310285"/>
      <w:bookmarkEnd w:id="245"/>
      <w:bookmarkStart w:id="246" w:name="_Toc184310273"/>
      <w:bookmarkEnd w:id="246"/>
      <w:bookmarkStart w:id="247" w:name="_Toc184310332"/>
      <w:bookmarkEnd w:id="247"/>
      <w:bookmarkStart w:id="248" w:name="_Toc184314421"/>
      <w:bookmarkEnd w:id="248"/>
      <w:bookmarkStart w:id="249" w:name="_Toc184310301"/>
      <w:bookmarkEnd w:id="249"/>
      <w:bookmarkStart w:id="250" w:name="_Toc184314428"/>
      <w:bookmarkEnd w:id="250"/>
      <w:bookmarkStart w:id="251" w:name="_Toc184313282"/>
      <w:bookmarkEnd w:id="251"/>
      <w:bookmarkStart w:id="252" w:name="_Toc184312101"/>
      <w:bookmarkEnd w:id="252"/>
      <w:bookmarkStart w:id="253" w:name="_Toc184314433"/>
      <w:bookmarkEnd w:id="253"/>
      <w:bookmarkStart w:id="254" w:name="_Toc184308078"/>
      <w:bookmarkEnd w:id="254"/>
      <w:bookmarkStart w:id="255" w:name="_Toc184314454"/>
      <w:bookmarkEnd w:id="255"/>
      <w:bookmarkStart w:id="256" w:name="_Toc184314443"/>
      <w:bookmarkEnd w:id="256"/>
      <w:bookmarkStart w:id="257" w:name="_Toc184314426"/>
      <w:bookmarkEnd w:id="257"/>
      <w:bookmarkStart w:id="258" w:name="_Toc184314458"/>
      <w:bookmarkEnd w:id="258"/>
      <w:bookmarkStart w:id="259" w:name="_Toc184314450"/>
      <w:bookmarkEnd w:id="259"/>
      <w:bookmarkStart w:id="260" w:name="_Toc184308048"/>
      <w:bookmarkEnd w:id="260"/>
      <w:bookmarkStart w:id="261" w:name="_Toc184314422"/>
      <w:bookmarkEnd w:id="261"/>
      <w:bookmarkStart w:id="262" w:name="_Toc184308067"/>
      <w:bookmarkEnd w:id="262"/>
      <w:bookmarkStart w:id="263" w:name="_Toc184310293"/>
      <w:bookmarkEnd w:id="263"/>
      <w:bookmarkStart w:id="264" w:name="_Toc184308058"/>
      <w:bookmarkEnd w:id="264"/>
      <w:bookmarkStart w:id="265" w:name="_Toc184308036"/>
      <w:bookmarkEnd w:id="265"/>
      <w:bookmarkStart w:id="266" w:name="_Toc184312134"/>
      <w:bookmarkEnd w:id="266"/>
      <w:bookmarkStart w:id="267" w:name="_Toc184310277"/>
      <w:bookmarkEnd w:id="267"/>
      <w:bookmarkStart w:id="268" w:name="_Toc184308102"/>
      <w:bookmarkEnd w:id="268"/>
      <w:bookmarkStart w:id="269" w:name="_Toc184313251"/>
      <w:bookmarkEnd w:id="269"/>
      <w:bookmarkStart w:id="270" w:name="_Toc184310335"/>
      <w:bookmarkEnd w:id="270"/>
      <w:bookmarkStart w:id="271" w:name="_Toc184312126"/>
      <w:bookmarkEnd w:id="271"/>
      <w:bookmarkStart w:id="272" w:name="_Toc184308053"/>
      <w:bookmarkEnd w:id="272"/>
      <w:bookmarkStart w:id="273" w:name="_Toc184314446"/>
      <w:bookmarkEnd w:id="273"/>
      <w:bookmarkStart w:id="274" w:name="_Toc184313305"/>
      <w:bookmarkEnd w:id="274"/>
      <w:bookmarkStart w:id="275" w:name="_Toc184313284"/>
      <w:bookmarkEnd w:id="275"/>
      <w:bookmarkStart w:id="276" w:name="_Toc184310284"/>
      <w:bookmarkEnd w:id="276"/>
      <w:bookmarkStart w:id="277" w:name="_Toc184314447"/>
      <w:bookmarkEnd w:id="277"/>
      <w:bookmarkStart w:id="278" w:name="_Toc184313264"/>
      <w:bookmarkEnd w:id="278"/>
      <w:bookmarkStart w:id="279" w:name="_Toc184312070"/>
      <w:bookmarkEnd w:id="279"/>
      <w:bookmarkStart w:id="280" w:name="_Toc184312097"/>
      <w:bookmarkEnd w:id="280"/>
      <w:bookmarkStart w:id="281" w:name="_Toc184313309"/>
      <w:bookmarkEnd w:id="281"/>
      <w:bookmarkStart w:id="282" w:name="_Toc184313250"/>
      <w:bookmarkEnd w:id="282"/>
      <w:bookmarkStart w:id="283" w:name="_Toc184313252"/>
      <w:bookmarkEnd w:id="283"/>
      <w:bookmarkStart w:id="284" w:name="_Toc184313263"/>
      <w:bookmarkEnd w:id="284"/>
      <w:bookmarkStart w:id="285" w:name="_Toc184312074"/>
      <w:bookmarkEnd w:id="285"/>
      <w:bookmarkStart w:id="286" w:name="_Toc184308098"/>
      <w:bookmarkEnd w:id="286"/>
      <w:bookmarkStart w:id="287" w:name="_Toc184313271"/>
      <w:bookmarkEnd w:id="287"/>
      <w:bookmarkStart w:id="288" w:name="_Toc184314419"/>
      <w:bookmarkEnd w:id="288"/>
      <w:bookmarkStart w:id="289" w:name="_Toc184313256"/>
      <w:bookmarkEnd w:id="289"/>
      <w:bookmarkStart w:id="290" w:name="_Toc184310324"/>
      <w:bookmarkEnd w:id="290"/>
      <w:bookmarkStart w:id="291" w:name="_Toc184313238"/>
      <w:bookmarkEnd w:id="291"/>
      <w:bookmarkStart w:id="292" w:name="_Toc184313279"/>
      <w:bookmarkEnd w:id="292"/>
      <w:bookmarkStart w:id="293" w:name="_Toc184314437"/>
      <w:bookmarkEnd w:id="293"/>
      <w:bookmarkStart w:id="294" w:name="_Toc184308072"/>
      <w:bookmarkEnd w:id="294"/>
      <w:bookmarkStart w:id="295" w:name="_Toc184314482"/>
      <w:bookmarkEnd w:id="295"/>
      <w:bookmarkStart w:id="296" w:name="_Toc184312115"/>
      <w:bookmarkEnd w:id="296"/>
      <w:bookmarkStart w:id="297" w:name="_Toc184310275"/>
      <w:bookmarkEnd w:id="297"/>
      <w:bookmarkStart w:id="298" w:name="_Toc184313257"/>
      <w:bookmarkEnd w:id="298"/>
      <w:bookmarkStart w:id="299" w:name="_Toc184314474"/>
      <w:bookmarkEnd w:id="299"/>
      <w:bookmarkStart w:id="300" w:name="_Toc184312083"/>
      <w:bookmarkEnd w:id="300"/>
      <w:bookmarkStart w:id="301" w:name="_Toc184310343"/>
      <w:bookmarkEnd w:id="301"/>
      <w:bookmarkStart w:id="302" w:name="_Toc184313270"/>
      <w:bookmarkEnd w:id="302"/>
      <w:bookmarkStart w:id="303" w:name="_Toc184312080"/>
      <w:bookmarkEnd w:id="303"/>
      <w:bookmarkStart w:id="304" w:name="_Toc184314423"/>
      <w:bookmarkEnd w:id="304"/>
      <w:bookmarkStart w:id="305" w:name="_Toc184313247"/>
      <w:bookmarkEnd w:id="305"/>
      <w:bookmarkStart w:id="306" w:name="_Toc184313287"/>
      <w:bookmarkEnd w:id="306"/>
      <w:bookmarkStart w:id="307" w:name="_Toc184312099"/>
      <w:bookmarkEnd w:id="307"/>
      <w:bookmarkStart w:id="308" w:name="_Toc184314444"/>
      <w:bookmarkEnd w:id="308"/>
      <w:bookmarkStart w:id="309" w:name="_Toc184313261"/>
      <w:bookmarkEnd w:id="309"/>
      <w:bookmarkStart w:id="310" w:name="_Toc184313267"/>
      <w:bookmarkEnd w:id="310"/>
      <w:bookmarkStart w:id="311" w:name="_Toc184314420"/>
      <w:bookmarkEnd w:id="311"/>
      <w:bookmarkStart w:id="312" w:name="_Toc184313262"/>
      <w:bookmarkEnd w:id="312"/>
      <w:bookmarkStart w:id="313" w:name="_Toc184313299"/>
      <w:bookmarkEnd w:id="313"/>
      <w:bookmarkStart w:id="314" w:name="_Toc184310274"/>
      <w:bookmarkEnd w:id="314"/>
      <w:bookmarkStart w:id="315" w:name="_Toc184313292"/>
      <w:bookmarkEnd w:id="315"/>
      <w:bookmarkStart w:id="316" w:name="_Toc184308087"/>
      <w:bookmarkEnd w:id="316"/>
      <w:bookmarkStart w:id="317" w:name="_Toc184310307"/>
      <w:bookmarkEnd w:id="317"/>
      <w:bookmarkStart w:id="318" w:name="_Toc184314434"/>
      <w:bookmarkEnd w:id="318"/>
      <w:bookmarkStart w:id="319" w:name="_Toc184314462"/>
      <w:bookmarkEnd w:id="319"/>
      <w:bookmarkStart w:id="320" w:name="_Toc184310320"/>
      <w:bookmarkEnd w:id="320"/>
      <w:bookmarkStart w:id="321" w:name="_Toc184314415"/>
      <w:bookmarkEnd w:id="321"/>
      <w:bookmarkStart w:id="322" w:name="_Toc184312078"/>
      <w:bookmarkEnd w:id="322"/>
      <w:bookmarkStart w:id="323" w:name="_Toc184310287"/>
      <w:bookmarkEnd w:id="323"/>
      <w:bookmarkStart w:id="324" w:name="_Toc184310278"/>
      <w:bookmarkEnd w:id="324"/>
      <w:bookmarkStart w:id="325" w:name="_Toc184308045"/>
      <w:bookmarkEnd w:id="325"/>
      <w:bookmarkStart w:id="326" w:name="_Toc184313290"/>
      <w:bookmarkEnd w:id="326"/>
      <w:bookmarkStart w:id="327" w:name="_Toc184313300"/>
      <w:bookmarkEnd w:id="327"/>
      <w:bookmarkStart w:id="328" w:name="_Toc184308061"/>
      <w:bookmarkEnd w:id="328"/>
      <w:bookmarkStart w:id="329" w:name="_Toc184310299"/>
      <w:bookmarkEnd w:id="329"/>
      <w:bookmarkStart w:id="330" w:name="_Toc184308094"/>
      <w:bookmarkEnd w:id="330"/>
      <w:bookmarkStart w:id="331" w:name="_Toc184312113"/>
      <w:bookmarkEnd w:id="331"/>
      <w:bookmarkStart w:id="332" w:name="_Toc184312082"/>
      <w:bookmarkEnd w:id="332"/>
      <w:bookmarkStart w:id="333" w:name="_Toc184314478"/>
      <w:bookmarkEnd w:id="333"/>
      <w:bookmarkStart w:id="334" w:name="_Toc184312076"/>
      <w:bookmarkEnd w:id="334"/>
      <w:bookmarkStart w:id="335" w:name="_Toc184308095"/>
      <w:bookmarkEnd w:id="335"/>
      <w:bookmarkStart w:id="336" w:name="_Toc184314417"/>
      <w:bookmarkEnd w:id="336"/>
      <w:bookmarkStart w:id="337" w:name="_Toc184310321"/>
      <w:bookmarkEnd w:id="337"/>
      <w:bookmarkStart w:id="338" w:name="_Toc184313276"/>
      <w:bookmarkEnd w:id="338"/>
      <w:bookmarkStart w:id="339" w:name="_Toc184308046"/>
      <w:bookmarkEnd w:id="339"/>
      <w:bookmarkStart w:id="340" w:name="_Toc184310319"/>
      <w:bookmarkEnd w:id="340"/>
      <w:bookmarkStart w:id="341" w:name="_Toc184308101"/>
      <w:bookmarkEnd w:id="341"/>
      <w:bookmarkStart w:id="342" w:name="_Toc184313265"/>
      <w:bookmarkEnd w:id="342"/>
      <w:bookmarkStart w:id="343" w:name="_Toc184313269"/>
      <w:bookmarkEnd w:id="343"/>
      <w:bookmarkStart w:id="344" w:name="_Toc184314425"/>
      <w:bookmarkEnd w:id="344"/>
      <w:bookmarkStart w:id="345" w:name="_Toc184312084"/>
      <w:bookmarkEnd w:id="345"/>
      <w:bookmarkStart w:id="346" w:name="_Toc184310308"/>
      <w:bookmarkEnd w:id="346"/>
      <w:bookmarkStart w:id="347" w:name="_Toc184314455"/>
      <w:bookmarkEnd w:id="347"/>
      <w:bookmarkStart w:id="348" w:name="_Toc184313273"/>
      <w:bookmarkEnd w:id="348"/>
      <w:bookmarkStart w:id="349" w:name="_Toc184312095"/>
      <w:bookmarkEnd w:id="349"/>
      <w:bookmarkStart w:id="350" w:name="_Toc184314480"/>
      <w:bookmarkEnd w:id="350"/>
      <w:bookmarkStart w:id="351" w:name="_Toc184308097"/>
      <w:bookmarkEnd w:id="351"/>
      <w:bookmarkStart w:id="352" w:name="_Toc184313293"/>
      <w:bookmarkEnd w:id="352"/>
      <w:bookmarkStart w:id="353" w:name="_Toc184308040"/>
      <w:bookmarkEnd w:id="353"/>
      <w:bookmarkStart w:id="354" w:name="_Toc184310326"/>
      <w:bookmarkEnd w:id="354"/>
      <w:bookmarkStart w:id="355" w:name="_Toc184313288"/>
      <w:bookmarkEnd w:id="355"/>
      <w:bookmarkStart w:id="356" w:name="_Toc184312086"/>
      <w:bookmarkEnd w:id="356"/>
      <w:bookmarkStart w:id="357" w:name="_Toc184313274"/>
      <w:bookmarkEnd w:id="357"/>
      <w:bookmarkStart w:id="358" w:name="_Toc184313275"/>
      <w:bookmarkEnd w:id="358"/>
      <w:bookmarkStart w:id="359" w:name="_Toc184312123"/>
      <w:bookmarkEnd w:id="359"/>
      <w:bookmarkStart w:id="360" w:name="_Toc184313259"/>
      <w:bookmarkEnd w:id="360"/>
      <w:bookmarkStart w:id="361" w:name="_Toc184310281"/>
      <w:bookmarkEnd w:id="361"/>
      <w:bookmarkStart w:id="362" w:name="_Toc184310286"/>
      <w:bookmarkEnd w:id="362"/>
      <w:bookmarkStart w:id="363" w:name="_Toc184312127"/>
      <w:bookmarkEnd w:id="363"/>
      <w:bookmarkStart w:id="364" w:name="_Toc184312137"/>
      <w:bookmarkEnd w:id="364"/>
      <w:bookmarkStart w:id="365" w:name="_Toc184308069"/>
      <w:bookmarkEnd w:id="365"/>
      <w:bookmarkStart w:id="366" w:name="_Toc184310292"/>
      <w:bookmarkEnd w:id="366"/>
      <w:bookmarkStart w:id="367" w:name="_Toc184312108"/>
      <w:bookmarkEnd w:id="367"/>
      <w:bookmarkStart w:id="368" w:name="_Toc184310310"/>
      <w:bookmarkEnd w:id="368"/>
      <w:bookmarkStart w:id="369" w:name="_Toc184308071"/>
      <w:bookmarkEnd w:id="369"/>
      <w:bookmarkStart w:id="370" w:name="_Toc184314442"/>
      <w:bookmarkEnd w:id="370"/>
      <w:bookmarkStart w:id="371" w:name="_Toc184308057"/>
      <w:bookmarkEnd w:id="371"/>
      <w:bookmarkStart w:id="372" w:name="_Toc184312110"/>
      <w:bookmarkEnd w:id="372"/>
      <w:bookmarkStart w:id="373" w:name="_Toc184312069"/>
      <w:bookmarkEnd w:id="373"/>
      <w:bookmarkStart w:id="374" w:name="_Toc184314440"/>
      <w:bookmarkEnd w:id="374"/>
      <w:bookmarkStart w:id="375" w:name="_Toc184313245"/>
      <w:bookmarkEnd w:id="375"/>
      <w:bookmarkStart w:id="376" w:name="_Toc184313249"/>
      <w:bookmarkEnd w:id="376"/>
      <w:bookmarkStart w:id="377" w:name="_Toc184314445"/>
      <w:bookmarkEnd w:id="377"/>
      <w:bookmarkStart w:id="378" w:name="_Toc184310315"/>
      <w:bookmarkEnd w:id="378"/>
      <w:bookmarkStart w:id="379" w:name="_Toc184308080"/>
      <w:bookmarkEnd w:id="379"/>
      <w:bookmarkStart w:id="380" w:name="_Toc184310337"/>
      <w:bookmarkEnd w:id="380"/>
      <w:bookmarkStart w:id="381" w:name="_Toc184308059"/>
      <w:bookmarkEnd w:id="381"/>
      <w:bookmarkStart w:id="382" w:name="_Toc184314459"/>
      <w:bookmarkEnd w:id="382"/>
      <w:bookmarkStart w:id="383" w:name="_Toc184312079"/>
      <w:bookmarkEnd w:id="383"/>
      <w:bookmarkStart w:id="384" w:name="_Toc184312081"/>
      <w:bookmarkEnd w:id="384"/>
      <w:bookmarkStart w:id="385" w:name="_Toc184310272"/>
      <w:bookmarkEnd w:id="385"/>
      <w:bookmarkStart w:id="386" w:name="_Toc184312109"/>
      <w:bookmarkEnd w:id="386"/>
      <w:bookmarkStart w:id="387" w:name="_Toc184313303"/>
      <w:bookmarkEnd w:id="387"/>
      <w:bookmarkStart w:id="388" w:name="_Toc184308086"/>
      <w:bookmarkEnd w:id="388"/>
      <w:bookmarkStart w:id="389" w:name="_Toc184310311"/>
      <w:bookmarkEnd w:id="389"/>
      <w:bookmarkStart w:id="390" w:name="_Toc184310296"/>
      <w:bookmarkEnd w:id="390"/>
      <w:bookmarkStart w:id="391" w:name="_Toc184308096"/>
      <w:bookmarkEnd w:id="391"/>
      <w:bookmarkStart w:id="392" w:name="_Toc184310330"/>
      <w:bookmarkEnd w:id="392"/>
      <w:r>
        <w:rPr>
          <w:rFonts w:hint="eastAsia" w:ascii="宋体" w:hAnsi="宋体" w:cs="宋体"/>
          <w:b/>
          <w:color w:val="auto"/>
          <w:sz w:val="36"/>
          <w:szCs w:val="36"/>
          <w:highlight w:val="none"/>
        </w:rPr>
        <w:t>评标办法</w:t>
      </w:r>
    </w:p>
    <w:p w14:paraId="4C314249">
      <w:pPr>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2"/>
          <w:szCs w:val="20"/>
          <w:highlight w:val="none"/>
        </w:rPr>
        <w:t>评标办法前附表</w:t>
      </w:r>
    </w:p>
    <w:tbl>
      <w:tblPr>
        <w:tblStyle w:val="62"/>
        <w:tblpPr w:leftFromText="181" w:rightFromText="181" w:vertAnchor="text" w:horzAnchor="page" w:tblpX="1004" w:tblpY="1"/>
        <w:tblOverlap w:val="never"/>
        <w:tblW w:w="10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20"/>
        <w:gridCol w:w="8145"/>
      </w:tblGrid>
      <w:tr w14:paraId="1752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noWrap w:val="0"/>
            <w:vAlign w:val="center"/>
          </w:tcPr>
          <w:p w14:paraId="337B55FC">
            <w:pPr>
              <w:spacing w:line="44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评审内容</w:t>
            </w:r>
          </w:p>
        </w:tc>
        <w:tc>
          <w:tcPr>
            <w:tcW w:w="720" w:type="dxa"/>
            <w:noWrap w:val="0"/>
            <w:vAlign w:val="center"/>
          </w:tcPr>
          <w:p w14:paraId="4857B9AC">
            <w:pPr>
              <w:spacing w:line="440" w:lineRule="exact"/>
              <w:jc w:val="center"/>
              <w:textAlignment w:val="center"/>
              <w:rPr>
                <w:rFonts w:hint="eastAsia" w:ascii="仿宋" w:hAnsi="仿宋" w:eastAsia="仿宋" w:cs="仿宋"/>
                <w:b/>
                <w:color w:val="auto"/>
                <w:sz w:val="24"/>
                <w:szCs w:val="24"/>
              </w:rPr>
            </w:pPr>
            <w:r>
              <w:rPr>
                <w:rFonts w:hint="eastAsia" w:ascii="仿宋" w:hAnsi="仿宋" w:eastAsia="仿宋" w:cs="仿宋"/>
                <w:color w:val="000000"/>
                <w:sz w:val="24"/>
                <w:szCs w:val="24"/>
              </w:rPr>
              <w:t>分值</w:t>
            </w:r>
          </w:p>
        </w:tc>
        <w:tc>
          <w:tcPr>
            <w:tcW w:w="8145" w:type="dxa"/>
            <w:noWrap w:val="0"/>
            <w:vAlign w:val="center"/>
          </w:tcPr>
          <w:p w14:paraId="0641D5E8">
            <w:pPr>
              <w:spacing w:line="440" w:lineRule="exact"/>
              <w:jc w:val="center"/>
              <w:textAlignment w:val="center"/>
              <w:rPr>
                <w:rFonts w:hint="eastAsia" w:ascii="仿宋" w:hAnsi="仿宋" w:eastAsia="仿宋" w:cs="仿宋"/>
                <w:b/>
                <w:color w:val="auto"/>
                <w:sz w:val="24"/>
                <w:szCs w:val="24"/>
              </w:rPr>
            </w:pPr>
            <w:r>
              <w:rPr>
                <w:rFonts w:hint="eastAsia" w:ascii="仿宋" w:hAnsi="仿宋" w:eastAsia="仿宋" w:cs="仿宋"/>
                <w:sz w:val="24"/>
                <w:szCs w:val="24"/>
              </w:rPr>
              <w:t>评分标准</w:t>
            </w:r>
          </w:p>
        </w:tc>
      </w:tr>
      <w:tr w14:paraId="3FF5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noWrap w:val="0"/>
            <w:vAlign w:val="center"/>
          </w:tcPr>
          <w:p w14:paraId="52860FA4">
            <w:pPr>
              <w:keepNext w:val="0"/>
              <w:keepLines w:val="0"/>
              <w:widowControl/>
              <w:suppressLineNumbers w:val="0"/>
              <w:jc w:val="center"/>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综合实力</w:t>
            </w:r>
          </w:p>
        </w:tc>
        <w:tc>
          <w:tcPr>
            <w:tcW w:w="720" w:type="dxa"/>
            <w:noWrap w:val="0"/>
            <w:vAlign w:val="center"/>
          </w:tcPr>
          <w:p w14:paraId="7BD68B88">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4</w:t>
            </w:r>
          </w:p>
        </w:tc>
        <w:tc>
          <w:tcPr>
            <w:tcW w:w="8145" w:type="dxa"/>
            <w:noWrap w:val="0"/>
            <w:vAlign w:val="center"/>
          </w:tcPr>
          <w:p w14:paraId="7A5FA5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kern w:val="3"/>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投标人具备运维可视化管理系统类、点位设备状态运行监测系统类、车辆异常行驶检测类、点位故障检测系统类等相关计算机软件著作权登记证书，每提供一项得1分，最高得4分。（0-4分）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（投标文件中提供有效证书复印件加盖公章，未提供的不得分）</w:t>
            </w:r>
          </w:p>
        </w:tc>
      </w:tr>
      <w:tr w14:paraId="29A7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noWrap w:val="0"/>
            <w:vAlign w:val="center"/>
          </w:tcPr>
          <w:p w14:paraId="2923F62E">
            <w:pPr>
              <w:keepNext w:val="0"/>
              <w:keepLines w:val="0"/>
              <w:widowControl/>
              <w:suppressLineNumbers w:val="0"/>
              <w:jc w:val="center"/>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运维业绩</w:t>
            </w:r>
          </w:p>
        </w:tc>
        <w:tc>
          <w:tcPr>
            <w:tcW w:w="720" w:type="dxa"/>
            <w:noWrap w:val="0"/>
            <w:vAlign w:val="center"/>
          </w:tcPr>
          <w:p w14:paraId="3624760D">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2</w:t>
            </w:r>
          </w:p>
        </w:tc>
        <w:tc>
          <w:tcPr>
            <w:tcW w:w="8145" w:type="dxa"/>
            <w:noWrap w:val="0"/>
            <w:vAlign w:val="center"/>
          </w:tcPr>
          <w:p w14:paraId="506BB4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kern w:val="3"/>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投标人自</w:t>
            </w:r>
            <w:r>
              <w:rPr>
                <w:rFonts w:hint="eastAsia" w:ascii="仿宋" w:hAnsi="仿宋" w:eastAsia="仿宋" w:cs="仿宋"/>
                <w:i w:val="0"/>
                <w:iCs w:val="0"/>
                <w:color w:val="FF0000"/>
                <w:kern w:val="0"/>
                <w:sz w:val="24"/>
                <w:szCs w:val="24"/>
                <w:u w:val="none"/>
                <w:lang w:val="en-US" w:eastAsia="zh-CN" w:bidi="ar"/>
              </w:rPr>
              <w:t>2023年</w:t>
            </w:r>
            <w:r>
              <w:rPr>
                <w:rFonts w:hint="eastAsia" w:ascii="仿宋" w:hAnsi="仿宋" w:eastAsia="仿宋" w:cs="仿宋"/>
                <w:i w:val="0"/>
                <w:iCs w:val="0"/>
                <w:color w:val="auto"/>
                <w:kern w:val="0"/>
                <w:sz w:val="24"/>
                <w:szCs w:val="24"/>
                <w:u w:val="none"/>
                <w:lang w:val="en-US" w:eastAsia="zh-CN" w:bidi="ar"/>
              </w:rPr>
              <w:t>1月1日（以合同签订日期为准）至今，投标人承接过同类非现场治超系统运维或建设项目且业主评价基本满意以上，每提供一个合同和对应业主评价的得0.5分，满分为2分。（0-2分）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（投标文件中提供同类运维或建设项目合同复印件和业主评价表加盖公章，未提供的不得分）</w:t>
            </w:r>
          </w:p>
        </w:tc>
      </w:tr>
      <w:tr w14:paraId="0854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vMerge w:val="restart"/>
            <w:noWrap w:val="0"/>
            <w:vAlign w:val="center"/>
          </w:tcPr>
          <w:p w14:paraId="0B61EB9E">
            <w:pPr>
              <w:keepNext w:val="0"/>
              <w:keepLines w:val="0"/>
              <w:widowControl/>
              <w:suppressLineNumbers w:val="0"/>
              <w:jc w:val="center"/>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人员配备</w:t>
            </w:r>
          </w:p>
        </w:tc>
        <w:tc>
          <w:tcPr>
            <w:tcW w:w="720" w:type="dxa"/>
            <w:noWrap w:val="0"/>
            <w:vAlign w:val="center"/>
          </w:tcPr>
          <w:p w14:paraId="29BE1E85">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6</w:t>
            </w:r>
          </w:p>
        </w:tc>
        <w:tc>
          <w:tcPr>
            <w:tcW w:w="8145" w:type="dxa"/>
            <w:noWrap w:val="0"/>
            <w:vAlign w:val="center"/>
          </w:tcPr>
          <w:p w14:paraId="40CE7D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kern w:val="3"/>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（1）本项目运维服务负责人具有机电工程或通信或信息专业的一级建造师、智能化相关专业高级工程师证书、信息系统项目管理师证书的，</w:t>
            </w:r>
            <w:r>
              <w:rPr>
                <w:rFonts w:hint="eastAsia" w:ascii="仿宋" w:hAnsi="仿宋" w:eastAsia="仿宋" w:cs="仿宋"/>
                <w:i w:val="0"/>
                <w:iCs w:val="0"/>
                <w:color w:val="FF0000"/>
                <w:kern w:val="0"/>
                <w:sz w:val="24"/>
                <w:szCs w:val="24"/>
                <w:u w:val="none"/>
                <w:lang w:val="en-US" w:eastAsia="zh-CN" w:bidi="ar"/>
              </w:rPr>
              <w:t>每提供1个证书得1分，最高得3分；（0-3分）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（2）运维服务负责人具有同类非现场治超运维或建设质保项目业绩</w:t>
            </w:r>
            <w:r>
              <w:rPr>
                <w:rFonts w:hint="eastAsia" w:ascii="仿宋" w:hAnsi="仿宋" w:eastAsia="仿宋" w:cs="仿宋"/>
                <w:i w:val="0"/>
                <w:iCs w:val="0"/>
                <w:color w:val="FF0000"/>
                <w:kern w:val="0"/>
                <w:sz w:val="24"/>
                <w:szCs w:val="24"/>
                <w:u w:val="none"/>
                <w:lang w:val="en-US" w:eastAsia="zh-CN" w:bidi="ar"/>
              </w:rPr>
              <w:t>得3分。（0-3分）</w:t>
            </w:r>
            <w:r>
              <w:rPr>
                <w:rFonts w:hint="eastAsia" w:ascii="仿宋" w:hAnsi="仿宋" w:eastAsia="仿宋" w:cs="仿宋"/>
                <w:i w:val="0"/>
                <w:iCs w:val="0"/>
                <w:color w:val="FF0000"/>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（投标文件中提供证书证明复印件及投标人为其缴纳的近三个月社保证明并加盖投标人CA签章，并提供同类运维或建设质保项目业绩材料，未提供的不得分）</w:t>
            </w:r>
          </w:p>
        </w:tc>
      </w:tr>
      <w:tr w14:paraId="4CC2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vMerge w:val="continue"/>
            <w:noWrap w:val="0"/>
            <w:vAlign w:val="center"/>
          </w:tcPr>
          <w:p w14:paraId="5E4ECEA3">
            <w:pPr>
              <w:spacing w:line="440" w:lineRule="exact"/>
              <w:jc w:val="center"/>
              <w:textAlignment w:val="center"/>
              <w:rPr>
                <w:rFonts w:hint="eastAsia" w:ascii="仿宋" w:hAnsi="仿宋" w:eastAsia="仿宋" w:cs="仿宋"/>
                <w:color w:val="000000"/>
                <w:sz w:val="24"/>
                <w:szCs w:val="24"/>
              </w:rPr>
            </w:pPr>
          </w:p>
        </w:tc>
        <w:tc>
          <w:tcPr>
            <w:tcW w:w="720" w:type="dxa"/>
            <w:noWrap w:val="0"/>
            <w:vAlign w:val="center"/>
          </w:tcPr>
          <w:p w14:paraId="14665B6C">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6</w:t>
            </w:r>
          </w:p>
        </w:tc>
        <w:tc>
          <w:tcPr>
            <w:tcW w:w="8145" w:type="dxa"/>
            <w:noWrap w:val="0"/>
            <w:vAlign w:val="center"/>
          </w:tcPr>
          <w:p w14:paraId="2061BA6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kern w:val="3"/>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w:t>
            </w:r>
            <w:r>
              <w:rPr>
                <w:rFonts w:hint="eastAsia" w:cs="仿宋"/>
                <w:i w:val="0"/>
                <w:iCs w:val="0"/>
                <w:color w:val="auto"/>
                <w:kern w:val="0"/>
                <w:sz w:val="24"/>
                <w:szCs w:val="24"/>
                <w:u w:val="none"/>
                <w:lang w:val="en-US" w:eastAsia="zh-CN" w:bidi="ar"/>
              </w:rPr>
              <w:t>3</w:t>
            </w:r>
            <w:r>
              <w:rPr>
                <w:rFonts w:hint="eastAsia" w:ascii="仿宋" w:hAnsi="仿宋" w:eastAsia="仿宋" w:cs="仿宋"/>
                <w:i w:val="0"/>
                <w:iCs w:val="0"/>
                <w:color w:val="auto"/>
                <w:kern w:val="0"/>
                <w:sz w:val="24"/>
                <w:szCs w:val="24"/>
                <w:u w:val="none"/>
                <w:lang w:val="en-US" w:eastAsia="zh-CN" w:bidi="ar"/>
              </w:rPr>
              <w:t>）本项目运维服务团队人员（运维服务负责人以外）具有机电工程或通信或信息专业建造师、智能化相关专业工程师证书、信息系统项目管理师证书以及其他由人力资源和社会保障部门颁发且与本项目运维服务直接相关的中级以上证书，每提供1个证书得1分。同一人拥有多个证书的，同一序列的按一本证书计分，不同序列的，按多本证书计分。</w:t>
            </w:r>
            <w:r>
              <w:rPr>
                <w:rFonts w:hint="eastAsia" w:ascii="仿宋" w:hAnsi="仿宋" w:eastAsia="仿宋" w:cs="仿宋"/>
                <w:i w:val="0"/>
                <w:iCs w:val="0"/>
                <w:color w:val="FF0000"/>
                <w:kern w:val="0"/>
                <w:sz w:val="24"/>
                <w:szCs w:val="24"/>
                <w:u w:val="none"/>
                <w:lang w:val="en-US" w:eastAsia="zh-CN" w:bidi="ar"/>
              </w:rPr>
              <w:t>最高得3分。（0-3分）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（4）团队成员具有同类非现场治超运维或建设质保项目业绩，</w:t>
            </w:r>
            <w:r>
              <w:rPr>
                <w:rFonts w:hint="eastAsia" w:ascii="仿宋" w:hAnsi="仿宋" w:eastAsia="仿宋" w:cs="仿宋"/>
                <w:i w:val="0"/>
                <w:iCs w:val="0"/>
                <w:color w:val="FF0000"/>
                <w:kern w:val="0"/>
                <w:sz w:val="24"/>
                <w:szCs w:val="24"/>
                <w:u w:val="none"/>
                <w:lang w:val="en-US" w:eastAsia="zh-CN" w:bidi="ar"/>
              </w:rPr>
              <w:t>每人每个业绩得0.5分，最高得3分。（0-3分）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（投标文件中提供证书证明复印件及投标人为其缴纳的近三个月社保证明并加盖投标人CA签章，并提供同类运维或建设质保项目业绩材料，未提供的不得分）</w:t>
            </w:r>
          </w:p>
        </w:tc>
      </w:tr>
      <w:tr w14:paraId="751F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vMerge w:val="continue"/>
            <w:noWrap w:val="0"/>
            <w:vAlign w:val="top"/>
          </w:tcPr>
          <w:p w14:paraId="41BA21E3">
            <w:pPr>
              <w:spacing w:line="440" w:lineRule="exact"/>
              <w:jc w:val="center"/>
              <w:textAlignment w:val="center"/>
              <w:rPr>
                <w:rFonts w:hint="eastAsia" w:ascii="仿宋" w:hAnsi="仿宋" w:eastAsia="仿宋" w:cs="仿宋"/>
                <w:color w:val="000000"/>
                <w:sz w:val="24"/>
                <w:szCs w:val="24"/>
              </w:rPr>
            </w:pPr>
          </w:p>
        </w:tc>
        <w:tc>
          <w:tcPr>
            <w:tcW w:w="720" w:type="dxa"/>
            <w:noWrap w:val="0"/>
            <w:vAlign w:val="center"/>
          </w:tcPr>
          <w:p w14:paraId="3E47A33E">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2</w:t>
            </w:r>
          </w:p>
        </w:tc>
        <w:tc>
          <w:tcPr>
            <w:tcW w:w="8145" w:type="dxa"/>
            <w:noWrap w:val="0"/>
            <w:vAlign w:val="center"/>
          </w:tcPr>
          <w:p w14:paraId="54198E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kern w:val="3"/>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w:t>
            </w:r>
            <w:r>
              <w:rPr>
                <w:rFonts w:hint="eastAsia" w:cs="仿宋"/>
                <w:i w:val="0"/>
                <w:iCs w:val="0"/>
                <w:color w:val="auto"/>
                <w:kern w:val="0"/>
                <w:sz w:val="24"/>
                <w:szCs w:val="24"/>
                <w:u w:val="none"/>
                <w:lang w:val="en-US" w:eastAsia="zh-CN" w:bidi="ar"/>
              </w:rPr>
              <w:t>5</w:t>
            </w:r>
            <w:r>
              <w:rPr>
                <w:rFonts w:hint="eastAsia" w:ascii="仿宋" w:hAnsi="仿宋" w:eastAsia="仿宋" w:cs="仿宋"/>
                <w:i w:val="0"/>
                <w:iCs w:val="0"/>
                <w:color w:val="auto"/>
                <w:kern w:val="0"/>
                <w:sz w:val="24"/>
                <w:szCs w:val="24"/>
                <w:u w:val="none"/>
                <w:lang w:val="en-US" w:eastAsia="zh-CN" w:bidi="ar"/>
              </w:rPr>
              <w:t>）本项目运维服务团队，有运维服务车辆且至少2人以上有驾驶证的，得2分(0-2分）。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（投标文件中提供行驶证、驾驶证的复印件，车辆为租赁的提供租赁证明及投标人为其缴纳的近三个月社保证明并加盖投标人CA签章，不提供不得分）</w:t>
            </w:r>
          </w:p>
        </w:tc>
      </w:tr>
      <w:tr w14:paraId="39AD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vMerge w:val="continue"/>
            <w:noWrap w:val="0"/>
            <w:vAlign w:val="top"/>
          </w:tcPr>
          <w:p w14:paraId="081659E6">
            <w:pPr>
              <w:spacing w:line="440" w:lineRule="exact"/>
              <w:jc w:val="center"/>
              <w:textAlignment w:val="center"/>
              <w:rPr>
                <w:rFonts w:hint="eastAsia" w:ascii="仿宋" w:hAnsi="仿宋" w:eastAsia="仿宋" w:cs="仿宋"/>
                <w:color w:val="000000"/>
                <w:sz w:val="24"/>
                <w:szCs w:val="24"/>
              </w:rPr>
            </w:pPr>
          </w:p>
        </w:tc>
        <w:tc>
          <w:tcPr>
            <w:tcW w:w="720" w:type="dxa"/>
            <w:noWrap w:val="0"/>
            <w:vAlign w:val="center"/>
          </w:tcPr>
          <w:p w14:paraId="38B373A1">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3</w:t>
            </w:r>
          </w:p>
        </w:tc>
        <w:tc>
          <w:tcPr>
            <w:tcW w:w="8145" w:type="dxa"/>
            <w:noWrap w:val="0"/>
            <w:vAlign w:val="center"/>
          </w:tcPr>
          <w:p w14:paraId="5BBF527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kern w:val="3"/>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w:t>
            </w:r>
            <w:r>
              <w:rPr>
                <w:rFonts w:hint="eastAsia" w:cs="仿宋"/>
                <w:i w:val="0"/>
                <w:iCs w:val="0"/>
                <w:color w:val="auto"/>
                <w:kern w:val="0"/>
                <w:sz w:val="24"/>
                <w:szCs w:val="24"/>
                <w:u w:val="none"/>
                <w:lang w:val="en-US" w:eastAsia="zh-CN" w:bidi="ar"/>
              </w:rPr>
              <w:t>6</w:t>
            </w:r>
            <w:r>
              <w:rPr>
                <w:rFonts w:hint="eastAsia" w:ascii="仿宋" w:hAnsi="仿宋" w:eastAsia="仿宋" w:cs="仿宋"/>
                <w:i w:val="0"/>
                <w:iCs w:val="0"/>
                <w:color w:val="auto"/>
                <w:kern w:val="0"/>
                <w:sz w:val="24"/>
                <w:szCs w:val="24"/>
                <w:u w:val="none"/>
                <w:lang w:val="en-US" w:eastAsia="zh-CN" w:bidi="ar"/>
              </w:rPr>
              <w:t>）有独立的运维服务团队，拥有实体化运维模式和实地运维能力，具有合理操作性且符合实际需求得3分，基本符合项目情况的得2.5分，部分符合项目情况的得1.5分，大部分不符合得0.5分，不符合或未提供的得0分。（0-3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（投标文件中提供有效证书复印件、人员名单及投标人为其缴纳的近三个月社保证明，并加盖投标人公章，不符合或不提供的不得分）</w:t>
            </w:r>
          </w:p>
        </w:tc>
      </w:tr>
      <w:tr w14:paraId="4A07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noWrap w:val="0"/>
            <w:vAlign w:val="center"/>
          </w:tcPr>
          <w:p w14:paraId="0FE4870B">
            <w:pPr>
              <w:keepNext w:val="0"/>
              <w:keepLines w:val="0"/>
              <w:widowControl/>
              <w:suppressLineNumbers w:val="0"/>
              <w:jc w:val="center"/>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维保人员培训提升方案</w:t>
            </w:r>
          </w:p>
        </w:tc>
        <w:tc>
          <w:tcPr>
            <w:tcW w:w="720" w:type="dxa"/>
            <w:noWrap w:val="0"/>
            <w:vAlign w:val="center"/>
          </w:tcPr>
          <w:p w14:paraId="541D90B4">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3</w:t>
            </w:r>
          </w:p>
        </w:tc>
        <w:tc>
          <w:tcPr>
            <w:tcW w:w="8145" w:type="dxa"/>
            <w:noWrap w:val="0"/>
            <w:vAlign w:val="center"/>
          </w:tcPr>
          <w:p w14:paraId="5F65A0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kern w:val="3"/>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提供维保人员培训提升方案，明确培训类别（如常规培训、专项培训、法纪教育、安全教育）、培训周期、培训质量。具有合理操作性且符合实际需求得3分，基本符合项目情况的得2分；部分符合项目情况的得1分，大部分不符合得0.5分，不符合或未提供的得0分。（0-3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（投标文件中提供相关培训材料和投标人为参训人缴纳的近三个月社保证明并加盖投标人公章，不符合或不提供的不得分）</w:t>
            </w:r>
          </w:p>
        </w:tc>
      </w:tr>
      <w:tr w14:paraId="4AD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vMerge w:val="restart"/>
            <w:noWrap w:val="0"/>
            <w:vAlign w:val="center"/>
          </w:tcPr>
          <w:p w14:paraId="58A5CE04">
            <w:pPr>
              <w:keepNext w:val="0"/>
              <w:keepLines w:val="0"/>
              <w:widowControl/>
              <w:suppressLineNumbers w:val="0"/>
              <w:jc w:val="center"/>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设施设备</w:t>
            </w:r>
          </w:p>
        </w:tc>
        <w:tc>
          <w:tcPr>
            <w:tcW w:w="720" w:type="dxa"/>
            <w:noWrap w:val="0"/>
            <w:vAlign w:val="center"/>
          </w:tcPr>
          <w:p w14:paraId="611A6E4F">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4</w:t>
            </w:r>
          </w:p>
        </w:tc>
        <w:tc>
          <w:tcPr>
            <w:tcW w:w="8145" w:type="dxa"/>
            <w:noWrap w:val="0"/>
            <w:vAlign w:val="center"/>
          </w:tcPr>
          <w:p w14:paraId="6EB568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kern w:val="3"/>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投标人为运维所在地常备带起重或升降功能的运维车辆，每配备1辆得2分，最高得4分（可购买或租赁，提供行驶证扫描件、带车牌车辆照片及提供5年内的车辆采购或租赁合同（如租赁，租赁期限需包含整个服务期）；（0-4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（投标文件中提供相应证明材料并加盖公章，不符合或未提供的不得分）</w:t>
            </w:r>
          </w:p>
        </w:tc>
      </w:tr>
      <w:tr w14:paraId="794E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vMerge w:val="continue"/>
            <w:noWrap w:val="0"/>
            <w:vAlign w:val="top"/>
          </w:tcPr>
          <w:p w14:paraId="01D73B69">
            <w:pPr>
              <w:spacing w:line="440" w:lineRule="exact"/>
              <w:jc w:val="center"/>
              <w:textAlignment w:val="center"/>
              <w:rPr>
                <w:rFonts w:hint="eastAsia" w:ascii="仿宋" w:hAnsi="仿宋" w:eastAsia="仿宋" w:cs="仿宋"/>
                <w:color w:val="000000"/>
                <w:sz w:val="24"/>
                <w:szCs w:val="24"/>
              </w:rPr>
            </w:pPr>
          </w:p>
        </w:tc>
        <w:tc>
          <w:tcPr>
            <w:tcW w:w="720" w:type="dxa"/>
            <w:noWrap w:val="0"/>
            <w:vAlign w:val="center"/>
          </w:tcPr>
          <w:p w14:paraId="3E67EA86">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2</w:t>
            </w:r>
          </w:p>
        </w:tc>
        <w:tc>
          <w:tcPr>
            <w:tcW w:w="8145" w:type="dxa"/>
            <w:noWrap w:val="0"/>
            <w:vAlign w:val="center"/>
          </w:tcPr>
          <w:p w14:paraId="01FB0BF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kern w:val="3"/>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（2）根据所提供的维护设备及工具清单进行打分。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提供维护设备及工具的图文清单，维护设备齐全合理得2分，较齐全得1.5分，部分齐全得1分，大部分缺失得0.5分，或未提供不得分。（0-2分）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（投标文件中提供相应证明材料并加盖公章，不符合或不提供的不得分）</w:t>
            </w:r>
          </w:p>
        </w:tc>
      </w:tr>
      <w:tr w14:paraId="5C58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noWrap w:val="0"/>
            <w:vAlign w:val="center"/>
          </w:tcPr>
          <w:p w14:paraId="59E5E6F2">
            <w:pPr>
              <w:keepNext w:val="0"/>
              <w:keepLines w:val="0"/>
              <w:widowControl/>
              <w:suppressLineNumbers w:val="0"/>
              <w:jc w:val="center"/>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运维服务数字管理系统演示</w:t>
            </w:r>
          </w:p>
        </w:tc>
        <w:tc>
          <w:tcPr>
            <w:tcW w:w="720" w:type="dxa"/>
            <w:noWrap w:val="0"/>
            <w:vAlign w:val="center"/>
          </w:tcPr>
          <w:p w14:paraId="474AE3DA">
            <w:pPr>
              <w:spacing w:line="440" w:lineRule="exact"/>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6</w:t>
            </w:r>
          </w:p>
        </w:tc>
        <w:tc>
          <w:tcPr>
            <w:tcW w:w="8145" w:type="dxa"/>
            <w:noWrap w:val="0"/>
            <w:vAlign w:val="center"/>
          </w:tcPr>
          <w:p w14:paraId="57DCA2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投标人对各自运维服务的数字管理系统进行视频录制演示讲解（仅提供图片、ppt的方式不得分），演示时间不</w:t>
            </w:r>
            <w:r>
              <w:rPr>
                <w:rFonts w:hint="eastAsia" w:cs="仿宋"/>
                <w:i w:val="0"/>
                <w:iCs w:val="0"/>
                <w:color w:val="000000"/>
                <w:kern w:val="0"/>
                <w:sz w:val="24"/>
                <w:szCs w:val="24"/>
                <w:u w:val="none"/>
                <w:lang w:val="en-US" w:eastAsia="zh-CN" w:bidi="ar"/>
              </w:rPr>
              <w:t>少于5</w:t>
            </w:r>
            <w:r>
              <w:rPr>
                <w:rFonts w:hint="eastAsia" w:ascii="仿宋" w:hAnsi="仿宋" w:eastAsia="仿宋" w:cs="仿宋"/>
                <w:i w:val="0"/>
                <w:iCs w:val="0"/>
                <w:color w:val="000000"/>
                <w:kern w:val="0"/>
                <w:sz w:val="24"/>
                <w:szCs w:val="24"/>
                <w:u w:val="none"/>
                <w:lang w:val="en-US" w:eastAsia="zh-CN" w:bidi="ar"/>
              </w:rPr>
              <w:t>分钟。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演示内容如下：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维保应急：维保服务、应急服务全流程在线监管。包括需求发起、自动派单、进度管理、结果闭环、评价反馈等。演示内容完整清晰、功能无漏项得1分；内容不完整、功能有漏项的得0.5分；未提供不得分。（0-1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运行监测：实时监测站点设备运行状态.包括运行监测、异常发现（掉线、数据未及时上传等）、智能预警、结果处置等。演示内容完整清晰、功能无漏项得1分；内容不完整、功能有漏项的得0.5分；未提供不得分。(0-1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每月巡检：自动生成每月两次以上的巡检计划、督办提醒。演示内容完整清晰、功能无漏项得1分；内容不完整、功能有漏项的得0.5分；未提供不得分。(0-1分）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年度检定：根据检定证书有效期等信息，自动推算下次检定日期，一个月前预警提醒。演示内容完整清晰、功能无漏项得1分；内容不完整、功能有漏项的得0.5分；未提供不得分。(0-1分）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统计分析：包括站点基本信息和维保应急、运行监测、每月巡检等工作开展情况，能够查阅超期情况及整改措施，生成下载报表。演示内容完整清晰、功能无漏项得1分；内容不完整、功能有漏项的得0.5分；未提供不得分。(0-1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用户友好：对业主开放，业主可自主发起需求、在线监督。演示内容完整清晰、功能无漏项得1分；内容不完整、功能有漏项的得0.5分；未提供不得分。（0-1分）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专家根据演示内容进行打分。</w:t>
            </w:r>
          </w:p>
        </w:tc>
      </w:tr>
      <w:tr w14:paraId="1DD7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vMerge w:val="restart"/>
            <w:noWrap w:val="0"/>
            <w:vAlign w:val="center"/>
          </w:tcPr>
          <w:p w14:paraId="30403F24">
            <w:pPr>
              <w:keepNext w:val="0"/>
              <w:keepLines w:val="0"/>
              <w:widowControl/>
              <w:suppressLineNumbers w:val="0"/>
              <w:jc w:val="center"/>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运维保障机制</w:t>
            </w:r>
          </w:p>
        </w:tc>
        <w:tc>
          <w:tcPr>
            <w:tcW w:w="720" w:type="dxa"/>
            <w:noWrap w:val="0"/>
            <w:vAlign w:val="center"/>
          </w:tcPr>
          <w:p w14:paraId="63A8C567">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3</w:t>
            </w:r>
          </w:p>
        </w:tc>
        <w:tc>
          <w:tcPr>
            <w:tcW w:w="8145" w:type="dxa"/>
            <w:noWrap w:val="0"/>
            <w:vAlign w:val="center"/>
          </w:tcPr>
          <w:p w14:paraId="60E584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日常运行维护服务方案，各项工作安排符合采购需求，且方案具有可行性、周密性，制度规范健全。维护服务方案成熟、具有合理操作性且符合实际需求得3分，基本符合项目情况的得2分；部分符合项目情况的得1分；大部分不符合得0.5分；不符合或未提供的得0分。（0-3分）。</w:t>
            </w:r>
          </w:p>
        </w:tc>
      </w:tr>
      <w:tr w14:paraId="5EF1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vMerge w:val="continue"/>
            <w:noWrap w:val="0"/>
            <w:vAlign w:val="top"/>
          </w:tcPr>
          <w:p w14:paraId="3AD0973C">
            <w:pPr>
              <w:spacing w:line="440" w:lineRule="exact"/>
              <w:jc w:val="center"/>
              <w:textAlignment w:val="center"/>
              <w:rPr>
                <w:rFonts w:hint="eastAsia" w:ascii="仿宋" w:hAnsi="仿宋" w:eastAsia="仿宋" w:cs="仿宋"/>
                <w:color w:val="000000"/>
                <w:sz w:val="24"/>
                <w:szCs w:val="24"/>
              </w:rPr>
            </w:pPr>
          </w:p>
        </w:tc>
        <w:tc>
          <w:tcPr>
            <w:tcW w:w="720" w:type="dxa"/>
            <w:noWrap w:val="0"/>
            <w:vAlign w:val="center"/>
          </w:tcPr>
          <w:p w14:paraId="59842317">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3</w:t>
            </w:r>
          </w:p>
        </w:tc>
        <w:tc>
          <w:tcPr>
            <w:tcW w:w="8145" w:type="dxa"/>
            <w:noWrap w:val="0"/>
            <w:vAlign w:val="center"/>
          </w:tcPr>
          <w:p w14:paraId="08526F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运维服务稳定、快速响应，响应内容分级分类、高效合理、有可操作性。运维服务具有合理操作性且符合实际需求得3分，基本符合项目情况的得2分；部分符合项目情况的得1分；大部分不符合得0.5分；不符合或未提供的得0分。（0-3分）</w:t>
            </w:r>
          </w:p>
        </w:tc>
      </w:tr>
      <w:tr w14:paraId="7ADD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vMerge w:val="continue"/>
            <w:noWrap w:val="0"/>
            <w:vAlign w:val="top"/>
          </w:tcPr>
          <w:p w14:paraId="295392EF">
            <w:pPr>
              <w:spacing w:line="440" w:lineRule="exact"/>
              <w:jc w:val="center"/>
              <w:textAlignment w:val="center"/>
              <w:rPr>
                <w:rFonts w:hint="eastAsia" w:ascii="仿宋" w:hAnsi="仿宋" w:eastAsia="仿宋" w:cs="仿宋"/>
                <w:color w:val="000000"/>
                <w:sz w:val="24"/>
                <w:szCs w:val="24"/>
              </w:rPr>
            </w:pPr>
          </w:p>
        </w:tc>
        <w:tc>
          <w:tcPr>
            <w:tcW w:w="720" w:type="dxa"/>
            <w:noWrap w:val="0"/>
            <w:vAlign w:val="center"/>
          </w:tcPr>
          <w:p w14:paraId="7D78616A">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3</w:t>
            </w:r>
          </w:p>
        </w:tc>
        <w:tc>
          <w:tcPr>
            <w:tcW w:w="8145" w:type="dxa"/>
            <w:noWrap w:val="0"/>
            <w:vAlign w:val="center"/>
          </w:tcPr>
          <w:p w14:paraId="487C83A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在重大故障或者紧急情况发生时，有完整齐备、行之有效的应急保障方案，有预防类似事件再次发生的整改提升措施。应急保障方案具有合理操作性且符合实际需求得3分，基本符合项目情况的得2分；部分符合项目情况的得1分；大部分不符合得0.5分；不符合或未提供的得0分。（0-3分）</w:t>
            </w:r>
          </w:p>
        </w:tc>
      </w:tr>
      <w:tr w14:paraId="330C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vMerge w:val="continue"/>
            <w:noWrap w:val="0"/>
            <w:vAlign w:val="top"/>
          </w:tcPr>
          <w:p w14:paraId="04CBABF5">
            <w:pPr>
              <w:spacing w:line="440" w:lineRule="exact"/>
              <w:jc w:val="center"/>
              <w:textAlignment w:val="center"/>
              <w:rPr>
                <w:rFonts w:hint="eastAsia" w:ascii="仿宋" w:hAnsi="仿宋" w:eastAsia="仿宋" w:cs="仿宋"/>
                <w:color w:val="000000"/>
                <w:sz w:val="24"/>
                <w:szCs w:val="24"/>
              </w:rPr>
            </w:pPr>
          </w:p>
        </w:tc>
        <w:tc>
          <w:tcPr>
            <w:tcW w:w="720" w:type="dxa"/>
            <w:noWrap w:val="0"/>
            <w:vAlign w:val="center"/>
          </w:tcPr>
          <w:p w14:paraId="7073DE0C">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3</w:t>
            </w:r>
          </w:p>
        </w:tc>
        <w:tc>
          <w:tcPr>
            <w:tcW w:w="8145" w:type="dxa"/>
            <w:noWrap w:val="0"/>
            <w:vAlign w:val="center"/>
          </w:tcPr>
          <w:p w14:paraId="38C34A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对问题反复出现、出现共性问题、响应不及时、工作不配合、久拖不决、点位被信访投诉等情况以及出现严重责任事故、违纪违规问题，对相关责任人员有问责、惩处机制。机制具有合理操作性且符合实际需求得3分，基本符合项目情况的得2分；部分符合项目情况的得1分；大部分不符合得0.5分；不符合或未提供的得0分。（0-3分）</w:t>
            </w:r>
          </w:p>
        </w:tc>
      </w:tr>
      <w:tr w14:paraId="1630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vMerge w:val="continue"/>
            <w:noWrap w:val="0"/>
            <w:vAlign w:val="top"/>
          </w:tcPr>
          <w:p w14:paraId="13DA9A34">
            <w:pPr>
              <w:spacing w:line="440" w:lineRule="exact"/>
              <w:jc w:val="center"/>
              <w:textAlignment w:val="center"/>
              <w:rPr>
                <w:rFonts w:hint="eastAsia" w:ascii="仿宋" w:hAnsi="仿宋" w:eastAsia="仿宋" w:cs="仿宋"/>
                <w:color w:val="000000"/>
                <w:sz w:val="24"/>
                <w:szCs w:val="24"/>
              </w:rPr>
            </w:pPr>
          </w:p>
        </w:tc>
        <w:tc>
          <w:tcPr>
            <w:tcW w:w="720" w:type="dxa"/>
            <w:noWrap w:val="0"/>
            <w:vAlign w:val="center"/>
          </w:tcPr>
          <w:p w14:paraId="0C0B42F9">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3</w:t>
            </w:r>
          </w:p>
        </w:tc>
        <w:tc>
          <w:tcPr>
            <w:tcW w:w="8145" w:type="dxa"/>
            <w:noWrap w:val="0"/>
            <w:vAlign w:val="center"/>
          </w:tcPr>
          <w:p w14:paraId="1B8926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内业台账管理规范，对资料资料维护管理制度、资料维护流程情况进行评议。台账管理规范得3分；大部分规范得2分；部分规范得1分；大部分不规范得0.5分；不规范或者不提供不得分。（0-3分）</w:t>
            </w:r>
          </w:p>
        </w:tc>
      </w:tr>
      <w:tr w14:paraId="2C20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noWrap w:val="0"/>
            <w:vAlign w:val="center"/>
          </w:tcPr>
          <w:p w14:paraId="067CE64B">
            <w:pPr>
              <w:keepNext w:val="0"/>
              <w:keepLines w:val="0"/>
              <w:widowControl/>
              <w:suppressLineNumbers w:val="0"/>
              <w:jc w:val="center"/>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服务质量评价</w:t>
            </w:r>
          </w:p>
        </w:tc>
        <w:tc>
          <w:tcPr>
            <w:tcW w:w="720" w:type="dxa"/>
            <w:noWrap w:val="0"/>
            <w:vAlign w:val="center"/>
          </w:tcPr>
          <w:p w14:paraId="059C5A84">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5</w:t>
            </w:r>
          </w:p>
        </w:tc>
        <w:tc>
          <w:tcPr>
            <w:tcW w:w="8145" w:type="dxa"/>
            <w:noWrap w:val="0"/>
            <w:vAlign w:val="center"/>
          </w:tcPr>
          <w:p w14:paraId="0D8B4A1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对服务质量量化考核指标进行综合评价，包括但不限于例行巡查检查、每月点位正常运行天数、完成时限、应急保障程度、信访投诉、业主评价等内容。考核指标全面合理且满足招标需求的得5分；指标较合理且较满足招标需求的得4分；指标部分合理得3分；指标大部分不合理得1分；不满足招标需求或未提供的不得分。（0-5分）</w:t>
            </w:r>
          </w:p>
        </w:tc>
      </w:tr>
      <w:tr w14:paraId="34AB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noWrap w:val="0"/>
            <w:vAlign w:val="center"/>
          </w:tcPr>
          <w:p w14:paraId="64C41468">
            <w:pPr>
              <w:keepNext w:val="0"/>
              <w:keepLines w:val="0"/>
              <w:widowControl/>
              <w:suppressLineNumbers w:val="0"/>
              <w:jc w:val="center"/>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重点难点攻克</w:t>
            </w:r>
          </w:p>
        </w:tc>
        <w:tc>
          <w:tcPr>
            <w:tcW w:w="720" w:type="dxa"/>
            <w:noWrap w:val="0"/>
            <w:vAlign w:val="center"/>
          </w:tcPr>
          <w:p w14:paraId="71BAD126">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8</w:t>
            </w:r>
          </w:p>
        </w:tc>
        <w:tc>
          <w:tcPr>
            <w:tcW w:w="8145" w:type="dxa"/>
            <w:noWrap w:val="0"/>
            <w:vAlign w:val="center"/>
          </w:tcPr>
          <w:p w14:paraId="227F1E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了解投标人对治超非现场执法点位运维整体情况的理解程度和解决问题能力，综合考察投标人对本运维项目进行重点、难点分析（包括但不限于对</w:t>
            </w:r>
            <w:r>
              <w:rPr>
                <w:rFonts w:hint="eastAsia" w:ascii="仿宋" w:hAnsi="仿宋" w:eastAsia="仿宋" w:cs="仿宋"/>
                <w:i w:val="0"/>
                <w:iCs w:val="0"/>
                <w:color w:val="FF0000"/>
                <w:kern w:val="0"/>
                <w:sz w:val="24"/>
                <w:szCs w:val="24"/>
                <w:u w:val="none"/>
                <w:lang w:val="en-US" w:eastAsia="zh-CN" w:bidi="ar"/>
              </w:rPr>
              <w:t>排队接龙、</w:t>
            </w:r>
            <w:r>
              <w:rPr>
                <w:rFonts w:hint="eastAsia" w:ascii="仿宋" w:hAnsi="仿宋" w:eastAsia="仿宋" w:cs="仿宋"/>
                <w:i w:val="0"/>
                <w:iCs w:val="0"/>
                <w:color w:val="000000"/>
                <w:kern w:val="0"/>
                <w:sz w:val="24"/>
                <w:szCs w:val="24"/>
                <w:u w:val="none"/>
                <w:lang w:val="en-US" w:eastAsia="zh-CN" w:bidi="ar"/>
              </w:rPr>
              <w:t>停磅倒磅、速度过快过慢、急刹急停、不按规定车道行驶、并排行驶、遮挡号牌、爆闪灯等逃避检测行为的攻克等，</w:t>
            </w:r>
            <w:r>
              <w:rPr>
                <w:rFonts w:hint="eastAsia" w:ascii="仿宋" w:hAnsi="仿宋" w:eastAsia="仿宋" w:cs="仿宋"/>
                <w:i w:val="0"/>
                <w:iCs w:val="0"/>
                <w:color w:val="FF0000"/>
                <w:kern w:val="0"/>
                <w:sz w:val="24"/>
                <w:szCs w:val="24"/>
                <w:u w:val="none"/>
                <w:lang w:val="en-US" w:eastAsia="zh-CN" w:bidi="ar"/>
              </w:rPr>
              <w:t>以及在逃避检测行为下的准确称重</w:t>
            </w:r>
            <w:r>
              <w:rPr>
                <w:rFonts w:hint="eastAsia" w:ascii="仿宋" w:hAnsi="仿宋" w:eastAsia="仿宋" w:cs="仿宋"/>
                <w:i w:val="0"/>
                <w:iCs w:val="0"/>
                <w:color w:val="000000"/>
                <w:kern w:val="0"/>
                <w:sz w:val="24"/>
                <w:szCs w:val="24"/>
                <w:u w:val="none"/>
                <w:lang w:val="en-US" w:eastAsia="zh-CN" w:bidi="ar"/>
              </w:rPr>
              <w:t>），并提出成熟解决方案、研发创新的能力。根据重点难点及解决方案的有效性、可行性，每一条得1分。（0-8分）</w:t>
            </w:r>
          </w:p>
        </w:tc>
      </w:tr>
      <w:tr w14:paraId="4431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vMerge w:val="restart"/>
            <w:noWrap w:val="0"/>
            <w:vAlign w:val="center"/>
          </w:tcPr>
          <w:p w14:paraId="321FBD72">
            <w:pPr>
              <w:keepNext w:val="0"/>
              <w:keepLines w:val="0"/>
              <w:widowControl/>
              <w:suppressLineNumbers w:val="0"/>
              <w:jc w:val="center"/>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响应业主要求</w:t>
            </w:r>
          </w:p>
        </w:tc>
        <w:tc>
          <w:tcPr>
            <w:tcW w:w="720" w:type="dxa"/>
            <w:noWrap w:val="0"/>
            <w:vAlign w:val="center"/>
          </w:tcPr>
          <w:p w14:paraId="48F628FD">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3</w:t>
            </w:r>
          </w:p>
        </w:tc>
        <w:tc>
          <w:tcPr>
            <w:tcW w:w="8145" w:type="dxa"/>
            <w:noWrap w:val="0"/>
            <w:vAlign w:val="center"/>
          </w:tcPr>
          <w:p w14:paraId="1C0FA6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承诺响应业主维护实施要求和采购需求的，得3分。承诺不全或不承诺者不得分。（0-3分）</w:t>
            </w:r>
          </w:p>
        </w:tc>
      </w:tr>
      <w:tr w14:paraId="7754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vMerge w:val="continue"/>
            <w:noWrap w:val="0"/>
            <w:vAlign w:val="top"/>
          </w:tcPr>
          <w:p w14:paraId="404CD035">
            <w:pPr>
              <w:spacing w:line="440" w:lineRule="exact"/>
              <w:jc w:val="center"/>
              <w:textAlignment w:val="center"/>
              <w:rPr>
                <w:rFonts w:hint="eastAsia" w:ascii="仿宋" w:hAnsi="仿宋" w:eastAsia="仿宋" w:cs="仿宋"/>
                <w:color w:val="000000"/>
                <w:sz w:val="24"/>
                <w:szCs w:val="24"/>
              </w:rPr>
            </w:pPr>
          </w:p>
        </w:tc>
        <w:tc>
          <w:tcPr>
            <w:tcW w:w="720" w:type="dxa"/>
            <w:noWrap w:val="0"/>
            <w:vAlign w:val="center"/>
          </w:tcPr>
          <w:p w14:paraId="1446EBB5">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3</w:t>
            </w:r>
          </w:p>
        </w:tc>
        <w:tc>
          <w:tcPr>
            <w:tcW w:w="8145" w:type="dxa"/>
            <w:noWrap w:val="0"/>
            <w:vAlign w:val="center"/>
          </w:tcPr>
          <w:p w14:paraId="587158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承诺组建研发团队，协助业主开展数据分析、对算法算力进行升级的，最高得3分。根据承诺内容的完整度、可行性、成熟度酌情评分。承诺内容完整度高得1分，完整度一般得0.5分；可行性高得1分，可行性一般得0.5分；成熟度高得1分，成熟度一般得0.5分；不承诺者不得分。（0-3分）</w:t>
            </w:r>
          </w:p>
        </w:tc>
      </w:tr>
      <w:tr w14:paraId="09E5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vMerge w:val="continue"/>
            <w:noWrap w:val="0"/>
            <w:vAlign w:val="top"/>
          </w:tcPr>
          <w:p w14:paraId="015632A8">
            <w:pPr>
              <w:spacing w:line="440" w:lineRule="exact"/>
              <w:jc w:val="center"/>
              <w:textAlignment w:val="center"/>
              <w:rPr>
                <w:rFonts w:hint="eastAsia" w:ascii="仿宋" w:hAnsi="仿宋" w:eastAsia="仿宋" w:cs="仿宋"/>
                <w:color w:val="000000"/>
                <w:sz w:val="24"/>
                <w:szCs w:val="24"/>
              </w:rPr>
            </w:pPr>
          </w:p>
        </w:tc>
        <w:tc>
          <w:tcPr>
            <w:tcW w:w="720" w:type="dxa"/>
            <w:noWrap w:val="0"/>
            <w:vAlign w:val="center"/>
          </w:tcPr>
          <w:p w14:paraId="63DACD40">
            <w:pPr>
              <w:spacing w:line="440" w:lineRule="exact"/>
              <w:jc w:val="center"/>
              <w:textAlignment w:val="center"/>
              <w:rPr>
                <w:rFonts w:hint="eastAsia" w:ascii="仿宋" w:hAnsi="仿宋" w:eastAsia="仿宋" w:cs="仿宋"/>
                <w:sz w:val="24"/>
                <w:szCs w:val="24"/>
                <w:lang w:val="en-US" w:eastAsia="zh-CN"/>
              </w:rPr>
            </w:pPr>
            <w:r>
              <w:rPr>
                <w:rFonts w:hint="eastAsia" w:cs="仿宋"/>
                <w:sz w:val="24"/>
                <w:szCs w:val="24"/>
                <w:lang w:val="en-US" w:eastAsia="zh-CN"/>
              </w:rPr>
              <w:t>8</w:t>
            </w:r>
          </w:p>
        </w:tc>
        <w:tc>
          <w:tcPr>
            <w:tcW w:w="8145" w:type="dxa"/>
            <w:noWrap w:val="0"/>
            <w:vAlign w:val="center"/>
          </w:tcPr>
          <w:p w14:paraId="129F131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3"/>
                <w:sz w:val="24"/>
                <w:szCs w:val="24"/>
                <w:u w:val="none"/>
                <w:lang w:val="en-US" w:eastAsia="zh-CN" w:bidi="ar-SA"/>
              </w:rPr>
            </w:pPr>
            <w:r>
              <w:rPr>
                <w:rFonts w:hint="eastAsia" w:ascii="仿宋" w:hAnsi="仿宋" w:eastAsia="仿宋" w:cs="仿宋"/>
                <w:i w:val="0"/>
                <w:iCs w:val="0"/>
                <w:color w:val="FF0000"/>
                <w:kern w:val="0"/>
                <w:sz w:val="24"/>
                <w:szCs w:val="24"/>
                <w:u w:val="none"/>
                <w:lang w:val="en-US" w:eastAsia="zh-CN" w:bidi="ar"/>
              </w:rPr>
              <w:t>（1）承诺完成7个以上车道的称重设备整体更新的，得5分；承诺不足或者不承诺者，不得分。（0-5分）</w:t>
            </w:r>
            <w:r>
              <w:rPr>
                <w:rFonts w:hint="eastAsia" w:ascii="仿宋" w:hAnsi="仿宋" w:eastAsia="仿宋" w:cs="仿宋"/>
                <w:i w:val="0"/>
                <w:iCs w:val="0"/>
                <w:color w:val="FF0000"/>
                <w:kern w:val="0"/>
                <w:sz w:val="24"/>
                <w:szCs w:val="24"/>
                <w:u w:val="none"/>
                <w:lang w:val="en-US" w:eastAsia="zh-CN" w:bidi="ar"/>
              </w:rPr>
              <w:br w:type="textWrapping"/>
            </w:r>
            <w:r>
              <w:rPr>
                <w:rFonts w:hint="eastAsia" w:ascii="仿宋" w:hAnsi="仿宋" w:eastAsia="仿宋" w:cs="仿宋"/>
                <w:i w:val="0"/>
                <w:iCs w:val="0"/>
                <w:color w:val="FF0000"/>
                <w:kern w:val="0"/>
                <w:sz w:val="24"/>
                <w:szCs w:val="24"/>
                <w:u w:val="none"/>
                <w:lang w:val="en-US" w:eastAsia="zh-CN" w:bidi="ar"/>
              </w:rPr>
              <w:t>（2）承诺中标6个月内完成3个以上车道的称重设备整体更新、且中标12个月内完成7个以上车道的称重设备整体更新的，得3分；承诺时限不达标或者不承诺者，不得分。（0-3分）</w:t>
            </w:r>
          </w:p>
        </w:tc>
      </w:tr>
      <w:tr w14:paraId="4412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6" w:type="dxa"/>
            <w:noWrap w:val="0"/>
            <w:vAlign w:val="top"/>
          </w:tcPr>
          <w:p w14:paraId="1C14AB17">
            <w:pPr>
              <w:spacing w:line="44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报价</w:t>
            </w:r>
          </w:p>
        </w:tc>
        <w:tc>
          <w:tcPr>
            <w:tcW w:w="720" w:type="dxa"/>
            <w:noWrap w:val="0"/>
            <w:vAlign w:val="center"/>
          </w:tcPr>
          <w:p w14:paraId="3D693178">
            <w:pPr>
              <w:spacing w:line="440" w:lineRule="exact"/>
              <w:jc w:val="center"/>
              <w:textAlignment w:val="center"/>
              <w:rPr>
                <w:rFonts w:hint="default" w:cs="仿宋"/>
                <w:sz w:val="24"/>
                <w:szCs w:val="24"/>
                <w:lang w:val="en-US" w:eastAsia="zh-CN"/>
              </w:rPr>
            </w:pPr>
            <w:r>
              <w:rPr>
                <w:rFonts w:hint="eastAsia" w:cs="仿宋"/>
                <w:sz w:val="24"/>
                <w:szCs w:val="24"/>
                <w:lang w:val="en-US" w:eastAsia="zh-CN"/>
              </w:rPr>
              <w:t>20</w:t>
            </w:r>
          </w:p>
        </w:tc>
        <w:tc>
          <w:tcPr>
            <w:tcW w:w="8145" w:type="dxa"/>
            <w:noWrap w:val="0"/>
            <w:vAlign w:val="center"/>
          </w:tcPr>
          <w:p w14:paraId="2B89DF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报价分=（最低报价/投标报价）*20</w:t>
            </w:r>
          </w:p>
        </w:tc>
      </w:tr>
    </w:tbl>
    <w:p w14:paraId="77EAA141">
      <w:pPr>
        <w:rPr>
          <w:color w:val="auto"/>
          <w:highlight w:val="none"/>
        </w:rPr>
      </w:pPr>
    </w:p>
    <w:p w14:paraId="27407E9A">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3362E634">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3FF64587">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16DECDE5">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70896402">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72F4DF3D">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67153BC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454B560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0F9E20F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71C988A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131978F">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9DA3F7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内容与投标文件中相应内容不一致的，以开标一览表(报价表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为准;</w:t>
      </w:r>
    </w:p>
    <w:p w14:paraId="639F5E79">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785F5427">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323DAB6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1AE627D3">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1E4BF763">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1ADF56ED">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28748C96">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6F6D6CF">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78AAB60">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14:paraId="1A32EC83">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845307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3877921">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6CEA2D94">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CF1E573">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13AD5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E7459F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5EDF052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0047CD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1FF4B1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560148EF">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856FA2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B4AA0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3AD93D1E">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48FAF0B8">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2541E9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7AA3D7B1">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6663592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3D4A9190">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37FCDD3">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36BE7F6">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3861788E">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2C8A1F44">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0F20D232">
      <w:pPr>
        <w:pStyle w:val="24"/>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728F5DB1">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4F2DA9DA">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62D94D34">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2169EE18">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2BC1C79">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0C0B7240">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94896E4">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1B06A045">
      <w:pPr>
        <w:pStyle w:val="24"/>
        <w:snapToGrid w:val="0"/>
        <w:spacing w:line="360" w:lineRule="auto"/>
        <w:ind w:firstLine="0" w:firstLineChars="0"/>
        <w:rPr>
          <w:rFonts w:cs="宋体"/>
          <w:color w:val="auto"/>
          <w:highlight w:val="none"/>
        </w:rPr>
      </w:pPr>
    </w:p>
    <w:bookmarkEnd w:id="27"/>
    <w:p w14:paraId="414513D2">
      <w:pPr>
        <w:spacing w:line="360" w:lineRule="auto"/>
        <w:ind w:left="720" w:leftChars="343" w:firstLine="1084" w:firstLineChars="300"/>
        <w:outlineLvl w:val="0"/>
        <w:rPr>
          <w:rFonts w:ascii="宋体" w:hAnsi="宋体" w:cs="宋体"/>
          <w:b/>
          <w:color w:val="auto"/>
          <w:sz w:val="36"/>
          <w:szCs w:val="36"/>
          <w:highlight w:val="none"/>
        </w:rPr>
      </w:pPr>
      <w:bookmarkStart w:id="393" w:name="第五部分"/>
      <w:bookmarkStart w:id="394" w:name="_Toc86217003"/>
    </w:p>
    <w:p w14:paraId="6D191506">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1100B8C1">
      <w:pPr>
        <w:widowControl/>
        <w:adjustRightInd/>
        <w:jc w:val="left"/>
        <w:rPr>
          <w:rFonts w:ascii="宋体" w:hAnsi="宋体" w:cs="宋体"/>
          <w:b/>
          <w:color w:val="auto"/>
          <w:sz w:val="36"/>
          <w:szCs w:val="36"/>
          <w:highlight w:val="none"/>
        </w:rPr>
      </w:pPr>
    </w:p>
    <w:p w14:paraId="63B2237B">
      <w:pPr>
        <w:spacing w:line="360" w:lineRule="auto"/>
        <w:ind w:left="720" w:leftChars="343" w:firstLine="1084" w:firstLineChars="300"/>
        <w:outlineLvl w:val="0"/>
        <w:rPr>
          <w:rFonts w:hint="eastAsia" w:ascii="宋体" w:hAnsi="宋体" w:cs="宋体"/>
          <w:b/>
          <w:color w:val="auto"/>
          <w:sz w:val="36"/>
          <w:szCs w:val="36"/>
          <w:highlight w:val="none"/>
        </w:rPr>
      </w:pPr>
    </w:p>
    <w:p w14:paraId="36625555">
      <w:pPr>
        <w:spacing w:line="360" w:lineRule="auto"/>
        <w:ind w:left="720" w:leftChars="343" w:firstLine="1084" w:firstLineChars="300"/>
        <w:outlineLvl w:val="0"/>
        <w:rPr>
          <w:rFonts w:hint="eastAsia" w:ascii="宋体" w:hAnsi="宋体" w:cs="宋体"/>
          <w:b/>
          <w:color w:val="auto"/>
          <w:sz w:val="36"/>
          <w:szCs w:val="36"/>
          <w:highlight w:val="none"/>
        </w:rPr>
      </w:pPr>
    </w:p>
    <w:p w14:paraId="197911AA">
      <w:pPr>
        <w:spacing w:line="360" w:lineRule="auto"/>
        <w:ind w:left="720" w:leftChars="343" w:firstLine="1084" w:firstLineChars="300"/>
        <w:outlineLvl w:val="0"/>
        <w:rPr>
          <w:rFonts w:hint="eastAsia" w:ascii="宋体" w:hAnsi="宋体" w:cs="宋体"/>
          <w:b/>
          <w:color w:val="auto"/>
          <w:sz w:val="36"/>
          <w:szCs w:val="36"/>
          <w:highlight w:val="none"/>
        </w:rPr>
      </w:pPr>
    </w:p>
    <w:p w14:paraId="6020DEB5">
      <w:pPr>
        <w:spacing w:line="360" w:lineRule="auto"/>
        <w:ind w:left="720" w:leftChars="343" w:firstLine="1084" w:firstLineChars="300"/>
        <w:outlineLvl w:val="0"/>
        <w:rPr>
          <w:rFonts w:hint="eastAsia" w:ascii="宋体" w:hAnsi="宋体" w:cs="宋体"/>
          <w:b/>
          <w:color w:val="auto"/>
          <w:sz w:val="36"/>
          <w:szCs w:val="36"/>
          <w:highlight w:val="none"/>
        </w:rPr>
      </w:pPr>
    </w:p>
    <w:p w14:paraId="3CEA968D">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3816F2F6">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6A210C03">
      <w:pPr>
        <w:spacing w:line="480" w:lineRule="auto"/>
        <w:jc w:val="both"/>
        <w:rPr>
          <w:rFonts w:ascii="宋体" w:hAnsi="宋体" w:cs="宋体"/>
          <w:b/>
          <w:color w:val="auto"/>
          <w:sz w:val="24"/>
          <w:highlight w:val="none"/>
        </w:rPr>
      </w:pPr>
    </w:p>
    <w:p w14:paraId="391DF66D">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511C89FD">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4419379D">
      <w:pPr>
        <w:pStyle w:val="702"/>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111642AA">
      <w:pPr>
        <w:spacing w:before="120" w:line="22" w:lineRule="atLeast"/>
        <w:rPr>
          <w:rFonts w:ascii="宋体" w:hAnsi="宋体" w:cs="宋体"/>
          <w:color w:val="auto"/>
          <w:sz w:val="24"/>
          <w:highlight w:val="none"/>
        </w:rPr>
      </w:pPr>
    </w:p>
    <w:p w14:paraId="4EB107E0">
      <w:pPr>
        <w:pStyle w:val="3"/>
        <w:rPr>
          <w:color w:val="auto"/>
          <w:highlight w:val="none"/>
        </w:rPr>
      </w:pPr>
    </w:p>
    <w:p w14:paraId="52C5A054">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6B902B2C">
      <w:pPr>
        <w:pStyle w:val="599"/>
        <w:spacing w:before="120" w:line="22" w:lineRule="atLeast"/>
        <w:rPr>
          <w:rFonts w:ascii="宋体" w:hAnsi="宋体" w:eastAsia="宋体" w:cs="宋体"/>
          <w:color w:val="auto"/>
          <w:szCs w:val="24"/>
          <w:highlight w:val="none"/>
        </w:rPr>
      </w:pPr>
    </w:p>
    <w:p w14:paraId="5912128F">
      <w:pPr>
        <w:pStyle w:val="599"/>
        <w:spacing w:before="120" w:line="22" w:lineRule="atLeast"/>
        <w:rPr>
          <w:rFonts w:ascii="宋体" w:hAnsi="宋体" w:eastAsia="宋体" w:cs="宋体"/>
          <w:color w:val="auto"/>
          <w:szCs w:val="24"/>
          <w:highlight w:val="none"/>
        </w:rPr>
      </w:pPr>
    </w:p>
    <w:p w14:paraId="5FE0C9E3">
      <w:pPr>
        <w:rPr>
          <w:rFonts w:ascii="宋体" w:hAnsi="宋体" w:cs="宋体"/>
          <w:color w:val="auto"/>
          <w:sz w:val="24"/>
          <w:highlight w:val="none"/>
        </w:rPr>
      </w:pPr>
    </w:p>
    <w:p w14:paraId="47A9008A">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0D3D1846">
      <w:pPr>
        <w:spacing w:before="120" w:line="22" w:lineRule="atLeast"/>
        <w:rPr>
          <w:rFonts w:ascii="宋体" w:hAnsi="宋体" w:cs="宋体"/>
          <w:color w:val="auto"/>
          <w:sz w:val="24"/>
          <w:highlight w:val="none"/>
        </w:rPr>
      </w:pPr>
    </w:p>
    <w:p w14:paraId="4F902F54">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15CA71C9">
      <w:pPr>
        <w:spacing w:before="120" w:line="22" w:lineRule="atLeast"/>
        <w:rPr>
          <w:rFonts w:ascii="宋体" w:hAnsi="宋体" w:cs="宋体"/>
          <w:color w:val="auto"/>
          <w:sz w:val="24"/>
          <w:highlight w:val="none"/>
        </w:rPr>
      </w:pPr>
    </w:p>
    <w:p w14:paraId="14015310">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0C1208B">
      <w:pPr>
        <w:spacing w:before="120" w:line="22" w:lineRule="atLeast"/>
        <w:rPr>
          <w:rFonts w:ascii="宋体" w:hAnsi="宋体" w:cs="宋体"/>
          <w:color w:val="auto"/>
          <w:sz w:val="24"/>
          <w:highlight w:val="none"/>
        </w:rPr>
      </w:pPr>
    </w:p>
    <w:p w14:paraId="3A8D1F64">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3FDA7BA">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719C4F9E">
      <w:pPr>
        <w:rPr>
          <w:rFonts w:ascii="宋体" w:hAnsi="宋体" w:cs="宋体"/>
          <w:b/>
          <w:color w:val="auto"/>
          <w:sz w:val="24"/>
          <w:highlight w:val="none"/>
        </w:rPr>
      </w:pPr>
    </w:p>
    <w:p w14:paraId="561141BA">
      <w:pPr>
        <w:pStyle w:val="23"/>
        <w:spacing w:before="158" w:line="219" w:lineRule="auto"/>
        <w:jc w:val="center"/>
        <w:outlineLvl w:val="0"/>
        <w:rPr>
          <w:sz w:val="24"/>
          <w:szCs w:val="24"/>
        </w:rPr>
      </w:pPr>
      <w:r>
        <w:rPr>
          <w:b/>
          <w:bCs/>
          <w:spacing w:val="-2"/>
          <w:sz w:val="24"/>
          <w:szCs w:val="24"/>
        </w:rPr>
        <w:t>杭州市桐庐县政府采购合同主要条款</w:t>
      </w:r>
    </w:p>
    <w:p w14:paraId="1680AD45">
      <w:pPr>
        <w:pStyle w:val="23"/>
        <w:spacing w:before="115" w:line="219" w:lineRule="auto"/>
        <w:ind w:left="343"/>
        <w:rPr>
          <w:rFonts w:hint="eastAsia" w:eastAsia="宋体"/>
          <w:lang w:eastAsia="zh-CN"/>
        </w:rPr>
      </w:pPr>
      <w:r>
        <w:rPr>
          <w:spacing w:val="13"/>
        </w:rPr>
        <w:t>甲</w:t>
      </w:r>
      <w:r>
        <w:rPr>
          <w:spacing w:val="55"/>
        </w:rPr>
        <w:t xml:space="preserve"> </w:t>
      </w:r>
      <w:r>
        <w:rPr>
          <w:spacing w:val="13"/>
        </w:rPr>
        <w:t>方(采购人</w:t>
      </w:r>
      <w:r>
        <w:rPr>
          <w:rFonts w:hint="eastAsia"/>
          <w:spacing w:val="13"/>
          <w:lang w:eastAsia="zh-CN"/>
        </w:rPr>
        <w:t>）</w:t>
      </w:r>
      <w:r>
        <w:rPr>
          <w:spacing w:val="13"/>
        </w:rPr>
        <w:t>:</w:t>
      </w:r>
      <w:r>
        <w:rPr>
          <w:rFonts w:hint="eastAsia"/>
          <w:spacing w:val="13"/>
          <w:lang w:val="en-US" w:eastAsia="zh-CN"/>
        </w:rPr>
        <w:t xml:space="preserve"> </w:t>
      </w:r>
    </w:p>
    <w:p w14:paraId="38376703">
      <w:pPr>
        <w:pStyle w:val="23"/>
        <w:spacing w:before="130" w:line="219" w:lineRule="auto"/>
        <w:ind w:left="343"/>
        <w:rPr>
          <w:rFonts w:hint="eastAsia" w:eastAsia="宋体"/>
          <w:lang w:eastAsia="zh-CN"/>
        </w:rPr>
      </w:pPr>
      <w:r>
        <w:rPr>
          <w:spacing w:val="10"/>
        </w:rPr>
        <w:t>乙</w:t>
      </w:r>
      <w:r>
        <w:rPr>
          <w:spacing w:val="51"/>
        </w:rPr>
        <w:t xml:space="preserve"> </w:t>
      </w:r>
      <w:r>
        <w:rPr>
          <w:spacing w:val="10"/>
        </w:rPr>
        <w:t>方(中标人</w:t>
      </w:r>
      <w:r>
        <w:rPr>
          <w:rFonts w:hint="eastAsia"/>
          <w:spacing w:val="10"/>
          <w:lang w:eastAsia="zh-CN"/>
        </w:rPr>
        <w:t>）</w:t>
      </w:r>
      <w:r>
        <w:rPr>
          <w:spacing w:val="10"/>
        </w:rPr>
        <w:t>:</w:t>
      </w:r>
      <w:r>
        <w:rPr>
          <w:rFonts w:hint="eastAsia"/>
          <w:spacing w:val="10"/>
          <w:lang w:val="en-US" w:eastAsia="zh-CN"/>
        </w:rPr>
        <w:t xml:space="preserve"> </w:t>
      </w:r>
    </w:p>
    <w:p w14:paraId="22088628">
      <w:pPr>
        <w:pStyle w:val="23"/>
        <w:spacing w:before="93" w:line="364" w:lineRule="auto"/>
        <w:ind w:left="23" w:right="1060" w:firstLine="320"/>
        <w:jc w:val="both"/>
      </w:pPr>
      <w:r>
        <w:rPr>
          <w:spacing w:val="3"/>
        </w:rPr>
        <w:t>经过公开招标采购(编号：</w:t>
      </w:r>
      <w:r>
        <w:rPr>
          <w:rFonts w:hint="eastAsia"/>
          <w:spacing w:val="3"/>
          <w:lang w:val="en-US" w:eastAsia="zh-CN"/>
        </w:rPr>
        <w:t xml:space="preserve"> </w:t>
      </w:r>
      <w:r>
        <w:rPr>
          <w:rFonts w:hint="eastAsia" w:ascii="Times New Roman" w:hAnsi="Times New Roman" w:eastAsia="宋体" w:cs="Times New Roman"/>
          <w:spacing w:val="3"/>
          <w:lang w:eastAsia="zh-CN"/>
        </w:rPr>
        <w:t>）</w:t>
      </w:r>
      <w:r>
        <w:rPr>
          <w:rFonts w:ascii="Times New Roman" w:hAnsi="Times New Roman" w:eastAsia="Times New Roman" w:cs="Times New Roman"/>
          <w:spacing w:val="3"/>
        </w:rPr>
        <w:t>,</w:t>
      </w:r>
      <w:r>
        <w:rPr>
          <w:spacing w:val="2"/>
        </w:rPr>
        <w:t>确定</w:t>
      </w:r>
      <w:r>
        <w:rPr>
          <w:rFonts w:hint="eastAsia"/>
          <w:spacing w:val="2"/>
          <w:u w:val="single"/>
          <w:lang w:val="en-US" w:eastAsia="zh-CN"/>
        </w:rPr>
        <w:t xml:space="preserve">             </w:t>
      </w:r>
      <w:r>
        <w:rPr>
          <w:spacing w:val="-8"/>
        </w:rPr>
        <w:t>为中标人，根据《中华人民共和国民法典》、《中华人民共和国政府采购法》</w:t>
      </w:r>
      <w:r>
        <w:rPr>
          <w:spacing w:val="14"/>
        </w:rPr>
        <w:t xml:space="preserve"> </w:t>
      </w:r>
      <w:r>
        <w:t>等相关法律法规之规定，按照平等、自愿、公平、诚实信用</w:t>
      </w:r>
      <w:r>
        <w:rPr>
          <w:spacing w:val="-1"/>
        </w:rPr>
        <w:t>和绿色的原则，经甲</w:t>
      </w:r>
      <w:r>
        <w:t xml:space="preserve"> </w:t>
      </w:r>
      <w:r>
        <w:rPr>
          <w:spacing w:val="-1"/>
        </w:rPr>
        <w:t>乙双方协商一致，约定以下合同条款，以兹共同遵守、全面履行。</w:t>
      </w:r>
    </w:p>
    <w:p w14:paraId="734E1B3C">
      <w:pPr>
        <w:pStyle w:val="23"/>
        <w:spacing w:before="2" w:line="218" w:lineRule="auto"/>
        <w:ind w:left="345"/>
        <w:outlineLvl w:val="4"/>
      </w:pPr>
      <w:r>
        <w:rPr>
          <w:b/>
          <w:bCs/>
        </w:rPr>
        <w:t>第一条：采购清单及合同价格</w:t>
      </w:r>
    </w:p>
    <w:p w14:paraId="5D955D0C">
      <w:pPr>
        <w:pStyle w:val="23"/>
        <w:spacing w:before="125" w:line="220" w:lineRule="auto"/>
        <w:ind w:left="4973"/>
      </w:pPr>
      <w:r>
        <w:rPr>
          <w:spacing w:val="-2"/>
        </w:rPr>
        <w:t>单位：元</w:t>
      </w:r>
    </w:p>
    <w:p w14:paraId="0A11422B">
      <w:pPr>
        <w:spacing w:line="47" w:lineRule="exact"/>
      </w:pPr>
    </w:p>
    <w:tbl>
      <w:tblPr>
        <w:tblStyle w:val="965"/>
        <w:tblW w:w="7971" w:type="dxa"/>
        <w:tblInd w:w="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3"/>
        <w:gridCol w:w="3213"/>
        <w:gridCol w:w="1038"/>
        <w:gridCol w:w="1050"/>
        <w:gridCol w:w="1337"/>
      </w:tblGrid>
      <w:tr w14:paraId="31C0B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hRule="atLeast"/>
        </w:trPr>
        <w:tc>
          <w:tcPr>
            <w:tcW w:w="1333" w:type="dxa"/>
            <w:vAlign w:val="top"/>
          </w:tcPr>
          <w:p w14:paraId="2F9325D8">
            <w:pPr>
              <w:pStyle w:val="340"/>
              <w:spacing w:before="71" w:line="219" w:lineRule="auto"/>
              <w:jc w:val="center"/>
            </w:pPr>
            <w:r>
              <w:rPr>
                <w:spacing w:val="8"/>
              </w:rPr>
              <w:t>采购项目</w:t>
            </w:r>
          </w:p>
        </w:tc>
        <w:tc>
          <w:tcPr>
            <w:tcW w:w="3213" w:type="dxa"/>
            <w:vAlign w:val="top"/>
          </w:tcPr>
          <w:p w14:paraId="45F38CA3">
            <w:pPr>
              <w:pStyle w:val="340"/>
              <w:spacing w:before="72" w:line="219" w:lineRule="auto"/>
              <w:jc w:val="center"/>
            </w:pPr>
            <w:r>
              <w:rPr>
                <w:spacing w:val="2"/>
              </w:rPr>
              <w:t>中标内容</w:t>
            </w:r>
          </w:p>
        </w:tc>
        <w:tc>
          <w:tcPr>
            <w:tcW w:w="1038" w:type="dxa"/>
            <w:vAlign w:val="top"/>
          </w:tcPr>
          <w:p w14:paraId="74F95708">
            <w:pPr>
              <w:pStyle w:val="340"/>
              <w:spacing w:before="72" w:line="219" w:lineRule="auto"/>
              <w:jc w:val="center"/>
            </w:pPr>
            <w:r>
              <w:rPr>
                <w:spacing w:val="-2"/>
              </w:rPr>
              <w:t>数量</w:t>
            </w:r>
          </w:p>
        </w:tc>
        <w:tc>
          <w:tcPr>
            <w:tcW w:w="1050" w:type="dxa"/>
            <w:vAlign w:val="top"/>
          </w:tcPr>
          <w:p w14:paraId="0DB09F84">
            <w:pPr>
              <w:pStyle w:val="340"/>
              <w:spacing w:before="70" w:line="218" w:lineRule="auto"/>
              <w:jc w:val="center"/>
            </w:pPr>
            <w:r>
              <w:rPr>
                <w:spacing w:val="-2"/>
              </w:rPr>
              <w:t>单价</w:t>
            </w:r>
          </w:p>
        </w:tc>
        <w:tc>
          <w:tcPr>
            <w:tcW w:w="1337" w:type="dxa"/>
            <w:vAlign w:val="top"/>
          </w:tcPr>
          <w:p w14:paraId="4F555C73">
            <w:pPr>
              <w:pStyle w:val="340"/>
              <w:spacing w:before="70" w:line="218" w:lineRule="auto"/>
              <w:jc w:val="center"/>
            </w:pPr>
            <w:r>
              <w:rPr>
                <w:spacing w:val="-3"/>
              </w:rPr>
              <w:t>总价</w:t>
            </w:r>
          </w:p>
        </w:tc>
      </w:tr>
      <w:tr w14:paraId="7EFF9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1333" w:type="dxa"/>
            <w:vAlign w:val="top"/>
          </w:tcPr>
          <w:p w14:paraId="3039DB4A">
            <w:pPr>
              <w:pStyle w:val="340"/>
              <w:spacing w:before="100" w:line="222" w:lineRule="auto"/>
            </w:pPr>
            <w:r>
              <w:rPr>
                <w:rFonts w:hint="eastAsia" w:ascii="宋体" w:hAnsi="宋体" w:cs="宋体"/>
                <w:color w:val="auto"/>
                <w:sz w:val="24"/>
                <w:szCs w:val="24"/>
                <w:highlight w:val="none"/>
                <w:lang w:eastAsia="zh-CN"/>
              </w:rPr>
              <w:t>桐庐县公路治超非现场执法点位运维</w:t>
            </w:r>
          </w:p>
        </w:tc>
        <w:tc>
          <w:tcPr>
            <w:tcW w:w="3213" w:type="dxa"/>
            <w:vAlign w:val="top"/>
          </w:tcPr>
          <w:p w14:paraId="601BF7BE">
            <w:pPr>
              <w:spacing w:line="350" w:lineRule="auto"/>
              <w:rPr>
                <w:rFonts w:ascii="Arial"/>
                <w:sz w:val="21"/>
              </w:rPr>
            </w:pPr>
          </w:p>
          <w:p w14:paraId="1DEFC5F3">
            <w:pPr>
              <w:pStyle w:val="340"/>
              <w:spacing w:before="55" w:line="339" w:lineRule="auto"/>
              <w:ind w:left="51" w:right="21"/>
            </w:pPr>
            <w:r>
              <w:rPr>
                <w:rFonts w:hint="eastAsia" w:ascii="宋体" w:hAnsi="宋体" w:cs="宋体"/>
                <w:color w:val="auto"/>
                <w:sz w:val="24"/>
                <w:szCs w:val="24"/>
                <w:highlight w:val="none"/>
                <w:lang w:eastAsia="zh-CN"/>
              </w:rPr>
              <w:t>桐庐县公路治超非现场执法点位运维</w:t>
            </w:r>
          </w:p>
        </w:tc>
        <w:tc>
          <w:tcPr>
            <w:tcW w:w="1038" w:type="dxa"/>
            <w:vAlign w:val="top"/>
          </w:tcPr>
          <w:p w14:paraId="5F4E1E00">
            <w:pPr>
              <w:spacing w:line="248" w:lineRule="auto"/>
              <w:rPr>
                <w:rFonts w:ascii="Arial"/>
                <w:sz w:val="21"/>
              </w:rPr>
            </w:pPr>
          </w:p>
          <w:p w14:paraId="25A2919C">
            <w:pPr>
              <w:spacing w:line="248" w:lineRule="auto"/>
              <w:rPr>
                <w:rFonts w:ascii="Arial"/>
                <w:sz w:val="21"/>
              </w:rPr>
            </w:pPr>
          </w:p>
          <w:p w14:paraId="3E681897">
            <w:pPr>
              <w:pStyle w:val="340"/>
              <w:spacing w:before="55" w:line="241" w:lineRule="auto"/>
              <w:ind w:left="346"/>
              <w:rPr>
                <w:rFonts w:hint="eastAsia" w:eastAsia="宋体"/>
                <w:lang w:eastAsia="zh-CN"/>
              </w:rPr>
            </w:pPr>
            <w:r>
              <w:rPr>
                <w:rFonts w:hint="eastAsia"/>
                <w:color w:val="FF0000"/>
                <w:lang w:val="en-US" w:eastAsia="zh-CN"/>
              </w:rPr>
              <w:t>8</w:t>
            </w:r>
          </w:p>
        </w:tc>
        <w:tc>
          <w:tcPr>
            <w:tcW w:w="1050" w:type="dxa"/>
            <w:vAlign w:val="top"/>
          </w:tcPr>
          <w:p w14:paraId="063BBB47">
            <w:pPr>
              <w:spacing w:line="248" w:lineRule="auto"/>
              <w:rPr>
                <w:rFonts w:ascii="Arial"/>
                <w:sz w:val="21"/>
              </w:rPr>
            </w:pPr>
          </w:p>
          <w:p w14:paraId="71C7DAA0">
            <w:pPr>
              <w:spacing w:line="248" w:lineRule="auto"/>
              <w:rPr>
                <w:rFonts w:ascii="Arial"/>
                <w:sz w:val="21"/>
              </w:rPr>
            </w:pPr>
          </w:p>
          <w:p w14:paraId="4DAF23B3">
            <w:pPr>
              <w:pStyle w:val="340"/>
              <w:spacing w:before="55"/>
              <w:ind w:left="147"/>
              <w:rPr>
                <w:rFonts w:hint="eastAsia" w:eastAsia="宋体"/>
                <w:lang w:eastAsia="zh-CN"/>
              </w:rPr>
            </w:pPr>
            <w:r>
              <w:rPr>
                <w:rFonts w:hint="eastAsia"/>
                <w:spacing w:val="-2"/>
                <w:lang w:val="en-US" w:eastAsia="zh-CN"/>
              </w:rPr>
              <w:t xml:space="preserve"> </w:t>
            </w:r>
          </w:p>
        </w:tc>
        <w:tc>
          <w:tcPr>
            <w:tcW w:w="1337" w:type="dxa"/>
            <w:vAlign w:val="top"/>
          </w:tcPr>
          <w:p w14:paraId="700461DC">
            <w:pPr>
              <w:spacing w:line="248" w:lineRule="auto"/>
              <w:rPr>
                <w:rFonts w:ascii="Arial"/>
                <w:sz w:val="21"/>
              </w:rPr>
            </w:pPr>
          </w:p>
          <w:p w14:paraId="30F85B63">
            <w:pPr>
              <w:spacing w:line="248" w:lineRule="auto"/>
              <w:rPr>
                <w:rFonts w:ascii="Arial"/>
                <w:sz w:val="21"/>
              </w:rPr>
            </w:pPr>
          </w:p>
          <w:p w14:paraId="3A182F82">
            <w:pPr>
              <w:pStyle w:val="340"/>
              <w:spacing w:before="55"/>
              <w:ind w:left="128"/>
              <w:rPr>
                <w:rFonts w:hint="eastAsia" w:eastAsia="宋体"/>
                <w:lang w:eastAsia="zh-CN"/>
              </w:rPr>
            </w:pPr>
            <w:r>
              <w:rPr>
                <w:rFonts w:hint="eastAsia"/>
                <w:spacing w:val="-2"/>
                <w:lang w:val="en-US" w:eastAsia="zh-CN"/>
              </w:rPr>
              <w:t xml:space="preserve"> </w:t>
            </w:r>
          </w:p>
        </w:tc>
      </w:tr>
      <w:tr w14:paraId="59217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6634" w:type="dxa"/>
            <w:gridSpan w:val="4"/>
            <w:vAlign w:val="top"/>
          </w:tcPr>
          <w:p w14:paraId="348A73F0">
            <w:pPr>
              <w:pStyle w:val="340"/>
              <w:spacing w:before="74" w:line="221" w:lineRule="auto"/>
              <w:ind w:left="74"/>
              <w:rPr>
                <w:rFonts w:hint="eastAsia" w:eastAsia="宋体"/>
                <w:lang w:eastAsia="zh-CN"/>
              </w:rPr>
            </w:pPr>
            <w:r>
              <w:rPr>
                <w:spacing w:val="-1"/>
              </w:rPr>
              <w:t>合计：</w:t>
            </w:r>
            <w:r>
              <w:rPr>
                <w:rFonts w:hint="eastAsia"/>
                <w:spacing w:val="-1"/>
                <w:lang w:val="en-US" w:eastAsia="zh-CN"/>
              </w:rPr>
              <w:t xml:space="preserve"> </w:t>
            </w:r>
          </w:p>
        </w:tc>
        <w:tc>
          <w:tcPr>
            <w:tcW w:w="1337" w:type="dxa"/>
            <w:vAlign w:val="top"/>
          </w:tcPr>
          <w:p w14:paraId="7C79B766">
            <w:pPr>
              <w:rPr>
                <w:rFonts w:ascii="Arial"/>
                <w:sz w:val="21"/>
              </w:rPr>
            </w:pPr>
          </w:p>
        </w:tc>
      </w:tr>
      <w:tr w14:paraId="197D2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971" w:type="dxa"/>
            <w:gridSpan w:val="5"/>
            <w:vAlign w:val="top"/>
          </w:tcPr>
          <w:p w14:paraId="40F55FCD">
            <w:pPr>
              <w:pStyle w:val="340"/>
              <w:spacing w:before="74" w:line="218" w:lineRule="auto"/>
              <w:ind w:left="85"/>
            </w:pPr>
            <w:r>
              <w:rPr>
                <w:spacing w:val="-1"/>
              </w:rPr>
              <w:t>合同总价(人民币大写</w:t>
            </w:r>
            <w:r>
              <w:rPr>
                <w:rFonts w:hint="eastAsia"/>
                <w:spacing w:val="-1"/>
                <w:lang w:eastAsia="zh-CN"/>
              </w:rPr>
              <w:t>）</w:t>
            </w:r>
            <w:r>
              <w:rPr>
                <w:spacing w:val="-1"/>
              </w:rPr>
              <w:t>:</w:t>
            </w:r>
            <w:r>
              <w:rPr>
                <w:rFonts w:hint="eastAsia"/>
                <w:spacing w:val="-1"/>
                <w:lang w:val="en-US" w:eastAsia="zh-CN"/>
              </w:rPr>
              <w:t xml:space="preserve">        </w:t>
            </w:r>
            <w:r>
              <w:rPr>
                <w:spacing w:val="-1"/>
              </w:rPr>
              <w:t>元整</w:t>
            </w:r>
          </w:p>
        </w:tc>
      </w:tr>
    </w:tbl>
    <w:p w14:paraId="5FC1E230">
      <w:pPr>
        <w:pStyle w:val="23"/>
        <w:spacing w:before="60" w:line="363" w:lineRule="auto"/>
        <w:ind w:left="23" w:right="1079" w:firstLine="339"/>
      </w:pPr>
      <w:r>
        <w:t>注：以上合同总价包含人工费、管理费、利润、税金和根</w:t>
      </w:r>
      <w:r>
        <w:rPr>
          <w:spacing w:val="-1"/>
        </w:rPr>
        <w:t>据合同全包运维服</w:t>
      </w:r>
      <w:r>
        <w:rPr>
          <w:spacing w:val="1"/>
        </w:rPr>
        <w:t>务、设备更新等确保点位正常运行的所有费</w:t>
      </w:r>
      <w:r>
        <w:t>用，以及可合理推断的责任和义务。</w:t>
      </w:r>
    </w:p>
    <w:p w14:paraId="2C16834C">
      <w:pPr>
        <w:pStyle w:val="23"/>
        <w:spacing w:before="1" w:line="219" w:lineRule="auto"/>
        <w:ind w:left="345"/>
        <w:outlineLvl w:val="4"/>
      </w:pPr>
      <w:r>
        <w:rPr>
          <w:b/>
          <w:bCs/>
        </w:rPr>
        <w:t>第二条：项目服务内容及要求</w:t>
      </w:r>
    </w:p>
    <w:p w14:paraId="6889039D">
      <w:pPr>
        <w:pStyle w:val="4"/>
        <w:keepNext w:val="0"/>
        <w:keepLines w:val="0"/>
        <w:numPr>
          <w:ilvl w:val="0"/>
          <w:numId w:val="2"/>
        </w:numPr>
        <w:tabs>
          <w:tab w:val="left" w:pos="720"/>
          <w:tab w:val="clear" w:pos="312"/>
          <w:tab w:val="clear" w:pos="900"/>
        </w:tabs>
        <w:spacing w:line="440" w:lineRule="exact"/>
        <w:ind w:left="0" w:firstLine="480" w:firstLineChars="200"/>
        <w:rPr>
          <w:rFonts w:hint="eastAsia" w:ascii="Times New Roman" w:hAnsi="Times New Roman" w:eastAsia="宋体" w:cs="Times New Roman"/>
          <w:b w:val="0"/>
          <w:bCs/>
          <w:color w:val="auto"/>
          <w:kern w:val="2"/>
          <w:sz w:val="24"/>
          <w:szCs w:val="24"/>
          <w:lang w:val="en-US" w:eastAsia="zh-CN" w:bidi="ar-SA"/>
        </w:rPr>
      </w:pPr>
      <w:r>
        <w:rPr>
          <w:rFonts w:hint="eastAsia"/>
          <w:b w:val="0"/>
          <w:color w:val="auto"/>
          <w:sz w:val="24"/>
          <w:szCs w:val="24"/>
        </w:rPr>
        <w:t>本次运维服务内容包括</w:t>
      </w:r>
      <w:r>
        <w:rPr>
          <w:rFonts w:hint="eastAsia"/>
          <w:b w:val="0"/>
          <w:color w:val="auto"/>
          <w:sz w:val="24"/>
          <w:szCs w:val="24"/>
          <w:lang w:val="en-US" w:eastAsia="zh-CN"/>
        </w:rPr>
        <w:t>S208（桐千线）桐庐方向K6+400，X506（徐七线）徐家埠、七里泷方向K16+600，S208（桐千线）桐庐方向K19+900，S215（安洞线）安吉方向K1+750，S215（安洞线）洞头方向K0+150，S302（新淳线）淳安方向K16+500，S305（富衢线）富阳方向K55+200，S305（富衢线）衢州方向K54+700等8处非现场治超点位两年维保，共计18个车道的全包运维服务，</w:t>
      </w:r>
      <w:r>
        <w:rPr>
          <w:rFonts w:hint="eastAsia"/>
          <w:b w:val="0"/>
          <w:color w:val="auto"/>
          <w:sz w:val="24"/>
          <w:szCs w:val="24"/>
        </w:rPr>
        <w:t>包括但不限于点位维保、故障排除、设备维修、例行巡检、评估优化、调试升级</w:t>
      </w:r>
      <w:r>
        <w:rPr>
          <w:rFonts w:hint="eastAsia"/>
          <w:b w:val="0"/>
          <w:color w:val="auto"/>
          <w:sz w:val="24"/>
          <w:szCs w:val="24"/>
          <w:lang w:val="en-US" w:eastAsia="zh-CN"/>
        </w:rPr>
        <w:t>和</w:t>
      </w:r>
      <w:r>
        <w:rPr>
          <w:rFonts w:hint="eastAsia"/>
          <w:b w:val="0"/>
          <w:color w:val="auto"/>
          <w:sz w:val="24"/>
          <w:szCs w:val="24"/>
        </w:rPr>
        <w:t>维保期内老化损坏设备的更新等，确保点位正常运行</w:t>
      </w:r>
      <w:r>
        <w:rPr>
          <w:rFonts w:hint="eastAsia"/>
          <w:b w:val="0"/>
          <w:color w:val="auto"/>
          <w:sz w:val="24"/>
          <w:szCs w:val="24"/>
          <w:lang w:eastAsia="zh-CN"/>
        </w:rPr>
        <w:t>，</w:t>
      </w:r>
      <w:r>
        <w:rPr>
          <w:rFonts w:hint="eastAsia"/>
          <w:b w:val="0"/>
          <w:color w:val="auto"/>
          <w:sz w:val="24"/>
          <w:szCs w:val="24"/>
          <w:lang w:val="en-US" w:eastAsia="zh-CN"/>
        </w:rPr>
        <w:t>以及数据的实时、准确、完整。</w:t>
      </w:r>
      <w:r>
        <w:rPr>
          <w:rFonts w:hint="eastAsia"/>
          <w:b w:val="0"/>
          <w:color w:val="auto"/>
          <w:sz w:val="24"/>
          <w:szCs w:val="24"/>
          <w:lang w:val="en-US" w:eastAsia="zh-CN"/>
        </w:rPr>
        <w:br w:type="textWrapping"/>
      </w:r>
      <w:r>
        <w:rPr>
          <w:rFonts w:hint="eastAsia"/>
          <w:b w:val="0"/>
          <w:color w:val="auto"/>
          <w:sz w:val="24"/>
          <w:szCs w:val="24"/>
          <w:lang w:val="en-US" w:eastAsia="zh-CN"/>
        </w:rPr>
        <w:t xml:space="preserve">    </w:t>
      </w:r>
      <w:r>
        <w:rPr>
          <w:rFonts w:hint="eastAsia" w:ascii="Times New Roman" w:hAnsi="Times New Roman" w:eastAsia="宋体" w:cs="Times New Roman"/>
          <w:b w:val="0"/>
          <w:bCs/>
          <w:color w:val="auto"/>
          <w:kern w:val="2"/>
          <w:sz w:val="24"/>
          <w:szCs w:val="24"/>
          <w:lang w:val="en-US" w:eastAsia="zh-CN" w:bidi="ar-SA"/>
        </w:rPr>
        <w:t>2.提供7*24h应急保障，根据事件严重程度和紧急程度，在相应的规定时限内解决。</w:t>
      </w:r>
      <w:r>
        <w:rPr>
          <w:rFonts w:hint="eastAsia" w:ascii="Times New Roman" w:hAnsi="Times New Roman" w:eastAsia="宋体" w:cs="Times New Roman"/>
          <w:b w:val="0"/>
          <w:bCs/>
          <w:color w:val="auto"/>
          <w:kern w:val="2"/>
          <w:sz w:val="24"/>
          <w:szCs w:val="24"/>
          <w:lang w:val="en-US" w:eastAsia="zh-CN" w:bidi="ar-SA"/>
        </w:rPr>
        <w:br w:type="textWrapping"/>
      </w:r>
      <w:r>
        <w:rPr>
          <w:rFonts w:hint="eastAsia" w:cs="Times New Roman"/>
          <w:b w:val="0"/>
          <w:bCs/>
          <w:color w:val="auto"/>
          <w:kern w:val="2"/>
          <w:sz w:val="24"/>
          <w:szCs w:val="24"/>
          <w:lang w:val="en-US" w:eastAsia="zh-CN" w:bidi="ar-SA"/>
        </w:rPr>
        <w:t xml:space="preserve">    3</w:t>
      </w:r>
      <w:r>
        <w:rPr>
          <w:rFonts w:hint="eastAsia" w:ascii="Times New Roman" w:hAnsi="Times New Roman" w:eastAsia="宋体" w:cs="Times New Roman"/>
          <w:b w:val="0"/>
          <w:bCs/>
          <w:color w:val="auto"/>
          <w:kern w:val="2"/>
          <w:sz w:val="24"/>
          <w:szCs w:val="24"/>
          <w:lang w:val="en-US" w:eastAsia="zh-CN" w:bidi="ar-SA"/>
        </w:rPr>
        <w:t>.每月点位非现场执法系统正常运行天数不低于25天。根据系统运行情况进行不定期的检测与调优。每月低于25天的，每车道每少1天扣500元。</w:t>
      </w:r>
    </w:p>
    <w:p w14:paraId="6BBBBE1A">
      <w:pPr>
        <w:pStyle w:val="258"/>
        <w:numPr>
          <w:ilvl w:val="0"/>
          <w:numId w:val="3"/>
        </w:numPr>
        <w:adjustRightInd w:val="0"/>
        <w:snapToGrid w:val="0"/>
        <w:spacing w:line="440" w:lineRule="exact"/>
        <w:ind w:left="239" w:leftChars="114" w:firstLine="252" w:firstLineChars="105"/>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每月开展1次例行巡查，巡查记录不足的每车道每少1次扣500元。</w:t>
      </w:r>
    </w:p>
    <w:p w14:paraId="1EA5784A">
      <w:pPr>
        <w:pStyle w:val="258"/>
        <w:numPr>
          <w:ilvl w:val="0"/>
          <w:numId w:val="3"/>
        </w:numPr>
        <w:adjustRightInd w:val="0"/>
        <w:snapToGrid w:val="0"/>
        <w:spacing w:line="440" w:lineRule="exact"/>
        <w:ind w:left="239" w:leftChars="114" w:firstLine="252" w:firstLineChars="105"/>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出现故障30分钟响应，2小时内提交故障处理方案，轻微问题当天解决，复杂问题7天内解决，故障排查需设施设备配货的15天内解决，每车道每超1天扣500元。</w:t>
      </w:r>
    </w:p>
    <w:p w14:paraId="79F59935">
      <w:pPr>
        <w:pStyle w:val="258"/>
        <w:numPr>
          <w:ilvl w:val="0"/>
          <w:numId w:val="3"/>
        </w:numPr>
        <w:adjustRightInd w:val="0"/>
        <w:snapToGrid w:val="0"/>
        <w:spacing w:line="440" w:lineRule="exact"/>
        <w:ind w:left="239" w:leftChars="114" w:firstLine="252" w:firstLineChars="105"/>
        <w:rPr>
          <w:rFonts w:hint="eastAsia" w:ascii="Times New Roman" w:hAnsi="Times New Roman" w:eastAsia="宋体" w:cs="Times New Roman"/>
          <w:b w:val="0"/>
          <w:bCs/>
          <w:color w:val="0000FF"/>
          <w:kern w:val="2"/>
          <w:sz w:val="24"/>
          <w:szCs w:val="24"/>
          <w:lang w:val="en-US" w:eastAsia="zh-CN" w:bidi="ar-SA"/>
        </w:rPr>
      </w:pPr>
      <w:r>
        <w:rPr>
          <w:rFonts w:hint="eastAsia" w:ascii="Times New Roman" w:hAnsi="Times New Roman" w:eastAsia="宋体" w:cs="Times New Roman"/>
          <w:b w:val="0"/>
          <w:bCs/>
          <w:color w:val="0000FF"/>
          <w:kern w:val="2"/>
          <w:sz w:val="24"/>
          <w:szCs w:val="24"/>
          <w:lang w:val="en-US" w:eastAsia="zh-CN" w:bidi="ar-SA"/>
        </w:rPr>
        <w:t>中标人需每月使用固定重量车辆对辖区内非现场执法点位地磅进行巡检，并建立巡检台账。</w:t>
      </w:r>
      <w:r>
        <w:rPr>
          <w:rFonts w:hint="eastAsia" w:eastAsia="宋体" w:cs="Times New Roman"/>
          <w:b w:val="0"/>
          <w:bCs/>
          <w:color w:val="0000FF"/>
          <w:kern w:val="2"/>
          <w:sz w:val="24"/>
          <w:szCs w:val="24"/>
          <w:lang w:val="en-US" w:eastAsia="zh-CN" w:bidi="ar-SA"/>
        </w:rPr>
        <w:t>巡检台账不足</w:t>
      </w:r>
      <w:r>
        <w:rPr>
          <w:rFonts w:hint="eastAsia" w:ascii="Times New Roman" w:hAnsi="Times New Roman" w:eastAsia="宋体" w:cs="Times New Roman"/>
          <w:b w:val="0"/>
          <w:bCs/>
          <w:color w:val="0000FF"/>
          <w:kern w:val="2"/>
          <w:sz w:val="24"/>
          <w:szCs w:val="24"/>
          <w:lang w:val="en-US" w:eastAsia="zh-CN" w:bidi="ar-SA"/>
        </w:rPr>
        <w:t>的每车道每少1次扣500元。</w:t>
      </w:r>
    </w:p>
    <w:p w14:paraId="6E2E62A4">
      <w:pPr>
        <w:pStyle w:val="258"/>
        <w:numPr>
          <w:ilvl w:val="0"/>
          <w:numId w:val="3"/>
        </w:numPr>
        <w:tabs>
          <w:tab w:val="left" w:pos="220"/>
          <w:tab w:val="clear" w:pos="312"/>
        </w:tabs>
        <w:adjustRightInd w:val="0"/>
        <w:snapToGrid w:val="0"/>
        <w:spacing w:line="440" w:lineRule="exact"/>
        <w:ind w:left="19" w:leftChars="9" w:firstLine="470" w:firstLineChars="196"/>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需完成7个以上车道的称重设备整体更新。</w:t>
      </w:r>
      <w:r>
        <w:rPr>
          <w:rFonts w:hint="eastAsia" w:ascii="Times New Roman" w:hAnsi="Times New Roman" w:eastAsia="宋体" w:cs="Times New Roman"/>
          <w:b w:val="0"/>
          <w:bCs/>
          <w:color w:val="FF0000"/>
          <w:kern w:val="2"/>
          <w:sz w:val="24"/>
          <w:szCs w:val="24"/>
          <w:lang w:val="en-US" w:eastAsia="zh-CN" w:bidi="ar-SA"/>
        </w:rPr>
        <w:t>中标6个月内完成</w:t>
      </w:r>
      <w:r>
        <w:rPr>
          <w:rFonts w:hint="eastAsia" w:eastAsia="宋体" w:cs="Times New Roman"/>
          <w:b w:val="0"/>
          <w:bCs/>
          <w:color w:val="FF0000"/>
          <w:kern w:val="2"/>
          <w:sz w:val="24"/>
          <w:szCs w:val="24"/>
          <w:lang w:val="en-US" w:eastAsia="zh-CN" w:bidi="ar-SA"/>
        </w:rPr>
        <w:t>3</w:t>
      </w:r>
      <w:r>
        <w:rPr>
          <w:rFonts w:hint="eastAsia" w:ascii="Times New Roman" w:hAnsi="Times New Roman" w:eastAsia="宋体" w:cs="Times New Roman"/>
          <w:b w:val="0"/>
          <w:bCs/>
          <w:color w:val="FF0000"/>
          <w:kern w:val="2"/>
          <w:sz w:val="24"/>
          <w:szCs w:val="24"/>
          <w:lang w:val="en-US" w:eastAsia="zh-CN" w:bidi="ar-SA"/>
        </w:rPr>
        <w:t>个以上车道的</w:t>
      </w:r>
      <w:r>
        <w:rPr>
          <w:rFonts w:hint="eastAsia" w:ascii="Times New Roman" w:hAnsi="Times New Roman" w:eastAsia="宋体" w:cs="Times New Roman"/>
          <w:b w:val="0"/>
          <w:bCs/>
          <w:color w:val="auto"/>
          <w:kern w:val="2"/>
          <w:sz w:val="24"/>
          <w:szCs w:val="24"/>
          <w:lang w:val="en-US" w:eastAsia="zh-CN" w:bidi="ar-SA"/>
        </w:rPr>
        <w:t>称重设备整体更新，中标12个月内完成7个以上车道的称重设备整体更新。</w:t>
      </w:r>
    </w:p>
    <w:p w14:paraId="561E6515">
      <w:pPr>
        <w:pStyle w:val="258"/>
        <w:adjustRightInd w:val="0"/>
        <w:snapToGrid w:val="0"/>
        <w:spacing w:line="440" w:lineRule="exact"/>
        <w:ind w:firstLine="480"/>
        <w:rPr>
          <w:rFonts w:hint="eastAsia" w:ascii="Times New Roman" w:hAnsi="Times New Roman" w:eastAsia="宋体" w:cs="Times New Roman"/>
          <w:b w:val="0"/>
          <w:bCs/>
          <w:color w:val="auto"/>
          <w:kern w:val="2"/>
          <w:sz w:val="24"/>
          <w:szCs w:val="24"/>
          <w:lang w:val="en-US" w:eastAsia="zh-CN" w:bidi="ar-SA"/>
        </w:rPr>
      </w:pPr>
      <w:r>
        <w:rPr>
          <w:rFonts w:hint="eastAsia" w:eastAsia="宋体" w:cs="Times New Roman"/>
          <w:b w:val="0"/>
          <w:bCs/>
          <w:color w:val="auto"/>
          <w:kern w:val="2"/>
          <w:sz w:val="24"/>
          <w:szCs w:val="24"/>
          <w:lang w:val="en-US" w:eastAsia="zh-CN" w:bidi="ar-SA"/>
        </w:rPr>
        <w:t>8</w:t>
      </w:r>
      <w:r>
        <w:rPr>
          <w:rFonts w:hint="eastAsia" w:ascii="Times New Roman" w:hAnsi="Times New Roman" w:eastAsia="宋体" w:cs="Times New Roman"/>
          <w:b w:val="0"/>
          <w:bCs/>
          <w:color w:val="auto"/>
          <w:kern w:val="2"/>
          <w:sz w:val="24"/>
          <w:szCs w:val="24"/>
          <w:lang w:val="en-US" w:eastAsia="zh-CN" w:bidi="ar-SA"/>
        </w:rPr>
        <w:t>.中标人必须保证投标文件中所提供的人员实际参与本项目，原则上不得更换，如有特殊情况要调整的，需事先经采购人确认之后才能调整。</w:t>
      </w:r>
    </w:p>
    <w:p w14:paraId="40B6D586">
      <w:pPr>
        <w:pStyle w:val="258"/>
        <w:adjustRightInd w:val="0"/>
        <w:snapToGrid w:val="0"/>
        <w:spacing w:line="440" w:lineRule="exact"/>
        <w:ind w:firstLine="480"/>
        <w:rPr>
          <w:rFonts w:hint="default" w:ascii="Times New Roman" w:hAnsi="Times New Roman" w:eastAsia="宋体" w:cs="Times New Roman"/>
          <w:b w:val="0"/>
          <w:bCs/>
          <w:color w:val="auto"/>
          <w:kern w:val="2"/>
          <w:sz w:val="24"/>
          <w:szCs w:val="24"/>
          <w:lang w:val="en-US" w:eastAsia="zh-CN" w:bidi="ar-SA"/>
        </w:rPr>
      </w:pPr>
      <w:r>
        <w:rPr>
          <w:rFonts w:hint="eastAsia" w:eastAsia="宋体" w:cs="Times New Roman"/>
          <w:b w:val="0"/>
          <w:bCs/>
          <w:color w:val="auto"/>
          <w:kern w:val="2"/>
          <w:sz w:val="24"/>
          <w:szCs w:val="24"/>
          <w:lang w:val="en-US" w:eastAsia="zh-CN" w:bidi="ar-SA"/>
        </w:rPr>
        <w:t>9</w:t>
      </w:r>
      <w:r>
        <w:rPr>
          <w:rFonts w:hint="eastAsia" w:ascii="Times New Roman" w:hAnsi="Times New Roman" w:eastAsia="宋体" w:cs="Times New Roman"/>
          <w:b w:val="0"/>
          <w:bCs/>
          <w:color w:val="auto"/>
          <w:kern w:val="2"/>
          <w:sz w:val="24"/>
          <w:szCs w:val="24"/>
          <w:lang w:val="en-US" w:eastAsia="zh-CN" w:bidi="ar-SA"/>
        </w:rPr>
        <w:t>.若中标人在服务期限内，违反下列相关规定，采购人有权罚款和解除合同：</w:t>
      </w:r>
    </w:p>
    <w:p w14:paraId="32A1D3E0">
      <w:pPr>
        <w:pStyle w:val="258"/>
        <w:adjustRightInd w:val="0"/>
        <w:snapToGrid w:val="0"/>
        <w:spacing w:line="440" w:lineRule="exact"/>
        <w:ind w:firstLine="480"/>
        <w:rPr>
          <w:rFonts w:hint="default"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①出现问题不及时响应、配合业主方的，一次罚款3万元。</w:t>
      </w:r>
    </w:p>
    <w:p w14:paraId="79969183">
      <w:pPr>
        <w:pStyle w:val="258"/>
        <w:adjustRightInd w:val="0"/>
        <w:snapToGrid w:val="0"/>
        <w:spacing w:line="440" w:lineRule="exact"/>
        <w:ind w:firstLine="480"/>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②出现问题不及时响应、配合业主方的，累计次数达3次以上，采购方有权单方面终止合同，并有权向中标方索赔因此造成的损失。</w:t>
      </w:r>
    </w:p>
    <w:p w14:paraId="118B2B9B">
      <w:pPr>
        <w:pStyle w:val="258"/>
        <w:adjustRightInd w:val="0"/>
        <w:snapToGrid w:val="0"/>
        <w:spacing w:line="440" w:lineRule="exact"/>
        <w:ind w:firstLine="480"/>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③</w:t>
      </w:r>
      <w:r>
        <w:rPr>
          <w:rFonts w:hint="eastAsia" w:ascii="Times New Roman" w:hAnsi="Times New Roman" w:eastAsia="宋体" w:cs="Times New Roman"/>
          <w:b w:val="0"/>
          <w:bCs/>
          <w:color w:val="auto"/>
          <w:kern w:val="2"/>
          <w:sz w:val="24"/>
          <w:szCs w:val="24"/>
          <w:lang w:val="en-US" w:eastAsia="zh-CN" w:bidi="ar-SA"/>
        </w:rPr>
        <w:t>发生违法违纪违规问题，或者出现隐瞒、造假、纰漏等责任的，采购方有权单方面终止合同，并有权向中标方索赔因此造成的损失。</w:t>
      </w:r>
    </w:p>
    <w:p w14:paraId="04E0E939">
      <w:pPr>
        <w:pStyle w:val="23"/>
        <w:numPr>
          <w:ilvl w:val="0"/>
          <w:numId w:val="0"/>
        </w:numPr>
        <w:spacing w:before="128" w:line="219" w:lineRule="auto"/>
        <w:ind w:firstLine="480" w:firstLineChars="200"/>
        <w:outlineLvl w:val="4"/>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cs="Times New Roman"/>
          <w:b w:val="0"/>
          <w:bCs/>
          <w:color w:val="auto"/>
          <w:kern w:val="2"/>
          <w:sz w:val="24"/>
          <w:szCs w:val="24"/>
          <w:lang w:val="en-US" w:eastAsia="zh-CN" w:bidi="ar-SA"/>
        </w:rPr>
        <w:t>10.</w:t>
      </w:r>
      <w:r>
        <w:rPr>
          <w:rFonts w:hint="eastAsia" w:ascii="Times New Roman" w:hAnsi="Times New Roman" w:eastAsia="宋体" w:cs="Times New Roman"/>
          <w:b w:val="0"/>
          <w:bCs/>
          <w:color w:val="auto"/>
          <w:kern w:val="2"/>
          <w:sz w:val="24"/>
          <w:szCs w:val="24"/>
          <w:lang w:val="en-US" w:eastAsia="zh-CN" w:bidi="ar-SA"/>
        </w:rPr>
        <w:t>如产生上述扣费，从支付款中相应扣除。</w:t>
      </w:r>
    </w:p>
    <w:p w14:paraId="6C4EFE8C">
      <w:pPr>
        <w:pStyle w:val="23"/>
        <w:numPr>
          <w:ilvl w:val="0"/>
          <w:numId w:val="0"/>
        </w:numPr>
        <w:spacing w:before="128" w:line="219" w:lineRule="auto"/>
        <w:ind w:left="0" w:leftChars="0" w:firstLine="421" w:firstLineChars="179"/>
        <w:outlineLvl w:val="4"/>
      </w:pPr>
      <w:r>
        <w:rPr>
          <w:b/>
          <w:bCs/>
          <w:spacing w:val="-3"/>
        </w:rPr>
        <w:t>第三条：验收标准</w:t>
      </w:r>
    </w:p>
    <w:p w14:paraId="0D8D02D4">
      <w:pPr>
        <w:pStyle w:val="23"/>
        <w:spacing w:before="132" w:line="357" w:lineRule="auto"/>
        <w:ind w:right="71" w:firstLine="309"/>
        <w:jc w:val="both"/>
        <w:rPr>
          <w:spacing w:val="1"/>
        </w:rPr>
      </w:pPr>
      <w:r>
        <w:rPr>
          <w:spacing w:val="-3"/>
        </w:rPr>
        <w:t>由招标人根据国家、地方、行业规定、招标文件要求、投标文件承诺及采购</w:t>
      </w:r>
      <w:r>
        <w:rPr>
          <w:spacing w:val="-1"/>
        </w:rPr>
        <w:t>人要求进行验收。根据《杭州市政府采购履约验收暂行办法》杭财采监〔2019〕</w:t>
      </w:r>
      <w:r>
        <w:rPr>
          <w:spacing w:val="1"/>
        </w:rPr>
        <w:t>10号文，进行履约验收。验收费用由中标人支付。</w:t>
      </w:r>
    </w:p>
    <w:p w14:paraId="3F0DA508">
      <w:pPr>
        <w:pStyle w:val="23"/>
        <w:spacing w:before="132" w:line="357" w:lineRule="auto"/>
        <w:ind w:left="0" w:leftChars="0" w:right="71" w:firstLine="220" w:firstLineChars="0"/>
        <w:jc w:val="both"/>
      </w:pPr>
      <w:r>
        <w:rPr>
          <w:b/>
          <w:bCs/>
          <w:spacing w:val="-3"/>
        </w:rPr>
        <w:t>第四条：技术资料</w:t>
      </w:r>
    </w:p>
    <w:p w14:paraId="1D16DBBF">
      <w:pPr>
        <w:pStyle w:val="23"/>
        <w:spacing w:before="122" w:line="219" w:lineRule="auto"/>
        <w:ind w:left="309"/>
      </w:pPr>
      <w:r>
        <w:rPr>
          <w:spacing w:val="-3"/>
        </w:rPr>
        <w:t>1.乙方应按公开招标文件规定的时间向甲方提供有关技术资料。</w:t>
      </w:r>
    </w:p>
    <w:p w14:paraId="153DF65B">
      <w:pPr>
        <w:pStyle w:val="23"/>
        <w:spacing w:before="121" w:line="311" w:lineRule="auto"/>
        <w:ind w:right="100" w:firstLine="309"/>
      </w:pPr>
      <w:r>
        <w:rPr>
          <w:spacing w:val="-2"/>
        </w:rPr>
        <w:t>2.没有甲方事先书面同意，乙方不得将由甲方提供的有关合同或任何合同条</w:t>
      </w:r>
      <w:r>
        <w:rPr>
          <w:spacing w:val="13"/>
        </w:rPr>
        <w:t xml:space="preserve"> </w:t>
      </w:r>
      <w:r>
        <w:rPr>
          <w:spacing w:val="-2"/>
        </w:rPr>
        <w:t>文、计划或资料提供给与履行本合同无关的任何</w:t>
      </w:r>
      <w:r>
        <w:rPr>
          <w:spacing w:val="-3"/>
        </w:rPr>
        <w:t>其他人。即使向履行本合同有关</w:t>
      </w:r>
      <w:r>
        <w:t xml:space="preserve"> </w:t>
      </w:r>
      <w:r>
        <w:rPr>
          <w:spacing w:val="-2"/>
        </w:rPr>
        <w:t>的人员提供，也应注意保密并限于履行合同的必需范围。</w:t>
      </w:r>
    </w:p>
    <w:p w14:paraId="036B028A">
      <w:pPr>
        <w:pStyle w:val="23"/>
        <w:spacing w:before="139" w:line="219" w:lineRule="auto"/>
        <w:ind w:left="312"/>
        <w:outlineLvl w:val="4"/>
      </w:pPr>
      <w:r>
        <w:rPr>
          <w:b/>
          <w:bCs/>
          <w:spacing w:val="-3"/>
        </w:rPr>
        <w:t>第五条：知识产权</w:t>
      </w:r>
    </w:p>
    <w:p w14:paraId="75D8E8A9">
      <w:pPr>
        <w:pStyle w:val="23"/>
        <w:spacing w:before="123" w:line="311" w:lineRule="auto"/>
        <w:ind w:right="113" w:firstLine="309"/>
      </w:pPr>
      <w:r>
        <w:rPr>
          <w:spacing w:val="-2"/>
        </w:rPr>
        <w:t>1.本项目成果所有权和使用权均属于甲方。乙方不得以任何借口留存，否则</w:t>
      </w:r>
      <w:r>
        <w:rPr>
          <w:spacing w:val="1"/>
        </w:rPr>
        <w:t xml:space="preserve"> </w:t>
      </w:r>
      <w:r>
        <w:rPr>
          <w:spacing w:val="-2"/>
        </w:rPr>
        <w:t>承担由此产生的一切法律责任和经济责任。未</w:t>
      </w:r>
      <w:r>
        <w:rPr>
          <w:spacing w:val="-3"/>
        </w:rPr>
        <w:t>经允许，任何单位和个人不得转让</w:t>
      </w:r>
      <w:r>
        <w:t xml:space="preserve"> </w:t>
      </w:r>
      <w:r>
        <w:rPr>
          <w:spacing w:val="-3"/>
        </w:rPr>
        <w:t>和使用本项目的相关成果。</w:t>
      </w:r>
    </w:p>
    <w:p w14:paraId="4FF69239">
      <w:pPr>
        <w:pStyle w:val="23"/>
        <w:spacing w:before="130" w:line="219" w:lineRule="auto"/>
        <w:ind w:left="309"/>
      </w:pPr>
      <w:r>
        <w:rPr>
          <w:spacing w:val="-2"/>
        </w:rPr>
        <w:t>2.乙方应保证所提供服务的过程中不会侵犯任何第三方的知识产权。</w:t>
      </w:r>
    </w:p>
    <w:p w14:paraId="6AC185A7">
      <w:pPr>
        <w:pStyle w:val="23"/>
        <w:spacing w:before="52" w:line="220" w:lineRule="auto"/>
        <w:ind w:left="250" w:leftChars="119" w:firstLine="9" w:firstLineChars="4"/>
        <w:rPr>
          <w:b/>
          <w:bCs/>
          <w:spacing w:val="-3"/>
        </w:rPr>
      </w:pPr>
      <w:r>
        <w:rPr>
          <w:b/>
          <w:bCs/>
          <w:spacing w:val="-3"/>
        </w:rPr>
        <w:t>第六条：技术资料和保密义务</w:t>
      </w:r>
    </w:p>
    <w:p w14:paraId="39FF88B4">
      <w:pPr>
        <w:pStyle w:val="23"/>
        <w:spacing w:before="52" w:line="220" w:lineRule="auto"/>
        <w:ind w:left="17" w:leftChars="8" w:firstLine="209" w:firstLineChars="0"/>
      </w:pPr>
      <w:r>
        <w:rPr>
          <w:spacing w:val="-2"/>
          <w:lang w:val="zh-CN" w:eastAsia="zh-CN"/>
        </w:rPr>
        <w:t>乙方有权依据合同约定和项目需要，向甲方了解有关情况，调阅有关资料等，</w:t>
      </w:r>
      <w:r>
        <w:rPr>
          <w:spacing w:val="-2"/>
        </w:rPr>
        <w:t>甲方应予积极配合；</w:t>
      </w:r>
    </w:p>
    <w:p w14:paraId="6C1C9CF6">
      <w:pPr>
        <w:pStyle w:val="23"/>
        <w:keepNext w:val="0"/>
        <w:keepLines w:val="0"/>
        <w:pageBreakBefore w:val="0"/>
        <w:widowControl w:val="0"/>
        <w:kinsoku/>
        <w:wordWrap/>
        <w:overflowPunct/>
        <w:topLinePunct w:val="0"/>
        <w:autoSpaceDE w:val="0"/>
        <w:autoSpaceDN w:val="0"/>
        <w:bidi w:val="0"/>
        <w:adjustRightInd w:val="0"/>
        <w:snapToGrid/>
        <w:spacing w:before="52" w:line="360" w:lineRule="auto"/>
        <w:ind w:left="19" w:leftChars="9" w:firstLine="221" w:firstLineChars="94"/>
        <w:textAlignment w:val="auto"/>
        <w:rPr>
          <w:spacing w:val="-2"/>
          <w:lang w:val="zh-CN" w:eastAsia="zh-CN"/>
        </w:rPr>
      </w:pPr>
      <w:r>
        <w:rPr>
          <w:spacing w:val="-2"/>
          <w:lang w:val="zh-CN" w:eastAsia="zh-CN"/>
        </w:rPr>
        <w:t>乙方有义务妥善保管和保护由甲方提供的前款信息和资料等；</w:t>
      </w:r>
    </w:p>
    <w:p w14:paraId="628F425C">
      <w:pPr>
        <w:pStyle w:val="23"/>
        <w:keepNext w:val="0"/>
        <w:keepLines w:val="0"/>
        <w:pageBreakBefore w:val="0"/>
        <w:widowControl w:val="0"/>
        <w:kinsoku/>
        <w:wordWrap/>
        <w:overflowPunct/>
        <w:topLinePunct w:val="0"/>
        <w:autoSpaceDE w:val="0"/>
        <w:autoSpaceDN w:val="0"/>
        <w:bidi w:val="0"/>
        <w:adjustRightInd w:val="0"/>
        <w:snapToGrid/>
        <w:spacing w:before="52" w:line="360" w:lineRule="auto"/>
        <w:ind w:left="19" w:leftChars="9" w:firstLine="221" w:firstLineChars="94"/>
        <w:textAlignment w:val="auto"/>
        <w:rPr>
          <w:spacing w:val="-2"/>
          <w:lang w:val="zh-CN" w:eastAsia="zh-CN"/>
        </w:rPr>
      </w:pPr>
      <w:r>
        <w:rPr>
          <w:spacing w:val="-2"/>
          <w:lang w:val="zh-CN" w:eastAsia="zh-CN"/>
        </w:rPr>
        <w:t>除非依照法律规定或者对方当事人的书面同意，任何一方均应保证不向任何  第三方提供或披露有关合同的或者履行合同过程中知悉的对方当事人任何未公 开的信息和资料，包括但不限于技术情报、技术资料、商业秘密和商业信息等， 并采取一切合理和必要措施及方式防止任何第三方接触到对方当事人的上述保 密信息和资料。</w:t>
      </w:r>
    </w:p>
    <w:p w14:paraId="7067E97E">
      <w:pPr>
        <w:pStyle w:val="23"/>
        <w:spacing w:before="9" w:line="219" w:lineRule="auto"/>
        <w:ind w:firstLine="235" w:firstLineChars="100"/>
        <w:outlineLvl w:val="4"/>
      </w:pPr>
      <w:r>
        <w:rPr>
          <w:b/>
          <w:bCs/>
          <w:spacing w:val="-3"/>
        </w:rPr>
        <w:t>第七条：转包或分包</w:t>
      </w:r>
    </w:p>
    <w:p w14:paraId="3D2EF3F5">
      <w:pPr>
        <w:pStyle w:val="23"/>
        <w:spacing w:before="121" w:line="357" w:lineRule="auto"/>
        <w:ind w:right="30" w:rightChars="0" w:firstLine="236" w:firstLineChars="100"/>
      </w:pPr>
      <w:r>
        <w:rPr>
          <w:spacing w:val="-2"/>
        </w:rPr>
        <w:t>本合同范围的服务，应由乙方直接供应，不得转让他人供应，否则，甲方有权解除合同，并追究乙方的违约责任。</w:t>
      </w:r>
    </w:p>
    <w:p w14:paraId="4759BAAC">
      <w:pPr>
        <w:pStyle w:val="23"/>
        <w:spacing w:line="219" w:lineRule="auto"/>
        <w:ind w:firstLine="235" w:firstLineChars="100"/>
        <w:outlineLvl w:val="4"/>
      </w:pPr>
      <w:r>
        <w:rPr>
          <w:b/>
          <w:bCs/>
          <w:spacing w:val="-3"/>
        </w:rPr>
        <w:t>第八条：履约保证金</w:t>
      </w:r>
    </w:p>
    <w:p w14:paraId="141B59A3">
      <w:pPr>
        <w:pStyle w:val="23"/>
        <w:spacing w:before="121" w:line="294" w:lineRule="auto"/>
        <w:ind w:right="1137" w:firstLine="242" w:firstLineChars="100"/>
      </w:pPr>
      <w:r>
        <w:rPr>
          <w:spacing w:val="1"/>
        </w:rPr>
        <w:t>1.本项目的履约保证金按合同总价的0.1%收取，中标人在合同签订后5日内</w:t>
      </w:r>
      <w:r>
        <w:rPr>
          <w:spacing w:val="5"/>
        </w:rPr>
        <w:t xml:space="preserve"> </w:t>
      </w:r>
      <w:r>
        <w:t>交付至指定账户。履约期结束，采购人无息退还履约保证金。</w:t>
      </w:r>
    </w:p>
    <w:p w14:paraId="2F0CB995">
      <w:pPr>
        <w:pStyle w:val="23"/>
        <w:spacing w:before="131" w:line="219" w:lineRule="auto"/>
        <w:ind w:firstLine="236" w:firstLineChars="100"/>
      </w:pPr>
      <w:r>
        <w:rPr>
          <w:spacing w:val="-2"/>
        </w:rPr>
        <w:t>2.缴纳方式：可采用转账或履约保函形式。</w:t>
      </w:r>
    </w:p>
    <w:p w14:paraId="7149B823">
      <w:pPr>
        <w:pStyle w:val="23"/>
        <w:spacing w:before="119" w:line="219" w:lineRule="auto"/>
        <w:ind w:firstLine="235" w:firstLineChars="100"/>
        <w:outlineLvl w:val="4"/>
      </w:pPr>
      <w:r>
        <w:rPr>
          <w:b/>
          <w:bCs/>
          <w:spacing w:val="-3"/>
        </w:rPr>
        <w:t>第九条：服务期及服务地点</w:t>
      </w:r>
    </w:p>
    <w:p w14:paraId="0CE6ACB3">
      <w:pPr>
        <w:pStyle w:val="23"/>
        <w:spacing w:before="132" w:line="219" w:lineRule="auto"/>
        <w:ind w:firstLine="234" w:firstLineChars="100"/>
      </w:pPr>
      <w:r>
        <w:rPr>
          <w:spacing w:val="-3"/>
        </w:rPr>
        <w:t>1.服务期：自合同签订之日起两年。</w:t>
      </w:r>
    </w:p>
    <w:p w14:paraId="6A2BDB4D">
      <w:pPr>
        <w:pStyle w:val="23"/>
        <w:spacing w:before="120" w:line="219" w:lineRule="auto"/>
        <w:ind w:firstLine="232" w:firstLineChars="100"/>
      </w:pPr>
      <w:r>
        <w:rPr>
          <w:spacing w:val="-4"/>
        </w:rPr>
        <w:t>2.服务地点：桐庐</w:t>
      </w:r>
    </w:p>
    <w:p w14:paraId="1CD987C8">
      <w:pPr>
        <w:pStyle w:val="23"/>
        <w:spacing w:before="110" w:line="219" w:lineRule="auto"/>
        <w:ind w:firstLine="226" w:firstLineChars="100"/>
      </w:pPr>
      <w:r>
        <w:rPr>
          <w:spacing w:val="-7"/>
        </w:rPr>
        <w:t>3.递交的成果文件：</w:t>
      </w:r>
    </w:p>
    <w:p w14:paraId="4E27710B">
      <w:pPr>
        <w:pStyle w:val="23"/>
        <w:spacing w:before="128" w:line="219" w:lineRule="auto"/>
        <w:ind w:firstLine="235" w:firstLineChars="100"/>
        <w:outlineLvl w:val="4"/>
      </w:pPr>
      <w:r>
        <w:rPr>
          <w:b/>
          <w:bCs/>
          <w:spacing w:val="-3"/>
        </w:rPr>
        <w:t>第十条：税费</w:t>
      </w:r>
    </w:p>
    <w:p w14:paraId="0EDDAF38">
      <w:pPr>
        <w:pStyle w:val="23"/>
        <w:spacing w:before="122" w:line="219" w:lineRule="auto"/>
        <w:ind w:firstLine="240" w:firstLineChars="100"/>
      </w:pPr>
      <w:r>
        <w:t>本合同执行中相关的一切税费均由乙方负担。</w:t>
      </w:r>
    </w:p>
    <w:p w14:paraId="53DFC15C">
      <w:pPr>
        <w:pStyle w:val="23"/>
        <w:spacing w:before="129" w:line="219" w:lineRule="auto"/>
        <w:ind w:firstLine="235" w:firstLineChars="100"/>
        <w:outlineLvl w:val="4"/>
      </w:pPr>
      <w:r>
        <w:rPr>
          <w:b/>
          <w:bCs/>
          <w:spacing w:val="-3"/>
        </w:rPr>
        <w:t>第十一条：合同款支付</w:t>
      </w:r>
    </w:p>
    <w:p w14:paraId="009D1849">
      <w:pPr>
        <w:pStyle w:val="23"/>
        <w:spacing w:before="112" w:line="368" w:lineRule="auto"/>
        <w:ind w:right="1147" w:firstLine="246" w:firstLineChars="100"/>
        <w:rPr>
          <w:rFonts w:hint="eastAsia" w:eastAsia="宋体"/>
          <w:lang w:eastAsia="zh-CN"/>
        </w:rPr>
      </w:pPr>
      <w:r>
        <w:rPr>
          <w:spacing w:val="3"/>
        </w:rPr>
        <w:t>合同周期内每季度末支付合同款项总额的12.5%。(首次付款需满足车道的</w:t>
      </w:r>
      <w:r>
        <w:rPr>
          <w:spacing w:val="7"/>
        </w:rPr>
        <w:t>称重设备整体更新完成至30%。</w:t>
      </w:r>
      <w:r>
        <w:rPr>
          <w:rFonts w:hint="eastAsia"/>
          <w:spacing w:val="7"/>
          <w:lang w:eastAsia="zh-CN"/>
        </w:rPr>
        <w:t>）</w:t>
      </w:r>
    </w:p>
    <w:p w14:paraId="5AEFB472">
      <w:pPr>
        <w:pStyle w:val="23"/>
        <w:spacing w:line="219" w:lineRule="auto"/>
        <w:ind w:firstLine="235" w:firstLineChars="100"/>
        <w:outlineLvl w:val="4"/>
      </w:pPr>
      <w:r>
        <w:rPr>
          <w:b/>
          <w:bCs/>
          <w:spacing w:val="-3"/>
        </w:rPr>
        <w:t>第十二条：质量保证</w:t>
      </w:r>
    </w:p>
    <w:p w14:paraId="5F060B1F">
      <w:pPr>
        <w:pStyle w:val="23"/>
        <w:spacing w:before="131" w:line="219" w:lineRule="auto"/>
        <w:ind w:firstLine="236" w:firstLineChars="100"/>
      </w:pPr>
      <w:r>
        <w:rPr>
          <w:spacing w:val="-2"/>
        </w:rPr>
        <w:t>1.乙方应按采购文件规定和本合同约定向甲方提供服务。</w:t>
      </w:r>
    </w:p>
    <w:p w14:paraId="58E305A6">
      <w:pPr>
        <w:pStyle w:val="23"/>
        <w:spacing w:before="112" w:line="219" w:lineRule="auto"/>
        <w:ind w:firstLine="238" w:firstLineChars="100"/>
      </w:pPr>
      <w:r>
        <w:rPr>
          <w:spacing w:val="-1"/>
        </w:rPr>
        <w:t>2.乙方应对出现的质量及安全问题负责处理解决并承担一切费用。</w:t>
      </w:r>
    </w:p>
    <w:p w14:paraId="7293C1B0">
      <w:pPr>
        <w:pStyle w:val="23"/>
        <w:spacing w:before="110" w:line="300" w:lineRule="auto"/>
        <w:ind w:right="1131" w:firstLine="238" w:firstLineChars="100"/>
      </w:pPr>
      <w:r>
        <w:rPr>
          <w:spacing w:val="-1"/>
        </w:rPr>
        <w:t>3.乙方提供的服务成果在服务期内发生质量问题，乙方应负责免费提供后续</w:t>
      </w:r>
      <w:r>
        <w:rPr>
          <w:spacing w:val="1"/>
        </w:rPr>
        <w:t xml:space="preserve"> </w:t>
      </w:r>
      <w:r>
        <w:t>服务。对达不到要求者，根据实际情况，经双方协</w:t>
      </w:r>
      <w:r>
        <w:rPr>
          <w:spacing w:val="-1"/>
        </w:rPr>
        <w:t>商，可按以下办法处理：</w:t>
      </w:r>
    </w:p>
    <w:p w14:paraId="2B901785">
      <w:pPr>
        <w:pStyle w:val="23"/>
        <w:spacing w:before="120" w:line="219" w:lineRule="auto"/>
        <w:ind w:left="389"/>
        <w:rPr>
          <w:spacing w:val="3"/>
        </w:rPr>
      </w:pPr>
      <w:r>
        <w:rPr>
          <w:spacing w:val="3"/>
        </w:rPr>
        <w:t>(1</w:t>
      </w:r>
      <w:r>
        <w:rPr>
          <w:rFonts w:hint="eastAsia"/>
          <w:spacing w:val="3"/>
          <w:lang w:eastAsia="zh-CN"/>
        </w:rPr>
        <w:t>）</w:t>
      </w:r>
      <w:r>
        <w:rPr>
          <w:spacing w:val="3"/>
        </w:rPr>
        <w:t>重做：由乙方承担所发生的全部费用。</w:t>
      </w:r>
    </w:p>
    <w:p w14:paraId="64801095">
      <w:pPr>
        <w:pStyle w:val="23"/>
        <w:spacing w:before="120" w:line="219" w:lineRule="auto"/>
        <w:ind w:left="389"/>
      </w:pPr>
      <w:r>
        <w:rPr>
          <w:spacing w:val="3"/>
        </w:rPr>
        <w:t>(2</w:t>
      </w:r>
      <w:r>
        <w:rPr>
          <w:rFonts w:hint="eastAsia"/>
          <w:spacing w:val="3"/>
          <w:lang w:eastAsia="zh-CN"/>
        </w:rPr>
        <w:t>）</w:t>
      </w:r>
      <w:r>
        <w:rPr>
          <w:spacing w:val="3"/>
        </w:rPr>
        <w:t>解除合同：由乙方承担承担所发生的全部</w:t>
      </w:r>
      <w:r>
        <w:rPr>
          <w:spacing w:val="2"/>
        </w:rPr>
        <w:t>费用及相关责任。</w:t>
      </w:r>
    </w:p>
    <w:p w14:paraId="44DD77F1">
      <w:pPr>
        <w:pStyle w:val="23"/>
        <w:spacing w:before="127" w:line="219" w:lineRule="auto"/>
        <w:ind w:left="312"/>
        <w:outlineLvl w:val="4"/>
      </w:pPr>
      <w:r>
        <w:rPr>
          <w:b/>
          <w:bCs/>
          <w:spacing w:val="-3"/>
        </w:rPr>
        <w:t>第十二条：违约责任</w:t>
      </w:r>
    </w:p>
    <w:p w14:paraId="61E584C9">
      <w:pPr>
        <w:pStyle w:val="23"/>
        <w:keepNext w:val="0"/>
        <w:keepLines w:val="0"/>
        <w:pageBreakBefore w:val="0"/>
        <w:widowControl w:val="0"/>
        <w:kinsoku/>
        <w:wordWrap/>
        <w:overflowPunct/>
        <w:topLinePunct w:val="0"/>
        <w:autoSpaceDE w:val="0"/>
        <w:autoSpaceDN w:val="0"/>
        <w:bidi w:val="0"/>
        <w:adjustRightInd w:val="0"/>
        <w:snapToGrid/>
        <w:spacing w:before="101" w:line="360" w:lineRule="auto"/>
        <w:ind w:left="11" w:leftChars="0" w:firstLine="299" w:firstLineChars="127"/>
        <w:textAlignment w:val="auto"/>
      </w:pPr>
      <w:r>
        <w:rPr>
          <w:spacing w:val="-2"/>
        </w:rPr>
        <w:t>1.除不可抗力外，乙方未按照本合同约定的期限、</w:t>
      </w:r>
      <w:r>
        <w:rPr>
          <w:spacing w:val="-3"/>
        </w:rPr>
        <w:t>地点和方式交付标的物，</w:t>
      </w:r>
      <w:r>
        <w:t>甲方可要求乙方支付违约金，违约金为每迟延</w:t>
      </w:r>
      <w:r>
        <w:rPr>
          <w:spacing w:val="-1"/>
        </w:rPr>
        <w:t>一日按合同价款的万分之五计算，</w:t>
      </w:r>
      <w:r>
        <w:rPr>
          <w:spacing w:val="-3"/>
        </w:rPr>
        <w:t>乙方迟延超过十五日或者乙方交付不符合合同约定的，甲方有权随时解除本合同，</w:t>
      </w:r>
      <w:r>
        <w:rPr>
          <w:spacing w:val="2"/>
        </w:rPr>
        <w:t>乙方返还甲方支付的款项外，乙方还应支付合同价款20%的违约金。</w:t>
      </w:r>
    </w:p>
    <w:p w14:paraId="55A68162">
      <w:pPr>
        <w:pStyle w:val="23"/>
        <w:keepNext w:val="0"/>
        <w:keepLines w:val="0"/>
        <w:pageBreakBefore w:val="0"/>
        <w:widowControl w:val="0"/>
        <w:kinsoku/>
        <w:wordWrap/>
        <w:overflowPunct/>
        <w:topLinePunct w:val="0"/>
        <w:autoSpaceDE w:val="0"/>
        <w:autoSpaceDN w:val="0"/>
        <w:bidi w:val="0"/>
        <w:adjustRightInd w:val="0"/>
        <w:snapToGrid/>
        <w:spacing w:before="142" w:line="360" w:lineRule="auto"/>
        <w:ind w:right="113" w:firstLine="306"/>
        <w:textAlignment w:val="auto"/>
      </w:pPr>
      <w:r>
        <w:rPr>
          <w:spacing w:val="-1"/>
        </w:rPr>
        <w:t>2.除不可抗力外，如果甲方没有按照本合同约</w:t>
      </w:r>
      <w:r>
        <w:rPr>
          <w:spacing w:val="-2"/>
        </w:rPr>
        <w:t>定的付款方式付款，乙方可要</w:t>
      </w:r>
      <w:r>
        <w:t xml:space="preserve"> </w:t>
      </w:r>
      <w:r>
        <w:rPr>
          <w:spacing w:val="-2"/>
        </w:rPr>
        <w:t>求甲方支付违约金，违约金为每迟延一日按预付款金额的万分之五计</w:t>
      </w:r>
      <w:r>
        <w:rPr>
          <w:spacing w:val="-3"/>
        </w:rPr>
        <w:t>算，迟延超</w:t>
      </w:r>
      <w:r>
        <w:t>过三十日的，乙方有权随时解除本合同，甲方还应支付预付款金额的20%的违约</w:t>
      </w:r>
      <w:r>
        <w:rPr>
          <w:spacing w:val="-2"/>
        </w:rPr>
        <w:t>金。成果文件经验收合格且乙方无违约情形的，甲方逾期支付尾款的，</w:t>
      </w:r>
      <w:r>
        <w:rPr>
          <w:spacing w:val="-3"/>
        </w:rPr>
        <w:t>乙可要求</w:t>
      </w:r>
      <w:r>
        <w:rPr>
          <w:spacing w:val="-1"/>
        </w:rPr>
        <w:t>甲方支付违约金，违约金为每迟延一日按应付未付金额的万分之五计算。</w:t>
      </w:r>
    </w:p>
    <w:p w14:paraId="0649EEAB">
      <w:pPr>
        <w:pStyle w:val="23"/>
        <w:keepNext w:val="0"/>
        <w:keepLines w:val="0"/>
        <w:pageBreakBefore w:val="0"/>
        <w:widowControl w:val="0"/>
        <w:kinsoku/>
        <w:wordWrap/>
        <w:overflowPunct/>
        <w:topLinePunct w:val="0"/>
        <w:autoSpaceDE w:val="0"/>
        <w:autoSpaceDN w:val="0"/>
        <w:bidi w:val="0"/>
        <w:adjustRightInd w:val="0"/>
        <w:snapToGrid/>
        <w:spacing w:before="107" w:line="360" w:lineRule="auto"/>
        <w:ind w:right="100" w:firstLine="309"/>
        <w:textAlignment w:val="auto"/>
      </w:pPr>
      <w:r>
        <w:t>3.任何一方有腐败行为(即：提供或给予或接受或索取任何财物或其他好处</w:t>
      </w:r>
      <w:r>
        <w:rPr>
          <w:spacing w:val="15"/>
        </w:rPr>
        <w:t xml:space="preserve"> </w:t>
      </w:r>
      <w:r>
        <w:t>或者采取其他不正当手段影响对方当事人在合同签订、履</w:t>
      </w:r>
      <w:r>
        <w:rPr>
          <w:spacing w:val="-1"/>
        </w:rPr>
        <w:t>行过程中的行为</w:t>
      </w:r>
      <w:r>
        <w:rPr>
          <w:rFonts w:hint="eastAsia"/>
          <w:spacing w:val="-1"/>
          <w:lang w:eastAsia="zh-CN"/>
        </w:rPr>
        <w:t>）</w:t>
      </w:r>
      <w:r>
        <w:rPr>
          <w:spacing w:val="-1"/>
        </w:rPr>
        <w:t>或者</w:t>
      </w:r>
      <w:r>
        <w:rPr>
          <w:spacing w:val="1"/>
        </w:rPr>
        <w:t>欺诈行为(即：以谎报事实或者隐瞒真相的方法来影响对方当事人在合同签订、</w:t>
      </w:r>
      <w:r>
        <w:t>履行过程中的行为</w:t>
      </w:r>
      <w:r>
        <w:rPr>
          <w:rFonts w:hint="eastAsia"/>
          <w:lang w:eastAsia="zh-CN"/>
        </w:rPr>
        <w:t>）</w:t>
      </w:r>
      <w:r>
        <w:t>的，对方当事人可以书面通知违约方</w:t>
      </w:r>
      <w:r>
        <w:rPr>
          <w:spacing w:val="-1"/>
        </w:rPr>
        <w:t>解除本合同，违约方应</w:t>
      </w:r>
      <w:r>
        <w:t xml:space="preserve"> </w:t>
      </w:r>
      <w:r>
        <w:rPr>
          <w:spacing w:val="4"/>
        </w:rPr>
        <w:t>支付守约方合同价款20%的违约金。</w:t>
      </w:r>
    </w:p>
    <w:p w14:paraId="3B612E7D">
      <w:pPr>
        <w:pStyle w:val="23"/>
        <w:keepNext w:val="0"/>
        <w:keepLines w:val="0"/>
        <w:pageBreakBefore w:val="0"/>
        <w:widowControl w:val="0"/>
        <w:kinsoku/>
        <w:wordWrap/>
        <w:overflowPunct/>
        <w:topLinePunct w:val="0"/>
        <w:autoSpaceDE w:val="0"/>
        <w:autoSpaceDN w:val="0"/>
        <w:bidi w:val="0"/>
        <w:adjustRightInd w:val="0"/>
        <w:snapToGrid/>
        <w:spacing w:before="153" w:line="360" w:lineRule="auto"/>
        <w:ind w:right="131" w:firstLine="309"/>
        <w:textAlignment w:val="auto"/>
      </w:pPr>
      <w:r>
        <w:rPr>
          <w:spacing w:val="-2"/>
        </w:rPr>
        <w:t>4.任何一方按照前述约定要求违约方支付违约金的同时，守约方仍有权要求</w:t>
      </w:r>
      <w:r>
        <w:rPr>
          <w:spacing w:val="4"/>
        </w:rPr>
        <w:t xml:space="preserve"> </w:t>
      </w:r>
      <w:r>
        <w:rPr>
          <w:spacing w:val="-2"/>
        </w:rPr>
        <w:t>违约方继续履行合同、采取补救措施，并有权按照己方实际损失情况</w:t>
      </w:r>
      <w:r>
        <w:rPr>
          <w:spacing w:val="-3"/>
        </w:rPr>
        <w:t>要求违约方</w:t>
      </w:r>
      <w:r>
        <w:rPr>
          <w:spacing w:val="-2"/>
        </w:rPr>
        <w:t>赔偿损失；任何一方按照前述约定要求解除本合同的同时，仍有权要求违</w:t>
      </w:r>
      <w:r>
        <w:rPr>
          <w:spacing w:val="-3"/>
        </w:rPr>
        <w:t>约方支</w:t>
      </w:r>
      <w:r>
        <w:rPr>
          <w:spacing w:val="-2"/>
        </w:rPr>
        <w:t>付违约金和按照己方实际损失情况要求违约方赔偿损失；且守约方行</w:t>
      </w:r>
      <w:r>
        <w:rPr>
          <w:spacing w:val="-3"/>
        </w:rPr>
        <w:t>使的任何权</w:t>
      </w:r>
      <w:r>
        <w:rPr>
          <w:spacing w:val="-2"/>
        </w:rPr>
        <w:t>利救济方式均不视为其放弃了其他法定或者约定的权利救济方式；</w:t>
      </w:r>
    </w:p>
    <w:p w14:paraId="45AD8C18">
      <w:pPr>
        <w:pStyle w:val="23"/>
        <w:keepNext w:val="0"/>
        <w:keepLines w:val="0"/>
        <w:pageBreakBefore w:val="0"/>
        <w:widowControl w:val="0"/>
        <w:kinsoku/>
        <w:wordWrap/>
        <w:overflowPunct/>
        <w:topLinePunct w:val="0"/>
        <w:autoSpaceDE w:val="0"/>
        <w:autoSpaceDN w:val="0"/>
        <w:bidi w:val="0"/>
        <w:adjustRightInd w:val="0"/>
        <w:snapToGrid/>
        <w:spacing w:before="119" w:line="360" w:lineRule="auto"/>
        <w:ind w:right="131" w:firstLine="309"/>
        <w:textAlignment w:val="auto"/>
      </w:pPr>
      <w:r>
        <w:rPr>
          <w:spacing w:val="-2"/>
        </w:rPr>
        <w:t>5.除前述约定外，除不可抗力外，任何一方未能履行本合同约定的义务，对方当事人均有权要求继续履行、采取补救措施或者赔偿损失等，且对方当</w:t>
      </w:r>
      <w:r>
        <w:rPr>
          <w:spacing w:val="-3"/>
        </w:rPr>
        <w:t>事人行</w:t>
      </w:r>
      <w:r>
        <w:rPr>
          <w:spacing w:val="-1"/>
        </w:rPr>
        <w:t>使的任何权利救济方式均不视为其放弃了其他法定或</w:t>
      </w:r>
      <w:r>
        <w:rPr>
          <w:spacing w:val="-2"/>
        </w:rPr>
        <w:t>者约定的权利救济方式；</w:t>
      </w:r>
    </w:p>
    <w:p w14:paraId="20CC373E">
      <w:pPr>
        <w:pStyle w:val="23"/>
        <w:keepNext w:val="0"/>
        <w:keepLines w:val="0"/>
        <w:pageBreakBefore w:val="0"/>
        <w:widowControl w:val="0"/>
        <w:kinsoku/>
        <w:wordWrap/>
        <w:overflowPunct/>
        <w:topLinePunct w:val="0"/>
        <w:autoSpaceDE w:val="0"/>
        <w:autoSpaceDN w:val="0"/>
        <w:bidi w:val="0"/>
        <w:adjustRightInd w:val="0"/>
        <w:snapToGrid/>
        <w:spacing w:before="118" w:line="360" w:lineRule="auto"/>
        <w:ind w:right="133" w:firstLine="309"/>
        <w:jc w:val="both"/>
        <w:textAlignment w:val="auto"/>
      </w:pPr>
      <w:r>
        <w:rPr>
          <w:spacing w:val="-2"/>
        </w:rPr>
        <w:t>如果出现政府采购监督管理部门在处理投诉事项期间，书面通知甲方暂停采购活动的情形，或者询问或质疑事项可能影响中标结果的，导致甲方</w:t>
      </w:r>
      <w:r>
        <w:rPr>
          <w:spacing w:val="-3"/>
        </w:rPr>
        <w:t>中止履行合同的情形，均不视为甲方违约。</w:t>
      </w:r>
    </w:p>
    <w:p w14:paraId="0E505FBE">
      <w:pPr>
        <w:pStyle w:val="23"/>
        <w:keepNext w:val="0"/>
        <w:keepLines w:val="0"/>
        <w:pageBreakBefore w:val="0"/>
        <w:widowControl w:val="0"/>
        <w:kinsoku/>
        <w:wordWrap/>
        <w:overflowPunct/>
        <w:topLinePunct w:val="0"/>
        <w:autoSpaceDE w:val="0"/>
        <w:autoSpaceDN w:val="0"/>
        <w:bidi w:val="0"/>
        <w:adjustRightInd w:val="0"/>
        <w:snapToGrid/>
        <w:spacing w:before="1" w:line="360" w:lineRule="auto"/>
        <w:ind w:left="309"/>
        <w:textAlignment w:val="auto"/>
      </w:pPr>
      <w:r>
        <w:rPr>
          <w:spacing w:val="-2"/>
        </w:rPr>
        <w:t>6.若乙方在服务期限内，违反下列相关规定，甲方有权罚</w:t>
      </w:r>
      <w:r>
        <w:rPr>
          <w:spacing w:val="-3"/>
        </w:rPr>
        <w:t>款和解除合同：</w:t>
      </w:r>
    </w:p>
    <w:p w14:paraId="251064A1">
      <w:pPr>
        <w:pStyle w:val="23"/>
        <w:spacing w:before="130" w:line="290" w:lineRule="auto"/>
        <w:ind w:left="43" w:right="993" w:firstLine="300"/>
        <w:rPr>
          <w:spacing w:val="-1"/>
        </w:rPr>
      </w:pPr>
      <w:r>
        <w:rPr>
          <w:spacing w:val="-1"/>
        </w:rPr>
        <w:t>①出现问题不及时响应、配合业主方的， 一次罚款3万元。</w:t>
      </w:r>
    </w:p>
    <w:p w14:paraId="6492CC7C">
      <w:pPr>
        <w:pStyle w:val="23"/>
        <w:keepNext w:val="0"/>
        <w:keepLines w:val="0"/>
        <w:pageBreakBefore w:val="0"/>
        <w:widowControl w:val="0"/>
        <w:kinsoku/>
        <w:wordWrap/>
        <w:overflowPunct/>
        <w:topLinePunct w:val="0"/>
        <w:autoSpaceDE w:val="0"/>
        <w:autoSpaceDN w:val="0"/>
        <w:bidi w:val="0"/>
        <w:adjustRightInd w:val="0"/>
        <w:snapToGrid/>
        <w:spacing w:before="130" w:line="360" w:lineRule="auto"/>
        <w:ind w:left="43" w:right="29" w:rightChars="14" w:firstLine="300"/>
        <w:textAlignment w:val="auto"/>
      </w:pPr>
      <w:r>
        <w:rPr>
          <w:spacing w:val="1"/>
        </w:rPr>
        <w:t>②出现问题不及时响应、配合业主方的，累计次数达3次以上，采购方有权</w:t>
      </w:r>
      <w:r>
        <w:rPr>
          <w:spacing w:val="-1"/>
        </w:rPr>
        <w:t>单方面终止合同，并有权向中标方索赔因此</w:t>
      </w:r>
      <w:r>
        <w:rPr>
          <w:spacing w:val="-2"/>
        </w:rPr>
        <w:t>造成的损失。</w:t>
      </w:r>
    </w:p>
    <w:p w14:paraId="367D0EA7">
      <w:pPr>
        <w:pStyle w:val="23"/>
        <w:keepNext w:val="0"/>
        <w:keepLines w:val="0"/>
        <w:pageBreakBefore w:val="0"/>
        <w:widowControl w:val="0"/>
        <w:kinsoku/>
        <w:wordWrap/>
        <w:overflowPunct/>
        <w:topLinePunct w:val="0"/>
        <w:autoSpaceDE w:val="0"/>
        <w:autoSpaceDN w:val="0"/>
        <w:bidi w:val="0"/>
        <w:adjustRightInd w:val="0"/>
        <w:snapToGrid/>
        <w:spacing w:before="127" w:line="360" w:lineRule="auto"/>
        <w:ind w:left="43" w:right="29" w:rightChars="14" w:firstLine="300"/>
        <w:textAlignment w:val="auto"/>
      </w:pPr>
      <w:r>
        <w:rPr>
          <w:spacing w:val="-1"/>
        </w:rPr>
        <w:t>③发生违法违纪违规问题，或者出现隐瞒、造假、纰</w:t>
      </w:r>
      <w:r>
        <w:rPr>
          <w:spacing w:val="-2"/>
        </w:rPr>
        <w:t>漏等责任的，采购方有</w:t>
      </w:r>
      <w:r>
        <w:rPr>
          <w:spacing w:val="-1"/>
        </w:rPr>
        <w:t>权单方面终止合同，并有权向中标方索赔因此造成的</w:t>
      </w:r>
      <w:r>
        <w:rPr>
          <w:spacing w:val="-2"/>
        </w:rPr>
        <w:t>损失。</w:t>
      </w:r>
    </w:p>
    <w:p w14:paraId="4327AC0F">
      <w:pPr>
        <w:pStyle w:val="23"/>
        <w:keepNext w:val="0"/>
        <w:keepLines w:val="0"/>
        <w:pageBreakBefore w:val="0"/>
        <w:widowControl w:val="0"/>
        <w:kinsoku/>
        <w:wordWrap/>
        <w:overflowPunct/>
        <w:topLinePunct w:val="0"/>
        <w:autoSpaceDE w:val="0"/>
        <w:autoSpaceDN w:val="0"/>
        <w:bidi w:val="0"/>
        <w:adjustRightInd w:val="0"/>
        <w:snapToGrid/>
        <w:spacing w:before="117" w:line="360" w:lineRule="auto"/>
        <w:ind w:left="345" w:right="29" w:rightChars="14"/>
        <w:textAlignment w:val="auto"/>
      </w:pPr>
      <w:r>
        <w:rPr>
          <w:b/>
          <w:bCs/>
          <w:spacing w:val="-3"/>
        </w:rPr>
        <w:t>第十四条：不可抗力事件处理</w:t>
      </w:r>
    </w:p>
    <w:p w14:paraId="55F9ACCA">
      <w:pPr>
        <w:pStyle w:val="23"/>
        <w:keepNext w:val="0"/>
        <w:keepLines w:val="0"/>
        <w:pageBreakBefore w:val="0"/>
        <w:widowControl w:val="0"/>
        <w:kinsoku/>
        <w:wordWrap/>
        <w:overflowPunct/>
        <w:topLinePunct w:val="0"/>
        <w:autoSpaceDE w:val="0"/>
        <w:autoSpaceDN w:val="0"/>
        <w:bidi w:val="0"/>
        <w:adjustRightInd w:val="0"/>
        <w:snapToGrid/>
        <w:spacing w:before="132" w:line="360" w:lineRule="auto"/>
        <w:ind w:left="43" w:right="29" w:rightChars="14" w:firstLine="300"/>
        <w:textAlignment w:val="auto"/>
      </w:pPr>
      <w:r>
        <w:rPr>
          <w:spacing w:val="-1"/>
        </w:rPr>
        <w:t>1.在合同有效期内，任何一方因不可抗力事件导致</w:t>
      </w:r>
      <w:r>
        <w:rPr>
          <w:spacing w:val="-2"/>
        </w:rPr>
        <w:t>不能履行合同，则合同履行期可延长，其延长期与不可抗力影响期相同。</w:t>
      </w:r>
    </w:p>
    <w:p w14:paraId="44504A87">
      <w:pPr>
        <w:pStyle w:val="23"/>
        <w:keepNext w:val="0"/>
        <w:keepLines w:val="0"/>
        <w:pageBreakBefore w:val="0"/>
        <w:widowControl w:val="0"/>
        <w:kinsoku/>
        <w:wordWrap/>
        <w:overflowPunct/>
        <w:topLinePunct w:val="0"/>
        <w:autoSpaceDE w:val="0"/>
        <w:autoSpaceDN w:val="0"/>
        <w:bidi w:val="0"/>
        <w:adjustRightInd w:val="0"/>
        <w:snapToGrid/>
        <w:spacing w:before="139" w:line="360" w:lineRule="auto"/>
        <w:ind w:left="343" w:right="29" w:rightChars="14"/>
        <w:textAlignment w:val="auto"/>
      </w:pPr>
      <w:r>
        <w:rPr>
          <w:spacing w:val="-4"/>
        </w:rPr>
        <w:t>2.不可抗力事件发生后，应立即通知对方，并寄送有关权威机构出具的证明。</w:t>
      </w:r>
    </w:p>
    <w:p w14:paraId="2812A2F1">
      <w:pPr>
        <w:pStyle w:val="23"/>
        <w:keepNext w:val="0"/>
        <w:keepLines w:val="0"/>
        <w:pageBreakBefore w:val="0"/>
        <w:widowControl w:val="0"/>
        <w:kinsoku/>
        <w:wordWrap/>
        <w:overflowPunct/>
        <w:topLinePunct w:val="0"/>
        <w:autoSpaceDE w:val="0"/>
        <w:autoSpaceDN w:val="0"/>
        <w:bidi w:val="0"/>
        <w:adjustRightInd w:val="0"/>
        <w:snapToGrid/>
        <w:spacing w:before="101" w:line="360" w:lineRule="auto"/>
        <w:ind w:left="343" w:right="29" w:rightChars="14"/>
        <w:textAlignment w:val="auto"/>
        <w:rPr>
          <w:rFonts w:hint="eastAsia" w:eastAsia="宋体"/>
          <w:lang w:eastAsia="zh-CN"/>
        </w:rPr>
      </w:pPr>
      <w:r>
        <w:rPr>
          <w:spacing w:val="1"/>
        </w:rPr>
        <w:t>3.不可抗力事件延续120天以上，双方应通过友好协商，确定是否继续履行</w:t>
      </w:r>
      <w:r>
        <w:rPr>
          <w:rFonts w:hint="eastAsia"/>
          <w:spacing w:val="1"/>
          <w:lang w:eastAsia="zh-CN"/>
        </w:rPr>
        <w:t>合同。</w:t>
      </w:r>
    </w:p>
    <w:p w14:paraId="727E16FF">
      <w:pPr>
        <w:pStyle w:val="23"/>
        <w:keepNext w:val="0"/>
        <w:keepLines w:val="0"/>
        <w:pageBreakBefore w:val="0"/>
        <w:widowControl w:val="0"/>
        <w:kinsoku/>
        <w:wordWrap/>
        <w:overflowPunct/>
        <w:topLinePunct w:val="0"/>
        <w:autoSpaceDE w:val="0"/>
        <w:autoSpaceDN w:val="0"/>
        <w:bidi w:val="0"/>
        <w:adjustRightInd w:val="0"/>
        <w:snapToGrid/>
        <w:spacing w:before="122" w:line="360" w:lineRule="auto"/>
        <w:ind w:left="345" w:right="29" w:rightChars="14"/>
        <w:textAlignment w:val="auto"/>
        <w:outlineLvl w:val="4"/>
      </w:pPr>
      <w:r>
        <w:rPr>
          <w:b/>
          <w:bCs/>
        </w:rPr>
        <w:t>第十五条：争议的解决</w:t>
      </w:r>
    </w:p>
    <w:p w14:paraId="6298D062">
      <w:pPr>
        <w:pStyle w:val="23"/>
        <w:keepNext w:val="0"/>
        <w:keepLines w:val="0"/>
        <w:pageBreakBefore w:val="0"/>
        <w:widowControl w:val="0"/>
        <w:kinsoku/>
        <w:wordWrap/>
        <w:overflowPunct/>
        <w:topLinePunct w:val="0"/>
        <w:autoSpaceDE w:val="0"/>
        <w:autoSpaceDN w:val="0"/>
        <w:bidi w:val="0"/>
        <w:adjustRightInd w:val="0"/>
        <w:snapToGrid/>
        <w:spacing w:before="131" w:line="360" w:lineRule="auto"/>
        <w:ind w:left="43" w:right="29" w:rightChars="14" w:firstLine="300"/>
        <w:textAlignment w:val="auto"/>
      </w:pPr>
      <w:r>
        <w:rPr>
          <w:spacing w:val="-1"/>
        </w:rPr>
        <w:t>本合同为政府采购之合同，在发生争议时，双方</w:t>
      </w:r>
      <w:r>
        <w:rPr>
          <w:spacing w:val="-2"/>
        </w:rPr>
        <w:t>可以协商，如协商不成，任</w:t>
      </w:r>
      <w:r>
        <w:t>何一方有权向甲方所在地的人民法院诉讼解决。</w:t>
      </w:r>
    </w:p>
    <w:p w14:paraId="68836827">
      <w:pPr>
        <w:pStyle w:val="23"/>
        <w:keepNext w:val="0"/>
        <w:keepLines w:val="0"/>
        <w:pageBreakBefore w:val="0"/>
        <w:widowControl w:val="0"/>
        <w:kinsoku/>
        <w:wordWrap/>
        <w:overflowPunct/>
        <w:topLinePunct w:val="0"/>
        <w:autoSpaceDE w:val="0"/>
        <w:autoSpaceDN w:val="0"/>
        <w:bidi w:val="0"/>
        <w:adjustRightInd w:val="0"/>
        <w:snapToGrid/>
        <w:spacing w:line="360" w:lineRule="auto"/>
        <w:ind w:left="345" w:right="29" w:rightChars="14"/>
        <w:textAlignment w:val="auto"/>
        <w:outlineLvl w:val="4"/>
      </w:pPr>
      <w:r>
        <w:rPr>
          <w:b/>
          <w:bCs/>
        </w:rPr>
        <w:t>第十六条：合同的生效</w:t>
      </w:r>
    </w:p>
    <w:p w14:paraId="0D6C62A7">
      <w:pPr>
        <w:pStyle w:val="23"/>
        <w:keepNext w:val="0"/>
        <w:keepLines w:val="0"/>
        <w:pageBreakBefore w:val="0"/>
        <w:widowControl w:val="0"/>
        <w:kinsoku/>
        <w:wordWrap/>
        <w:overflowPunct/>
        <w:topLinePunct w:val="0"/>
        <w:autoSpaceDE w:val="0"/>
        <w:autoSpaceDN w:val="0"/>
        <w:bidi w:val="0"/>
        <w:adjustRightInd w:val="0"/>
        <w:snapToGrid/>
        <w:spacing w:before="132" w:line="360" w:lineRule="auto"/>
        <w:ind w:left="343" w:right="29" w:rightChars="14"/>
        <w:textAlignment w:val="auto"/>
      </w:pPr>
      <w:r>
        <w:rPr>
          <w:spacing w:val="-1"/>
        </w:rPr>
        <w:t>本合同经甲方、乙方签字盖章盖后生效。</w:t>
      </w:r>
    </w:p>
    <w:p w14:paraId="7015F315">
      <w:pPr>
        <w:pStyle w:val="23"/>
        <w:keepNext w:val="0"/>
        <w:keepLines w:val="0"/>
        <w:pageBreakBefore w:val="0"/>
        <w:widowControl w:val="0"/>
        <w:kinsoku/>
        <w:wordWrap/>
        <w:overflowPunct/>
        <w:topLinePunct w:val="0"/>
        <w:autoSpaceDE w:val="0"/>
        <w:autoSpaceDN w:val="0"/>
        <w:bidi w:val="0"/>
        <w:adjustRightInd w:val="0"/>
        <w:snapToGrid/>
        <w:spacing w:before="140" w:line="360" w:lineRule="auto"/>
        <w:ind w:left="43" w:right="29" w:rightChars="14" w:firstLine="300"/>
        <w:textAlignment w:val="auto"/>
      </w:pPr>
      <w:r>
        <w:rPr>
          <w:spacing w:val="-1"/>
        </w:rPr>
        <w:t>本合同一式陆份，甲乙双方各执贰份，杭州市桐庐县</w:t>
      </w:r>
      <w:r>
        <w:rPr>
          <w:spacing w:val="-2"/>
        </w:rPr>
        <w:t>财政局政府采购监督管</w:t>
      </w:r>
      <w:r>
        <w:t xml:space="preserve"> 理科执壹份，华诚工程咨询集团有限公司执壹份。</w:t>
      </w:r>
    </w:p>
    <w:p w14:paraId="74D1E336">
      <w:pPr>
        <w:pStyle w:val="23"/>
        <w:keepNext w:val="0"/>
        <w:keepLines w:val="0"/>
        <w:pageBreakBefore w:val="0"/>
        <w:widowControl w:val="0"/>
        <w:kinsoku/>
        <w:wordWrap/>
        <w:overflowPunct/>
        <w:topLinePunct w:val="0"/>
        <w:autoSpaceDE w:val="0"/>
        <w:autoSpaceDN w:val="0"/>
        <w:bidi w:val="0"/>
        <w:adjustRightInd w:val="0"/>
        <w:snapToGrid/>
        <w:spacing w:before="16" w:line="360" w:lineRule="auto"/>
        <w:ind w:left="345" w:right="29" w:rightChars="14"/>
        <w:textAlignment w:val="auto"/>
      </w:pPr>
      <w:r>
        <w:rPr>
          <w:b/>
          <w:bCs/>
          <w:spacing w:val="-1"/>
        </w:rPr>
        <w:t>第十七条：合同的变更、中止和终止</w:t>
      </w:r>
    </w:p>
    <w:p w14:paraId="52FCBD1C">
      <w:pPr>
        <w:pStyle w:val="23"/>
        <w:keepNext w:val="0"/>
        <w:keepLines w:val="0"/>
        <w:pageBreakBefore w:val="0"/>
        <w:widowControl w:val="0"/>
        <w:kinsoku/>
        <w:wordWrap/>
        <w:overflowPunct/>
        <w:topLinePunct w:val="0"/>
        <w:autoSpaceDE w:val="0"/>
        <w:autoSpaceDN w:val="0"/>
        <w:bidi w:val="0"/>
        <w:adjustRightInd w:val="0"/>
        <w:snapToGrid/>
        <w:spacing w:before="110" w:line="360" w:lineRule="auto"/>
        <w:ind w:left="43" w:right="29" w:rightChars="14" w:firstLine="300"/>
        <w:jc w:val="both"/>
        <w:textAlignment w:val="auto"/>
      </w:pPr>
      <w:r>
        <w:rPr>
          <w:spacing w:val="-1"/>
        </w:rPr>
        <w:t>双方当事人协商一致，可以签订书面补充合同的形式变</w:t>
      </w:r>
      <w:r>
        <w:rPr>
          <w:spacing w:val="-2"/>
        </w:rPr>
        <w:t>更合同，但不得违背</w:t>
      </w:r>
      <w:r>
        <w:t xml:space="preserve"> </w:t>
      </w:r>
      <w:r>
        <w:rPr>
          <w:spacing w:val="-2"/>
        </w:rPr>
        <w:t>采购文件确定的事项。如果系追加与合同标的相同的标的物的，那么需经采购监</w:t>
      </w:r>
      <w:r>
        <w:rPr>
          <w:spacing w:val="5"/>
        </w:rPr>
        <w:t xml:space="preserve"> </w:t>
      </w:r>
      <w:r>
        <w:rPr>
          <w:spacing w:val="3"/>
        </w:rPr>
        <w:t>督管理部门同意，且所有补充合同的采购金额不得超过原合同价的10%;</w:t>
      </w:r>
    </w:p>
    <w:p w14:paraId="21646E9E">
      <w:pPr>
        <w:pStyle w:val="23"/>
        <w:keepNext w:val="0"/>
        <w:keepLines w:val="0"/>
        <w:pageBreakBefore w:val="0"/>
        <w:widowControl w:val="0"/>
        <w:kinsoku/>
        <w:wordWrap/>
        <w:overflowPunct/>
        <w:topLinePunct w:val="0"/>
        <w:autoSpaceDE w:val="0"/>
        <w:autoSpaceDN w:val="0"/>
        <w:bidi w:val="0"/>
        <w:adjustRightInd w:val="0"/>
        <w:snapToGrid/>
        <w:spacing w:line="360" w:lineRule="auto"/>
        <w:ind w:left="343" w:right="29" w:rightChars="14"/>
        <w:textAlignment w:val="auto"/>
      </w:pPr>
      <w:r>
        <w:rPr>
          <w:spacing w:val="-1"/>
        </w:rPr>
        <w:t>双方当事人不得擅自中止或者终止合同；</w:t>
      </w:r>
    </w:p>
    <w:p w14:paraId="28AF950D">
      <w:pPr>
        <w:pStyle w:val="23"/>
        <w:keepNext w:val="0"/>
        <w:keepLines w:val="0"/>
        <w:pageBreakBefore w:val="0"/>
        <w:widowControl w:val="0"/>
        <w:kinsoku/>
        <w:wordWrap/>
        <w:overflowPunct/>
        <w:topLinePunct w:val="0"/>
        <w:autoSpaceDE w:val="0"/>
        <w:autoSpaceDN w:val="0"/>
        <w:bidi w:val="0"/>
        <w:adjustRightInd w:val="0"/>
        <w:snapToGrid/>
        <w:spacing w:before="109" w:line="360" w:lineRule="auto"/>
        <w:ind w:left="43" w:right="29" w:rightChars="14" w:firstLine="300"/>
        <w:textAlignment w:val="auto"/>
      </w:pPr>
      <w:r>
        <w:rPr>
          <w:spacing w:val="-1"/>
        </w:rPr>
        <w:t>合同继续履行将损害国家利益和社会公共利益的，</w:t>
      </w:r>
      <w:r>
        <w:rPr>
          <w:spacing w:val="-2"/>
        </w:rPr>
        <w:t>双方当事人应当以书面形</w:t>
      </w:r>
      <w:r>
        <w:t xml:space="preserve"> </w:t>
      </w:r>
      <w:r>
        <w:rPr>
          <w:spacing w:val="-1"/>
        </w:rPr>
        <w:t>式变更、中止或者终止合同。有过错的一方应当承担赔偿责任</w:t>
      </w:r>
      <w:r>
        <w:rPr>
          <w:spacing w:val="-2"/>
        </w:rPr>
        <w:t>，双方当事人都有</w:t>
      </w:r>
      <w:r>
        <w:t xml:space="preserve"> </w:t>
      </w:r>
      <w:r>
        <w:rPr>
          <w:spacing w:val="-1"/>
        </w:rPr>
        <w:t>过错的，各自承担相应的责任。</w:t>
      </w:r>
    </w:p>
    <w:p w14:paraId="05B2E882">
      <w:pPr>
        <w:pStyle w:val="23"/>
        <w:keepNext w:val="0"/>
        <w:keepLines w:val="0"/>
        <w:pageBreakBefore w:val="0"/>
        <w:widowControl w:val="0"/>
        <w:kinsoku/>
        <w:wordWrap/>
        <w:overflowPunct/>
        <w:topLinePunct w:val="0"/>
        <w:autoSpaceDE w:val="0"/>
        <w:autoSpaceDN w:val="0"/>
        <w:bidi w:val="0"/>
        <w:adjustRightInd w:val="0"/>
        <w:snapToGrid/>
        <w:spacing w:line="360" w:lineRule="auto"/>
        <w:ind w:left="345" w:right="29" w:rightChars="14"/>
        <w:textAlignment w:val="auto"/>
        <w:outlineLvl w:val="4"/>
      </w:pPr>
      <w:r>
        <w:rPr>
          <w:b/>
          <w:bCs/>
          <w:spacing w:val="-3"/>
        </w:rPr>
        <w:t>第十八条：适用法律</w:t>
      </w:r>
    </w:p>
    <w:p w14:paraId="41C8795B">
      <w:pPr>
        <w:pStyle w:val="23"/>
        <w:keepNext w:val="0"/>
        <w:keepLines w:val="0"/>
        <w:pageBreakBefore w:val="0"/>
        <w:widowControl w:val="0"/>
        <w:kinsoku/>
        <w:wordWrap/>
        <w:overflowPunct/>
        <w:topLinePunct w:val="0"/>
        <w:autoSpaceDE w:val="0"/>
        <w:autoSpaceDN w:val="0"/>
        <w:bidi w:val="0"/>
        <w:adjustRightInd w:val="0"/>
        <w:snapToGrid/>
        <w:spacing w:before="142" w:line="360" w:lineRule="auto"/>
        <w:ind w:left="343" w:right="29" w:rightChars="14"/>
        <w:textAlignment w:val="auto"/>
      </w:pPr>
      <w:r>
        <w:t>本合同按照中华人民共和国现行法律、法规进行解</w:t>
      </w:r>
      <w:r>
        <w:rPr>
          <w:spacing w:val="-1"/>
        </w:rPr>
        <w:t>释。</w:t>
      </w:r>
    </w:p>
    <w:p w14:paraId="30854678">
      <w:pPr>
        <w:pStyle w:val="23"/>
        <w:keepNext w:val="0"/>
        <w:keepLines w:val="0"/>
        <w:pageBreakBefore w:val="0"/>
        <w:widowControl w:val="0"/>
        <w:kinsoku/>
        <w:wordWrap/>
        <w:overflowPunct/>
        <w:topLinePunct w:val="0"/>
        <w:autoSpaceDE w:val="0"/>
        <w:autoSpaceDN w:val="0"/>
        <w:bidi w:val="0"/>
        <w:adjustRightInd w:val="0"/>
        <w:snapToGrid/>
        <w:spacing w:before="109" w:line="360" w:lineRule="auto"/>
        <w:ind w:left="345" w:right="29" w:rightChars="14"/>
        <w:textAlignment w:val="auto"/>
        <w:outlineLvl w:val="4"/>
      </w:pPr>
      <w:r>
        <w:rPr>
          <w:b/>
          <w:bCs/>
        </w:rPr>
        <w:t>第十九条：特别说明</w:t>
      </w:r>
    </w:p>
    <w:p w14:paraId="35BF23BF">
      <w:pPr>
        <w:pStyle w:val="23"/>
        <w:keepNext w:val="0"/>
        <w:keepLines w:val="0"/>
        <w:pageBreakBefore w:val="0"/>
        <w:widowControl w:val="0"/>
        <w:kinsoku/>
        <w:wordWrap/>
        <w:overflowPunct/>
        <w:topLinePunct w:val="0"/>
        <w:autoSpaceDE w:val="0"/>
        <w:autoSpaceDN w:val="0"/>
        <w:bidi w:val="0"/>
        <w:adjustRightInd w:val="0"/>
        <w:snapToGrid/>
        <w:spacing w:before="131" w:line="360" w:lineRule="auto"/>
        <w:ind w:left="3" w:leftChars="0" w:right="29" w:rightChars="14" w:firstLine="337" w:firstLineChars="142"/>
        <w:textAlignment w:val="auto"/>
        <w:rPr>
          <w:spacing w:val="-1"/>
        </w:rPr>
      </w:pPr>
      <w:r>
        <w:rPr>
          <w:spacing w:val="-1"/>
        </w:rPr>
        <w:t>除招标文件规定，并经甲方和相关部门事先书面同意</w:t>
      </w:r>
      <w:r>
        <w:rPr>
          <w:spacing w:val="-2"/>
        </w:rPr>
        <w:t>外，乙方不得部分转让</w:t>
      </w:r>
      <w:r>
        <w:rPr>
          <w:spacing w:val="-1"/>
        </w:rPr>
        <w:t>和分包或全部转让和分包其应履行的合同义务。</w:t>
      </w:r>
    </w:p>
    <w:p w14:paraId="3C2EE875">
      <w:pPr>
        <w:pStyle w:val="23"/>
        <w:keepNext w:val="0"/>
        <w:keepLines w:val="0"/>
        <w:pageBreakBefore w:val="0"/>
        <w:widowControl w:val="0"/>
        <w:kinsoku/>
        <w:wordWrap/>
        <w:overflowPunct/>
        <w:topLinePunct w:val="0"/>
        <w:autoSpaceDE w:val="0"/>
        <w:autoSpaceDN w:val="0"/>
        <w:bidi w:val="0"/>
        <w:adjustRightInd w:val="0"/>
        <w:snapToGrid/>
        <w:spacing w:before="131" w:line="360" w:lineRule="auto"/>
        <w:ind w:left="3" w:leftChars="0" w:right="29" w:rightChars="14" w:firstLine="335" w:firstLineChars="142"/>
        <w:textAlignment w:val="auto"/>
        <w:rPr>
          <w:spacing w:val="-2"/>
        </w:rPr>
      </w:pPr>
      <w:r>
        <w:rPr>
          <w:spacing w:val="-2"/>
        </w:rPr>
        <w:t>任何一方没有行使其权利或没有就违约方的违约行为采取任何行动，不应被</w:t>
      </w:r>
      <w:r>
        <w:rPr>
          <w:spacing w:val="11"/>
        </w:rPr>
        <w:t xml:space="preserve"> </w:t>
      </w:r>
      <w:r>
        <w:rPr>
          <w:spacing w:val="-2"/>
        </w:rPr>
        <w:t>视为是对其权利的放弃或对追究另一方违约责任权利的放弃。任何一方放弃针对</w:t>
      </w:r>
      <w:r>
        <w:rPr>
          <w:spacing w:val="15"/>
        </w:rPr>
        <w:t xml:space="preserve"> </w:t>
      </w:r>
      <w:r>
        <w:rPr>
          <w:spacing w:val="-2"/>
        </w:rPr>
        <w:t>违约方的某种权利，或放弃追究违约方的某种责任，不应视为对其它权利或追究</w:t>
      </w:r>
      <w:r>
        <w:rPr>
          <w:spacing w:val="17"/>
        </w:rPr>
        <w:t xml:space="preserve"> </w:t>
      </w:r>
      <w:r>
        <w:rPr>
          <w:spacing w:val="-2"/>
        </w:rPr>
        <w:t>其它责任的放弃。</w:t>
      </w:r>
    </w:p>
    <w:p w14:paraId="7B15AB53">
      <w:pPr>
        <w:pStyle w:val="23"/>
        <w:spacing w:line="219" w:lineRule="auto"/>
        <w:ind w:left="319"/>
      </w:pPr>
      <w:r>
        <w:rPr>
          <w:spacing w:val="-4"/>
        </w:rPr>
        <w:t>甲方及乙方在此承诺：</w:t>
      </w:r>
    </w:p>
    <w:p w14:paraId="088F7BC5">
      <w:pPr>
        <w:pStyle w:val="23"/>
        <w:spacing w:before="109" w:line="294" w:lineRule="auto"/>
        <w:ind w:right="114" w:firstLine="400"/>
      </w:pPr>
      <w:r>
        <w:rPr>
          <w:spacing w:val="3"/>
        </w:rPr>
        <w:t>(1</w:t>
      </w:r>
      <w:r>
        <w:rPr>
          <w:rFonts w:hint="eastAsia"/>
          <w:spacing w:val="3"/>
          <w:lang w:eastAsia="zh-CN"/>
        </w:rPr>
        <w:t>）</w:t>
      </w:r>
      <w:r>
        <w:rPr>
          <w:spacing w:val="3"/>
        </w:rPr>
        <w:t>在签署本合同之前详细阅读并理解本合同文本全文，且均在完全自愿</w:t>
      </w:r>
      <w:r>
        <w:rPr>
          <w:spacing w:val="10"/>
        </w:rPr>
        <w:t xml:space="preserve"> </w:t>
      </w:r>
      <w:r>
        <w:rPr>
          <w:spacing w:val="-2"/>
        </w:rPr>
        <w:t>与平等的法律地位基础上签署本合同。</w:t>
      </w:r>
    </w:p>
    <w:p w14:paraId="20CDDAF3">
      <w:pPr>
        <w:pStyle w:val="23"/>
        <w:spacing w:before="110" w:line="289" w:lineRule="auto"/>
        <w:ind w:right="117" w:firstLine="400"/>
      </w:pPr>
      <w:r>
        <w:rPr>
          <w:spacing w:val="3"/>
        </w:rPr>
        <w:t>(2</w:t>
      </w:r>
      <w:r>
        <w:rPr>
          <w:rFonts w:hint="eastAsia"/>
          <w:spacing w:val="3"/>
          <w:lang w:eastAsia="zh-CN"/>
        </w:rPr>
        <w:t>）</w:t>
      </w:r>
      <w:r>
        <w:rPr>
          <w:spacing w:val="3"/>
        </w:rPr>
        <w:t>承诺放弃以本合同系属于格式合同为由而提出不利于对方的合同条款</w:t>
      </w:r>
      <w:r>
        <w:rPr>
          <w:spacing w:val="7"/>
        </w:rPr>
        <w:t xml:space="preserve"> </w:t>
      </w:r>
      <w:r>
        <w:rPr>
          <w:spacing w:val="-1"/>
        </w:rPr>
        <w:t>的解释的相关主张权。</w:t>
      </w:r>
    </w:p>
    <w:p w14:paraId="1AFB8D92">
      <w:pPr>
        <w:pStyle w:val="23"/>
        <w:keepNext w:val="0"/>
        <w:keepLines w:val="0"/>
        <w:pageBreakBefore w:val="0"/>
        <w:widowControl w:val="0"/>
        <w:kinsoku/>
        <w:wordWrap/>
        <w:overflowPunct/>
        <w:topLinePunct w:val="0"/>
        <w:autoSpaceDE w:val="0"/>
        <w:autoSpaceDN w:val="0"/>
        <w:bidi w:val="0"/>
        <w:adjustRightInd w:val="0"/>
        <w:snapToGrid/>
        <w:spacing w:before="131" w:line="360" w:lineRule="auto"/>
        <w:ind w:left="3" w:leftChars="0" w:right="29" w:rightChars="14" w:firstLine="349" w:firstLineChars="142"/>
        <w:textAlignment w:val="auto"/>
        <w:rPr>
          <w:spacing w:val="-1"/>
        </w:rPr>
      </w:pPr>
      <w:r>
        <w:rPr>
          <w:spacing w:val="3"/>
        </w:rPr>
        <w:t>(3</w:t>
      </w:r>
      <w:r>
        <w:rPr>
          <w:rFonts w:hint="eastAsia"/>
          <w:spacing w:val="3"/>
          <w:lang w:eastAsia="zh-CN"/>
        </w:rPr>
        <w:t>）</w:t>
      </w:r>
      <w:r>
        <w:rPr>
          <w:spacing w:val="3"/>
        </w:rPr>
        <w:t>对同一条款含义存在不同解释时，应采用与招标文件及其目的最接近</w:t>
      </w:r>
      <w:r>
        <w:rPr>
          <w:spacing w:val="6"/>
        </w:rPr>
        <w:t xml:space="preserve"> </w:t>
      </w:r>
      <w:r>
        <w:rPr>
          <w:spacing w:val="-2"/>
        </w:rPr>
        <w:t>的解释。当本合同双方对同一条款含义存在不同解释时，应当以本合同版本发布</w:t>
      </w:r>
      <w:r>
        <w:rPr>
          <w:spacing w:val="17"/>
        </w:rPr>
        <w:t xml:space="preserve"> </w:t>
      </w:r>
      <w:r>
        <w:rPr>
          <w:spacing w:val="-1"/>
        </w:rPr>
        <w:t>者或质疑受理机构、投诉受理机构的解释为准。</w:t>
      </w:r>
    </w:p>
    <w:p w14:paraId="0EFD2580">
      <w:pPr>
        <w:pStyle w:val="23"/>
        <w:spacing w:before="149" w:line="219" w:lineRule="auto"/>
        <w:ind w:left="322"/>
        <w:outlineLvl w:val="4"/>
      </w:pPr>
      <w:r>
        <w:rPr>
          <w:b/>
          <w:bCs/>
          <w:spacing w:val="-3"/>
        </w:rPr>
        <w:t>第二十条：中小企业政策</w:t>
      </w:r>
    </w:p>
    <w:p w14:paraId="69C05FB9">
      <w:pPr>
        <w:pStyle w:val="23"/>
        <w:keepNext w:val="0"/>
        <w:keepLines w:val="0"/>
        <w:pageBreakBefore w:val="0"/>
        <w:widowControl w:val="0"/>
        <w:kinsoku/>
        <w:wordWrap/>
        <w:overflowPunct/>
        <w:topLinePunct w:val="0"/>
        <w:autoSpaceDE w:val="0"/>
        <w:autoSpaceDN w:val="0"/>
        <w:bidi w:val="0"/>
        <w:adjustRightInd w:val="0"/>
        <w:snapToGrid/>
        <w:spacing w:before="131" w:line="360" w:lineRule="auto"/>
        <w:ind w:left="3" w:leftChars="0" w:right="29" w:rightChars="14" w:firstLine="349" w:firstLineChars="142"/>
        <w:textAlignment w:val="auto"/>
        <w:rPr>
          <w:spacing w:val="3"/>
        </w:rPr>
      </w:pPr>
      <w:r>
        <w:rPr>
          <w:spacing w:val="3"/>
        </w:rPr>
        <w:t>本合同(</w:t>
      </w:r>
      <w:r>
        <w:rPr>
          <w:rFonts w:hint="eastAsia"/>
          <w:spacing w:val="3"/>
          <w:lang w:eastAsia="zh-CN"/>
        </w:rPr>
        <w:t>☑</w:t>
      </w:r>
      <w:r>
        <w:rPr>
          <w:spacing w:val="3"/>
        </w:rPr>
        <w:t>是□否</w:t>
      </w:r>
      <w:r>
        <w:rPr>
          <w:rFonts w:hint="eastAsia"/>
          <w:spacing w:val="3"/>
          <w:lang w:eastAsia="zh-CN"/>
        </w:rPr>
        <w:t>）</w:t>
      </w:r>
      <w:r>
        <w:rPr>
          <w:spacing w:val="3"/>
        </w:rPr>
        <w:t>为可融资合同，关于中小企业信用融资事项可查看《杭州市政府采购支持中小企业信用融资管理办法》</w:t>
      </w:r>
    </w:p>
    <w:p w14:paraId="2239EEC9">
      <w:pPr>
        <w:pStyle w:val="23"/>
        <w:spacing w:before="140" w:line="219" w:lineRule="auto"/>
        <w:ind w:left="319"/>
      </w:pPr>
      <w:r>
        <w:rPr>
          <w:spacing w:val="8"/>
        </w:rPr>
        <w:t>本合同(</w:t>
      </w:r>
      <w:r>
        <w:rPr>
          <w:rFonts w:hint="eastAsia"/>
          <w:spacing w:val="8"/>
          <w:lang w:eastAsia="zh-CN"/>
        </w:rPr>
        <w:t>☑</w:t>
      </w:r>
      <w:r>
        <w:rPr>
          <w:spacing w:val="8"/>
        </w:rPr>
        <w:t>是□否</w:t>
      </w:r>
      <w:r>
        <w:rPr>
          <w:rFonts w:hint="eastAsia"/>
          <w:spacing w:val="8"/>
          <w:lang w:eastAsia="zh-CN"/>
        </w:rPr>
        <w:t>）</w:t>
      </w:r>
      <w:r>
        <w:rPr>
          <w:spacing w:val="8"/>
        </w:rPr>
        <w:t>为中小企业预留合同。</w:t>
      </w:r>
    </w:p>
    <w:p w14:paraId="45CB9BB0">
      <w:pPr>
        <w:pStyle w:val="23"/>
        <w:keepNext w:val="0"/>
        <w:keepLines w:val="0"/>
        <w:pageBreakBefore w:val="0"/>
        <w:widowControl w:val="0"/>
        <w:kinsoku/>
        <w:wordWrap/>
        <w:overflowPunct/>
        <w:topLinePunct w:val="0"/>
        <w:autoSpaceDE w:val="0"/>
        <w:autoSpaceDN w:val="0"/>
        <w:bidi w:val="0"/>
        <w:adjustRightInd w:val="0"/>
        <w:snapToGrid/>
        <w:spacing w:before="131" w:line="360" w:lineRule="auto"/>
        <w:ind w:left="3" w:leftChars="0" w:right="29" w:rightChars="14" w:firstLine="334" w:firstLineChars="142"/>
        <w:textAlignment w:val="auto"/>
        <w:rPr>
          <w:rFonts w:hint="eastAsia"/>
          <w:b/>
          <w:bCs/>
          <w:spacing w:val="-3"/>
          <w:lang w:eastAsia="zh-CN"/>
        </w:rPr>
      </w:pPr>
      <w:r>
        <w:rPr>
          <w:b/>
          <w:bCs/>
          <w:spacing w:val="-3"/>
        </w:rPr>
        <w:t>第二十</w:t>
      </w:r>
      <w:r>
        <w:rPr>
          <w:rFonts w:hint="eastAsia"/>
          <w:b/>
          <w:bCs/>
          <w:spacing w:val="-3"/>
          <w:lang w:eastAsia="zh-CN"/>
        </w:rPr>
        <w:t>一</w:t>
      </w:r>
      <w:r>
        <w:rPr>
          <w:b/>
          <w:bCs/>
          <w:spacing w:val="-3"/>
        </w:rPr>
        <w:t>条：</w:t>
      </w:r>
      <w:r>
        <w:rPr>
          <w:rFonts w:hint="eastAsia"/>
          <w:b/>
          <w:bCs/>
          <w:spacing w:val="-3"/>
          <w:lang w:eastAsia="zh-CN"/>
        </w:rPr>
        <w:t>招标文件、中标人的投标文件、澄清文件及中标通知书等为合同的组成部分。</w:t>
      </w:r>
    </w:p>
    <w:p w14:paraId="4A71AB8A">
      <w:pPr>
        <w:pStyle w:val="23"/>
        <w:keepNext w:val="0"/>
        <w:keepLines w:val="0"/>
        <w:pageBreakBefore w:val="0"/>
        <w:widowControl w:val="0"/>
        <w:kinsoku/>
        <w:wordWrap/>
        <w:overflowPunct/>
        <w:topLinePunct w:val="0"/>
        <w:autoSpaceDE w:val="0"/>
        <w:autoSpaceDN w:val="0"/>
        <w:bidi w:val="0"/>
        <w:adjustRightInd w:val="0"/>
        <w:snapToGrid/>
        <w:spacing w:before="131" w:line="360" w:lineRule="auto"/>
        <w:ind w:left="3" w:leftChars="0" w:right="29" w:rightChars="14" w:firstLine="349" w:firstLineChars="142"/>
        <w:textAlignment w:val="auto"/>
        <w:rPr>
          <w:rFonts w:hint="eastAsia"/>
          <w:spacing w:val="3"/>
          <w:lang w:val="en-US" w:eastAsia="zh-CN"/>
        </w:rPr>
      </w:pPr>
      <w:r>
        <w:rPr>
          <w:rFonts w:hint="eastAsia"/>
          <w:spacing w:val="3"/>
          <w:lang w:eastAsia="zh-CN"/>
        </w:rPr>
        <w:t>甲方（公章）：</w:t>
      </w:r>
      <w:r>
        <w:rPr>
          <w:rFonts w:hint="eastAsia"/>
          <w:spacing w:val="3"/>
          <w:lang w:val="en-US" w:eastAsia="zh-CN"/>
        </w:rPr>
        <w:t xml:space="preserve">                        乙方（公章）：</w:t>
      </w:r>
    </w:p>
    <w:p w14:paraId="29634FFD">
      <w:pPr>
        <w:pStyle w:val="23"/>
        <w:keepNext w:val="0"/>
        <w:keepLines w:val="0"/>
        <w:pageBreakBefore w:val="0"/>
        <w:widowControl w:val="0"/>
        <w:kinsoku/>
        <w:wordWrap/>
        <w:overflowPunct/>
        <w:topLinePunct w:val="0"/>
        <w:autoSpaceDE w:val="0"/>
        <w:autoSpaceDN w:val="0"/>
        <w:bidi w:val="0"/>
        <w:adjustRightInd w:val="0"/>
        <w:snapToGrid/>
        <w:spacing w:before="131" w:line="360" w:lineRule="auto"/>
        <w:ind w:left="3" w:leftChars="0" w:right="29" w:rightChars="14" w:firstLine="349" w:firstLineChars="142"/>
        <w:textAlignment w:val="auto"/>
        <w:rPr>
          <w:rFonts w:hint="default"/>
          <w:spacing w:val="3"/>
          <w:lang w:val="en-US" w:eastAsia="zh-CN"/>
        </w:rPr>
      </w:pPr>
      <w:r>
        <w:rPr>
          <w:rFonts w:hint="eastAsia"/>
          <w:spacing w:val="3"/>
          <w:lang w:val="en-US" w:eastAsia="zh-CN"/>
        </w:rPr>
        <w:t>法定代表人或受委托人（签字）：        法定代表人或受委托人（签字）：</w:t>
      </w:r>
    </w:p>
    <w:p w14:paraId="4CD6E7B5">
      <w:pPr>
        <w:pStyle w:val="23"/>
        <w:keepNext w:val="0"/>
        <w:keepLines w:val="0"/>
        <w:pageBreakBefore w:val="0"/>
        <w:widowControl w:val="0"/>
        <w:kinsoku/>
        <w:wordWrap/>
        <w:overflowPunct/>
        <w:topLinePunct w:val="0"/>
        <w:autoSpaceDE w:val="0"/>
        <w:autoSpaceDN w:val="0"/>
        <w:bidi w:val="0"/>
        <w:adjustRightInd w:val="0"/>
        <w:snapToGrid/>
        <w:spacing w:before="131" w:line="360" w:lineRule="auto"/>
        <w:ind w:left="3" w:leftChars="0" w:right="29" w:rightChars="14" w:firstLine="349" w:firstLineChars="142"/>
        <w:textAlignment w:val="auto"/>
        <w:rPr>
          <w:rFonts w:hint="eastAsia"/>
          <w:spacing w:val="3"/>
          <w:lang w:val="en-US" w:eastAsia="zh-CN"/>
        </w:rPr>
      </w:pPr>
      <w:r>
        <w:rPr>
          <w:rFonts w:hint="eastAsia"/>
          <w:spacing w:val="3"/>
          <w:lang w:val="en-US" w:eastAsia="zh-CN"/>
        </w:rPr>
        <w:t>地址：                                地址;</w:t>
      </w:r>
    </w:p>
    <w:p w14:paraId="797CC52D">
      <w:pPr>
        <w:pStyle w:val="23"/>
        <w:keepNext w:val="0"/>
        <w:keepLines w:val="0"/>
        <w:pageBreakBefore w:val="0"/>
        <w:widowControl w:val="0"/>
        <w:kinsoku/>
        <w:wordWrap/>
        <w:overflowPunct/>
        <w:topLinePunct w:val="0"/>
        <w:autoSpaceDE w:val="0"/>
        <w:autoSpaceDN w:val="0"/>
        <w:bidi w:val="0"/>
        <w:adjustRightInd w:val="0"/>
        <w:snapToGrid/>
        <w:spacing w:before="131" w:line="360" w:lineRule="auto"/>
        <w:ind w:left="3" w:leftChars="0" w:right="29" w:rightChars="14" w:firstLine="349" w:firstLineChars="142"/>
        <w:textAlignment w:val="auto"/>
        <w:rPr>
          <w:rFonts w:hint="eastAsia"/>
          <w:spacing w:val="3"/>
          <w:lang w:val="en-US" w:eastAsia="zh-CN"/>
        </w:rPr>
      </w:pPr>
      <w:r>
        <w:rPr>
          <w:rFonts w:hint="eastAsia"/>
          <w:spacing w:val="3"/>
          <w:lang w:val="en-US" w:eastAsia="zh-CN"/>
        </w:rPr>
        <w:t>电话：                                电话：</w:t>
      </w:r>
    </w:p>
    <w:p w14:paraId="1D79DD24">
      <w:pPr>
        <w:pStyle w:val="23"/>
        <w:keepNext w:val="0"/>
        <w:keepLines w:val="0"/>
        <w:pageBreakBefore w:val="0"/>
        <w:widowControl w:val="0"/>
        <w:kinsoku/>
        <w:wordWrap/>
        <w:overflowPunct/>
        <w:topLinePunct w:val="0"/>
        <w:autoSpaceDE w:val="0"/>
        <w:autoSpaceDN w:val="0"/>
        <w:bidi w:val="0"/>
        <w:adjustRightInd w:val="0"/>
        <w:snapToGrid/>
        <w:spacing w:before="131" w:line="360" w:lineRule="auto"/>
        <w:ind w:left="3" w:leftChars="0" w:right="29" w:rightChars="14" w:firstLine="349" w:firstLineChars="142"/>
        <w:textAlignment w:val="auto"/>
        <w:rPr>
          <w:rFonts w:hint="eastAsia"/>
          <w:spacing w:val="3"/>
          <w:lang w:val="en-US" w:eastAsia="zh-CN"/>
        </w:rPr>
      </w:pPr>
    </w:p>
    <w:p w14:paraId="5B555524">
      <w:pPr>
        <w:pStyle w:val="23"/>
        <w:keepNext w:val="0"/>
        <w:keepLines w:val="0"/>
        <w:pageBreakBefore w:val="0"/>
        <w:widowControl w:val="0"/>
        <w:kinsoku/>
        <w:wordWrap/>
        <w:overflowPunct/>
        <w:topLinePunct w:val="0"/>
        <w:autoSpaceDE w:val="0"/>
        <w:autoSpaceDN w:val="0"/>
        <w:bidi w:val="0"/>
        <w:adjustRightInd w:val="0"/>
        <w:snapToGrid/>
        <w:spacing w:before="131" w:line="360" w:lineRule="auto"/>
        <w:ind w:left="3" w:leftChars="0" w:right="29" w:rightChars="14" w:firstLine="349" w:firstLineChars="142"/>
        <w:jc w:val="right"/>
        <w:textAlignment w:val="auto"/>
        <w:rPr>
          <w:rFonts w:hint="default"/>
          <w:spacing w:val="3"/>
          <w:lang w:val="en-US" w:eastAsia="zh-CN"/>
        </w:rPr>
      </w:pPr>
      <w:r>
        <w:rPr>
          <w:rFonts w:hint="eastAsia"/>
          <w:spacing w:val="3"/>
          <w:lang w:val="en-US" w:eastAsia="zh-CN"/>
        </w:rPr>
        <w:t>签约时间：     年  月  日</w:t>
      </w:r>
    </w:p>
    <w:p w14:paraId="073F0202">
      <w:pPr>
        <w:pStyle w:val="23"/>
        <w:keepNext w:val="0"/>
        <w:keepLines w:val="0"/>
        <w:pageBreakBefore w:val="0"/>
        <w:widowControl w:val="0"/>
        <w:kinsoku/>
        <w:wordWrap/>
        <w:overflowPunct/>
        <w:topLinePunct w:val="0"/>
        <w:autoSpaceDE w:val="0"/>
        <w:autoSpaceDN w:val="0"/>
        <w:bidi w:val="0"/>
        <w:adjustRightInd w:val="0"/>
        <w:snapToGrid/>
        <w:spacing w:before="138" w:line="360" w:lineRule="auto"/>
        <w:ind w:left="309"/>
        <w:textAlignment w:val="auto"/>
      </w:pPr>
    </w:p>
    <w:p w14:paraId="715A1522">
      <w:pPr>
        <w:pStyle w:val="23"/>
        <w:spacing w:before="119" w:line="219" w:lineRule="auto"/>
        <w:ind w:firstLine="236" w:firstLineChars="100"/>
        <w:outlineLvl w:val="4"/>
        <w:rPr>
          <w:rFonts w:hint="eastAsia" w:ascii="宋体" w:hAnsi="Arial" w:eastAsia="宋体" w:cs="Arial"/>
          <w:snapToGrid w:val="0"/>
          <w:spacing w:val="-2"/>
          <w:kern w:val="2"/>
          <w:sz w:val="24"/>
          <w:szCs w:val="21"/>
          <w:lang w:val="en-US" w:eastAsia="zh-CN" w:bidi="ar-SA"/>
        </w:rPr>
      </w:pPr>
    </w:p>
    <w:p w14:paraId="6AD78D69">
      <w:pPr>
        <w:pStyle w:val="23"/>
        <w:spacing w:before="119" w:line="219" w:lineRule="auto"/>
        <w:ind w:firstLine="236" w:firstLineChars="100"/>
        <w:outlineLvl w:val="4"/>
        <w:rPr>
          <w:rFonts w:hint="eastAsia" w:ascii="宋体" w:hAnsi="Arial" w:eastAsia="宋体" w:cs="Arial"/>
          <w:snapToGrid w:val="0"/>
          <w:spacing w:val="-2"/>
          <w:kern w:val="2"/>
          <w:sz w:val="24"/>
          <w:szCs w:val="21"/>
          <w:lang w:val="en-US" w:eastAsia="zh-CN" w:bidi="ar-SA"/>
        </w:rPr>
      </w:pPr>
    </w:p>
    <w:p w14:paraId="07B01EBF">
      <w:pPr>
        <w:pStyle w:val="23"/>
        <w:spacing w:before="119" w:line="219" w:lineRule="auto"/>
        <w:ind w:firstLine="236" w:firstLineChars="100"/>
        <w:outlineLvl w:val="4"/>
        <w:rPr>
          <w:rFonts w:hint="eastAsia" w:ascii="宋体" w:hAnsi="Arial" w:eastAsia="宋体" w:cs="Arial"/>
          <w:snapToGrid w:val="0"/>
          <w:spacing w:val="-2"/>
          <w:kern w:val="2"/>
          <w:sz w:val="24"/>
          <w:szCs w:val="21"/>
          <w:lang w:val="en-US" w:eastAsia="zh-CN" w:bidi="ar-SA"/>
        </w:rPr>
      </w:pPr>
    </w:p>
    <w:p w14:paraId="34511060">
      <w:pPr>
        <w:pStyle w:val="23"/>
        <w:spacing w:before="119" w:line="219" w:lineRule="auto"/>
        <w:ind w:firstLine="236" w:firstLineChars="100"/>
        <w:outlineLvl w:val="4"/>
        <w:rPr>
          <w:rFonts w:hint="eastAsia" w:ascii="宋体" w:hAnsi="Arial" w:eastAsia="宋体" w:cs="Arial"/>
          <w:snapToGrid w:val="0"/>
          <w:spacing w:val="-2"/>
          <w:kern w:val="2"/>
          <w:sz w:val="24"/>
          <w:szCs w:val="21"/>
          <w:lang w:val="en-US" w:eastAsia="zh-CN" w:bidi="ar-SA"/>
        </w:rPr>
      </w:pPr>
    </w:p>
    <w:p w14:paraId="6F34E0ED">
      <w:pPr>
        <w:widowControl/>
        <w:adjustRightInd/>
        <w:jc w:val="both"/>
        <w:rPr>
          <w:rFonts w:hint="eastAsia" w:ascii="宋体" w:hAnsi="宋体" w:cs="宋体"/>
          <w:b/>
          <w:color w:val="auto"/>
          <w:sz w:val="36"/>
          <w:szCs w:val="20"/>
          <w:highlight w:val="none"/>
        </w:rPr>
      </w:pPr>
    </w:p>
    <w:p w14:paraId="12C3FD11">
      <w:pPr>
        <w:widowControl/>
        <w:adjustRightInd/>
        <w:jc w:val="center"/>
        <w:rPr>
          <w:rFonts w:hint="eastAsia" w:ascii="宋体" w:hAnsi="宋体" w:cs="宋体"/>
          <w:b/>
          <w:color w:val="auto"/>
          <w:sz w:val="36"/>
          <w:szCs w:val="20"/>
          <w:highlight w:val="none"/>
        </w:rPr>
      </w:pPr>
    </w:p>
    <w:p w14:paraId="5F30D4DC">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3"/>
      <w:r>
        <w:rPr>
          <w:rFonts w:hint="eastAsia" w:ascii="宋体" w:hAnsi="宋体" w:cs="宋体"/>
          <w:b/>
          <w:color w:val="auto"/>
          <w:sz w:val="36"/>
          <w:szCs w:val="20"/>
          <w:highlight w:val="none"/>
        </w:rPr>
        <w:t xml:space="preserve"> </w:t>
      </w:r>
      <w:bookmarkEnd w:id="394"/>
      <w:r>
        <w:rPr>
          <w:rFonts w:hint="eastAsia" w:ascii="宋体" w:hAnsi="宋体" w:cs="宋体"/>
          <w:b/>
          <w:color w:val="auto"/>
          <w:sz w:val="36"/>
          <w:szCs w:val="20"/>
          <w:highlight w:val="none"/>
        </w:rPr>
        <w:t>应提交的有关格式范例</w:t>
      </w:r>
    </w:p>
    <w:p w14:paraId="5458760F">
      <w:pPr>
        <w:spacing w:line="360" w:lineRule="auto"/>
        <w:jc w:val="center"/>
        <w:outlineLvl w:val="0"/>
        <w:rPr>
          <w:rFonts w:ascii="宋体" w:hAnsi="宋体" w:cs="宋体"/>
          <w:b/>
          <w:color w:val="auto"/>
          <w:kern w:val="0"/>
          <w:sz w:val="36"/>
          <w:szCs w:val="36"/>
          <w:highlight w:val="none"/>
        </w:rPr>
      </w:pPr>
    </w:p>
    <w:p w14:paraId="72EBEEFA">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0D0571E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87950B4">
      <w:pPr>
        <w:spacing w:line="360" w:lineRule="auto"/>
        <w:jc w:val="center"/>
        <w:outlineLvl w:val="0"/>
        <w:rPr>
          <w:rFonts w:ascii="宋体" w:hAnsi="宋体" w:cs="宋体"/>
          <w:b/>
          <w:color w:val="auto"/>
          <w:kern w:val="0"/>
          <w:sz w:val="36"/>
          <w:szCs w:val="36"/>
          <w:highlight w:val="none"/>
        </w:rPr>
      </w:pPr>
    </w:p>
    <w:p w14:paraId="64B2C9C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72B9FDE">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264F99E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73A995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EB6127A">
      <w:pPr>
        <w:snapToGrid w:val="0"/>
        <w:spacing w:line="360" w:lineRule="auto"/>
        <w:ind w:firstLine="480" w:firstLineChars="200"/>
        <w:rPr>
          <w:rFonts w:ascii="宋体" w:hAnsi="宋体" w:cs="宋体"/>
          <w:color w:val="auto"/>
          <w:sz w:val="24"/>
          <w:highlight w:val="none"/>
        </w:rPr>
      </w:pPr>
    </w:p>
    <w:p w14:paraId="5D7C83D8">
      <w:pPr>
        <w:spacing w:line="360" w:lineRule="auto"/>
        <w:ind w:firstLine="480" w:firstLineChars="200"/>
        <w:rPr>
          <w:rFonts w:ascii="宋体" w:hAnsi="宋体" w:cs="宋体"/>
          <w:color w:val="auto"/>
          <w:sz w:val="24"/>
          <w:highlight w:val="none"/>
        </w:rPr>
      </w:pPr>
    </w:p>
    <w:p w14:paraId="36B3FF2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1291426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7D94D6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24FCB57A">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290A9EE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1CA2DB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5735218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9E678B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A2EE76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AD740B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71E93E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w:t>
      </w:r>
      <w:r>
        <w:rPr>
          <w:rFonts w:hint="eastAsia" w:ascii="宋体" w:hAnsi="宋体" w:cs="宋体"/>
          <w:color w:val="auto"/>
          <w:sz w:val="24"/>
          <w:highlight w:val="none"/>
          <w:lang w:eastAsia="zh-CN"/>
        </w:rPr>
        <w:t>）</w:t>
      </w:r>
      <w:r>
        <w:rPr>
          <w:rFonts w:hint="eastAsia" w:ascii="宋体" w:hAnsi="宋体" w:cs="宋体"/>
          <w:color w:val="auto"/>
          <w:sz w:val="24"/>
          <w:highlight w:val="none"/>
        </w:rPr>
        <w:t>、中国政府采购网（www.ccgp.gov.cn）列入失信被执行人、重大税收违法案件当事人名单、政府采购严重违法失信行为记录名单。</w:t>
      </w:r>
    </w:p>
    <w:p w14:paraId="6C7227F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0E5B82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1981E7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72A1CE0B">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E1C794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3D06016">
      <w:pPr>
        <w:snapToGrid w:val="0"/>
        <w:spacing w:line="360" w:lineRule="auto"/>
        <w:ind w:right="480"/>
        <w:jc w:val="center"/>
        <w:rPr>
          <w:rFonts w:ascii="宋体" w:hAnsi="宋体" w:cs="宋体"/>
          <w:b/>
          <w:color w:val="auto"/>
          <w:kern w:val="0"/>
          <w:sz w:val="32"/>
          <w:szCs w:val="32"/>
          <w:highlight w:val="none"/>
        </w:rPr>
      </w:pPr>
    </w:p>
    <w:p w14:paraId="596ABC37">
      <w:pPr>
        <w:snapToGrid w:val="0"/>
        <w:spacing w:line="360" w:lineRule="auto"/>
        <w:ind w:right="480"/>
        <w:jc w:val="center"/>
        <w:rPr>
          <w:rFonts w:ascii="宋体" w:hAnsi="宋体" w:cs="宋体"/>
          <w:b/>
          <w:color w:val="auto"/>
          <w:kern w:val="0"/>
          <w:sz w:val="32"/>
          <w:szCs w:val="32"/>
          <w:highlight w:val="none"/>
        </w:rPr>
      </w:pPr>
    </w:p>
    <w:p w14:paraId="25E2531B">
      <w:pPr>
        <w:snapToGrid w:val="0"/>
        <w:spacing w:line="360" w:lineRule="auto"/>
        <w:ind w:right="480"/>
        <w:jc w:val="center"/>
        <w:rPr>
          <w:rFonts w:ascii="宋体" w:hAnsi="宋体" w:cs="宋体"/>
          <w:b/>
          <w:color w:val="auto"/>
          <w:kern w:val="0"/>
          <w:sz w:val="32"/>
          <w:szCs w:val="32"/>
          <w:highlight w:val="none"/>
        </w:rPr>
      </w:pPr>
    </w:p>
    <w:p w14:paraId="3D869CA3">
      <w:pPr>
        <w:rPr>
          <w:rFonts w:ascii="宋体" w:hAnsi="宋体" w:cs="宋体"/>
          <w:color w:val="auto"/>
          <w:highlight w:val="none"/>
        </w:rPr>
      </w:pPr>
    </w:p>
    <w:p w14:paraId="1165296D">
      <w:pPr>
        <w:snapToGrid w:val="0"/>
        <w:spacing w:line="360" w:lineRule="auto"/>
        <w:ind w:right="480"/>
        <w:jc w:val="center"/>
        <w:rPr>
          <w:rFonts w:ascii="宋体" w:hAnsi="宋体" w:cs="宋体"/>
          <w:b/>
          <w:color w:val="auto"/>
          <w:kern w:val="0"/>
          <w:sz w:val="32"/>
          <w:szCs w:val="32"/>
          <w:highlight w:val="none"/>
        </w:rPr>
      </w:pPr>
    </w:p>
    <w:p w14:paraId="1EDB7BF2">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7A0A3F4">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39B4CA7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02238F4C">
      <w:pPr>
        <w:snapToGrid w:val="0"/>
        <w:spacing w:line="360" w:lineRule="auto"/>
        <w:ind w:right="480"/>
        <w:jc w:val="center"/>
        <w:rPr>
          <w:rFonts w:ascii="宋体" w:hAnsi="宋体" w:cs="宋体"/>
          <w:b/>
          <w:color w:val="auto"/>
          <w:kern w:val="0"/>
          <w:sz w:val="32"/>
          <w:szCs w:val="32"/>
          <w:highlight w:val="none"/>
        </w:rPr>
      </w:pPr>
    </w:p>
    <w:p w14:paraId="4A04CF9F">
      <w:pPr>
        <w:snapToGrid w:val="0"/>
        <w:spacing w:line="360" w:lineRule="auto"/>
        <w:ind w:right="480"/>
        <w:jc w:val="center"/>
        <w:rPr>
          <w:rFonts w:ascii="宋体" w:hAnsi="宋体" w:cs="宋体"/>
          <w:b/>
          <w:color w:val="auto"/>
          <w:kern w:val="0"/>
          <w:sz w:val="32"/>
          <w:szCs w:val="32"/>
          <w:highlight w:val="none"/>
        </w:rPr>
      </w:pPr>
    </w:p>
    <w:p w14:paraId="261B7AD6">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015717AE">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71DEF8E4">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1765B399">
      <w:pPr>
        <w:widowControl/>
        <w:spacing w:line="360" w:lineRule="auto"/>
        <w:ind w:firstLine="480"/>
        <w:jc w:val="left"/>
        <w:rPr>
          <w:rFonts w:ascii="宋体" w:hAnsi="宋体" w:cs="宋体"/>
          <w:color w:val="auto"/>
          <w:sz w:val="24"/>
          <w:highlight w:val="none"/>
        </w:rPr>
      </w:pPr>
    </w:p>
    <w:p w14:paraId="678AF036">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0F4B944E">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06ACD37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34E24821">
      <w:pPr>
        <w:widowControl/>
        <w:spacing w:line="360" w:lineRule="auto"/>
        <w:ind w:left="150"/>
        <w:jc w:val="center"/>
        <w:rPr>
          <w:rFonts w:ascii="宋体" w:hAnsi="宋体" w:cs="宋体"/>
          <w:b/>
          <w:color w:val="auto"/>
          <w:kern w:val="0"/>
          <w:sz w:val="32"/>
          <w:szCs w:val="32"/>
          <w:highlight w:val="none"/>
        </w:rPr>
      </w:pPr>
    </w:p>
    <w:p w14:paraId="4E66AFB9">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348FD9D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6E3344A">
      <w:pPr>
        <w:rPr>
          <w:rFonts w:ascii="宋体" w:hAnsi="宋体" w:cs="宋体"/>
          <w:color w:val="auto"/>
          <w:highlight w:val="none"/>
        </w:rPr>
      </w:pPr>
    </w:p>
    <w:p w14:paraId="73907B95">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3C0B4F94">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3A7CF41B">
      <w:pPr>
        <w:spacing w:line="360" w:lineRule="auto"/>
        <w:jc w:val="center"/>
        <w:outlineLvl w:val="0"/>
        <w:rPr>
          <w:rFonts w:ascii="宋体" w:hAnsi="宋体" w:cs="宋体"/>
          <w:b/>
          <w:color w:val="auto"/>
          <w:kern w:val="0"/>
          <w:sz w:val="24"/>
          <w:highlight w:val="none"/>
        </w:rPr>
      </w:pPr>
    </w:p>
    <w:p w14:paraId="64FC89D4">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2DFB59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69D7F006">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6F6582FD">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4F0A00D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7BAD3BDB">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6D8DA621">
      <w:pPr>
        <w:snapToGrid w:val="0"/>
        <w:spacing w:line="360" w:lineRule="auto"/>
        <w:ind w:left="479" w:leftChars="228"/>
        <w:rPr>
          <w:rFonts w:hint="eastAsia" w:ascii="宋体" w:hAnsi="宋体" w:cs="宋体"/>
          <w:color w:val="auto"/>
          <w:highlight w:val="none"/>
        </w:rPr>
      </w:pPr>
      <w:r>
        <w:rPr>
          <w:rFonts w:hint="eastAsia" w:ascii="宋体" w:hAnsi="宋体" w:cs="宋体"/>
          <w:sz w:val="24"/>
          <w:lang w:val="zh-CN"/>
        </w:rPr>
        <w:t>（</w:t>
      </w:r>
      <w:r>
        <w:rPr>
          <w:rFonts w:hint="eastAsia" w:ascii="宋体" w:hAnsi="宋体" w:cs="宋体"/>
          <w:sz w:val="24"/>
        </w:rPr>
        <w:t>9）代理服务费的承诺书</w:t>
      </w:r>
      <w:r>
        <w:rPr>
          <w:rFonts w:hint="eastAsia" w:ascii="宋体" w:hAnsi="宋体" w:cs="宋体"/>
        </w:rPr>
        <w:t>………………………………………………………………（页码）</w:t>
      </w:r>
    </w:p>
    <w:p w14:paraId="2B50A665">
      <w:pPr>
        <w:snapToGrid w:val="0"/>
        <w:spacing w:line="360" w:lineRule="auto"/>
        <w:jc w:val="center"/>
        <w:rPr>
          <w:rFonts w:ascii="宋体" w:hAnsi="宋体" w:cs="宋体"/>
          <w:b/>
          <w:color w:val="auto"/>
          <w:kern w:val="0"/>
          <w:sz w:val="32"/>
          <w:szCs w:val="32"/>
          <w:highlight w:val="none"/>
          <w:lang w:val="zh-CN"/>
        </w:rPr>
      </w:pPr>
    </w:p>
    <w:p w14:paraId="700BCA6D">
      <w:pPr>
        <w:snapToGrid w:val="0"/>
        <w:spacing w:line="360" w:lineRule="auto"/>
        <w:jc w:val="center"/>
        <w:rPr>
          <w:rFonts w:ascii="宋体" w:hAnsi="宋体" w:cs="宋体"/>
          <w:b/>
          <w:color w:val="auto"/>
          <w:kern w:val="0"/>
          <w:sz w:val="32"/>
          <w:szCs w:val="32"/>
          <w:highlight w:val="none"/>
          <w:lang w:val="zh-CN"/>
        </w:rPr>
      </w:pPr>
    </w:p>
    <w:p w14:paraId="4CABD69D">
      <w:pPr>
        <w:snapToGrid w:val="0"/>
        <w:spacing w:line="360" w:lineRule="auto"/>
        <w:jc w:val="center"/>
        <w:rPr>
          <w:rFonts w:ascii="宋体" w:hAnsi="宋体" w:cs="宋体"/>
          <w:b/>
          <w:color w:val="auto"/>
          <w:kern w:val="0"/>
          <w:sz w:val="32"/>
          <w:szCs w:val="32"/>
          <w:highlight w:val="none"/>
          <w:lang w:val="zh-CN"/>
        </w:rPr>
      </w:pPr>
    </w:p>
    <w:p w14:paraId="69DEAC0D">
      <w:pPr>
        <w:snapToGrid w:val="0"/>
        <w:spacing w:line="360" w:lineRule="auto"/>
        <w:jc w:val="center"/>
        <w:rPr>
          <w:rFonts w:ascii="宋体" w:hAnsi="宋体" w:cs="宋体"/>
          <w:b/>
          <w:color w:val="auto"/>
          <w:kern w:val="0"/>
          <w:sz w:val="32"/>
          <w:szCs w:val="32"/>
          <w:highlight w:val="none"/>
          <w:lang w:val="zh-CN"/>
        </w:rPr>
      </w:pPr>
    </w:p>
    <w:p w14:paraId="6EE7BD80">
      <w:pPr>
        <w:snapToGrid w:val="0"/>
        <w:spacing w:line="360" w:lineRule="auto"/>
        <w:jc w:val="center"/>
        <w:rPr>
          <w:rFonts w:ascii="宋体" w:hAnsi="宋体" w:cs="宋体"/>
          <w:b/>
          <w:color w:val="auto"/>
          <w:kern w:val="0"/>
          <w:sz w:val="32"/>
          <w:szCs w:val="32"/>
          <w:highlight w:val="none"/>
          <w:lang w:val="zh-CN"/>
        </w:rPr>
      </w:pPr>
    </w:p>
    <w:p w14:paraId="48640FED">
      <w:pPr>
        <w:snapToGrid w:val="0"/>
        <w:spacing w:line="360" w:lineRule="auto"/>
        <w:jc w:val="center"/>
        <w:rPr>
          <w:rFonts w:ascii="宋体" w:hAnsi="宋体" w:cs="宋体"/>
          <w:b/>
          <w:color w:val="auto"/>
          <w:kern w:val="0"/>
          <w:sz w:val="32"/>
          <w:szCs w:val="32"/>
          <w:highlight w:val="none"/>
          <w:lang w:val="zh-CN"/>
        </w:rPr>
      </w:pPr>
    </w:p>
    <w:p w14:paraId="7A0083EF">
      <w:pPr>
        <w:snapToGrid w:val="0"/>
        <w:spacing w:line="360" w:lineRule="auto"/>
        <w:jc w:val="center"/>
        <w:rPr>
          <w:rFonts w:ascii="宋体" w:hAnsi="宋体" w:cs="宋体"/>
          <w:b/>
          <w:color w:val="auto"/>
          <w:kern w:val="0"/>
          <w:sz w:val="32"/>
          <w:szCs w:val="32"/>
          <w:highlight w:val="none"/>
          <w:lang w:val="zh-CN"/>
        </w:rPr>
      </w:pPr>
    </w:p>
    <w:p w14:paraId="1F5A04FD">
      <w:pPr>
        <w:snapToGrid w:val="0"/>
        <w:spacing w:line="360" w:lineRule="auto"/>
        <w:jc w:val="center"/>
        <w:rPr>
          <w:rFonts w:ascii="宋体" w:hAnsi="宋体" w:cs="宋体"/>
          <w:b/>
          <w:color w:val="auto"/>
          <w:kern w:val="0"/>
          <w:sz w:val="32"/>
          <w:szCs w:val="32"/>
          <w:highlight w:val="none"/>
          <w:lang w:val="zh-CN"/>
        </w:rPr>
      </w:pPr>
    </w:p>
    <w:p w14:paraId="301C9372">
      <w:pPr>
        <w:snapToGrid w:val="0"/>
        <w:spacing w:line="360" w:lineRule="auto"/>
        <w:jc w:val="center"/>
        <w:rPr>
          <w:rFonts w:ascii="宋体" w:hAnsi="宋体" w:cs="宋体"/>
          <w:b/>
          <w:color w:val="auto"/>
          <w:kern w:val="0"/>
          <w:sz w:val="32"/>
          <w:szCs w:val="32"/>
          <w:highlight w:val="none"/>
          <w:lang w:val="zh-CN"/>
        </w:rPr>
      </w:pPr>
    </w:p>
    <w:p w14:paraId="49FA761E">
      <w:pPr>
        <w:snapToGrid w:val="0"/>
        <w:spacing w:line="360" w:lineRule="auto"/>
        <w:jc w:val="center"/>
        <w:rPr>
          <w:rFonts w:ascii="宋体" w:hAnsi="宋体" w:cs="宋体"/>
          <w:b/>
          <w:color w:val="auto"/>
          <w:kern w:val="0"/>
          <w:sz w:val="32"/>
          <w:szCs w:val="32"/>
          <w:highlight w:val="none"/>
          <w:lang w:val="zh-CN"/>
        </w:rPr>
      </w:pPr>
    </w:p>
    <w:p w14:paraId="2FE0BECE">
      <w:pPr>
        <w:snapToGrid w:val="0"/>
        <w:spacing w:line="360" w:lineRule="auto"/>
        <w:jc w:val="center"/>
        <w:rPr>
          <w:rFonts w:ascii="宋体" w:hAnsi="宋体" w:cs="宋体"/>
          <w:b/>
          <w:color w:val="auto"/>
          <w:kern w:val="0"/>
          <w:sz w:val="32"/>
          <w:szCs w:val="32"/>
          <w:highlight w:val="none"/>
          <w:lang w:val="zh-CN"/>
        </w:rPr>
      </w:pPr>
    </w:p>
    <w:p w14:paraId="66233389">
      <w:pPr>
        <w:snapToGrid w:val="0"/>
        <w:spacing w:line="360" w:lineRule="auto"/>
        <w:jc w:val="center"/>
        <w:rPr>
          <w:rFonts w:ascii="宋体" w:hAnsi="宋体" w:cs="宋体"/>
          <w:b/>
          <w:color w:val="auto"/>
          <w:kern w:val="0"/>
          <w:sz w:val="32"/>
          <w:szCs w:val="32"/>
          <w:highlight w:val="none"/>
          <w:lang w:val="zh-CN"/>
        </w:rPr>
      </w:pPr>
    </w:p>
    <w:p w14:paraId="140DCEDB">
      <w:pPr>
        <w:snapToGrid w:val="0"/>
        <w:spacing w:line="360" w:lineRule="auto"/>
        <w:jc w:val="center"/>
        <w:rPr>
          <w:rFonts w:ascii="宋体" w:hAnsi="宋体" w:cs="宋体"/>
          <w:b/>
          <w:color w:val="auto"/>
          <w:kern w:val="0"/>
          <w:sz w:val="32"/>
          <w:szCs w:val="32"/>
          <w:highlight w:val="none"/>
          <w:lang w:val="zh-CN"/>
        </w:rPr>
      </w:pPr>
    </w:p>
    <w:p w14:paraId="3A8940F2">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8F2DFB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3AB3C4C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468B708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3E0FDCB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39DD7A5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734B9DC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48B56DA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395" w:name="_Hlk101257010"/>
      <w:r>
        <w:rPr>
          <w:rFonts w:hint="eastAsia" w:ascii="宋体" w:hAnsi="宋体" w:cs="宋体"/>
          <w:color w:val="auto"/>
          <w:sz w:val="24"/>
          <w:highlight w:val="none"/>
        </w:rPr>
        <w:t>（如果有</w:t>
      </w:r>
      <w:bookmarkEnd w:id="395"/>
      <w:r>
        <w:rPr>
          <w:rFonts w:hint="eastAsia" w:ascii="宋体" w:hAnsi="宋体" w:cs="宋体"/>
          <w:color w:val="auto"/>
          <w:sz w:val="24"/>
          <w:highlight w:val="none"/>
          <w:lang w:eastAsia="zh-CN"/>
        </w:rPr>
        <w:t>）</w:t>
      </w:r>
      <w:r>
        <w:rPr>
          <w:rFonts w:hint="eastAsia" w:ascii="宋体" w:hAnsi="宋体" w:cs="宋体"/>
          <w:snapToGrid w:val="0"/>
          <w:color w:val="auto"/>
          <w:kern w:val="28"/>
          <w:sz w:val="24"/>
          <w:szCs w:val="20"/>
          <w:highlight w:val="none"/>
        </w:rPr>
        <w:t>；</w:t>
      </w:r>
    </w:p>
    <w:p w14:paraId="2B4EC0C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2891C29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33E6C08F">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B44AF5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3EB71FB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37A344C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3ACC02E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96B43D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0AC527F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6478F24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C5C4887">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D30EA5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5FBC8E2F">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3197EB3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6AB7C79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123A3B9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116763E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9BDF3E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47F77DB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7CA3A24">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84AF1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EAAA2F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62C20B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25A5284">
      <w:pPr>
        <w:snapToGrid w:val="0"/>
        <w:spacing w:line="360" w:lineRule="auto"/>
        <w:ind w:left="420" w:leftChars="200" w:firstLine="4200" w:firstLineChars="1750"/>
        <w:rPr>
          <w:rFonts w:ascii="宋体" w:hAnsi="宋体" w:cs="宋体"/>
          <w:color w:val="auto"/>
          <w:kern w:val="0"/>
          <w:sz w:val="24"/>
          <w:highlight w:val="none"/>
          <w:u w:val="single"/>
        </w:rPr>
      </w:pPr>
    </w:p>
    <w:p w14:paraId="3866190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52E17B7">
      <w:pPr>
        <w:snapToGrid w:val="0"/>
        <w:spacing w:line="360" w:lineRule="auto"/>
        <w:jc w:val="center"/>
        <w:rPr>
          <w:rFonts w:ascii="宋体" w:hAnsi="宋体" w:cs="宋体"/>
          <w:b/>
          <w:color w:val="auto"/>
          <w:kern w:val="0"/>
          <w:sz w:val="32"/>
          <w:szCs w:val="32"/>
          <w:highlight w:val="none"/>
        </w:rPr>
      </w:pPr>
    </w:p>
    <w:p w14:paraId="742E3BA8">
      <w:pPr>
        <w:snapToGrid w:val="0"/>
        <w:spacing w:line="360" w:lineRule="auto"/>
        <w:rPr>
          <w:rFonts w:ascii="宋体" w:hAnsi="宋体" w:cs="宋体"/>
          <w:color w:val="auto"/>
          <w:sz w:val="24"/>
          <w:highlight w:val="none"/>
        </w:rPr>
      </w:pPr>
    </w:p>
    <w:p w14:paraId="2AFDD200">
      <w:pPr>
        <w:jc w:val="both"/>
        <w:rPr>
          <w:rFonts w:ascii="宋体" w:hAnsi="宋体" w:cs="宋体"/>
          <w:b/>
          <w:color w:val="auto"/>
          <w:kern w:val="0"/>
          <w:sz w:val="32"/>
          <w:szCs w:val="32"/>
          <w:highlight w:val="none"/>
        </w:rPr>
      </w:pPr>
    </w:p>
    <w:p w14:paraId="2D183AA5">
      <w:pPr>
        <w:jc w:val="center"/>
        <w:rPr>
          <w:rFonts w:ascii="宋体" w:hAnsi="宋体" w:cs="宋体"/>
          <w:b/>
          <w:color w:val="auto"/>
          <w:kern w:val="0"/>
          <w:sz w:val="32"/>
          <w:szCs w:val="32"/>
          <w:highlight w:val="none"/>
        </w:rPr>
      </w:pPr>
    </w:p>
    <w:p w14:paraId="5D8BB10A">
      <w:pPr>
        <w:jc w:val="center"/>
        <w:rPr>
          <w:rFonts w:ascii="宋体" w:hAnsi="宋体" w:cs="宋体"/>
          <w:b/>
          <w:color w:val="auto"/>
          <w:kern w:val="0"/>
          <w:sz w:val="32"/>
          <w:szCs w:val="32"/>
          <w:highlight w:val="none"/>
        </w:rPr>
      </w:pPr>
    </w:p>
    <w:p w14:paraId="4A53909A">
      <w:pPr>
        <w:jc w:val="both"/>
        <w:rPr>
          <w:rFonts w:ascii="宋体" w:hAnsi="宋体" w:cs="宋体"/>
          <w:b/>
          <w:color w:val="auto"/>
          <w:kern w:val="0"/>
          <w:sz w:val="32"/>
          <w:szCs w:val="32"/>
          <w:highlight w:val="none"/>
        </w:rPr>
      </w:pPr>
    </w:p>
    <w:p w14:paraId="187DA1AB">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42D0F7D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1AA68CA">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16D5DB2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E4092C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70D0523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7BB19B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D3BE53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33312E0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1AA9871A">
      <w:pPr>
        <w:snapToGrid w:val="0"/>
        <w:spacing w:line="360" w:lineRule="auto"/>
        <w:rPr>
          <w:rFonts w:ascii="宋体" w:hAnsi="宋体" w:cs="宋体"/>
          <w:color w:val="auto"/>
          <w:sz w:val="24"/>
          <w:highlight w:val="none"/>
        </w:rPr>
      </w:pPr>
    </w:p>
    <w:p w14:paraId="1C72A862">
      <w:pPr>
        <w:snapToGrid w:val="0"/>
        <w:spacing w:line="360" w:lineRule="auto"/>
        <w:rPr>
          <w:rFonts w:ascii="宋体" w:hAnsi="宋体" w:cs="宋体"/>
          <w:color w:val="auto"/>
          <w:sz w:val="24"/>
          <w:highlight w:val="none"/>
        </w:rPr>
      </w:pPr>
    </w:p>
    <w:p w14:paraId="51D753C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2CC0559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543E492">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3ECCCDB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2A166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3C79970">
      <w:pPr>
        <w:jc w:val="center"/>
        <w:rPr>
          <w:rFonts w:ascii="宋体" w:hAnsi="宋体" w:cs="宋体"/>
          <w:b/>
          <w:color w:val="auto"/>
          <w:kern w:val="0"/>
          <w:sz w:val="32"/>
          <w:szCs w:val="32"/>
          <w:highlight w:val="none"/>
        </w:rPr>
      </w:pPr>
    </w:p>
    <w:p w14:paraId="0E921CCB">
      <w:pPr>
        <w:rPr>
          <w:rFonts w:ascii="宋体" w:hAnsi="宋体" w:cs="宋体"/>
          <w:color w:val="auto"/>
          <w:highlight w:val="none"/>
        </w:rPr>
      </w:pPr>
    </w:p>
    <w:p w14:paraId="5FBFFFF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B8359C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087346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CC1280D">
      <w:pPr>
        <w:snapToGrid w:val="0"/>
        <w:spacing w:line="360" w:lineRule="auto"/>
        <w:rPr>
          <w:rFonts w:ascii="宋体" w:hAnsi="宋体" w:cs="宋体"/>
          <w:b/>
          <w:color w:val="auto"/>
          <w:kern w:val="0"/>
          <w:sz w:val="32"/>
          <w:szCs w:val="32"/>
          <w:highlight w:val="none"/>
          <w:lang w:val="zh-CN"/>
        </w:rPr>
      </w:pPr>
      <w:r>
        <w:rPr>
          <w:rFonts w:hint="eastAsia" w:ascii="宋体" w:hAnsi="宋体" w:cs="宋体"/>
          <w:color w:val="auto"/>
          <w:kern w:val="0"/>
          <w:sz w:val="24"/>
          <w:highlight w:val="none"/>
          <w:lang w:val="zh-CN"/>
        </w:rPr>
        <w:t xml:space="preserve">                                               日期：  年  月   日</w:t>
      </w:r>
    </w:p>
    <w:p w14:paraId="12407765">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905085C">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EC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873CF5D">
            <w:pPr>
              <w:pStyle w:val="149"/>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46311E0">
            <w:pPr>
              <w:pStyle w:val="149"/>
              <w:adjustRightInd w:val="0"/>
              <w:spacing w:line="360" w:lineRule="auto"/>
              <w:rPr>
                <w:rFonts w:hAnsi="宋体" w:cs="宋体"/>
                <w:bCs/>
                <w:color w:val="auto"/>
                <w:sz w:val="24"/>
                <w:highlight w:val="none"/>
              </w:rPr>
            </w:pPr>
          </w:p>
        </w:tc>
      </w:tr>
    </w:tbl>
    <w:p w14:paraId="7DC5508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2E22140">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141B6848">
      <w:pPr>
        <w:spacing w:line="360" w:lineRule="auto"/>
        <w:jc w:val="center"/>
        <w:rPr>
          <w:rFonts w:ascii="宋体" w:hAnsi="宋体" w:cs="宋体"/>
          <w:b/>
          <w:color w:val="auto"/>
          <w:kern w:val="0"/>
          <w:sz w:val="32"/>
          <w:szCs w:val="32"/>
          <w:highlight w:val="none"/>
        </w:rPr>
      </w:pPr>
      <w:r>
        <w:rPr>
          <w:rFonts w:hint="eastAsia" w:ascii="宋体" w:hAnsi="宋体" w:cs="宋体"/>
          <w:color w:val="auto"/>
          <w:kern w:val="0"/>
          <w:sz w:val="24"/>
          <w:highlight w:val="none"/>
          <w:lang w:val="zh-CN"/>
        </w:rPr>
        <w:t xml:space="preserve">                   日期：  年  月  日</w:t>
      </w:r>
    </w:p>
    <w:p w14:paraId="27658365">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6BEE4E76">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4DF96877">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hint="eastAsia" w:ascii="宋体" w:hAnsi="宋体" w:cs="宋体"/>
          <w:b/>
          <w:color w:val="auto"/>
          <w:sz w:val="24"/>
          <w:highlight w:val="none"/>
          <w:lang w:eastAsia="zh-CN"/>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61D607AE">
      <w:pPr>
        <w:snapToGrid w:val="0"/>
        <w:spacing w:line="360" w:lineRule="auto"/>
        <w:rPr>
          <w:rFonts w:ascii="宋体" w:hAnsi="宋体" w:cs="宋体"/>
          <w:color w:val="auto"/>
          <w:kern w:val="0"/>
          <w:sz w:val="24"/>
          <w:highlight w:val="none"/>
        </w:rPr>
      </w:pPr>
    </w:p>
    <w:p w14:paraId="29B4F5CA">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69A1ED46">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3EB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30D289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022759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4D8448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F59D13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3DCCB3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E0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51F856E">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0F934229">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3DD204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6473C495">
            <w:pPr>
              <w:rPr>
                <w:rFonts w:ascii="宋体" w:hAnsi="宋体" w:cs="宋体"/>
                <w:color w:val="auto"/>
                <w:sz w:val="24"/>
                <w:highlight w:val="none"/>
              </w:rPr>
            </w:pPr>
          </w:p>
          <w:p w14:paraId="2EFD984F">
            <w:pPr>
              <w:rPr>
                <w:rFonts w:ascii="宋体" w:hAnsi="宋体" w:cs="宋体"/>
                <w:color w:val="auto"/>
                <w:sz w:val="24"/>
                <w:highlight w:val="none"/>
              </w:rPr>
            </w:pPr>
            <w:r>
              <w:rPr>
                <w:rFonts w:hint="eastAsia" w:ascii="宋体" w:hAnsi="宋体" w:cs="宋体"/>
                <w:color w:val="auto"/>
                <w:sz w:val="24"/>
                <w:highlight w:val="none"/>
              </w:rPr>
              <w:t>见投标文件</w:t>
            </w:r>
          </w:p>
          <w:p w14:paraId="4D40010C">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53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2EA2EA5">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69497FC0">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4FEB1B3">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18A3ED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F2F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4B2A6E">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0816E62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563D5BE">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3FECB870">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20C2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706DAC">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1BD3FA50">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2B845AB5">
            <w:pPr>
              <w:rPr>
                <w:rFonts w:hint="eastAsia" w:ascii="宋体" w:hAnsi="宋体" w:cs="宋体"/>
                <w:b w:val="0"/>
                <w:bCs w:val="0"/>
                <w:color w:val="auto"/>
                <w:sz w:val="24"/>
                <w:highlight w:val="none"/>
                <w:lang w:val="en-US" w:eastAsia="zh-CN"/>
              </w:rPr>
            </w:pPr>
          </w:p>
        </w:tc>
        <w:tc>
          <w:tcPr>
            <w:tcW w:w="1418" w:type="dxa"/>
            <w:vAlign w:val="top"/>
          </w:tcPr>
          <w:p w14:paraId="05C42D45">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D65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5912E1">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460D33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5A7E1580">
            <w:pPr>
              <w:rPr>
                <w:rFonts w:hint="eastAsia" w:ascii="宋体" w:hAnsi="宋体" w:cs="宋体"/>
                <w:b w:val="0"/>
                <w:bCs w:val="0"/>
                <w:color w:val="auto"/>
                <w:sz w:val="24"/>
                <w:highlight w:val="none"/>
                <w:lang w:val="en-US" w:eastAsia="zh-CN"/>
              </w:rPr>
            </w:pPr>
          </w:p>
        </w:tc>
        <w:tc>
          <w:tcPr>
            <w:tcW w:w="1418" w:type="dxa"/>
            <w:vAlign w:val="top"/>
          </w:tcPr>
          <w:p w14:paraId="3228697A">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71B70E08">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300760AC">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2469B32C">
      <w:pPr>
        <w:jc w:val="center"/>
        <w:rPr>
          <w:rFonts w:ascii="宋体" w:hAnsi="宋体" w:cs="宋体"/>
          <w:b/>
          <w:color w:val="auto"/>
          <w:kern w:val="0"/>
          <w:sz w:val="32"/>
          <w:szCs w:val="32"/>
          <w:highlight w:val="none"/>
        </w:rPr>
      </w:pPr>
    </w:p>
    <w:p w14:paraId="3835C731">
      <w:pPr>
        <w:jc w:val="both"/>
        <w:rPr>
          <w:rFonts w:ascii="宋体" w:hAnsi="宋体" w:cs="宋体"/>
          <w:b/>
          <w:color w:val="auto"/>
          <w:kern w:val="0"/>
          <w:sz w:val="32"/>
          <w:szCs w:val="32"/>
          <w:highlight w:val="none"/>
        </w:rPr>
      </w:pPr>
    </w:p>
    <w:p w14:paraId="52D329B4">
      <w:pPr>
        <w:jc w:val="both"/>
        <w:rPr>
          <w:rFonts w:ascii="宋体" w:hAnsi="宋体" w:cs="宋体"/>
          <w:b/>
          <w:color w:val="auto"/>
          <w:kern w:val="0"/>
          <w:sz w:val="32"/>
          <w:szCs w:val="32"/>
          <w:highlight w:val="none"/>
        </w:rPr>
      </w:pPr>
    </w:p>
    <w:p w14:paraId="3C18C5ED">
      <w:pPr>
        <w:jc w:val="both"/>
        <w:rPr>
          <w:rFonts w:ascii="宋体" w:hAnsi="宋体" w:cs="宋体"/>
          <w:b/>
          <w:color w:val="auto"/>
          <w:kern w:val="0"/>
          <w:sz w:val="32"/>
          <w:szCs w:val="32"/>
          <w:highlight w:val="none"/>
        </w:rPr>
      </w:pPr>
    </w:p>
    <w:p w14:paraId="79CD8CF7">
      <w:pPr>
        <w:jc w:val="both"/>
        <w:rPr>
          <w:rFonts w:ascii="宋体" w:hAnsi="宋体" w:cs="宋体"/>
          <w:b/>
          <w:color w:val="auto"/>
          <w:kern w:val="0"/>
          <w:sz w:val="32"/>
          <w:szCs w:val="32"/>
          <w:highlight w:val="none"/>
        </w:rPr>
      </w:pPr>
    </w:p>
    <w:p w14:paraId="614153DA">
      <w:pPr>
        <w:jc w:val="both"/>
        <w:rPr>
          <w:rFonts w:ascii="宋体" w:hAnsi="宋体" w:cs="宋体"/>
          <w:b/>
          <w:color w:val="auto"/>
          <w:kern w:val="0"/>
          <w:sz w:val="32"/>
          <w:szCs w:val="32"/>
          <w:highlight w:val="none"/>
        </w:rPr>
      </w:pPr>
    </w:p>
    <w:p w14:paraId="5190AD4D">
      <w:pPr>
        <w:jc w:val="both"/>
        <w:rPr>
          <w:rFonts w:ascii="宋体" w:hAnsi="宋体" w:cs="宋体"/>
          <w:b/>
          <w:color w:val="auto"/>
          <w:kern w:val="0"/>
          <w:sz w:val="32"/>
          <w:szCs w:val="32"/>
          <w:highlight w:val="none"/>
        </w:rPr>
      </w:pPr>
    </w:p>
    <w:p w14:paraId="516137A5">
      <w:pPr>
        <w:jc w:val="both"/>
        <w:rPr>
          <w:rFonts w:ascii="宋体" w:hAnsi="宋体" w:cs="宋体"/>
          <w:b/>
          <w:color w:val="auto"/>
          <w:kern w:val="0"/>
          <w:sz w:val="32"/>
          <w:szCs w:val="32"/>
          <w:highlight w:val="none"/>
        </w:rPr>
      </w:pPr>
    </w:p>
    <w:p w14:paraId="2C42BE85">
      <w:pPr>
        <w:jc w:val="both"/>
        <w:rPr>
          <w:rFonts w:ascii="宋体" w:hAnsi="宋体" w:cs="宋体"/>
          <w:b/>
          <w:color w:val="auto"/>
          <w:kern w:val="0"/>
          <w:sz w:val="32"/>
          <w:szCs w:val="32"/>
          <w:highlight w:val="none"/>
        </w:rPr>
      </w:pPr>
    </w:p>
    <w:p w14:paraId="68D8DF88">
      <w:pPr>
        <w:jc w:val="both"/>
        <w:rPr>
          <w:rFonts w:ascii="宋体" w:hAnsi="宋体" w:cs="宋体"/>
          <w:b/>
          <w:color w:val="auto"/>
          <w:kern w:val="0"/>
          <w:sz w:val="32"/>
          <w:szCs w:val="32"/>
          <w:highlight w:val="none"/>
        </w:rPr>
      </w:pPr>
    </w:p>
    <w:p w14:paraId="760AA4B7">
      <w:pPr>
        <w:jc w:val="both"/>
        <w:rPr>
          <w:rFonts w:ascii="宋体" w:hAnsi="宋体" w:cs="宋体"/>
          <w:b/>
          <w:color w:val="auto"/>
          <w:kern w:val="0"/>
          <w:sz w:val="32"/>
          <w:szCs w:val="32"/>
          <w:highlight w:val="none"/>
        </w:rPr>
      </w:pPr>
    </w:p>
    <w:p w14:paraId="20BAE25D">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2D1CFBB">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675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54B70B6">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7094874F">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0D4E9F7F">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73B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E1A295D">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3CFE82D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0CA3674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77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5EFBF4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645D16A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249E10E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4EBC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0869D8B">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E1A2FB7">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5F158C9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B42D008">
      <w:pPr>
        <w:pStyle w:val="79"/>
        <w:rPr>
          <w:color w:val="auto"/>
          <w:highlight w:val="none"/>
        </w:rPr>
      </w:pPr>
    </w:p>
    <w:p w14:paraId="00E0E54A">
      <w:pPr>
        <w:jc w:val="center"/>
        <w:rPr>
          <w:rFonts w:ascii="宋体" w:hAnsi="宋体" w:cs="宋体"/>
          <w:b/>
          <w:color w:val="auto"/>
          <w:kern w:val="0"/>
          <w:sz w:val="32"/>
          <w:szCs w:val="32"/>
          <w:highlight w:val="none"/>
        </w:rPr>
      </w:pPr>
    </w:p>
    <w:p w14:paraId="11A9EEFB">
      <w:pPr>
        <w:jc w:val="center"/>
        <w:rPr>
          <w:rFonts w:ascii="宋体" w:hAnsi="宋体" w:cs="宋体"/>
          <w:b/>
          <w:color w:val="auto"/>
          <w:kern w:val="0"/>
          <w:sz w:val="32"/>
          <w:szCs w:val="32"/>
          <w:highlight w:val="none"/>
        </w:rPr>
      </w:pPr>
    </w:p>
    <w:p w14:paraId="679698A4">
      <w:pPr>
        <w:jc w:val="center"/>
        <w:rPr>
          <w:rFonts w:ascii="宋体" w:hAnsi="宋体" w:cs="宋体"/>
          <w:b/>
          <w:color w:val="auto"/>
          <w:kern w:val="0"/>
          <w:sz w:val="32"/>
          <w:szCs w:val="32"/>
          <w:highlight w:val="none"/>
        </w:rPr>
      </w:pPr>
    </w:p>
    <w:p w14:paraId="17612F2D">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600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52D6D1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1D9A4C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3A9916CC">
            <w:pPr>
              <w:spacing w:line="360" w:lineRule="auto"/>
              <w:jc w:val="center"/>
              <w:rPr>
                <w:rFonts w:ascii="宋体" w:hAnsi="宋体" w:cs="宋体"/>
                <w:b/>
                <w:color w:val="auto"/>
                <w:sz w:val="24"/>
                <w:highlight w:val="none"/>
              </w:rPr>
            </w:pPr>
          </w:p>
          <w:p w14:paraId="02F51E5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1939890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FC6EC1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778B62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4DB8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3A147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87AA6AE">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618953FE">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EB5BE4">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0BCD6C5">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38BAC35">
            <w:pPr>
              <w:spacing w:line="360" w:lineRule="auto"/>
              <w:jc w:val="center"/>
              <w:rPr>
                <w:rFonts w:ascii="宋体" w:hAnsi="宋体" w:cs="宋体"/>
                <w:color w:val="auto"/>
                <w:sz w:val="24"/>
                <w:highlight w:val="none"/>
              </w:rPr>
            </w:pPr>
          </w:p>
        </w:tc>
      </w:tr>
      <w:tr w14:paraId="1B90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F79D3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2026627B">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17D0FD58">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5FB2BE7">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6AC924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8FD6226">
            <w:pPr>
              <w:spacing w:line="360" w:lineRule="auto"/>
              <w:jc w:val="center"/>
              <w:rPr>
                <w:rFonts w:ascii="宋体" w:hAnsi="宋体" w:cs="宋体"/>
                <w:color w:val="auto"/>
                <w:sz w:val="24"/>
                <w:highlight w:val="none"/>
              </w:rPr>
            </w:pPr>
          </w:p>
        </w:tc>
      </w:tr>
      <w:tr w14:paraId="22A7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32008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C27EB67">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57C9D74">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83F65B8">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6FC1AF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F3F1BF5">
            <w:pPr>
              <w:spacing w:line="360" w:lineRule="auto"/>
              <w:jc w:val="center"/>
              <w:rPr>
                <w:rFonts w:ascii="宋体" w:hAnsi="宋体" w:cs="宋体"/>
                <w:color w:val="auto"/>
                <w:sz w:val="24"/>
                <w:highlight w:val="none"/>
              </w:rPr>
            </w:pPr>
          </w:p>
        </w:tc>
      </w:tr>
    </w:tbl>
    <w:p w14:paraId="3FAFDB6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3E4EF47">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3"/>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03DA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982FA8E">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3B426346">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0FA21463">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6EABD2B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0E0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1B2B90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6B6935F5">
            <w:pPr>
              <w:jc w:val="center"/>
              <w:rPr>
                <w:rFonts w:ascii="宋体" w:hAnsi="宋体" w:cs="宋体"/>
                <w:b/>
                <w:color w:val="auto"/>
                <w:kern w:val="0"/>
                <w:sz w:val="32"/>
                <w:szCs w:val="32"/>
                <w:highlight w:val="none"/>
              </w:rPr>
            </w:pPr>
          </w:p>
        </w:tc>
        <w:tc>
          <w:tcPr>
            <w:tcW w:w="3062" w:type="dxa"/>
          </w:tcPr>
          <w:p w14:paraId="5FF76456">
            <w:pPr>
              <w:jc w:val="center"/>
              <w:rPr>
                <w:rFonts w:ascii="宋体" w:hAnsi="宋体" w:cs="宋体"/>
                <w:b/>
                <w:color w:val="auto"/>
                <w:kern w:val="0"/>
                <w:sz w:val="32"/>
                <w:szCs w:val="32"/>
                <w:highlight w:val="none"/>
              </w:rPr>
            </w:pPr>
          </w:p>
        </w:tc>
        <w:tc>
          <w:tcPr>
            <w:tcW w:w="1102" w:type="dxa"/>
          </w:tcPr>
          <w:p w14:paraId="277CD6D7">
            <w:pPr>
              <w:jc w:val="center"/>
              <w:rPr>
                <w:rFonts w:ascii="宋体" w:hAnsi="宋体" w:cs="宋体"/>
                <w:b/>
                <w:color w:val="auto"/>
                <w:kern w:val="0"/>
                <w:sz w:val="32"/>
                <w:szCs w:val="32"/>
                <w:highlight w:val="none"/>
              </w:rPr>
            </w:pPr>
          </w:p>
        </w:tc>
      </w:tr>
      <w:tr w14:paraId="2F9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A2FFE6">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3D96D204">
            <w:pPr>
              <w:jc w:val="center"/>
              <w:rPr>
                <w:rFonts w:ascii="宋体" w:hAnsi="宋体" w:cs="宋体"/>
                <w:b/>
                <w:color w:val="auto"/>
                <w:kern w:val="0"/>
                <w:sz w:val="32"/>
                <w:szCs w:val="32"/>
                <w:highlight w:val="none"/>
              </w:rPr>
            </w:pPr>
          </w:p>
        </w:tc>
        <w:tc>
          <w:tcPr>
            <w:tcW w:w="3062" w:type="dxa"/>
          </w:tcPr>
          <w:p w14:paraId="0A81AFEB">
            <w:pPr>
              <w:jc w:val="center"/>
              <w:rPr>
                <w:rFonts w:ascii="宋体" w:hAnsi="宋体" w:cs="宋体"/>
                <w:b/>
                <w:color w:val="auto"/>
                <w:kern w:val="0"/>
                <w:sz w:val="32"/>
                <w:szCs w:val="32"/>
                <w:highlight w:val="none"/>
              </w:rPr>
            </w:pPr>
          </w:p>
        </w:tc>
        <w:tc>
          <w:tcPr>
            <w:tcW w:w="1102" w:type="dxa"/>
          </w:tcPr>
          <w:p w14:paraId="167149FF">
            <w:pPr>
              <w:jc w:val="center"/>
              <w:rPr>
                <w:rFonts w:ascii="宋体" w:hAnsi="宋体" w:cs="宋体"/>
                <w:b/>
                <w:color w:val="auto"/>
                <w:kern w:val="0"/>
                <w:sz w:val="32"/>
                <w:szCs w:val="32"/>
                <w:highlight w:val="none"/>
              </w:rPr>
            </w:pPr>
          </w:p>
        </w:tc>
      </w:tr>
      <w:tr w14:paraId="16B1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A5BFD28">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0A4801BD">
            <w:pPr>
              <w:jc w:val="center"/>
              <w:rPr>
                <w:rFonts w:ascii="宋体" w:hAnsi="宋体" w:cs="宋体"/>
                <w:b/>
                <w:color w:val="auto"/>
                <w:kern w:val="0"/>
                <w:sz w:val="32"/>
                <w:szCs w:val="32"/>
                <w:highlight w:val="none"/>
              </w:rPr>
            </w:pPr>
          </w:p>
        </w:tc>
        <w:tc>
          <w:tcPr>
            <w:tcW w:w="3062" w:type="dxa"/>
          </w:tcPr>
          <w:p w14:paraId="25AE5A44">
            <w:pPr>
              <w:jc w:val="center"/>
              <w:rPr>
                <w:rFonts w:ascii="宋体" w:hAnsi="宋体" w:cs="宋体"/>
                <w:b/>
                <w:color w:val="auto"/>
                <w:kern w:val="0"/>
                <w:sz w:val="32"/>
                <w:szCs w:val="32"/>
                <w:highlight w:val="none"/>
              </w:rPr>
            </w:pPr>
          </w:p>
        </w:tc>
        <w:tc>
          <w:tcPr>
            <w:tcW w:w="1102" w:type="dxa"/>
          </w:tcPr>
          <w:p w14:paraId="62B49A7F">
            <w:pPr>
              <w:jc w:val="center"/>
              <w:rPr>
                <w:rFonts w:ascii="宋体" w:hAnsi="宋体" w:cs="宋体"/>
                <w:b/>
                <w:color w:val="auto"/>
                <w:kern w:val="0"/>
                <w:sz w:val="32"/>
                <w:szCs w:val="32"/>
                <w:highlight w:val="none"/>
              </w:rPr>
            </w:pPr>
          </w:p>
        </w:tc>
      </w:tr>
    </w:tbl>
    <w:p w14:paraId="64B7359B">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60B2AAAA">
      <w:pPr>
        <w:jc w:val="center"/>
        <w:rPr>
          <w:rFonts w:ascii="宋体" w:hAnsi="宋体" w:cs="宋体"/>
          <w:b/>
          <w:color w:val="auto"/>
          <w:kern w:val="0"/>
          <w:sz w:val="32"/>
          <w:szCs w:val="32"/>
          <w:highlight w:val="none"/>
        </w:rPr>
      </w:pPr>
    </w:p>
    <w:p w14:paraId="710C0A52">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2728D80C">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1F7CA531">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49BE1496">
      <w:pPr>
        <w:ind w:firstLine="1911" w:firstLineChars="595"/>
        <w:rPr>
          <w:rFonts w:ascii="宋体" w:hAnsi="宋体" w:cs="宋体"/>
          <w:b/>
          <w:bCs/>
          <w:color w:val="auto"/>
          <w:sz w:val="32"/>
          <w:szCs w:val="32"/>
          <w:highlight w:val="none"/>
        </w:rPr>
      </w:pPr>
    </w:p>
    <w:p w14:paraId="7042B3A7">
      <w:pPr>
        <w:ind w:firstLine="1911" w:firstLineChars="595"/>
        <w:rPr>
          <w:rFonts w:ascii="宋体" w:hAnsi="宋体" w:cs="宋体"/>
          <w:b/>
          <w:bCs/>
          <w:color w:val="auto"/>
          <w:sz w:val="32"/>
          <w:szCs w:val="32"/>
          <w:highlight w:val="none"/>
        </w:rPr>
      </w:pPr>
    </w:p>
    <w:p w14:paraId="21094B72">
      <w:pPr>
        <w:ind w:firstLine="1911" w:firstLineChars="595"/>
        <w:rPr>
          <w:rFonts w:ascii="宋体" w:hAnsi="宋体" w:cs="宋体"/>
          <w:b/>
          <w:bCs/>
          <w:color w:val="auto"/>
          <w:sz w:val="32"/>
          <w:szCs w:val="32"/>
          <w:highlight w:val="none"/>
        </w:rPr>
      </w:pPr>
    </w:p>
    <w:p w14:paraId="1B6858A7">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7EE6DE81">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2619FD1C">
      <w:pPr>
        <w:snapToGrid w:val="0"/>
        <w:spacing w:line="360" w:lineRule="auto"/>
        <w:rPr>
          <w:rFonts w:ascii="宋体" w:hAnsi="宋体" w:cs="宋体"/>
          <w:color w:val="auto"/>
          <w:sz w:val="24"/>
          <w:highlight w:val="none"/>
        </w:rPr>
      </w:pPr>
    </w:p>
    <w:p w14:paraId="796BC50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B67728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61F21A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5658F70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FBA212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427F3A0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2F0D915">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BB49404">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C9BAC21">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7B62DA4E">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4C4D8B2">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0B965F7E">
      <w:pPr>
        <w:autoSpaceDE w:val="0"/>
        <w:autoSpaceDN w:val="0"/>
        <w:spacing w:line="360" w:lineRule="auto"/>
        <w:ind w:left="2"/>
        <w:jc w:val="left"/>
        <w:rPr>
          <w:rFonts w:ascii="宋体" w:hAnsi="宋体" w:cs="宋体"/>
          <w:color w:val="auto"/>
          <w:kern w:val="0"/>
          <w:sz w:val="24"/>
          <w:highlight w:val="none"/>
          <w:lang w:val="zh-CN"/>
        </w:rPr>
      </w:pPr>
    </w:p>
    <w:p w14:paraId="39195F20">
      <w:pPr>
        <w:autoSpaceDE w:val="0"/>
        <w:autoSpaceDN w:val="0"/>
        <w:spacing w:line="360" w:lineRule="auto"/>
        <w:ind w:left="2"/>
        <w:jc w:val="left"/>
        <w:rPr>
          <w:rFonts w:ascii="宋体" w:hAnsi="宋体" w:cs="宋体"/>
          <w:color w:val="auto"/>
          <w:kern w:val="0"/>
          <w:sz w:val="24"/>
          <w:highlight w:val="none"/>
          <w:lang w:val="zh-CN"/>
        </w:rPr>
      </w:pPr>
    </w:p>
    <w:p w14:paraId="70CBF0ED">
      <w:pPr>
        <w:autoSpaceDE w:val="0"/>
        <w:autoSpaceDN w:val="0"/>
        <w:spacing w:line="360" w:lineRule="auto"/>
        <w:ind w:left="2"/>
        <w:jc w:val="left"/>
        <w:rPr>
          <w:rFonts w:ascii="宋体" w:hAnsi="宋体" w:cs="宋体"/>
          <w:color w:val="auto"/>
          <w:kern w:val="0"/>
          <w:sz w:val="24"/>
          <w:highlight w:val="none"/>
          <w:lang w:val="zh-CN"/>
        </w:rPr>
      </w:pPr>
    </w:p>
    <w:p w14:paraId="1C567931">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20166966">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5F93B45">
      <w:pPr>
        <w:spacing w:line="360" w:lineRule="auto"/>
        <w:jc w:val="center"/>
        <w:rPr>
          <w:rFonts w:ascii="宋体" w:hAnsi="宋体" w:cs="宋体"/>
          <w:b/>
          <w:bCs/>
          <w:color w:val="auto"/>
          <w:sz w:val="24"/>
          <w:highlight w:val="none"/>
        </w:rPr>
      </w:pPr>
    </w:p>
    <w:p w14:paraId="05C77EC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C0B7333">
      <w:pPr>
        <w:spacing w:line="360" w:lineRule="auto"/>
        <w:jc w:val="center"/>
        <w:rPr>
          <w:rFonts w:ascii="宋体" w:hAnsi="宋体" w:cs="宋体"/>
          <w:b/>
          <w:bCs/>
          <w:color w:val="auto"/>
          <w:sz w:val="24"/>
          <w:highlight w:val="none"/>
        </w:rPr>
      </w:pPr>
    </w:p>
    <w:p w14:paraId="543F22A1">
      <w:pPr>
        <w:spacing w:line="360" w:lineRule="auto"/>
        <w:jc w:val="center"/>
        <w:rPr>
          <w:rFonts w:ascii="宋体" w:hAnsi="宋体" w:cs="宋体"/>
          <w:b/>
          <w:bCs/>
          <w:color w:val="auto"/>
          <w:sz w:val="24"/>
          <w:highlight w:val="none"/>
        </w:rPr>
      </w:pPr>
    </w:p>
    <w:p w14:paraId="725C0536">
      <w:pPr>
        <w:spacing w:line="360" w:lineRule="auto"/>
        <w:jc w:val="center"/>
        <w:rPr>
          <w:rFonts w:ascii="宋体" w:hAnsi="宋体" w:cs="宋体"/>
          <w:b/>
          <w:bCs/>
          <w:color w:val="auto"/>
          <w:sz w:val="24"/>
          <w:highlight w:val="none"/>
        </w:rPr>
      </w:pPr>
    </w:p>
    <w:p w14:paraId="21999D2C">
      <w:pPr>
        <w:spacing w:line="360" w:lineRule="auto"/>
        <w:jc w:val="center"/>
        <w:rPr>
          <w:rFonts w:ascii="宋体" w:hAnsi="宋体" w:cs="宋体"/>
          <w:b/>
          <w:bCs/>
          <w:color w:val="auto"/>
          <w:sz w:val="24"/>
          <w:highlight w:val="none"/>
        </w:rPr>
      </w:pPr>
    </w:p>
    <w:p w14:paraId="5419B22E">
      <w:pPr>
        <w:ind w:firstLine="1911" w:firstLineChars="595"/>
        <w:rPr>
          <w:rFonts w:ascii="宋体" w:hAnsi="宋体" w:cs="宋体"/>
          <w:b/>
          <w:kern w:val="0"/>
          <w:sz w:val="32"/>
          <w:szCs w:val="32"/>
          <w:lang w:val="zh-CN"/>
        </w:rPr>
      </w:pPr>
      <w:r>
        <w:rPr>
          <w:rFonts w:hint="eastAsia" w:ascii="宋体" w:hAnsi="宋体" w:cs="宋体"/>
          <w:b/>
          <w:kern w:val="0"/>
          <w:sz w:val="32"/>
          <w:szCs w:val="32"/>
        </w:rPr>
        <w:t>九、</w:t>
      </w:r>
      <w:r>
        <w:rPr>
          <w:rFonts w:hint="eastAsia" w:ascii="宋体" w:hAnsi="宋体" w:cs="宋体"/>
          <w:b/>
          <w:kern w:val="0"/>
          <w:sz w:val="32"/>
          <w:szCs w:val="32"/>
          <w:lang w:val="zh-CN"/>
        </w:rPr>
        <w:t>关于代理服务费的承诺书</w:t>
      </w:r>
    </w:p>
    <w:p w14:paraId="1DFCB545">
      <w:pPr>
        <w:spacing w:line="440" w:lineRule="exact"/>
      </w:pPr>
    </w:p>
    <w:p w14:paraId="02B019E9">
      <w:pPr>
        <w:spacing w:line="440" w:lineRule="exact"/>
        <w:rPr>
          <w:sz w:val="24"/>
          <w:lang w:val="zh-CN"/>
        </w:rPr>
      </w:pPr>
      <w:r>
        <w:rPr>
          <w:rFonts w:hint="eastAsia"/>
          <w:sz w:val="24"/>
          <w:lang w:eastAsia="zh-CN"/>
        </w:rPr>
        <w:t>桐庐鸿泰工程咨询有限公司</w:t>
      </w:r>
      <w:r>
        <w:rPr>
          <w:rFonts w:hint="eastAsia"/>
          <w:sz w:val="24"/>
        </w:rPr>
        <w:t>：</w:t>
      </w:r>
      <w:r>
        <w:rPr>
          <w:rFonts w:hint="eastAsia"/>
          <w:sz w:val="24"/>
          <w:lang w:val="zh-CN"/>
        </w:rPr>
        <w:t xml:space="preserve">    </w:t>
      </w:r>
    </w:p>
    <w:p w14:paraId="1175F951">
      <w:pPr>
        <w:snapToGrid w:val="0"/>
        <w:spacing w:line="440" w:lineRule="exact"/>
        <w:ind w:firstLine="720" w:firstLineChars="300"/>
        <w:rPr>
          <w:sz w:val="24"/>
          <w:lang w:val="zh-CN"/>
        </w:rPr>
      </w:pPr>
      <w:r>
        <w:rPr>
          <w:rFonts w:hint="eastAsia"/>
          <w:sz w:val="24"/>
          <w:lang w:val="zh-CN"/>
        </w:rPr>
        <w:t>我单位响应你</w:t>
      </w:r>
      <w:r>
        <w:rPr>
          <w:rFonts w:hint="eastAsia"/>
          <w:sz w:val="24"/>
        </w:rPr>
        <w:t>单位</w:t>
      </w:r>
      <w:r>
        <w:rPr>
          <w:rFonts w:hint="eastAsia"/>
          <w:sz w:val="24"/>
          <w:u w:val="single"/>
        </w:rPr>
        <w:t xml:space="preserve">                       </w:t>
      </w:r>
      <w:r>
        <w:rPr>
          <w:rFonts w:hint="eastAsia"/>
          <w:sz w:val="24"/>
          <w:lang w:val="zh-CN"/>
        </w:rPr>
        <w:t>项目</w:t>
      </w:r>
      <w:r>
        <w:rPr>
          <w:rFonts w:hint="eastAsia"/>
          <w:sz w:val="24"/>
        </w:rPr>
        <w:t>（项目编号：</w:t>
      </w:r>
      <w:r>
        <w:rPr>
          <w:rFonts w:hint="eastAsia"/>
          <w:sz w:val="24"/>
          <w:u w:val="single"/>
        </w:rPr>
        <w:t xml:space="preserve">        </w:t>
      </w:r>
      <w:r>
        <w:rPr>
          <w:rFonts w:hint="eastAsia"/>
          <w:sz w:val="24"/>
        </w:rPr>
        <w:t>，</w:t>
      </w:r>
      <w:r>
        <w:rPr>
          <w:rFonts w:hint="eastAsia" w:ascii="仿宋" w:hAnsi="仿宋"/>
          <w:sz w:val="24"/>
        </w:rPr>
        <w:t>标项号</w:t>
      </w:r>
      <w:r>
        <w:rPr>
          <w:rFonts w:hint="eastAsia"/>
          <w:sz w:val="24"/>
        </w:rPr>
        <w:t>：</w:t>
      </w:r>
      <w:r>
        <w:rPr>
          <w:rFonts w:hint="eastAsia"/>
          <w:sz w:val="24"/>
          <w:u w:val="single"/>
        </w:rPr>
        <w:t xml:space="preserve">      </w:t>
      </w:r>
      <w:r>
        <w:rPr>
          <w:rFonts w:hint="eastAsia"/>
          <w:color w:val="000000"/>
          <w:sz w:val="24"/>
        </w:rPr>
        <w:t xml:space="preserve"> </w:t>
      </w:r>
      <w:r>
        <w:rPr>
          <w:rFonts w:hint="eastAsia"/>
          <w:sz w:val="24"/>
        </w:rPr>
        <w:t>）</w:t>
      </w:r>
      <w:r>
        <w:rPr>
          <w:rFonts w:hint="eastAsia"/>
          <w:sz w:val="24"/>
          <w:lang w:val="zh-CN"/>
        </w:rPr>
        <w:t>招标要求参加投标。在这次投标过程中和中标后，我们将严格遵守国家法律法规要求，并郑重承诺：</w:t>
      </w:r>
    </w:p>
    <w:p w14:paraId="4701C31D">
      <w:pPr>
        <w:snapToGrid w:val="0"/>
        <w:spacing w:line="440" w:lineRule="exact"/>
        <w:ind w:firstLine="720" w:firstLineChars="300"/>
        <w:rPr>
          <w:sz w:val="24"/>
        </w:rPr>
      </w:pPr>
      <w:r>
        <w:rPr>
          <w:rFonts w:hint="eastAsia"/>
          <w:sz w:val="24"/>
        </w:rPr>
        <w:t>根据采购文件的约定在领取中标通知书时缴纳代理服务费。</w:t>
      </w:r>
    </w:p>
    <w:p w14:paraId="476E0AF7">
      <w:pPr>
        <w:snapToGrid w:val="0"/>
        <w:spacing w:line="440" w:lineRule="exact"/>
        <w:ind w:firstLine="720" w:firstLineChars="300"/>
        <w:rPr>
          <w:sz w:val="24"/>
          <w:lang w:val="zh-CN"/>
        </w:rPr>
      </w:pPr>
    </w:p>
    <w:p w14:paraId="15F1C1F0">
      <w:pPr>
        <w:pStyle w:val="811"/>
        <w:snapToGrid w:val="0"/>
        <w:spacing w:line="440" w:lineRule="exact"/>
        <w:rPr>
          <w:rFonts w:ascii="仿宋" w:hAnsi="仿宋"/>
          <w:szCs w:val="24"/>
        </w:rPr>
      </w:pPr>
      <w:r>
        <w:rPr>
          <w:rFonts w:hint="eastAsia" w:ascii="仿宋" w:hAnsi="仿宋"/>
          <w:szCs w:val="24"/>
        </w:rPr>
        <w:t>投标人全称（</w:t>
      </w:r>
      <w:r>
        <w:rPr>
          <w:rFonts w:hint="eastAsia" w:ascii="仿宋" w:hAnsi="仿宋"/>
          <w:kern w:val="0"/>
          <w:szCs w:val="24"/>
          <w:lang w:val="zh-CN"/>
        </w:rPr>
        <w:t>电子签章</w:t>
      </w:r>
      <w:r>
        <w:rPr>
          <w:rFonts w:hint="eastAsia" w:ascii="仿宋" w:hAnsi="仿宋"/>
          <w:szCs w:val="24"/>
        </w:rPr>
        <w:t>）：</w:t>
      </w:r>
      <w:r>
        <w:rPr>
          <w:rFonts w:hint="eastAsia" w:ascii="仿宋" w:hAnsi="仿宋"/>
          <w:szCs w:val="24"/>
          <w:u w:val="single"/>
        </w:rPr>
        <w:t xml:space="preserve">                      </w:t>
      </w:r>
    </w:p>
    <w:p w14:paraId="10FD1564">
      <w:pPr>
        <w:snapToGrid w:val="0"/>
        <w:spacing w:line="440" w:lineRule="exact"/>
        <w:ind w:right="600"/>
        <w:rPr>
          <w:sz w:val="24"/>
        </w:rPr>
      </w:pPr>
    </w:p>
    <w:p w14:paraId="59AB3324">
      <w:pPr>
        <w:snapToGrid w:val="0"/>
        <w:spacing w:line="440" w:lineRule="exact"/>
        <w:rPr>
          <w:b/>
          <w:sz w:val="24"/>
        </w:rPr>
      </w:pPr>
      <w:r>
        <w:rPr>
          <w:rFonts w:hint="eastAsia"/>
          <w:sz w:val="24"/>
        </w:rPr>
        <w:t>日期：</w:t>
      </w:r>
      <w:r>
        <w:rPr>
          <w:rFonts w:hint="eastAsia"/>
          <w:sz w:val="24"/>
          <w:u w:val="single"/>
        </w:rPr>
        <w:t xml:space="preserve">       年     月     日</w:t>
      </w:r>
    </w:p>
    <w:p w14:paraId="67C2A63F">
      <w:pPr>
        <w:snapToGrid w:val="0"/>
        <w:spacing w:line="440" w:lineRule="exact"/>
        <w:rPr>
          <w:b/>
        </w:rPr>
      </w:pPr>
    </w:p>
    <w:p w14:paraId="755FBB68">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53D24CB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160063E8">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2FAB4E6">
      <w:pPr>
        <w:spacing w:line="360" w:lineRule="auto"/>
        <w:jc w:val="center"/>
        <w:outlineLvl w:val="0"/>
        <w:rPr>
          <w:rFonts w:ascii="宋体" w:hAnsi="宋体" w:cs="宋体"/>
          <w:b/>
          <w:color w:val="auto"/>
          <w:kern w:val="0"/>
          <w:sz w:val="36"/>
          <w:szCs w:val="36"/>
          <w:highlight w:val="none"/>
        </w:rPr>
      </w:pPr>
    </w:p>
    <w:p w14:paraId="48200F11">
      <w:pPr>
        <w:numPr>
          <w:ilvl w:val="0"/>
          <w:numId w:val="4"/>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7AB07CC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）中小企业声明函………………………………………………………………（页码）</w:t>
      </w:r>
    </w:p>
    <w:p w14:paraId="4374C50A">
      <w:pPr>
        <w:pStyle w:val="80"/>
        <w:rPr>
          <w:rFonts w:hint="eastAsia"/>
          <w:color w:val="auto"/>
          <w:highlight w:val="none"/>
        </w:rPr>
      </w:pPr>
    </w:p>
    <w:p w14:paraId="4DA9F2CD">
      <w:pPr>
        <w:pStyle w:val="80"/>
        <w:rPr>
          <w:color w:val="auto"/>
          <w:highlight w:val="none"/>
        </w:rPr>
      </w:pPr>
    </w:p>
    <w:p w14:paraId="0FBB4570">
      <w:pPr>
        <w:snapToGrid w:val="0"/>
        <w:spacing w:line="360" w:lineRule="auto"/>
        <w:ind w:right="480"/>
        <w:jc w:val="center"/>
        <w:rPr>
          <w:rFonts w:ascii="宋体" w:hAnsi="宋体" w:cs="宋体"/>
          <w:b/>
          <w:color w:val="auto"/>
          <w:kern w:val="0"/>
          <w:sz w:val="32"/>
          <w:szCs w:val="32"/>
          <w:highlight w:val="none"/>
        </w:rPr>
      </w:pPr>
    </w:p>
    <w:p w14:paraId="5AFFDCF3">
      <w:pPr>
        <w:snapToGrid w:val="0"/>
        <w:spacing w:line="360" w:lineRule="auto"/>
        <w:ind w:right="480"/>
        <w:jc w:val="center"/>
        <w:rPr>
          <w:rFonts w:ascii="宋体" w:hAnsi="宋体" w:cs="宋体"/>
          <w:b/>
          <w:color w:val="auto"/>
          <w:kern w:val="0"/>
          <w:sz w:val="32"/>
          <w:szCs w:val="32"/>
          <w:highlight w:val="none"/>
        </w:rPr>
      </w:pPr>
    </w:p>
    <w:p w14:paraId="10A7AAE1">
      <w:pPr>
        <w:snapToGrid w:val="0"/>
        <w:spacing w:line="360" w:lineRule="auto"/>
        <w:ind w:right="480"/>
        <w:jc w:val="center"/>
        <w:rPr>
          <w:rFonts w:ascii="宋体" w:hAnsi="宋体" w:cs="宋体"/>
          <w:b/>
          <w:color w:val="auto"/>
          <w:kern w:val="0"/>
          <w:sz w:val="32"/>
          <w:szCs w:val="32"/>
          <w:highlight w:val="none"/>
        </w:rPr>
      </w:pPr>
    </w:p>
    <w:p w14:paraId="3FB0E389">
      <w:pPr>
        <w:snapToGrid w:val="0"/>
        <w:spacing w:line="360" w:lineRule="auto"/>
        <w:ind w:right="480"/>
        <w:jc w:val="center"/>
        <w:rPr>
          <w:rFonts w:ascii="宋体" w:hAnsi="宋体" w:cs="宋体"/>
          <w:b/>
          <w:color w:val="auto"/>
          <w:kern w:val="0"/>
          <w:sz w:val="32"/>
          <w:szCs w:val="32"/>
          <w:highlight w:val="none"/>
        </w:rPr>
      </w:pPr>
    </w:p>
    <w:p w14:paraId="115027FA">
      <w:pPr>
        <w:snapToGrid w:val="0"/>
        <w:spacing w:line="360" w:lineRule="auto"/>
        <w:ind w:right="480"/>
        <w:jc w:val="center"/>
        <w:rPr>
          <w:rFonts w:ascii="宋体" w:hAnsi="宋体" w:cs="宋体"/>
          <w:b/>
          <w:color w:val="auto"/>
          <w:kern w:val="0"/>
          <w:sz w:val="32"/>
          <w:szCs w:val="32"/>
          <w:highlight w:val="none"/>
        </w:rPr>
      </w:pPr>
    </w:p>
    <w:p w14:paraId="337961BC">
      <w:pPr>
        <w:snapToGrid w:val="0"/>
        <w:spacing w:line="360" w:lineRule="auto"/>
        <w:ind w:right="480"/>
        <w:jc w:val="center"/>
        <w:rPr>
          <w:rFonts w:ascii="宋体" w:hAnsi="宋体" w:cs="宋体"/>
          <w:b/>
          <w:color w:val="auto"/>
          <w:kern w:val="0"/>
          <w:sz w:val="32"/>
          <w:szCs w:val="32"/>
          <w:highlight w:val="none"/>
        </w:rPr>
      </w:pPr>
    </w:p>
    <w:p w14:paraId="7141EA06">
      <w:pPr>
        <w:snapToGrid w:val="0"/>
        <w:spacing w:line="360" w:lineRule="auto"/>
        <w:ind w:right="480"/>
        <w:jc w:val="center"/>
        <w:rPr>
          <w:rFonts w:ascii="宋体" w:hAnsi="宋体" w:cs="宋体"/>
          <w:b/>
          <w:color w:val="auto"/>
          <w:kern w:val="0"/>
          <w:sz w:val="32"/>
          <w:szCs w:val="32"/>
          <w:highlight w:val="none"/>
        </w:rPr>
      </w:pPr>
    </w:p>
    <w:p w14:paraId="66E8FD50">
      <w:pPr>
        <w:snapToGrid w:val="0"/>
        <w:spacing w:line="360" w:lineRule="auto"/>
        <w:ind w:right="480"/>
        <w:jc w:val="center"/>
        <w:rPr>
          <w:rFonts w:ascii="宋体" w:hAnsi="宋体" w:cs="宋体"/>
          <w:b/>
          <w:color w:val="auto"/>
          <w:kern w:val="0"/>
          <w:sz w:val="32"/>
          <w:szCs w:val="32"/>
          <w:highlight w:val="none"/>
        </w:rPr>
      </w:pPr>
    </w:p>
    <w:p w14:paraId="50F160CE">
      <w:pPr>
        <w:snapToGrid w:val="0"/>
        <w:spacing w:line="360" w:lineRule="auto"/>
        <w:ind w:right="480"/>
        <w:jc w:val="center"/>
        <w:rPr>
          <w:rFonts w:ascii="宋体" w:hAnsi="宋体" w:cs="宋体"/>
          <w:b/>
          <w:color w:val="auto"/>
          <w:kern w:val="0"/>
          <w:sz w:val="32"/>
          <w:szCs w:val="32"/>
          <w:highlight w:val="none"/>
        </w:rPr>
      </w:pPr>
    </w:p>
    <w:p w14:paraId="4A58B3F0">
      <w:pPr>
        <w:snapToGrid w:val="0"/>
        <w:spacing w:line="360" w:lineRule="auto"/>
        <w:ind w:right="480"/>
        <w:jc w:val="center"/>
        <w:rPr>
          <w:rFonts w:ascii="宋体" w:hAnsi="宋体" w:cs="宋体"/>
          <w:b/>
          <w:color w:val="auto"/>
          <w:kern w:val="0"/>
          <w:sz w:val="32"/>
          <w:szCs w:val="32"/>
          <w:highlight w:val="none"/>
        </w:rPr>
      </w:pPr>
    </w:p>
    <w:p w14:paraId="4E57D7EE">
      <w:pPr>
        <w:snapToGrid w:val="0"/>
        <w:spacing w:line="360" w:lineRule="auto"/>
        <w:ind w:right="480"/>
        <w:jc w:val="center"/>
        <w:rPr>
          <w:rFonts w:ascii="宋体" w:hAnsi="宋体" w:cs="宋体"/>
          <w:b/>
          <w:color w:val="auto"/>
          <w:kern w:val="0"/>
          <w:sz w:val="32"/>
          <w:szCs w:val="32"/>
          <w:highlight w:val="none"/>
        </w:rPr>
      </w:pPr>
    </w:p>
    <w:p w14:paraId="5FBC9E6B">
      <w:pPr>
        <w:snapToGrid w:val="0"/>
        <w:spacing w:line="360" w:lineRule="auto"/>
        <w:ind w:right="480"/>
        <w:jc w:val="center"/>
        <w:rPr>
          <w:rFonts w:ascii="宋体" w:hAnsi="宋体" w:cs="宋体"/>
          <w:b/>
          <w:color w:val="auto"/>
          <w:kern w:val="0"/>
          <w:sz w:val="32"/>
          <w:szCs w:val="32"/>
          <w:highlight w:val="none"/>
        </w:rPr>
      </w:pPr>
    </w:p>
    <w:p w14:paraId="7F821D76">
      <w:pPr>
        <w:snapToGrid w:val="0"/>
        <w:spacing w:line="360" w:lineRule="auto"/>
        <w:ind w:right="480"/>
        <w:jc w:val="center"/>
        <w:rPr>
          <w:rFonts w:ascii="宋体" w:hAnsi="宋体" w:cs="宋体"/>
          <w:b/>
          <w:color w:val="auto"/>
          <w:kern w:val="0"/>
          <w:sz w:val="32"/>
          <w:szCs w:val="32"/>
          <w:highlight w:val="none"/>
        </w:rPr>
      </w:pPr>
    </w:p>
    <w:p w14:paraId="54E69E0A">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11B9D219">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B6C821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30172B6">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12B5C6DC">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1ED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6562015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1F4FA1B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72C1B10E">
            <w:pPr>
              <w:spacing w:line="360" w:lineRule="auto"/>
              <w:jc w:val="center"/>
              <w:rPr>
                <w:rFonts w:ascii="宋体" w:hAnsi="宋体" w:cs="宋体"/>
                <w:b/>
                <w:color w:val="auto"/>
                <w:sz w:val="24"/>
                <w:highlight w:val="none"/>
              </w:rPr>
            </w:pPr>
          </w:p>
          <w:p w14:paraId="38848F9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7653DDE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15B12DF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41336C8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6EDFF947">
            <w:pPr>
              <w:spacing w:line="360" w:lineRule="auto"/>
              <w:jc w:val="center"/>
              <w:rPr>
                <w:rFonts w:ascii="宋体" w:hAnsi="宋体" w:cs="宋体"/>
                <w:b/>
                <w:color w:val="auto"/>
                <w:sz w:val="24"/>
                <w:highlight w:val="none"/>
              </w:rPr>
            </w:pPr>
          </w:p>
          <w:p w14:paraId="5722E16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5309C7D3">
            <w:pPr>
              <w:spacing w:line="360" w:lineRule="auto"/>
              <w:jc w:val="center"/>
              <w:rPr>
                <w:rFonts w:ascii="宋体" w:hAnsi="宋体" w:cs="宋体"/>
                <w:b/>
                <w:color w:val="auto"/>
                <w:sz w:val="24"/>
                <w:highlight w:val="none"/>
              </w:rPr>
            </w:pPr>
          </w:p>
          <w:p w14:paraId="285DC68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3A3951D7">
            <w:pPr>
              <w:spacing w:line="360" w:lineRule="auto"/>
              <w:jc w:val="center"/>
              <w:rPr>
                <w:rFonts w:ascii="宋体" w:hAnsi="宋体" w:cs="宋体"/>
                <w:b/>
                <w:color w:val="auto"/>
                <w:sz w:val="24"/>
                <w:highlight w:val="none"/>
              </w:rPr>
            </w:pPr>
          </w:p>
        </w:tc>
      </w:tr>
      <w:tr w14:paraId="6384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238CE21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5929EBA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7E6B6B80">
            <w:pPr>
              <w:snapToGrid w:val="0"/>
              <w:spacing w:line="360" w:lineRule="auto"/>
              <w:jc w:val="center"/>
              <w:rPr>
                <w:rFonts w:ascii="宋体" w:hAnsi="宋体" w:cs="宋体"/>
                <w:color w:val="auto"/>
                <w:sz w:val="24"/>
                <w:highlight w:val="none"/>
              </w:rPr>
            </w:pPr>
          </w:p>
        </w:tc>
        <w:tc>
          <w:tcPr>
            <w:tcW w:w="2410" w:type="dxa"/>
            <w:vAlign w:val="center"/>
          </w:tcPr>
          <w:p w14:paraId="49011045">
            <w:pPr>
              <w:snapToGrid w:val="0"/>
              <w:spacing w:line="360" w:lineRule="auto"/>
              <w:jc w:val="center"/>
              <w:rPr>
                <w:rFonts w:ascii="宋体" w:hAnsi="宋体" w:cs="宋体"/>
                <w:color w:val="auto"/>
                <w:sz w:val="24"/>
                <w:highlight w:val="none"/>
              </w:rPr>
            </w:pPr>
          </w:p>
        </w:tc>
        <w:tc>
          <w:tcPr>
            <w:tcW w:w="2268" w:type="dxa"/>
            <w:vAlign w:val="center"/>
          </w:tcPr>
          <w:p w14:paraId="07DD5525">
            <w:pPr>
              <w:snapToGrid w:val="0"/>
              <w:spacing w:line="360" w:lineRule="auto"/>
              <w:jc w:val="center"/>
              <w:rPr>
                <w:rFonts w:ascii="宋体" w:hAnsi="宋体" w:cs="宋体"/>
                <w:color w:val="auto"/>
                <w:sz w:val="24"/>
                <w:highlight w:val="none"/>
              </w:rPr>
            </w:pPr>
          </w:p>
        </w:tc>
        <w:tc>
          <w:tcPr>
            <w:tcW w:w="2126" w:type="dxa"/>
            <w:vAlign w:val="center"/>
          </w:tcPr>
          <w:p w14:paraId="60BB9C9F">
            <w:pPr>
              <w:spacing w:line="360" w:lineRule="auto"/>
              <w:jc w:val="center"/>
              <w:rPr>
                <w:rFonts w:ascii="宋体" w:hAnsi="宋体" w:cs="宋体"/>
                <w:color w:val="auto"/>
                <w:sz w:val="24"/>
                <w:highlight w:val="none"/>
              </w:rPr>
            </w:pPr>
          </w:p>
        </w:tc>
        <w:tc>
          <w:tcPr>
            <w:tcW w:w="2127" w:type="dxa"/>
          </w:tcPr>
          <w:p w14:paraId="30C10E6C">
            <w:pPr>
              <w:spacing w:line="360" w:lineRule="auto"/>
              <w:jc w:val="center"/>
              <w:rPr>
                <w:rFonts w:ascii="宋体" w:hAnsi="宋体" w:cs="宋体"/>
                <w:color w:val="auto"/>
                <w:sz w:val="24"/>
                <w:highlight w:val="none"/>
              </w:rPr>
            </w:pPr>
          </w:p>
        </w:tc>
        <w:tc>
          <w:tcPr>
            <w:tcW w:w="2126" w:type="dxa"/>
            <w:vAlign w:val="center"/>
          </w:tcPr>
          <w:p w14:paraId="09E11B5D">
            <w:pPr>
              <w:spacing w:line="360" w:lineRule="auto"/>
              <w:jc w:val="center"/>
              <w:rPr>
                <w:rFonts w:ascii="宋体" w:hAnsi="宋体" w:cs="宋体"/>
                <w:color w:val="auto"/>
                <w:sz w:val="24"/>
                <w:highlight w:val="none"/>
              </w:rPr>
            </w:pPr>
          </w:p>
        </w:tc>
      </w:tr>
      <w:tr w14:paraId="373D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E644F2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15316B9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76DA92F8">
            <w:pPr>
              <w:snapToGrid w:val="0"/>
              <w:spacing w:line="360" w:lineRule="auto"/>
              <w:jc w:val="center"/>
              <w:rPr>
                <w:rFonts w:ascii="宋体" w:hAnsi="宋体" w:cs="宋体"/>
                <w:color w:val="auto"/>
                <w:sz w:val="24"/>
                <w:highlight w:val="none"/>
              </w:rPr>
            </w:pPr>
          </w:p>
        </w:tc>
        <w:tc>
          <w:tcPr>
            <w:tcW w:w="2410" w:type="dxa"/>
            <w:vAlign w:val="center"/>
          </w:tcPr>
          <w:p w14:paraId="7715326D">
            <w:pPr>
              <w:snapToGrid w:val="0"/>
              <w:spacing w:line="360" w:lineRule="auto"/>
              <w:jc w:val="center"/>
              <w:rPr>
                <w:rFonts w:ascii="宋体" w:hAnsi="宋体" w:cs="宋体"/>
                <w:color w:val="auto"/>
                <w:sz w:val="24"/>
                <w:highlight w:val="none"/>
              </w:rPr>
            </w:pPr>
          </w:p>
        </w:tc>
        <w:tc>
          <w:tcPr>
            <w:tcW w:w="2268" w:type="dxa"/>
            <w:vAlign w:val="center"/>
          </w:tcPr>
          <w:p w14:paraId="29502B17">
            <w:pPr>
              <w:snapToGrid w:val="0"/>
              <w:spacing w:line="360" w:lineRule="auto"/>
              <w:jc w:val="center"/>
              <w:rPr>
                <w:rFonts w:ascii="宋体" w:hAnsi="宋体" w:cs="宋体"/>
                <w:color w:val="auto"/>
                <w:sz w:val="24"/>
                <w:highlight w:val="none"/>
              </w:rPr>
            </w:pPr>
          </w:p>
        </w:tc>
        <w:tc>
          <w:tcPr>
            <w:tcW w:w="2126" w:type="dxa"/>
            <w:vAlign w:val="center"/>
          </w:tcPr>
          <w:p w14:paraId="645CF258">
            <w:pPr>
              <w:spacing w:line="360" w:lineRule="auto"/>
              <w:jc w:val="center"/>
              <w:rPr>
                <w:rFonts w:ascii="宋体" w:hAnsi="宋体" w:cs="宋体"/>
                <w:color w:val="auto"/>
                <w:sz w:val="24"/>
                <w:highlight w:val="none"/>
              </w:rPr>
            </w:pPr>
          </w:p>
        </w:tc>
        <w:tc>
          <w:tcPr>
            <w:tcW w:w="2127" w:type="dxa"/>
          </w:tcPr>
          <w:p w14:paraId="48B749E5">
            <w:pPr>
              <w:spacing w:line="360" w:lineRule="auto"/>
              <w:jc w:val="center"/>
              <w:rPr>
                <w:rFonts w:ascii="宋体" w:hAnsi="宋体" w:cs="宋体"/>
                <w:color w:val="auto"/>
                <w:sz w:val="24"/>
                <w:highlight w:val="none"/>
              </w:rPr>
            </w:pPr>
          </w:p>
        </w:tc>
        <w:tc>
          <w:tcPr>
            <w:tcW w:w="2126" w:type="dxa"/>
            <w:vAlign w:val="center"/>
          </w:tcPr>
          <w:p w14:paraId="305D7009">
            <w:pPr>
              <w:spacing w:line="360" w:lineRule="auto"/>
              <w:jc w:val="center"/>
              <w:rPr>
                <w:rFonts w:ascii="宋体" w:hAnsi="宋体" w:cs="宋体"/>
                <w:color w:val="auto"/>
                <w:sz w:val="24"/>
                <w:highlight w:val="none"/>
              </w:rPr>
            </w:pPr>
          </w:p>
        </w:tc>
      </w:tr>
      <w:tr w14:paraId="3126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3B957C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5DE29410">
            <w:pPr>
              <w:snapToGrid w:val="0"/>
              <w:spacing w:line="360" w:lineRule="auto"/>
              <w:jc w:val="center"/>
              <w:rPr>
                <w:rFonts w:ascii="宋体" w:hAnsi="宋体" w:cs="宋体"/>
                <w:color w:val="auto"/>
                <w:sz w:val="24"/>
                <w:highlight w:val="none"/>
              </w:rPr>
            </w:pPr>
          </w:p>
        </w:tc>
        <w:tc>
          <w:tcPr>
            <w:tcW w:w="2268" w:type="dxa"/>
            <w:vAlign w:val="center"/>
          </w:tcPr>
          <w:p w14:paraId="4A4855F7">
            <w:pPr>
              <w:snapToGrid w:val="0"/>
              <w:spacing w:line="360" w:lineRule="auto"/>
              <w:jc w:val="center"/>
              <w:rPr>
                <w:rFonts w:ascii="宋体" w:hAnsi="宋体" w:cs="宋体"/>
                <w:color w:val="auto"/>
                <w:sz w:val="24"/>
                <w:highlight w:val="none"/>
              </w:rPr>
            </w:pPr>
          </w:p>
        </w:tc>
        <w:tc>
          <w:tcPr>
            <w:tcW w:w="2410" w:type="dxa"/>
            <w:vAlign w:val="center"/>
          </w:tcPr>
          <w:p w14:paraId="5F6A4004">
            <w:pPr>
              <w:snapToGrid w:val="0"/>
              <w:spacing w:line="360" w:lineRule="auto"/>
              <w:jc w:val="center"/>
              <w:rPr>
                <w:rFonts w:ascii="宋体" w:hAnsi="宋体" w:cs="宋体"/>
                <w:color w:val="auto"/>
                <w:sz w:val="24"/>
                <w:highlight w:val="none"/>
              </w:rPr>
            </w:pPr>
          </w:p>
        </w:tc>
        <w:tc>
          <w:tcPr>
            <w:tcW w:w="2268" w:type="dxa"/>
            <w:vAlign w:val="center"/>
          </w:tcPr>
          <w:p w14:paraId="091382D4">
            <w:pPr>
              <w:snapToGrid w:val="0"/>
              <w:spacing w:line="360" w:lineRule="auto"/>
              <w:jc w:val="center"/>
              <w:rPr>
                <w:rFonts w:ascii="宋体" w:hAnsi="宋体" w:cs="宋体"/>
                <w:color w:val="auto"/>
                <w:sz w:val="24"/>
                <w:highlight w:val="none"/>
              </w:rPr>
            </w:pPr>
          </w:p>
        </w:tc>
        <w:tc>
          <w:tcPr>
            <w:tcW w:w="2126" w:type="dxa"/>
            <w:vAlign w:val="center"/>
          </w:tcPr>
          <w:p w14:paraId="468CB7AF">
            <w:pPr>
              <w:spacing w:line="360" w:lineRule="auto"/>
              <w:jc w:val="center"/>
              <w:rPr>
                <w:rFonts w:ascii="宋体" w:hAnsi="宋体" w:cs="宋体"/>
                <w:color w:val="auto"/>
                <w:sz w:val="24"/>
                <w:highlight w:val="none"/>
              </w:rPr>
            </w:pPr>
          </w:p>
        </w:tc>
        <w:tc>
          <w:tcPr>
            <w:tcW w:w="2127" w:type="dxa"/>
          </w:tcPr>
          <w:p w14:paraId="6FD9540F">
            <w:pPr>
              <w:spacing w:line="360" w:lineRule="auto"/>
              <w:jc w:val="center"/>
              <w:rPr>
                <w:rFonts w:ascii="宋体" w:hAnsi="宋体" w:cs="宋体"/>
                <w:color w:val="auto"/>
                <w:sz w:val="24"/>
                <w:highlight w:val="none"/>
              </w:rPr>
            </w:pPr>
          </w:p>
        </w:tc>
        <w:tc>
          <w:tcPr>
            <w:tcW w:w="2126" w:type="dxa"/>
            <w:vAlign w:val="center"/>
          </w:tcPr>
          <w:p w14:paraId="04869F17">
            <w:pPr>
              <w:spacing w:line="360" w:lineRule="auto"/>
              <w:jc w:val="center"/>
              <w:rPr>
                <w:rFonts w:ascii="宋体" w:hAnsi="宋体" w:cs="宋体"/>
                <w:color w:val="auto"/>
                <w:sz w:val="24"/>
                <w:highlight w:val="none"/>
              </w:rPr>
            </w:pPr>
          </w:p>
        </w:tc>
      </w:tr>
      <w:tr w14:paraId="7F2B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2799C29">
            <w:pPr>
              <w:spacing w:line="360" w:lineRule="auto"/>
              <w:jc w:val="center"/>
              <w:rPr>
                <w:rFonts w:ascii="宋体" w:hAnsi="宋体" w:cs="宋体"/>
                <w:color w:val="auto"/>
                <w:sz w:val="24"/>
                <w:highlight w:val="none"/>
              </w:rPr>
            </w:pPr>
          </w:p>
        </w:tc>
        <w:tc>
          <w:tcPr>
            <w:tcW w:w="992" w:type="dxa"/>
            <w:vAlign w:val="center"/>
          </w:tcPr>
          <w:p w14:paraId="2D6CCF36">
            <w:pPr>
              <w:snapToGrid w:val="0"/>
              <w:spacing w:line="360" w:lineRule="auto"/>
              <w:jc w:val="center"/>
              <w:rPr>
                <w:rFonts w:ascii="宋体" w:hAnsi="宋体" w:cs="宋体"/>
                <w:color w:val="auto"/>
                <w:sz w:val="24"/>
                <w:highlight w:val="none"/>
              </w:rPr>
            </w:pPr>
          </w:p>
        </w:tc>
        <w:tc>
          <w:tcPr>
            <w:tcW w:w="2268" w:type="dxa"/>
            <w:vAlign w:val="center"/>
          </w:tcPr>
          <w:p w14:paraId="22BB5A5A">
            <w:pPr>
              <w:snapToGrid w:val="0"/>
              <w:spacing w:line="360" w:lineRule="auto"/>
              <w:jc w:val="center"/>
              <w:rPr>
                <w:rFonts w:ascii="宋体" w:hAnsi="宋体" w:cs="宋体"/>
                <w:color w:val="auto"/>
                <w:sz w:val="24"/>
                <w:highlight w:val="none"/>
              </w:rPr>
            </w:pPr>
          </w:p>
        </w:tc>
        <w:tc>
          <w:tcPr>
            <w:tcW w:w="2410" w:type="dxa"/>
            <w:vAlign w:val="center"/>
          </w:tcPr>
          <w:p w14:paraId="1C20810C">
            <w:pPr>
              <w:snapToGrid w:val="0"/>
              <w:spacing w:line="360" w:lineRule="auto"/>
              <w:jc w:val="center"/>
              <w:rPr>
                <w:rFonts w:ascii="宋体" w:hAnsi="宋体" w:cs="宋体"/>
                <w:color w:val="auto"/>
                <w:sz w:val="24"/>
                <w:highlight w:val="none"/>
              </w:rPr>
            </w:pPr>
          </w:p>
        </w:tc>
        <w:tc>
          <w:tcPr>
            <w:tcW w:w="2268" w:type="dxa"/>
            <w:vAlign w:val="center"/>
          </w:tcPr>
          <w:p w14:paraId="311DCC2B">
            <w:pPr>
              <w:snapToGrid w:val="0"/>
              <w:spacing w:line="360" w:lineRule="auto"/>
              <w:jc w:val="center"/>
              <w:rPr>
                <w:rFonts w:ascii="宋体" w:hAnsi="宋体" w:cs="宋体"/>
                <w:color w:val="auto"/>
                <w:sz w:val="24"/>
                <w:highlight w:val="none"/>
              </w:rPr>
            </w:pPr>
          </w:p>
        </w:tc>
        <w:tc>
          <w:tcPr>
            <w:tcW w:w="2126" w:type="dxa"/>
            <w:vAlign w:val="center"/>
          </w:tcPr>
          <w:p w14:paraId="590FDDBE">
            <w:pPr>
              <w:spacing w:line="360" w:lineRule="auto"/>
              <w:jc w:val="center"/>
              <w:rPr>
                <w:rFonts w:ascii="宋体" w:hAnsi="宋体" w:cs="宋体"/>
                <w:color w:val="auto"/>
                <w:sz w:val="24"/>
                <w:highlight w:val="none"/>
              </w:rPr>
            </w:pPr>
          </w:p>
        </w:tc>
        <w:tc>
          <w:tcPr>
            <w:tcW w:w="2127" w:type="dxa"/>
          </w:tcPr>
          <w:p w14:paraId="39E087B2">
            <w:pPr>
              <w:spacing w:line="360" w:lineRule="auto"/>
              <w:jc w:val="center"/>
              <w:rPr>
                <w:rFonts w:ascii="宋体" w:hAnsi="宋体" w:cs="宋体"/>
                <w:color w:val="auto"/>
                <w:sz w:val="24"/>
                <w:highlight w:val="none"/>
              </w:rPr>
            </w:pPr>
          </w:p>
        </w:tc>
        <w:tc>
          <w:tcPr>
            <w:tcW w:w="2126" w:type="dxa"/>
            <w:vAlign w:val="center"/>
          </w:tcPr>
          <w:p w14:paraId="242DF449">
            <w:pPr>
              <w:spacing w:line="360" w:lineRule="auto"/>
              <w:jc w:val="center"/>
              <w:rPr>
                <w:rFonts w:ascii="宋体" w:hAnsi="宋体" w:cs="宋体"/>
                <w:color w:val="auto"/>
                <w:sz w:val="24"/>
                <w:highlight w:val="none"/>
              </w:rPr>
            </w:pPr>
          </w:p>
        </w:tc>
      </w:tr>
      <w:tr w14:paraId="6B8A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56EB228">
            <w:pPr>
              <w:spacing w:line="360" w:lineRule="auto"/>
              <w:jc w:val="center"/>
              <w:rPr>
                <w:rFonts w:ascii="宋体" w:hAnsi="宋体" w:cs="宋体"/>
                <w:color w:val="auto"/>
                <w:sz w:val="24"/>
                <w:highlight w:val="none"/>
              </w:rPr>
            </w:pPr>
          </w:p>
        </w:tc>
        <w:tc>
          <w:tcPr>
            <w:tcW w:w="992" w:type="dxa"/>
            <w:vAlign w:val="center"/>
          </w:tcPr>
          <w:p w14:paraId="57BF3FD0">
            <w:pPr>
              <w:snapToGrid w:val="0"/>
              <w:spacing w:line="360" w:lineRule="auto"/>
              <w:jc w:val="center"/>
              <w:rPr>
                <w:rFonts w:ascii="宋体" w:hAnsi="宋体" w:cs="宋体"/>
                <w:color w:val="auto"/>
                <w:sz w:val="24"/>
                <w:highlight w:val="none"/>
              </w:rPr>
            </w:pPr>
          </w:p>
        </w:tc>
        <w:tc>
          <w:tcPr>
            <w:tcW w:w="2268" w:type="dxa"/>
            <w:vAlign w:val="center"/>
          </w:tcPr>
          <w:p w14:paraId="2572B551">
            <w:pPr>
              <w:snapToGrid w:val="0"/>
              <w:spacing w:line="360" w:lineRule="auto"/>
              <w:jc w:val="center"/>
              <w:rPr>
                <w:rFonts w:ascii="宋体" w:hAnsi="宋体" w:cs="宋体"/>
                <w:color w:val="auto"/>
                <w:sz w:val="24"/>
                <w:highlight w:val="none"/>
              </w:rPr>
            </w:pPr>
          </w:p>
        </w:tc>
        <w:tc>
          <w:tcPr>
            <w:tcW w:w="2410" w:type="dxa"/>
            <w:vAlign w:val="center"/>
          </w:tcPr>
          <w:p w14:paraId="41F25B34">
            <w:pPr>
              <w:snapToGrid w:val="0"/>
              <w:spacing w:line="360" w:lineRule="auto"/>
              <w:jc w:val="center"/>
              <w:rPr>
                <w:rFonts w:ascii="宋体" w:hAnsi="宋体" w:cs="宋体"/>
                <w:color w:val="auto"/>
                <w:sz w:val="24"/>
                <w:highlight w:val="none"/>
              </w:rPr>
            </w:pPr>
          </w:p>
        </w:tc>
        <w:tc>
          <w:tcPr>
            <w:tcW w:w="2268" w:type="dxa"/>
            <w:vAlign w:val="center"/>
          </w:tcPr>
          <w:p w14:paraId="726E5372">
            <w:pPr>
              <w:snapToGrid w:val="0"/>
              <w:spacing w:line="360" w:lineRule="auto"/>
              <w:jc w:val="center"/>
              <w:rPr>
                <w:rFonts w:ascii="宋体" w:hAnsi="宋体" w:cs="宋体"/>
                <w:color w:val="auto"/>
                <w:sz w:val="24"/>
                <w:highlight w:val="none"/>
              </w:rPr>
            </w:pPr>
          </w:p>
        </w:tc>
        <w:tc>
          <w:tcPr>
            <w:tcW w:w="2126" w:type="dxa"/>
            <w:vAlign w:val="center"/>
          </w:tcPr>
          <w:p w14:paraId="5A4F857D">
            <w:pPr>
              <w:spacing w:line="360" w:lineRule="auto"/>
              <w:jc w:val="center"/>
              <w:rPr>
                <w:rFonts w:ascii="宋体" w:hAnsi="宋体" w:cs="宋体"/>
                <w:color w:val="auto"/>
                <w:sz w:val="24"/>
                <w:highlight w:val="none"/>
              </w:rPr>
            </w:pPr>
          </w:p>
        </w:tc>
        <w:tc>
          <w:tcPr>
            <w:tcW w:w="2127" w:type="dxa"/>
          </w:tcPr>
          <w:p w14:paraId="21BB073B">
            <w:pPr>
              <w:spacing w:line="360" w:lineRule="auto"/>
              <w:jc w:val="center"/>
              <w:rPr>
                <w:rFonts w:ascii="宋体" w:hAnsi="宋体" w:cs="宋体"/>
                <w:color w:val="auto"/>
                <w:sz w:val="24"/>
                <w:highlight w:val="none"/>
              </w:rPr>
            </w:pPr>
          </w:p>
        </w:tc>
        <w:tc>
          <w:tcPr>
            <w:tcW w:w="2126" w:type="dxa"/>
            <w:vAlign w:val="center"/>
          </w:tcPr>
          <w:p w14:paraId="7FD2B377">
            <w:pPr>
              <w:spacing w:line="360" w:lineRule="auto"/>
              <w:jc w:val="center"/>
              <w:rPr>
                <w:rFonts w:ascii="宋体" w:hAnsi="宋体" w:cs="宋体"/>
                <w:color w:val="auto"/>
                <w:sz w:val="24"/>
                <w:highlight w:val="none"/>
              </w:rPr>
            </w:pPr>
          </w:p>
        </w:tc>
      </w:tr>
      <w:tr w14:paraId="3F2E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6C65C04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66139AFA">
            <w:pPr>
              <w:spacing w:line="360" w:lineRule="auto"/>
              <w:jc w:val="center"/>
              <w:rPr>
                <w:rFonts w:ascii="宋体" w:hAnsi="宋体" w:cs="宋体"/>
                <w:color w:val="auto"/>
                <w:sz w:val="24"/>
                <w:highlight w:val="none"/>
              </w:rPr>
            </w:pPr>
          </w:p>
        </w:tc>
      </w:tr>
      <w:tr w14:paraId="6DD7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7F79F56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7FBC35C1">
            <w:pPr>
              <w:spacing w:line="360" w:lineRule="auto"/>
              <w:jc w:val="center"/>
              <w:rPr>
                <w:rFonts w:ascii="宋体" w:hAnsi="宋体" w:cs="宋体"/>
                <w:color w:val="auto"/>
                <w:sz w:val="24"/>
                <w:highlight w:val="none"/>
              </w:rPr>
            </w:pPr>
          </w:p>
        </w:tc>
      </w:tr>
    </w:tbl>
    <w:p w14:paraId="6805EFDA">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2605B0E4">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7F9435C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4A378867">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4710CB9A">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2E2BF48B">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0995715E">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sz w:val="32"/>
          <w:szCs w:val="32"/>
          <w:highlight w:val="none"/>
        </w:rPr>
        <w:t>中小企业声明函（如果有）</w:t>
      </w:r>
    </w:p>
    <w:p w14:paraId="7CC9C277">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0EB77924">
      <w:pPr>
        <w:pStyle w:val="80"/>
        <w:rPr>
          <w:rFonts w:hint="eastAsia" w:ascii="宋体" w:hAnsi="宋体" w:cs="宋体"/>
          <w:b/>
          <w:color w:val="auto"/>
          <w:sz w:val="24"/>
          <w:highlight w:val="none"/>
        </w:rPr>
      </w:pPr>
    </w:p>
    <w:p w14:paraId="1AA2EA6C">
      <w:pPr>
        <w:pStyle w:val="80"/>
        <w:rPr>
          <w:rFonts w:hint="eastAsia" w:ascii="宋体" w:hAnsi="宋体" w:cs="宋体"/>
          <w:b/>
          <w:color w:val="auto"/>
          <w:sz w:val="24"/>
          <w:highlight w:val="none"/>
        </w:rPr>
      </w:pPr>
    </w:p>
    <w:p w14:paraId="4AF87534">
      <w:pPr>
        <w:pStyle w:val="69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33D4F674">
      <w:pPr>
        <w:spacing w:line="360" w:lineRule="auto"/>
        <w:ind w:right="420" w:firstLine="3614" w:firstLineChars="1000"/>
        <w:rPr>
          <w:rFonts w:ascii="宋体" w:hAnsi="宋体" w:cs="宋体"/>
          <w:b/>
          <w:color w:val="auto"/>
          <w:kern w:val="0"/>
          <w:sz w:val="36"/>
          <w:szCs w:val="36"/>
          <w:highlight w:val="none"/>
        </w:rPr>
      </w:pPr>
    </w:p>
    <w:p w14:paraId="6BAC30FB">
      <w:pPr>
        <w:spacing w:line="360" w:lineRule="auto"/>
        <w:ind w:right="420" w:firstLine="3614" w:firstLineChars="1000"/>
        <w:rPr>
          <w:rFonts w:ascii="宋体" w:hAnsi="宋体" w:cs="宋体"/>
          <w:b/>
          <w:color w:val="auto"/>
          <w:kern w:val="0"/>
          <w:sz w:val="36"/>
          <w:szCs w:val="36"/>
          <w:highlight w:val="none"/>
        </w:rPr>
      </w:pPr>
    </w:p>
    <w:p w14:paraId="43FD64A7">
      <w:pPr>
        <w:spacing w:line="360" w:lineRule="auto"/>
        <w:ind w:right="420" w:firstLine="3614" w:firstLineChars="1000"/>
        <w:rPr>
          <w:rFonts w:ascii="宋体" w:hAnsi="宋体" w:cs="宋体"/>
          <w:b/>
          <w:color w:val="auto"/>
          <w:kern w:val="0"/>
          <w:sz w:val="36"/>
          <w:szCs w:val="36"/>
          <w:highlight w:val="none"/>
        </w:rPr>
      </w:pPr>
    </w:p>
    <w:p w14:paraId="461772AE">
      <w:pPr>
        <w:spacing w:line="360" w:lineRule="auto"/>
        <w:ind w:right="420" w:firstLine="3614" w:firstLineChars="1000"/>
        <w:rPr>
          <w:rFonts w:ascii="宋体" w:hAnsi="宋体" w:cs="宋体"/>
          <w:b/>
          <w:color w:val="auto"/>
          <w:kern w:val="0"/>
          <w:sz w:val="36"/>
          <w:szCs w:val="36"/>
          <w:highlight w:val="none"/>
        </w:rPr>
      </w:pPr>
    </w:p>
    <w:p w14:paraId="79020EB4">
      <w:pPr>
        <w:spacing w:line="360" w:lineRule="auto"/>
        <w:ind w:right="420" w:firstLine="3614" w:firstLineChars="1000"/>
        <w:rPr>
          <w:rFonts w:ascii="宋体" w:hAnsi="宋体" w:cs="宋体"/>
          <w:b/>
          <w:color w:val="auto"/>
          <w:kern w:val="0"/>
          <w:sz w:val="36"/>
          <w:szCs w:val="36"/>
          <w:highlight w:val="none"/>
        </w:rPr>
      </w:pPr>
    </w:p>
    <w:p w14:paraId="03609E24">
      <w:pPr>
        <w:spacing w:line="360" w:lineRule="auto"/>
        <w:ind w:right="420" w:firstLine="3614" w:firstLineChars="1000"/>
        <w:rPr>
          <w:rFonts w:ascii="宋体" w:hAnsi="宋体" w:cs="宋体"/>
          <w:b/>
          <w:color w:val="auto"/>
          <w:kern w:val="0"/>
          <w:sz w:val="36"/>
          <w:szCs w:val="36"/>
          <w:highlight w:val="none"/>
        </w:rPr>
      </w:pPr>
    </w:p>
    <w:p w14:paraId="707D7CE0">
      <w:pPr>
        <w:spacing w:line="360" w:lineRule="auto"/>
        <w:ind w:right="420" w:firstLine="3614" w:firstLineChars="1000"/>
        <w:rPr>
          <w:rFonts w:ascii="宋体" w:hAnsi="宋体" w:cs="宋体"/>
          <w:b/>
          <w:color w:val="auto"/>
          <w:kern w:val="0"/>
          <w:sz w:val="36"/>
          <w:szCs w:val="36"/>
          <w:highlight w:val="none"/>
        </w:rPr>
      </w:pPr>
    </w:p>
    <w:p w14:paraId="2FED25A0">
      <w:pPr>
        <w:spacing w:line="360" w:lineRule="auto"/>
        <w:ind w:right="420" w:firstLine="3614" w:firstLineChars="1000"/>
        <w:rPr>
          <w:rFonts w:ascii="宋体" w:hAnsi="宋体" w:cs="宋体"/>
          <w:b/>
          <w:color w:val="auto"/>
          <w:kern w:val="0"/>
          <w:sz w:val="36"/>
          <w:szCs w:val="36"/>
          <w:highlight w:val="none"/>
        </w:rPr>
      </w:pPr>
    </w:p>
    <w:p w14:paraId="144D7808">
      <w:pPr>
        <w:spacing w:line="360" w:lineRule="auto"/>
        <w:ind w:right="420" w:firstLine="3614" w:firstLineChars="1000"/>
        <w:rPr>
          <w:rFonts w:ascii="宋体" w:hAnsi="宋体" w:cs="宋体"/>
          <w:b/>
          <w:color w:val="auto"/>
          <w:kern w:val="0"/>
          <w:sz w:val="36"/>
          <w:szCs w:val="36"/>
          <w:highlight w:val="none"/>
        </w:rPr>
      </w:pPr>
    </w:p>
    <w:p w14:paraId="3D92A257">
      <w:pPr>
        <w:spacing w:line="360" w:lineRule="auto"/>
        <w:ind w:right="420" w:firstLine="3614" w:firstLineChars="1000"/>
        <w:rPr>
          <w:rFonts w:ascii="宋体" w:hAnsi="宋体" w:cs="宋体"/>
          <w:b/>
          <w:color w:val="auto"/>
          <w:kern w:val="0"/>
          <w:sz w:val="36"/>
          <w:szCs w:val="36"/>
          <w:highlight w:val="none"/>
        </w:rPr>
      </w:pPr>
    </w:p>
    <w:p w14:paraId="1F93F3A9">
      <w:pPr>
        <w:spacing w:line="360" w:lineRule="auto"/>
        <w:ind w:right="420" w:firstLine="3614" w:firstLineChars="1000"/>
        <w:rPr>
          <w:rFonts w:ascii="宋体" w:hAnsi="宋体" w:cs="宋体"/>
          <w:b/>
          <w:color w:val="auto"/>
          <w:kern w:val="0"/>
          <w:sz w:val="36"/>
          <w:szCs w:val="36"/>
          <w:highlight w:val="none"/>
        </w:rPr>
      </w:pPr>
    </w:p>
    <w:p w14:paraId="4F8F70F7">
      <w:pPr>
        <w:spacing w:line="360" w:lineRule="auto"/>
        <w:ind w:right="420" w:firstLine="3614" w:firstLineChars="1000"/>
        <w:rPr>
          <w:rFonts w:ascii="宋体" w:hAnsi="宋体" w:cs="宋体"/>
          <w:b/>
          <w:color w:val="auto"/>
          <w:kern w:val="0"/>
          <w:sz w:val="36"/>
          <w:szCs w:val="36"/>
          <w:highlight w:val="none"/>
        </w:rPr>
      </w:pPr>
    </w:p>
    <w:p w14:paraId="4B15FB6C">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3E614CA6">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265346D3">
      <w:pPr>
        <w:spacing w:line="360" w:lineRule="auto"/>
        <w:jc w:val="center"/>
        <w:rPr>
          <w:rFonts w:ascii="宋体" w:hAnsi="宋体" w:cs="宋体"/>
          <w:b/>
          <w:color w:val="auto"/>
          <w:spacing w:val="6"/>
          <w:sz w:val="32"/>
          <w:szCs w:val="32"/>
          <w:highlight w:val="none"/>
        </w:rPr>
      </w:pPr>
      <w:bookmarkStart w:id="396" w:name="OLE_LINK14"/>
      <w:bookmarkStart w:id="397" w:name="OLE_LINK13"/>
      <w:r>
        <w:rPr>
          <w:rFonts w:hint="eastAsia" w:ascii="宋体" w:hAnsi="宋体" w:cs="宋体"/>
          <w:b/>
          <w:color w:val="auto"/>
          <w:spacing w:val="6"/>
          <w:sz w:val="32"/>
          <w:szCs w:val="32"/>
          <w:highlight w:val="none"/>
        </w:rPr>
        <w:t>残疾人福利性单位声明函</w:t>
      </w:r>
    </w:p>
    <w:bookmarkEnd w:id="396"/>
    <w:bookmarkEnd w:id="397"/>
    <w:p w14:paraId="644B776E">
      <w:pPr>
        <w:spacing w:line="360" w:lineRule="auto"/>
        <w:rPr>
          <w:rFonts w:ascii="宋体" w:hAnsi="宋体" w:cs="宋体"/>
          <w:b/>
          <w:color w:val="auto"/>
          <w:spacing w:val="6"/>
          <w:sz w:val="30"/>
          <w:szCs w:val="30"/>
          <w:highlight w:val="none"/>
        </w:rPr>
      </w:pPr>
    </w:p>
    <w:p w14:paraId="729671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512FDE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B8D15C4">
      <w:pPr>
        <w:spacing w:line="360" w:lineRule="auto"/>
        <w:ind w:firstLine="480" w:firstLineChars="200"/>
        <w:rPr>
          <w:rFonts w:ascii="宋体" w:hAnsi="宋体" w:cs="宋体"/>
          <w:color w:val="auto"/>
          <w:sz w:val="24"/>
          <w:highlight w:val="none"/>
        </w:rPr>
      </w:pPr>
    </w:p>
    <w:p w14:paraId="4A4E7005">
      <w:pPr>
        <w:spacing w:line="360" w:lineRule="auto"/>
        <w:ind w:firstLine="480" w:firstLineChars="200"/>
        <w:rPr>
          <w:rFonts w:ascii="宋体" w:hAnsi="宋体" w:cs="宋体"/>
          <w:color w:val="auto"/>
          <w:sz w:val="24"/>
          <w:highlight w:val="none"/>
        </w:rPr>
      </w:pPr>
    </w:p>
    <w:p w14:paraId="7A378528">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AD4830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68F2440">
      <w:pPr>
        <w:spacing w:line="360" w:lineRule="auto"/>
        <w:ind w:firstLine="480" w:firstLineChars="200"/>
        <w:rPr>
          <w:rFonts w:ascii="宋体" w:hAnsi="宋体" w:cs="宋体"/>
          <w:color w:val="auto"/>
          <w:sz w:val="24"/>
          <w:highlight w:val="none"/>
        </w:rPr>
      </w:pPr>
    </w:p>
    <w:p w14:paraId="51EDB0FD">
      <w:pPr>
        <w:spacing w:line="360" w:lineRule="auto"/>
        <w:ind w:firstLine="420" w:firstLineChars="200"/>
        <w:rPr>
          <w:rFonts w:ascii="宋体" w:hAnsi="宋体" w:cs="宋体"/>
          <w:color w:val="auto"/>
          <w:highlight w:val="none"/>
        </w:rPr>
      </w:pPr>
    </w:p>
    <w:p w14:paraId="1AFE5B6B">
      <w:pPr>
        <w:spacing w:line="360" w:lineRule="auto"/>
        <w:ind w:firstLine="420" w:firstLineChars="200"/>
        <w:rPr>
          <w:rFonts w:ascii="宋体" w:hAnsi="宋体" w:cs="宋体"/>
          <w:color w:val="auto"/>
          <w:highlight w:val="none"/>
        </w:rPr>
      </w:pPr>
    </w:p>
    <w:p w14:paraId="2C136107">
      <w:pPr>
        <w:spacing w:line="360" w:lineRule="auto"/>
        <w:ind w:firstLine="420" w:firstLineChars="200"/>
        <w:rPr>
          <w:rFonts w:ascii="宋体" w:hAnsi="宋体" w:cs="宋体"/>
          <w:color w:val="auto"/>
          <w:highlight w:val="none"/>
        </w:rPr>
      </w:pPr>
    </w:p>
    <w:p w14:paraId="14B97413">
      <w:pPr>
        <w:spacing w:line="360" w:lineRule="auto"/>
        <w:ind w:firstLine="420" w:firstLineChars="200"/>
        <w:rPr>
          <w:rFonts w:ascii="宋体" w:hAnsi="宋体" w:cs="宋体"/>
          <w:color w:val="auto"/>
          <w:highlight w:val="none"/>
        </w:rPr>
      </w:pPr>
    </w:p>
    <w:p w14:paraId="4165D934">
      <w:pPr>
        <w:spacing w:line="360" w:lineRule="auto"/>
        <w:rPr>
          <w:rFonts w:ascii="宋体" w:hAnsi="宋体" w:cs="宋体"/>
          <w:b/>
          <w:color w:val="auto"/>
          <w:sz w:val="24"/>
          <w:highlight w:val="none"/>
        </w:rPr>
      </w:pPr>
    </w:p>
    <w:p w14:paraId="575CC771">
      <w:pPr>
        <w:spacing w:line="360" w:lineRule="auto"/>
        <w:rPr>
          <w:rFonts w:ascii="宋体" w:hAnsi="宋体" w:cs="宋体"/>
          <w:b/>
          <w:color w:val="auto"/>
          <w:sz w:val="24"/>
          <w:highlight w:val="none"/>
        </w:rPr>
      </w:pPr>
    </w:p>
    <w:p w14:paraId="2D596182">
      <w:pPr>
        <w:spacing w:line="360" w:lineRule="auto"/>
        <w:rPr>
          <w:rFonts w:ascii="宋体" w:hAnsi="宋体" w:cs="宋体"/>
          <w:b/>
          <w:color w:val="auto"/>
          <w:sz w:val="24"/>
          <w:highlight w:val="none"/>
        </w:rPr>
      </w:pPr>
    </w:p>
    <w:p w14:paraId="444EDB10">
      <w:pPr>
        <w:spacing w:line="360" w:lineRule="auto"/>
        <w:rPr>
          <w:rFonts w:ascii="宋体" w:hAnsi="宋体" w:cs="宋体"/>
          <w:b/>
          <w:color w:val="auto"/>
          <w:sz w:val="24"/>
          <w:highlight w:val="none"/>
        </w:rPr>
      </w:pPr>
    </w:p>
    <w:p w14:paraId="73E8755E">
      <w:pPr>
        <w:spacing w:line="360" w:lineRule="auto"/>
        <w:rPr>
          <w:rFonts w:ascii="宋体" w:hAnsi="宋体" w:cs="宋体"/>
          <w:b/>
          <w:color w:val="auto"/>
          <w:sz w:val="24"/>
          <w:highlight w:val="none"/>
        </w:rPr>
      </w:pPr>
    </w:p>
    <w:p w14:paraId="25124C65">
      <w:pPr>
        <w:spacing w:line="360" w:lineRule="auto"/>
        <w:rPr>
          <w:rFonts w:ascii="宋体" w:hAnsi="宋体" w:cs="宋体"/>
          <w:b/>
          <w:color w:val="auto"/>
          <w:sz w:val="24"/>
          <w:highlight w:val="none"/>
        </w:rPr>
      </w:pPr>
    </w:p>
    <w:p w14:paraId="59A8990B">
      <w:pPr>
        <w:spacing w:line="360" w:lineRule="auto"/>
        <w:rPr>
          <w:rFonts w:ascii="宋体" w:hAnsi="宋体" w:cs="宋体"/>
          <w:b/>
          <w:color w:val="auto"/>
          <w:sz w:val="24"/>
          <w:highlight w:val="none"/>
        </w:rPr>
      </w:pPr>
    </w:p>
    <w:p w14:paraId="4BDF86AB">
      <w:pPr>
        <w:spacing w:line="360" w:lineRule="auto"/>
        <w:rPr>
          <w:rFonts w:ascii="宋体" w:hAnsi="宋体" w:cs="宋体"/>
          <w:b/>
          <w:color w:val="auto"/>
          <w:sz w:val="24"/>
          <w:highlight w:val="none"/>
        </w:rPr>
      </w:pPr>
    </w:p>
    <w:p w14:paraId="67DDB5E9">
      <w:pPr>
        <w:spacing w:line="360" w:lineRule="auto"/>
        <w:rPr>
          <w:rFonts w:ascii="宋体" w:hAnsi="宋体" w:cs="宋体"/>
          <w:b/>
          <w:color w:val="auto"/>
          <w:sz w:val="24"/>
          <w:highlight w:val="none"/>
        </w:rPr>
      </w:pPr>
    </w:p>
    <w:p w14:paraId="2F37603A">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8D593ED">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F7A74C7">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01C8B7A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F26DF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FD45B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A7F616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30B3E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43974D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0E521C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398990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09613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B70377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AF79A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555B4C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0CB08D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E2D813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A2A15EB">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99D5F5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ECE2B5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F6728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76740CE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56DB14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72CF1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3220687">
      <w:pPr>
        <w:spacing w:line="360" w:lineRule="auto"/>
        <w:rPr>
          <w:rFonts w:ascii="宋体" w:hAnsi="宋体" w:cs="宋体"/>
          <w:color w:val="auto"/>
          <w:sz w:val="24"/>
          <w:highlight w:val="none"/>
        </w:rPr>
      </w:pPr>
      <w:r>
        <w:rPr>
          <w:rFonts w:hint="eastAsia" w:ascii="宋体" w:hAnsi="宋体" w:cs="宋体"/>
          <w:color w:val="auto"/>
          <w:sz w:val="24"/>
          <w:highlight w:val="none"/>
        </w:rPr>
        <w:t>签字(签章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22F4FDC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A5FC3F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7FE1AF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96C3DA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0C61F0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110A12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787E8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861F87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EE35404">
      <w:pPr>
        <w:widowControl/>
        <w:spacing w:line="360" w:lineRule="auto"/>
        <w:ind w:firstLine="600" w:firstLineChars="200"/>
        <w:jc w:val="left"/>
        <w:rPr>
          <w:rFonts w:ascii="宋体" w:hAnsi="宋体" w:cs="宋体"/>
          <w:color w:val="auto"/>
          <w:sz w:val="30"/>
          <w:szCs w:val="30"/>
          <w:highlight w:val="none"/>
        </w:rPr>
      </w:pPr>
    </w:p>
    <w:p w14:paraId="7DD96783">
      <w:pPr>
        <w:spacing w:line="360" w:lineRule="auto"/>
        <w:jc w:val="center"/>
        <w:rPr>
          <w:rFonts w:ascii="宋体" w:hAnsi="宋体" w:cs="宋体"/>
          <w:b/>
          <w:color w:val="auto"/>
          <w:spacing w:val="6"/>
          <w:sz w:val="32"/>
          <w:szCs w:val="32"/>
          <w:highlight w:val="none"/>
        </w:rPr>
      </w:pPr>
    </w:p>
    <w:p w14:paraId="4796C07D">
      <w:pPr>
        <w:spacing w:line="360" w:lineRule="auto"/>
        <w:jc w:val="center"/>
        <w:rPr>
          <w:rFonts w:ascii="宋体" w:hAnsi="宋体" w:cs="宋体"/>
          <w:b/>
          <w:color w:val="auto"/>
          <w:spacing w:val="6"/>
          <w:sz w:val="32"/>
          <w:szCs w:val="32"/>
          <w:highlight w:val="none"/>
        </w:rPr>
      </w:pPr>
    </w:p>
    <w:p w14:paraId="34ABC162">
      <w:pPr>
        <w:spacing w:line="360" w:lineRule="auto"/>
        <w:jc w:val="center"/>
        <w:rPr>
          <w:rFonts w:ascii="宋体" w:hAnsi="宋体" w:cs="宋体"/>
          <w:b/>
          <w:color w:val="auto"/>
          <w:spacing w:val="6"/>
          <w:sz w:val="32"/>
          <w:szCs w:val="32"/>
          <w:highlight w:val="none"/>
        </w:rPr>
      </w:pPr>
    </w:p>
    <w:p w14:paraId="7EADAACE">
      <w:pPr>
        <w:spacing w:line="360" w:lineRule="auto"/>
        <w:jc w:val="center"/>
        <w:rPr>
          <w:rFonts w:ascii="宋体" w:hAnsi="宋体" w:cs="宋体"/>
          <w:b/>
          <w:color w:val="auto"/>
          <w:spacing w:val="6"/>
          <w:sz w:val="32"/>
          <w:szCs w:val="32"/>
          <w:highlight w:val="none"/>
        </w:rPr>
      </w:pPr>
    </w:p>
    <w:p w14:paraId="3FE6DAAA">
      <w:pPr>
        <w:spacing w:line="360" w:lineRule="auto"/>
        <w:jc w:val="center"/>
        <w:rPr>
          <w:rFonts w:ascii="宋体" w:hAnsi="宋体" w:cs="宋体"/>
          <w:b/>
          <w:color w:val="auto"/>
          <w:spacing w:val="6"/>
          <w:sz w:val="32"/>
          <w:szCs w:val="32"/>
          <w:highlight w:val="none"/>
        </w:rPr>
      </w:pPr>
    </w:p>
    <w:p w14:paraId="01224C28">
      <w:pPr>
        <w:spacing w:line="360" w:lineRule="auto"/>
        <w:jc w:val="center"/>
        <w:rPr>
          <w:rFonts w:ascii="宋体" w:hAnsi="宋体" w:cs="宋体"/>
          <w:b/>
          <w:color w:val="auto"/>
          <w:spacing w:val="6"/>
          <w:sz w:val="32"/>
          <w:szCs w:val="32"/>
          <w:highlight w:val="none"/>
        </w:rPr>
      </w:pPr>
    </w:p>
    <w:p w14:paraId="3FAC232D">
      <w:pPr>
        <w:spacing w:line="360" w:lineRule="auto"/>
        <w:jc w:val="center"/>
        <w:rPr>
          <w:rFonts w:ascii="宋体" w:hAnsi="宋体" w:cs="宋体"/>
          <w:b/>
          <w:color w:val="auto"/>
          <w:spacing w:val="6"/>
          <w:sz w:val="32"/>
          <w:szCs w:val="32"/>
          <w:highlight w:val="none"/>
        </w:rPr>
      </w:pPr>
    </w:p>
    <w:p w14:paraId="009CB44F">
      <w:pPr>
        <w:spacing w:line="360" w:lineRule="auto"/>
        <w:jc w:val="center"/>
        <w:rPr>
          <w:rFonts w:ascii="宋体" w:hAnsi="宋体" w:cs="宋体"/>
          <w:b/>
          <w:color w:val="auto"/>
          <w:spacing w:val="6"/>
          <w:sz w:val="32"/>
          <w:szCs w:val="32"/>
          <w:highlight w:val="none"/>
        </w:rPr>
      </w:pPr>
    </w:p>
    <w:p w14:paraId="668EFC3D">
      <w:pPr>
        <w:spacing w:line="360" w:lineRule="auto"/>
        <w:jc w:val="center"/>
        <w:rPr>
          <w:rFonts w:ascii="宋体" w:hAnsi="宋体" w:cs="宋体"/>
          <w:b/>
          <w:color w:val="auto"/>
          <w:spacing w:val="6"/>
          <w:sz w:val="32"/>
          <w:szCs w:val="32"/>
          <w:highlight w:val="none"/>
        </w:rPr>
      </w:pPr>
    </w:p>
    <w:p w14:paraId="0F78ED7D">
      <w:pPr>
        <w:spacing w:line="360" w:lineRule="auto"/>
        <w:jc w:val="left"/>
        <w:rPr>
          <w:rFonts w:hint="eastAsia" w:ascii="宋体" w:hAnsi="宋体" w:cs="宋体"/>
          <w:b/>
          <w:color w:val="auto"/>
          <w:spacing w:val="6"/>
          <w:sz w:val="32"/>
          <w:szCs w:val="32"/>
          <w:highlight w:val="none"/>
        </w:rPr>
      </w:pPr>
    </w:p>
    <w:p w14:paraId="389C1EA1">
      <w:pPr>
        <w:spacing w:line="360" w:lineRule="auto"/>
        <w:jc w:val="left"/>
        <w:rPr>
          <w:rFonts w:hint="eastAsia" w:ascii="宋体" w:hAnsi="宋体" w:cs="宋体"/>
          <w:b/>
          <w:color w:val="auto"/>
          <w:spacing w:val="6"/>
          <w:sz w:val="32"/>
          <w:szCs w:val="32"/>
          <w:highlight w:val="none"/>
        </w:rPr>
      </w:pPr>
    </w:p>
    <w:p w14:paraId="57E45B73">
      <w:pPr>
        <w:spacing w:line="360" w:lineRule="auto"/>
        <w:jc w:val="left"/>
        <w:rPr>
          <w:rFonts w:hint="eastAsia" w:ascii="宋体" w:hAnsi="宋体" w:cs="宋体"/>
          <w:b/>
          <w:color w:val="auto"/>
          <w:spacing w:val="6"/>
          <w:sz w:val="32"/>
          <w:szCs w:val="32"/>
          <w:highlight w:val="none"/>
        </w:rPr>
      </w:pPr>
    </w:p>
    <w:p w14:paraId="47C3E589">
      <w:pPr>
        <w:spacing w:line="360" w:lineRule="auto"/>
        <w:jc w:val="left"/>
        <w:rPr>
          <w:rFonts w:hint="eastAsia" w:ascii="宋体" w:hAnsi="宋体" w:cs="宋体"/>
          <w:b/>
          <w:color w:val="auto"/>
          <w:spacing w:val="6"/>
          <w:sz w:val="32"/>
          <w:szCs w:val="32"/>
          <w:highlight w:val="none"/>
        </w:rPr>
      </w:pPr>
    </w:p>
    <w:p w14:paraId="4E3389C1">
      <w:pPr>
        <w:spacing w:line="360" w:lineRule="auto"/>
        <w:jc w:val="left"/>
        <w:rPr>
          <w:rFonts w:hint="eastAsia" w:ascii="宋体" w:hAnsi="宋体" w:cs="宋体"/>
          <w:b/>
          <w:color w:val="auto"/>
          <w:spacing w:val="6"/>
          <w:sz w:val="32"/>
          <w:szCs w:val="32"/>
          <w:highlight w:val="none"/>
        </w:rPr>
      </w:pPr>
    </w:p>
    <w:p w14:paraId="64102804">
      <w:pPr>
        <w:spacing w:line="360" w:lineRule="auto"/>
        <w:jc w:val="left"/>
        <w:rPr>
          <w:rFonts w:hint="eastAsia" w:ascii="宋体" w:hAnsi="宋体" w:cs="宋体"/>
          <w:b/>
          <w:color w:val="auto"/>
          <w:spacing w:val="6"/>
          <w:sz w:val="32"/>
          <w:szCs w:val="32"/>
          <w:highlight w:val="none"/>
        </w:rPr>
      </w:pPr>
    </w:p>
    <w:p w14:paraId="42853BF6">
      <w:pPr>
        <w:spacing w:line="360" w:lineRule="auto"/>
        <w:jc w:val="left"/>
        <w:rPr>
          <w:rFonts w:hint="eastAsia" w:ascii="宋体" w:hAnsi="宋体" w:cs="宋体"/>
          <w:b/>
          <w:color w:val="auto"/>
          <w:spacing w:val="6"/>
          <w:sz w:val="32"/>
          <w:szCs w:val="32"/>
          <w:highlight w:val="none"/>
        </w:rPr>
      </w:pPr>
    </w:p>
    <w:p w14:paraId="4D8C628D">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7E4EDDD9">
      <w:pPr>
        <w:spacing w:line="360" w:lineRule="auto"/>
        <w:jc w:val="center"/>
        <w:rPr>
          <w:rFonts w:ascii="宋体" w:hAnsi="宋体" w:cs="宋体"/>
          <w:b/>
          <w:color w:val="auto"/>
          <w:sz w:val="24"/>
          <w:highlight w:val="none"/>
        </w:rPr>
      </w:pPr>
    </w:p>
    <w:p w14:paraId="05942B3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12C493C9">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2A0C5003">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48D014B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6483F6B">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9375B93">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5F7162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97F4AEF">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3D5C1F5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134F9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86B2A04">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61D544D">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84F4C2F">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AE9790D">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C22ABC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12A23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F8F3DD2">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13C5949A">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0683C5D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CDFC2D3">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235188D">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09F9279">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401EE8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0C3B546">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6D848F90">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7F68C9D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2BD79D4">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561A8435">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D566C3D">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6D162C80">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9ED69F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A5AD91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91A149E">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DC5E9F8">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09CAD86">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43F69D35">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1E25155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4B99AD0">
      <w:pPr>
        <w:spacing w:line="360" w:lineRule="auto"/>
        <w:rPr>
          <w:rFonts w:ascii="宋体" w:hAnsi="宋体" w:cs="宋体"/>
          <w:color w:val="auto"/>
          <w:sz w:val="24"/>
          <w:highlight w:val="none"/>
        </w:rPr>
      </w:pPr>
      <w:r>
        <w:rPr>
          <w:rFonts w:hint="eastAsia" w:ascii="宋体" w:hAnsi="宋体" w:cs="宋体"/>
          <w:color w:val="auto"/>
          <w:sz w:val="24"/>
          <w:highlight w:val="none"/>
        </w:rPr>
        <w:t>签字(签章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5BB97F2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4DEA64F">
      <w:pPr>
        <w:spacing w:line="360" w:lineRule="auto"/>
        <w:rPr>
          <w:rFonts w:hint="eastAsia" w:ascii="宋体" w:hAnsi="宋体" w:cs="宋体"/>
          <w:b/>
          <w:color w:val="auto"/>
          <w:sz w:val="24"/>
          <w:highlight w:val="none"/>
        </w:rPr>
      </w:pPr>
    </w:p>
    <w:p w14:paraId="4695AD58">
      <w:pPr>
        <w:spacing w:line="360" w:lineRule="auto"/>
        <w:rPr>
          <w:rFonts w:hint="eastAsia" w:ascii="宋体" w:hAnsi="宋体" w:cs="宋体"/>
          <w:b/>
          <w:color w:val="auto"/>
          <w:sz w:val="24"/>
          <w:highlight w:val="none"/>
        </w:rPr>
      </w:pPr>
    </w:p>
    <w:p w14:paraId="5EF1AD0F">
      <w:pPr>
        <w:spacing w:line="360" w:lineRule="auto"/>
        <w:rPr>
          <w:rFonts w:hint="eastAsia" w:ascii="宋体" w:hAnsi="宋体" w:cs="宋体"/>
          <w:b/>
          <w:color w:val="auto"/>
          <w:sz w:val="24"/>
          <w:highlight w:val="none"/>
        </w:rPr>
      </w:pPr>
    </w:p>
    <w:p w14:paraId="587BA5A8">
      <w:pPr>
        <w:spacing w:line="360" w:lineRule="auto"/>
        <w:rPr>
          <w:rFonts w:hint="eastAsia" w:ascii="宋体" w:hAnsi="宋体" w:cs="宋体"/>
          <w:b/>
          <w:color w:val="auto"/>
          <w:sz w:val="24"/>
          <w:highlight w:val="none"/>
        </w:rPr>
      </w:pPr>
    </w:p>
    <w:p w14:paraId="784A7651">
      <w:pPr>
        <w:spacing w:line="360" w:lineRule="auto"/>
        <w:rPr>
          <w:rFonts w:hint="eastAsia" w:ascii="宋体" w:hAnsi="宋体" w:cs="宋体"/>
          <w:b/>
          <w:color w:val="auto"/>
          <w:sz w:val="24"/>
          <w:highlight w:val="none"/>
        </w:rPr>
      </w:pPr>
    </w:p>
    <w:p w14:paraId="14A9A311">
      <w:pPr>
        <w:spacing w:line="360" w:lineRule="auto"/>
        <w:rPr>
          <w:rFonts w:hint="eastAsia" w:ascii="宋体" w:hAnsi="宋体" w:cs="宋体"/>
          <w:b/>
          <w:color w:val="auto"/>
          <w:sz w:val="24"/>
          <w:highlight w:val="none"/>
        </w:rPr>
      </w:pPr>
    </w:p>
    <w:p w14:paraId="04F08673">
      <w:pPr>
        <w:spacing w:line="360" w:lineRule="auto"/>
        <w:rPr>
          <w:rFonts w:hint="eastAsia" w:ascii="宋体" w:hAnsi="宋体" w:cs="宋体"/>
          <w:b/>
          <w:color w:val="auto"/>
          <w:sz w:val="24"/>
          <w:highlight w:val="none"/>
        </w:rPr>
      </w:pPr>
    </w:p>
    <w:p w14:paraId="1513F2CD">
      <w:pPr>
        <w:spacing w:line="360" w:lineRule="auto"/>
        <w:rPr>
          <w:rFonts w:hint="eastAsia" w:ascii="宋体" w:hAnsi="宋体" w:cs="宋体"/>
          <w:b/>
          <w:color w:val="auto"/>
          <w:sz w:val="24"/>
          <w:highlight w:val="none"/>
        </w:rPr>
      </w:pPr>
    </w:p>
    <w:p w14:paraId="50FB81BF">
      <w:pPr>
        <w:spacing w:line="360" w:lineRule="auto"/>
        <w:rPr>
          <w:rFonts w:hint="eastAsia" w:ascii="宋体" w:hAnsi="宋体" w:cs="宋体"/>
          <w:b/>
          <w:color w:val="auto"/>
          <w:sz w:val="24"/>
          <w:highlight w:val="none"/>
        </w:rPr>
      </w:pPr>
    </w:p>
    <w:p w14:paraId="2CF03B40">
      <w:pPr>
        <w:spacing w:line="360" w:lineRule="auto"/>
        <w:rPr>
          <w:rFonts w:hint="eastAsia" w:ascii="宋体" w:hAnsi="宋体" w:cs="宋体"/>
          <w:b/>
          <w:color w:val="auto"/>
          <w:sz w:val="24"/>
          <w:highlight w:val="none"/>
        </w:rPr>
      </w:pPr>
    </w:p>
    <w:p w14:paraId="22894A24">
      <w:pPr>
        <w:spacing w:line="360" w:lineRule="auto"/>
        <w:rPr>
          <w:rFonts w:hint="eastAsia" w:ascii="宋体" w:hAnsi="宋体" w:cs="宋体"/>
          <w:b/>
          <w:color w:val="auto"/>
          <w:sz w:val="24"/>
          <w:highlight w:val="none"/>
        </w:rPr>
      </w:pPr>
    </w:p>
    <w:p w14:paraId="42D73519">
      <w:pPr>
        <w:spacing w:line="360" w:lineRule="auto"/>
        <w:rPr>
          <w:rFonts w:hint="eastAsia" w:ascii="宋体" w:hAnsi="宋体" w:cs="宋体"/>
          <w:b/>
          <w:color w:val="auto"/>
          <w:sz w:val="24"/>
          <w:highlight w:val="none"/>
        </w:rPr>
      </w:pPr>
    </w:p>
    <w:p w14:paraId="1C53BB6E">
      <w:pPr>
        <w:spacing w:line="360" w:lineRule="auto"/>
        <w:rPr>
          <w:rFonts w:hint="eastAsia" w:ascii="宋体" w:hAnsi="宋体" w:cs="宋体"/>
          <w:b/>
          <w:color w:val="auto"/>
          <w:sz w:val="24"/>
          <w:highlight w:val="none"/>
        </w:rPr>
      </w:pPr>
    </w:p>
    <w:p w14:paraId="5CA54BE6">
      <w:pPr>
        <w:spacing w:line="360" w:lineRule="auto"/>
        <w:rPr>
          <w:rFonts w:hint="eastAsia" w:ascii="宋体" w:hAnsi="宋体" w:cs="宋体"/>
          <w:b/>
          <w:color w:val="auto"/>
          <w:sz w:val="24"/>
          <w:highlight w:val="none"/>
        </w:rPr>
      </w:pPr>
    </w:p>
    <w:p w14:paraId="1FB598F4">
      <w:pPr>
        <w:spacing w:line="360" w:lineRule="auto"/>
        <w:rPr>
          <w:rFonts w:hint="eastAsia" w:ascii="宋体" w:hAnsi="宋体" w:cs="宋体"/>
          <w:b/>
          <w:color w:val="auto"/>
          <w:sz w:val="24"/>
          <w:highlight w:val="none"/>
        </w:rPr>
      </w:pPr>
    </w:p>
    <w:p w14:paraId="3C83DDE1">
      <w:pPr>
        <w:spacing w:line="360" w:lineRule="auto"/>
        <w:rPr>
          <w:rFonts w:hint="eastAsia" w:ascii="宋体" w:hAnsi="宋体" w:cs="宋体"/>
          <w:b/>
          <w:color w:val="auto"/>
          <w:sz w:val="24"/>
          <w:highlight w:val="none"/>
        </w:rPr>
      </w:pPr>
    </w:p>
    <w:p w14:paraId="0B0850B2">
      <w:pPr>
        <w:spacing w:line="360" w:lineRule="auto"/>
        <w:rPr>
          <w:rFonts w:hint="eastAsia" w:ascii="宋体" w:hAnsi="宋体" w:cs="宋体"/>
          <w:b/>
          <w:color w:val="auto"/>
          <w:sz w:val="24"/>
          <w:highlight w:val="none"/>
        </w:rPr>
      </w:pPr>
    </w:p>
    <w:p w14:paraId="041D7BB0">
      <w:pPr>
        <w:spacing w:line="360" w:lineRule="auto"/>
        <w:rPr>
          <w:rFonts w:hint="eastAsia" w:ascii="宋体" w:hAnsi="宋体" w:cs="宋体"/>
          <w:b/>
          <w:color w:val="auto"/>
          <w:sz w:val="24"/>
          <w:highlight w:val="none"/>
        </w:rPr>
      </w:pPr>
    </w:p>
    <w:p w14:paraId="68CC0B16">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52555B6A">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1D72D5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D125D7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34FD9B9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1D7B3BE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3071CF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4849861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A75AB1B">
      <w:pPr>
        <w:autoSpaceDE w:val="0"/>
        <w:autoSpaceDN w:val="0"/>
        <w:jc w:val="center"/>
        <w:rPr>
          <w:rFonts w:ascii="宋体" w:hAnsi="宋体" w:cs="宋体"/>
          <w:b/>
          <w:color w:val="auto"/>
          <w:spacing w:val="6"/>
          <w:sz w:val="32"/>
          <w:szCs w:val="32"/>
          <w:highlight w:val="none"/>
        </w:rPr>
      </w:pPr>
    </w:p>
    <w:p w14:paraId="68DF5E64">
      <w:pPr>
        <w:autoSpaceDE w:val="0"/>
        <w:autoSpaceDN w:val="0"/>
        <w:jc w:val="center"/>
        <w:rPr>
          <w:rFonts w:hint="eastAsia" w:ascii="宋体" w:hAnsi="宋体" w:cs="宋体"/>
          <w:b/>
          <w:color w:val="auto"/>
          <w:spacing w:val="6"/>
          <w:sz w:val="32"/>
          <w:szCs w:val="32"/>
          <w:highlight w:val="none"/>
        </w:rPr>
      </w:pPr>
    </w:p>
    <w:p w14:paraId="4460F8A0">
      <w:pPr>
        <w:autoSpaceDE w:val="0"/>
        <w:autoSpaceDN w:val="0"/>
        <w:jc w:val="center"/>
        <w:rPr>
          <w:rFonts w:hint="eastAsia" w:ascii="宋体" w:hAnsi="宋体" w:cs="宋体"/>
          <w:b/>
          <w:color w:val="auto"/>
          <w:spacing w:val="6"/>
          <w:sz w:val="32"/>
          <w:szCs w:val="32"/>
          <w:highlight w:val="none"/>
        </w:rPr>
      </w:pPr>
    </w:p>
    <w:p w14:paraId="44D6D704">
      <w:pPr>
        <w:autoSpaceDE w:val="0"/>
        <w:autoSpaceDN w:val="0"/>
        <w:jc w:val="center"/>
        <w:rPr>
          <w:rFonts w:hint="eastAsia" w:ascii="宋体" w:hAnsi="宋体" w:cs="宋体"/>
          <w:b/>
          <w:color w:val="auto"/>
          <w:spacing w:val="6"/>
          <w:sz w:val="32"/>
          <w:szCs w:val="32"/>
          <w:highlight w:val="none"/>
        </w:rPr>
      </w:pPr>
    </w:p>
    <w:p w14:paraId="18DF6ED1">
      <w:pPr>
        <w:autoSpaceDE w:val="0"/>
        <w:autoSpaceDN w:val="0"/>
        <w:jc w:val="center"/>
        <w:rPr>
          <w:rFonts w:hint="eastAsia" w:ascii="宋体" w:hAnsi="宋体" w:cs="宋体"/>
          <w:b/>
          <w:color w:val="auto"/>
          <w:spacing w:val="6"/>
          <w:sz w:val="32"/>
          <w:szCs w:val="32"/>
          <w:highlight w:val="none"/>
        </w:rPr>
      </w:pPr>
    </w:p>
    <w:p w14:paraId="59768370">
      <w:pPr>
        <w:autoSpaceDE w:val="0"/>
        <w:autoSpaceDN w:val="0"/>
        <w:jc w:val="center"/>
        <w:rPr>
          <w:rFonts w:hint="eastAsia" w:ascii="宋体" w:hAnsi="宋体" w:cs="宋体"/>
          <w:b/>
          <w:color w:val="auto"/>
          <w:spacing w:val="6"/>
          <w:sz w:val="32"/>
          <w:szCs w:val="32"/>
          <w:highlight w:val="none"/>
        </w:rPr>
      </w:pPr>
    </w:p>
    <w:p w14:paraId="31C68DD1">
      <w:pPr>
        <w:autoSpaceDE w:val="0"/>
        <w:autoSpaceDN w:val="0"/>
        <w:jc w:val="center"/>
        <w:rPr>
          <w:rFonts w:hint="eastAsia" w:ascii="宋体" w:hAnsi="宋体" w:cs="宋体"/>
          <w:b/>
          <w:color w:val="auto"/>
          <w:spacing w:val="6"/>
          <w:sz w:val="32"/>
          <w:szCs w:val="32"/>
          <w:highlight w:val="none"/>
        </w:rPr>
      </w:pPr>
    </w:p>
    <w:p w14:paraId="4C38C155">
      <w:pPr>
        <w:autoSpaceDE w:val="0"/>
        <w:autoSpaceDN w:val="0"/>
        <w:jc w:val="center"/>
        <w:rPr>
          <w:rFonts w:hint="eastAsia" w:ascii="宋体" w:hAnsi="宋体" w:cs="宋体"/>
          <w:b/>
          <w:color w:val="auto"/>
          <w:spacing w:val="6"/>
          <w:sz w:val="32"/>
          <w:szCs w:val="32"/>
          <w:highlight w:val="none"/>
        </w:rPr>
      </w:pPr>
    </w:p>
    <w:p w14:paraId="75781667">
      <w:pPr>
        <w:autoSpaceDE w:val="0"/>
        <w:autoSpaceDN w:val="0"/>
        <w:jc w:val="center"/>
        <w:rPr>
          <w:rFonts w:hint="eastAsia" w:ascii="宋体" w:hAnsi="宋体" w:cs="宋体"/>
          <w:b/>
          <w:color w:val="auto"/>
          <w:spacing w:val="6"/>
          <w:sz w:val="32"/>
          <w:szCs w:val="32"/>
          <w:highlight w:val="none"/>
        </w:rPr>
      </w:pPr>
    </w:p>
    <w:p w14:paraId="537DBBCD">
      <w:pPr>
        <w:autoSpaceDE w:val="0"/>
        <w:autoSpaceDN w:val="0"/>
        <w:jc w:val="center"/>
        <w:rPr>
          <w:rFonts w:hint="eastAsia" w:ascii="宋体" w:hAnsi="宋体" w:cs="宋体"/>
          <w:b/>
          <w:color w:val="auto"/>
          <w:spacing w:val="6"/>
          <w:sz w:val="32"/>
          <w:szCs w:val="32"/>
          <w:highlight w:val="none"/>
        </w:rPr>
      </w:pPr>
    </w:p>
    <w:p w14:paraId="12779AF6">
      <w:pPr>
        <w:autoSpaceDE w:val="0"/>
        <w:autoSpaceDN w:val="0"/>
        <w:jc w:val="center"/>
        <w:rPr>
          <w:rFonts w:hint="eastAsia" w:ascii="宋体" w:hAnsi="宋体" w:cs="宋体"/>
          <w:b/>
          <w:color w:val="auto"/>
          <w:spacing w:val="6"/>
          <w:sz w:val="32"/>
          <w:szCs w:val="32"/>
          <w:highlight w:val="none"/>
        </w:rPr>
      </w:pPr>
    </w:p>
    <w:p w14:paraId="5DFE6722">
      <w:pPr>
        <w:autoSpaceDE w:val="0"/>
        <w:autoSpaceDN w:val="0"/>
        <w:jc w:val="center"/>
        <w:rPr>
          <w:rFonts w:hint="eastAsia" w:ascii="宋体" w:hAnsi="宋体" w:cs="宋体"/>
          <w:b/>
          <w:color w:val="auto"/>
          <w:spacing w:val="6"/>
          <w:sz w:val="32"/>
          <w:szCs w:val="32"/>
          <w:highlight w:val="none"/>
        </w:rPr>
      </w:pPr>
    </w:p>
    <w:p w14:paraId="3FE86CE5">
      <w:pPr>
        <w:autoSpaceDE w:val="0"/>
        <w:autoSpaceDN w:val="0"/>
        <w:jc w:val="center"/>
        <w:rPr>
          <w:rFonts w:hint="eastAsia" w:ascii="宋体" w:hAnsi="宋体" w:cs="宋体"/>
          <w:b/>
          <w:color w:val="auto"/>
          <w:spacing w:val="6"/>
          <w:sz w:val="32"/>
          <w:szCs w:val="32"/>
          <w:highlight w:val="none"/>
        </w:rPr>
      </w:pPr>
    </w:p>
    <w:p w14:paraId="0E8CC498">
      <w:pPr>
        <w:autoSpaceDE w:val="0"/>
        <w:autoSpaceDN w:val="0"/>
        <w:jc w:val="center"/>
        <w:rPr>
          <w:rFonts w:hint="eastAsia" w:ascii="宋体" w:hAnsi="宋体" w:cs="宋体"/>
          <w:b/>
          <w:color w:val="auto"/>
          <w:spacing w:val="6"/>
          <w:sz w:val="32"/>
          <w:szCs w:val="32"/>
          <w:highlight w:val="none"/>
        </w:rPr>
      </w:pPr>
    </w:p>
    <w:p w14:paraId="2E81F014">
      <w:pPr>
        <w:autoSpaceDE w:val="0"/>
        <w:autoSpaceDN w:val="0"/>
        <w:jc w:val="center"/>
        <w:rPr>
          <w:rFonts w:hint="eastAsia" w:ascii="宋体" w:hAnsi="宋体" w:cs="宋体"/>
          <w:b/>
          <w:color w:val="auto"/>
          <w:spacing w:val="6"/>
          <w:sz w:val="32"/>
          <w:szCs w:val="32"/>
          <w:highlight w:val="none"/>
        </w:rPr>
      </w:pPr>
    </w:p>
    <w:p w14:paraId="519F7FC1">
      <w:pPr>
        <w:autoSpaceDE w:val="0"/>
        <w:autoSpaceDN w:val="0"/>
        <w:jc w:val="center"/>
        <w:rPr>
          <w:rFonts w:hint="eastAsia" w:ascii="宋体" w:hAnsi="宋体" w:cs="宋体"/>
          <w:b/>
          <w:color w:val="auto"/>
          <w:spacing w:val="6"/>
          <w:sz w:val="32"/>
          <w:szCs w:val="32"/>
          <w:highlight w:val="none"/>
        </w:rPr>
      </w:pPr>
    </w:p>
    <w:p w14:paraId="42A5508F">
      <w:pPr>
        <w:autoSpaceDE w:val="0"/>
        <w:autoSpaceDN w:val="0"/>
        <w:jc w:val="center"/>
        <w:rPr>
          <w:rFonts w:hint="eastAsia" w:ascii="宋体" w:hAnsi="宋体" w:cs="宋体"/>
          <w:b/>
          <w:color w:val="auto"/>
          <w:spacing w:val="6"/>
          <w:sz w:val="32"/>
          <w:szCs w:val="32"/>
          <w:highlight w:val="none"/>
        </w:rPr>
      </w:pPr>
    </w:p>
    <w:p w14:paraId="4EA3A62C">
      <w:pPr>
        <w:autoSpaceDE w:val="0"/>
        <w:autoSpaceDN w:val="0"/>
        <w:jc w:val="center"/>
        <w:rPr>
          <w:rFonts w:hint="eastAsia" w:ascii="宋体" w:hAnsi="宋体" w:cs="宋体"/>
          <w:b/>
          <w:color w:val="auto"/>
          <w:spacing w:val="6"/>
          <w:sz w:val="32"/>
          <w:szCs w:val="32"/>
          <w:highlight w:val="none"/>
        </w:rPr>
      </w:pPr>
    </w:p>
    <w:p w14:paraId="6CABA569">
      <w:pPr>
        <w:autoSpaceDE w:val="0"/>
        <w:autoSpaceDN w:val="0"/>
        <w:jc w:val="center"/>
        <w:rPr>
          <w:rFonts w:hint="eastAsia" w:ascii="宋体" w:hAnsi="宋体" w:cs="宋体"/>
          <w:b/>
          <w:color w:val="auto"/>
          <w:spacing w:val="6"/>
          <w:sz w:val="32"/>
          <w:szCs w:val="32"/>
          <w:highlight w:val="none"/>
        </w:rPr>
      </w:pPr>
    </w:p>
    <w:p w14:paraId="5A03A19F">
      <w:pPr>
        <w:autoSpaceDE w:val="0"/>
        <w:autoSpaceDN w:val="0"/>
        <w:jc w:val="center"/>
        <w:rPr>
          <w:rFonts w:hint="eastAsia" w:ascii="宋体" w:hAnsi="宋体" w:cs="宋体"/>
          <w:b/>
          <w:color w:val="auto"/>
          <w:spacing w:val="6"/>
          <w:sz w:val="32"/>
          <w:szCs w:val="32"/>
          <w:highlight w:val="none"/>
        </w:rPr>
      </w:pPr>
    </w:p>
    <w:p w14:paraId="4C65DFE0">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40E7C7AE">
      <w:pPr>
        <w:spacing w:line="360" w:lineRule="auto"/>
        <w:rPr>
          <w:rFonts w:ascii="宋体" w:hAnsi="宋体" w:cs="宋体"/>
          <w:color w:val="auto"/>
          <w:sz w:val="24"/>
          <w:highlight w:val="none"/>
          <w:u w:val="single"/>
        </w:rPr>
      </w:pPr>
    </w:p>
    <w:p w14:paraId="79E93652">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2693B942">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w:t>
      </w:r>
      <w:r>
        <w:rPr>
          <w:rFonts w:hint="eastAsia" w:ascii="宋体" w:hAnsi="宋体" w:cs="宋体"/>
          <w:color w:val="auto"/>
          <w:sz w:val="24"/>
          <w:highlight w:val="none"/>
          <w:lang w:eastAsia="zh-CN"/>
        </w:rPr>
        <w:t>）</w:t>
      </w:r>
      <w:r>
        <w:rPr>
          <w:rFonts w:hint="eastAsia" w:ascii="宋体" w:hAnsi="宋体" w:cs="宋体"/>
          <w:color w:val="auto"/>
          <w:sz w:val="24"/>
          <w:highlight w:val="none"/>
        </w:rPr>
        <w:t>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534A7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BCC1A51">
      <w:pPr>
        <w:spacing w:line="360" w:lineRule="auto"/>
        <w:ind w:firstLine="494"/>
        <w:rPr>
          <w:rFonts w:ascii="宋体" w:hAnsi="宋体" w:cs="宋体"/>
          <w:color w:val="auto"/>
          <w:sz w:val="24"/>
          <w:highlight w:val="none"/>
        </w:rPr>
      </w:pPr>
    </w:p>
    <w:p w14:paraId="729DC0D8">
      <w:pPr>
        <w:spacing w:line="360" w:lineRule="auto"/>
        <w:ind w:firstLine="494"/>
        <w:rPr>
          <w:rFonts w:ascii="宋体" w:hAnsi="宋体" w:cs="宋体"/>
          <w:color w:val="auto"/>
          <w:sz w:val="24"/>
          <w:highlight w:val="none"/>
        </w:rPr>
      </w:pPr>
    </w:p>
    <w:p w14:paraId="579D2806">
      <w:pPr>
        <w:spacing w:line="360" w:lineRule="auto"/>
        <w:ind w:firstLine="494"/>
        <w:rPr>
          <w:rFonts w:ascii="宋体" w:hAnsi="宋体" w:cs="宋体"/>
          <w:color w:val="auto"/>
          <w:sz w:val="24"/>
          <w:highlight w:val="none"/>
        </w:rPr>
      </w:pPr>
    </w:p>
    <w:p w14:paraId="69143BA4">
      <w:pPr>
        <w:spacing w:line="360" w:lineRule="auto"/>
        <w:ind w:firstLine="494"/>
        <w:rPr>
          <w:rFonts w:ascii="宋体" w:hAnsi="宋体" w:cs="宋体"/>
          <w:color w:val="auto"/>
          <w:sz w:val="24"/>
          <w:highlight w:val="none"/>
        </w:rPr>
      </w:pPr>
    </w:p>
    <w:p w14:paraId="06F85905">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3EEA8048">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1B2A1E3">
      <w:pPr>
        <w:rPr>
          <w:rFonts w:ascii="宋体" w:hAnsi="宋体" w:cs="宋体"/>
          <w:color w:val="auto"/>
          <w:sz w:val="24"/>
          <w:highlight w:val="none"/>
        </w:rPr>
      </w:pPr>
      <w:r>
        <w:rPr>
          <w:rFonts w:hint="eastAsia" w:ascii="宋体" w:hAnsi="宋体" w:cs="宋体"/>
          <w:b/>
          <w:bCs/>
          <w:color w:val="auto"/>
          <w:sz w:val="24"/>
          <w:highlight w:val="none"/>
        </w:rPr>
        <w:t>附：</w:t>
      </w:r>
    </w:p>
    <w:p w14:paraId="2E1BDE0F">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74574D01">
      <w:pPr>
        <w:autoSpaceDE w:val="0"/>
        <w:autoSpaceDN w:val="0"/>
        <w:jc w:val="center"/>
        <w:rPr>
          <w:rFonts w:ascii="宋体" w:hAnsi="宋体" w:cs="宋体"/>
          <w:b/>
          <w:color w:val="auto"/>
          <w:spacing w:val="6"/>
          <w:sz w:val="32"/>
          <w:szCs w:val="32"/>
          <w:highlight w:val="none"/>
        </w:rPr>
      </w:pPr>
    </w:p>
    <w:p w14:paraId="12472987">
      <w:pPr>
        <w:autoSpaceDE w:val="0"/>
        <w:autoSpaceDN w:val="0"/>
        <w:jc w:val="center"/>
        <w:rPr>
          <w:rFonts w:ascii="宋体" w:hAnsi="宋体" w:cs="宋体"/>
          <w:b/>
          <w:color w:val="auto"/>
          <w:spacing w:val="6"/>
          <w:sz w:val="32"/>
          <w:szCs w:val="32"/>
          <w:highlight w:val="none"/>
        </w:rPr>
      </w:pPr>
    </w:p>
    <w:p w14:paraId="40952730">
      <w:pPr>
        <w:autoSpaceDE w:val="0"/>
        <w:autoSpaceDN w:val="0"/>
        <w:jc w:val="center"/>
        <w:rPr>
          <w:rFonts w:ascii="宋体" w:hAnsi="宋体" w:cs="宋体"/>
          <w:b/>
          <w:color w:val="auto"/>
          <w:spacing w:val="6"/>
          <w:sz w:val="32"/>
          <w:szCs w:val="32"/>
          <w:highlight w:val="none"/>
        </w:rPr>
      </w:pPr>
    </w:p>
    <w:p w14:paraId="14C0A765">
      <w:pPr>
        <w:autoSpaceDE w:val="0"/>
        <w:autoSpaceDN w:val="0"/>
        <w:jc w:val="center"/>
        <w:rPr>
          <w:rFonts w:ascii="宋体" w:hAnsi="宋体" w:cs="宋体"/>
          <w:b/>
          <w:color w:val="auto"/>
          <w:spacing w:val="6"/>
          <w:sz w:val="32"/>
          <w:szCs w:val="32"/>
          <w:highlight w:val="none"/>
        </w:rPr>
      </w:pPr>
    </w:p>
    <w:p w14:paraId="03F6D7F9">
      <w:pPr>
        <w:autoSpaceDE w:val="0"/>
        <w:autoSpaceDN w:val="0"/>
        <w:jc w:val="center"/>
        <w:rPr>
          <w:rFonts w:ascii="宋体" w:hAnsi="宋体" w:cs="宋体"/>
          <w:b/>
          <w:color w:val="auto"/>
          <w:spacing w:val="6"/>
          <w:sz w:val="32"/>
          <w:szCs w:val="32"/>
          <w:highlight w:val="none"/>
        </w:rPr>
      </w:pPr>
    </w:p>
    <w:p w14:paraId="4D557FCA">
      <w:pPr>
        <w:autoSpaceDE w:val="0"/>
        <w:autoSpaceDN w:val="0"/>
        <w:jc w:val="center"/>
        <w:rPr>
          <w:rFonts w:ascii="宋体" w:hAnsi="宋体" w:cs="宋体"/>
          <w:b/>
          <w:color w:val="auto"/>
          <w:spacing w:val="6"/>
          <w:sz w:val="32"/>
          <w:szCs w:val="32"/>
          <w:highlight w:val="none"/>
        </w:rPr>
      </w:pPr>
    </w:p>
    <w:p w14:paraId="747D5734">
      <w:pPr>
        <w:autoSpaceDE w:val="0"/>
        <w:autoSpaceDN w:val="0"/>
        <w:jc w:val="center"/>
        <w:rPr>
          <w:rFonts w:ascii="宋体" w:hAnsi="宋体" w:cs="宋体"/>
          <w:b/>
          <w:color w:val="auto"/>
          <w:spacing w:val="6"/>
          <w:sz w:val="32"/>
          <w:szCs w:val="32"/>
          <w:highlight w:val="none"/>
        </w:rPr>
      </w:pPr>
    </w:p>
    <w:p w14:paraId="6CFA4C0C">
      <w:pPr>
        <w:autoSpaceDE w:val="0"/>
        <w:autoSpaceDN w:val="0"/>
        <w:jc w:val="center"/>
        <w:rPr>
          <w:rFonts w:ascii="宋体" w:hAnsi="宋体" w:cs="宋体"/>
          <w:b/>
          <w:color w:val="auto"/>
          <w:spacing w:val="6"/>
          <w:sz w:val="32"/>
          <w:szCs w:val="32"/>
          <w:highlight w:val="none"/>
        </w:rPr>
      </w:pPr>
    </w:p>
    <w:p w14:paraId="7C945D75">
      <w:pPr>
        <w:autoSpaceDE w:val="0"/>
        <w:autoSpaceDN w:val="0"/>
        <w:jc w:val="center"/>
        <w:rPr>
          <w:rFonts w:ascii="宋体" w:hAnsi="宋体" w:cs="宋体"/>
          <w:b/>
          <w:color w:val="auto"/>
          <w:spacing w:val="6"/>
          <w:sz w:val="32"/>
          <w:szCs w:val="32"/>
          <w:highlight w:val="none"/>
        </w:rPr>
      </w:pPr>
    </w:p>
    <w:p w14:paraId="1473A348">
      <w:pPr>
        <w:autoSpaceDE w:val="0"/>
        <w:autoSpaceDN w:val="0"/>
        <w:jc w:val="center"/>
        <w:rPr>
          <w:rFonts w:ascii="宋体" w:hAnsi="宋体" w:cs="宋体"/>
          <w:b/>
          <w:color w:val="auto"/>
          <w:spacing w:val="6"/>
          <w:sz w:val="32"/>
          <w:szCs w:val="32"/>
          <w:highlight w:val="none"/>
        </w:rPr>
      </w:pPr>
    </w:p>
    <w:p w14:paraId="53666916">
      <w:pPr>
        <w:autoSpaceDE w:val="0"/>
        <w:autoSpaceDN w:val="0"/>
        <w:jc w:val="center"/>
        <w:rPr>
          <w:rFonts w:hint="eastAsia" w:ascii="宋体" w:hAnsi="宋体" w:cs="宋体"/>
          <w:b/>
          <w:color w:val="auto"/>
          <w:spacing w:val="6"/>
          <w:sz w:val="32"/>
          <w:szCs w:val="32"/>
          <w:highlight w:val="none"/>
        </w:rPr>
      </w:pPr>
    </w:p>
    <w:p w14:paraId="064F35E4">
      <w:pPr>
        <w:autoSpaceDE w:val="0"/>
        <w:autoSpaceDN w:val="0"/>
        <w:jc w:val="center"/>
        <w:rPr>
          <w:rFonts w:hint="eastAsia" w:ascii="宋体" w:hAnsi="宋体" w:cs="宋体"/>
          <w:b/>
          <w:color w:val="auto"/>
          <w:spacing w:val="6"/>
          <w:sz w:val="32"/>
          <w:szCs w:val="32"/>
          <w:highlight w:val="none"/>
        </w:rPr>
      </w:pPr>
    </w:p>
    <w:p w14:paraId="6B7C3ED8">
      <w:pPr>
        <w:autoSpaceDE w:val="0"/>
        <w:autoSpaceDN w:val="0"/>
        <w:jc w:val="center"/>
        <w:rPr>
          <w:rFonts w:hint="eastAsia" w:ascii="宋体" w:hAnsi="宋体" w:cs="宋体"/>
          <w:b/>
          <w:color w:val="auto"/>
          <w:spacing w:val="6"/>
          <w:sz w:val="32"/>
          <w:szCs w:val="32"/>
          <w:highlight w:val="none"/>
        </w:rPr>
      </w:pPr>
    </w:p>
    <w:p w14:paraId="0B6D7CD4">
      <w:pPr>
        <w:autoSpaceDE w:val="0"/>
        <w:autoSpaceDN w:val="0"/>
        <w:jc w:val="center"/>
        <w:rPr>
          <w:rFonts w:hint="eastAsia" w:ascii="宋体" w:hAnsi="宋体" w:cs="宋体"/>
          <w:b/>
          <w:color w:val="auto"/>
          <w:spacing w:val="6"/>
          <w:sz w:val="32"/>
          <w:szCs w:val="32"/>
          <w:highlight w:val="none"/>
        </w:rPr>
      </w:pPr>
    </w:p>
    <w:p w14:paraId="03C3133B">
      <w:pPr>
        <w:autoSpaceDE w:val="0"/>
        <w:autoSpaceDN w:val="0"/>
        <w:jc w:val="center"/>
        <w:rPr>
          <w:rFonts w:hint="eastAsia" w:ascii="宋体" w:hAnsi="宋体" w:cs="宋体"/>
          <w:b/>
          <w:color w:val="auto"/>
          <w:spacing w:val="6"/>
          <w:sz w:val="32"/>
          <w:szCs w:val="32"/>
          <w:highlight w:val="none"/>
        </w:rPr>
      </w:pPr>
    </w:p>
    <w:p w14:paraId="19CB8065">
      <w:pPr>
        <w:autoSpaceDE w:val="0"/>
        <w:autoSpaceDN w:val="0"/>
        <w:jc w:val="center"/>
        <w:rPr>
          <w:rFonts w:hint="eastAsia" w:ascii="宋体" w:hAnsi="宋体" w:cs="宋体"/>
          <w:b/>
          <w:color w:val="auto"/>
          <w:spacing w:val="6"/>
          <w:sz w:val="32"/>
          <w:szCs w:val="32"/>
          <w:highlight w:val="none"/>
        </w:rPr>
      </w:pPr>
    </w:p>
    <w:p w14:paraId="62C588B3">
      <w:pPr>
        <w:autoSpaceDE w:val="0"/>
        <w:autoSpaceDN w:val="0"/>
        <w:jc w:val="center"/>
        <w:rPr>
          <w:rFonts w:hint="eastAsia" w:ascii="宋体" w:hAnsi="宋体" w:cs="宋体"/>
          <w:b/>
          <w:color w:val="auto"/>
          <w:spacing w:val="6"/>
          <w:sz w:val="32"/>
          <w:szCs w:val="32"/>
          <w:highlight w:val="none"/>
        </w:rPr>
      </w:pPr>
    </w:p>
    <w:p w14:paraId="053887FC">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04B866BD">
      <w:pPr>
        <w:widowControl/>
        <w:spacing w:line="24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0B6536B">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35B55EDB">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A863C43">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0C1510A9">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8D94B9C">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08BA099">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FC5BA96">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7B2B33C2">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6ACD955">
      <w:pPr>
        <w:snapToGrid w:val="0"/>
        <w:spacing w:line="24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398"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398"/>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399"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399"/>
      <w:r>
        <w:rPr>
          <w:rFonts w:hint="eastAsia" w:ascii="宋体" w:hAnsi="宋体" w:cs="宋体"/>
          <w:b/>
          <w:color w:val="auto"/>
          <w:kern w:val="0"/>
          <w:sz w:val="24"/>
          <w:highlight w:val="none"/>
          <w:lang w:val="zh-CN"/>
        </w:rPr>
        <w:t>）</w:t>
      </w:r>
    </w:p>
    <w:p w14:paraId="7A45B8E6">
      <w:pPr>
        <w:spacing w:line="24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00"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00"/>
    </w:p>
    <w:p w14:paraId="334C48E2">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6F570C19">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6092FDB">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00AE868">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7F8D7F3">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2C4D1EB">
      <w:pPr>
        <w:snapToGrid w:val="0"/>
        <w:spacing w:line="24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E9F89D8">
      <w:pPr>
        <w:snapToGrid w:val="0"/>
        <w:spacing w:line="24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A8ECFA8">
      <w:pPr>
        <w:snapToGrid w:val="0"/>
        <w:spacing w:line="24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C6BEB53">
      <w:pPr>
        <w:snapToGrid w:val="0"/>
        <w:spacing w:line="24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F7A1982">
      <w:pPr>
        <w:spacing w:line="24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7719768">
      <w:pPr>
        <w:autoSpaceDE w:val="0"/>
        <w:autoSpaceDN w:val="0"/>
        <w:jc w:val="center"/>
        <w:rPr>
          <w:rFonts w:ascii="宋体" w:hAnsi="宋体" w:cs="宋体"/>
          <w:b/>
          <w:color w:val="auto"/>
          <w:spacing w:val="6"/>
          <w:sz w:val="32"/>
          <w:szCs w:val="32"/>
          <w:highlight w:val="none"/>
        </w:rPr>
      </w:pPr>
    </w:p>
    <w:p w14:paraId="1D0A103C">
      <w:pPr>
        <w:autoSpaceDE w:val="0"/>
        <w:autoSpaceDN w:val="0"/>
        <w:jc w:val="center"/>
        <w:rPr>
          <w:rFonts w:ascii="宋体" w:hAnsi="宋体" w:cs="宋体"/>
          <w:b/>
          <w:color w:val="auto"/>
          <w:spacing w:val="6"/>
          <w:sz w:val="32"/>
          <w:szCs w:val="32"/>
          <w:highlight w:val="none"/>
        </w:rPr>
      </w:pPr>
    </w:p>
    <w:p w14:paraId="5FF15F07">
      <w:pPr>
        <w:autoSpaceDE w:val="0"/>
        <w:autoSpaceDN w:val="0"/>
        <w:jc w:val="center"/>
        <w:rPr>
          <w:rFonts w:ascii="宋体" w:hAnsi="宋体" w:cs="宋体"/>
          <w:b/>
          <w:color w:val="auto"/>
          <w:spacing w:val="6"/>
          <w:sz w:val="32"/>
          <w:szCs w:val="32"/>
          <w:highlight w:val="none"/>
        </w:rPr>
      </w:pPr>
    </w:p>
    <w:p w14:paraId="0B8650B0">
      <w:pPr>
        <w:autoSpaceDE w:val="0"/>
        <w:autoSpaceDN w:val="0"/>
        <w:jc w:val="center"/>
        <w:rPr>
          <w:rFonts w:ascii="宋体" w:hAnsi="宋体" w:cs="宋体"/>
          <w:b/>
          <w:color w:val="auto"/>
          <w:spacing w:val="6"/>
          <w:sz w:val="32"/>
          <w:szCs w:val="32"/>
          <w:highlight w:val="none"/>
        </w:rPr>
      </w:pPr>
    </w:p>
    <w:p w14:paraId="2E434D3A">
      <w:pPr>
        <w:autoSpaceDE w:val="0"/>
        <w:autoSpaceDN w:val="0"/>
        <w:jc w:val="center"/>
        <w:rPr>
          <w:rFonts w:ascii="宋体" w:hAnsi="宋体" w:cs="宋体"/>
          <w:b/>
          <w:color w:val="auto"/>
          <w:spacing w:val="6"/>
          <w:sz w:val="32"/>
          <w:szCs w:val="32"/>
          <w:highlight w:val="none"/>
        </w:rPr>
      </w:pPr>
    </w:p>
    <w:p w14:paraId="54AB5CE3">
      <w:pPr>
        <w:autoSpaceDE w:val="0"/>
        <w:autoSpaceDN w:val="0"/>
        <w:jc w:val="center"/>
        <w:rPr>
          <w:rFonts w:ascii="宋体" w:hAnsi="宋体" w:cs="宋体"/>
          <w:b/>
          <w:color w:val="auto"/>
          <w:spacing w:val="6"/>
          <w:sz w:val="32"/>
          <w:szCs w:val="32"/>
          <w:highlight w:val="none"/>
        </w:rPr>
      </w:pPr>
    </w:p>
    <w:p w14:paraId="1EA60D8D">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333EFB72">
      <w:pPr>
        <w:widowControl/>
        <w:spacing w:line="24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709C11F8">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22C20F56">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2FE90929">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189F2810">
      <w:pPr>
        <w:pStyle w:val="3"/>
        <w:spacing w:line="24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65C0A31C">
      <w:pPr>
        <w:spacing w:line="240" w:lineRule="auto"/>
        <w:rPr>
          <w:color w:val="auto"/>
          <w:highlight w:val="none"/>
        </w:rPr>
      </w:pPr>
      <w:r>
        <w:rPr>
          <w:rFonts w:hint="eastAsia"/>
          <w:color w:val="auto"/>
          <w:highlight w:val="none"/>
          <w:lang w:val="zh-CN"/>
        </w:rPr>
        <w:t xml:space="preserve"> </w:t>
      </w:r>
    </w:p>
    <w:p w14:paraId="1A539FB1">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976068F">
      <w:pPr>
        <w:snapToGrid w:val="0"/>
        <w:spacing w:line="24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E445DCC">
      <w:pPr>
        <w:spacing w:line="24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269F484B">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65E13DA">
      <w:pPr>
        <w:snapToGrid w:val="0"/>
        <w:spacing w:line="24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C497578">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BAF6A90">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BA321E7">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898118E">
      <w:pPr>
        <w:snapToGrid w:val="0"/>
        <w:spacing w:line="24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6C7DE37">
      <w:pPr>
        <w:snapToGrid w:val="0"/>
        <w:spacing w:line="24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38A792E">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22C288F">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F55D7B0">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5E4058D">
      <w:pPr>
        <w:snapToGrid w:val="0"/>
        <w:spacing w:line="24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30754BB1">
      <w:pPr>
        <w:snapToGrid w:val="0"/>
        <w:spacing w:line="24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05EF4018">
      <w:pPr>
        <w:snapToGrid w:val="0"/>
        <w:spacing w:line="24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4585DD8">
      <w:pPr>
        <w:snapToGrid w:val="0"/>
        <w:spacing w:line="24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DA9AED3">
      <w:pPr>
        <w:snapToGrid w:val="0"/>
        <w:spacing w:line="24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F1296C7">
      <w:pPr>
        <w:spacing w:line="24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E2AAACD">
      <w:pPr>
        <w:autoSpaceDE w:val="0"/>
        <w:autoSpaceDN w:val="0"/>
        <w:jc w:val="center"/>
        <w:rPr>
          <w:rFonts w:ascii="宋体" w:hAnsi="宋体" w:cs="宋体"/>
          <w:b/>
          <w:color w:val="auto"/>
          <w:spacing w:val="6"/>
          <w:sz w:val="32"/>
          <w:szCs w:val="32"/>
          <w:highlight w:val="none"/>
        </w:rPr>
      </w:pPr>
    </w:p>
    <w:p w14:paraId="74F7FF62">
      <w:pPr>
        <w:autoSpaceDE w:val="0"/>
        <w:autoSpaceDN w:val="0"/>
        <w:jc w:val="center"/>
        <w:rPr>
          <w:rFonts w:ascii="宋体" w:hAnsi="宋体" w:cs="宋体"/>
          <w:b/>
          <w:color w:val="auto"/>
          <w:spacing w:val="6"/>
          <w:sz w:val="32"/>
          <w:szCs w:val="32"/>
          <w:highlight w:val="none"/>
        </w:rPr>
      </w:pPr>
    </w:p>
    <w:p w14:paraId="54DE0492">
      <w:pPr>
        <w:autoSpaceDE w:val="0"/>
        <w:autoSpaceDN w:val="0"/>
        <w:jc w:val="center"/>
        <w:rPr>
          <w:rFonts w:ascii="宋体" w:hAnsi="宋体" w:cs="宋体"/>
          <w:b/>
          <w:color w:val="auto"/>
          <w:spacing w:val="6"/>
          <w:sz w:val="32"/>
          <w:szCs w:val="32"/>
          <w:highlight w:val="none"/>
        </w:rPr>
      </w:pPr>
    </w:p>
    <w:p w14:paraId="53558DB2">
      <w:pPr>
        <w:autoSpaceDE w:val="0"/>
        <w:autoSpaceDN w:val="0"/>
        <w:jc w:val="center"/>
        <w:rPr>
          <w:rFonts w:ascii="宋体" w:hAnsi="宋体" w:cs="宋体"/>
          <w:b/>
          <w:color w:val="auto"/>
          <w:spacing w:val="6"/>
          <w:sz w:val="32"/>
          <w:szCs w:val="32"/>
          <w:highlight w:val="none"/>
        </w:rPr>
      </w:pPr>
    </w:p>
    <w:p w14:paraId="66951CA8">
      <w:pPr>
        <w:autoSpaceDE w:val="0"/>
        <w:autoSpaceDN w:val="0"/>
        <w:jc w:val="center"/>
        <w:rPr>
          <w:rFonts w:ascii="宋体" w:hAnsi="宋体" w:cs="宋体"/>
          <w:b/>
          <w:color w:val="auto"/>
          <w:spacing w:val="6"/>
          <w:sz w:val="32"/>
          <w:szCs w:val="32"/>
          <w:highlight w:val="none"/>
        </w:rPr>
      </w:pPr>
    </w:p>
    <w:p w14:paraId="5BF84451">
      <w:pPr>
        <w:autoSpaceDE w:val="0"/>
        <w:autoSpaceDN w:val="0"/>
        <w:jc w:val="center"/>
        <w:rPr>
          <w:rFonts w:ascii="宋体" w:hAnsi="宋体" w:cs="宋体"/>
          <w:b/>
          <w:color w:val="auto"/>
          <w:spacing w:val="6"/>
          <w:sz w:val="32"/>
          <w:szCs w:val="32"/>
          <w:highlight w:val="none"/>
        </w:rPr>
      </w:pPr>
    </w:p>
    <w:p w14:paraId="6CC22D28">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4C891253">
      <w:pPr>
        <w:spacing w:line="360" w:lineRule="auto"/>
        <w:jc w:val="center"/>
        <w:rPr>
          <w:rFonts w:ascii="宋体" w:hAnsi="宋体" w:cs="宋体"/>
          <w:color w:val="auto"/>
          <w:sz w:val="24"/>
          <w:highlight w:val="none"/>
          <w:u w:val="single"/>
        </w:rPr>
      </w:pPr>
    </w:p>
    <w:p w14:paraId="0E7047D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50CC7A42">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F9E3AB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1528A28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D59F55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28B6AB1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8C7AAC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B534DF5">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2C5C628B">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666005AD">
      <w:pPr>
        <w:spacing w:line="360" w:lineRule="auto"/>
        <w:ind w:right="420" w:firstLine="480" w:firstLineChars="200"/>
        <w:rPr>
          <w:rFonts w:hint="eastAsia" w:ascii="宋体" w:hAnsi="宋体" w:cs="宋体"/>
          <w:color w:val="auto"/>
          <w:sz w:val="24"/>
          <w:highlight w:val="none"/>
        </w:rPr>
      </w:pPr>
    </w:p>
    <w:p w14:paraId="70056AB9">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汉仪颜楷简">
    <w:altName w:val="宋体"/>
    <w:panose1 w:val="00020600040101010101"/>
    <w:charset w:val="86"/>
    <w:family w:val="auto"/>
    <w:pitch w:val="default"/>
    <w:sig w:usb0="00000000" w:usb1="00000000" w:usb2="00000016" w:usb3="00000000" w:csb0="000400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Vrinda"/>
    <w:panose1 w:val="020B0500000000000000"/>
    <w:charset w:val="00"/>
    <w:family w:val="swiss"/>
    <w:pitch w:val="default"/>
    <w:sig w:usb0="00000000" w:usb1="00000000" w:usb2="00000000" w:usb3="00000000" w:csb0="00000001" w:csb1="00000000"/>
  </w:font>
  <w:font w:name="Lohit Devanagari">
    <w:altName w:val="Vijaya"/>
    <w:panose1 w:val="020B0600000000000000"/>
    <w:charset w:val="00"/>
    <w:family w:val="auto"/>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汉仪中宋简">
    <w:altName w:val="宋体"/>
    <w:panose1 w:val="02010600000101010101"/>
    <w:charset w:val="86"/>
    <w:family w:val="auto"/>
    <w:pitch w:val="default"/>
    <w:sig w:usb0="00000000" w:usb1="00000000" w:usb2="00000002" w:usb3="00000000" w:csb0="00040000" w:csb1="00000000"/>
  </w:font>
  <w:font w:name="Verdana">
    <w:panose1 w:val="020B0604030504040204"/>
    <w:charset w:val="00"/>
    <w:family w:val="swiss"/>
    <w:pitch w:val="default"/>
    <w:sig w:usb0="A10006FF" w:usb1="4000205B" w:usb2="00000010" w:usb3="00000000" w:csb0="2000019F" w:csb1="00000000"/>
  </w:font>
  <w:font w:name="ˎ̥">
    <w:altName w:val="方正准圆简体"/>
    <w:panose1 w:val="00000000000000000000"/>
    <w:charset w:val="00"/>
    <w:family w:val="roman"/>
    <w:pitch w:val="default"/>
    <w:sig w:usb0="00000000" w:usb1="00000000" w:usb2="00000000" w:usb3="00000000" w:csb0="00040001" w:csb1="00000000"/>
  </w:font>
  <w:font w:name="思源宋体">
    <w:altName w:val="宋体"/>
    <w:panose1 w:val="02020400000000000000"/>
    <w:charset w:val="86"/>
    <w:family w:val="auto"/>
    <w:pitch w:val="default"/>
    <w:sig w:usb0="00000000" w:usb1="00000000" w:usb2="00000016" w:usb3="00000000" w:csb0="602E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国标仿宋">
    <w:altName w:val="仿宋"/>
    <w:panose1 w:val="02000500000000000000"/>
    <w:charset w:val="86"/>
    <w:family w:val="auto"/>
    <w:pitch w:val="default"/>
    <w:sig w:usb0="00000000" w:usb1="00000000" w:usb2="00000016" w:usb3="00000000" w:csb0="00060007" w:csb1="00000000"/>
  </w:font>
  <w:font w:name="Arial (W1)">
    <w:altName w:val="Arial"/>
    <w:panose1 w:val="00000000000000000000"/>
    <w:charset w:val="00"/>
    <w:family w:val="swiss"/>
    <w:pitch w:val="default"/>
    <w:sig w:usb0="00000000" w:usb1="00000000" w:usb2="00000008" w:usb3="00000000" w:csb0="000001FF" w:csb1="00000000"/>
  </w:font>
  <w:font w:name="DejaVu Sans">
    <w:altName w:val="Segoe Print"/>
    <w:panose1 w:val="020B0603030804020204"/>
    <w:charset w:val="00"/>
    <w:family w:val="auto"/>
    <w:pitch w:val="default"/>
    <w:sig w:usb0="00000000" w:usb1="00000000" w:usb2="0A246029" w:usb3="0400200C" w:csb0="600001FF" w:csb1="DFFF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方正准圆简体"/>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方正准圆简体"/>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MS Mincho">
    <w:panose1 w:val="02020609040205080304"/>
    <w:charset w:val="80"/>
    <w:family w:val="roma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方正准圆简体">
    <w:panose1 w:val="020005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A9B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9E069">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2FE7">
    <w:pPr>
      <w:pStyle w:val="39"/>
      <w:framePr w:wrap="around" w:vAnchor="text" w:hAnchor="margin" w:xAlign="right" w:y="1"/>
      <w:rPr>
        <w:rStyle w:val="72"/>
      </w:rPr>
    </w:pPr>
    <w:r>
      <w:fldChar w:fldCharType="begin"/>
    </w:r>
    <w:r>
      <w:rPr>
        <w:rStyle w:val="72"/>
      </w:rPr>
      <w:instrText xml:space="preserve">PAGE  </w:instrText>
    </w:r>
    <w:r>
      <w:fldChar w:fldCharType="end"/>
    </w:r>
  </w:p>
  <w:p w14:paraId="65FC6C0A">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EB675">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401" w:name="_Toc36110187"/>
    <w:bookmarkStart w:id="402" w:name="_Toc164085800"/>
    <w:bookmarkStart w:id="403" w:name="_Toc131845147"/>
    <w:bookmarkStart w:id="404" w:name="_Toc91899912"/>
    <w:r>
      <w:rPr>
        <w:rFonts w:hint="eastAsia" w:ascii="仿宋_GB2312" w:eastAsia="仿宋_GB2312"/>
        <w:kern w:val="0"/>
        <w:szCs w:val="21"/>
      </w:rPr>
      <w:t xml:space="preserve"> 页</w:t>
    </w:r>
    <w:bookmarkEnd w:id="401"/>
    <w:bookmarkEnd w:id="402"/>
    <w:bookmarkEnd w:id="403"/>
    <w:bookmarkEnd w:id="40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36CE6">
    <w:pPr>
      <w:pStyle w:val="39"/>
      <w:framePr w:wrap="around" w:vAnchor="text" w:hAnchor="margin" w:xAlign="right" w:y="1"/>
      <w:rPr>
        <w:rStyle w:val="72"/>
      </w:rPr>
    </w:pPr>
    <w:r>
      <w:fldChar w:fldCharType="begin"/>
    </w:r>
    <w:r>
      <w:rPr>
        <w:rStyle w:val="72"/>
      </w:rPr>
      <w:instrText xml:space="preserve">PAGE  </w:instrText>
    </w:r>
    <w:r>
      <w:fldChar w:fldCharType="end"/>
    </w:r>
  </w:p>
  <w:p w14:paraId="5E0900AF">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CF49">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DF4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98249BA">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67A5">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A8062F7">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AF66">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948AC30">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C8FC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5831DD3">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DEE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E3EDA19">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6EDA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AB157C5">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86DA1">
    <w:pPr>
      <w:pStyle w:val="40"/>
      <w:pBdr>
        <w:bottom w:val="single" w:color="auto" w:sz="6" w:space="4"/>
      </w:pBdr>
      <w:jc w:val="right"/>
    </w:pPr>
    <w:r>
      <w:t></w:t>
    </w:r>
    <w:r>
      <w:rPr>
        <w:rFonts w:hint="eastAsia"/>
      </w:rPr>
      <w:t xml:space="preserve">             </w:t>
    </w:r>
    <w:r>
      <w:t>杭州市政府采购公开招标文件</w:t>
    </w:r>
  </w:p>
  <w:p w14:paraId="5E97806E">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DFFC5">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7586B">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B6CC">
    <w:pPr>
      <w:pStyle w:val="40"/>
      <w:rPr>
        <w:rFonts w:ascii="仿宋_GB2312" w:eastAsia="仿宋_GB2312"/>
        <w:b/>
        <w:i/>
        <w:u w:val="single"/>
      </w:rPr>
    </w:pPr>
    <w:r>
      <w:t></w:t>
    </w:r>
    <w:r>
      <w:rPr>
        <w:rFonts w:hint="eastAsia"/>
      </w:rPr>
      <w:t xml:space="preserve">                                                  </w:t>
    </w:r>
    <w:r>
      <w:t xml:space="preserve">             杭州市政府采购公开招标文件</w:t>
    </w:r>
  </w:p>
  <w:p w14:paraId="7DC11C7F">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6B78">
    <w:pPr>
      <w:pStyle w:val="40"/>
    </w:pPr>
    <w:r>
      <w:t></w:t>
    </w:r>
    <w:r>
      <w:rPr>
        <w:rFonts w:hint="eastAsia"/>
      </w:rPr>
      <w:t xml:space="preserve">         </w:t>
    </w:r>
  </w:p>
  <w:p w14:paraId="6F97612A">
    <w:pPr>
      <w:pStyle w:val="40"/>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8352">
    <w:pPr>
      <w:pStyle w:val="40"/>
      <w:rPr>
        <w:rFonts w:ascii="仿宋_GB2312" w:eastAsia="仿宋_GB2312"/>
        <w:b/>
        <w:i/>
        <w:u w:val="single"/>
      </w:rPr>
    </w:pPr>
    <w:r>
      <w:t></w:t>
    </w:r>
    <w:r>
      <w:rPr>
        <w:rFonts w:hint="eastAsia"/>
      </w:rPr>
      <w:t xml:space="preserve">                                                  </w:t>
    </w:r>
    <w:r>
      <w:t>杭州市政府采购公开招标文件</w:t>
    </w:r>
  </w:p>
  <w:p w14:paraId="4E6D3F42">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F6727">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65F28">
    <w:pPr>
      <w:pStyle w:val="40"/>
      <w:jc w:val="right"/>
      <w:rPr>
        <w:rFonts w:ascii="仿宋_GB2312" w:eastAsia="仿宋_GB2312"/>
        <w:b/>
        <w:i/>
        <w:u w:val="single"/>
      </w:rPr>
    </w:pPr>
    <w:r>
      <w:rPr>
        <w:rFonts w:hint="eastAsia"/>
      </w:rPr>
      <w:t xml:space="preserve">                                  </w:t>
    </w:r>
    <w:r>
      <w:t>杭州市政府采购公开招标文件</w:t>
    </w:r>
  </w:p>
  <w:p w14:paraId="6EB7AF38">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54DC7">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982D0">
    <w:pPr>
      <w:pStyle w:val="40"/>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0FD00"/>
    <w:multiLevelType w:val="singleLevel"/>
    <w:tmpl w:val="BE10FD00"/>
    <w:lvl w:ilvl="0" w:tentative="0">
      <w:start w:val="4"/>
      <w:numFmt w:val="decimal"/>
      <w:lvlText w:val="%1."/>
      <w:lvlJc w:val="left"/>
      <w:pPr>
        <w:tabs>
          <w:tab w:val="left" w:pos="312"/>
        </w:tabs>
      </w:pPr>
    </w:lvl>
  </w:abstractNum>
  <w:abstractNum w:abstractNumId="1">
    <w:nsid w:val="02A4D73A"/>
    <w:multiLevelType w:val="singleLevel"/>
    <w:tmpl w:val="02A4D73A"/>
    <w:lvl w:ilvl="0" w:tentative="0">
      <w:start w:val="3"/>
      <w:numFmt w:val="chineseCounting"/>
      <w:suff w:val="nothing"/>
      <w:lvlText w:val="%1、"/>
      <w:lvlJc w:val="left"/>
      <w:rPr>
        <w:rFonts w:hint="eastAsia"/>
      </w:rPr>
    </w:lvl>
  </w:abstractNum>
  <w:abstractNum w:abstractNumId="2">
    <w:nsid w:val="070DC1AE"/>
    <w:multiLevelType w:val="singleLevel"/>
    <w:tmpl w:val="070DC1AE"/>
    <w:lvl w:ilvl="0" w:tentative="0">
      <w:start w:val="1"/>
      <w:numFmt w:val="decimal"/>
      <w:lvlText w:val="%1."/>
      <w:lvlJc w:val="left"/>
      <w:pPr>
        <w:tabs>
          <w:tab w:val="left" w:pos="312"/>
        </w:tabs>
      </w:pPr>
    </w:lvl>
  </w:abstractNum>
  <w:abstractNum w:abstractNumId="3">
    <w:nsid w:val="41892D21"/>
    <w:multiLevelType w:val="singleLevel"/>
    <w:tmpl w:val="41892D2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7E6"/>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2855CE"/>
    <w:rsid w:val="01395070"/>
    <w:rsid w:val="019F7441"/>
    <w:rsid w:val="01B37585"/>
    <w:rsid w:val="01D55165"/>
    <w:rsid w:val="01DF6BF8"/>
    <w:rsid w:val="01EC2C57"/>
    <w:rsid w:val="025F0711"/>
    <w:rsid w:val="026B2E25"/>
    <w:rsid w:val="02824D4D"/>
    <w:rsid w:val="02B64A7D"/>
    <w:rsid w:val="02DC4B10"/>
    <w:rsid w:val="02DD76CE"/>
    <w:rsid w:val="02F36323"/>
    <w:rsid w:val="02F5619C"/>
    <w:rsid w:val="02F949FE"/>
    <w:rsid w:val="0326446A"/>
    <w:rsid w:val="032D5555"/>
    <w:rsid w:val="03597303"/>
    <w:rsid w:val="036634D2"/>
    <w:rsid w:val="03DD35E4"/>
    <w:rsid w:val="04076900"/>
    <w:rsid w:val="041A5A3B"/>
    <w:rsid w:val="042311BA"/>
    <w:rsid w:val="042B157A"/>
    <w:rsid w:val="048F763B"/>
    <w:rsid w:val="049F330E"/>
    <w:rsid w:val="04AA775C"/>
    <w:rsid w:val="04AF1889"/>
    <w:rsid w:val="04F66F48"/>
    <w:rsid w:val="05251E14"/>
    <w:rsid w:val="05A16594"/>
    <w:rsid w:val="05A7762D"/>
    <w:rsid w:val="05E21B65"/>
    <w:rsid w:val="06007F0A"/>
    <w:rsid w:val="060E5941"/>
    <w:rsid w:val="06110FAF"/>
    <w:rsid w:val="0639341C"/>
    <w:rsid w:val="06493CA7"/>
    <w:rsid w:val="065A6178"/>
    <w:rsid w:val="066F1CF3"/>
    <w:rsid w:val="06930BB8"/>
    <w:rsid w:val="06BC6527"/>
    <w:rsid w:val="06C638E3"/>
    <w:rsid w:val="06F141E7"/>
    <w:rsid w:val="070B300A"/>
    <w:rsid w:val="07245D42"/>
    <w:rsid w:val="07264C62"/>
    <w:rsid w:val="0779354C"/>
    <w:rsid w:val="07B92A66"/>
    <w:rsid w:val="08061376"/>
    <w:rsid w:val="081C718A"/>
    <w:rsid w:val="08452D77"/>
    <w:rsid w:val="084533AC"/>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2D39BD"/>
    <w:rsid w:val="0A3E7710"/>
    <w:rsid w:val="0A4E70E3"/>
    <w:rsid w:val="0A5B7E63"/>
    <w:rsid w:val="0AA374A5"/>
    <w:rsid w:val="0AAB7649"/>
    <w:rsid w:val="0ABC5606"/>
    <w:rsid w:val="0B30404E"/>
    <w:rsid w:val="0B4C6C14"/>
    <w:rsid w:val="0B547599"/>
    <w:rsid w:val="0B631A88"/>
    <w:rsid w:val="0B683D45"/>
    <w:rsid w:val="0B6B4D54"/>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212CFB"/>
    <w:rsid w:val="0D322CA8"/>
    <w:rsid w:val="0D4A7419"/>
    <w:rsid w:val="0D827401"/>
    <w:rsid w:val="0D84094E"/>
    <w:rsid w:val="0D8A00E9"/>
    <w:rsid w:val="0D8D589E"/>
    <w:rsid w:val="0DA01C73"/>
    <w:rsid w:val="0DA50E01"/>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9B0CA3"/>
    <w:rsid w:val="0FBF3FD2"/>
    <w:rsid w:val="0FBF7FF3"/>
    <w:rsid w:val="10176E9B"/>
    <w:rsid w:val="10646583"/>
    <w:rsid w:val="10695B51"/>
    <w:rsid w:val="107D4B15"/>
    <w:rsid w:val="108A3C80"/>
    <w:rsid w:val="10C26171"/>
    <w:rsid w:val="10D031C5"/>
    <w:rsid w:val="10DF4353"/>
    <w:rsid w:val="10F33360"/>
    <w:rsid w:val="10FC16EA"/>
    <w:rsid w:val="110A553C"/>
    <w:rsid w:val="110F1D40"/>
    <w:rsid w:val="111A2BC4"/>
    <w:rsid w:val="11266F33"/>
    <w:rsid w:val="118963A1"/>
    <w:rsid w:val="11A9400A"/>
    <w:rsid w:val="11C6522A"/>
    <w:rsid w:val="11CC15E8"/>
    <w:rsid w:val="11E104CC"/>
    <w:rsid w:val="11E20309"/>
    <w:rsid w:val="12255233"/>
    <w:rsid w:val="12530213"/>
    <w:rsid w:val="127723A9"/>
    <w:rsid w:val="12862074"/>
    <w:rsid w:val="12883966"/>
    <w:rsid w:val="129E45B4"/>
    <w:rsid w:val="12D81596"/>
    <w:rsid w:val="13072A44"/>
    <w:rsid w:val="13180F89"/>
    <w:rsid w:val="134C0C32"/>
    <w:rsid w:val="135F4BE2"/>
    <w:rsid w:val="139B1A0A"/>
    <w:rsid w:val="139D25C7"/>
    <w:rsid w:val="13BF3CE4"/>
    <w:rsid w:val="13CE750E"/>
    <w:rsid w:val="141008D8"/>
    <w:rsid w:val="14125FE6"/>
    <w:rsid w:val="146D271E"/>
    <w:rsid w:val="14982588"/>
    <w:rsid w:val="149A5AD9"/>
    <w:rsid w:val="14A7619D"/>
    <w:rsid w:val="150536C3"/>
    <w:rsid w:val="150C1963"/>
    <w:rsid w:val="151447A0"/>
    <w:rsid w:val="154839F5"/>
    <w:rsid w:val="154A6454"/>
    <w:rsid w:val="15636916"/>
    <w:rsid w:val="15762120"/>
    <w:rsid w:val="15A563D8"/>
    <w:rsid w:val="15C745A0"/>
    <w:rsid w:val="16722357"/>
    <w:rsid w:val="16A8729C"/>
    <w:rsid w:val="16B33777"/>
    <w:rsid w:val="16BC70A7"/>
    <w:rsid w:val="16C3745D"/>
    <w:rsid w:val="16C6339E"/>
    <w:rsid w:val="172F2D79"/>
    <w:rsid w:val="173D7210"/>
    <w:rsid w:val="17557BEF"/>
    <w:rsid w:val="17D349C1"/>
    <w:rsid w:val="1830729E"/>
    <w:rsid w:val="1870062C"/>
    <w:rsid w:val="187C5293"/>
    <w:rsid w:val="18817102"/>
    <w:rsid w:val="18830A15"/>
    <w:rsid w:val="18852B28"/>
    <w:rsid w:val="188B5321"/>
    <w:rsid w:val="18D70F9E"/>
    <w:rsid w:val="197FAE0F"/>
    <w:rsid w:val="19932372"/>
    <w:rsid w:val="19957DA4"/>
    <w:rsid w:val="19A20DD5"/>
    <w:rsid w:val="19AE03F1"/>
    <w:rsid w:val="19B45BCA"/>
    <w:rsid w:val="19E701AC"/>
    <w:rsid w:val="19EF40C6"/>
    <w:rsid w:val="1A071A03"/>
    <w:rsid w:val="1A1F16AE"/>
    <w:rsid w:val="1A3B5C77"/>
    <w:rsid w:val="1A881766"/>
    <w:rsid w:val="1A984BAD"/>
    <w:rsid w:val="1AB8220E"/>
    <w:rsid w:val="1AE4166C"/>
    <w:rsid w:val="1AF06CFB"/>
    <w:rsid w:val="1AF11B8D"/>
    <w:rsid w:val="1B11359C"/>
    <w:rsid w:val="1B2A271F"/>
    <w:rsid w:val="1B530544"/>
    <w:rsid w:val="1B713184"/>
    <w:rsid w:val="1BA209CF"/>
    <w:rsid w:val="1BB4777D"/>
    <w:rsid w:val="1BD75AB8"/>
    <w:rsid w:val="1BDE7872"/>
    <w:rsid w:val="1C0459C2"/>
    <w:rsid w:val="1C1B3B4A"/>
    <w:rsid w:val="1C88086E"/>
    <w:rsid w:val="1D012A8E"/>
    <w:rsid w:val="1D266CE1"/>
    <w:rsid w:val="1D3963AF"/>
    <w:rsid w:val="1D6A673C"/>
    <w:rsid w:val="1D9247AE"/>
    <w:rsid w:val="1D940B4D"/>
    <w:rsid w:val="1DB567EC"/>
    <w:rsid w:val="1DF51A98"/>
    <w:rsid w:val="1E3D060F"/>
    <w:rsid w:val="1E3F7D2E"/>
    <w:rsid w:val="1E4134E4"/>
    <w:rsid w:val="1E5062B3"/>
    <w:rsid w:val="1E523514"/>
    <w:rsid w:val="1E714A66"/>
    <w:rsid w:val="1E802593"/>
    <w:rsid w:val="1E8B6156"/>
    <w:rsid w:val="1EA703CC"/>
    <w:rsid w:val="1EB7330C"/>
    <w:rsid w:val="1F0A0FF3"/>
    <w:rsid w:val="1F42113B"/>
    <w:rsid w:val="1F5771FF"/>
    <w:rsid w:val="1F813B45"/>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6D06CE"/>
    <w:rsid w:val="22BE6801"/>
    <w:rsid w:val="233500BF"/>
    <w:rsid w:val="23377FF7"/>
    <w:rsid w:val="236B425F"/>
    <w:rsid w:val="23771FDC"/>
    <w:rsid w:val="237C10C0"/>
    <w:rsid w:val="2382248F"/>
    <w:rsid w:val="23836192"/>
    <w:rsid w:val="23901F29"/>
    <w:rsid w:val="23923A6C"/>
    <w:rsid w:val="239C0061"/>
    <w:rsid w:val="23B908A4"/>
    <w:rsid w:val="23CA3A08"/>
    <w:rsid w:val="23E95BEF"/>
    <w:rsid w:val="23FD0064"/>
    <w:rsid w:val="242332EA"/>
    <w:rsid w:val="245375B0"/>
    <w:rsid w:val="24642C0A"/>
    <w:rsid w:val="24667903"/>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6BA7B75"/>
    <w:rsid w:val="26DA3D9D"/>
    <w:rsid w:val="26DC646A"/>
    <w:rsid w:val="27044A29"/>
    <w:rsid w:val="271D34C8"/>
    <w:rsid w:val="271E248E"/>
    <w:rsid w:val="276142BF"/>
    <w:rsid w:val="27783712"/>
    <w:rsid w:val="27907362"/>
    <w:rsid w:val="27CE5C62"/>
    <w:rsid w:val="281278AA"/>
    <w:rsid w:val="283261F1"/>
    <w:rsid w:val="28333E1D"/>
    <w:rsid w:val="284321AC"/>
    <w:rsid w:val="28454BD6"/>
    <w:rsid w:val="28455253"/>
    <w:rsid w:val="28551971"/>
    <w:rsid w:val="285B1C53"/>
    <w:rsid w:val="287122F6"/>
    <w:rsid w:val="289F7086"/>
    <w:rsid w:val="28C32028"/>
    <w:rsid w:val="28CC490F"/>
    <w:rsid w:val="28DE40AA"/>
    <w:rsid w:val="29060B81"/>
    <w:rsid w:val="29345E77"/>
    <w:rsid w:val="294C65AD"/>
    <w:rsid w:val="296C128F"/>
    <w:rsid w:val="29806583"/>
    <w:rsid w:val="298B3C4C"/>
    <w:rsid w:val="29F26D24"/>
    <w:rsid w:val="2A15033F"/>
    <w:rsid w:val="2A1662C1"/>
    <w:rsid w:val="2A1C7367"/>
    <w:rsid w:val="2A2815FA"/>
    <w:rsid w:val="2A53244F"/>
    <w:rsid w:val="2A6D6092"/>
    <w:rsid w:val="2A7D76B4"/>
    <w:rsid w:val="2AB6770F"/>
    <w:rsid w:val="2B437463"/>
    <w:rsid w:val="2B5E554F"/>
    <w:rsid w:val="2B6E5792"/>
    <w:rsid w:val="2B7807EE"/>
    <w:rsid w:val="2B7D7783"/>
    <w:rsid w:val="2BA271EA"/>
    <w:rsid w:val="2BA50BF7"/>
    <w:rsid w:val="2BBF00EC"/>
    <w:rsid w:val="2BC37CFD"/>
    <w:rsid w:val="2BD5237F"/>
    <w:rsid w:val="2BE536CE"/>
    <w:rsid w:val="2BE758D9"/>
    <w:rsid w:val="2C09049E"/>
    <w:rsid w:val="2C0A653C"/>
    <w:rsid w:val="2C191F85"/>
    <w:rsid w:val="2C4202AD"/>
    <w:rsid w:val="2CE82D6F"/>
    <w:rsid w:val="2D343236"/>
    <w:rsid w:val="2D3972A6"/>
    <w:rsid w:val="2D4300C9"/>
    <w:rsid w:val="2D654DA2"/>
    <w:rsid w:val="2D8A43D9"/>
    <w:rsid w:val="2DD15014"/>
    <w:rsid w:val="2DE020CC"/>
    <w:rsid w:val="2DF72DE4"/>
    <w:rsid w:val="2E0220AF"/>
    <w:rsid w:val="2E1E42FC"/>
    <w:rsid w:val="2E4B082A"/>
    <w:rsid w:val="2E5D4E86"/>
    <w:rsid w:val="2E5D790B"/>
    <w:rsid w:val="2E9A3C18"/>
    <w:rsid w:val="2EBB0FEE"/>
    <w:rsid w:val="2EC63002"/>
    <w:rsid w:val="2EF343E9"/>
    <w:rsid w:val="2F0A6B38"/>
    <w:rsid w:val="2F4439A1"/>
    <w:rsid w:val="2F946CCB"/>
    <w:rsid w:val="2F985BB8"/>
    <w:rsid w:val="2F9B1F4B"/>
    <w:rsid w:val="2FD25781"/>
    <w:rsid w:val="2FDC745C"/>
    <w:rsid w:val="2FFD7934"/>
    <w:rsid w:val="30097DC4"/>
    <w:rsid w:val="30733ACD"/>
    <w:rsid w:val="308C3862"/>
    <w:rsid w:val="309379D8"/>
    <w:rsid w:val="30A270F7"/>
    <w:rsid w:val="30DF1478"/>
    <w:rsid w:val="30EC586F"/>
    <w:rsid w:val="310402C4"/>
    <w:rsid w:val="314550B7"/>
    <w:rsid w:val="319C6071"/>
    <w:rsid w:val="31AC537E"/>
    <w:rsid w:val="31E3679B"/>
    <w:rsid w:val="31E732FD"/>
    <w:rsid w:val="31F76E0D"/>
    <w:rsid w:val="31F84007"/>
    <w:rsid w:val="32517576"/>
    <w:rsid w:val="32BE5C2C"/>
    <w:rsid w:val="32FB6478"/>
    <w:rsid w:val="33263B3F"/>
    <w:rsid w:val="33502EE5"/>
    <w:rsid w:val="336963EB"/>
    <w:rsid w:val="33816EEB"/>
    <w:rsid w:val="33BD4EDE"/>
    <w:rsid w:val="33D6699A"/>
    <w:rsid w:val="33EB55CD"/>
    <w:rsid w:val="33EC4C02"/>
    <w:rsid w:val="340D2360"/>
    <w:rsid w:val="3410665D"/>
    <w:rsid w:val="34211214"/>
    <w:rsid w:val="342E63AB"/>
    <w:rsid w:val="346B7BAE"/>
    <w:rsid w:val="34833670"/>
    <w:rsid w:val="34950E68"/>
    <w:rsid w:val="34986E94"/>
    <w:rsid w:val="34AF62C9"/>
    <w:rsid w:val="34CB4388"/>
    <w:rsid w:val="34FA6E12"/>
    <w:rsid w:val="3531125E"/>
    <w:rsid w:val="354D7158"/>
    <w:rsid w:val="357137A4"/>
    <w:rsid w:val="358D5588"/>
    <w:rsid w:val="35B05222"/>
    <w:rsid w:val="35D756EC"/>
    <w:rsid w:val="35FC6A17"/>
    <w:rsid w:val="361C403D"/>
    <w:rsid w:val="363A3B40"/>
    <w:rsid w:val="365302AE"/>
    <w:rsid w:val="36607A0A"/>
    <w:rsid w:val="366E227C"/>
    <w:rsid w:val="366F2E0D"/>
    <w:rsid w:val="367B6A5C"/>
    <w:rsid w:val="36A74ADA"/>
    <w:rsid w:val="36AD60D5"/>
    <w:rsid w:val="36B224F9"/>
    <w:rsid w:val="36EC0CC9"/>
    <w:rsid w:val="36FD3E6E"/>
    <w:rsid w:val="373F410B"/>
    <w:rsid w:val="3786206E"/>
    <w:rsid w:val="37EE7094"/>
    <w:rsid w:val="38296C89"/>
    <w:rsid w:val="383002EB"/>
    <w:rsid w:val="38586797"/>
    <w:rsid w:val="38BC0149"/>
    <w:rsid w:val="38D87D1C"/>
    <w:rsid w:val="39636459"/>
    <w:rsid w:val="396B7F6C"/>
    <w:rsid w:val="39777F08"/>
    <w:rsid w:val="398443D3"/>
    <w:rsid w:val="39B417A9"/>
    <w:rsid w:val="39E0097B"/>
    <w:rsid w:val="39FC5695"/>
    <w:rsid w:val="3A006D8E"/>
    <w:rsid w:val="3A0A0C34"/>
    <w:rsid w:val="3A3651E5"/>
    <w:rsid w:val="3A5A43D8"/>
    <w:rsid w:val="3A61330D"/>
    <w:rsid w:val="3A744481"/>
    <w:rsid w:val="3A8C7BEF"/>
    <w:rsid w:val="3A906246"/>
    <w:rsid w:val="3B2349B7"/>
    <w:rsid w:val="3B616CFF"/>
    <w:rsid w:val="3B6259F6"/>
    <w:rsid w:val="3B976654"/>
    <w:rsid w:val="3BC01EFC"/>
    <w:rsid w:val="3BCA786A"/>
    <w:rsid w:val="3BD31E2F"/>
    <w:rsid w:val="3BF15831"/>
    <w:rsid w:val="3BF41789"/>
    <w:rsid w:val="3BFE1B26"/>
    <w:rsid w:val="3C105946"/>
    <w:rsid w:val="3C394136"/>
    <w:rsid w:val="3C463655"/>
    <w:rsid w:val="3C471448"/>
    <w:rsid w:val="3C5F759A"/>
    <w:rsid w:val="3C6C525A"/>
    <w:rsid w:val="3CCE23CB"/>
    <w:rsid w:val="3CD17D17"/>
    <w:rsid w:val="3D0113B3"/>
    <w:rsid w:val="3D221BA9"/>
    <w:rsid w:val="3D3C7F39"/>
    <w:rsid w:val="3D440F09"/>
    <w:rsid w:val="3D4504A0"/>
    <w:rsid w:val="3D777C9A"/>
    <w:rsid w:val="3D8734BB"/>
    <w:rsid w:val="3D9A11D4"/>
    <w:rsid w:val="3DA16D89"/>
    <w:rsid w:val="3DA364BE"/>
    <w:rsid w:val="3DDEAD26"/>
    <w:rsid w:val="3DE03BA2"/>
    <w:rsid w:val="3DE041CB"/>
    <w:rsid w:val="3E0D48F6"/>
    <w:rsid w:val="3E1868B4"/>
    <w:rsid w:val="3E377251"/>
    <w:rsid w:val="3E42664B"/>
    <w:rsid w:val="3E5A7334"/>
    <w:rsid w:val="3E7B5D6B"/>
    <w:rsid w:val="3E843E66"/>
    <w:rsid w:val="3E8F51FE"/>
    <w:rsid w:val="3E926F87"/>
    <w:rsid w:val="3E9A59DE"/>
    <w:rsid w:val="3EA5765F"/>
    <w:rsid w:val="3EAF4836"/>
    <w:rsid w:val="3EBF6D95"/>
    <w:rsid w:val="3EC33DFA"/>
    <w:rsid w:val="3F060E16"/>
    <w:rsid w:val="3F1D1096"/>
    <w:rsid w:val="3F2F0234"/>
    <w:rsid w:val="3F6363FE"/>
    <w:rsid w:val="3F756B8F"/>
    <w:rsid w:val="3F93711E"/>
    <w:rsid w:val="3F95482B"/>
    <w:rsid w:val="3FBFDAE5"/>
    <w:rsid w:val="3FE45BCB"/>
    <w:rsid w:val="4019356B"/>
    <w:rsid w:val="40592157"/>
    <w:rsid w:val="406E1CAE"/>
    <w:rsid w:val="40A0133A"/>
    <w:rsid w:val="40C31A53"/>
    <w:rsid w:val="40FF545D"/>
    <w:rsid w:val="410067C8"/>
    <w:rsid w:val="410131EE"/>
    <w:rsid w:val="41410DFB"/>
    <w:rsid w:val="415976CF"/>
    <w:rsid w:val="418F0D2A"/>
    <w:rsid w:val="41C6068F"/>
    <w:rsid w:val="41D01505"/>
    <w:rsid w:val="42474939"/>
    <w:rsid w:val="424C3C57"/>
    <w:rsid w:val="42613FF3"/>
    <w:rsid w:val="42660D96"/>
    <w:rsid w:val="428667D2"/>
    <w:rsid w:val="42A1213C"/>
    <w:rsid w:val="42CD1CE0"/>
    <w:rsid w:val="42E1381E"/>
    <w:rsid w:val="42ED6459"/>
    <w:rsid w:val="42FE58DD"/>
    <w:rsid w:val="43174B3D"/>
    <w:rsid w:val="431C29D6"/>
    <w:rsid w:val="434B790E"/>
    <w:rsid w:val="4360274F"/>
    <w:rsid w:val="43607CF4"/>
    <w:rsid w:val="43977AB6"/>
    <w:rsid w:val="43A3342B"/>
    <w:rsid w:val="43C77C27"/>
    <w:rsid w:val="43DE09EE"/>
    <w:rsid w:val="44002FAD"/>
    <w:rsid w:val="44056110"/>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32140B"/>
    <w:rsid w:val="477B778F"/>
    <w:rsid w:val="478203EC"/>
    <w:rsid w:val="479134E1"/>
    <w:rsid w:val="47B025FA"/>
    <w:rsid w:val="47E32732"/>
    <w:rsid w:val="47F1178F"/>
    <w:rsid w:val="4809698F"/>
    <w:rsid w:val="4811697D"/>
    <w:rsid w:val="485E6969"/>
    <w:rsid w:val="487A3E25"/>
    <w:rsid w:val="488B5503"/>
    <w:rsid w:val="48937E21"/>
    <w:rsid w:val="489A0361"/>
    <w:rsid w:val="48B4625C"/>
    <w:rsid w:val="48B94FF3"/>
    <w:rsid w:val="48E37AAB"/>
    <w:rsid w:val="48FD4B4C"/>
    <w:rsid w:val="490A68E0"/>
    <w:rsid w:val="491055FE"/>
    <w:rsid w:val="495F5B3E"/>
    <w:rsid w:val="496F77D7"/>
    <w:rsid w:val="497654FD"/>
    <w:rsid w:val="4996233E"/>
    <w:rsid w:val="49B64211"/>
    <w:rsid w:val="49E56AF9"/>
    <w:rsid w:val="49ED7D72"/>
    <w:rsid w:val="49F6167F"/>
    <w:rsid w:val="4A064FA0"/>
    <w:rsid w:val="4A06505B"/>
    <w:rsid w:val="4A16615C"/>
    <w:rsid w:val="4A4424D7"/>
    <w:rsid w:val="4AB82D0F"/>
    <w:rsid w:val="4AEB7664"/>
    <w:rsid w:val="4AFD7C19"/>
    <w:rsid w:val="4B0567D1"/>
    <w:rsid w:val="4B100586"/>
    <w:rsid w:val="4B236AAE"/>
    <w:rsid w:val="4B6518A6"/>
    <w:rsid w:val="4B65492A"/>
    <w:rsid w:val="4B707271"/>
    <w:rsid w:val="4B9739F7"/>
    <w:rsid w:val="4BBF52C8"/>
    <w:rsid w:val="4BEE2503"/>
    <w:rsid w:val="4C245A30"/>
    <w:rsid w:val="4CB6685F"/>
    <w:rsid w:val="4CC367FE"/>
    <w:rsid w:val="4D077F3C"/>
    <w:rsid w:val="4D123355"/>
    <w:rsid w:val="4D2A3B31"/>
    <w:rsid w:val="4D312C52"/>
    <w:rsid w:val="4D554226"/>
    <w:rsid w:val="4D905305"/>
    <w:rsid w:val="4D964A72"/>
    <w:rsid w:val="4D9C1254"/>
    <w:rsid w:val="4DAB4BAF"/>
    <w:rsid w:val="4DBD5C5C"/>
    <w:rsid w:val="4DCA0898"/>
    <w:rsid w:val="4E793892"/>
    <w:rsid w:val="4E800872"/>
    <w:rsid w:val="4E9764FE"/>
    <w:rsid w:val="4EAD3C4A"/>
    <w:rsid w:val="4EC569ED"/>
    <w:rsid w:val="4ED16532"/>
    <w:rsid w:val="4ED50EA1"/>
    <w:rsid w:val="4EEC050C"/>
    <w:rsid w:val="4F104EC3"/>
    <w:rsid w:val="4F231B40"/>
    <w:rsid w:val="4F47354A"/>
    <w:rsid w:val="4F6D4A83"/>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4704F3"/>
    <w:rsid w:val="53544462"/>
    <w:rsid w:val="537F5EDF"/>
    <w:rsid w:val="5397158E"/>
    <w:rsid w:val="53D0673A"/>
    <w:rsid w:val="54013861"/>
    <w:rsid w:val="54134879"/>
    <w:rsid w:val="54487265"/>
    <w:rsid w:val="544D6070"/>
    <w:rsid w:val="54605E1E"/>
    <w:rsid w:val="549F173E"/>
    <w:rsid w:val="54B3506A"/>
    <w:rsid w:val="54CA0D16"/>
    <w:rsid w:val="54DD4057"/>
    <w:rsid w:val="54E7490F"/>
    <w:rsid w:val="55050372"/>
    <w:rsid w:val="550764A4"/>
    <w:rsid w:val="550B2BF6"/>
    <w:rsid w:val="55214EB5"/>
    <w:rsid w:val="55364EFD"/>
    <w:rsid w:val="555D4828"/>
    <w:rsid w:val="557A4C8B"/>
    <w:rsid w:val="558931E1"/>
    <w:rsid w:val="55923347"/>
    <w:rsid w:val="55925180"/>
    <w:rsid w:val="55983B1B"/>
    <w:rsid w:val="55A8376B"/>
    <w:rsid w:val="55DC29B6"/>
    <w:rsid w:val="55DD4241"/>
    <w:rsid w:val="564E6F83"/>
    <w:rsid w:val="566B6D1E"/>
    <w:rsid w:val="56EC58D0"/>
    <w:rsid w:val="57032A2C"/>
    <w:rsid w:val="570F5219"/>
    <w:rsid w:val="575D12B5"/>
    <w:rsid w:val="57610A87"/>
    <w:rsid w:val="576B6DC0"/>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DB24F3"/>
    <w:rsid w:val="58E363A9"/>
    <w:rsid w:val="58F24E86"/>
    <w:rsid w:val="595E1678"/>
    <w:rsid w:val="596D5BD4"/>
    <w:rsid w:val="597E3DD8"/>
    <w:rsid w:val="59F80043"/>
    <w:rsid w:val="5A09252F"/>
    <w:rsid w:val="5A0B2778"/>
    <w:rsid w:val="5A2A7C7B"/>
    <w:rsid w:val="5A3E2560"/>
    <w:rsid w:val="5A5C0D28"/>
    <w:rsid w:val="5A5D3B6E"/>
    <w:rsid w:val="5A637A76"/>
    <w:rsid w:val="5A6D33BA"/>
    <w:rsid w:val="5A7306C2"/>
    <w:rsid w:val="5A792B1F"/>
    <w:rsid w:val="5A874767"/>
    <w:rsid w:val="5AA85BE2"/>
    <w:rsid w:val="5AAD6F28"/>
    <w:rsid w:val="5ABB539F"/>
    <w:rsid w:val="5AD07755"/>
    <w:rsid w:val="5AD63A24"/>
    <w:rsid w:val="5B185E24"/>
    <w:rsid w:val="5B2E1A1D"/>
    <w:rsid w:val="5B843A1C"/>
    <w:rsid w:val="5B873E3F"/>
    <w:rsid w:val="5C02690E"/>
    <w:rsid w:val="5C196DA7"/>
    <w:rsid w:val="5C2A048C"/>
    <w:rsid w:val="5C80234E"/>
    <w:rsid w:val="5C8A680C"/>
    <w:rsid w:val="5CE314C8"/>
    <w:rsid w:val="5CE93616"/>
    <w:rsid w:val="5CF35D1E"/>
    <w:rsid w:val="5D0C4701"/>
    <w:rsid w:val="5D0F0395"/>
    <w:rsid w:val="5D221076"/>
    <w:rsid w:val="5D2542C0"/>
    <w:rsid w:val="5D397964"/>
    <w:rsid w:val="5D5A391C"/>
    <w:rsid w:val="5D5F10C0"/>
    <w:rsid w:val="5D891B7B"/>
    <w:rsid w:val="5D9644F3"/>
    <w:rsid w:val="5DAD38EE"/>
    <w:rsid w:val="5E006862"/>
    <w:rsid w:val="5E0207B9"/>
    <w:rsid w:val="5E1834A1"/>
    <w:rsid w:val="5E261785"/>
    <w:rsid w:val="5E4A7017"/>
    <w:rsid w:val="5E552BBA"/>
    <w:rsid w:val="5E611C10"/>
    <w:rsid w:val="5E7A0F3F"/>
    <w:rsid w:val="5E800D5D"/>
    <w:rsid w:val="5EAD25AF"/>
    <w:rsid w:val="5EB05EC3"/>
    <w:rsid w:val="5EFC7377"/>
    <w:rsid w:val="5F06174D"/>
    <w:rsid w:val="5F0D43CF"/>
    <w:rsid w:val="5F3A3602"/>
    <w:rsid w:val="5F3B6E50"/>
    <w:rsid w:val="5F45733B"/>
    <w:rsid w:val="5F6277C6"/>
    <w:rsid w:val="5F6D0B1D"/>
    <w:rsid w:val="5F8D0B82"/>
    <w:rsid w:val="5FCC5339"/>
    <w:rsid w:val="5FD44EEF"/>
    <w:rsid w:val="5FE34A5B"/>
    <w:rsid w:val="5FFE1E36"/>
    <w:rsid w:val="60232584"/>
    <w:rsid w:val="607330CE"/>
    <w:rsid w:val="60825176"/>
    <w:rsid w:val="609F2AC4"/>
    <w:rsid w:val="60FA2EE8"/>
    <w:rsid w:val="60FC0DF8"/>
    <w:rsid w:val="61054A27"/>
    <w:rsid w:val="610A52BC"/>
    <w:rsid w:val="611D2366"/>
    <w:rsid w:val="61421856"/>
    <w:rsid w:val="615227C4"/>
    <w:rsid w:val="61654E3F"/>
    <w:rsid w:val="6182292A"/>
    <w:rsid w:val="61965BBF"/>
    <w:rsid w:val="619F7F92"/>
    <w:rsid w:val="61BF394A"/>
    <w:rsid w:val="61F94C26"/>
    <w:rsid w:val="62000E56"/>
    <w:rsid w:val="624F3E49"/>
    <w:rsid w:val="62632286"/>
    <w:rsid w:val="62885958"/>
    <w:rsid w:val="62F40B65"/>
    <w:rsid w:val="62FC2CFE"/>
    <w:rsid w:val="63024505"/>
    <w:rsid w:val="635600A5"/>
    <w:rsid w:val="635B1DB5"/>
    <w:rsid w:val="63711FED"/>
    <w:rsid w:val="63880DDC"/>
    <w:rsid w:val="638D750D"/>
    <w:rsid w:val="63A64DC2"/>
    <w:rsid w:val="63AC6CC0"/>
    <w:rsid w:val="63C75022"/>
    <w:rsid w:val="64055776"/>
    <w:rsid w:val="64240056"/>
    <w:rsid w:val="642D54E3"/>
    <w:rsid w:val="643E143A"/>
    <w:rsid w:val="64491666"/>
    <w:rsid w:val="648B6EEF"/>
    <w:rsid w:val="64B41760"/>
    <w:rsid w:val="64C158BF"/>
    <w:rsid w:val="64CC51FE"/>
    <w:rsid w:val="64CE2EAA"/>
    <w:rsid w:val="651573CD"/>
    <w:rsid w:val="653C3090"/>
    <w:rsid w:val="65854376"/>
    <w:rsid w:val="658767BE"/>
    <w:rsid w:val="65892531"/>
    <w:rsid w:val="658E608F"/>
    <w:rsid w:val="659C25B2"/>
    <w:rsid w:val="65E55824"/>
    <w:rsid w:val="66195831"/>
    <w:rsid w:val="662E75B1"/>
    <w:rsid w:val="66342C2E"/>
    <w:rsid w:val="663E784C"/>
    <w:rsid w:val="668B6A45"/>
    <w:rsid w:val="67011F07"/>
    <w:rsid w:val="672F3F24"/>
    <w:rsid w:val="673E055F"/>
    <w:rsid w:val="67551CE3"/>
    <w:rsid w:val="67A22552"/>
    <w:rsid w:val="67AC2BC3"/>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0B4CB3"/>
    <w:rsid w:val="691664E5"/>
    <w:rsid w:val="693E15D3"/>
    <w:rsid w:val="69627681"/>
    <w:rsid w:val="6977531D"/>
    <w:rsid w:val="699F47FA"/>
    <w:rsid w:val="69CC2BFF"/>
    <w:rsid w:val="69FD55B8"/>
    <w:rsid w:val="6A0B1C62"/>
    <w:rsid w:val="6A2406C8"/>
    <w:rsid w:val="6A96D51F"/>
    <w:rsid w:val="6AA81ACB"/>
    <w:rsid w:val="6ADE0BD1"/>
    <w:rsid w:val="6AE96859"/>
    <w:rsid w:val="6B147746"/>
    <w:rsid w:val="6B24787C"/>
    <w:rsid w:val="6B4E1A45"/>
    <w:rsid w:val="6B573233"/>
    <w:rsid w:val="6B5B6274"/>
    <w:rsid w:val="6B5F5D7B"/>
    <w:rsid w:val="6B935D53"/>
    <w:rsid w:val="6BAF2C82"/>
    <w:rsid w:val="6BF66731"/>
    <w:rsid w:val="6C196F71"/>
    <w:rsid w:val="6C226FCB"/>
    <w:rsid w:val="6C31226F"/>
    <w:rsid w:val="6C552F0B"/>
    <w:rsid w:val="6C6B5F24"/>
    <w:rsid w:val="6C8C67B7"/>
    <w:rsid w:val="6C9D744C"/>
    <w:rsid w:val="6CC14D93"/>
    <w:rsid w:val="6CD0127C"/>
    <w:rsid w:val="6D167928"/>
    <w:rsid w:val="6D26299B"/>
    <w:rsid w:val="6D4772EC"/>
    <w:rsid w:val="6D532512"/>
    <w:rsid w:val="6D7D1F79"/>
    <w:rsid w:val="6D9078AF"/>
    <w:rsid w:val="6DAA3FEF"/>
    <w:rsid w:val="6DC0172B"/>
    <w:rsid w:val="6DCB690C"/>
    <w:rsid w:val="6DD41A5B"/>
    <w:rsid w:val="6DF43C2E"/>
    <w:rsid w:val="6DF51CA3"/>
    <w:rsid w:val="6E8335BD"/>
    <w:rsid w:val="6E8E12EF"/>
    <w:rsid w:val="6E972936"/>
    <w:rsid w:val="6ED446C5"/>
    <w:rsid w:val="6F2A7D94"/>
    <w:rsid w:val="6F8331F1"/>
    <w:rsid w:val="6FAE1A09"/>
    <w:rsid w:val="6FCA1E38"/>
    <w:rsid w:val="6FD75BF8"/>
    <w:rsid w:val="704B4683"/>
    <w:rsid w:val="707723D0"/>
    <w:rsid w:val="70820965"/>
    <w:rsid w:val="70E45288"/>
    <w:rsid w:val="70F5661B"/>
    <w:rsid w:val="71360107"/>
    <w:rsid w:val="713B688E"/>
    <w:rsid w:val="7169742F"/>
    <w:rsid w:val="716A7D8E"/>
    <w:rsid w:val="71D43752"/>
    <w:rsid w:val="71F118FE"/>
    <w:rsid w:val="71F1796A"/>
    <w:rsid w:val="72154626"/>
    <w:rsid w:val="72262B5D"/>
    <w:rsid w:val="72283FF7"/>
    <w:rsid w:val="722E7212"/>
    <w:rsid w:val="723A0474"/>
    <w:rsid w:val="725923E4"/>
    <w:rsid w:val="72864BF7"/>
    <w:rsid w:val="729023FC"/>
    <w:rsid w:val="73A62145"/>
    <w:rsid w:val="73C0646E"/>
    <w:rsid w:val="73E7CF11"/>
    <w:rsid w:val="73FD477F"/>
    <w:rsid w:val="742222F5"/>
    <w:rsid w:val="74476126"/>
    <w:rsid w:val="746D527E"/>
    <w:rsid w:val="74706664"/>
    <w:rsid w:val="747F3682"/>
    <w:rsid w:val="749C4185"/>
    <w:rsid w:val="75067759"/>
    <w:rsid w:val="752E6DCD"/>
    <w:rsid w:val="7551380D"/>
    <w:rsid w:val="75600BE5"/>
    <w:rsid w:val="7564475C"/>
    <w:rsid w:val="75650B5F"/>
    <w:rsid w:val="7583797F"/>
    <w:rsid w:val="75D20F1D"/>
    <w:rsid w:val="75DA2C18"/>
    <w:rsid w:val="75F54412"/>
    <w:rsid w:val="761D08E0"/>
    <w:rsid w:val="765B232A"/>
    <w:rsid w:val="765D347C"/>
    <w:rsid w:val="76826699"/>
    <w:rsid w:val="76C87133"/>
    <w:rsid w:val="76CD08D5"/>
    <w:rsid w:val="76DB4B92"/>
    <w:rsid w:val="76EA351C"/>
    <w:rsid w:val="76FB73BE"/>
    <w:rsid w:val="76FD013A"/>
    <w:rsid w:val="77052AA4"/>
    <w:rsid w:val="7709593C"/>
    <w:rsid w:val="77136511"/>
    <w:rsid w:val="77340A39"/>
    <w:rsid w:val="77351FD0"/>
    <w:rsid w:val="77472422"/>
    <w:rsid w:val="777F31F2"/>
    <w:rsid w:val="777F5A5F"/>
    <w:rsid w:val="777FB513"/>
    <w:rsid w:val="77D1700D"/>
    <w:rsid w:val="77D93D37"/>
    <w:rsid w:val="77EC04CC"/>
    <w:rsid w:val="78775729"/>
    <w:rsid w:val="78A31478"/>
    <w:rsid w:val="78A42DB0"/>
    <w:rsid w:val="78A656AB"/>
    <w:rsid w:val="78B2245C"/>
    <w:rsid w:val="78CA3B59"/>
    <w:rsid w:val="78E172CC"/>
    <w:rsid w:val="78EA1D1F"/>
    <w:rsid w:val="7904172F"/>
    <w:rsid w:val="790C1713"/>
    <w:rsid w:val="790F7E27"/>
    <w:rsid w:val="792A231A"/>
    <w:rsid w:val="79316829"/>
    <w:rsid w:val="797E66A9"/>
    <w:rsid w:val="798518A4"/>
    <w:rsid w:val="79A97383"/>
    <w:rsid w:val="79C124B9"/>
    <w:rsid w:val="79CF6D12"/>
    <w:rsid w:val="79E27E8B"/>
    <w:rsid w:val="79F850CE"/>
    <w:rsid w:val="79FA66DC"/>
    <w:rsid w:val="79FD443C"/>
    <w:rsid w:val="7A1D1975"/>
    <w:rsid w:val="7A3E5150"/>
    <w:rsid w:val="7A4670D6"/>
    <w:rsid w:val="7A534B63"/>
    <w:rsid w:val="7A615382"/>
    <w:rsid w:val="7A67303B"/>
    <w:rsid w:val="7A7E03EF"/>
    <w:rsid w:val="7AAB1D04"/>
    <w:rsid w:val="7ABA4368"/>
    <w:rsid w:val="7AD05746"/>
    <w:rsid w:val="7B131D54"/>
    <w:rsid w:val="7B257FFD"/>
    <w:rsid w:val="7B273D20"/>
    <w:rsid w:val="7B2C39A7"/>
    <w:rsid w:val="7B343476"/>
    <w:rsid w:val="7B5A2978"/>
    <w:rsid w:val="7B5A7E4C"/>
    <w:rsid w:val="7B667AF9"/>
    <w:rsid w:val="7B7468F8"/>
    <w:rsid w:val="7BA9702E"/>
    <w:rsid w:val="7BDD71DF"/>
    <w:rsid w:val="7BE115A8"/>
    <w:rsid w:val="7BEE0103"/>
    <w:rsid w:val="7C0A0FE4"/>
    <w:rsid w:val="7C254906"/>
    <w:rsid w:val="7C590818"/>
    <w:rsid w:val="7C7C10F6"/>
    <w:rsid w:val="7C853BEA"/>
    <w:rsid w:val="7C881368"/>
    <w:rsid w:val="7CE27788"/>
    <w:rsid w:val="7D0C32F1"/>
    <w:rsid w:val="7D0F408D"/>
    <w:rsid w:val="7D491C6C"/>
    <w:rsid w:val="7D5429C0"/>
    <w:rsid w:val="7D6E6D43"/>
    <w:rsid w:val="7D713FEC"/>
    <w:rsid w:val="7D733B0F"/>
    <w:rsid w:val="7D8B601E"/>
    <w:rsid w:val="7DB57A34"/>
    <w:rsid w:val="7DE60973"/>
    <w:rsid w:val="7DEF0916"/>
    <w:rsid w:val="7E1E5218"/>
    <w:rsid w:val="7E9A4E1F"/>
    <w:rsid w:val="7EA146AC"/>
    <w:rsid w:val="7EA7723A"/>
    <w:rsid w:val="7EF56FBB"/>
    <w:rsid w:val="7F0768EB"/>
    <w:rsid w:val="7F143BEC"/>
    <w:rsid w:val="7F715AF2"/>
    <w:rsid w:val="7F886D2E"/>
    <w:rsid w:val="7F886E69"/>
    <w:rsid w:val="7FDDDD04"/>
    <w:rsid w:val="BB7FA927"/>
    <w:rsid w:val="D9FB8CEB"/>
    <w:rsid w:val="F0F79E81"/>
    <w:rsid w:val="F5FFD31F"/>
    <w:rsid w:val="F6FF6924"/>
    <w:rsid w:val="FBEFC1A8"/>
    <w:rsid w:val="FF76DB70"/>
    <w:rsid w:val="FFB6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5"/>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1"/>
    <w:qFormat/>
    <w:uiPriority w:val="0"/>
    <w:pPr>
      <w:ind w:left="100" w:leftChars="2500"/>
    </w:pPr>
    <w:rPr>
      <w:rFonts w:ascii="宋体"/>
      <w:sz w:val="24"/>
      <w:szCs w:val="21"/>
      <w:lang w:val="zh-CN"/>
    </w:rPr>
  </w:style>
  <w:style w:type="paragraph" w:styleId="36">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7">
    <w:name w:val="endnote text"/>
    <w:basedOn w:val="1"/>
    <w:link w:val="932"/>
    <w:qFormat/>
    <w:uiPriority w:val="0"/>
    <w:rPr>
      <w:lang w:val="zh-CN"/>
    </w:rPr>
  </w:style>
  <w:style w:type="paragraph" w:styleId="38">
    <w:name w:val="Balloon Text"/>
    <w:basedOn w:val="1"/>
    <w:link w:val="188"/>
    <w:qFormat/>
    <w:uiPriority w:val="0"/>
    <w:rPr>
      <w:sz w:val="18"/>
      <w:szCs w:val="18"/>
    </w:rPr>
  </w:style>
  <w:style w:type="paragraph" w:styleId="39">
    <w:name w:val="footer"/>
    <w:basedOn w:val="1"/>
    <w:link w:val="383"/>
    <w:qFormat/>
    <w:uiPriority w:val="99"/>
    <w:pPr>
      <w:tabs>
        <w:tab w:val="center" w:pos="4153"/>
        <w:tab w:val="right" w:pos="8306"/>
      </w:tabs>
      <w:snapToGrid w:val="0"/>
      <w:jc w:val="left"/>
    </w:pPr>
    <w:rPr>
      <w:sz w:val="18"/>
      <w:szCs w:val="18"/>
    </w:rPr>
  </w:style>
  <w:style w:type="paragraph" w:styleId="40">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5"/>
    <w:link w:val="310"/>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5"/>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2"/>
    <w:qFormat/>
    <w:uiPriority w:val="0"/>
    <w:pPr>
      <w:spacing w:after="120" w:line="480" w:lineRule="auto"/>
    </w:pPr>
  </w:style>
  <w:style w:type="paragraph" w:styleId="56">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next w:val="1"/>
    <w:link w:val="286"/>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qFormat/>
    <w:uiPriority w:val="0"/>
    <w:rPr>
      <w:b/>
      <w:bCs/>
    </w:rPr>
  </w:style>
  <w:style w:type="paragraph" w:styleId="60">
    <w:name w:val="Body Text First Indent"/>
    <w:basedOn w:val="23"/>
    <w:next w:val="50"/>
    <w:link w:val="321"/>
    <w:qFormat/>
    <w:uiPriority w:val="0"/>
    <w:pPr>
      <w:ind w:firstLine="420"/>
    </w:pPr>
    <w:rPr>
      <w:rFonts w:hAnsi="Calibri" w:cs="Times New Roman"/>
      <w:snapToGrid/>
      <w:szCs w:val="20"/>
    </w:rPr>
  </w:style>
  <w:style w:type="paragraph" w:styleId="61">
    <w:name w:val="Body Text First Indent 2"/>
    <w:basedOn w:val="24"/>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59"/>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6"/>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7"/>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5"/>
    <w:qFormat/>
    <w:uiPriority w:val="0"/>
    <w:rPr>
      <w:rFonts w:ascii="宋体"/>
      <w:kern w:val="2"/>
      <w:sz w:val="24"/>
      <w:szCs w:val="21"/>
      <w:lang w:val="zh-CN"/>
    </w:rPr>
  </w:style>
  <w:style w:type="character" w:customStyle="1" w:styleId="182">
    <w:name w:val="标题 9 Char"/>
    <w:link w:val="10"/>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8"/>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1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29"/>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5"/>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4"/>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8"/>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6"/>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6"/>
    <w:qFormat/>
    <w:uiPriority w:val="0"/>
    <w:rPr>
      <w:rFonts w:ascii="黑体" w:hAnsi="Courier New" w:eastAsia="黑体"/>
    </w:rPr>
  </w:style>
  <w:style w:type="character" w:customStyle="1" w:styleId="302">
    <w:name w:val="正文文本 2 Char1"/>
    <w:link w:val="55"/>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5"/>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8"/>
    <w:qFormat/>
    <w:uiPriority w:val="0"/>
    <w:rPr>
      <w:b/>
      <w:bCs/>
      <w:kern w:val="2"/>
      <w:sz w:val="24"/>
      <w:szCs w:val="24"/>
    </w:rPr>
  </w:style>
  <w:style w:type="character" w:customStyle="1" w:styleId="308">
    <w:name w:val="正文文本缩进 2 Char"/>
    <w:link w:val="36"/>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49"/>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0"/>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5"/>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99"/>
    <w:rPr>
      <w:kern w:val="2"/>
      <w:sz w:val="21"/>
      <w:szCs w:val="24"/>
    </w:rPr>
  </w:style>
  <w:style w:type="character" w:customStyle="1" w:styleId="345">
    <w:name w:val="签名 Char"/>
    <w:link w:val="41"/>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9"/>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2"/>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39"/>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0"/>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1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5"/>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6"/>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5"/>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5"/>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6"/>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7"/>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67</Pages>
  <Words>16716</Words>
  <Characters>17981</Characters>
  <Lines>281</Lines>
  <Paragraphs>79</Paragraphs>
  <TotalTime>9</TotalTime>
  <ScaleCrop>false</ScaleCrop>
  <LinksUpToDate>false</LinksUpToDate>
  <CharactersWithSpaces>18495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2021-08-02T00:22:00Z</dcterms:created>
  <dc:creator>玥</dc:creator>
  <cp:lastModifiedBy>子小口鸟先森</cp:lastModifiedBy>
  <cp:lastPrinted>2026-03-15T02:19:00Z</cp:lastPrinted>
  <dcterms:modified xsi:type="dcterms:W3CDTF">2026-04-09T08:37:41Z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92BF1CD3C6AEA3449076CF69FE35CCB7_43</vt:lpwstr>
  </property>
  <property fmtid="{D5CDD505-2E9C-101B-9397-08002B2CF9AE}" pid="5" name="KSOTemplateDocerSaveRecord">
    <vt:lpwstr>eyJoZGlkIjoiOGJhMWY2YzExNDZkM2U4OGIyZTAwMzhiYmRjMDY3NjYiLCJ1c2VySWQiOiI5NDM4ODQ1NzIifQ==</vt:lpwstr>
  </property>
</Properties>
</file>