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ascii="宋体" w:hAnsi="宋体" w:cs="宋体"/>
          <w:b/>
          <w:color w:val="auto"/>
          <w:sz w:val="24"/>
          <w:highlight w:val="none"/>
        </w:rPr>
      </w:pPr>
      <w:bookmarkStart w:id="405" w:name="_GoBack"/>
    </w:p>
    <w:p w14:paraId="0A5C5A0D">
      <w:pPr>
        <w:spacing w:line="360" w:lineRule="auto"/>
        <w:jc w:val="center"/>
        <w:rPr>
          <w:rFonts w:ascii="宋体" w:hAnsi="宋体" w:cs="宋体"/>
          <w:b/>
          <w:color w:val="auto"/>
          <w:sz w:val="24"/>
          <w:highlight w:val="none"/>
        </w:rPr>
      </w:pPr>
    </w:p>
    <w:p w14:paraId="3E163C85">
      <w:pPr>
        <w:adjustRightInd/>
        <w:spacing w:line="360" w:lineRule="auto"/>
        <w:jc w:val="center"/>
        <w:rPr>
          <w:rFonts w:ascii="宋体" w:hAnsi="宋体" w:cs="宋体"/>
          <w:b/>
          <w:color w:val="auto"/>
          <w:sz w:val="44"/>
          <w:szCs w:val="44"/>
          <w:highlight w:val="none"/>
        </w:rPr>
      </w:pPr>
    </w:p>
    <w:p w14:paraId="4D54848C">
      <w:pPr>
        <w:spacing w:line="360" w:lineRule="auto"/>
        <w:jc w:val="center"/>
        <w:rPr>
          <w:rFonts w:ascii="宋体" w:hAnsi="宋体" w:cs="宋体"/>
          <w:b/>
          <w:color w:val="auto"/>
          <w:sz w:val="44"/>
          <w:szCs w:val="44"/>
          <w:highlight w:val="none"/>
        </w:rPr>
      </w:pPr>
    </w:p>
    <w:p w14:paraId="7E3993E5">
      <w:pPr>
        <w:adjustRightInd/>
        <w:spacing w:line="360" w:lineRule="auto"/>
        <w:jc w:val="center"/>
        <w:rPr>
          <w:rFonts w:ascii="宋体" w:hAnsi="宋体" w:cs="宋体"/>
          <w:b/>
          <w:color w:val="auto"/>
          <w:sz w:val="48"/>
          <w:szCs w:val="48"/>
          <w:highlight w:val="none"/>
        </w:rPr>
      </w:pPr>
    </w:p>
    <w:p w14:paraId="0F01F23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杭州市公安局钱塘区分局2026年特保服务采购项目</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330114264040010000027</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8366948">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杭州市公安局钱塘区分局</w:t>
      </w:r>
    </w:p>
    <w:p w14:paraId="289DCB7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浙江勋达工程咨询有限公司</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二十七</w:t>
      </w:r>
      <w:r>
        <w:rPr>
          <w:rFonts w:hint="eastAsia" w:ascii="宋体" w:hAnsi="宋体" w:cs="宋体"/>
          <w:bCs/>
          <w:color w:val="auto"/>
          <w:sz w:val="32"/>
          <w:szCs w:val="32"/>
          <w:highlight w:val="none"/>
        </w:rPr>
        <w:t>日</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637"/>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杭州市公安局钱塘区分局2026年特保服务采购项目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18</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09</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30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330114264040010000027</w:t>
      </w:r>
    </w:p>
    <w:p w14:paraId="0312DF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杭州市公安局钱塘区分局2026年特保服务采购项目</w:t>
      </w:r>
    </w:p>
    <w:p w14:paraId="1C6D4CA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val="en-US" w:eastAsia="zh-CN"/>
        </w:rPr>
        <w:t>4350000元</w:t>
      </w:r>
    </w:p>
    <w:p w14:paraId="524783D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4350000元</w:t>
      </w:r>
    </w:p>
    <w:p w14:paraId="6EC5DB8E">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杭州市公安局钱塘区分局2026年特保服务采购项目</w:t>
      </w:r>
      <w:r>
        <w:rPr>
          <w:rFonts w:hint="eastAsia" w:hAnsi="宋体" w:cs="宋体"/>
          <w:bCs/>
          <w:snapToGrid/>
          <w:color w:val="auto"/>
          <w:kern w:val="2"/>
          <w:sz w:val="24"/>
          <w:szCs w:val="24"/>
          <w:highlight w:val="none"/>
        </w:rPr>
        <w:t>主要内容：特保人员共50名，一年总价不超过435万元（包含：工资、奖金、福利、社会五险、服装、装备、培训、住宿、交通、服务费等</w:t>
      </w:r>
      <w:r>
        <w:rPr>
          <w:rFonts w:hint="eastAsia" w:hAnsi="宋体" w:cs="宋体"/>
          <w:bCs/>
          <w:snapToGrid/>
          <w:color w:val="auto"/>
          <w:kern w:val="2"/>
          <w:sz w:val="24"/>
          <w:szCs w:val="24"/>
          <w:highlight w:val="none"/>
          <w:lang w:val="en-US" w:eastAsia="zh-CN"/>
        </w:rPr>
        <w:t>全部</w:t>
      </w:r>
      <w:r>
        <w:rPr>
          <w:rFonts w:hint="eastAsia" w:hAnsi="宋体" w:cs="宋体"/>
          <w:bCs/>
          <w:snapToGrid/>
          <w:color w:val="auto"/>
          <w:kern w:val="2"/>
          <w:sz w:val="24"/>
          <w:szCs w:val="24"/>
          <w:highlight w:val="none"/>
        </w:rPr>
        <w:t>费用）。</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0CF83623">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eastAsia="宋体" w:cs="宋体"/>
          <w:color w:val="auto"/>
          <w:kern w:val="0"/>
          <w:sz w:val="24"/>
          <w:highlight w:val="none"/>
          <w:lang w:val="en-US" w:eastAsia="zh-CN"/>
        </w:rPr>
        <w:t>自合同签订起1年。</w:t>
      </w:r>
    </w:p>
    <w:p w14:paraId="07281B02">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D88538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253AD27">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FFE48BA">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2FD4197A">
      <w:pPr>
        <w:rPr>
          <w:rFonts w:ascii="宋体" w:hAnsi="宋体" w:cs="宋体"/>
          <w:color w:val="auto"/>
          <w:highlight w:val="none"/>
        </w:rPr>
      </w:pPr>
    </w:p>
    <w:p w14:paraId="58C41DE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7804F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供应商为保安服务公司的，取得《保安服务许可证》；供应商为自行招用保安员的单位的，承诺自开始保安服务之日起30日内向所在地设区的市级人民政府公安机关备案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《保安服务管理条例》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B5231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 xml:space="preserve"> </w:t>
      </w:r>
    </w:p>
    <w:p w14:paraId="141E4C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浙江省杭州市钱塘区学林街1616号</w:t>
      </w:r>
      <w:r>
        <w:rPr>
          <w:rFonts w:hint="eastAsia" w:ascii="宋体" w:hAnsi="宋体" w:cs="宋体"/>
          <w:color w:val="auto"/>
          <w:sz w:val="24"/>
          <w:highlight w:val="none"/>
        </w:rPr>
        <w:t xml:space="preserve">       </w:t>
      </w:r>
    </w:p>
    <w:p w14:paraId="3782594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7911895F">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朱警官</w:t>
      </w:r>
    </w:p>
    <w:p w14:paraId="31CC70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13967186907</w:t>
      </w:r>
    </w:p>
    <w:p w14:paraId="160DB7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质疑联系人：姚警官</w:t>
      </w:r>
    </w:p>
    <w:p w14:paraId="6722B27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质疑联系方式：0581-87283075</w:t>
      </w:r>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038260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浙江勋达工程咨询有限公司</w:t>
      </w:r>
    </w:p>
    <w:p w14:paraId="16C39B4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杭州市钱塘区义蓬街道义蓬中路782号</w:t>
      </w:r>
    </w:p>
    <w:p w14:paraId="4E949C1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p>
    <w:p w14:paraId="100F335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平建波</w:t>
      </w:r>
    </w:p>
    <w:p w14:paraId="5C2D721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15088779243</w:t>
      </w:r>
    </w:p>
    <w:p w14:paraId="44BADC8E">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姚东强</w:t>
      </w:r>
    </w:p>
    <w:p w14:paraId="23E21F3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1596832775</w:t>
      </w:r>
    </w:p>
    <w:p w14:paraId="190512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杭州市</w:t>
      </w:r>
      <w:r>
        <w:rPr>
          <w:rFonts w:hint="eastAsia" w:ascii="宋体" w:hAnsi="宋体" w:cs="宋体"/>
          <w:color w:val="auto"/>
          <w:sz w:val="24"/>
          <w:highlight w:val="none"/>
          <w:lang w:val="en-US" w:eastAsia="zh-CN"/>
        </w:rPr>
        <w:t>钱塘区</w:t>
      </w:r>
      <w:r>
        <w:rPr>
          <w:rFonts w:hint="eastAsia" w:ascii="宋体" w:hAnsi="宋体" w:cs="宋体"/>
          <w:color w:val="auto"/>
          <w:sz w:val="24"/>
          <w:highlight w:val="none"/>
          <w:lang w:eastAsia="zh-CN"/>
        </w:rPr>
        <w:t>财政局</w:t>
      </w:r>
      <w:r>
        <w:rPr>
          <w:rFonts w:hint="eastAsia" w:ascii="宋体" w:hAnsi="宋体" w:cs="宋体"/>
          <w:color w:val="auto"/>
          <w:sz w:val="24"/>
          <w:highlight w:val="none"/>
        </w:rPr>
        <w:t>/浙江省政府采购行政裁决服务中心（杭州）</w:t>
      </w:r>
    </w:p>
    <w:p w14:paraId="67B332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C1D65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：匡老师</w:t>
      </w:r>
    </w:p>
    <w:p w14:paraId="421A9656">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监督投诉电话：0571-87807798</w:t>
      </w:r>
    </w:p>
    <w:p w14:paraId="0BA22B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C299B4A">
            <w:pPr>
              <w:snapToGrid w:val="0"/>
              <w:spacing w:line="360" w:lineRule="auto"/>
              <w:jc w:val="center"/>
              <w:rPr>
                <w:rFonts w:ascii="宋体" w:hAnsi="宋体" w:cs="宋体"/>
                <w:color w:val="auto"/>
                <w:sz w:val="24"/>
                <w:highlight w:val="none"/>
              </w:rPr>
            </w:pPr>
          </w:p>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EEA470E">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9A206F5">
            <w:pPr>
              <w:snapToGrid w:val="0"/>
              <w:spacing w:line="360" w:lineRule="auto"/>
              <w:jc w:val="center"/>
              <w:rPr>
                <w:rFonts w:ascii="宋体" w:hAnsi="宋体" w:cs="宋体"/>
                <w:color w:val="auto"/>
                <w:sz w:val="24"/>
                <w:highlight w:val="none"/>
              </w:rPr>
            </w:pPr>
          </w:p>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9380E4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杭州市公安局钱塘区分局2026年特保服务采购项目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租赁和商务服务业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27019300">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租赁和商务服务业行业。从业人员300人以下或营业收入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55" w:hRule="atLeast"/>
          <w:tblHeader/>
        </w:trPr>
        <w:tc>
          <w:tcPr>
            <w:tcW w:w="629" w:type="dxa"/>
            <w:tcBorders>
              <w:top w:val="single" w:color="auto" w:sz="4" w:space="0"/>
              <w:left w:val="single" w:color="auto" w:sz="4" w:space="0"/>
              <w:bottom w:val="single" w:color="auto" w:sz="4" w:space="0"/>
              <w:right w:val="single" w:color="auto" w:sz="4" w:space="0"/>
            </w:tcBorders>
          </w:tcPr>
          <w:p w14:paraId="254054B7">
            <w:pPr>
              <w:snapToGrid w:val="0"/>
              <w:spacing w:line="360" w:lineRule="auto"/>
              <w:jc w:val="center"/>
              <w:rPr>
                <w:rFonts w:ascii="宋体" w:hAnsi="宋体" w:cs="宋体"/>
                <w:color w:val="auto"/>
                <w:sz w:val="24"/>
                <w:highlight w:val="none"/>
              </w:rPr>
            </w:pPr>
          </w:p>
          <w:p w14:paraId="7E72046F">
            <w:pPr>
              <w:snapToGrid w:val="0"/>
              <w:spacing w:line="360" w:lineRule="auto"/>
              <w:jc w:val="center"/>
              <w:rPr>
                <w:rFonts w:ascii="宋体" w:hAnsi="宋体" w:cs="宋体"/>
                <w:color w:val="auto"/>
                <w:sz w:val="24"/>
                <w:highlight w:val="none"/>
              </w:rPr>
            </w:pPr>
          </w:p>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8D6E17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9CFD0C2">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FE069B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治安保卫工作培训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574827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2F8702D">
            <w:pPr>
              <w:snapToGrid w:val="0"/>
              <w:spacing w:line="360" w:lineRule="auto"/>
              <w:jc w:val="center"/>
              <w:rPr>
                <w:rFonts w:ascii="宋体" w:hAnsi="宋体" w:cs="宋体"/>
                <w:color w:val="auto"/>
                <w:sz w:val="24"/>
                <w:highlight w:val="none"/>
              </w:rPr>
            </w:pPr>
          </w:p>
          <w:p w14:paraId="5A407A49">
            <w:pPr>
              <w:snapToGrid w:val="0"/>
              <w:spacing w:line="360" w:lineRule="auto"/>
              <w:jc w:val="center"/>
              <w:rPr>
                <w:rFonts w:ascii="宋体" w:hAnsi="宋体" w:cs="宋体"/>
                <w:color w:val="auto"/>
                <w:sz w:val="24"/>
                <w:highlight w:val="none"/>
              </w:rPr>
            </w:pPr>
          </w:p>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07723B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C03CD1E">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78D25F3">
            <w:pPr>
              <w:pStyle w:val="79"/>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418E5266">
            <w:pPr>
              <w:pStyle w:val="79"/>
              <w:ind w:firstLine="0" w:firstLineChars="0"/>
              <w:rPr>
                <w:color w:val="auto"/>
                <w:highlight w:val="none"/>
              </w:rPr>
            </w:pP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0405E14">
            <w:pPr>
              <w:snapToGrid w:val="0"/>
              <w:spacing w:line="360" w:lineRule="auto"/>
              <w:jc w:val="center"/>
              <w:rPr>
                <w:rFonts w:ascii="宋体" w:hAnsi="宋体" w:cs="宋体"/>
                <w:color w:val="auto"/>
                <w:sz w:val="24"/>
                <w:highlight w:val="none"/>
              </w:rPr>
            </w:pPr>
          </w:p>
          <w:p w14:paraId="748F2304">
            <w:pPr>
              <w:snapToGrid w:val="0"/>
              <w:spacing w:line="360" w:lineRule="auto"/>
              <w:jc w:val="center"/>
              <w:rPr>
                <w:rFonts w:ascii="宋体" w:hAnsi="宋体" w:cs="宋体"/>
                <w:color w:val="auto"/>
                <w:sz w:val="24"/>
                <w:highlight w:val="none"/>
              </w:rPr>
            </w:pPr>
          </w:p>
          <w:p w14:paraId="390C1AD1">
            <w:pPr>
              <w:snapToGrid w:val="0"/>
              <w:spacing w:line="360" w:lineRule="auto"/>
              <w:jc w:val="center"/>
              <w:rPr>
                <w:rFonts w:ascii="宋体" w:hAnsi="宋体" w:cs="宋体"/>
                <w:color w:val="auto"/>
                <w:sz w:val="24"/>
                <w:highlight w:val="none"/>
              </w:rPr>
            </w:pPr>
          </w:p>
          <w:p w14:paraId="6E646EC9">
            <w:pPr>
              <w:snapToGrid w:val="0"/>
              <w:spacing w:line="360" w:lineRule="auto"/>
              <w:jc w:val="center"/>
              <w:rPr>
                <w:rFonts w:ascii="宋体" w:hAnsi="宋体" w:cs="宋体"/>
                <w:color w:val="auto"/>
                <w:sz w:val="24"/>
                <w:highlight w:val="none"/>
              </w:rPr>
            </w:pPr>
          </w:p>
          <w:p w14:paraId="266EEE47">
            <w:pPr>
              <w:snapToGrid w:val="0"/>
              <w:spacing w:line="360" w:lineRule="auto"/>
              <w:jc w:val="center"/>
              <w:rPr>
                <w:rFonts w:ascii="宋体" w:hAnsi="宋体" w:cs="宋体"/>
                <w:color w:val="auto"/>
                <w:sz w:val="24"/>
                <w:highlight w:val="none"/>
              </w:rPr>
            </w:pPr>
          </w:p>
          <w:p w14:paraId="5A1660CB">
            <w:pPr>
              <w:snapToGrid w:val="0"/>
              <w:spacing w:line="360" w:lineRule="auto"/>
              <w:jc w:val="center"/>
              <w:rPr>
                <w:rFonts w:ascii="宋体" w:hAnsi="宋体" w:cs="宋体"/>
                <w:color w:val="auto"/>
                <w:sz w:val="24"/>
                <w:highlight w:val="none"/>
              </w:rPr>
            </w:pPr>
          </w:p>
          <w:p w14:paraId="69111327">
            <w:pPr>
              <w:snapToGrid w:val="0"/>
              <w:spacing w:line="360" w:lineRule="auto"/>
              <w:jc w:val="center"/>
              <w:rPr>
                <w:rFonts w:ascii="宋体" w:hAnsi="宋体" w:cs="宋体"/>
                <w:color w:val="auto"/>
                <w:sz w:val="24"/>
                <w:highlight w:val="none"/>
              </w:rPr>
            </w:pPr>
          </w:p>
          <w:p w14:paraId="3E72E277">
            <w:pPr>
              <w:snapToGrid w:val="0"/>
              <w:spacing w:line="360" w:lineRule="auto"/>
              <w:jc w:val="center"/>
              <w:rPr>
                <w:rFonts w:ascii="宋体" w:hAnsi="宋体" w:cs="宋体"/>
                <w:color w:val="auto"/>
                <w:sz w:val="24"/>
                <w:highlight w:val="none"/>
              </w:rPr>
            </w:pPr>
          </w:p>
          <w:p w14:paraId="12D2F995">
            <w:pPr>
              <w:snapToGrid w:val="0"/>
              <w:spacing w:line="360" w:lineRule="auto"/>
              <w:jc w:val="center"/>
              <w:rPr>
                <w:rFonts w:ascii="宋体" w:hAnsi="宋体" w:cs="宋体"/>
                <w:color w:val="auto"/>
                <w:sz w:val="24"/>
                <w:highlight w:val="none"/>
              </w:rPr>
            </w:pPr>
          </w:p>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9A19C7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E0D3FF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49DE0ED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DE8877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AE00BA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216AAE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56F4883">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A11BD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8AD61E6">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2246244">
            <w:pPr>
              <w:snapToGrid w:val="0"/>
              <w:spacing w:line="360" w:lineRule="auto"/>
              <w:jc w:val="center"/>
              <w:rPr>
                <w:rFonts w:ascii="宋体" w:hAnsi="宋体" w:cs="宋体"/>
                <w:color w:val="auto"/>
                <w:sz w:val="24"/>
                <w:highlight w:val="none"/>
              </w:rPr>
            </w:pPr>
          </w:p>
          <w:p w14:paraId="29FA9A8C">
            <w:pPr>
              <w:snapToGrid w:val="0"/>
              <w:spacing w:line="360" w:lineRule="auto"/>
              <w:jc w:val="center"/>
              <w:rPr>
                <w:rFonts w:ascii="宋体" w:hAnsi="宋体" w:cs="宋体"/>
                <w:color w:val="auto"/>
                <w:sz w:val="24"/>
                <w:highlight w:val="none"/>
              </w:rPr>
            </w:pPr>
          </w:p>
          <w:p w14:paraId="18497155">
            <w:pPr>
              <w:snapToGrid w:val="0"/>
              <w:spacing w:line="360" w:lineRule="auto"/>
              <w:jc w:val="center"/>
              <w:rPr>
                <w:rFonts w:ascii="宋体" w:hAnsi="宋体" w:cs="宋体"/>
                <w:color w:val="auto"/>
                <w:sz w:val="24"/>
                <w:highlight w:val="none"/>
              </w:rPr>
            </w:pPr>
          </w:p>
          <w:p w14:paraId="42DDB8BE">
            <w:pPr>
              <w:snapToGrid w:val="0"/>
              <w:spacing w:line="360" w:lineRule="auto"/>
              <w:jc w:val="center"/>
              <w:rPr>
                <w:rFonts w:ascii="宋体" w:hAnsi="宋体" w:cs="宋体"/>
                <w:color w:val="auto"/>
                <w:sz w:val="24"/>
                <w:highlight w:val="none"/>
              </w:rPr>
            </w:pPr>
          </w:p>
          <w:p w14:paraId="1D875970">
            <w:pPr>
              <w:snapToGrid w:val="0"/>
              <w:spacing w:line="360" w:lineRule="auto"/>
              <w:jc w:val="center"/>
              <w:rPr>
                <w:rFonts w:ascii="宋体" w:hAnsi="宋体" w:cs="宋体"/>
                <w:color w:val="auto"/>
                <w:sz w:val="24"/>
                <w:highlight w:val="none"/>
              </w:rPr>
            </w:pPr>
          </w:p>
          <w:p w14:paraId="0BC922C3">
            <w:pPr>
              <w:snapToGrid w:val="0"/>
              <w:spacing w:line="360" w:lineRule="auto"/>
              <w:jc w:val="center"/>
              <w:rPr>
                <w:rFonts w:ascii="宋体" w:hAnsi="宋体" w:cs="宋体"/>
                <w:color w:val="auto"/>
                <w:sz w:val="24"/>
                <w:highlight w:val="none"/>
              </w:rPr>
            </w:pPr>
          </w:p>
          <w:p w14:paraId="2D356E36">
            <w:pPr>
              <w:snapToGrid w:val="0"/>
              <w:spacing w:line="360" w:lineRule="auto"/>
              <w:jc w:val="center"/>
              <w:rPr>
                <w:rFonts w:ascii="宋体" w:hAnsi="宋体" w:cs="宋体"/>
                <w:color w:val="auto"/>
                <w:sz w:val="24"/>
                <w:highlight w:val="none"/>
              </w:rPr>
            </w:pPr>
          </w:p>
          <w:p w14:paraId="32D3B44A">
            <w:pPr>
              <w:snapToGrid w:val="0"/>
              <w:spacing w:line="360" w:lineRule="auto"/>
              <w:jc w:val="center"/>
              <w:rPr>
                <w:rFonts w:ascii="宋体" w:hAnsi="宋体" w:cs="宋体"/>
                <w:color w:val="auto"/>
                <w:sz w:val="24"/>
                <w:highlight w:val="none"/>
              </w:rPr>
            </w:pPr>
          </w:p>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0BEE8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5A64D0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12FD3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0CAC87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EEF96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6B6E23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52D1C2A">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B401F15">
            <w:pPr>
              <w:snapToGrid w:val="0"/>
              <w:spacing w:line="360" w:lineRule="auto"/>
              <w:jc w:val="center"/>
              <w:rPr>
                <w:rFonts w:ascii="宋体" w:hAnsi="宋体" w:cs="宋体"/>
                <w:color w:val="auto"/>
                <w:sz w:val="24"/>
                <w:highlight w:val="none"/>
              </w:rPr>
            </w:pPr>
          </w:p>
          <w:p w14:paraId="6D928564">
            <w:pPr>
              <w:snapToGrid w:val="0"/>
              <w:spacing w:line="360" w:lineRule="auto"/>
              <w:jc w:val="center"/>
              <w:rPr>
                <w:rFonts w:ascii="宋体" w:hAnsi="宋体" w:cs="宋体"/>
                <w:color w:val="auto"/>
                <w:sz w:val="24"/>
                <w:highlight w:val="none"/>
              </w:rPr>
            </w:pPr>
          </w:p>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1715BE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84C4EC5">
            <w:pPr>
              <w:snapToGrid w:val="0"/>
              <w:spacing w:line="360" w:lineRule="auto"/>
              <w:jc w:val="center"/>
              <w:rPr>
                <w:rFonts w:ascii="宋体" w:hAnsi="宋体" w:cs="宋体"/>
                <w:color w:val="auto"/>
                <w:sz w:val="24"/>
                <w:highlight w:val="none"/>
              </w:rPr>
            </w:pPr>
          </w:p>
          <w:p w14:paraId="38589266">
            <w:pPr>
              <w:snapToGrid w:val="0"/>
              <w:spacing w:line="360" w:lineRule="auto"/>
              <w:jc w:val="center"/>
              <w:rPr>
                <w:rFonts w:ascii="宋体" w:hAnsi="宋体" w:cs="宋体"/>
                <w:color w:val="auto"/>
                <w:sz w:val="24"/>
                <w:highlight w:val="none"/>
              </w:rPr>
            </w:pPr>
          </w:p>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9EFCC3">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79"/>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3002CF9E">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76782679">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36C9C289">
            <w:pPr>
              <w:pStyle w:val="79"/>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DD6CE36">
            <w:pPr>
              <w:snapToGrid w:val="0"/>
              <w:spacing w:line="360" w:lineRule="auto"/>
              <w:jc w:val="center"/>
              <w:rPr>
                <w:rFonts w:ascii="宋体" w:hAnsi="宋体" w:cs="宋体"/>
                <w:color w:val="auto"/>
                <w:sz w:val="24"/>
                <w:highlight w:val="none"/>
              </w:rPr>
            </w:pPr>
          </w:p>
          <w:p w14:paraId="26731BE1">
            <w:pPr>
              <w:snapToGrid w:val="0"/>
              <w:spacing w:line="360" w:lineRule="auto"/>
              <w:jc w:val="center"/>
              <w:rPr>
                <w:rFonts w:ascii="宋体" w:hAnsi="宋体" w:cs="宋体"/>
                <w:color w:val="auto"/>
                <w:sz w:val="24"/>
                <w:highlight w:val="none"/>
              </w:rPr>
            </w:pPr>
          </w:p>
          <w:p w14:paraId="79F3F4C6">
            <w:pPr>
              <w:snapToGrid w:val="0"/>
              <w:spacing w:line="360" w:lineRule="auto"/>
              <w:jc w:val="center"/>
              <w:rPr>
                <w:rFonts w:ascii="宋体" w:hAnsi="宋体" w:cs="宋体"/>
                <w:color w:val="auto"/>
                <w:sz w:val="24"/>
                <w:highlight w:val="none"/>
              </w:rPr>
            </w:pPr>
          </w:p>
          <w:p w14:paraId="0CC08E98">
            <w:pPr>
              <w:snapToGrid w:val="0"/>
              <w:spacing w:line="360" w:lineRule="auto"/>
              <w:jc w:val="center"/>
              <w:rPr>
                <w:rFonts w:ascii="宋体" w:hAnsi="宋体" w:cs="宋体"/>
                <w:color w:val="auto"/>
                <w:sz w:val="24"/>
                <w:highlight w:val="none"/>
              </w:rPr>
            </w:pPr>
          </w:p>
          <w:p w14:paraId="35826F79">
            <w:pPr>
              <w:snapToGrid w:val="0"/>
              <w:spacing w:line="360" w:lineRule="auto"/>
              <w:jc w:val="center"/>
              <w:rPr>
                <w:rFonts w:ascii="宋体" w:hAnsi="宋体" w:cs="宋体"/>
                <w:color w:val="auto"/>
                <w:sz w:val="24"/>
                <w:highlight w:val="none"/>
              </w:rPr>
            </w:pPr>
          </w:p>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E6760">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107CE792">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5A1A0FA">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04968A37">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2250257">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289611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1128B2D4">
            <w:pPr>
              <w:snapToGrid w:val="0"/>
              <w:spacing w:line="360" w:lineRule="auto"/>
              <w:jc w:val="center"/>
              <w:rPr>
                <w:rFonts w:ascii="宋体" w:hAnsi="宋体" w:cs="宋体"/>
                <w:color w:val="auto"/>
                <w:sz w:val="24"/>
                <w:highlight w:val="none"/>
              </w:rPr>
            </w:pPr>
          </w:p>
          <w:p w14:paraId="50820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04574E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sz w:val="24"/>
                <w:highlight w:val="none"/>
                <w:u w:val="single"/>
                <w:lang w:eastAsia="zh-CN"/>
              </w:rPr>
              <w:t>杭州市钱塘区义蓬街道义蓬中路782号</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平工，15088779243</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456170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cs="Arial" w:eastAsiaTheme="minorEastAsia"/>
                    <w:color w:val="auto"/>
                    <w:kern w:val="0"/>
                    <w:sz w:val="24"/>
                    <w:szCs w:val="24"/>
                    <w:highlight w:val="none"/>
                    <w:lang w:val="en-US" w:eastAsia="zh-CN" w:bidi="ar-SA"/>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6129343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本项目的采购代理费由中标人支付，以项目中标价为基数，依据发改价格[2011]534号</w:t>
            </w:r>
            <w:r>
              <w:rPr>
                <w:rFonts w:hint="eastAsia" w:ascii="宋体" w:hAnsi="宋体" w:cs="宋体"/>
                <w:color w:val="auto"/>
                <w:kern w:val="0"/>
                <w:sz w:val="24"/>
                <w:highlight w:val="none"/>
                <w:lang w:val="en-US" w:eastAsia="zh-CN"/>
              </w:rPr>
              <w:t>服务</w:t>
            </w:r>
            <w:r>
              <w:rPr>
                <w:rFonts w:hint="eastAsia" w:ascii="宋体" w:hAnsi="宋体" w:eastAsia="宋体" w:cs="宋体"/>
                <w:color w:val="auto"/>
                <w:kern w:val="0"/>
                <w:sz w:val="24"/>
                <w:highlight w:val="none"/>
                <w:lang w:val="en" w:eastAsia="zh-CN"/>
              </w:rPr>
              <w:t>类</w:t>
            </w:r>
            <w:r>
              <w:rPr>
                <w:rFonts w:hint="eastAsia" w:ascii="宋体" w:hAnsi="宋体" w:cs="宋体"/>
                <w:color w:val="auto"/>
                <w:kern w:val="0"/>
                <w:sz w:val="24"/>
                <w:highlight w:val="none"/>
                <w:lang w:val="en-US" w:eastAsia="zh-CN"/>
              </w:rPr>
              <w:t>的70%</w:t>
            </w:r>
            <w:r>
              <w:rPr>
                <w:rFonts w:hint="eastAsia" w:ascii="宋体" w:hAnsi="宋体" w:eastAsia="宋体" w:cs="宋体"/>
                <w:color w:val="auto"/>
                <w:kern w:val="0"/>
                <w:sz w:val="24"/>
                <w:highlight w:val="none"/>
                <w:lang w:val="en" w:eastAsia="zh-CN"/>
              </w:rPr>
              <w:t>进行计算。</w:t>
            </w:r>
          </w:p>
        </w:tc>
      </w:tr>
    </w:tbl>
    <w:p w14:paraId="1969C939">
      <w:pPr>
        <w:snapToGrid w:val="0"/>
        <w:spacing w:line="360" w:lineRule="auto"/>
        <w:jc w:val="center"/>
        <w:rPr>
          <w:rFonts w:ascii="宋体" w:hAnsi="宋体" w:cs="宋体"/>
          <w:b/>
          <w:color w:val="auto"/>
          <w:sz w:val="32"/>
          <w:szCs w:val="20"/>
          <w:highlight w:val="none"/>
        </w:rPr>
      </w:pPr>
    </w:p>
    <w:bookmarkEnd w:id="10"/>
    <w:p w14:paraId="57CD2334">
      <w:pPr>
        <w:adjustRightInd/>
        <w:spacing w:line="360" w:lineRule="auto"/>
        <w:ind w:firstLine="3845" w:firstLineChars="1197"/>
        <w:outlineLvl w:val="0"/>
        <w:rPr>
          <w:rFonts w:hint="eastAsia" w:ascii="宋体" w:hAnsi="宋体" w:cs="宋体"/>
          <w:b/>
          <w:color w:val="auto"/>
          <w:sz w:val="32"/>
          <w:szCs w:val="20"/>
          <w:highlight w:val="none"/>
        </w:rPr>
      </w:pPr>
      <w:bookmarkStart w:id="11" w:name="_Toc164416483"/>
      <w:bookmarkStart w:id="12" w:name="第三部分"/>
    </w:p>
    <w:p w14:paraId="76E06E22">
      <w:pPr>
        <w:adjustRightInd/>
        <w:spacing w:line="360" w:lineRule="auto"/>
        <w:ind w:firstLine="3845" w:firstLineChars="1197"/>
        <w:outlineLvl w:val="0"/>
        <w:rPr>
          <w:rFonts w:hint="eastAsia" w:ascii="宋体" w:hAnsi="宋体" w:cs="宋体"/>
          <w:b/>
          <w:color w:val="auto"/>
          <w:sz w:val="32"/>
          <w:szCs w:val="20"/>
          <w:highlight w:val="none"/>
        </w:rPr>
      </w:pPr>
    </w:p>
    <w:p w14:paraId="79CD2B69">
      <w:pPr>
        <w:adjustRightInd/>
        <w:spacing w:line="360" w:lineRule="auto"/>
        <w:ind w:firstLine="3845" w:firstLineChars="1197"/>
        <w:outlineLvl w:val="0"/>
        <w:rPr>
          <w:rFonts w:hint="eastAsia" w:ascii="宋体" w:hAnsi="宋体" w:cs="宋体"/>
          <w:b/>
          <w:color w:val="auto"/>
          <w:sz w:val="32"/>
          <w:szCs w:val="20"/>
          <w:highlight w:val="none"/>
        </w:rPr>
      </w:pPr>
    </w:p>
    <w:p w14:paraId="54736C89">
      <w:pPr>
        <w:adjustRightInd/>
        <w:spacing w:line="360" w:lineRule="auto"/>
        <w:ind w:firstLine="3845" w:firstLineChars="1197"/>
        <w:outlineLvl w:val="0"/>
        <w:rPr>
          <w:rFonts w:hint="eastAsia" w:ascii="宋体" w:hAnsi="宋体" w:cs="宋体"/>
          <w:b/>
          <w:color w:val="auto"/>
          <w:sz w:val="32"/>
          <w:szCs w:val="20"/>
          <w:highlight w:val="none"/>
        </w:rPr>
      </w:pPr>
    </w:p>
    <w:p w14:paraId="75264CA2">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3F1898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2C34A00">
      <w:pPr>
        <w:pStyle w:val="889"/>
        <w:shd w:val="clear" w:color="auto" w:fill="FFFFFF"/>
        <w:snapToGrid w:val="0"/>
        <w:spacing w:after="240" w:afterAutospacing="0" w:line="360" w:lineRule="auto"/>
        <w:ind w:firstLine="400"/>
        <w:contextualSpacing/>
        <w:rPr>
          <w:rFonts w:hint="eastAsia"/>
          <w:color w:val="auto"/>
          <w:highlight w:val="none"/>
        </w:rPr>
      </w:pPr>
    </w:p>
    <w:p w14:paraId="72BB4CF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131"/>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BDB0CA6">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8E34980">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478CC64C">
      <w:pPr>
        <w:spacing w:line="360" w:lineRule="auto"/>
        <w:ind w:firstLine="723" w:firstLineChars="3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供应商报价低于项目预算50%的，应当在报价文件中详细阐述不影响产品质量或者诚信履约的具体原因。</w:t>
      </w:r>
    </w:p>
    <w:p w14:paraId="0AC69C37">
      <w:pPr>
        <w:spacing w:line="360" w:lineRule="auto"/>
        <w:ind w:firstLine="723" w:firstLineChars="300"/>
        <w:rPr>
          <w:rFonts w:hint="eastAsia" w:ascii="宋体" w:hAnsi="宋体" w:cs="宋体"/>
          <w:b/>
          <w:color w:val="auto"/>
          <w:sz w:val="24"/>
          <w:highlight w:val="none"/>
        </w:rPr>
      </w:pPr>
      <w:r>
        <w:rPr>
          <w:rFonts w:hint="eastAsia"/>
          <w:b/>
          <w:bCs/>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131"/>
        <w:spacing w:before="0"/>
        <w:ind w:firstLine="643"/>
        <w:rPr>
          <w:rFonts w:ascii="宋体" w:hAnsi="宋体" w:cs="宋体"/>
          <w:b/>
          <w:color w:val="auto"/>
          <w:sz w:val="32"/>
          <w:highlight w:val="none"/>
        </w:rPr>
      </w:pPr>
    </w:p>
    <w:p w14:paraId="25870E80">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131"/>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80"/>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3"/>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131"/>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26"/>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80"/>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5236101"/>
      <w:bookmarkEnd w:id="15"/>
      <w:bookmarkStart w:id="16" w:name="_Hlt68403820"/>
      <w:bookmarkEnd w:id="16"/>
      <w:bookmarkStart w:id="17" w:name="_Hlt75236011"/>
      <w:bookmarkEnd w:id="17"/>
      <w:bookmarkStart w:id="18" w:name="_Hlt68072998"/>
      <w:bookmarkEnd w:id="18"/>
      <w:bookmarkStart w:id="19" w:name="_Hlt74730295"/>
      <w:bookmarkEnd w:id="19"/>
      <w:bookmarkStart w:id="20" w:name="_Hlt68073093"/>
      <w:bookmarkEnd w:id="20"/>
      <w:bookmarkStart w:id="21" w:name="_Hlt74714665"/>
      <w:bookmarkEnd w:id="21"/>
      <w:bookmarkStart w:id="22" w:name="_Hlt74707468"/>
      <w:bookmarkEnd w:id="22"/>
      <w:bookmarkStart w:id="23" w:name="_Hlt68057669"/>
      <w:bookmarkEnd w:id="23"/>
      <w:bookmarkStart w:id="24" w:name="_Hlt68072990"/>
      <w:bookmarkEnd w:id="24"/>
      <w:bookmarkStart w:id="25" w:name="_Hlt75236290"/>
      <w:bookmarkEnd w:id="25"/>
      <w:bookmarkStart w:id="26" w:name="_Hlt74729768"/>
      <w:bookmarkEnd w:id="26"/>
    </w:p>
    <w:bookmarkEnd w:id="11"/>
    <w:bookmarkEnd w:id="12"/>
    <w:p w14:paraId="5EB3596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0A4D8B3F">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一、项目内容</w:t>
      </w:r>
    </w:p>
    <w:p w14:paraId="6FE93CA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1、为确保钱塘区社会治安大局持续稳定，进一步充实基层维稳辅助力量，加强联防联动、治安管控、突发事件应急反应能力。</w:t>
      </w:r>
      <w:r>
        <w:rPr>
          <w:rFonts w:hint="eastAsia" w:ascii="宋体" w:hAnsi="宋体" w:eastAsia="宋体" w:cs="宋体"/>
          <w:color w:val="auto"/>
          <w:kern w:val="0"/>
          <w:sz w:val="24"/>
          <w:highlight w:val="none"/>
          <w:lang w:eastAsia="zh-CN"/>
        </w:rPr>
        <w:t>杭州市公安局钱塘区分局</w:t>
      </w:r>
      <w:r>
        <w:rPr>
          <w:rFonts w:hint="eastAsia" w:ascii="宋体" w:hAnsi="宋体" w:eastAsia="宋体" w:cs="宋体"/>
          <w:color w:val="auto"/>
          <w:kern w:val="0"/>
          <w:sz w:val="24"/>
          <w:highlight w:val="none"/>
        </w:rPr>
        <w:t>以服务外包模式将特保工作岗位外包予社会保安公司。项目需求特保人员共50名，一年总价不超过435万元（包含：工资、奖金、福利、社会五险、服装、装备、培训、住宿、交通、服务费等</w:t>
      </w:r>
      <w:r>
        <w:rPr>
          <w:rFonts w:hint="eastAsia" w:ascii="宋体" w:hAnsi="宋体" w:cs="宋体"/>
          <w:color w:val="auto"/>
          <w:kern w:val="0"/>
          <w:sz w:val="24"/>
          <w:highlight w:val="none"/>
          <w:lang w:val="en-US" w:eastAsia="zh-CN"/>
        </w:rPr>
        <w:t>全部</w:t>
      </w:r>
      <w:r>
        <w:rPr>
          <w:rFonts w:hint="eastAsia" w:ascii="宋体" w:hAnsi="宋体" w:eastAsia="宋体" w:cs="宋体"/>
          <w:color w:val="auto"/>
          <w:kern w:val="0"/>
          <w:sz w:val="24"/>
          <w:highlight w:val="none"/>
        </w:rPr>
        <w:t>费用）。工作时间、内容、人员要求以下</w:t>
      </w:r>
      <w:r>
        <w:rPr>
          <w:rFonts w:hint="eastAsia" w:ascii="宋体" w:hAnsi="宋体" w:cs="宋体"/>
          <w:color w:val="auto"/>
          <w:kern w:val="0"/>
          <w:sz w:val="24"/>
          <w:highlight w:val="none"/>
          <w:lang w:val="en-US" w:eastAsia="zh-CN"/>
        </w:rPr>
        <w:t>具</w:t>
      </w:r>
      <w:r>
        <w:rPr>
          <w:rFonts w:hint="eastAsia" w:ascii="宋体" w:hAnsi="宋体" w:eastAsia="宋体" w:cs="宋体"/>
          <w:color w:val="auto"/>
          <w:kern w:val="0"/>
          <w:sz w:val="24"/>
          <w:highlight w:val="none"/>
        </w:rPr>
        <w:t>已明确，各投标人请根据招标需求进行科学合理配置，确保安保工作顺利开展。</w:t>
      </w:r>
    </w:p>
    <w:p w14:paraId="5E2D8575">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2、服务地点： 杭州市钱塘区公安分局巡（特）警大队。</w:t>
      </w:r>
    </w:p>
    <w:p w14:paraId="3418E82E">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3、服务时间：自合同签订起1年。</w:t>
      </w:r>
    </w:p>
    <w:p w14:paraId="65164C40">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二、项目要求：</w:t>
      </w:r>
    </w:p>
    <w:p w14:paraId="33233B6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1、均为男性，年龄18-</w:t>
      </w:r>
      <w:r>
        <w:rPr>
          <w:rFonts w:hint="eastAsia" w:ascii="宋体" w:hAnsi="宋体" w:eastAsia="宋体" w:cs="宋体"/>
          <w:color w:val="auto"/>
          <w:kern w:val="0"/>
          <w:sz w:val="24"/>
          <w:highlight w:val="none"/>
          <w:lang w:val="en-US" w:eastAsia="zh-CN"/>
        </w:rPr>
        <w:t>35</w:t>
      </w:r>
      <w:r>
        <w:rPr>
          <w:rFonts w:hint="eastAsia" w:ascii="宋体" w:hAnsi="宋体" w:eastAsia="宋体" w:cs="宋体"/>
          <w:color w:val="auto"/>
          <w:kern w:val="0"/>
          <w:sz w:val="24"/>
          <w:highlight w:val="none"/>
        </w:rPr>
        <w:t>周岁(项目管理人员、队长、A1驾驶员年龄可以适当放宽)，身高170CM以上，高中以上学历，身体健康，形体无明显纹身及缺陷</w:t>
      </w:r>
      <w:r>
        <w:rPr>
          <w:rFonts w:hint="eastAsia"/>
          <w:color w:val="auto"/>
          <w:sz w:val="24"/>
          <w:szCs w:val="24"/>
          <w:highlight w:val="none"/>
          <w:lang w:eastAsia="zh-CN"/>
        </w:rPr>
        <w:t>，需持保安员证上岗</w:t>
      </w:r>
      <w:r>
        <w:rPr>
          <w:rFonts w:hint="eastAsia" w:ascii="宋体" w:hAnsi="宋体" w:eastAsia="宋体" w:cs="宋体"/>
          <w:color w:val="auto"/>
          <w:kern w:val="0"/>
          <w:sz w:val="24"/>
          <w:highlight w:val="none"/>
        </w:rPr>
        <w:t>；其中2名持A</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照驾驶证人员，且政审合格，无不良记录，服从管理，工作责任心强，举止文明，礼貌待人。</w:t>
      </w:r>
    </w:p>
    <w:p w14:paraId="20964ACA">
      <w:pPr>
        <w:widowControl/>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项目需求特保人员共50名。</w:t>
      </w:r>
    </w:p>
    <w:p w14:paraId="2483ECD2">
      <w:pPr>
        <w:widowControl/>
        <w:numPr>
          <w:ilvl w:val="0"/>
          <w:numId w:val="0"/>
        </w:num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值勤实行“做四休二”工作制（即做两天24小时，两天8小时，两天休息），如遇突发情况队员能服从临时调遣或增援，用人单位给予相应的时间调休。</w:t>
      </w:r>
      <w:r>
        <w:rPr>
          <w:rFonts w:hint="eastAsia" w:ascii="宋体" w:hAnsi="宋体" w:cs="宋体"/>
          <w:color w:val="auto"/>
          <w:kern w:val="0"/>
          <w:sz w:val="24"/>
          <w:highlight w:val="none"/>
          <w:lang w:eastAsia="zh-CN"/>
        </w:rPr>
        <w:t>不能胜任岗位的，采购人将酌情调整岗位。</w:t>
      </w:r>
    </w:p>
    <w:p w14:paraId="4DEDBCA5">
      <w:pPr>
        <w:widowControl/>
        <w:numPr>
          <w:ilvl w:val="0"/>
          <w:numId w:val="0"/>
        </w:num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项目特保人员的工资社保待遇不得低于杭州地区目前人均最低工资标准，按国家规定给项目特保人员缴纳法定费用。</w:t>
      </w:r>
    </w:p>
    <w:p w14:paraId="0F6176D2">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3、派驻人员工作时间须符合《劳动法》规定，须按规定购买社会五险。</w:t>
      </w:r>
    </w:p>
    <w:p w14:paraId="640ADF59">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4、协助公安机关做好联防联控、治安维护及突发事件应急处置等相关治安工作。</w:t>
      </w:r>
    </w:p>
    <w:p w14:paraId="3A81D930">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5、工作所需装备:中标人提供特保人员所需的制式保安服、统一标识、工作证件、所需装备、宿舍安排，以及队伍实行准军事化管理，并严格执行各项管理制度。</w:t>
      </w:r>
    </w:p>
    <w:p w14:paraId="7096CB9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6、服从命令、听众指挥，热爱本职工作，认真履行职责，忠于职守，发现情况第一时间上报，紧急关头能够挺身而出，保护人民群众生命安全和公私财产安全。</w:t>
      </w:r>
    </w:p>
    <w:p w14:paraId="2C42171A">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7、投标人对派驻项目的特保人员须进行相关的治安保卫工作培训，并针对采购人规章制度、操作流程等规定进行全面岗位培训，不得出现安全责任事故。</w:t>
      </w:r>
    </w:p>
    <w:p w14:paraId="68C7353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8、投标人派专门管理人员对项目特保人员进行全面管理，并积极主动与采购人协调做好安全防范等相关工作。</w:t>
      </w:r>
    </w:p>
    <w:p w14:paraId="6A784300">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9、采购人有权每月针对项目特保人员进行考核，并根据考核情况评定服务级别，采购人有权选择性淘汰项目特保人员。</w:t>
      </w:r>
    </w:p>
    <w:p w14:paraId="1602845B">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10、若中标人在服务期限内，违反下列相关规定采购人有权解除合同：</w:t>
      </w:r>
    </w:p>
    <w:p w14:paraId="5142C1BA">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（1）中标人将承包的保安服务转包其他公司或个人；</w:t>
      </w:r>
    </w:p>
    <w:p w14:paraId="259BB94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（2）中标人在履行合同期间，所提供的服务未能达到招标文件规定的标准及其投标响应承诺；</w:t>
      </w:r>
    </w:p>
    <w:p w14:paraId="7A2DFB5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（3）未按照国家《劳动法》规定及招标要求聘用项目特保人员；</w:t>
      </w:r>
    </w:p>
    <w:p w14:paraId="3D830380">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（4）项目特保人员的工资社保待遇不得低于杭州地区目前人均最低工资标准，中标人未及时支付保安员的工资和福利费用，未按国家规定给项目特保人员缴纳法定费用。</w:t>
      </w:r>
    </w:p>
    <w:p w14:paraId="1A70458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（5）出现重大责任问题。</w:t>
      </w:r>
    </w:p>
    <w:p w14:paraId="5D27EE0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（6）项目特保人员无证上岗的。</w:t>
      </w:r>
    </w:p>
    <w:p w14:paraId="64FD248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13、中标人须为其派驻的项目特保人员提供经采购人</w:t>
      </w:r>
      <w:r>
        <w:rPr>
          <w:rFonts w:hint="eastAsia" w:ascii="宋体" w:hAnsi="宋体" w:cs="宋体"/>
          <w:color w:val="auto"/>
          <w:kern w:val="0"/>
          <w:sz w:val="24"/>
          <w:highlight w:val="none"/>
          <w:lang w:val="en-US" w:eastAsia="zh-CN"/>
        </w:rPr>
        <w:t>书面</w:t>
      </w:r>
      <w:r>
        <w:rPr>
          <w:rFonts w:hint="eastAsia" w:ascii="宋体" w:hAnsi="宋体" w:eastAsia="宋体" w:cs="宋体"/>
          <w:color w:val="auto"/>
          <w:kern w:val="0"/>
          <w:sz w:val="24"/>
          <w:highlight w:val="none"/>
        </w:rPr>
        <w:t>确认的统一制式工作服装及各类标识。要求所派驻项目特保人员必须具有一年以内有效的体检证明，进驻五天前由投标方统一提供给采购人，相关费用在投标报价中综合考虑。</w:t>
      </w:r>
    </w:p>
    <w:p w14:paraId="45E406CB">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14、中标人提供工作所需的装备、耗材、交通、住宿等费用。</w:t>
      </w:r>
    </w:p>
    <w:p w14:paraId="5489C10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因中标人管理不善，造成工作中设施、设备损坏的，由直接责任人赔偿，若直接责任人因故无法赔偿的，采购人有权要求投标方负责赔偿，情节严重的可终止合同甚至诉诸法律。如遇采购人办公场所调整或迁移需要调整工作范围和职责等情况，采购人须提前告知投标方，合同内容经双方协商调整直至终止。</w:t>
      </w:r>
    </w:p>
    <w:p w14:paraId="32660E29">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16、投标方应专门制定针对本项目的服务管理考核细则，供采购人针对工作进行月度考评时作为参考，评分项须符合工作实际，评分结果须如实反映管理状况，须与月度服务费的支付和奖罚挂钩。</w:t>
      </w:r>
    </w:p>
    <w:p w14:paraId="238F3BEB">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17、未经采购人</w:t>
      </w:r>
      <w:r>
        <w:rPr>
          <w:rFonts w:hint="eastAsia" w:ascii="宋体" w:hAnsi="宋体" w:eastAsia="宋体" w:cs="宋体"/>
          <w:color w:val="auto"/>
          <w:kern w:val="0"/>
          <w:sz w:val="24"/>
          <w:highlight w:val="none"/>
          <w:lang w:val="en-US" w:eastAsia="zh-CN"/>
        </w:rPr>
        <w:t>书面</w:t>
      </w:r>
      <w:r>
        <w:rPr>
          <w:rFonts w:hint="eastAsia" w:ascii="宋体" w:hAnsi="宋体" w:eastAsia="宋体" w:cs="宋体"/>
          <w:color w:val="auto"/>
          <w:kern w:val="0"/>
          <w:sz w:val="24"/>
          <w:highlight w:val="none"/>
        </w:rPr>
        <w:t>允许，该项目的特保队员不得兼职，同时非本项目的其他特保不得在该项目加班。</w:t>
      </w:r>
    </w:p>
    <w:p w14:paraId="20A5BF9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18、充分保障项目特保人员的休息时间，加班需符合国家相关规定。</w:t>
      </w:r>
    </w:p>
    <w:p w14:paraId="0BF601AD">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19、该项目特保发生任何事故或劳动争议均有中标方全权负责。</w:t>
      </w:r>
    </w:p>
    <w:p w14:paraId="2CB87972">
      <w:pPr>
        <w:widowControl/>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投标人拟派项目经理需具有职称或军警从业经验、保安员职业资格证书和保安员证。拟派保安队长需同时具有大专及以上学历、退伍军人、党员、二级及以上保安员职业资格证书和保安员证。为保障项目实施，本项目拟派特保人员中需有人为大专及以上学历，退伍军人，配备民航部门或公安部门颁发的无人机驾驶证书。</w:t>
      </w:r>
    </w:p>
    <w:p w14:paraId="4DE0CC4F">
      <w:pPr>
        <w:widowControl/>
        <w:snapToGrid w:val="0"/>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三、履约验收</w:t>
      </w:r>
    </w:p>
    <w:p w14:paraId="69A4323D">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1、采购人按照采购合同规定的技术、服务、标准以及中标人的投标文件、本项目采购文件等要求，组织对供应商履约情况进行验收，并出具验收合格书。</w:t>
      </w:r>
    </w:p>
    <w:p w14:paraId="75BD3B48">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2、验收流程根据政府采购相关规定执行。</w:t>
      </w:r>
    </w:p>
    <w:p w14:paraId="4F75DAC5">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3、验收标准:根据采购需求、投标文件方案以及合同等进行验收。本项目考察以下内容:</w:t>
      </w:r>
    </w:p>
    <w:p w14:paraId="1E9D31A7">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①项目时间进度是否按要求开展。验收时，审核乙方项目流程相关记录，以及采购人对中标人时间响应的总结意见。</w:t>
      </w:r>
    </w:p>
    <w:p w14:paraId="48129C8B">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②项目团队是否按要求配备。验收时，提供中标单位实际项目人员清单，应与投标文件的内容一致。如项目人员中途有变更的，应同时提供乙方的变更申请，以及采购人对变更的答复意见。</w:t>
      </w:r>
    </w:p>
    <w:p w14:paraId="37EC0CEF">
      <w:pPr>
        <w:widowControl/>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③委派内容及成果是否全部完成。是否达到采购文件要求及投标文件的响应情况。验收时，提供中标人台账记录、结案报告，详细记载并说明项目开展过程中的工作内容、工作目标及达成情况。</w:t>
      </w:r>
    </w:p>
    <w:p w14:paraId="6E367D7A">
      <w:pPr>
        <w:spacing w:line="360" w:lineRule="auto"/>
        <w:ind w:firstLine="120" w:firstLineChars="50"/>
        <w:rPr>
          <w:rFonts w:ascii="宋体" w:hAnsi="宋体" w:cs="宋体"/>
          <w:b/>
          <w:color w:val="auto"/>
          <w:sz w:val="36"/>
          <w:szCs w:val="36"/>
          <w:highlight w:val="none"/>
        </w:rPr>
      </w:pPr>
      <w:r>
        <w:rPr>
          <w:rFonts w:hint="eastAsia" w:ascii="宋体" w:hAnsi="宋体" w:eastAsia="宋体" w:cs="宋体"/>
          <w:color w:val="auto"/>
          <w:kern w:val="0"/>
          <w:sz w:val="24"/>
          <w:highlight w:val="none"/>
          <w:lang w:val="en-US" w:eastAsia="zh-CN"/>
        </w:rPr>
        <w:t>4、项目开展过程中的规范性。提供付款流程相关记录，对合同其他条款未违反的相关说明。如合同履行过程中，中标单位有违约行为的，应记录违约内容，采购人的认定说明，违约扣款的金额及相关记录等。</w:t>
      </w:r>
    </w:p>
    <w:p w14:paraId="7D18B21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08067"/>
      <w:bookmarkEnd w:id="28"/>
      <w:bookmarkStart w:id="29" w:name="_Toc184308103"/>
      <w:bookmarkEnd w:id="29"/>
      <w:bookmarkStart w:id="30" w:name="_Toc184314468"/>
      <w:bookmarkEnd w:id="30"/>
      <w:bookmarkStart w:id="31" w:name="_Toc184313270"/>
      <w:bookmarkEnd w:id="31"/>
      <w:bookmarkStart w:id="32" w:name="_Toc184313238"/>
      <w:bookmarkEnd w:id="32"/>
      <w:bookmarkStart w:id="33" w:name="_Toc184310276"/>
      <w:bookmarkEnd w:id="33"/>
      <w:bookmarkStart w:id="34" w:name="_Toc184312081"/>
      <w:bookmarkEnd w:id="34"/>
      <w:bookmarkStart w:id="35" w:name="_Toc184308059"/>
      <w:bookmarkEnd w:id="35"/>
      <w:bookmarkStart w:id="36" w:name="_Toc184312119"/>
      <w:bookmarkEnd w:id="36"/>
      <w:bookmarkStart w:id="37" w:name="_Toc184313296"/>
      <w:bookmarkEnd w:id="37"/>
      <w:bookmarkStart w:id="38" w:name="_Toc184314451"/>
      <w:bookmarkEnd w:id="38"/>
      <w:bookmarkStart w:id="39" w:name="_Toc184313261"/>
      <w:bookmarkEnd w:id="39"/>
      <w:bookmarkStart w:id="40" w:name="_Toc184308096"/>
      <w:bookmarkEnd w:id="40"/>
      <w:bookmarkStart w:id="41" w:name="_Toc184313275"/>
      <w:bookmarkEnd w:id="41"/>
      <w:bookmarkStart w:id="42" w:name="_Toc184314423"/>
      <w:bookmarkEnd w:id="42"/>
      <w:bookmarkStart w:id="43" w:name="_Toc184314458"/>
      <w:bookmarkEnd w:id="43"/>
      <w:bookmarkStart w:id="44" w:name="_Toc184310295"/>
      <w:bookmarkEnd w:id="44"/>
      <w:bookmarkStart w:id="45" w:name="_Toc184313268"/>
      <w:bookmarkEnd w:id="45"/>
      <w:bookmarkStart w:id="46" w:name="_Toc184313291"/>
      <w:bookmarkEnd w:id="46"/>
      <w:bookmarkStart w:id="47" w:name="_Toc184313301"/>
      <w:bookmarkEnd w:id="47"/>
      <w:bookmarkStart w:id="48" w:name="_Toc184308036"/>
      <w:bookmarkEnd w:id="48"/>
      <w:bookmarkStart w:id="49" w:name="_Toc184312108"/>
      <w:bookmarkEnd w:id="49"/>
      <w:bookmarkStart w:id="50" w:name="_Toc184314430"/>
      <w:bookmarkEnd w:id="50"/>
      <w:bookmarkStart w:id="51" w:name="_Toc184314443"/>
      <w:bookmarkEnd w:id="51"/>
      <w:bookmarkStart w:id="52" w:name="_Toc184312121"/>
      <w:bookmarkEnd w:id="52"/>
      <w:bookmarkStart w:id="53" w:name="_Toc184313294"/>
      <w:bookmarkEnd w:id="53"/>
      <w:bookmarkStart w:id="54" w:name="_Toc184312127"/>
      <w:bookmarkEnd w:id="54"/>
      <w:bookmarkStart w:id="55" w:name="_Toc184310285"/>
      <w:bookmarkEnd w:id="55"/>
      <w:bookmarkStart w:id="56" w:name="_Toc184310273"/>
      <w:bookmarkEnd w:id="56"/>
      <w:bookmarkStart w:id="57" w:name="_Toc184310312"/>
      <w:bookmarkEnd w:id="57"/>
      <w:bookmarkStart w:id="58" w:name="_Toc184312136"/>
      <w:bookmarkEnd w:id="58"/>
      <w:bookmarkStart w:id="59" w:name="_Toc184314442"/>
      <w:bookmarkEnd w:id="59"/>
      <w:bookmarkStart w:id="60" w:name="_Toc184312120"/>
      <w:bookmarkEnd w:id="60"/>
      <w:bookmarkStart w:id="61" w:name="_Toc184312077"/>
      <w:bookmarkEnd w:id="61"/>
      <w:bookmarkStart w:id="62" w:name="_Toc184310300"/>
      <w:bookmarkEnd w:id="62"/>
      <w:bookmarkStart w:id="63" w:name="_Toc184312131"/>
      <w:bookmarkEnd w:id="63"/>
      <w:bookmarkStart w:id="64" w:name="_Toc184313260"/>
      <w:bookmarkEnd w:id="64"/>
      <w:bookmarkStart w:id="65" w:name="_Toc184314476"/>
      <w:bookmarkEnd w:id="65"/>
      <w:bookmarkStart w:id="66" w:name="_Toc184313302"/>
      <w:bookmarkEnd w:id="66"/>
      <w:bookmarkStart w:id="67" w:name="_Toc184312098"/>
      <w:bookmarkEnd w:id="67"/>
      <w:bookmarkStart w:id="68" w:name="_Toc184314411"/>
      <w:bookmarkEnd w:id="68"/>
      <w:bookmarkStart w:id="69" w:name="_Toc184314457"/>
      <w:bookmarkEnd w:id="69"/>
      <w:bookmarkStart w:id="70" w:name="_Toc184308082"/>
      <w:bookmarkEnd w:id="70"/>
      <w:bookmarkStart w:id="71" w:name="_Toc184313239"/>
      <w:bookmarkEnd w:id="71"/>
      <w:bookmarkStart w:id="72" w:name="_Toc184314419"/>
      <w:bookmarkEnd w:id="72"/>
      <w:bookmarkStart w:id="73" w:name="_Toc184310332"/>
      <w:bookmarkEnd w:id="73"/>
      <w:bookmarkStart w:id="74" w:name="_Toc184308073"/>
      <w:bookmarkEnd w:id="74"/>
      <w:bookmarkStart w:id="75" w:name="_Toc184312138"/>
      <w:bookmarkEnd w:id="75"/>
      <w:bookmarkStart w:id="76" w:name="_Toc184314439"/>
      <w:bookmarkEnd w:id="76"/>
      <w:bookmarkStart w:id="77" w:name="_Toc184312070"/>
      <w:bookmarkEnd w:id="77"/>
      <w:bookmarkStart w:id="78" w:name="_Toc184308092"/>
      <w:bookmarkEnd w:id="78"/>
      <w:bookmarkStart w:id="79" w:name="_Toc184310277"/>
      <w:bookmarkEnd w:id="79"/>
      <w:bookmarkStart w:id="80" w:name="_Toc184310288"/>
      <w:bookmarkEnd w:id="80"/>
      <w:bookmarkStart w:id="81" w:name="_Toc184313257"/>
      <w:bookmarkEnd w:id="81"/>
      <w:bookmarkStart w:id="82" w:name="_Toc184313263"/>
      <w:bookmarkEnd w:id="82"/>
      <w:bookmarkStart w:id="83" w:name="_Toc184313244"/>
      <w:bookmarkEnd w:id="83"/>
      <w:bookmarkStart w:id="84" w:name="_Toc184313295"/>
      <w:bookmarkEnd w:id="84"/>
      <w:bookmarkStart w:id="85" w:name="_Toc184308071"/>
      <w:bookmarkEnd w:id="85"/>
      <w:bookmarkStart w:id="86" w:name="_Toc184313242"/>
      <w:bookmarkEnd w:id="86"/>
      <w:bookmarkStart w:id="87" w:name="_Toc184312067"/>
      <w:bookmarkEnd w:id="87"/>
      <w:bookmarkStart w:id="88" w:name="_Toc184312123"/>
      <w:bookmarkEnd w:id="88"/>
      <w:bookmarkStart w:id="89" w:name="_Toc184308085"/>
      <w:bookmarkEnd w:id="89"/>
      <w:bookmarkStart w:id="90" w:name="_Toc184310321"/>
      <w:bookmarkEnd w:id="90"/>
      <w:bookmarkStart w:id="91" w:name="_Toc184312099"/>
      <w:bookmarkEnd w:id="91"/>
      <w:bookmarkStart w:id="92" w:name="_Toc184312094"/>
      <w:bookmarkEnd w:id="92"/>
      <w:bookmarkStart w:id="93" w:name="_Toc184312096"/>
      <w:bookmarkEnd w:id="93"/>
      <w:bookmarkStart w:id="94" w:name="_Toc184314463"/>
      <w:bookmarkEnd w:id="94"/>
      <w:bookmarkStart w:id="95" w:name="_Toc184312072"/>
      <w:bookmarkEnd w:id="95"/>
      <w:bookmarkStart w:id="96" w:name="_Toc184314429"/>
      <w:bookmarkEnd w:id="96"/>
      <w:bookmarkStart w:id="97" w:name="_Toc184314454"/>
      <w:bookmarkEnd w:id="97"/>
      <w:bookmarkStart w:id="98" w:name="_Toc184313288"/>
      <w:bookmarkEnd w:id="98"/>
      <w:bookmarkStart w:id="99" w:name="_Toc184308086"/>
      <w:bookmarkEnd w:id="99"/>
      <w:bookmarkStart w:id="100" w:name="_Toc184310301"/>
      <w:bookmarkEnd w:id="100"/>
      <w:bookmarkStart w:id="101" w:name="_Toc184308077"/>
      <w:bookmarkEnd w:id="101"/>
      <w:bookmarkStart w:id="102" w:name="_Toc184314425"/>
      <w:bookmarkEnd w:id="102"/>
      <w:bookmarkStart w:id="103" w:name="_Toc184308060"/>
      <w:bookmarkEnd w:id="103"/>
      <w:bookmarkStart w:id="104" w:name="_Toc184314456"/>
      <w:bookmarkEnd w:id="104"/>
      <w:bookmarkStart w:id="105" w:name="_Toc184313290"/>
      <w:bookmarkEnd w:id="105"/>
      <w:bookmarkStart w:id="106" w:name="_Toc184313266"/>
      <w:bookmarkEnd w:id="106"/>
      <w:bookmarkStart w:id="107" w:name="_Toc184312105"/>
      <w:bookmarkEnd w:id="107"/>
      <w:bookmarkStart w:id="108" w:name="_Toc184310313"/>
      <w:bookmarkEnd w:id="108"/>
      <w:bookmarkStart w:id="109" w:name="_Toc184314467"/>
      <w:bookmarkEnd w:id="109"/>
      <w:bookmarkStart w:id="110" w:name="_Toc184312086"/>
      <w:bookmarkEnd w:id="110"/>
      <w:bookmarkStart w:id="111" w:name="_Toc184310294"/>
      <w:bookmarkEnd w:id="111"/>
      <w:bookmarkStart w:id="112" w:name="_Toc184313306"/>
      <w:bookmarkEnd w:id="112"/>
      <w:bookmarkStart w:id="113" w:name="_Toc184314420"/>
      <w:bookmarkEnd w:id="113"/>
      <w:bookmarkStart w:id="114" w:name="_Toc184308102"/>
      <w:bookmarkEnd w:id="114"/>
      <w:bookmarkStart w:id="115" w:name="_Toc184310309"/>
      <w:bookmarkEnd w:id="115"/>
      <w:bookmarkStart w:id="116" w:name="_Toc184312107"/>
      <w:bookmarkEnd w:id="116"/>
      <w:bookmarkStart w:id="117" w:name="_Toc184312112"/>
      <w:bookmarkEnd w:id="117"/>
      <w:bookmarkStart w:id="118" w:name="_Toc184308097"/>
      <w:bookmarkEnd w:id="118"/>
      <w:bookmarkStart w:id="119" w:name="_Toc184312090"/>
      <w:bookmarkEnd w:id="119"/>
      <w:bookmarkStart w:id="120" w:name="_Toc184310322"/>
      <w:bookmarkEnd w:id="120"/>
      <w:bookmarkStart w:id="121" w:name="_Toc184313267"/>
      <w:bookmarkEnd w:id="121"/>
      <w:bookmarkStart w:id="122" w:name="_Toc184310306"/>
      <w:bookmarkEnd w:id="122"/>
      <w:bookmarkStart w:id="123" w:name="_Toc184313292"/>
      <w:bookmarkEnd w:id="123"/>
      <w:bookmarkStart w:id="124" w:name="_Toc184308054"/>
      <w:bookmarkEnd w:id="124"/>
      <w:bookmarkStart w:id="125" w:name="_Toc184308069"/>
      <w:bookmarkEnd w:id="125"/>
      <w:bookmarkStart w:id="126" w:name="_Toc184310274"/>
      <w:bookmarkEnd w:id="126"/>
      <w:bookmarkStart w:id="127" w:name="_Toc184313248"/>
      <w:bookmarkEnd w:id="127"/>
      <w:bookmarkStart w:id="128" w:name="_Toc184308057"/>
      <w:bookmarkEnd w:id="128"/>
      <w:bookmarkStart w:id="129" w:name="_Toc184308044"/>
      <w:bookmarkEnd w:id="129"/>
      <w:bookmarkStart w:id="130" w:name="_Toc184313300"/>
      <w:bookmarkEnd w:id="130"/>
      <w:bookmarkStart w:id="131" w:name="_Toc184313281"/>
      <w:bookmarkEnd w:id="131"/>
      <w:bookmarkStart w:id="132" w:name="_Toc184312104"/>
      <w:bookmarkEnd w:id="132"/>
      <w:bookmarkStart w:id="133" w:name="_Toc184312125"/>
      <w:bookmarkEnd w:id="133"/>
      <w:bookmarkStart w:id="134" w:name="_Toc184312095"/>
      <w:bookmarkEnd w:id="134"/>
      <w:bookmarkStart w:id="135" w:name="_Toc184308075"/>
      <w:bookmarkEnd w:id="135"/>
      <w:bookmarkStart w:id="136" w:name="_Toc184310334"/>
      <w:bookmarkEnd w:id="136"/>
      <w:bookmarkStart w:id="137" w:name="_Toc184313272"/>
      <w:bookmarkEnd w:id="137"/>
      <w:bookmarkStart w:id="138" w:name="_Toc184312129"/>
      <w:bookmarkEnd w:id="138"/>
      <w:bookmarkStart w:id="139" w:name="_Toc184313250"/>
      <w:bookmarkEnd w:id="139"/>
      <w:bookmarkStart w:id="140" w:name="_Toc184313264"/>
      <w:bookmarkEnd w:id="140"/>
      <w:bookmarkStart w:id="141" w:name="_Toc184313273"/>
      <w:bookmarkEnd w:id="141"/>
      <w:bookmarkStart w:id="142" w:name="_Toc184313249"/>
      <w:bookmarkEnd w:id="142"/>
      <w:bookmarkStart w:id="143" w:name="_Toc184313280"/>
      <w:bookmarkEnd w:id="143"/>
      <w:bookmarkStart w:id="144" w:name="_Toc184308106"/>
      <w:bookmarkEnd w:id="144"/>
      <w:bookmarkStart w:id="145" w:name="_Toc184314424"/>
      <w:bookmarkEnd w:id="145"/>
      <w:bookmarkStart w:id="146" w:name="_Toc184313285"/>
      <w:bookmarkEnd w:id="146"/>
      <w:bookmarkStart w:id="147" w:name="_Toc184313305"/>
      <w:bookmarkEnd w:id="147"/>
      <w:bookmarkStart w:id="148" w:name="_Toc184312078"/>
      <w:bookmarkEnd w:id="148"/>
      <w:bookmarkStart w:id="149" w:name="_Toc184310284"/>
      <w:bookmarkEnd w:id="149"/>
      <w:bookmarkStart w:id="150" w:name="_Toc184312091"/>
      <w:bookmarkEnd w:id="150"/>
      <w:bookmarkStart w:id="151" w:name="_Toc184312082"/>
      <w:bookmarkEnd w:id="151"/>
      <w:bookmarkStart w:id="152" w:name="_Toc184313256"/>
      <w:bookmarkEnd w:id="152"/>
      <w:bookmarkStart w:id="153" w:name="_Toc184310287"/>
      <w:bookmarkEnd w:id="153"/>
      <w:bookmarkStart w:id="154" w:name="_Toc184312093"/>
      <w:bookmarkEnd w:id="154"/>
      <w:bookmarkStart w:id="155" w:name="_Toc184314481"/>
      <w:bookmarkEnd w:id="155"/>
      <w:bookmarkStart w:id="156" w:name="_Toc184313297"/>
      <w:bookmarkEnd w:id="156"/>
      <w:bookmarkStart w:id="157" w:name="_Toc184314459"/>
      <w:bookmarkEnd w:id="157"/>
      <w:bookmarkStart w:id="158" w:name="_Toc184312097"/>
      <w:bookmarkEnd w:id="158"/>
      <w:bookmarkStart w:id="159" w:name="_Toc184313309"/>
      <w:bookmarkEnd w:id="159"/>
      <w:bookmarkStart w:id="160" w:name="_Toc184314415"/>
      <w:bookmarkEnd w:id="160"/>
      <w:bookmarkStart w:id="161" w:name="_Toc184308084"/>
      <w:bookmarkEnd w:id="161"/>
      <w:bookmarkStart w:id="162" w:name="_Toc184308081"/>
      <w:bookmarkEnd w:id="162"/>
      <w:bookmarkStart w:id="163" w:name="_Toc184314447"/>
      <w:bookmarkEnd w:id="163"/>
      <w:bookmarkStart w:id="164" w:name="_Toc184314422"/>
      <w:bookmarkEnd w:id="164"/>
      <w:bookmarkStart w:id="165" w:name="_Toc184314437"/>
      <w:bookmarkEnd w:id="165"/>
      <w:bookmarkStart w:id="166" w:name="_Toc184308053"/>
      <w:bookmarkEnd w:id="166"/>
      <w:bookmarkStart w:id="167" w:name="_Toc184308087"/>
      <w:bookmarkEnd w:id="167"/>
      <w:bookmarkStart w:id="168" w:name="_Toc184312126"/>
      <w:bookmarkEnd w:id="168"/>
      <w:bookmarkStart w:id="169" w:name="_Toc184308061"/>
      <w:bookmarkEnd w:id="169"/>
      <w:bookmarkStart w:id="170" w:name="_Toc184310320"/>
      <w:bookmarkEnd w:id="170"/>
      <w:bookmarkStart w:id="171" w:name="_Toc184314446"/>
      <w:bookmarkEnd w:id="171"/>
      <w:bookmarkStart w:id="172" w:name="_Toc184314478"/>
      <w:bookmarkEnd w:id="172"/>
      <w:bookmarkStart w:id="173" w:name="_Toc184310307"/>
      <w:bookmarkEnd w:id="173"/>
      <w:bookmarkStart w:id="174" w:name="_Toc184312115"/>
      <w:bookmarkEnd w:id="174"/>
      <w:bookmarkStart w:id="175" w:name="_Toc184308072"/>
      <w:bookmarkEnd w:id="175"/>
      <w:bookmarkStart w:id="176" w:name="_Toc184310296"/>
      <w:bookmarkEnd w:id="176"/>
      <w:bookmarkStart w:id="177" w:name="_Toc184308095"/>
      <w:bookmarkEnd w:id="177"/>
      <w:bookmarkStart w:id="178" w:name="_Toc184314482"/>
      <w:bookmarkEnd w:id="178"/>
      <w:bookmarkStart w:id="179" w:name="_Toc184310308"/>
      <w:bookmarkEnd w:id="179"/>
      <w:bookmarkStart w:id="180" w:name="_Toc184310343"/>
      <w:bookmarkEnd w:id="180"/>
      <w:bookmarkStart w:id="181" w:name="_Toc184313262"/>
      <w:bookmarkEnd w:id="181"/>
      <w:bookmarkStart w:id="182" w:name="_Toc184314462"/>
      <w:bookmarkEnd w:id="182"/>
      <w:bookmarkStart w:id="183" w:name="_Toc184314440"/>
      <w:bookmarkEnd w:id="183"/>
      <w:bookmarkStart w:id="184" w:name="_Toc184313259"/>
      <w:bookmarkEnd w:id="184"/>
      <w:bookmarkStart w:id="185" w:name="_Toc184312076"/>
      <w:bookmarkEnd w:id="185"/>
      <w:bookmarkStart w:id="186" w:name="_Toc184310275"/>
      <w:bookmarkEnd w:id="186"/>
      <w:bookmarkStart w:id="187" w:name="_Toc184308045"/>
      <w:bookmarkEnd w:id="187"/>
      <w:bookmarkStart w:id="188" w:name="_Toc184314434"/>
      <w:bookmarkEnd w:id="188"/>
      <w:bookmarkStart w:id="189" w:name="_Toc184313274"/>
      <w:bookmarkEnd w:id="189"/>
      <w:bookmarkStart w:id="190" w:name="_Toc184310330"/>
      <w:bookmarkEnd w:id="190"/>
      <w:bookmarkStart w:id="191" w:name="_Toc184308094"/>
      <w:bookmarkEnd w:id="191"/>
      <w:bookmarkStart w:id="192" w:name="_Toc184312113"/>
      <w:bookmarkEnd w:id="192"/>
      <w:bookmarkStart w:id="193" w:name="_Toc184312084"/>
      <w:bookmarkEnd w:id="193"/>
      <w:bookmarkStart w:id="194" w:name="_Toc184312074"/>
      <w:bookmarkEnd w:id="194"/>
      <w:bookmarkStart w:id="195" w:name="_Toc184310282"/>
      <w:bookmarkEnd w:id="195"/>
      <w:bookmarkStart w:id="196" w:name="_Toc184310315"/>
      <w:bookmarkEnd w:id="196"/>
      <w:bookmarkStart w:id="197" w:name="_Toc184310281"/>
      <w:bookmarkEnd w:id="197"/>
      <w:bookmarkStart w:id="198" w:name="_Toc184313279"/>
      <w:bookmarkEnd w:id="198"/>
      <w:bookmarkStart w:id="199" w:name="_Toc184313276"/>
      <w:bookmarkEnd w:id="199"/>
      <w:bookmarkStart w:id="200" w:name="_Toc184310324"/>
      <w:bookmarkEnd w:id="200"/>
      <w:bookmarkStart w:id="201" w:name="_Toc184313284"/>
      <w:bookmarkEnd w:id="201"/>
      <w:bookmarkStart w:id="202" w:name="_Toc184314455"/>
      <w:bookmarkEnd w:id="202"/>
      <w:bookmarkStart w:id="203" w:name="_Toc184310326"/>
      <w:bookmarkEnd w:id="203"/>
      <w:bookmarkStart w:id="204" w:name="_Toc184312069"/>
      <w:bookmarkEnd w:id="204"/>
      <w:bookmarkStart w:id="205" w:name="_Toc184308039"/>
      <w:bookmarkEnd w:id="205"/>
      <w:bookmarkStart w:id="206" w:name="_Toc184314480"/>
      <w:bookmarkEnd w:id="206"/>
      <w:bookmarkStart w:id="207" w:name="_Toc184308098"/>
      <w:bookmarkEnd w:id="207"/>
      <w:bookmarkStart w:id="208" w:name="_Toc184310286"/>
      <w:bookmarkEnd w:id="208"/>
      <w:bookmarkStart w:id="209" w:name="_Toc184312103"/>
      <w:bookmarkEnd w:id="209"/>
      <w:bookmarkStart w:id="210" w:name="_Toc184314453"/>
      <w:bookmarkEnd w:id="210"/>
      <w:bookmarkStart w:id="211" w:name="_Toc184312083"/>
      <w:bookmarkEnd w:id="211"/>
      <w:bookmarkStart w:id="212" w:name="_Toc184314445"/>
      <w:bookmarkEnd w:id="212"/>
      <w:bookmarkStart w:id="213" w:name="_Toc184308080"/>
      <w:bookmarkEnd w:id="213"/>
      <w:bookmarkStart w:id="214" w:name="_Toc184313303"/>
      <w:bookmarkEnd w:id="214"/>
      <w:bookmarkStart w:id="215" w:name="_Toc184310337"/>
      <w:bookmarkEnd w:id="215"/>
      <w:bookmarkStart w:id="216" w:name="_Toc184310278"/>
      <w:bookmarkEnd w:id="216"/>
      <w:bookmarkStart w:id="217" w:name="_Toc184313299"/>
      <w:bookmarkEnd w:id="217"/>
      <w:bookmarkStart w:id="218" w:name="_Toc184313265"/>
      <w:bookmarkEnd w:id="218"/>
      <w:bookmarkStart w:id="219" w:name="_Toc184312110"/>
      <w:bookmarkEnd w:id="219"/>
      <w:bookmarkStart w:id="220" w:name="_Toc184312114"/>
      <w:bookmarkEnd w:id="220"/>
      <w:bookmarkStart w:id="221" w:name="_Toc184312075"/>
      <w:bookmarkEnd w:id="221"/>
      <w:bookmarkStart w:id="222" w:name="_Toc184308076"/>
      <w:bookmarkEnd w:id="222"/>
      <w:bookmarkStart w:id="223" w:name="_Toc184308040"/>
      <w:bookmarkEnd w:id="223"/>
      <w:bookmarkStart w:id="224" w:name="_Toc184314452"/>
      <w:bookmarkEnd w:id="224"/>
      <w:bookmarkStart w:id="225" w:name="_Toc184310319"/>
      <w:bookmarkEnd w:id="225"/>
      <w:bookmarkStart w:id="226" w:name="_Toc184308046"/>
      <w:bookmarkEnd w:id="226"/>
      <w:bookmarkStart w:id="227" w:name="_Toc184314417"/>
      <w:bookmarkEnd w:id="227"/>
      <w:bookmarkStart w:id="228" w:name="_Toc184310344"/>
      <w:bookmarkEnd w:id="228"/>
      <w:bookmarkStart w:id="229" w:name="_Toc184314474"/>
      <w:bookmarkEnd w:id="229"/>
      <w:bookmarkStart w:id="230" w:name="_Toc184313269"/>
      <w:bookmarkEnd w:id="230"/>
      <w:bookmarkStart w:id="231" w:name="_Toc184313278"/>
      <w:bookmarkEnd w:id="231"/>
      <w:bookmarkStart w:id="232" w:name="_Toc184313251"/>
      <w:bookmarkEnd w:id="232"/>
      <w:bookmarkStart w:id="233" w:name="_Toc184310341"/>
      <w:bookmarkEnd w:id="233"/>
      <w:bookmarkStart w:id="234" w:name="_Toc184312106"/>
      <w:bookmarkEnd w:id="234"/>
      <w:bookmarkStart w:id="235" w:name="_Toc184312088"/>
      <w:bookmarkEnd w:id="235"/>
      <w:bookmarkStart w:id="236" w:name="_Toc184314473"/>
      <w:bookmarkEnd w:id="236"/>
      <w:bookmarkStart w:id="237" w:name="_Toc184308104"/>
      <w:bookmarkEnd w:id="237"/>
      <w:bookmarkStart w:id="238" w:name="_Toc184312079"/>
      <w:bookmarkEnd w:id="238"/>
      <w:bookmarkStart w:id="239" w:name="_Toc184314436"/>
      <w:bookmarkEnd w:id="239"/>
      <w:bookmarkStart w:id="240" w:name="_Toc184308074"/>
      <w:bookmarkEnd w:id="240"/>
      <w:bookmarkStart w:id="241" w:name="_Toc184312109"/>
      <w:bookmarkEnd w:id="241"/>
      <w:bookmarkStart w:id="242" w:name="_Toc184308041"/>
      <w:bookmarkEnd w:id="242"/>
      <w:bookmarkStart w:id="243" w:name="_Toc184312130"/>
      <w:bookmarkEnd w:id="243"/>
      <w:bookmarkStart w:id="244" w:name="_Toc184314469"/>
      <w:bookmarkEnd w:id="244"/>
      <w:bookmarkStart w:id="245" w:name="_Toc184308068"/>
      <w:bookmarkEnd w:id="245"/>
      <w:bookmarkStart w:id="246" w:name="_Toc184312137"/>
      <w:bookmarkEnd w:id="246"/>
      <w:bookmarkStart w:id="247" w:name="_Toc184310272"/>
      <w:bookmarkEnd w:id="247"/>
      <w:bookmarkStart w:id="248" w:name="_Toc184310335"/>
      <w:bookmarkEnd w:id="248"/>
      <w:bookmarkStart w:id="249" w:name="_Toc184314470"/>
      <w:bookmarkEnd w:id="249"/>
      <w:bookmarkStart w:id="250" w:name="_Toc184313310"/>
      <w:bookmarkEnd w:id="250"/>
      <w:bookmarkStart w:id="251" w:name="_Toc184310310"/>
      <w:bookmarkEnd w:id="251"/>
      <w:bookmarkStart w:id="252" w:name="_Toc184308064"/>
      <w:bookmarkEnd w:id="252"/>
      <w:bookmarkStart w:id="253" w:name="_Toc184308078"/>
      <w:bookmarkEnd w:id="253"/>
      <w:bookmarkStart w:id="254" w:name="_Toc184310331"/>
      <w:bookmarkEnd w:id="254"/>
      <w:bookmarkStart w:id="255" w:name="_Toc184310293"/>
      <w:bookmarkEnd w:id="255"/>
      <w:bookmarkStart w:id="256" w:name="_Toc184313293"/>
      <w:bookmarkEnd w:id="256"/>
      <w:bookmarkStart w:id="257" w:name="_Toc184310311"/>
      <w:bookmarkEnd w:id="257"/>
      <w:bookmarkStart w:id="258" w:name="_Toc184313271"/>
      <w:bookmarkEnd w:id="258"/>
      <w:bookmarkStart w:id="259" w:name="_Toc184313245"/>
      <w:bookmarkEnd w:id="259"/>
      <w:bookmarkStart w:id="260" w:name="_Toc184314426"/>
      <w:bookmarkEnd w:id="260"/>
      <w:bookmarkStart w:id="261" w:name="_Toc184310323"/>
      <w:bookmarkEnd w:id="261"/>
      <w:bookmarkStart w:id="262" w:name="_Toc184312101"/>
      <w:bookmarkEnd w:id="262"/>
      <w:bookmarkStart w:id="263" w:name="_Toc184310304"/>
      <w:bookmarkEnd w:id="263"/>
      <w:bookmarkStart w:id="264" w:name="_Toc184308101"/>
      <w:bookmarkEnd w:id="264"/>
      <w:bookmarkStart w:id="265" w:name="_Toc184312122"/>
      <w:bookmarkEnd w:id="265"/>
      <w:bookmarkStart w:id="266" w:name="_Toc184308048"/>
      <w:bookmarkEnd w:id="266"/>
      <w:bookmarkStart w:id="267" w:name="_Toc184314427"/>
      <w:bookmarkEnd w:id="267"/>
      <w:bookmarkStart w:id="268" w:name="_Toc184308108"/>
      <w:bookmarkEnd w:id="268"/>
      <w:bookmarkStart w:id="269" w:name="_Toc184310303"/>
      <w:bookmarkEnd w:id="269"/>
      <w:bookmarkStart w:id="270" w:name="_Toc184314428"/>
      <w:bookmarkEnd w:id="270"/>
      <w:bookmarkStart w:id="271" w:name="_Toc184310329"/>
      <w:bookmarkEnd w:id="271"/>
      <w:bookmarkStart w:id="272" w:name="_Toc184310290"/>
      <w:bookmarkEnd w:id="272"/>
      <w:bookmarkStart w:id="273" w:name="_Toc184313246"/>
      <w:bookmarkEnd w:id="273"/>
      <w:bookmarkStart w:id="274" w:name="_Toc184312087"/>
      <w:bookmarkEnd w:id="274"/>
      <w:bookmarkStart w:id="275" w:name="_Toc184310292"/>
      <w:bookmarkEnd w:id="275"/>
      <w:bookmarkStart w:id="276" w:name="_Toc184314471"/>
      <w:bookmarkEnd w:id="276"/>
      <w:bookmarkStart w:id="277" w:name="_Toc184308042"/>
      <w:bookmarkEnd w:id="277"/>
      <w:bookmarkStart w:id="278" w:name="_Toc184314460"/>
      <w:bookmarkEnd w:id="278"/>
      <w:bookmarkStart w:id="279" w:name="_Toc184308065"/>
      <w:bookmarkEnd w:id="279"/>
      <w:bookmarkStart w:id="280" w:name="_Toc184313307"/>
      <w:bookmarkEnd w:id="280"/>
      <w:bookmarkStart w:id="281" w:name="_Toc184308058"/>
      <w:bookmarkEnd w:id="281"/>
      <w:bookmarkStart w:id="282" w:name="_Toc184313252"/>
      <w:bookmarkEnd w:id="282"/>
      <w:bookmarkStart w:id="283" w:name="_Toc184314421"/>
      <w:bookmarkEnd w:id="283"/>
      <w:bookmarkStart w:id="284" w:name="_Toc184314433"/>
      <w:bookmarkEnd w:id="284"/>
      <w:bookmarkStart w:id="285" w:name="_Toc184313287"/>
      <w:bookmarkEnd w:id="285"/>
      <w:bookmarkStart w:id="286" w:name="_Toc184313282"/>
      <w:bookmarkEnd w:id="286"/>
      <w:bookmarkStart w:id="287" w:name="_Toc184312134"/>
      <w:bookmarkEnd w:id="287"/>
      <w:bookmarkStart w:id="288" w:name="_Toc184312118"/>
      <w:bookmarkEnd w:id="288"/>
      <w:bookmarkStart w:id="289" w:name="_Toc184314475"/>
      <w:bookmarkEnd w:id="289"/>
      <w:bookmarkStart w:id="290" w:name="_Toc184308055"/>
      <w:bookmarkEnd w:id="290"/>
      <w:bookmarkStart w:id="291" w:name="_Toc184314412"/>
      <w:bookmarkEnd w:id="291"/>
      <w:bookmarkStart w:id="292" w:name="_Toc184310327"/>
      <w:bookmarkEnd w:id="292"/>
      <w:bookmarkStart w:id="293" w:name="_Toc184310283"/>
      <w:bookmarkEnd w:id="293"/>
      <w:bookmarkStart w:id="294" w:name="_Toc184308070"/>
      <w:bookmarkEnd w:id="294"/>
      <w:bookmarkStart w:id="295" w:name="_Toc184310314"/>
      <w:bookmarkEnd w:id="295"/>
      <w:bookmarkStart w:id="296" w:name="_Toc184312100"/>
      <w:bookmarkEnd w:id="296"/>
      <w:bookmarkStart w:id="297" w:name="_Toc184314448"/>
      <w:bookmarkEnd w:id="297"/>
      <w:bookmarkStart w:id="298" w:name="_Toc184312111"/>
      <w:bookmarkEnd w:id="298"/>
      <w:bookmarkStart w:id="299" w:name="_Toc184308099"/>
      <w:bookmarkEnd w:id="299"/>
      <w:bookmarkStart w:id="300" w:name="_Toc184308088"/>
      <w:bookmarkEnd w:id="300"/>
      <w:bookmarkStart w:id="301" w:name="_Toc184308049"/>
      <w:bookmarkEnd w:id="301"/>
      <w:bookmarkStart w:id="302" w:name="_Toc184308107"/>
      <w:bookmarkEnd w:id="302"/>
      <w:bookmarkStart w:id="303" w:name="_Toc184313277"/>
      <w:bookmarkEnd w:id="303"/>
      <w:bookmarkStart w:id="304" w:name="_Toc184313308"/>
      <w:bookmarkEnd w:id="304"/>
      <w:bookmarkStart w:id="305" w:name="_Toc184310342"/>
      <w:bookmarkEnd w:id="305"/>
      <w:bookmarkStart w:id="306" w:name="_Toc184312128"/>
      <w:bookmarkEnd w:id="306"/>
      <w:bookmarkStart w:id="307" w:name="_Toc184314444"/>
      <w:bookmarkEnd w:id="307"/>
      <w:bookmarkStart w:id="308" w:name="_Toc184314477"/>
      <w:bookmarkEnd w:id="308"/>
      <w:bookmarkStart w:id="309" w:name="_Toc184314410"/>
      <w:bookmarkEnd w:id="309"/>
      <w:bookmarkStart w:id="310" w:name="_Toc184310279"/>
      <w:bookmarkEnd w:id="310"/>
      <w:bookmarkStart w:id="311" w:name="_Toc184313283"/>
      <w:bookmarkEnd w:id="311"/>
      <w:bookmarkStart w:id="312" w:name="_Toc184314466"/>
      <w:bookmarkEnd w:id="312"/>
      <w:bookmarkStart w:id="313" w:name="_Toc184310316"/>
      <w:bookmarkEnd w:id="313"/>
      <w:bookmarkStart w:id="314" w:name="_Toc184308052"/>
      <w:bookmarkEnd w:id="314"/>
      <w:bookmarkStart w:id="315" w:name="_Toc184312092"/>
      <w:bookmarkEnd w:id="315"/>
      <w:bookmarkStart w:id="316" w:name="_Toc184308100"/>
      <w:bookmarkEnd w:id="316"/>
      <w:bookmarkStart w:id="317" w:name="_Toc184314431"/>
      <w:bookmarkEnd w:id="317"/>
      <w:bookmarkStart w:id="318" w:name="_Toc184314449"/>
      <w:bookmarkEnd w:id="318"/>
      <w:bookmarkStart w:id="319" w:name="_Toc184312117"/>
      <w:bookmarkEnd w:id="319"/>
      <w:bookmarkStart w:id="320" w:name="_Toc184314441"/>
      <w:bookmarkEnd w:id="320"/>
      <w:bookmarkStart w:id="321" w:name="_Toc184310302"/>
      <w:bookmarkEnd w:id="321"/>
      <w:bookmarkStart w:id="322" w:name="_Toc184308062"/>
      <w:bookmarkEnd w:id="322"/>
      <w:bookmarkStart w:id="323" w:name="_Toc184312071"/>
      <w:bookmarkEnd w:id="323"/>
      <w:bookmarkStart w:id="324" w:name="_Toc184308105"/>
      <w:bookmarkEnd w:id="324"/>
      <w:bookmarkStart w:id="325" w:name="_Toc184308056"/>
      <w:bookmarkEnd w:id="325"/>
      <w:bookmarkStart w:id="326" w:name="_Toc184310317"/>
      <w:bookmarkEnd w:id="326"/>
      <w:bookmarkStart w:id="327" w:name="_Toc184313253"/>
      <w:bookmarkEnd w:id="327"/>
      <w:bookmarkStart w:id="328" w:name="_Toc184310328"/>
      <w:bookmarkEnd w:id="328"/>
      <w:bookmarkStart w:id="329" w:name="_Toc184310291"/>
      <w:bookmarkEnd w:id="329"/>
      <w:bookmarkStart w:id="330" w:name="_Toc184313243"/>
      <w:bookmarkEnd w:id="330"/>
      <w:bookmarkStart w:id="331" w:name="_Toc184312135"/>
      <w:bookmarkEnd w:id="331"/>
      <w:bookmarkStart w:id="332" w:name="_Toc184312132"/>
      <w:bookmarkEnd w:id="332"/>
      <w:bookmarkStart w:id="333" w:name="_Toc184310280"/>
      <w:bookmarkEnd w:id="333"/>
      <w:bookmarkStart w:id="334" w:name="_Toc184313255"/>
      <w:bookmarkEnd w:id="334"/>
      <w:bookmarkStart w:id="335" w:name="_Toc184308089"/>
      <w:bookmarkEnd w:id="335"/>
      <w:bookmarkStart w:id="336" w:name="_Toc184313286"/>
      <w:bookmarkEnd w:id="336"/>
      <w:bookmarkStart w:id="337" w:name="_Toc184312139"/>
      <w:bookmarkEnd w:id="337"/>
      <w:bookmarkStart w:id="338" w:name="_Toc184314416"/>
      <w:bookmarkEnd w:id="338"/>
      <w:bookmarkStart w:id="339" w:name="_Toc184314472"/>
      <w:bookmarkEnd w:id="339"/>
      <w:bookmarkStart w:id="340" w:name="_Toc184308066"/>
      <w:bookmarkEnd w:id="340"/>
      <w:bookmarkStart w:id="341" w:name="_Toc184314461"/>
      <w:bookmarkEnd w:id="341"/>
      <w:bookmarkStart w:id="342" w:name="_Toc184313247"/>
      <w:bookmarkEnd w:id="342"/>
      <w:bookmarkStart w:id="343" w:name="_Toc184310289"/>
      <w:bookmarkEnd w:id="343"/>
      <w:bookmarkStart w:id="344" w:name="_Toc184310305"/>
      <w:bookmarkEnd w:id="344"/>
      <w:bookmarkStart w:id="345" w:name="_Toc184314432"/>
      <w:bookmarkEnd w:id="345"/>
      <w:bookmarkStart w:id="346" w:name="_Toc184314413"/>
      <w:bookmarkEnd w:id="346"/>
      <w:bookmarkStart w:id="347" w:name="_Toc184310339"/>
      <w:bookmarkEnd w:id="347"/>
      <w:bookmarkStart w:id="348" w:name="_Toc184308093"/>
      <w:bookmarkEnd w:id="348"/>
      <w:bookmarkStart w:id="349" w:name="_Toc184312085"/>
      <w:bookmarkEnd w:id="349"/>
      <w:bookmarkStart w:id="350" w:name="_Toc184310333"/>
      <w:bookmarkEnd w:id="350"/>
      <w:bookmarkStart w:id="351" w:name="_Toc184312080"/>
      <w:bookmarkEnd w:id="351"/>
      <w:bookmarkStart w:id="352" w:name="_Toc184313304"/>
      <w:bookmarkEnd w:id="352"/>
      <w:bookmarkStart w:id="353" w:name="_Toc184308050"/>
      <w:bookmarkEnd w:id="353"/>
      <w:bookmarkStart w:id="354" w:name="_Toc184308090"/>
      <w:bookmarkEnd w:id="354"/>
      <w:bookmarkStart w:id="355" w:name="_Toc184314465"/>
      <w:bookmarkEnd w:id="355"/>
      <w:bookmarkStart w:id="356" w:name="_Toc184308083"/>
      <w:bookmarkEnd w:id="356"/>
      <w:bookmarkStart w:id="357" w:name="_Toc184312089"/>
      <w:bookmarkEnd w:id="357"/>
      <w:bookmarkStart w:id="358" w:name="_Toc184308063"/>
      <w:bookmarkEnd w:id="358"/>
      <w:bookmarkStart w:id="359" w:name="_Toc184308079"/>
      <w:bookmarkEnd w:id="359"/>
      <w:bookmarkStart w:id="360" w:name="_Toc184308043"/>
      <w:bookmarkEnd w:id="360"/>
      <w:bookmarkStart w:id="361" w:name="_Toc184314435"/>
      <w:bookmarkEnd w:id="361"/>
      <w:bookmarkStart w:id="362" w:name="_Toc184308037"/>
      <w:bookmarkEnd w:id="362"/>
      <w:bookmarkStart w:id="363" w:name="_Toc184313241"/>
      <w:bookmarkEnd w:id="363"/>
      <w:bookmarkStart w:id="364" w:name="_Toc184312116"/>
      <w:bookmarkEnd w:id="364"/>
      <w:bookmarkStart w:id="365" w:name="_Toc184312124"/>
      <w:bookmarkEnd w:id="365"/>
      <w:bookmarkStart w:id="366" w:name="_Toc184313240"/>
      <w:bookmarkEnd w:id="366"/>
      <w:bookmarkStart w:id="367" w:name="_Toc184314450"/>
      <w:bookmarkEnd w:id="367"/>
      <w:bookmarkStart w:id="368" w:name="_Toc184308038"/>
      <w:bookmarkEnd w:id="368"/>
      <w:bookmarkStart w:id="369" w:name="_Toc184310299"/>
      <w:bookmarkEnd w:id="369"/>
      <w:bookmarkStart w:id="370" w:name="_Toc184314479"/>
      <w:bookmarkEnd w:id="370"/>
      <w:bookmarkStart w:id="371" w:name="_Toc184310338"/>
      <w:bookmarkEnd w:id="371"/>
      <w:bookmarkStart w:id="372" w:name="_Toc184310336"/>
      <w:bookmarkEnd w:id="372"/>
      <w:bookmarkStart w:id="373" w:name="_Toc184312133"/>
      <w:bookmarkEnd w:id="373"/>
      <w:bookmarkStart w:id="374" w:name="_Toc184314464"/>
      <w:bookmarkEnd w:id="374"/>
      <w:bookmarkStart w:id="375" w:name="_Toc184310325"/>
      <w:bookmarkEnd w:id="375"/>
      <w:bookmarkStart w:id="376" w:name="_Toc184314418"/>
      <w:bookmarkEnd w:id="376"/>
      <w:bookmarkStart w:id="377" w:name="_Toc184310298"/>
      <w:bookmarkEnd w:id="377"/>
      <w:bookmarkStart w:id="378" w:name="_Toc184313289"/>
      <w:bookmarkEnd w:id="378"/>
      <w:bookmarkStart w:id="379" w:name="_Toc184308091"/>
      <w:bookmarkEnd w:id="379"/>
      <w:bookmarkStart w:id="380" w:name="_Toc184313254"/>
      <w:bookmarkEnd w:id="380"/>
      <w:bookmarkStart w:id="381" w:name="_Toc184313258"/>
      <w:bookmarkEnd w:id="381"/>
      <w:bookmarkStart w:id="382" w:name="_Toc184313298"/>
      <w:bookmarkEnd w:id="382"/>
      <w:bookmarkStart w:id="383" w:name="_Toc184312073"/>
      <w:bookmarkEnd w:id="383"/>
      <w:bookmarkStart w:id="384" w:name="_Toc184308047"/>
      <w:bookmarkEnd w:id="384"/>
      <w:bookmarkStart w:id="385" w:name="_Toc184310340"/>
      <w:bookmarkEnd w:id="385"/>
      <w:bookmarkStart w:id="386" w:name="_Toc184310318"/>
      <w:bookmarkEnd w:id="386"/>
      <w:bookmarkStart w:id="387" w:name="_Toc184308051"/>
      <w:bookmarkEnd w:id="387"/>
      <w:bookmarkStart w:id="388" w:name="_Toc184314414"/>
      <w:bookmarkEnd w:id="388"/>
      <w:bookmarkStart w:id="389" w:name="_Toc184314438"/>
      <w:bookmarkEnd w:id="389"/>
      <w:bookmarkStart w:id="390" w:name="_Toc184312068"/>
      <w:bookmarkEnd w:id="390"/>
      <w:bookmarkStart w:id="391" w:name="_Toc184312102"/>
      <w:bookmarkEnd w:id="391"/>
      <w:bookmarkStart w:id="392" w:name="_Toc184310297"/>
      <w:bookmarkEnd w:id="392"/>
      <w:r>
        <w:rPr>
          <w:rFonts w:hint="eastAsia" w:ascii="宋体" w:hAnsi="宋体" w:cs="宋体"/>
          <w:b/>
          <w:color w:val="auto"/>
          <w:sz w:val="36"/>
          <w:szCs w:val="36"/>
          <w:highlight w:val="none"/>
        </w:rPr>
        <w:t>评标办法</w:t>
      </w:r>
    </w:p>
    <w:p w14:paraId="38468B90">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301"/>
        <w:gridCol w:w="730"/>
        <w:gridCol w:w="1068"/>
        <w:gridCol w:w="1424"/>
      </w:tblGrid>
      <w:tr w14:paraId="77D1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05" w:type="pct"/>
            <w:noWrap w:val="0"/>
            <w:vAlign w:val="center"/>
          </w:tcPr>
          <w:p w14:paraId="5660ABE8">
            <w:pPr>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857" w:type="pct"/>
            <w:noWrap w:val="0"/>
            <w:vAlign w:val="center"/>
          </w:tcPr>
          <w:p w14:paraId="69BEAEC6">
            <w:pPr>
              <w:spacing w:line="360" w:lineRule="auto"/>
              <w:ind w:firstLine="1560" w:firstLineChars="6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评标标准</w:t>
            </w:r>
          </w:p>
        </w:tc>
        <w:tc>
          <w:tcPr>
            <w:tcW w:w="393" w:type="pct"/>
            <w:noWrap w:val="0"/>
            <w:vAlign w:val="center"/>
          </w:tcPr>
          <w:p w14:paraId="0C27C683">
            <w:pPr>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权重</w:t>
            </w:r>
          </w:p>
        </w:tc>
        <w:tc>
          <w:tcPr>
            <w:tcW w:w="575" w:type="pct"/>
            <w:noWrap w:val="0"/>
            <w:vAlign w:val="center"/>
          </w:tcPr>
          <w:p w14:paraId="7671DF73">
            <w:pPr>
              <w:spacing w:line="360" w:lineRule="auto"/>
              <w:jc w:val="center"/>
              <w:outlineLvl w:val="0"/>
              <w:rPr>
                <w:rFonts w:hint="eastAsia" w:ascii="宋体" w:hAnsi="宋体" w:eastAsia="宋体" w:cs="宋体"/>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767" w:type="pct"/>
            <w:noWrap w:val="0"/>
            <w:vAlign w:val="top"/>
          </w:tcPr>
          <w:p w14:paraId="5B32F193">
            <w:pPr>
              <w:spacing w:line="360" w:lineRule="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投标文件中评标标准相应的商务技术资料目录</w:t>
            </w:r>
            <w:r>
              <w:rPr>
                <w:rFonts w:hint="eastAsia" w:ascii="宋体" w:hAnsi="宋体" w:eastAsia="宋体" w:cs="宋体"/>
                <w:color w:val="auto"/>
                <w:sz w:val="24"/>
                <w:highlight w:val="none"/>
                <w:shd w:val="clear" w:color="auto" w:fill="FFFFFF"/>
              </w:rPr>
              <w:t> *</w:t>
            </w:r>
          </w:p>
        </w:tc>
      </w:tr>
      <w:tr w14:paraId="648E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05" w:type="pct"/>
            <w:noWrap w:val="0"/>
            <w:vAlign w:val="center"/>
          </w:tcPr>
          <w:p w14:paraId="2463D351">
            <w:pPr>
              <w:widowControl/>
              <w:adjustRightInd/>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1</w:t>
            </w:r>
          </w:p>
        </w:tc>
        <w:tc>
          <w:tcPr>
            <w:tcW w:w="2857" w:type="pct"/>
            <w:noWrap w:val="0"/>
            <w:vAlign w:val="center"/>
          </w:tcPr>
          <w:p w14:paraId="1078BCBE">
            <w:pPr>
              <w:adjustRightInd/>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投标人具有质量管理体系认证,</w:t>
            </w:r>
            <w:r>
              <w:rPr>
                <w:rFonts w:hint="eastAsia" w:ascii="宋体" w:hAnsi="宋体" w:eastAsia="宋体" w:cs="宋体"/>
                <w:color w:val="auto"/>
                <w:kern w:val="0"/>
                <w:sz w:val="24"/>
                <w:szCs w:val="24"/>
                <w:highlight w:val="none"/>
              </w:rPr>
              <w:t>环境管理体系认证证书、职业健康安全管理体系认证</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strike w:val="0"/>
                <w:dstrike w:val="0"/>
                <w:color w:val="auto"/>
                <w:sz w:val="24"/>
                <w:szCs w:val="24"/>
                <w:highlight w:val="none"/>
                <w:lang w:eastAsia="zh-CN"/>
              </w:rPr>
              <w:t>证书的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有一项</w:t>
            </w:r>
            <w:r>
              <w:rPr>
                <w:rFonts w:hint="eastAsia" w:ascii="宋体" w:hAnsi="宋体" w:eastAsia="宋体" w:cs="宋体"/>
                <w:bCs/>
                <w:color w:val="auto"/>
                <w:sz w:val="24"/>
                <w:szCs w:val="24"/>
                <w:highlight w:val="none"/>
              </w:rPr>
              <w:t>得1分</w:t>
            </w:r>
            <w:r>
              <w:rPr>
                <w:rFonts w:hint="eastAsia" w:ascii="宋体" w:hAnsi="宋体" w:eastAsia="宋体" w:cs="宋体"/>
                <w:bCs/>
                <w:color w:val="auto"/>
                <w:sz w:val="24"/>
                <w:szCs w:val="24"/>
                <w:highlight w:val="none"/>
                <w:lang w:eastAsia="zh-CN"/>
              </w:rPr>
              <w:t>，最高得</w:t>
            </w:r>
            <w:r>
              <w:rPr>
                <w:rFonts w:hint="eastAsia" w:ascii="宋体" w:hAnsi="宋体" w:eastAsia="宋体" w:cs="宋体"/>
                <w:bCs/>
                <w:color w:val="auto"/>
                <w:sz w:val="24"/>
                <w:szCs w:val="24"/>
                <w:highlight w:val="none"/>
                <w:lang w:val="en-US" w:eastAsia="zh-CN"/>
              </w:rPr>
              <w:t>3分</w:t>
            </w:r>
            <w:r>
              <w:rPr>
                <w:rFonts w:hint="eastAsia" w:ascii="宋体" w:hAnsi="宋体" w:eastAsia="宋体" w:cs="宋体"/>
                <w:bCs/>
                <w:color w:val="auto"/>
                <w:sz w:val="24"/>
                <w:szCs w:val="24"/>
                <w:highlight w:val="none"/>
                <w:lang w:eastAsia="zh-CN"/>
              </w:rPr>
              <w:t>。</w:t>
            </w:r>
          </w:p>
          <w:p w14:paraId="096619B0">
            <w:pPr>
              <w:adjustRightInd/>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bCs w:val="0"/>
                <w:color w:val="auto"/>
                <w:sz w:val="24"/>
                <w:szCs w:val="24"/>
                <w:highlight w:val="none"/>
              </w:rPr>
              <w:t>提供证书扫描件，以上</w:t>
            </w:r>
            <w:r>
              <w:rPr>
                <w:rFonts w:hint="eastAsia" w:ascii="宋体" w:hAnsi="宋体" w:eastAsia="宋体" w:cs="宋体"/>
                <w:b/>
                <w:bCs w:val="0"/>
                <w:color w:val="auto"/>
                <w:sz w:val="24"/>
                <w:szCs w:val="24"/>
                <w:highlight w:val="none"/>
                <w:lang w:eastAsia="zh-CN"/>
              </w:rPr>
              <w:t>证书</w:t>
            </w:r>
            <w:r>
              <w:rPr>
                <w:rFonts w:hint="eastAsia" w:ascii="宋体" w:hAnsi="宋体" w:eastAsia="宋体" w:cs="宋体"/>
                <w:b/>
                <w:bCs w:val="0"/>
                <w:color w:val="auto"/>
                <w:sz w:val="24"/>
                <w:szCs w:val="24"/>
                <w:highlight w:val="none"/>
              </w:rPr>
              <w:t>由评标委员会在国家认监委网站（www.cnca.gov.cn）查询，未在该网站上查询到有效状态的或未提供的不得分。</w:t>
            </w:r>
          </w:p>
        </w:tc>
        <w:tc>
          <w:tcPr>
            <w:tcW w:w="393" w:type="pct"/>
            <w:noWrap w:val="0"/>
            <w:vAlign w:val="center"/>
          </w:tcPr>
          <w:p w14:paraId="435C8953">
            <w:pPr>
              <w:widowControl/>
              <w:adjustRightInd/>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p>
        </w:tc>
        <w:tc>
          <w:tcPr>
            <w:tcW w:w="575" w:type="pct"/>
            <w:noWrap w:val="0"/>
            <w:vAlign w:val="center"/>
          </w:tcPr>
          <w:p w14:paraId="2BA40FC0">
            <w:pPr>
              <w:widowControl/>
              <w:adjustRightInd/>
              <w:spacing w:line="360" w:lineRule="auto"/>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rPr>
              <w:t>客观分</w:t>
            </w:r>
          </w:p>
        </w:tc>
        <w:tc>
          <w:tcPr>
            <w:tcW w:w="767" w:type="pct"/>
            <w:noWrap w:val="0"/>
            <w:vAlign w:val="center"/>
          </w:tcPr>
          <w:p w14:paraId="3B7076DD">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认证证书</w:t>
            </w:r>
          </w:p>
        </w:tc>
      </w:tr>
      <w:tr w14:paraId="593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5" w:type="pct"/>
            <w:shd w:val="clear" w:color="auto" w:fill="auto"/>
            <w:noWrap w:val="0"/>
            <w:vAlign w:val="center"/>
          </w:tcPr>
          <w:p w14:paraId="2D074D1B">
            <w:pPr>
              <w:widowControl/>
              <w:adjustRightInd/>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2</w:t>
            </w:r>
          </w:p>
        </w:tc>
        <w:tc>
          <w:tcPr>
            <w:tcW w:w="2857" w:type="pct"/>
            <w:noWrap w:val="0"/>
            <w:vAlign w:val="center"/>
          </w:tcPr>
          <w:p w14:paraId="03B33419">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民用无人机驾驶航空器运营合格证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得1分</w:t>
            </w:r>
          </w:p>
          <w:p w14:paraId="07003C5C">
            <w:pPr>
              <w:pStyle w:val="79"/>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注：提供证书扫描件，以上证书由评标委员会在（https://uom.caac.gov.cn）国家无人驾驶航空器一体化综合监管服务平台(民用无人驾驶航空器综合管理平台)查询，未在该网站上查询到有效状态或未提供的不得分。</w:t>
            </w:r>
          </w:p>
        </w:tc>
        <w:tc>
          <w:tcPr>
            <w:tcW w:w="393" w:type="pct"/>
            <w:noWrap w:val="0"/>
            <w:vAlign w:val="center"/>
          </w:tcPr>
          <w:p w14:paraId="1868B035">
            <w:pPr>
              <w:widowControl/>
              <w:adjustRightInd/>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575" w:type="pct"/>
            <w:shd w:val="clear" w:color="auto" w:fill="auto"/>
            <w:noWrap w:val="0"/>
            <w:vAlign w:val="center"/>
          </w:tcPr>
          <w:p w14:paraId="38489145">
            <w:pPr>
              <w:widowControl/>
              <w:adjustRightIn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767" w:type="pct"/>
            <w:shd w:val="clear" w:color="auto" w:fill="auto"/>
            <w:noWrap w:val="0"/>
            <w:vAlign w:val="center"/>
          </w:tcPr>
          <w:p w14:paraId="5764B50B">
            <w:pPr>
              <w:spacing w:line="360" w:lineRule="auto"/>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企业资质</w:t>
            </w:r>
          </w:p>
        </w:tc>
      </w:tr>
      <w:tr w14:paraId="7868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05" w:type="pct"/>
            <w:shd w:val="clear" w:color="auto" w:fill="auto"/>
            <w:noWrap w:val="0"/>
            <w:vAlign w:val="center"/>
          </w:tcPr>
          <w:p w14:paraId="66F717A6">
            <w:pPr>
              <w:widowControl/>
              <w:adjustRightInd/>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3</w:t>
            </w:r>
          </w:p>
        </w:tc>
        <w:tc>
          <w:tcPr>
            <w:tcW w:w="2857" w:type="pct"/>
            <w:noWrap w:val="0"/>
            <w:vAlign w:val="top"/>
          </w:tcPr>
          <w:p w14:paraId="20D58CE6">
            <w:pPr>
              <w:adjustRightInd/>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投标人自20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月1日（以合同签订时间为准）以来承接过的类似项目。每提供1个，得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分，未提供的不得分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（证明材料：服务合同</w:t>
            </w:r>
            <w:r>
              <w:rPr>
                <w:rFonts w:hint="eastAsia" w:ascii="宋体" w:hAnsi="宋体" w:eastAsia="宋体" w:cs="宋体"/>
                <w:b/>
                <w:bCs/>
                <w:color w:val="auto"/>
                <w:sz w:val="24"/>
                <w:szCs w:val="24"/>
                <w:highlight w:val="none"/>
                <w:lang w:val="en-US" w:eastAsia="zh-CN"/>
              </w:rPr>
              <w:t>扫描件及业主满意度评价表</w:t>
            </w:r>
            <w:r>
              <w:rPr>
                <w:rFonts w:hint="eastAsia" w:ascii="宋体" w:hAnsi="宋体" w:eastAsia="宋体" w:cs="宋体"/>
                <w:b/>
                <w:bCs/>
                <w:color w:val="auto"/>
                <w:sz w:val="24"/>
                <w:szCs w:val="24"/>
                <w:highlight w:val="none"/>
              </w:rPr>
              <w:t>）</w:t>
            </w:r>
          </w:p>
        </w:tc>
        <w:tc>
          <w:tcPr>
            <w:tcW w:w="393" w:type="pct"/>
            <w:noWrap w:val="0"/>
            <w:vAlign w:val="center"/>
          </w:tcPr>
          <w:p w14:paraId="26701BDC">
            <w:pPr>
              <w:widowControl/>
              <w:adjustRightInd/>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575" w:type="pct"/>
            <w:noWrap w:val="0"/>
            <w:vAlign w:val="center"/>
          </w:tcPr>
          <w:p w14:paraId="27A33C7C">
            <w:pPr>
              <w:widowControl/>
              <w:adjustRightInd/>
              <w:spacing w:line="360" w:lineRule="auto"/>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rPr>
              <w:t>客观分</w:t>
            </w:r>
          </w:p>
        </w:tc>
        <w:tc>
          <w:tcPr>
            <w:tcW w:w="767" w:type="pct"/>
            <w:noWrap w:val="0"/>
            <w:vAlign w:val="top"/>
          </w:tcPr>
          <w:p w14:paraId="4B52F239">
            <w:pPr>
              <w:spacing w:line="360" w:lineRule="auto"/>
              <w:jc w:val="center"/>
              <w:outlineLvl w:val="0"/>
              <w:rPr>
                <w:rFonts w:hint="eastAsia" w:ascii="宋体" w:hAnsi="宋体" w:eastAsia="宋体" w:cs="宋体"/>
                <w:color w:val="auto"/>
                <w:sz w:val="24"/>
                <w:highlight w:val="none"/>
                <w:lang w:eastAsia="zh-CN"/>
              </w:rPr>
            </w:pPr>
          </w:p>
          <w:p w14:paraId="1CE8FD4F">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业绩</w:t>
            </w:r>
          </w:p>
        </w:tc>
      </w:tr>
      <w:tr w14:paraId="5A1C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5" w:type="pct"/>
            <w:noWrap w:val="0"/>
            <w:vAlign w:val="center"/>
          </w:tcPr>
          <w:p w14:paraId="01F14685">
            <w:pPr>
              <w:widowControl/>
              <w:adjustRightInd/>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857" w:type="pct"/>
            <w:noWrap w:val="0"/>
            <w:vAlign w:val="top"/>
          </w:tcPr>
          <w:p w14:paraId="59207C08">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1、投标人拟派项目经理：</w:t>
            </w:r>
          </w:p>
          <w:p w14:paraId="57EF2A49">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w:t>
            </w:r>
            <w:r>
              <w:rPr>
                <w:rFonts w:hint="eastAsia" w:ascii="宋体" w:hAnsi="宋体" w:eastAsia="宋体" w:cs="宋体"/>
                <w:strike w:val="0"/>
                <w:dstrike w:val="0"/>
                <w:color w:val="auto"/>
                <w:sz w:val="24"/>
                <w:szCs w:val="24"/>
                <w:highlight w:val="none"/>
                <w:lang w:val="en-US" w:eastAsia="zh-CN"/>
              </w:rPr>
              <w:t>高级职称得2分，中级职称得1分，初级职称得0.5分</w:t>
            </w:r>
            <w:r>
              <w:rPr>
                <w:rFonts w:hint="eastAsia" w:ascii="宋体" w:hAnsi="宋体" w:cs="宋体"/>
                <w:strike w:val="0"/>
                <w:dstrike w:val="0"/>
                <w:color w:val="auto"/>
                <w:sz w:val="24"/>
                <w:szCs w:val="24"/>
                <w:highlight w:val="none"/>
                <w:lang w:val="en-US" w:eastAsia="zh-CN"/>
              </w:rPr>
              <w:t>；或有</w:t>
            </w:r>
            <w:r>
              <w:rPr>
                <w:rFonts w:hint="eastAsia" w:ascii="宋体" w:hAnsi="宋体" w:cs="宋体"/>
                <w:strike w:val="0"/>
                <w:color w:val="auto"/>
                <w:sz w:val="24"/>
                <w:szCs w:val="24"/>
                <w:highlight w:val="none"/>
                <w:lang w:val="en-US" w:eastAsia="zh-CN"/>
              </w:rPr>
              <w:t>相关行业</w:t>
            </w:r>
            <w:r>
              <w:rPr>
                <w:rFonts w:hint="eastAsia" w:ascii="宋体" w:hAnsi="宋体" w:cs="宋体"/>
                <w:color w:val="auto"/>
                <w:sz w:val="24"/>
                <w:szCs w:val="24"/>
                <w:highlight w:val="none"/>
                <w:lang w:val="en-US" w:eastAsia="zh-CN"/>
              </w:rPr>
              <w:t>从业经验20年及以上得2分，15 年（含）-20年（不含）得1分，10年（含）-15年（不含）得0.5分；</w:t>
            </w:r>
            <w:r>
              <w:rPr>
                <w:rFonts w:hint="eastAsia" w:ascii="宋体" w:hAnsi="宋体" w:eastAsia="宋体" w:cs="宋体"/>
                <w:color w:val="auto"/>
                <w:sz w:val="24"/>
                <w:szCs w:val="24"/>
                <w:highlight w:val="none"/>
                <w:lang w:val="en-US" w:eastAsia="zh-CN"/>
              </w:rPr>
              <w:t>本条满分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7AAF60D8">
            <w:pPr>
              <w:pStyle w:val="3"/>
              <w:tabs>
                <w:tab w:val="left" w:pos="0"/>
                <w:tab w:val="clear" w:pos="432"/>
              </w:tabs>
              <w:spacing w:line="240" w:lineRule="auto"/>
              <w:ind w:left="12" w:leftChars="0" w:hanging="12"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证明材料：投标文件中须提供距投标截止时间3个月中任意一个月的社保证明、</w:t>
            </w:r>
            <w:r>
              <w:rPr>
                <w:rFonts w:hint="eastAsia" w:ascii="宋体" w:hAnsi="宋体" w:eastAsia="宋体" w:cs="宋体"/>
                <w:b w:val="0"/>
                <w:bCs w:val="0"/>
                <w:strike w:val="0"/>
                <w:dstrike w:val="0"/>
                <w:color w:val="auto"/>
                <w:sz w:val="22"/>
                <w:szCs w:val="22"/>
                <w:highlight w:val="none"/>
                <w:lang w:val="en-US" w:eastAsia="zh-CN"/>
              </w:rPr>
              <w:t>职称证书、</w:t>
            </w:r>
            <w:r>
              <w:rPr>
                <w:rFonts w:hint="eastAsia" w:ascii="宋体" w:hAnsi="宋体" w:eastAsia="宋体" w:cs="宋体"/>
                <w:color w:val="auto"/>
                <w:sz w:val="22"/>
                <w:szCs w:val="22"/>
                <w:highlight w:val="none"/>
                <w:lang w:val="en-US" w:eastAsia="zh-CN"/>
              </w:rPr>
              <w:t>退役证明或其他军队证明扫描件。</w:t>
            </w:r>
          </w:p>
          <w:p w14:paraId="1184A8F9">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②具有二级</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保安员证书的得1分，本条满分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79C889AC">
            <w:pPr>
              <w:pStyle w:val="3"/>
              <w:tabs>
                <w:tab w:val="left" w:pos="0"/>
                <w:tab w:val="clear" w:pos="432"/>
              </w:tabs>
              <w:spacing w:line="240" w:lineRule="auto"/>
              <w:ind w:left="12" w:leftChars="0" w:hanging="12"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2"/>
                <w:szCs w:val="22"/>
                <w:highlight w:val="none"/>
                <w:lang w:val="en-US" w:eastAsia="zh-CN"/>
              </w:rPr>
              <w:t>证明材料：投标文件中须提供距投标截止时间3个月中任意一个月的社保证明、保安员（二级及以上）职业资格证书、保安员证书扫描件。</w:t>
            </w:r>
          </w:p>
        </w:tc>
        <w:tc>
          <w:tcPr>
            <w:tcW w:w="393" w:type="pct"/>
            <w:noWrap w:val="0"/>
            <w:vAlign w:val="center"/>
          </w:tcPr>
          <w:p w14:paraId="1B9D5B97">
            <w:pPr>
              <w:widowControl/>
              <w:adjustRightInd/>
              <w:spacing w:line="360" w:lineRule="auto"/>
              <w:jc w:val="center"/>
              <w:rPr>
                <w:rFonts w:hint="default"/>
                <w:color w:val="auto"/>
                <w:highlight w:val="none"/>
                <w:lang w:val="en-US" w:eastAsia="zh-CN"/>
              </w:rPr>
            </w:pPr>
            <w:r>
              <w:rPr>
                <w:rFonts w:hint="eastAsia" w:ascii="宋体" w:hAnsi="宋体" w:eastAsia="宋体" w:cs="宋体"/>
                <w:color w:val="auto"/>
                <w:sz w:val="24"/>
                <w:highlight w:val="none"/>
                <w:lang w:val="en-US" w:eastAsia="zh-CN"/>
              </w:rPr>
              <w:t>3</w:t>
            </w:r>
          </w:p>
        </w:tc>
        <w:tc>
          <w:tcPr>
            <w:tcW w:w="575" w:type="pct"/>
            <w:noWrap w:val="0"/>
            <w:vAlign w:val="center"/>
          </w:tcPr>
          <w:p w14:paraId="1F4D3F07">
            <w:pPr>
              <w:widowControl/>
              <w:adjustRightInd/>
              <w:spacing w:line="360" w:lineRule="auto"/>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rPr>
              <w:t>客观分</w:t>
            </w:r>
          </w:p>
        </w:tc>
        <w:tc>
          <w:tcPr>
            <w:tcW w:w="767" w:type="pct"/>
            <w:vMerge w:val="restart"/>
            <w:noWrap w:val="0"/>
            <w:vAlign w:val="top"/>
          </w:tcPr>
          <w:p w14:paraId="4CFDD045">
            <w:pPr>
              <w:spacing w:line="360" w:lineRule="auto"/>
              <w:outlineLvl w:val="0"/>
              <w:rPr>
                <w:rFonts w:hint="eastAsia" w:ascii="宋体" w:hAnsi="宋体" w:eastAsia="宋体" w:cs="宋体"/>
                <w:color w:val="auto"/>
                <w:sz w:val="24"/>
                <w:highlight w:val="none"/>
                <w:lang w:eastAsia="zh-CN"/>
              </w:rPr>
            </w:pPr>
          </w:p>
          <w:p w14:paraId="2A66ACE2">
            <w:pPr>
              <w:spacing w:line="360" w:lineRule="auto"/>
              <w:outlineLvl w:val="0"/>
              <w:rPr>
                <w:rFonts w:hint="eastAsia" w:ascii="宋体" w:hAnsi="宋体" w:eastAsia="宋体" w:cs="宋体"/>
                <w:color w:val="auto"/>
                <w:sz w:val="24"/>
                <w:highlight w:val="none"/>
                <w:lang w:eastAsia="zh-CN"/>
              </w:rPr>
            </w:pPr>
          </w:p>
          <w:p w14:paraId="64C3C180">
            <w:pPr>
              <w:spacing w:line="360" w:lineRule="auto"/>
              <w:outlineLvl w:val="0"/>
              <w:rPr>
                <w:rFonts w:hint="eastAsia" w:ascii="宋体" w:hAnsi="宋体" w:eastAsia="宋体" w:cs="宋体"/>
                <w:color w:val="auto"/>
                <w:sz w:val="24"/>
                <w:highlight w:val="none"/>
                <w:lang w:eastAsia="zh-CN"/>
              </w:rPr>
            </w:pPr>
          </w:p>
          <w:p w14:paraId="10CB749D">
            <w:pPr>
              <w:spacing w:line="360" w:lineRule="auto"/>
              <w:outlineLvl w:val="0"/>
              <w:rPr>
                <w:rFonts w:hint="eastAsia" w:ascii="宋体" w:hAnsi="宋体" w:eastAsia="宋体" w:cs="宋体"/>
                <w:color w:val="auto"/>
                <w:sz w:val="24"/>
                <w:highlight w:val="none"/>
                <w:lang w:eastAsia="zh-CN"/>
              </w:rPr>
            </w:pPr>
          </w:p>
          <w:p w14:paraId="4EBA9B74">
            <w:pPr>
              <w:spacing w:line="360" w:lineRule="auto"/>
              <w:jc w:val="both"/>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投入人员</w:t>
            </w:r>
          </w:p>
        </w:tc>
      </w:tr>
      <w:tr w14:paraId="2E58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05" w:type="pct"/>
            <w:noWrap w:val="0"/>
            <w:vAlign w:val="center"/>
          </w:tcPr>
          <w:p w14:paraId="6F9AAF1C">
            <w:pPr>
              <w:widowControl/>
              <w:adjustRightInd/>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857" w:type="pct"/>
            <w:noWrap w:val="0"/>
            <w:vAlign w:val="top"/>
          </w:tcPr>
          <w:p w14:paraId="37A40998">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2、投标人拟派保安队长：</w:t>
            </w:r>
          </w:p>
          <w:p w14:paraId="5D8BE100">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①同时具有大专及以上学历、退伍军人、党员的得1分，本条满分1分。</w:t>
            </w:r>
          </w:p>
          <w:p w14:paraId="3338FA25">
            <w:pPr>
              <w:pStyle w:val="3"/>
              <w:tabs>
                <w:tab w:val="left" w:pos="0"/>
                <w:tab w:val="clear" w:pos="432"/>
              </w:tabs>
              <w:spacing w:line="240" w:lineRule="auto"/>
              <w:ind w:left="12" w:leftChars="0" w:hanging="12"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证明材料：投标文件中须提供距投标截止时间3个月中任意一个月的社保证明、学历证书、退伍证书、党支部证明（加盖党支部公章）扫描件，不提供不得分。</w:t>
            </w:r>
          </w:p>
          <w:p w14:paraId="3F12BCB7">
            <w:pPr>
              <w:rPr>
                <w:rFonts w:hint="eastAsia" w:ascii="宋体" w:hAnsi="宋体" w:eastAsia="宋体" w:cs="宋体"/>
                <w:color w:val="auto"/>
                <w:highlight w:val="none"/>
                <w:lang w:val="en-US" w:eastAsia="zh-CN"/>
              </w:rPr>
            </w:pPr>
          </w:p>
          <w:p w14:paraId="68CBD9CD">
            <w:p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②具有二级及以上保安员证书的得1分，本条满分1分。</w:t>
            </w:r>
          </w:p>
          <w:p w14:paraId="06F8A946">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证明材料：投标文件中须提供距投标截止时间3个月中任意一个月的社保证明、保安员（二级及以上）职业资格证书、保安员证书扫描件，不提供不得分。</w:t>
            </w:r>
          </w:p>
        </w:tc>
        <w:tc>
          <w:tcPr>
            <w:tcW w:w="393" w:type="pct"/>
            <w:noWrap w:val="0"/>
            <w:vAlign w:val="center"/>
          </w:tcPr>
          <w:p w14:paraId="4489CDE3">
            <w:pPr>
              <w:widowControl/>
              <w:adjustRightInd/>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75" w:type="pct"/>
            <w:noWrap w:val="0"/>
            <w:vAlign w:val="center"/>
          </w:tcPr>
          <w:p w14:paraId="35B9EA0E">
            <w:pPr>
              <w:widowControl/>
              <w:adjustRightInd/>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767" w:type="pct"/>
            <w:vMerge w:val="continue"/>
            <w:noWrap w:val="0"/>
            <w:vAlign w:val="top"/>
          </w:tcPr>
          <w:p w14:paraId="241AA597">
            <w:pPr>
              <w:spacing w:line="360" w:lineRule="auto"/>
              <w:jc w:val="both"/>
              <w:outlineLvl w:val="0"/>
              <w:rPr>
                <w:rFonts w:hint="eastAsia" w:ascii="宋体" w:hAnsi="宋体" w:eastAsia="宋体" w:cs="宋体"/>
                <w:color w:val="auto"/>
                <w:sz w:val="24"/>
                <w:highlight w:val="none"/>
                <w:lang w:eastAsia="zh-CN"/>
              </w:rPr>
            </w:pPr>
          </w:p>
        </w:tc>
      </w:tr>
      <w:tr w14:paraId="0640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05" w:type="pct"/>
            <w:noWrap w:val="0"/>
            <w:vAlign w:val="center"/>
          </w:tcPr>
          <w:p w14:paraId="49EDF5D1">
            <w:pPr>
              <w:widowControl/>
              <w:adjustRightInd/>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857" w:type="pct"/>
            <w:noWrap w:val="0"/>
            <w:vAlign w:val="top"/>
          </w:tcPr>
          <w:p w14:paraId="4CE8A646">
            <w:pPr>
              <w:numPr>
                <w:ilvl w:val="0"/>
                <w:numId w:val="0"/>
              </w:numPr>
              <w:adjustRightInd/>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本项目拟派特保人员中具有大专及以上学历的，每人加0.2分，最高得4分。</w:t>
            </w:r>
          </w:p>
          <w:p w14:paraId="2152BF86">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证明材料：投标文件中须提供距投标截止时间3个月中任意一个月的社保证明、学历证书、保安员证书扫描件，不提供不得分。</w:t>
            </w:r>
          </w:p>
        </w:tc>
        <w:tc>
          <w:tcPr>
            <w:tcW w:w="393" w:type="pct"/>
            <w:noWrap w:val="0"/>
            <w:vAlign w:val="center"/>
          </w:tcPr>
          <w:p w14:paraId="16F12E03">
            <w:pPr>
              <w:widowControl/>
              <w:adjustRightInd/>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575" w:type="pct"/>
            <w:noWrap w:val="0"/>
            <w:vAlign w:val="center"/>
          </w:tcPr>
          <w:p w14:paraId="6E270258">
            <w:pPr>
              <w:widowControl/>
              <w:adjustRightInd/>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767" w:type="pct"/>
            <w:vMerge w:val="continue"/>
            <w:noWrap w:val="0"/>
            <w:vAlign w:val="top"/>
          </w:tcPr>
          <w:p w14:paraId="04F06232">
            <w:pPr>
              <w:spacing w:line="360" w:lineRule="auto"/>
              <w:jc w:val="both"/>
              <w:outlineLvl w:val="0"/>
              <w:rPr>
                <w:rFonts w:hint="eastAsia" w:ascii="宋体" w:hAnsi="宋体" w:eastAsia="宋体" w:cs="宋体"/>
                <w:color w:val="auto"/>
                <w:sz w:val="24"/>
                <w:highlight w:val="none"/>
                <w:lang w:eastAsia="zh-CN"/>
              </w:rPr>
            </w:pPr>
          </w:p>
        </w:tc>
      </w:tr>
      <w:tr w14:paraId="47B2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05" w:type="pct"/>
            <w:noWrap w:val="0"/>
            <w:vAlign w:val="center"/>
          </w:tcPr>
          <w:p w14:paraId="7B6B34E6">
            <w:pPr>
              <w:widowControl/>
              <w:adjustRightInd/>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2857" w:type="pct"/>
            <w:noWrap w:val="0"/>
            <w:vAlign w:val="top"/>
          </w:tcPr>
          <w:p w14:paraId="2D9E8507">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本项目拟派特保人员</w:t>
            </w:r>
            <w:r>
              <w:rPr>
                <w:rFonts w:hint="eastAsia" w:ascii="宋体" w:hAnsi="宋体" w:eastAsia="宋体" w:cs="宋体"/>
                <w:color w:val="auto"/>
                <w:kern w:val="2"/>
                <w:sz w:val="24"/>
                <w:szCs w:val="24"/>
                <w:highlight w:val="none"/>
                <w:lang w:val="en-US" w:eastAsia="zh-CN" w:bidi="ar-SA"/>
              </w:rPr>
              <w:t>为退伍军人</w:t>
            </w:r>
            <w:r>
              <w:rPr>
                <w:rFonts w:hint="eastAsia" w:ascii="宋体" w:hAnsi="宋体" w:eastAsia="宋体" w:cs="宋体"/>
                <w:color w:val="auto"/>
                <w:sz w:val="24"/>
                <w:szCs w:val="24"/>
                <w:highlight w:val="none"/>
                <w:lang w:val="en-US" w:eastAsia="zh-CN"/>
              </w:rPr>
              <w:t>的，每人加0.2分，最高得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4B854DBF">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证明材料：投标文件中提供距投标截止时间3个月中任意一个月的社保证明、退伍证书</w:t>
            </w:r>
            <w:r>
              <w:rPr>
                <w:rFonts w:hint="eastAsia" w:ascii="宋体" w:hAnsi="宋体" w:cs="宋体"/>
                <w:b/>
                <w:bCs/>
                <w:color w:val="auto"/>
                <w:kern w:val="2"/>
                <w:sz w:val="22"/>
                <w:szCs w:val="22"/>
                <w:highlight w:val="none"/>
                <w:lang w:val="en-US" w:eastAsia="zh-CN" w:bidi="ar-SA"/>
              </w:rPr>
              <w:t>、保安员证书</w:t>
            </w:r>
            <w:r>
              <w:rPr>
                <w:rFonts w:hint="eastAsia" w:ascii="宋体" w:hAnsi="宋体" w:eastAsia="宋体" w:cs="宋体"/>
                <w:b/>
                <w:bCs/>
                <w:color w:val="auto"/>
                <w:kern w:val="2"/>
                <w:sz w:val="22"/>
                <w:szCs w:val="22"/>
                <w:highlight w:val="none"/>
                <w:lang w:val="en-US" w:eastAsia="zh-CN" w:bidi="ar-SA"/>
              </w:rPr>
              <w:t>扫描件，不提供不得分。</w:t>
            </w:r>
          </w:p>
        </w:tc>
        <w:tc>
          <w:tcPr>
            <w:tcW w:w="393" w:type="pct"/>
            <w:noWrap w:val="0"/>
            <w:vAlign w:val="center"/>
          </w:tcPr>
          <w:p w14:paraId="79990A7D">
            <w:pPr>
              <w:widowControl/>
              <w:adjustRightInd/>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575" w:type="pct"/>
            <w:noWrap w:val="0"/>
            <w:vAlign w:val="center"/>
          </w:tcPr>
          <w:p w14:paraId="27E78AA1">
            <w:pPr>
              <w:widowControl/>
              <w:adjustRightInd/>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767" w:type="pct"/>
            <w:vMerge w:val="continue"/>
            <w:noWrap w:val="0"/>
            <w:vAlign w:val="top"/>
          </w:tcPr>
          <w:p w14:paraId="2DB18B81">
            <w:pPr>
              <w:spacing w:line="360" w:lineRule="auto"/>
              <w:jc w:val="both"/>
              <w:outlineLvl w:val="0"/>
              <w:rPr>
                <w:rFonts w:hint="eastAsia" w:ascii="宋体" w:hAnsi="宋体" w:eastAsia="宋体" w:cs="宋体"/>
                <w:color w:val="auto"/>
                <w:sz w:val="24"/>
                <w:highlight w:val="none"/>
                <w:lang w:eastAsia="zh-CN"/>
              </w:rPr>
            </w:pPr>
          </w:p>
        </w:tc>
      </w:tr>
      <w:tr w14:paraId="524B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05" w:type="pct"/>
            <w:noWrap w:val="0"/>
            <w:vAlign w:val="center"/>
          </w:tcPr>
          <w:p w14:paraId="42C95CD6">
            <w:pPr>
              <w:widowControl/>
              <w:adjustRightInd/>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857" w:type="pct"/>
            <w:noWrap w:val="0"/>
            <w:vAlign w:val="top"/>
          </w:tcPr>
          <w:p w14:paraId="20E0B45C">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本项目拟派特保人员中具有民用无人驾驶航空器操控员执照的，每人加1分，最高得2分。</w:t>
            </w:r>
          </w:p>
          <w:p w14:paraId="4CFF1404">
            <w:pPr>
              <w:widowControl/>
              <w:numPr>
                <w:ilvl w:val="0"/>
                <w:numId w:val="0"/>
              </w:numPr>
              <w:shd w:val="clear" w:color="auto" w:fill="FFFFFF"/>
              <w:adjustRightInd/>
              <w:spacing w:after="225" w:line="315" w:lineRule="atLeast"/>
              <w:ind w:left="0" w:leftChars="0" w:firstLine="0"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证明材料：投标文件中提供距投标截止时间3个月中任意一个月的社保证明、</w:t>
            </w:r>
            <w:r>
              <w:rPr>
                <w:rFonts w:hint="eastAsia" w:ascii="宋体" w:hAnsi="宋体" w:cs="宋体"/>
                <w:b/>
                <w:bCs/>
                <w:color w:val="auto"/>
                <w:kern w:val="2"/>
                <w:sz w:val="22"/>
                <w:szCs w:val="22"/>
                <w:highlight w:val="none"/>
                <w:lang w:val="en-US" w:eastAsia="zh-CN" w:bidi="ar-SA"/>
              </w:rPr>
              <w:t>无人机驾驶证、保安员</w:t>
            </w:r>
            <w:r>
              <w:rPr>
                <w:rFonts w:hint="eastAsia" w:ascii="宋体" w:hAnsi="宋体" w:eastAsia="宋体" w:cs="宋体"/>
                <w:b/>
                <w:bCs/>
                <w:color w:val="auto"/>
                <w:kern w:val="2"/>
                <w:sz w:val="22"/>
                <w:szCs w:val="22"/>
                <w:highlight w:val="none"/>
                <w:lang w:val="en-US" w:eastAsia="zh-CN" w:bidi="ar-SA"/>
              </w:rPr>
              <w:t>证书扫描件，不提供不得分。</w:t>
            </w:r>
          </w:p>
        </w:tc>
        <w:tc>
          <w:tcPr>
            <w:tcW w:w="393" w:type="pct"/>
            <w:noWrap w:val="0"/>
            <w:vAlign w:val="center"/>
          </w:tcPr>
          <w:p w14:paraId="408F5A39">
            <w:pPr>
              <w:widowControl/>
              <w:adjustRightInd/>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75" w:type="pct"/>
            <w:noWrap w:val="0"/>
            <w:vAlign w:val="center"/>
          </w:tcPr>
          <w:p w14:paraId="0BB2DDFB">
            <w:pPr>
              <w:widowControl/>
              <w:adjustRightInd/>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767" w:type="pct"/>
            <w:vMerge w:val="continue"/>
            <w:noWrap w:val="0"/>
            <w:vAlign w:val="top"/>
          </w:tcPr>
          <w:p w14:paraId="44620E6B">
            <w:pPr>
              <w:spacing w:line="360" w:lineRule="auto"/>
              <w:jc w:val="both"/>
              <w:outlineLvl w:val="0"/>
              <w:rPr>
                <w:rFonts w:hint="eastAsia" w:ascii="宋体" w:hAnsi="宋体" w:eastAsia="宋体" w:cs="宋体"/>
                <w:color w:val="auto"/>
                <w:sz w:val="24"/>
                <w:highlight w:val="none"/>
                <w:lang w:eastAsia="zh-CN"/>
              </w:rPr>
            </w:pPr>
          </w:p>
        </w:tc>
      </w:tr>
      <w:tr w14:paraId="2B8F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405" w:type="pct"/>
            <w:vMerge w:val="restart"/>
            <w:noWrap w:val="0"/>
            <w:vAlign w:val="center"/>
          </w:tcPr>
          <w:p w14:paraId="2A47EE67">
            <w:pPr>
              <w:spacing w:line="360" w:lineRule="auto"/>
              <w:jc w:val="center"/>
              <w:outlineLvl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857" w:type="pct"/>
            <w:noWrap w:val="0"/>
            <w:vAlign w:val="center"/>
          </w:tcPr>
          <w:p w14:paraId="08FA9A62">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人针对本项目特保工作整体服务方案的响应情况，是否对本项目进行深入了解，提供的方案是否符合釆购人的实际情况，投标方案与采购需求的吻合程度进行评分。方案内容完整且可行性好，项目匹配性好的得5分；方案内容、可行性一般，项目匹配性一般的得3分；方案内容存在欠缺，可行性、项目匹配性不足的得1分；未提供不得分。</w:t>
            </w:r>
          </w:p>
        </w:tc>
        <w:tc>
          <w:tcPr>
            <w:tcW w:w="393" w:type="pct"/>
            <w:noWrap w:val="0"/>
            <w:vAlign w:val="center"/>
          </w:tcPr>
          <w:p w14:paraId="134141C3">
            <w:pPr>
              <w:adjustRightIn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575" w:type="pct"/>
            <w:noWrap w:val="0"/>
            <w:vAlign w:val="center"/>
          </w:tcPr>
          <w:p w14:paraId="2A95EF6C">
            <w:pPr>
              <w:adjustRightInd w:val="0"/>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restart"/>
            <w:noWrap w:val="0"/>
            <w:vAlign w:val="center"/>
          </w:tcPr>
          <w:p w14:paraId="0220BA86">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服务方案</w:t>
            </w:r>
          </w:p>
        </w:tc>
      </w:tr>
      <w:tr w14:paraId="4A0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05" w:type="pct"/>
            <w:vMerge w:val="continue"/>
            <w:noWrap w:val="0"/>
            <w:vAlign w:val="center"/>
          </w:tcPr>
          <w:p w14:paraId="780085D9">
            <w:pPr>
              <w:spacing w:line="360" w:lineRule="auto"/>
              <w:ind w:firstLine="360" w:firstLineChars="150"/>
              <w:jc w:val="center"/>
              <w:outlineLvl w:val="0"/>
              <w:rPr>
                <w:rFonts w:hint="eastAsia" w:ascii="宋体" w:hAnsi="宋体" w:eastAsia="宋体" w:cs="宋体"/>
                <w:color w:val="auto"/>
                <w:sz w:val="24"/>
                <w:highlight w:val="none"/>
                <w:lang w:val="en-US" w:eastAsia="zh-CN"/>
              </w:rPr>
            </w:pPr>
          </w:p>
        </w:tc>
        <w:tc>
          <w:tcPr>
            <w:tcW w:w="2857" w:type="pct"/>
            <w:noWrap w:val="0"/>
            <w:vAlign w:val="center"/>
          </w:tcPr>
          <w:p w14:paraId="3C4B1684">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根据投标人针对本项目特保工作职责规划。职责规划内容完整且清晰，项目匹配性好的得5分；职责规划内容内容、可行性一般的得3分；职责规划内容存在欠缺，可行性、项目匹配性不足的得1分；未提供不得分。</w:t>
            </w:r>
          </w:p>
        </w:tc>
        <w:tc>
          <w:tcPr>
            <w:tcW w:w="393" w:type="pct"/>
            <w:noWrap w:val="0"/>
            <w:vAlign w:val="center"/>
          </w:tcPr>
          <w:p w14:paraId="12105578">
            <w:pPr>
              <w:adjustRightInd w:val="0"/>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5</w:t>
            </w:r>
          </w:p>
        </w:tc>
        <w:tc>
          <w:tcPr>
            <w:tcW w:w="575" w:type="pct"/>
            <w:noWrap w:val="0"/>
            <w:vAlign w:val="center"/>
          </w:tcPr>
          <w:p w14:paraId="461AE382">
            <w:pPr>
              <w:adjustRightInd w:val="0"/>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continue"/>
            <w:noWrap w:val="0"/>
            <w:vAlign w:val="center"/>
          </w:tcPr>
          <w:p w14:paraId="7350EDA6">
            <w:pPr>
              <w:jc w:val="center"/>
              <w:rPr>
                <w:rFonts w:hint="eastAsia" w:ascii="宋体" w:hAnsi="宋体" w:eastAsia="宋体" w:cs="宋体"/>
                <w:color w:val="auto"/>
                <w:highlight w:val="none"/>
              </w:rPr>
            </w:pPr>
          </w:p>
        </w:tc>
      </w:tr>
      <w:tr w14:paraId="7FC6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pct"/>
            <w:noWrap w:val="0"/>
            <w:vAlign w:val="center"/>
          </w:tcPr>
          <w:p w14:paraId="7CA67394">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857" w:type="pct"/>
            <w:noWrap w:val="0"/>
            <w:vAlign w:val="center"/>
          </w:tcPr>
          <w:p w14:paraId="617229B1">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①有完善的管理制度（包括</w:t>
            </w:r>
            <w:r>
              <w:rPr>
                <w:rFonts w:hint="eastAsia" w:ascii="宋体" w:hAnsi="宋体" w:eastAsia="宋体" w:cs="宋体"/>
                <w:color w:val="auto"/>
                <w:sz w:val="24"/>
                <w:highlight w:val="none"/>
                <w:lang w:val="en-US" w:eastAsia="zh-CN"/>
              </w:rPr>
              <w:t>巡防</w:t>
            </w:r>
            <w:r>
              <w:rPr>
                <w:rFonts w:hint="eastAsia" w:ascii="宋体" w:hAnsi="宋体" w:eastAsia="宋体" w:cs="宋体"/>
                <w:color w:val="auto"/>
                <w:sz w:val="24"/>
                <w:highlight w:val="none"/>
              </w:rPr>
              <w:t>人员职责、交接班制度、例会制度等）;②建立和完善档案管理制度等，体现标准化服务;③建立考核机制；④建立激励机制；⑤建立监督机制；⑥建立自我约束机制；⑦建立及时处理机制；⑧建立管理指标承诺达到管理标准。</w:t>
            </w:r>
          </w:p>
          <w:p w14:paraId="4FAB8A0A">
            <w:pPr>
              <w:jc w:val="left"/>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单条评分依据：</w:t>
            </w:r>
            <w:r>
              <w:rPr>
                <w:rFonts w:hint="eastAsia" w:ascii="宋体" w:hAnsi="宋体" w:eastAsia="宋体" w:cs="宋体"/>
                <w:color w:val="auto"/>
                <w:sz w:val="24"/>
                <w:highlight w:val="none"/>
                <w:lang w:val="en-US" w:eastAsia="zh-CN"/>
              </w:rPr>
              <w:t>每条内容完整合理、可行性强得2分，内容部分合理得1分。未提供不得分。</w:t>
            </w:r>
          </w:p>
        </w:tc>
        <w:tc>
          <w:tcPr>
            <w:tcW w:w="393" w:type="pct"/>
            <w:noWrap w:val="0"/>
            <w:vAlign w:val="center"/>
          </w:tcPr>
          <w:p w14:paraId="31B2FDCD">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16</w:t>
            </w:r>
          </w:p>
        </w:tc>
        <w:tc>
          <w:tcPr>
            <w:tcW w:w="575" w:type="pct"/>
            <w:noWrap w:val="0"/>
            <w:vAlign w:val="center"/>
          </w:tcPr>
          <w:p w14:paraId="28188DFD">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5AC8EDF2">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管理制度</w:t>
            </w:r>
          </w:p>
        </w:tc>
      </w:tr>
      <w:tr w14:paraId="297B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noWrap w:val="0"/>
            <w:vAlign w:val="center"/>
          </w:tcPr>
          <w:p w14:paraId="773A9CB5">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857" w:type="pct"/>
            <w:noWrap w:val="0"/>
            <w:vAlign w:val="center"/>
          </w:tcPr>
          <w:p w14:paraId="1D8D13D7">
            <w:pPr>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提供对发生灾害性天气及其他环境突发事件时的紧急预案。</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eastAsia="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方案内容存在欠缺，可行性、项目匹配性不足的得1分；未提供不得分。</w:t>
            </w:r>
          </w:p>
        </w:tc>
        <w:tc>
          <w:tcPr>
            <w:tcW w:w="393" w:type="pct"/>
            <w:noWrap w:val="0"/>
            <w:vAlign w:val="center"/>
          </w:tcPr>
          <w:p w14:paraId="4CDD7C43">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highlight w:val="none"/>
                <w:lang w:val="en-US" w:eastAsia="zh-CN"/>
              </w:rPr>
              <w:t>3</w:t>
            </w:r>
          </w:p>
        </w:tc>
        <w:tc>
          <w:tcPr>
            <w:tcW w:w="575" w:type="pct"/>
            <w:noWrap w:val="0"/>
            <w:vAlign w:val="center"/>
          </w:tcPr>
          <w:p w14:paraId="2A7EF971">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restart"/>
            <w:noWrap w:val="0"/>
            <w:vAlign w:val="center"/>
          </w:tcPr>
          <w:p w14:paraId="775C4AB9">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highlight w:val="none"/>
              </w:rPr>
              <w:t>突发特殊情况下的应急保障措施</w:t>
            </w:r>
          </w:p>
        </w:tc>
      </w:tr>
      <w:tr w14:paraId="33C1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noWrap w:val="0"/>
            <w:vAlign w:val="center"/>
          </w:tcPr>
          <w:p w14:paraId="6BCA87CE">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857" w:type="pct"/>
            <w:noWrap w:val="0"/>
            <w:vAlign w:val="center"/>
          </w:tcPr>
          <w:p w14:paraId="573BA3E8">
            <w:pPr>
              <w:jc w:val="left"/>
              <w:rPr>
                <w:rFonts w:hint="eastAsia" w:ascii="宋体" w:hAnsi="宋体" w:eastAsia="宋体" w:cs="宋体"/>
                <w:color w:val="auto"/>
                <w:kern w:val="0"/>
                <w:sz w:val="24"/>
                <w:szCs w:val="22"/>
                <w:highlight w:val="none"/>
                <w:lang w:val="en-US" w:eastAsia="en-US" w:bidi="ar-SA"/>
              </w:rPr>
            </w:pPr>
            <w:r>
              <w:rPr>
                <w:rFonts w:hint="eastAsia" w:ascii="宋体" w:hAnsi="宋体" w:eastAsia="宋体" w:cs="宋体"/>
                <w:color w:val="auto"/>
                <w:kern w:val="0"/>
                <w:sz w:val="24"/>
                <w:szCs w:val="22"/>
                <w:highlight w:val="none"/>
                <w:lang w:val="en-US" w:eastAsia="zh-CN" w:bidi="ar-SA"/>
              </w:rPr>
              <w:t>提供对服务区域内治安、消防等紧急预案。</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eastAsia="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方案内容存在欠缺，可行性、项目匹配性不足的得1分；未提供不得分。</w:t>
            </w:r>
          </w:p>
        </w:tc>
        <w:tc>
          <w:tcPr>
            <w:tcW w:w="393" w:type="pct"/>
            <w:noWrap w:val="0"/>
            <w:vAlign w:val="center"/>
          </w:tcPr>
          <w:p w14:paraId="2478C9C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75" w:type="pct"/>
            <w:noWrap w:val="0"/>
            <w:vAlign w:val="center"/>
          </w:tcPr>
          <w:p w14:paraId="104B4729">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continue"/>
            <w:noWrap w:val="0"/>
            <w:vAlign w:val="center"/>
          </w:tcPr>
          <w:p w14:paraId="5478AF20">
            <w:pPr>
              <w:jc w:val="center"/>
              <w:rPr>
                <w:rFonts w:hint="eastAsia" w:ascii="宋体" w:hAnsi="宋体" w:eastAsia="宋体" w:cs="宋体"/>
                <w:color w:val="auto"/>
                <w:sz w:val="24"/>
                <w:highlight w:val="none"/>
              </w:rPr>
            </w:pPr>
          </w:p>
        </w:tc>
      </w:tr>
      <w:tr w14:paraId="61DF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noWrap w:val="0"/>
            <w:vAlign w:val="center"/>
          </w:tcPr>
          <w:p w14:paraId="096D3D77">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2857" w:type="pct"/>
            <w:noWrap w:val="0"/>
            <w:vAlign w:val="center"/>
          </w:tcPr>
          <w:p w14:paraId="77878540">
            <w:pPr>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提供对重大活动或重要接待任务等的应急预案。</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eastAsia="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方案内容存在欠缺，可行性、项目匹配性不足的得1分；未提供不得分。</w:t>
            </w:r>
          </w:p>
        </w:tc>
        <w:tc>
          <w:tcPr>
            <w:tcW w:w="393" w:type="pct"/>
            <w:noWrap w:val="0"/>
            <w:vAlign w:val="center"/>
          </w:tcPr>
          <w:p w14:paraId="7BC476CD">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75" w:type="pct"/>
            <w:noWrap w:val="0"/>
            <w:vAlign w:val="center"/>
          </w:tcPr>
          <w:p w14:paraId="55459AE0">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continue"/>
            <w:noWrap w:val="0"/>
            <w:vAlign w:val="center"/>
          </w:tcPr>
          <w:p w14:paraId="5B37A781">
            <w:pPr>
              <w:jc w:val="center"/>
              <w:rPr>
                <w:rFonts w:hint="eastAsia" w:ascii="宋体" w:hAnsi="宋体" w:eastAsia="宋体" w:cs="宋体"/>
                <w:color w:val="auto"/>
                <w:sz w:val="24"/>
                <w:highlight w:val="none"/>
              </w:rPr>
            </w:pPr>
          </w:p>
        </w:tc>
      </w:tr>
      <w:tr w14:paraId="41DB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noWrap w:val="0"/>
            <w:vAlign w:val="center"/>
          </w:tcPr>
          <w:p w14:paraId="224EDB3E">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857" w:type="pct"/>
            <w:noWrap w:val="0"/>
            <w:vAlign w:val="center"/>
          </w:tcPr>
          <w:p w14:paraId="3A4BDFD9">
            <w:pPr>
              <w:jc w:val="left"/>
              <w:rPr>
                <w:rFonts w:hint="eastAsia" w:ascii="宋体" w:hAnsi="宋体" w:eastAsia="宋体" w:cs="宋体"/>
                <w:color w:val="auto"/>
                <w:kern w:val="0"/>
                <w:sz w:val="24"/>
                <w:szCs w:val="22"/>
                <w:highlight w:val="none"/>
                <w:lang w:val="en-US" w:eastAsia="en-US" w:bidi="ar-SA"/>
              </w:rPr>
            </w:pPr>
            <w:r>
              <w:rPr>
                <w:rFonts w:hint="eastAsia" w:ascii="宋体" w:hAnsi="宋体" w:eastAsia="宋体" w:cs="宋体"/>
                <w:color w:val="auto"/>
                <w:kern w:val="0"/>
                <w:sz w:val="24"/>
                <w:szCs w:val="22"/>
                <w:highlight w:val="none"/>
                <w:lang w:val="en-US" w:eastAsia="zh-CN" w:bidi="ar-SA"/>
              </w:rPr>
              <w:t>提供对服务区域内暴恐事件等的应急预案。</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eastAsia="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方案内容存在欠缺，可行性、项目匹配性不足的得1分；未提供不得分。</w:t>
            </w:r>
          </w:p>
        </w:tc>
        <w:tc>
          <w:tcPr>
            <w:tcW w:w="393" w:type="pct"/>
            <w:noWrap w:val="0"/>
            <w:vAlign w:val="center"/>
          </w:tcPr>
          <w:p w14:paraId="621EFCC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75" w:type="pct"/>
            <w:noWrap w:val="0"/>
            <w:vAlign w:val="center"/>
          </w:tcPr>
          <w:p w14:paraId="4900C9A1">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continue"/>
            <w:noWrap w:val="0"/>
            <w:vAlign w:val="center"/>
          </w:tcPr>
          <w:p w14:paraId="5E8BAEE0">
            <w:pPr>
              <w:jc w:val="center"/>
              <w:rPr>
                <w:rFonts w:hint="eastAsia" w:ascii="宋体" w:hAnsi="宋体" w:eastAsia="宋体" w:cs="宋体"/>
                <w:color w:val="auto"/>
                <w:sz w:val="24"/>
                <w:highlight w:val="none"/>
              </w:rPr>
            </w:pPr>
          </w:p>
        </w:tc>
      </w:tr>
      <w:tr w14:paraId="10F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05" w:type="pct"/>
            <w:noWrap w:val="0"/>
            <w:vAlign w:val="center"/>
          </w:tcPr>
          <w:p w14:paraId="286D4FE9">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857" w:type="pct"/>
            <w:noWrap w:val="0"/>
            <w:vAlign w:val="center"/>
          </w:tcPr>
          <w:p w14:paraId="4542F524">
            <w:pPr>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en-US" w:bidi="ar-SA"/>
              </w:rPr>
              <w:t>提供的保安人员的各季节服装、防暑防雨用品配备是否完整合理。</w:t>
            </w:r>
            <w:r>
              <w:rPr>
                <w:rFonts w:hint="eastAsia" w:ascii="宋体" w:hAnsi="宋体" w:eastAsia="宋体" w:cs="宋体"/>
                <w:color w:val="auto"/>
                <w:kern w:val="0"/>
                <w:sz w:val="24"/>
                <w:szCs w:val="22"/>
                <w:highlight w:val="none"/>
                <w:lang w:val="en-US" w:eastAsia="zh-CN" w:bidi="ar-SA"/>
              </w:rPr>
              <w:t>配备合理</w:t>
            </w:r>
            <w:r>
              <w:rPr>
                <w:rFonts w:hint="eastAsia" w:ascii="宋体" w:hAnsi="宋体" w:eastAsia="宋体" w:cs="宋体"/>
                <w:color w:val="auto"/>
                <w:kern w:val="0"/>
                <w:sz w:val="24"/>
                <w:szCs w:val="22"/>
                <w:highlight w:val="none"/>
                <w:lang w:val="en-US" w:eastAsia="en-US" w:bidi="ar-SA"/>
              </w:rPr>
              <w:t>、针对性强的得</w:t>
            </w:r>
            <w:r>
              <w:rPr>
                <w:rFonts w:hint="eastAsia" w:ascii="宋体" w:hAnsi="宋体" w:cs="宋体"/>
                <w:color w:val="auto"/>
                <w:kern w:val="0"/>
                <w:sz w:val="24"/>
                <w:szCs w:val="22"/>
                <w:highlight w:val="none"/>
                <w:lang w:val="en-US" w:eastAsia="zh-CN" w:bidi="ar-SA"/>
              </w:rPr>
              <w:t>4</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配备较合理</w:t>
            </w:r>
            <w:r>
              <w:rPr>
                <w:rFonts w:hint="eastAsia" w:ascii="宋体" w:hAnsi="宋体" w:eastAsia="宋体" w:cs="宋体"/>
                <w:color w:val="auto"/>
                <w:kern w:val="0"/>
                <w:sz w:val="24"/>
                <w:szCs w:val="22"/>
                <w:highlight w:val="none"/>
                <w:lang w:val="en-US" w:eastAsia="en-US" w:bidi="ar-SA"/>
              </w:rPr>
              <w:t>得</w:t>
            </w:r>
            <w:r>
              <w:rPr>
                <w:rFonts w:hint="eastAsia" w:ascii="宋体" w:hAnsi="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合理性性存在较大欠缺</w:t>
            </w:r>
            <w:r>
              <w:rPr>
                <w:rFonts w:hint="eastAsia" w:ascii="宋体" w:hAnsi="宋体" w:eastAsia="宋体" w:cs="宋体"/>
                <w:color w:val="auto"/>
                <w:kern w:val="0"/>
                <w:sz w:val="24"/>
                <w:szCs w:val="22"/>
                <w:highlight w:val="none"/>
                <w:lang w:val="en-US" w:eastAsia="en-US" w:bidi="ar-SA"/>
              </w:rPr>
              <w:t>的得</w:t>
            </w:r>
            <w:r>
              <w:rPr>
                <w:rFonts w:hint="eastAsia" w:ascii="宋体" w:hAnsi="宋体" w:eastAsia="宋体" w:cs="宋体"/>
                <w:color w:val="auto"/>
                <w:kern w:val="0"/>
                <w:sz w:val="24"/>
                <w:szCs w:val="22"/>
                <w:highlight w:val="none"/>
                <w:lang w:val="en-US" w:eastAsia="zh-CN" w:bidi="ar-SA"/>
              </w:rPr>
              <w:t>1</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未提供不得分。</w:t>
            </w:r>
          </w:p>
        </w:tc>
        <w:tc>
          <w:tcPr>
            <w:tcW w:w="393" w:type="pct"/>
            <w:noWrap w:val="0"/>
            <w:vAlign w:val="center"/>
          </w:tcPr>
          <w:p w14:paraId="382322DF">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575" w:type="pct"/>
            <w:noWrap w:val="0"/>
            <w:vAlign w:val="center"/>
          </w:tcPr>
          <w:p w14:paraId="2C10C105">
            <w:pPr>
              <w:jc w:val="center"/>
              <w:rPr>
                <w:rFonts w:hint="eastAsia" w:ascii="宋体" w:hAnsi="宋体" w:cs="宋体"/>
                <w:color w:val="auto"/>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restart"/>
            <w:noWrap w:val="0"/>
            <w:vAlign w:val="center"/>
          </w:tcPr>
          <w:p w14:paraId="73D63507">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投标人拟投入使用的服装、设备、工器具的储备情况</w:t>
            </w:r>
          </w:p>
        </w:tc>
      </w:tr>
      <w:tr w14:paraId="495E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pct"/>
            <w:noWrap w:val="0"/>
            <w:vAlign w:val="center"/>
          </w:tcPr>
          <w:p w14:paraId="5A16B309">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857" w:type="pct"/>
            <w:noWrap w:val="0"/>
            <w:vAlign w:val="center"/>
          </w:tcPr>
          <w:p w14:paraId="1A3E639F">
            <w:pPr>
              <w:keepNext w:val="0"/>
              <w:keepLines w:val="0"/>
              <w:widowControl/>
              <w:suppressLineNumbers w:val="0"/>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2"/>
                <w:highlight w:val="none"/>
                <w:lang w:val="en-US" w:eastAsia="zh-CN" w:bidi="ar-SA"/>
              </w:rPr>
              <w:t>提供的保安人员的通讯器材、保安装备配置是否完整合理。配备合理</w:t>
            </w:r>
            <w:r>
              <w:rPr>
                <w:rFonts w:hint="eastAsia" w:ascii="宋体" w:hAnsi="宋体" w:eastAsia="宋体" w:cs="宋体"/>
                <w:color w:val="auto"/>
                <w:kern w:val="0"/>
                <w:sz w:val="24"/>
                <w:szCs w:val="22"/>
                <w:highlight w:val="none"/>
                <w:lang w:val="en-US" w:eastAsia="en-US" w:bidi="ar-SA"/>
              </w:rPr>
              <w:t>、针对性强的得</w:t>
            </w:r>
            <w:r>
              <w:rPr>
                <w:rFonts w:hint="eastAsia" w:ascii="宋体" w:hAnsi="宋体" w:cs="宋体"/>
                <w:color w:val="auto"/>
                <w:kern w:val="0"/>
                <w:sz w:val="24"/>
                <w:szCs w:val="22"/>
                <w:highlight w:val="none"/>
                <w:lang w:val="en-US" w:eastAsia="zh-CN" w:bidi="ar-SA"/>
              </w:rPr>
              <w:t>4</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配备较合理</w:t>
            </w:r>
            <w:r>
              <w:rPr>
                <w:rFonts w:hint="eastAsia" w:ascii="宋体" w:hAnsi="宋体" w:eastAsia="宋体" w:cs="宋体"/>
                <w:color w:val="auto"/>
                <w:kern w:val="0"/>
                <w:sz w:val="24"/>
                <w:szCs w:val="22"/>
                <w:highlight w:val="none"/>
                <w:lang w:val="en-US" w:eastAsia="en-US" w:bidi="ar-SA"/>
              </w:rPr>
              <w:t>得</w:t>
            </w:r>
            <w:r>
              <w:rPr>
                <w:rFonts w:hint="eastAsia" w:ascii="宋体" w:hAnsi="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合理性性存在较大欠缺</w:t>
            </w:r>
            <w:r>
              <w:rPr>
                <w:rFonts w:hint="eastAsia" w:ascii="宋体" w:hAnsi="宋体" w:eastAsia="宋体" w:cs="宋体"/>
                <w:color w:val="auto"/>
                <w:kern w:val="0"/>
                <w:sz w:val="24"/>
                <w:szCs w:val="22"/>
                <w:highlight w:val="none"/>
                <w:lang w:val="en-US" w:eastAsia="en-US" w:bidi="ar-SA"/>
              </w:rPr>
              <w:t>的得</w:t>
            </w:r>
            <w:r>
              <w:rPr>
                <w:rFonts w:hint="eastAsia" w:ascii="宋体" w:hAnsi="宋体" w:eastAsia="宋体" w:cs="宋体"/>
                <w:color w:val="auto"/>
                <w:kern w:val="0"/>
                <w:sz w:val="24"/>
                <w:szCs w:val="22"/>
                <w:highlight w:val="none"/>
                <w:lang w:val="en-US" w:eastAsia="zh-CN" w:bidi="ar-SA"/>
              </w:rPr>
              <w:t>1</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未提供不得分。</w:t>
            </w:r>
          </w:p>
        </w:tc>
        <w:tc>
          <w:tcPr>
            <w:tcW w:w="393" w:type="pct"/>
            <w:noWrap w:val="0"/>
            <w:vAlign w:val="center"/>
          </w:tcPr>
          <w:p w14:paraId="11ABC27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575" w:type="pct"/>
            <w:noWrap w:val="0"/>
            <w:vAlign w:val="center"/>
          </w:tcPr>
          <w:p w14:paraId="2C68B1A2">
            <w:pPr>
              <w:jc w:val="center"/>
              <w:rPr>
                <w:rFonts w:hint="eastAsia" w:ascii="宋体" w:hAnsi="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vMerge w:val="continue"/>
            <w:noWrap w:val="0"/>
            <w:vAlign w:val="center"/>
          </w:tcPr>
          <w:p w14:paraId="578C8CD3">
            <w:pPr>
              <w:jc w:val="center"/>
              <w:rPr>
                <w:rFonts w:hint="eastAsia" w:ascii="宋体" w:hAnsi="宋体" w:eastAsia="宋体" w:cs="宋体"/>
                <w:color w:val="auto"/>
                <w:sz w:val="24"/>
                <w:highlight w:val="none"/>
              </w:rPr>
            </w:pPr>
          </w:p>
        </w:tc>
      </w:tr>
      <w:tr w14:paraId="78D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5" w:type="pct"/>
            <w:noWrap w:val="0"/>
            <w:vAlign w:val="center"/>
          </w:tcPr>
          <w:p w14:paraId="3E4895F9">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857" w:type="pct"/>
            <w:noWrap w:val="0"/>
            <w:vAlign w:val="center"/>
          </w:tcPr>
          <w:p w14:paraId="1E08A7C5">
            <w:pPr>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提供防止人员意外情况或重大过失的预防方案、人员替补力量及方案，根据方案的周密性、可行性等情况进行评审。</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cs="宋体"/>
                <w:color w:val="auto"/>
                <w:kern w:val="0"/>
                <w:sz w:val="24"/>
                <w:szCs w:val="22"/>
                <w:highlight w:val="none"/>
                <w:lang w:val="en-US" w:eastAsia="zh-CN" w:bidi="ar-SA"/>
              </w:rPr>
              <w:t>4</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en-US" w:bidi="ar-SA"/>
              </w:rPr>
              <w:t xml:space="preserve"> 分；</w:t>
            </w:r>
            <w:r>
              <w:rPr>
                <w:rFonts w:hint="eastAsia" w:ascii="宋体" w:hAnsi="宋体" w:eastAsia="宋体" w:cs="宋体"/>
                <w:color w:val="auto"/>
                <w:sz w:val="24"/>
                <w:highlight w:val="none"/>
                <w:lang w:val="en-US" w:eastAsia="zh-CN"/>
              </w:rPr>
              <w:t>方案内容存在欠缺，可行性、项目匹配性不足的得1分；未提供不得分。</w:t>
            </w:r>
          </w:p>
        </w:tc>
        <w:tc>
          <w:tcPr>
            <w:tcW w:w="393" w:type="pct"/>
            <w:noWrap w:val="0"/>
            <w:vAlign w:val="center"/>
          </w:tcPr>
          <w:p w14:paraId="041216A0">
            <w:pPr>
              <w:jc w:val="center"/>
              <w:rPr>
                <w:rFonts w:hint="eastAsia" w:ascii="宋体" w:hAnsi="宋体" w:eastAsia="宋体" w:cs="宋体"/>
                <w:color w:val="auto"/>
                <w:highlight w:val="none"/>
              </w:rPr>
            </w:pPr>
            <w:r>
              <w:rPr>
                <w:rFonts w:hint="eastAsia" w:ascii="宋体" w:hAnsi="宋体" w:cs="宋体"/>
                <w:color w:val="auto"/>
                <w:sz w:val="24"/>
                <w:highlight w:val="none"/>
                <w:lang w:val="en-US" w:eastAsia="zh-CN"/>
              </w:rPr>
              <w:t>4</w:t>
            </w:r>
          </w:p>
        </w:tc>
        <w:tc>
          <w:tcPr>
            <w:tcW w:w="575" w:type="pct"/>
            <w:noWrap w:val="0"/>
            <w:vAlign w:val="center"/>
          </w:tcPr>
          <w:p w14:paraId="0FBAA930">
            <w:pPr>
              <w:jc w:val="center"/>
              <w:rPr>
                <w:rFonts w:hint="eastAsia" w:ascii="宋体" w:hAnsi="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4DC501DC">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预防方案情况</w:t>
            </w:r>
          </w:p>
        </w:tc>
      </w:tr>
      <w:tr w14:paraId="6E78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pct"/>
            <w:noWrap w:val="0"/>
            <w:vAlign w:val="center"/>
          </w:tcPr>
          <w:p w14:paraId="78B0931E">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2857" w:type="pct"/>
            <w:noWrap w:val="0"/>
            <w:vAlign w:val="center"/>
          </w:tcPr>
          <w:p w14:paraId="2B8F1DD4">
            <w:pPr>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投标人结合对本项目采购需求的理解，对特保服务存在的难点、要点问题分析。根据提供的方案内容进行评审。</w:t>
            </w:r>
            <w:r>
              <w:rPr>
                <w:rFonts w:hint="eastAsia" w:ascii="宋体" w:hAnsi="宋体" w:eastAsia="宋体" w:cs="宋体"/>
                <w:color w:val="auto"/>
                <w:kern w:val="0"/>
                <w:sz w:val="24"/>
                <w:szCs w:val="22"/>
                <w:highlight w:val="none"/>
                <w:lang w:val="en-US" w:eastAsia="zh-CN" w:bidi="ar-SA"/>
              </w:rPr>
              <w:t>理解透彻</w:t>
            </w:r>
            <w:r>
              <w:rPr>
                <w:rFonts w:hint="eastAsia" w:ascii="宋体" w:hAnsi="宋体" w:eastAsia="宋体" w:cs="宋体"/>
                <w:color w:val="auto"/>
                <w:kern w:val="0"/>
                <w:sz w:val="24"/>
                <w:szCs w:val="22"/>
                <w:highlight w:val="none"/>
                <w:lang w:val="en-US" w:eastAsia="en-US" w:bidi="ar-SA"/>
              </w:rPr>
              <w:t>、</w:t>
            </w:r>
            <w:r>
              <w:rPr>
                <w:rFonts w:hint="eastAsia" w:ascii="宋体" w:hAnsi="宋体" w:eastAsia="宋体" w:cs="宋体"/>
                <w:color w:val="auto"/>
                <w:kern w:val="0"/>
                <w:sz w:val="24"/>
                <w:szCs w:val="22"/>
                <w:highlight w:val="none"/>
                <w:lang w:val="en-US" w:eastAsia="zh-CN" w:bidi="ar-SA"/>
              </w:rPr>
              <w:t>分析</w:t>
            </w:r>
            <w:r>
              <w:rPr>
                <w:rFonts w:hint="eastAsia" w:ascii="宋体" w:hAnsi="宋体" w:eastAsia="宋体" w:cs="宋体"/>
                <w:color w:val="auto"/>
                <w:kern w:val="0"/>
                <w:sz w:val="24"/>
                <w:szCs w:val="22"/>
                <w:highlight w:val="none"/>
                <w:lang w:val="en-US" w:eastAsia="en-US" w:bidi="ar-SA"/>
              </w:rPr>
              <w:t>针对性强的得</w:t>
            </w:r>
            <w:r>
              <w:rPr>
                <w:rFonts w:hint="eastAsia" w:ascii="宋体" w:hAnsi="宋体" w:cs="宋体"/>
                <w:color w:val="auto"/>
                <w:kern w:val="0"/>
                <w:sz w:val="24"/>
                <w:szCs w:val="22"/>
                <w:highlight w:val="none"/>
                <w:lang w:val="en-US" w:eastAsia="zh-CN" w:bidi="ar-SA"/>
              </w:rPr>
              <w:t>5</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kern w:val="0"/>
                <w:sz w:val="24"/>
                <w:szCs w:val="22"/>
                <w:highlight w:val="none"/>
                <w:lang w:val="en-US" w:eastAsia="zh-CN" w:bidi="ar-SA"/>
              </w:rPr>
              <w:t>理解</w:t>
            </w:r>
            <w:r>
              <w:rPr>
                <w:rFonts w:hint="eastAsia" w:ascii="宋体" w:hAnsi="宋体" w:eastAsia="宋体" w:cs="宋体"/>
                <w:color w:val="auto"/>
                <w:kern w:val="0"/>
                <w:sz w:val="24"/>
                <w:szCs w:val="22"/>
                <w:highlight w:val="none"/>
                <w:lang w:val="en-US" w:eastAsia="en-US" w:bidi="ar-SA"/>
              </w:rPr>
              <w:t>一般，针对性一般的得</w:t>
            </w:r>
            <w:r>
              <w:rPr>
                <w:rFonts w:hint="eastAsia" w:ascii="宋体" w:hAnsi="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sz w:val="24"/>
                <w:highlight w:val="none"/>
                <w:lang w:val="en-US" w:eastAsia="zh-CN"/>
              </w:rPr>
              <w:t>理解存在欠缺，可行性、项目匹配性不足的得1分；未提供不得分。</w:t>
            </w:r>
          </w:p>
        </w:tc>
        <w:tc>
          <w:tcPr>
            <w:tcW w:w="393" w:type="pct"/>
            <w:noWrap w:val="0"/>
            <w:vAlign w:val="center"/>
          </w:tcPr>
          <w:p w14:paraId="5A4868AC">
            <w:pPr>
              <w:jc w:val="center"/>
              <w:rPr>
                <w:rFonts w:hint="eastAsia" w:ascii="宋体" w:hAnsi="宋体" w:eastAsia="宋体" w:cs="宋体"/>
                <w:color w:val="auto"/>
                <w:highlight w:val="none"/>
              </w:rPr>
            </w:pPr>
            <w:r>
              <w:rPr>
                <w:rFonts w:hint="eastAsia" w:ascii="宋体" w:hAnsi="宋体" w:cs="宋体"/>
                <w:color w:val="auto"/>
                <w:sz w:val="24"/>
                <w:highlight w:val="none"/>
                <w:lang w:val="en-US" w:eastAsia="zh-CN"/>
              </w:rPr>
              <w:t>5</w:t>
            </w:r>
          </w:p>
        </w:tc>
        <w:tc>
          <w:tcPr>
            <w:tcW w:w="575" w:type="pct"/>
            <w:noWrap w:val="0"/>
            <w:vAlign w:val="center"/>
          </w:tcPr>
          <w:p w14:paraId="01B1CD36">
            <w:pPr>
              <w:jc w:val="center"/>
              <w:rPr>
                <w:rFonts w:hint="eastAsia" w:ascii="宋体" w:hAnsi="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1A5648BD">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针对本项目重点、难点</w:t>
            </w:r>
            <w:r>
              <w:rPr>
                <w:rFonts w:hint="eastAsia" w:ascii="宋体" w:hAnsi="宋体" w:cs="宋体"/>
                <w:color w:val="auto"/>
                <w:sz w:val="24"/>
                <w:highlight w:val="none"/>
                <w:lang w:val="en-US" w:eastAsia="zh-CN"/>
              </w:rPr>
              <w:t>分析</w:t>
            </w:r>
          </w:p>
        </w:tc>
      </w:tr>
      <w:tr w14:paraId="36A6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pct"/>
            <w:noWrap w:val="0"/>
            <w:vAlign w:val="center"/>
          </w:tcPr>
          <w:p w14:paraId="09EB6E93">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2857" w:type="pct"/>
            <w:noWrap w:val="0"/>
            <w:vAlign w:val="center"/>
          </w:tcPr>
          <w:p w14:paraId="537813D9">
            <w:pPr>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投标人针对本项目提供服务质量保障方案。根据提供的方案内容进行评审。</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eastAsia="宋体" w:cs="宋体"/>
                <w:color w:val="auto"/>
                <w:kern w:val="0"/>
                <w:sz w:val="24"/>
                <w:szCs w:val="22"/>
                <w:highlight w:val="none"/>
                <w:lang w:val="en-US" w:eastAsia="zh-CN" w:bidi="ar-SA"/>
              </w:rPr>
              <w:t>5</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eastAsia="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 xml:space="preserve"> 分；</w:t>
            </w:r>
            <w:r>
              <w:rPr>
                <w:rFonts w:hint="eastAsia" w:ascii="宋体" w:hAnsi="宋体" w:eastAsia="宋体" w:cs="宋体"/>
                <w:color w:val="auto"/>
                <w:sz w:val="24"/>
                <w:highlight w:val="none"/>
                <w:lang w:val="en-US" w:eastAsia="zh-CN"/>
              </w:rPr>
              <w:t>方案内容存在欠缺，可行性、项目匹配性不足的得1分；未提供不得分。</w:t>
            </w:r>
          </w:p>
        </w:tc>
        <w:tc>
          <w:tcPr>
            <w:tcW w:w="393" w:type="pct"/>
            <w:noWrap w:val="0"/>
            <w:vAlign w:val="center"/>
          </w:tcPr>
          <w:p w14:paraId="76B0FEAB">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5</w:t>
            </w:r>
          </w:p>
        </w:tc>
        <w:tc>
          <w:tcPr>
            <w:tcW w:w="575" w:type="pct"/>
            <w:noWrap w:val="0"/>
            <w:vAlign w:val="center"/>
          </w:tcPr>
          <w:p w14:paraId="05B6D3B2">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36F19AC1">
            <w:pPr>
              <w:jc w:val="center"/>
              <w:rPr>
                <w:rFonts w:hint="eastAsia" w:ascii="宋体" w:hAnsi="宋体" w:eastAsia="宋体" w:cs="宋体"/>
                <w:color w:val="auto"/>
                <w:highlight w:val="none"/>
              </w:rPr>
            </w:pPr>
            <w:r>
              <w:rPr>
                <w:rFonts w:hint="eastAsia" w:ascii="宋体" w:hAnsi="宋体" w:cs="宋体"/>
                <w:color w:val="auto"/>
                <w:sz w:val="24"/>
                <w:highlight w:val="none"/>
                <w:lang w:val="en-US" w:eastAsia="zh-CN"/>
              </w:rPr>
              <w:t>质量</w:t>
            </w:r>
            <w:r>
              <w:rPr>
                <w:rFonts w:hint="eastAsia" w:ascii="宋体" w:hAnsi="宋体" w:eastAsia="宋体" w:cs="宋体"/>
                <w:color w:val="auto"/>
                <w:sz w:val="24"/>
                <w:highlight w:val="none"/>
                <w:lang w:val="en-US" w:eastAsia="zh-CN"/>
              </w:rPr>
              <w:t>保障方案</w:t>
            </w:r>
          </w:p>
        </w:tc>
      </w:tr>
      <w:tr w14:paraId="5049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pct"/>
            <w:noWrap w:val="0"/>
            <w:vAlign w:val="center"/>
          </w:tcPr>
          <w:p w14:paraId="18296DCD">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857" w:type="pct"/>
            <w:noWrap w:val="0"/>
            <w:vAlign w:val="center"/>
          </w:tcPr>
          <w:p w14:paraId="619A1EEA">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投标人针对本项目提供相应人员培训方案。根据提供的方案内容进行评审。</w:t>
            </w:r>
            <w:r>
              <w:rPr>
                <w:rFonts w:hint="eastAsia" w:ascii="宋体" w:hAnsi="宋体" w:eastAsia="宋体" w:cs="宋体"/>
                <w:color w:val="auto"/>
                <w:sz w:val="24"/>
                <w:szCs w:val="24"/>
                <w:highlight w:val="none"/>
                <w:shd w:val="clear" w:color="auto" w:fill="FFFFFF"/>
              </w:rPr>
              <w:t>阐述完整</w:t>
            </w:r>
            <w:r>
              <w:rPr>
                <w:rFonts w:hint="eastAsia" w:ascii="宋体" w:hAnsi="宋体" w:eastAsia="宋体" w:cs="宋体"/>
                <w:color w:val="auto"/>
                <w:sz w:val="24"/>
                <w:szCs w:val="24"/>
                <w:highlight w:val="none"/>
                <w:shd w:val="clear" w:color="auto" w:fill="FFFFFF"/>
                <w:lang w:eastAsia="zh-CN"/>
              </w:rPr>
              <w:t>全面</w:t>
            </w:r>
            <w:r>
              <w:rPr>
                <w:rFonts w:hint="eastAsia" w:ascii="宋体" w:hAnsi="宋体" w:eastAsia="宋体" w:cs="宋体"/>
                <w:color w:val="auto"/>
                <w:sz w:val="24"/>
                <w:szCs w:val="24"/>
                <w:highlight w:val="none"/>
                <w:shd w:val="clear" w:color="auto" w:fill="FFFFFF"/>
              </w:rPr>
              <w:t>得</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阐述基本完整的得</w:t>
            </w:r>
            <w:r>
              <w:rPr>
                <w:rFonts w:hint="eastAsia" w:ascii="宋体" w:hAnsi="宋体" w:eastAsia="宋体" w:cs="宋体"/>
                <w:color w:val="auto"/>
                <w:sz w:val="24"/>
                <w:szCs w:val="24"/>
                <w:highlight w:val="none"/>
                <w:shd w:val="clear" w:color="auto" w:fill="FFFFFF"/>
                <w:lang w:val="en-US" w:eastAsia="zh-CN"/>
              </w:rPr>
              <w:t>3分；方案内容存在欠缺，可行性、项目匹配性不足的得1分；未提供不得分。</w:t>
            </w:r>
          </w:p>
        </w:tc>
        <w:tc>
          <w:tcPr>
            <w:tcW w:w="393" w:type="pct"/>
            <w:noWrap w:val="0"/>
            <w:vAlign w:val="center"/>
          </w:tcPr>
          <w:p w14:paraId="1C8C02C3">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5</w:t>
            </w:r>
          </w:p>
        </w:tc>
        <w:tc>
          <w:tcPr>
            <w:tcW w:w="575" w:type="pct"/>
            <w:noWrap w:val="0"/>
            <w:vAlign w:val="center"/>
          </w:tcPr>
          <w:p w14:paraId="4B94B594">
            <w:pPr>
              <w:jc w:val="center"/>
              <w:rPr>
                <w:rFonts w:hint="eastAsia" w:ascii="宋体" w:hAnsi="宋体" w:eastAsia="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1AEBEAC6">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培训方案</w:t>
            </w:r>
          </w:p>
        </w:tc>
      </w:tr>
      <w:tr w14:paraId="2085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05" w:type="pct"/>
            <w:noWrap w:val="0"/>
            <w:vAlign w:val="center"/>
          </w:tcPr>
          <w:p w14:paraId="0E6666C1">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857" w:type="pct"/>
            <w:noWrap w:val="0"/>
            <w:vAlign w:val="center"/>
          </w:tcPr>
          <w:p w14:paraId="27F86B18">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对本项目相应的合理化建议。</w:t>
            </w:r>
            <w:r>
              <w:rPr>
                <w:rFonts w:hint="eastAsia" w:ascii="宋体" w:hAnsi="宋体" w:eastAsia="宋体" w:cs="宋体"/>
                <w:color w:val="auto"/>
                <w:kern w:val="0"/>
                <w:sz w:val="24"/>
                <w:szCs w:val="22"/>
                <w:highlight w:val="none"/>
                <w:lang w:val="en-US" w:eastAsia="en-US" w:bidi="ar-SA"/>
              </w:rPr>
              <w:t>方案合理、针对性强的得</w:t>
            </w:r>
            <w:r>
              <w:rPr>
                <w:rFonts w:hint="eastAsia" w:ascii="宋体" w:hAnsi="宋体" w:cs="宋体"/>
                <w:color w:val="auto"/>
                <w:kern w:val="0"/>
                <w:sz w:val="24"/>
                <w:szCs w:val="22"/>
                <w:highlight w:val="none"/>
                <w:lang w:val="en-US" w:eastAsia="zh-CN" w:bidi="ar-SA"/>
              </w:rPr>
              <w:t>5</w:t>
            </w:r>
            <w:r>
              <w:rPr>
                <w:rFonts w:hint="eastAsia" w:ascii="宋体" w:hAnsi="宋体" w:eastAsia="宋体" w:cs="宋体"/>
                <w:color w:val="auto"/>
                <w:kern w:val="0"/>
                <w:sz w:val="24"/>
                <w:szCs w:val="22"/>
                <w:highlight w:val="none"/>
                <w:lang w:val="en-US" w:eastAsia="en-US" w:bidi="ar-SA"/>
              </w:rPr>
              <w:t>分；方案一般，针对性一般的得</w:t>
            </w:r>
            <w:r>
              <w:rPr>
                <w:rFonts w:hint="eastAsia" w:ascii="宋体" w:hAnsi="宋体" w:cs="宋体"/>
                <w:color w:val="auto"/>
                <w:kern w:val="0"/>
                <w:sz w:val="24"/>
                <w:szCs w:val="22"/>
                <w:highlight w:val="none"/>
                <w:lang w:val="en-US" w:eastAsia="zh-CN" w:bidi="ar-SA"/>
              </w:rPr>
              <w:t>3</w:t>
            </w:r>
            <w:r>
              <w:rPr>
                <w:rFonts w:hint="eastAsia" w:ascii="宋体" w:hAnsi="宋体" w:eastAsia="宋体" w:cs="宋体"/>
                <w:color w:val="auto"/>
                <w:kern w:val="0"/>
                <w:sz w:val="24"/>
                <w:szCs w:val="22"/>
                <w:highlight w:val="none"/>
                <w:lang w:val="en-US" w:eastAsia="en-US" w:bidi="ar-SA"/>
              </w:rPr>
              <w:t>分；</w:t>
            </w:r>
            <w:r>
              <w:rPr>
                <w:rFonts w:hint="eastAsia" w:ascii="宋体" w:hAnsi="宋体" w:eastAsia="宋体" w:cs="宋体"/>
                <w:color w:val="auto"/>
                <w:sz w:val="24"/>
                <w:highlight w:val="none"/>
                <w:lang w:val="en-US" w:eastAsia="zh-CN"/>
              </w:rPr>
              <w:t>方案内容存在欠缺，可行性、项目匹配性不足的得1分；未提供不得分。</w:t>
            </w:r>
          </w:p>
        </w:tc>
        <w:tc>
          <w:tcPr>
            <w:tcW w:w="393" w:type="pct"/>
            <w:noWrap w:val="0"/>
            <w:vAlign w:val="center"/>
          </w:tcPr>
          <w:p w14:paraId="6852619C">
            <w:pPr>
              <w:jc w:val="center"/>
              <w:rPr>
                <w:rFonts w:hint="eastAsia" w:ascii="宋体" w:hAnsi="宋体" w:eastAsia="宋体" w:cs="宋体"/>
                <w:color w:val="auto"/>
                <w:highlight w:val="none"/>
              </w:rPr>
            </w:pPr>
            <w:r>
              <w:rPr>
                <w:rFonts w:hint="eastAsia" w:ascii="宋体" w:hAnsi="宋体" w:cs="宋体"/>
                <w:color w:val="auto"/>
                <w:sz w:val="24"/>
                <w:highlight w:val="none"/>
                <w:lang w:val="en-US" w:eastAsia="zh-CN"/>
              </w:rPr>
              <w:t>5</w:t>
            </w:r>
          </w:p>
        </w:tc>
        <w:tc>
          <w:tcPr>
            <w:tcW w:w="575" w:type="pct"/>
            <w:noWrap w:val="0"/>
            <w:vAlign w:val="center"/>
          </w:tcPr>
          <w:p w14:paraId="33CAA684">
            <w:pPr>
              <w:jc w:val="center"/>
              <w:rPr>
                <w:rFonts w:hint="eastAsia" w:ascii="宋体" w:hAnsi="宋体" w:cs="宋体"/>
                <w:color w:val="auto"/>
                <w:sz w:val="24"/>
                <w:highlight w:val="none"/>
                <w:lang w:val="en-US" w:eastAsia="zh-CN"/>
              </w:rPr>
            </w:pPr>
            <w:r>
              <w:rPr>
                <w:rFonts w:hint="eastAsia" w:cs="仿宋_GB2312" w:asciiTheme="minorEastAsia" w:hAnsiTheme="minorEastAsia" w:eastAsiaTheme="minorEastAsia"/>
                <w:bCs/>
                <w:color w:val="auto"/>
                <w:sz w:val="24"/>
                <w:highlight w:val="none"/>
                <w:lang w:val="en-US" w:eastAsia="zh-CN"/>
              </w:rPr>
              <w:t>主观</w:t>
            </w:r>
            <w:r>
              <w:rPr>
                <w:rFonts w:hint="eastAsia" w:cs="仿宋_GB2312" w:asciiTheme="minorEastAsia" w:hAnsiTheme="minorEastAsia" w:eastAsiaTheme="minorEastAsia"/>
                <w:bCs/>
                <w:color w:val="auto"/>
                <w:sz w:val="24"/>
                <w:highlight w:val="none"/>
              </w:rPr>
              <w:t>分</w:t>
            </w:r>
          </w:p>
        </w:tc>
        <w:tc>
          <w:tcPr>
            <w:tcW w:w="767" w:type="pct"/>
            <w:noWrap w:val="0"/>
            <w:vAlign w:val="center"/>
          </w:tcPr>
          <w:p w14:paraId="257A3E78">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合理化建议</w:t>
            </w:r>
          </w:p>
        </w:tc>
      </w:tr>
      <w:tr w14:paraId="24F4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405" w:type="pct"/>
            <w:noWrap w:val="0"/>
            <w:vAlign w:val="center"/>
          </w:tcPr>
          <w:p w14:paraId="235B5C11">
            <w:pPr>
              <w:spacing w:line="360" w:lineRule="auto"/>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857" w:type="pct"/>
            <w:noWrap w:val="0"/>
            <w:vAlign w:val="center"/>
          </w:tcPr>
          <w:p w14:paraId="31047719">
            <w:pPr>
              <w:spacing w:line="240" w:lineRule="auto"/>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有效投标报价的最低价作为评标基准价，其最低报价为满分；按［投标报价得分=（评标基准价/投标报价）*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］的计算公式计算。</w:t>
            </w:r>
          </w:p>
          <w:p w14:paraId="787DB95C">
            <w:pPr>
              <w:spacing w:line="240" w:lineRule="auto"/>
              <w:ind w:firstLine="480" w:firstLineChars="200"/>
              <w:jc w:val="lef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评标过程中，不得去掉报价中的最高报价和最低报价。</w:t>
            </w:r>
          </w:p>
          <w:p w14:paraId="14DA6BD0">
            <w:pPr>
              <w:widowControl/>
              <w:shd w:val="clear" w:color="auto" w:fill="FFFFFF"/>
              <w:adjustRightInd/>
              <w:spacing w:after="225" w:line="315" w:lineRule="atLeas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因落实政府采购政策需要进行价格调整的，以调整后的价格计算评标基准价和投标报价。</w:t>
            </w:r>
            <w:r>
              <w:rPr>
                <w:rFonts w:hint="eastAsia" w:ascii="宋体" w:hAnsi="宋体" w:eastAsia="宋体" w:cs="宋体"/>
                <w:color w:val="auto"/>
                <w:sz w:val="24"/>
                <w:highlight w:val="none"/>
                <w:lang w:eastAsia="zh-CN"/>
              </w:rPr>
              <w:t>（本项目不适用）</w:t>
            </w:r>
          </w:p>
        </w:tc>
        <w:tc>
          <w:tcPr>
            <w:tcW w:w="393" w:type="pct"/>
            <w:noWrap w:val="0"/>
            <w:vAlign w:val="center"/>
          </w:tcPr>
          <w:p w14:paraId="336A60CB">
            <w:pPr>
              <w:spacing w:line="360" w:lineRule="auto"/>
              <w:ind w:firstLine="120" w:firstLineChars="50"/>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w:t>
            </w:r>
          </w:p>
        </w:tc>
        <w:tc>
          <w:tcPr>
            <w:tcW w:w="575" w:type="pct"/>
            <w:noWrap w:val="0"/>
            <w:vAlign w:val="center"/>
          </w:tcPr>
          <w:p w14:paraId="493BB16F">
            <w:pPr>
              <w:spacing w:line="360" w:lineRule="auto"/>
              <w:ind w:firstLine="120" w:firstLineChars="50"/>
              <w:jc w:val="center"/>
              <w:outlineLvl w:val="0"/>
              <w:rPr>
                <w:rFonts w:hint="eastAsia" w:ascii="宋体" w:hAnsi="宋体" w:eastAsia="宋体" w:cs="宋体"/>
                <w:color w:val="auto"/>
                <w:sz w:val="24"/>
                <w:highlight w:val="none"/>
                <w:lang w:val="en-US" w:eastAsia="zh-CN"/>
              </w:rPr>
            </w:pPr>
          </w:p>
        </w:tc>
        <w:tc>
          <w:tcPr>
            <w:tcW w:w="767" w:type="pct"/>
            <w:noWrap w:val="0"/>
            <w:vAlign w:val="center"/>
          </w:tcPr>
          <w:p w14:paraId="40AC2D80">
            <w:pPr>
              <w:spacing w:line="360" w:lineRule="auto"/>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63670C6E">
      <w:pPr>
        <w:rPr>
          <w:color w:val="auto"/>
          <w:highlight w:val="none"/>
        </w:rPr>
      </w:pPr>
    </w:p>
    <w:p w14:paraId="27407E9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9F5E7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D2D7A33">
      <w:pPr>
        <w:pStyle w:val="131"/>
        <w:spacing w:before="0" w:beforeAutospacing="0" w:afterAutospacing="0"/>
        <w:ind w:firstLine="482"/>
        <w:rPr>
          <w:rFonts w:hint="eastAsia"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E22E6F6">
      <w:pPr>
        <w:pStyle w:val="131"/>
        <w:spacing w:before="0" w:beforeAutospacing="0" w:afterAutospacing="0"/>
        <w:ind w:firstLine="482"/>
        <w:rPr>
          <w:rFonts w:hint="eastAsia" w:ascii="宋体" w:hAnsi="宋体" w:cs="宋体"/>
          <w:color w:val="auto"/>
          <w:kern w:val="0"/>
          <w:szCs w:val="24"/>
          <w:highlight w:val="none"/>
        </w:rPr>
      </w:pPr>
      <w:r>
        <w:rPr>
          <w:rFonts w:hint="eastAsia" w:ascii="宋体" w:hAnsi="宋体" w:cs="宋体"/>
          <w:color w:val="auto"/>
          <w:kern w:val="0"/>
          <w:szCs w:val="24"/>
          <w:highlight w:val="none"/>
        </w:rPr>
        <w:t>特别说明：供应商报价低于</w:t>
      </w:r>
      <w:r>
        <w:rPr>
          <w:rFonts w:hint="eastAsia" w:ascii="宋体" w:hAnsi="宋体" w:cs="宋体"/>
          <w:color w:val="auto"/>
          <w:kern w:val="0"/>
          <w:szCs w:val="24"/>
          <w:highlight w:val="none"/>
          <w:lang w:val="en-US" w:eastAsia="zh-CN"/>
        </w:rPr>
        <w:t>项目最高限价</w:t>
      </w:r>
      <w:r>
        <w:rPr>
          <w:rFonts w:hint="eastAsia" w:ascii="宋体" w:hAnsi="宋体" w:cs="宋体"/>
          <w:color w:val="auto"/>
          <w:kern w:val="0"/>
          <w:szCs w:val="24"/>
          <w:highlight w:val="none"/>
        </w:rPr>
        <w:t>50%的，应当在报价文件中详细阐述不影响产品质量或者诚信履约的具体原因。</w:t>
      </w:r>
    </w:p>
    <w:p w14:paraId="77E5E0AF">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（一）评审中出现下列情形之一的，评审委员会应当启动异常低价投标（响应）审查程序：</w:t>
      </w:r>
    </w:p>
    <w:p w14:paraId="5DAD55C6">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1.投标（响应）报价低于全部通过符合性审查供应商投标（响应）报价平均值50%的，即投标（响应）报价&lt;全部通过符合性审查供应商投标（响应）报价平均值×50%；</w:t>
      </w:r>
    </w:p>
    <w:p w14:paraId="15F04F13">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2.投标（响应）报价低于通过符合性审查的次低报价供应商投标（响应）报价50%的，即投标（响应）报价&lt;通过符合性审查的次低报价供应商投标（响应）报价×50%；</w:t>
      </w:r>
    </w:p>
    <w:p w14:paraId="2B4B2FC0">
      <w:pPr>
        <w:pStyle w:val="131"/>
        <w:spacing w:before="0" w:before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3.投标（响应）报价低于采购项目最高限价45%的，即投标（响应）报价&lt;采购项目最高限价×45%；</w:t>
      </w:r>
    </w:p>
    <w:p w14:paraId="0D5C7427">
      <w:pPr>
        <w:pStyle w:val="131"/>
        <w:spacing w:before="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4.评审委员会基于专业判断，认为供应商报价过低，有可能影响产品质量或者不能诚信履约的其他情形。</w:t>
      </w:r>
    </w:p>
    <w:p w14:paraId="5B1F5FBF">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210292">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8CE9E8">
      <w:pPr>
        <w:pStyle w:val="131"/>
        <w:spacing w:before="0" w:beforeAutospacing="0" w:after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3172140">
      <w:pPr>
        <w:pStyle w:val="131"/>
        <w:spacing w:before="0" w:beforeAutospacing="0"/>
        <w:ind w:firstLine="482"/>
        <w:rPr>
          <w:rFonts w:hint="eastAsia" w:ascii="宋体" w:hAnsi="宋体" w:cs="宋体"/>
          <w:b/>
          <w:bCs/>
          <w:kern w:val="0"/>
          <w:szCs w:val="24"/>
          <w:highlight w:val="none"/>
        </w:rPr>
      </w:pPr>
      <w:r>
        <w:rPr>
          <w:rFonts w:hint="eastAsia" w:ascii="宋体" w:hAnsi="宋体" w:cs="宋体"/>
          <w:b/>
          <w:bCs/>
          <w:kern w:val="0"/>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F1E6DE4">
      <w:pPr>
        <w:pStyle w:val="131"/>
        <w:spacing w:before="0"/>
        <w:ind w:firstLine="480"/>
        <w:rPr>
          <w:rFonts w:ascii="宋体" w:hAnsi="宋体" w:cs="宋体"/>
          <w:color w:val="auto"/>
          <w:kern w:val="0"/>
          <w:szCs w:val="24"/>
          <w:highlight w:val="none"/>
        </w:rPr>
      </w:pPr>
      <w:r>
        <w:rPr>
          <w:rFonts w:hint="eastAsia" w:ascii="宋体" w:hAnsi="宋体" w:cs="宋体"/>
          <w:b/>
          <w:bCs/>
          <w:kern w:val="0"/>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6F6D6C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1人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26"/>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06A045">
      <w:pPr>
        <w:pStyle w:val="26"/>
        <w:snapToGrid w:val="0"/>
        <w:spacing w:line="360" w:lineRule="auto"/>
        <w:ind w:firstLine="0" w:firstLineChars="0"/>
        <w:rPr>
          <w:rFonts w:cs="宋体"/>
          <w:color w:val="auto"/>
          <w:highlight w:val="none"/>
        </w:rPr>
      </w:pPr>
    </w:p>
    <w:bookmarkEnd w:id="27"/>
    <w:p w14:paraId="414513D2">
      <w:pPr>
        <w:spacing w:line="360" w:lineRule="auto"/>
        <w:ind w:left="720" w:leftChars="343" w:firstLine="1084" w:firstLineChars="300"/>
        <w:outlineLvl w:val="0"/>
        <w:rPr>
          <w:rFonts w:ascii="宋体" w:hAnsi="宋体" w:cs="宋体"/>
          <w:b/>
          <w:color w:val="auto"/>
          <w:sz w:val="36"/>
          <w:szCs w:val="36"/>
          <w:highlight w:val="none"/>
        </w:rPr>
      </w:pPr>
      <w:bookmarkStart w:id="393" w:name="第五部分"/>
      <w:bookmarkStart w:id="394" w:name="_Toc86217003"/>
    </w:p>
    <w:p w14:paraId="5F8611A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3436DE59">
      <w:pPr>
        <w:spacing w:line="360" w:lineRule="auto"/>
        <w:ind w:left="720" w:leftChars="343" w:firstLine="1084" w:firstLineChars="300"/>
        <w:outlineLvl w:val="0"/>
        <w:rPr>
          <w:rFonts w:ascii="宋体" w:hAnsi="宋体" w:cs="宋体"/>
          <w:b/>
          <w:color w:val="auto"/>
          <w:sz w:val="36"/>
          <w:szCs w:val="36"/>
          <w:highlight w:val="none"/>
        </w:rPr>
      </w:pPr>
    </w:p>
    <w:p w14:paraId="3B203743">
      <w:pPr>
        <w:pStyle w:val="79"/>
        <w:rPr>
          <w:rFonts w:ascii="宋体" w:hAnsi="宋体" w:cs="宋体"/>
          <w:b/>
          <w:color w:val="auto"/>
          <w:sz w:val="36"/>
          <w:szCs w:val="36"/>
          <w:highlight w:val="none"/>
        </w:rPr>
      </w:pPr>
    </w:p>
    <w:p w14:paraId="06834810">
      <w:pPr>
        <w:pStyle w:val="79"/>
        <w:rPr>
          <w:rFonts w:ascii="宋体" w:hAnsi="宋体" w:cs="宋体"/>
          <w:b/>
          <w:color w:val="auto"/>
          <w:sz w:val="36"/>
          <w:szCs w:val="36"/>
          <w:highlight w:val="none"/>
        </w:rPr>
      </w:pPr>
    </w:p>
    <w:p w14:paraId="112E7C23">
      <w:pPr>
        <w:pStyle w:val="79"/>
        <w:rPr>
          <w:rFonts w:ascii="宋体" w:hAnsi="宋体" w:cs="宋体"/>
          <w:b/>
          <w:color w:val="auto"/>
          <w:sz w:val="36"/>
          <w:szCs w:val="36"/>
          <w:highlight w:val="none"/>
        </w:rPr>
      </w:pPr>
    </w:p>
    <w:p w14:paraId="401E38E8">
      <w:pPr>
        <w:pStyle w:val="79"/>
        <w:rPr>
          <w:rFonts w:ascii="宋体" w:hAnsi="宋体" w:cs="宋体"/>
          <w:b/>
          <w:color w:val="auto"/>
          <w:sz w:val="36"/>
          <w:szCs w:val="36"/>
          <w:highlight w:val="none"/>
        </w:rPr>
      </w:pPr>
    </w:p>
    <w:p w14:paraId="1DE8B4C5">
      <w:pPr>
        <w:pStyle w:val="79"/>
        <w:rPr>
          <w:rFonts w:ascii="宋体" w:hAnsi="宋体" w:cs="宋体"/>
          <w:b/>
          <w:color w:val="auto"/>
          <w:sz w:val="36"/>
          <w:szCs w:val="36"/>
          <w:highlight w:val="none"/>
        </w:rPr>
      </w:pPr>
    </w:p>
    <w:p w14:paraId="7D1EAA31">
      <w:pPr>
        <w:pStyle w:val="79"/>
        <w:rPr>
          <w:rFonts w:ascii="宋体" w:hAnsi="宋体" w:cs="宋体"/>
          <w:b/>
          <w:color w:val="auto"/>
          <w:sz w:val="36"/>
          <w:szCs w:val="36"/>
          <w:highlight w:val="none"/>
        </w:rPr>
      </w:pPr>
    </w:p>
    <w:p w14:paraId="4F5D5FAA">
      <w:pPr>
        <w:pStyle w:val="79"/>
        <w:rPr>
          <w:rFonts w:ascii="宋体" w:hAnsi="宋体" w:cs="宋体"/>
          <w:b/>
          <w:color w:val="auto"/>
          <w:sz w:val="36"/>
          <w:szCs w:val="36"/>
          <w:highlight w:val="none"/>
        </w:rPr>
      </w:pPr>
    </w:p>
    <w:p w14:paraId="3F9F1AF4">
      <w:pPr>
        <w:pStyle w:val="79"/>
        <w:rPr>
          <w:rFonts w:ascii="宋体" w:hAnsi="宋体" w:cs="宋体"/>
          <w:b/>
          <w:color w:val="auto"/>
          <w:sz w:val="36"/>
          <w:szCs w:val="36"/>
          <w:highlight w:val="none"/>
        </w:rPr>
      </w:pPr>
    </w:p>
    <w:p w14:paraId="2771216D">
      <w:pPr>
        <w:pStyle w:val="79"/>
        <w:rPr>
          <w:rFonts w:ascii="宋体" w:hAnsi="宋体" w:cs="宋体"/>
          <w:b/>
          <w:color w:val="auto"/>
          <w:sz w:val="36"/>
          <w:szCs w:val="36"/>
          <w:highlight w:val="none"/>
        </w:rPr>
      </w:pPr>
    </w:p>
    <w:p w14:paraId="0BD022AA">
      <w:pPr>
        <w:pStyle w:val="79"/>
        <w:rPr>
          <w:rFonts w:ascii="宋体" w:hAnsi="宋体" w:cs="宋体"/>
          <w:b/>
          <w:color w:val="auto"/>
          <w:sz w:val="36"/>
          <w:szCs w:val="36"/>
          <w:highlight w:val="none"/>
        </w:rPr>
      </w:pPr>
    </w:p>
    <w:p w14:paraId="33611170">
      <w:pPr>
        <w:pStyle w:val="79"/>
        <w:rPr>
          <w:rFonts w:ascii="宋体" w:hAnsi="宋体" w:cs="宋体"/>
          <w:b/>
          <w:color w:val="auto"/>
          <w:sz w:val="36"/>
          <w:szCs w:val="36"/>
          <w:highlight w:val="none"/>
        </w:rPr>
      </w:pPr>
    </w:p>
    <w:p w14:paraId="56990EB5">
      <w:pPr>
        <w:pStyle w:val="79"/>
        <w:rPr>
          <w:rFonts w:ascii="宋体" w:hAnsi="宋体" w:cs="宋体"/>
          <w:b/>
          <w:color w:val="auto"/>
          <w:sz w:val="36"/>
          <w:szCs w:val="36"/>
          <w:highlight w:val="none"/>
        </w:rPr>
      </w:pPr>
    </w:p>
    <w:p w14:paraId="414CAD37">
      <w:pPr>
        <w:pStyle w:val="79"/>
        <w:rPr>
          <w:rFonts w:ascii="宋体" w:hAnsi="宋体" w:cs="宋体"/>
          <w:b/>
          <w:color w:val="auto"/>
          <w:sz w:val="36"/>
          <w:szCs w:val="36"/>
          <w:highlight w:val="none"/>
        </w:rPr>
      </w:pPr>
    </w:p>
    <w:p w14:paraId="0B479920">
      <w:pPr>
        <w:pStyle w:val="79"/>
        <w:rPr>
          <w:rFonts w:ascii="宋体" w:hAnsi="宋体" w:cs="宋体"/>
          <w:b/>
          <w:color w:val="auto"/>
          <w:sz w:val="36"/>
          <w:szCs w:val="36"/>
          <w:highlight w:val="none"/>
        </w:rPr>
      </w:pPr>
    </w:p>
    <w:p w14:paraId="25573097">
      <w:pPr>
        <w:pStyle w:val="79"/>
        <w:rPr>
          <w:rFonts w:ascii="宋体" w:hAnsi="宋体" w:cs="宋体"/>
          <w:b/>
          <w:color w:val="auto"/>
          <w:sz w:val="36"/>
          <w:szCs w:val="36"/>
          <w:highlight w:val="none"/>
        </w:rPr>
      </w:pPr>
    </w:p>
    <w:p w14:paraId="3A7B10B3">
      <w:pPr>
        <w:pStyle w:val="79"/>
        <w:rPr>
          <w:rFonts w:ascii="宋体" w:hAnsi="宋体" w:cs="宋体"/>
          <w:b/>
          <w:color w:val="auto"/>
          <w:sz w:val="36"/>
          <w:szCs w:val="36"/>
          <w:highlight w:val="none"/>
        </w:rPr>
      </w:pPr>
    </w:p>
    <w:p w14:paraId="345099C5">
      <w:pPr>
        <w:pStyle w:val="79"/>
        <w:rPr>
          <w:rFonts w:ascii="宋体" w:hAnsi="宋体" w:cs="宋体"/>
          <w:b/>
          <w:color w:val="auto"/>
          <w:sz w:val="36"/>
          <w:szCs w:val="36"/>
          <w:highlight w:val="none"/>
        </w:rPr>
      </w:pPr>
    </w:p>
    <w:p w14:paraId="3FCE1339">
      <w:pPr>
        <w:pStyle w:val="79"/>
        <w:rPr>
          <w:rFonts w:ascii="宋体" w:hAnsi="宋体" w:cs="宋体"/>
          <w:b/>
          <w:color w:val="auto"/>
          <w:sz w:val="36"/>
          <w:szCs w:val="36"/>
          <w:highlight w:val="none"/>
        </w:rPr>
      </w:pPr>
    </w:p>
    <w:p w14:paraId="3CEA968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616B6C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合同将由</w:t>
      </w:r>
      <w:r>
        <w:rPr>
          <w:rFonts w:hint="eastAsia" w:ascii="宋体" w:hAnsi="宋体" w:cs="宋体"/>
          <w:color w:val="auto"/>
          <w:sz w:val="24"/>
          <w:highlight w:val="none"/>
          <w:lang w:eastAsia="zh-CN"/>
        </w:rPr>
        <w:t>杭州市公安局钱塘区分局</w:t>
      </w:r>
      <w:r>
        <w:rPr>
          <w:rFonts w:hint="eastAsia" w:ascii="宋体" w:hAnsi="宋体" w:eastAsia="宋体" w:cs="宋体"/>
          <w:color w:val="auto"/>
          <w:sz w:val="24"/>
          <w:highlight w:val="none"/>
        </w:rPr>
        <w:t>（以下简称甲方）与经评审最终确定的项目中标人（以下简称乙方）结合本项目具体情况协商后签订。以下为采购人提出涉及乙方的主要条款，投标人在投标文件中应对其进行确认或拒绝。如投标人在其投标文件中未做拒绝或提出修改要求的，采购人将视作认同。</w:t>
      </w:r>
    </w:p>
    <w:p w14:paraId="4404EFFE">
      <w:pPr>
        <w:pStyle w:val="34"/>
        <w:snapToGrid w:val="0"/>
        <w:spacing w:line="360" w:lineRule="auto"/>
        <w:rPr>
          <w:rFonts w:hint="eastAsia" w:hAnsi="宋体" w:cs="宋体"/>
          <w:color w:val="auto"/>
          <w:sz w:val="24"/>
          <w:szCs w:val="24"/>
          <w:highlight w:val="none"/>
        </w:rPr>
      </w:pPr>
    </w:p>
    <w:p w14:paraId="7F4DD7A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45F9F6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甲方：杭州市公安局钱塘区分局</w:t>
      </w:r>
    </w:p>
    <w:p w14:paraId="106BE6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2CDCF8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甲方对所需的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项目进行公开招标采购，（项目编号：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）。经甲方定标，确定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为中标供应商（乙方）。甲、乙双方根据《中华人民共和国政府采购法》、《中华人民共和国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》在平等自愿的基础上，同意按照下面的条款和条件，签署本合同。</w:t>
      </w:r>
    </w:p>
    <w:p w14:paraId="5A1FB54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定义</w:t>
      </w:r>
    </w:p>
    <w:p w14:paraId="260EC9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合同”</w:t>
      </w:r>
      <w:r>
        <w:rPr>
          <w:rFonts w:hint="eastAsia" w:ascii="宋体" w:hAnsi="宋体" w:eastAsia="宋体" w:cs="宋体"/>
          <w:color w:val="auto"/>
          <w:sz w:val="24"/>
          <w:szCs w:val="24"/>
          <w:highlight w:val="none"/>
        </w:rPr>
        <w:t>即由</w:t>
      </w:r>
      <w:r>
        <w:rPr>
          <w:rFonts w:hint="eastAsia" w:ascii="宋体" w:hAnsi="宋体" w:eastAsia="宋体" w:cs="宋体"/>
          <w:color w:val="auto"/>
          <w:sz w:val="24"/>
          <w:szCs w:val="24"/>
          <w:highlight w:val="none"/>
          <w:lang w:val="zh-CN"/>
        </w:rPr>
        <w:t>甲乙方</w:t>
      </w:r>
      <w:r>
        <w:rPr>
          <w:rFonts w:hint="eastAsia" w:ascii="宋体" w:hAnsi="宋体" w:eastAsia="宋体" w:cs="宋体"/>
          <w:color w:val="auto"/>
          <w:sz w:val="24"/>
          <w:szCs w:val="24"/>
          <w:highlight w:val="none"/>
        </w:rPr>
        <w:t>双方签订的合同格式中的文件，包括所有的附件、附录和组成合同部分的所有其他文件。</w:t>
      </w:r>
    </w:p>
    <w:p w14:paraId="747A8E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、“管理服务” 系指乙方按采购文件、投标文件规定，结合本项目的设施配置及使用性质特点，提出</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服务定位、目标，为甲方提供优质的</w:t>
      </w:r>
      <w:r>
        <w:rPr>
          <w:rFonts w:hint="eastAsia" w:ascii="宋体" w:hAnsi="宋体" w:eastAsia="宋体" w:cs="宋体"/>
          <w:color w:val="auto"/>
          <w:sz w:val="24"/>
          <w:szCs w:val="24"/>
          <w:highlight w:val="none"/>
          <w:lang w:eastAsia="zh-CN"/>
        </w:rPr>
        <w:t>特保管理</w:t>
      </w:r>
      <w:r>
        <w:rPr>
          <w:rFonts w:hint="eastAsia" w:ascii="宋体" w:hAnsi="宋体" w:eastAsia="宋体" w:cs="宋体"/>
          <w:color w:val="auto"/>
          <w:sz w:val="24"/>
          <w:szCs w:val="24"/>
          <w:highlight w:val="none"/>
        </w:rPr>
        <w:t>服务。</w:t>
      </w:r>
    </w:p>
    <w:p w14:paraId="75B9E60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适用范围</w:t>
      </w:r>
    </w:p>
    <w:p w14:paraId="34206F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本合同条款适用与本次采购活动。项目实施范围详见附件——采购文件和投标文件及补充文件、承诺书等。</w:t>
      </w:r>
    </w:p>
    <w:p w14:paraId="300E65C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基本情况</w:t>
      </w:r>
    </w:p>
    <w:p w14:paraId="6D8E5D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t xml:space="preserve"> ___________________________</w:t>
      </w:r>
    </w:p>
    <w:p w14:paraId="1EDAC7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t xml:space="preserve"> ___________________________</w:t>
      </w:r>
    </w:p>
    <w:p w14:paraId="73BE1E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坐落位置：_______________________</w:t>
      </w:r>
    </w:p>
    <w:p w14:paraId="5DF28B6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委托管理事项</w:t>
      </w:r>
    </w:p>
    <w:p w14:paraId="190F8F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列入本次</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服务的范围为：</w:t>
      </w:r>
      <w:r>
        <w:rPr>
          <w:rFonts w:hint="eastAsia" w:ascii="宋体" w:hAnsi="宋体" w:eastAsia="宋体" w:cs="宋体"/>
          <w:color w:val="auto"/>
          <w:sz w:val="24"/>
          <w:szCs w:val="24"/>
          <w:highlight w:val="none"/>
          <w:lang w:eastAsia="zh-CN"/>
        </w:rPr>
        <w:t>按招标文件要求</w:t>
      </w:r>
      <w:r>
        <w:rPr>
          <w:rFonts w:hint="eastAsia" w:ascii="宋体" w:hAnsi="宋体" w:eastAsia="宋体" w:cs="宋体"/>
          <w:color w:val="auto"/>
          <w:sz w:val="24"/>
          <w:szCs w:val="24"/>
          <w:highlight w:val="none"/>
        </w:rPr>
        <w:t>。具体以甲方的要求为准。</w:t>
      </w:r>
    </w:p>
    <w:p w14:paraId="55D1653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合同期限</w:t>
      </w:r>
    </w:p>
    <w:p w14:paraId="5A6FB5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w:t>
      </w:r>
      <w:r>
        <w:rPr>
          <w:rFonts w:hint="eastAsia" w:ascii="宋体" w:hAnsi="宋体" w:cs="宋体"/>
          <w:color w:val="auto"/>
          <w:sz w:val="24"/>
          <w:szCs w:val="24"/>
          <w:highlight w:val="none"/>
          <w:lang w:val="en-US" w:eastAsia="zh-CN"/>
        </w:rPr>
        <w:t>生效之日</w:t>
      </w:r>
      <w:r>
        <w:rPr>
          <w:rFonts w:hint="eastAsia" w:ascii="宋体" w:hAnsi="宋体" w:eastAsia="宋体" w:cs="宋体"/>
          <w:color w:val="auto"/>
          <w:sz w:val="24"/>
          <w:szCs w:val="24"/>
          <w:highlight w:val="none"/>
          <w:lang w:eastAsia="zh-CN"/>
        </w:rPr>
        <w:t>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14:paraId="0AEBF9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特保装备、耗材的使用</w:t>
      </w:r>
    </w:p>
    <w:p w14:paraId="5C4DE4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乙方负责提供特保人员值勤所需的防暑防雨用品、装备（含武装带、手电筒、巡逻包等）、器材、通讯设备、常用办公耗材等；四季制服应按照甲方要求统一式样、标志标识。</w:t>
      </w:r>
    </w:p>
    <w:p w14:paraId="68B6A2D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第七条 </w:t>
      </w:r>
      <w:r>
        <w:rPr>
          <w:rFonts w:hint="eastAsia" w:ascii="宋体" w:hAnsi="宋体" w:eastAsia="宋体" w:cs="宋体"/>
          <w:b/>
          <w:bCs/>
          <w:color w:val="auto"/>
          <w:sz w:val="24"/>
          <w:szCs w:val="24"/>
          <w:highlight w:val="none"/>
          <w:lang w:eastAsia="zh-CN"/>
        </w:rPr>
        <w:t>特保人员管理</w:t>
      </w:r>
      <w:r>
        <w:rPr>
          <w:rFonts w:hint="eastAsia" w:ascii="宋体" w:hAnsi="宋体" w:eastAsia="宋体" w:cs="宋体"/>
          <w:b/>
          <w:bCs/>
          <w:color w:val="auto"/>
          <w:sz w:val="24"/>
          <w:szCs w:val="24"/>
          <w:highlight w:val="none"/>
        </w:rPr>
        <w:t>服务费</w:t>
      </w:r>
    </w:p>
    <w:p w14:paraId="69B88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本合同期内</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服务费为</w:t>
      </w:r>
      <w:r>
        <w:rPr>
          <w:rFonts w:hint="eastAsia" w:ascii="宋体" w:hAnsi="宋体" w:eastAsia="宋体" w:cs="宋体"/>
          <w:color w:val="auto"/>
          <w:sz w:val="24"/>
          <w:szCs w:val="24"/>
          <w:highlight w:val="none"/>
          <w:lang w:val="zh-CN"/>
        </w:rPr>
        <w:t>人民币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（大写）</w:t>
      </w:r>
      <w:r>
        <w:rPr>
          <w:rFonts w:hint="eastAsia" w:ascii="宋体" w:hAnsi="宋体" w:eastAsia="宋体" w:cs="宋体"/>
          <w:color w:val="auto"/>
          <w:sz w:val="24"/>
          <w:szCs w:val="24"/>
          <w:highlight w:val="none"/>
          <w:lang w:val="zh-CN"/>
        </w:rPr>
        <w:t>（小写￥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元）</w:t>
      </w:r>
      <w:r>
        <w:rPr>
          <w:rFonts w:hint="eastAsia" w:ascii="宋体" w:hAnsi="宋体" w:eastAsia="宋体" w:cs="宋体"/>
          <w:color w:val="auto"/>
          <w:sz w:val="24"/>
          <w:szCs w:val="24"/>
          <w:highlight w:val="none"/>
        </w:rPr>
        <w:t>，除本合同明确约定可以另行收取的费用外，所有</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服务费用均包括在内，乙方不得另行向甲方或使用人收取任何费用。</w:t>
      </w:r>
    </w:p>
    <w:p w14:paraId="416469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服务费成本监审：</w:t>
      </w:r>
    </w:p>
    <w:p w14:paraId="577629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乙方承诺，接收甲方主管部门实施的</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服务费成本监审，并遵守以下原则：</w:t>
      </w:r>
    </w:p>
    <w:p w14:paraId="617998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1、合法性原则。计入定价成本的费用符合有关法律、行政法律和国家统一会计制度的规定；</w:t>
      </w:r>
    </w:p>
    <w:p w14:paraId="0C1FD0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2、相关性原则。计入定价成本的费用为与</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服务直接相关或间接相关的费用；</w:t>
      </w:r>
    </w:p>
    <w:p w14:paraId="0E088E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3、对应性原则。计入定价成本的费用与</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服务内及服务标准相对应；</w:t>
      </w:r>
    </w:p>
    <w:p w14:paraId="200958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4、合理性原则。与</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服务定价成本各项费用的主要技术、经济指标均符合行业标准或者社会公允水平。</w:t>
      </w:r>
    </w:p>
    <w:p w14:paraId="3EF5F29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费用结算方式</w:t>
      </w:r>
    </w:p>
    <w:p w14:paraId="6237660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在合同生效以及具备实施条件后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内支付合同价的20%作为预付款（在签订合同时，乙方明确表示无需预付款或者主动要求降低预付款比例的，可不适用前述规定；签订合同时，要求提供预付款的，乙方提交等额预付款保函),后续款项按每季度付款（预付款在季度款中扣回）。</w:t>
      </w:r>
      <w:r>
        <w:rPr>
          <w:rFonts w:hint="eastAsia" w:ascii="宋体" w:hAnsi="宋体" w:cs="宋体"/>
          <w:color w:val="auto"/>
          <w:sz w:val="24"/>
          <w:szCs w:val="24"/>
          <w:highlight w:val="none"/>
          <w:lang w:val="en-US" w:eastAsia="zh-CN"/>
        </w:rPr>
        <w:t>甲方每次付款前，乙方需提供符合要求的发票，否则甲方有权不予付款，且无需承担任何责任。</w:t>
      </w:r>
    </w:p>
    <w:p w14:paraId="7BFBB49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履约保证金</w:t>
      </w:r>
    </w:p>
    <w:p w14:paraId="4453BD49">
      <w:pPr>
        <w:keepNext w:val="0"/>
        <w:keepLines w:val="0"/>
        <w:widowControl w:val="0"/>
        <w:suppressLineNumbers w:val="0"/>
        <w:adjustRightInd w:val="0"/>
        <w:spacing w:before="0" w:beforeAutospacing="0" w:after="0" w:afterAutospacing="0" w:line="360" w:lineRule="auto"/>
        <w:ind w:left="0" w:right="0" w:firstLine="482"/>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eastAsia="zh-CN" w:bidi="ar"/>
        </w:rPr>
        <w:t>1、</w:t>
      </w: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sz w:val="24"/>
          <w:szCs w:val="24"/>
          <w:highlight w:val="none"/>
        </w:rPr>
        <w:t>签订合同后5个工作日内，乙方须向甲方交纳合同总额</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%的履约保证金。以保证乙方遵守本合同的一切条款、条件和承诺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接受乙方以支票、汇票、本票、保函等非现金形式缴纳或提交履约保证金。杭州市政府采购网公布的供应商履约评价为满分的免收履约保证金。</w:t>
      </w:r>
    </w:p>
    <w:p w14:paraId="3525A9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从履约保证金中扣除用于修复乙方损坏甲方的设备、设施、场地或因乙方违约而导致损失的金额和违约金，且乙方应在接到扣除履约保证金通知后一周内补足扣除差额，保证承包期间履约保证金的完整。</w:t>
      </w:r>
    </w:p>
    <w:p w14:paraId="397D15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3、甲方认为乙方在服务期内没有涉及甲方的应付而未付金额或违约行为，甲方在服务期满后或提前终止承包后一个月内全额退还履约保证金，否则，甲方将在扣除乙方应付金额或违约金后退还保证金余额。</w:t>
      </w:r>
    </w:p>
    <w:p w14:paraId="4D6029D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第十条 </w:t>
      </w:r>
      <w:r>
        <w:rPr>
          <w:rFonts w:hint="eastAsia" w:ascii="宋体" w:hAnsi="宋体" w:eastAsia="宋体" w:cs="宋体"/>
          <w:b/>
          <w:bCs/>
          <w:color w:val="auto"/>
          <w:sz w:val="24"/>
          <w:szCs w:val="24"/>
          <w:highlight w:val="none"/>
          <w:lang w:eastAsia="zh-CN"/>
        </w:rPr>
        <w:t>特保人员管理</w:t>
      </w:r>
      <w:r>
        <w:rPr>
          <w:rFonts w:hint="eastAsia" w:ascii="宋体" w:hAnsi="宋体" w:eastAsia="宋体" w:cs="宋体"/>
          <w:b/>
          <w:bCs/>
          <w:color w:val="auto"/>
          <w:sz w:val="24"/>
          <w:szCs w:val="24"/>
          <w:highlight w:val="none"/>
        </w:rPr>
        <w:t>服务质量要求</w:t>
      </w:r>
    </w:p>
    <w:p w14:paraId="0F8929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1、乙方应允许甲方或其授权的人员对</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区域内各项服务质量控制进行检查，有关费用由乙方承担。</w:t>
      </w:r>
    </w:p>
    <w:p w14:paraId="436E17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乙方提供的</w:t>
      </w:r>
      <w:r>
        <w:rPr>
          <w:rFonts w:hint="eastAsia" w:ascii="宋体" w:hAnsi="宋体" w:eastAsia="宋体" w:cs="宋体"/>
          <w:color w:val="auto"/>
          <w:sz w:val="24"/>
          <w:szCs w:val="24"/>
          <w:highlight w:val="none"/>
        </w:rPr>
        <w:t>各项服务，其工作时间必须满足甲方的工作要求，包括星期天及公众假期。如遇特殊情况，甲方可要求乙方调整工作时间直至全天二十四小时工作。</w:t>
      </w:r>
    </w:p>
    <w:p w14:paraId="760330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必须聘请(或指定)一位经理(项目总负责人)，全权代表乙方与甲方保持密切联系并保证承包区域服务工作。根据综合考评或工作情况，甲方有权要求乙方在一个星期内更换经理（项目总负责人）、相关骨干人员。</w:t>
      </w:r>
    </w:p>
    <w:p w14:paraId="49FD52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乙方提供的</w:t>
      </w:r>
      <w:r>
        <w:rPr>
          <w:rFonts w:hint="eastAsia" w:ascii="宋体" w:hAnsi="宋体" w:eastAsia="宋体" w:cs="宋体"/>
          <w:color w:val="auto"/>
          <w:sz w:val="24"/>
          <w:szCs w:val="24"/>
          <w:highlight w:val="none"/>
        </w:rPr>
        <w:t>服务工作配备承诺的人员及人员数量（     人），甲方不定期抽查乙方投入的人员数量，如果抽查时发现乙方投入的人员数量少于合同约定的数量，甲方可以按缺少人数每人1000元/次累计扣除当月合同款。乙方聘用的工作人员必须符合劳动部门有关用工规定，并经乙方相关专业考核合格后持证上岗，甲方有权进行审核，该类费用开支由乙方负担。</w:t>
      </w:r>
    </w:p>
    <w:p w14:paraId="266B2FB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5、其他要求。</w:t>
      </w:r>
      <w:r>
        <w:rPr>
          <w:rFonts w:hint="eastAsia" w:ascii="宋体" w:hAnsi="宋体" w:eastAsia="宋体" w:cs="宋体"/>
          <w:color w:val="auto"/>
          <w:sz w:val="24"/>
          <w:szCs w:val="24"/>
          <w:highlight w:val="none"/>
          <w:u w:val="single"/>
        </w:rPr>
        <w:t xml:space="preserve">                                                                                  </w:t>
      </w:r>
    </w:p>
    <w:p w14:paraId="1090A33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经营制约</w:t>
      </w:r>
    </w:p>
    <w:p w14:paraId="017425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同意，乙方无权在承包区域中从事任何广告活动或类似宣传，甲方有权依照广告法和甲方相关的规定责令乙方限期改正，并接受处罚；但甲方在该区域发布的广告宣传保证不致影响乙方的正常工作；</w:t>
      </w:r>
    </w:p>
    <w:p w14:paraId="2A04EE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2、乙方不得以甲方的名义从事任何经济活动，且由此发生的一切债权、债务与甲方无关</w:t>
      </w:r>
      <w:r>
        <w:rPr>
          <w:rFonts w:hint="default" w:ascii="宋体" w:hAnsi="宋体" w:cs="宋体"/>
          <w:color w:val="auto"/>
          <w:sz w:val="24"/>
          <w:szCs w:val="24"/>
          <w:highlight w:val="none"/>
        </w:rPr>
        <w:t>；</w:t>
      </w:r>
      <w:r>
        <w:rPr>
          <w:rFonts w:hint="eastAsia" w:ascii="宋体" w:hAnsi="宋体" w:eastAsia="宋体" w:cs="宋体"/>
          <w:color w:val="auto"/>
          <w:sz w:val="24"/>
          <w:highlight w:val="none"/>
          <w:lang w:val="en-US" w:eastAsia="zh-Hans"/>
        </w:rPr>
        <w:t>因此造成甲方损失的</w:t>
      </w:r>
      <w:r>
        <w:rPr>
          <w:rFonts w:hint="eastAsia" w:ascii="宋体" w:hAnsi="宋体" w:eastAsia="宋体" w:cs="宋体"/>
          <w:color w:val="auto"/>
          <w:sz w:val="24"/>
          <w:highlight w:val="none"/>
          <w:lang w:eastAsia="zh-Hans"/>
        </w:rPr>
        <w:t>，</w:t>
      </w:r>
      <w:r>
        <w:rPr>
          <w:rFonts w:hint="eastAsia" w:ascii="宋体" w:hAnsi="宋体" w:eastAsia="宋体" w:cs="宋体"/>
          <w:color w:val="auto"/>
          <w:sz w:val="24"/>
          <w:highlight w:val="none"/>
          <w:lang w:val="en-US" w:eastAsia="zh-Hans"/>
        </w:rPr>
        <w:t>乙方需全额赔偿</w:t>
      </w:r>
      <w:r>
        <w:rPr>
          <w:rFonts w:hint="eastAsia" w:ascii="宋体" w:hAnsi="宋体" w:eastAsia="宋体" w:cs="宋体"/>
          <w:color w:val="auto"/>
          <w:sz w:val="24"/>
          <w:szCs w:val="24"/>
          <w:highlight w:val="none"/>
        </w:rPr>
        <w:t>。</w:t>
      </w:r>
    </w:p>
    <w:p w14:paraId="68E54F5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乙方对甲方作出如下承诺</w:t>
      </w:r>
    </w:p>
    <w:p w14:paraId="761DD8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合同实施</w:t>
      </w:r>
      <w:r>
        <w:rPr>
          <w:rFonts w:hint="eastAsia" w:ascii="宋体" w:hAnsi="宋体" w:eastAsia="宋体" w:cs="宋体"/>
          <w:color w:val="auto"/>
          <w:sz w:val="24"/>
          <w:szCs w:val="24"/>
          <w:highlight w:val="none"/>
        </w:rPr>
        <w:t>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14:paraId="64824B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、乙方工作人员上岗穿着由甲方确认的制服及甲方许可的装饰物品，费用和制作均由乙方负担。</w:t>
      </w:r>
    </w:p>
    <w:p w14:paraId="498532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、乙方必须出具或办妥法律及甲方规定的与经营业务有关的执照和许可证，方可从事经营并在经营中遵守一切有关条例和规定。自行缴纳有关税、费。</w:t>
      </w:r>
    </w:p>
    <w:p w14:paraId="29D1FF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、乙方必须确保为甲方提供优质、高效的专业服务，并根据甲方要求改变不满意的服务状况。接受有关部门监督与检查。同时，乙方自觉参加甲方认为有助提高甲方形象的宣传活动。</w:t>
      </w:r>
    </w:p>
    <w:p w14:paraId="563FDD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、禁止事项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乙方不得以任何理由向甲方工作人员支付小费或赠送实物，违者</w:t>
      </w:r>
      <w:r>
        <w:rPr>
          <w:rFonts w:hint="eastAsia" w:ascii="宋体" w:hAnsi="宋体" w:cs="宋体"/>
          <w:color w:val="auto"/>
          <w:sz w:val="24"/>
          <w:szCs w:val="24"/>
          <w:highlight w:val="none"/>
          <w:lang w:val="en-US" w:eastAsia="zh-Hans"/>
        </w:rPr>
        <w:t>甲方</w:t>
      </w:r>
      <w:r>
        <w:rPr>
          <w:rFonts w:hint="eastAsia" w:ascii="宋体" w:hAnsi="宋体" w:eastAsia="宋体" w:cs="宋体"/>
          <w:color w:val="auto"/>
          <w:sz w:val="24"/>
          <w:szCs w:val="24"/>
          <w:highlight w:val="none"/>
        </w:rPr>
        <w:t>将</w:t>
      </w:r>
      <w:r>
        <w:rPr>
          <w:rFonts w:hint="eastAsia" w:ascii="宋体" w:hAnsi="宋体" w:cs="宋体"/>
          <w:color w:val="auto"/>
          <w:sz w:val="24"/>
          <w:szCs w:val="24"/>
          <w:highlight w:val="none"/>
          <w:lang w:val="en-US" w:eastAsia="zh-Hans"/>
        </w:rPr>
        <w:t>有权立即单方</w:t>
      </w:r>
      <w:r>
        <w:rPr>
          <w:rFonts w:hint="eastAsia" w:ascii="宋体" w:hAnsi="宋体" w:eastAsia="宋体" w:cs="宋体"/>
          <w:color w:val="auto"/>
          <w:sz w:val="24"/>
          <w:szCs w:val="24"/>
          <w:highlight w:val="none"/>
        </w:rPr>
        <w:t>终止合同。乙方人员也不得以任何形式向行政大楼内相关人员索取小费或钱物等。</w:t>
      </w:r>
    </w:p>
    <w:p w14:paraId="19EFDF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、保险</w:t>
      </w:r>
    </w:p>
    <w:p w14:paraId="1BDF4F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.1第三者责任保险</w:t>
      </w:r>
    </w:p>
    <w:p w14:paraId="30D175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乙方应对乙方人员以及第三方全权负责(如乙方应投保第三</w:t>
      </w:r>
      <w:r>
        <w:rPr>
          <w:rFonts w:hint="eastAsia" w:ascii="宋体" w:hAnsi="宋体" w:cs="宋体"/>
          <w:color w:val="auto"/>
          <w:sz w:val="24"/>
          <w:szCs w:val="24"/>
          <w:highlight w:val="none"/>
          <w:lang w:val="en-US" w:eastAsia="zh-CN"/>
        </w:rPr>
        <w:t>者</w:t>
      </w:r>
      <w:r>
        <w:rPr>
          <w:rFonts w:hint="eastAsia" w:ascii="宋体" w:hAnsi="宋体" w:eastAsia="宋体" w:cs="宋体"/>
          <w:color w:val="auto"/>
          <w:sz w:val="24"/>
          <w:szCs w:val="24"/>
          <w:highlight w:val="none"/>
        </w:rPr>
        <w:t>责任险)，在乙方的责任区内由于乙方原因导致自己员工或第三方的事故由乙方负责，甲方不承担任何责任。</w:t>
      </w:r>
    </w:p>
    <w:p w14:paraId="1D2FEF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.2员工人身意外</w:t>
      </w:r>
    </w:p>
    <w:p w14:paraId="0C4B9B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在承包期内，乙方所有人员的事故由乙方自行全权负责(如乙方应对其员工投保人身意外险)，以保证甲方在乙方工作人员索赔时不受任何责任的约束。</w:t>
      </w:r>
    </w:p>
    <w:p w14:paraId="1209AA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.3其他保险及费用</w:t>
      </w:r>
    </w:p>
    <w:p w14:paraId="6E4D0E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乙方须按《劳动合同法》和政府有关各部门规定为全体服务人员交纳所有相关的社会保险、加班工资及其他相关费用。乙方对此全权负责。</w:t>
      </w:r>
    </w:p>
    <w:p w14:paraId="23A9C6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、乙方及其员工遵守行政大楼内的一切行政管理、消防安全等规定和制度，保证承包区域的消防设施能正常使用，消防通道畅通，同时承担违规责任。</w:t>
      </w:r>
    </w:p>
    <w:p w14:paraId="1FE04D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、遇突发事件或安全检查时，乙方必须配合有关部门执行任务，并指定专职人员协助工作，直至完成。</w:t>
      </w:r>
    </w:p>
    <w:p w14:paraId="4D704E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、乙方保证在承包期满当天下午五时前撤离现场。</w:t>
      </w:r>
    </w:p>
    <w:p w14:paraId="5856A2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、乙方须积极配合甲方对其进行的特保服务综合考评。</w:t>
      </w:r>
    </w:p>
    <w:p w14:paraId="64DFD5A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 甲方对乙方作出如下承诺</w:t>
      </w:r>
    </w:p>
    <w:p w14:paraId="0079C6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1、甲方在职权范围内保证乙方的正常经营不受干扰。</w:t>
      </w:r>
    </w:p>
    <w:p w14:paraId="2DF73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2、保证乙方的员工按规定正常进入承包区域开展服务工作。</w:t>
      </w:r>
    </w:p>
    <w:p w14:paraId="63DA0AF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双方约定的其他内容</w:t>
      </w:r>
    </w:p>
    <w:p w14:paraId="798A6E7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42C7FC29">
      <w:pPr>
        <w:numPr>
          <w:ilvl w:val="0"/>
          <w:numId w:val="1"/>
        </w:num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验收</w:t>
      </w:r>
    </w:p>
    <w:p w14:paraId="65EA786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1、采购人按照采购合同规定的技术、服务、标准以及中标人的投标文件、本项目采购文件等要求，组织对供应商履约情况进行验收，并出具验收合格书。</w:t>
      </w:r>
    </w:p>
    <w:p w14:paraId="0F7F5E8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2、验收流程根据政府采购相关规定执行。</w:t>
      </w:r>
    </w:p>
    <w:p w14:paraId="2E094FD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3、验收标准:根据采购需求、投标文件方案以及合同等进行验收。本项目考察以下内容:</w:t>
      </w:r>
    </w:p>
    <w:p w14:paraId="5CDBBA37">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①项目时间进度是否按要求开展。验收时，审核乙方项目流程相关记录，以及采购人对中标人时间响应的总结意见。</w:t>
      </w:r>
    </w:p>
    <w:p w14:paraId="378215D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②项目团队是否按要求配备。验收时，提供中标单位实际项目人员清单，应与投标文件的内容一致。如项目人员中途有变更的，应同时提供乙方的变更申请，以及采购人对变更的答复意见。</w:t>
      </w:r>
    </w:p>
    <w:p w14:paraId="677B9B0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③委派内容及成果是否全部完成。是否达到采购文件要求及投标文件的响应情况。验收时，提供中标人台账记录、结案报告，详细记载并说明项目开展过程中的工作内容、工作目标及达成情况。</w:t>
      </w:r>
    </w:p>
    <w:p w14:paraId="78847E57">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4、项目开展过程中的规范性。提供付款流程相关记录，对合同其他条款未违反的相关说明。如合同履行过程中，中标单位有违约行为的，应记录违约内容，采购人的认定说明，违约扣款的金额及相关记录等。</w:t>
      </w:r>
      <w:r>
        <w:rPr>
          <w:rFonts w:hint="eastAsia" w:ascii="宋体" w:hAnsi="宋体" w:eastAsia="宋体" w:cs="宋体"/>
          <w:color w:val="auto"/>
          <w:sz w:val="24"/>
          <w:szCs w:val="24"/>
          <w:highlight w:val="none"/>
        </w:rPr>
        <w:t xml:space="preserve">                                                                       </w:t>
      </w:r>
    </w:p>
    <w:p w14:paraId="2DF520D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 合同生效和终止</w:t>
      </w:r>
    </w:p>
    <w:p w14:paraId="1DAE58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1、本合同经甲乙双方法定代表人或其委托人签字盖章</w:t>
      </w:r>
      <w:r>
        <w:rPr>
          <w:rFonts w:hint="eastAsia" w:ascii="宋体" w:hAnsi="宋体" w:eastAsia="宋体" w:cs="宋体"/>
          <w:color w:val="auto"/>
          <w:sz w:val="24"/>
          <w:szCs w:val="24"/>
          <w:highlight w:val="none"/>
          <w:lang w:val="zh-CN"/>
        </w:rPr>
        <w:t>后生效</w:t>
      </w:r>
      <w:r>
        <w:rPr>
          <w:rFonts w:hint="eastAsia" w:ascii="宋体" w:hAnsi="宋体" w:eastAsia="宋体" w:cs="宋体"/>
          <w:color w:val="auto"/>
          <w:sz w:val="24"/>
          <w:szCs w:val="24"/>
          <w:highlight w:val="none"/>
        </w:rPr>
        <w:t>。</w:t>
      </w:r>
    </w:p>
    <w:p w14:paraId="5F6770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2、终止</w:t>
      </w:r>
    </w:p>
    <w:p w14:paraId="69DCA5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2.1提前终止</w:t>
      </w:r>
    </w:p>
    <w:p w14:paraId="4FEA7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因乙方在服务期内超过两次</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服务综合考评未达标，甲方可以单方面终止承包，且乙方须支付给甲方月度服务款二倍金额的赔偿金。</w:t>
      </w:r>
    </w:p>
    <w:p w14:paraId="56D6F2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如甲方发现乙方出现转让、抵押承包等情况，甲方可以单方面终止承包，且乙方须支付给甲方月度服务款二倍金额的赔偿金。</w:t>
      </w:r>
    </w:p>
    <w:p w14:paraId="052AEF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乙方在服务期内无理由终止合同，乙方须提前三个月向甲方发出书面通知终止承包，乙方须支付给甲方月度服务款二倍金额的赔偿金；如果乙方在服务期内突然无理由终止合同，未提前三个月向甲方发出书面通知终止承包，乙方须支付给甲方月度服务款三倍金额的赔偿金。</w:t>
      </w:r>
    </w:p>
    <w:p w14:paraId="0B743E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如果乙方在服务期内由于乙方原因造成重大责任事故或安全事故，甲方可以单方面终止合同，且乙方须赔偿给甲方造成的经济损失，并须支付给甲方月度服务款五倍金额的赔偿金。</w:t>
      </w:r>
    </w:p>
    <w:p w14:paraId="3A7B4D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提前终止合同早于月底最后一天，应视为月底最后一天期满，此条适用于上述2.1.1、2.1.2、2.1.3、2.1.4</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条。</w:t>
      </w:r>
    </w:p>
    <w:p w14:paraId="159741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乙方未能履行合同和遵守有关规定，在甲方发出书面警告后一周内乙方仍无采取补救措施，甲方可立即终止承包</w:t>
      </w:r>
      <w:r>
        <w:rPr>
          <w:rFonts w:hint="default" w:ascii="宋体" w:hAnsi="宋体" w:cs="宋体"/>
          <w:color w:val="auto"/>
          <w:sz w:val="24"/>
          <w:szCs w:val="24"/>
          <w:highlight w:val="none"/>
        </w:rPr>
        <w:t>，</w:t>
      </w:r>
      <w:r>
        <w:rPr>
          <w:rFonts w:hint="eastAsia" w:ascii="宋体" w:hAnsi="宋体" w:cs="宋体"/>
          <w:color w:val="auto"/>
          <w:sz w:val="24"/>
          <w:szCs w:val="24"/>
          <w:highlight w:val="none"/>
          <w:lang w:val="en-US" w:eastAsia="zh-Hans"/>
        </w:rPr>
        <w:t>乙方需向甲方支付月度服务款</w:t>
      </w:r>
      <w:r>
        <w:rPr>
          <w:rFonts w:hint="eastAsia" w:ascii="宋体" w:hAnsi="宋体" w:cs="宋体"/>
          <w:color w:val="auto"/>
          <w:sz w:val="24"/>
          <w:szCs w:val="24"/>
          <w:highlight w:val="none"/>
          <w:u w:val="single"/>
          <w:lang w:val="en-US" w:eastAsia="zh-CN"/>
        </w:rPr>
        <w:t xml:space="preserve">2 </w:t>
      </w:r>
      <w:r>
        <w:rPr>
          <w:rFonts w:hint="eastAsia" w:ascii="宋体" w:hAnsi="宋体" w:cs="宋体"/>
          <w:color w:val="auto"/>
          <w:sz w:val="24"/>
          <w:szCs w:val="24"/>
          <w:highlight w:val="none"/>
          <w:lang w:val="en-US" w:eastAsia="zh-Hans"/>
        </w:rPr>
        <w:t>倍金额的赔偿金</w:t>
      </w:r>
      <w:r>
        <w:rPr>
          <w:rFonts w:hint="eastAsia" w:ascii="宋体" w:hAnsi="宋体" w:eastAsia="宋体" w:cs="宋体"/>
          <w:color w:val="auto"/>
          <w:sz w:val="24"/>
          <w:szCs w:val="24"/>
          <w:highlight w:val="none"/>
        </w:rPr>
        <w:t>。</w:t>
      </w:r>
    </w:p>
    <w:p w14:paraId="2F538320">
      <w:pPr>
        <w:pStyle w:val="79"/>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2.1.7 乙方破产清算、重组及兼并等事实发生，或被债权人接管经营，甲方不必通知乙方即可单方终止本合同。</w:t>
      </w:r>
    </w:p>
    <w:p w14:paraId="522018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协议终止</w:t>
      </w:r>
    </w:p>
    <w:p w14:paraId="17B063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协商同意，可在任何时候终止。</w:t>
      </w:r>
    </w:p>
    <w:p w14:paraId="10C443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自然终止</w:t>
      </w:r>
    </w:p>
    <w:p w14:paraId="5277BF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合同规定的服务期满，合同自然终止。</w:t>
      </w:r>
    </w:p>
    <w:p w14:paraId="525DDC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3、终止后果</w:t>
      </w:r>
    </w:p>
    <w:p w14:paraId="37105E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3.1终止合同，不影响根据合同规定进行的赔偿、补偿，也不影响履约保证金的效力。</w:t>
      </w:r>
    </w:p>
    <w:p w14:paraId="6B5E0E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3.2合同终止时，双方应进行结算，甲方同时进行乙方承包区域设施、设备状况检查并要求乙方三天内将乙方物品撤离，否则视为乙方放弃遗留物品的所有权，甲方将代理处理，乙方支付甲方代理</w:t>
      </w:r>
      <w:r>
        <w:rPr>
          <w:rFonts w:hint="eastAsia" w:ascii="宋体" w:hAnsi="宋体" w:cs="宋体"/>
          <w:color w:val="auto"/>
          <w:sz w:val="24"/>
          <w:szCs w:val="24"/>
          <w:highlight w:val="none"/>
          <w:lang w:val="en-US" w:eastAsia="zh-Hans"/>
        </w:rPr>
        <w:t>产生的全部</w:t>
      </w:r>
      <w:r>
        <w:rPr>
          <w:rFonts w:hint="eastAsia" w:ascii="宋体" w:hAnsi="宋体" w:eastAsia="宋体" w:cs="宋体"/>
          <w:color w:val="auto"/>
          <w:sz w:val="24"/>
          <w:szCs w:val="24"/>
          <w:highlight w:val="none"/>
        </w:rPr>
        <w:t>费</w:t>
      </w:r>
      <w:r>
        <w:rPr>
          <w:rFonts w:hint="eastAsia" w:ascii="宋体" w:hAnsi="宋体" w:cs="宋体"/>
          <w:color w:val="auto"/>
          <w:sz w:val="24"/>
          <w:szCs w:val="24"/>
          <w:highlight w:val="none"/>
          <w:lang w:val="en-US" w:eastAsia="zh-Hans"/>
        </w:rPr>
        <w:t>用</w:t>
      </w:r>
      <w:r>
        <w:rPr>
          <w:rFonts w:hint="eastAsia" w:ascii="宋体" w:hAnsi="宋体" w:eastAsia="宋体" w:cs="宋体"/>
          <w:color w:val="auto"/>
          <w:sz w:val="24"/>
          <w:szCs w:val="24"/>
          <w:highlight w:val="none"/>
        </w:rPr>
        <w:t>。</w:t>
      </w:r>
    </w:p>
    <w:p w14:paraId="5399A5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4、不放弃权利</w:t>
      </w:r>
    </w:p>
    <w:p w14:paraId="2F52FC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甲方接受乙方的服务，但不放弃对乙方违约行为进行追究的权利；同时，若甲方对乙方某一违约行为放弃进行追究的权利，但不放弃对乙方其他违约行为进行追究的权利。</w:t>
      </w:r>
    </w:p>
    <w:p w14:paraId="1D92D88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 双方权利义务</w:t>
      </w:r>
    </w:p>
    <w:p w14:paraId="0086A9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1、甲方权利义务</w:t>
      </w:r>
    </w:p>
    <w:p w14:paraId="243D2B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（1）代表和维护产权人、使用人的合法权益；</w:t>
      </w:r>
    </w:p>
    <w:p w14:paraId="784443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（2）审定乙方拟定的</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制度；</w:t>
      </w:r>
    </w:p>
    <w:p w14:paraId="551997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（3）检查监督乙方管理工作的实施及制度的执行情况；</w:t>
      </w:r>
    </w:p>
    <w:p w14:paraId="131B3B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（4）审定乙方提出的</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管理服务年度计划、财务预算及决算；</w:t>
      </w:r>
    </w:p>
    <w:p w14:paraId="552A30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（5）负责收集、整理</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管理所需全部图纸、档案、资料，根据管理需要向乙方提供房屋相关资料和设备、设施的安装、使用和维护保养技术资料；</w:t>
      </w:r>
    </w:p>
    <w:p w14:paraId="6CDCC6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（6）按期支付</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服务费用；</w:t>
      </w:r>
    </w:p>
    <w:p w14:paraId="47A015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（7）在不可预见的情况下，如发生煤气泄漏、漏电、火灾、救助人命、协助公安机关执行任务等突发事件的，甲方应积极配合乙方采取必要的紧急避险措施。</w:t>
      </w:r>
    </w:p>
    <w:p w14:paraId="0673C6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（8）甲方监督乙方依照本合同规定内容所进行的管理和服务活动，组织对乙方工作综合考评，如出现乙方管理不善造成甲方重大经济损失的情况，甲方有权终止合同并要求乙方给予赔偿。</w:t>
      </w:r>
    </w:p>
    <w:p w14:paraId="7687A7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2、乙方权利义务</w:t>
      </w:r>
    </w:p>
    <w:p w14:paraId="05F257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（1）根据有关法律法规、投标文件及本合同的约定，制订物业管理制度、方案，根据甲方核定的物业管理制度、方案自主开展物业日常管理服务活动；</w:t>
      </w:r>
    </w:p>
    <w:p w14:paraId="61AB52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（2）按甲方要求及时如实向甲方报告</w:t>
      </w:r>
      <w:r>
        <w:rPr>
          <w:rFonts w:hint="eastAsia" w:ascii="宋体" w:hAnsi="宋体" w:eastAsia="宋体" w:cs="宋体"/>
          <w:color w:val="auto"/>
          <w:sz w:val="24"/>
          <w:szCs w:val="24"/>
          <w:highlight w:val="none"/>
          <w:lang w:eastAsia="zh-CN"/>
        </w:rPr>
        <w:t>特保人员管理</w:t>
      </w:r>
      <w:r>
        <w:rPr>
          <w:rFonts w:hint="eastAsia" w:ascii="宋体" w:hAnsi="宋体" w:eastAsia="宋体" w:cs="宋体"/>
          <w:color w:val="auto"/>
          <w:sz w:val="24"/>
          <w:szCs w:val="24"/>
          <w:highlight w:val="none"/>
        </w:rPr>
        <w:t>服务实施情况；</w:t>
      </w:r>
    </w:p>
    <w:p w14:paraId="0824B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（3）征得甲方</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同意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可选聘专营公司承担本物业的专项管理业务，但不得将本物业的管理责任转让给第三方；</w:t>
      </w:r>
    </w:p>
    <w:p w14:paraId="22B501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（4）负责编制年度计划、方案，经双方议定后由乙方组织实施；</w:t>
      </w:r>
    </w:p>
    <w:p w14:paraId="0242F6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（5）向甲方工作人员和其他使用人告知物业使用的有关规定，并负责监督；</w:t>
      </w:r>
    </w:p>
    <w:p w14:paraId="50E60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（6）建立、妥善保管和正确使用本物业相关的管理档案，并负责及时记载有关变更情况；</w:t>
      </w:r>
    </w:p>
    <w:p w14:paraId="76B884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（7）对本物业的公用设施不得擅自占用和改变使用功能；</w:t>
      </w:r>
    </w:p>
    <w:p w14:paraId="4B3D21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（8）因乙方在管理中的过错或违反本合同的约定进行管理造成甲方或第三人损失的，乙方应依法承担赔偿责任；</w:t>
      </w:r>
    </w:p>
    <w:p w14:paraId="412619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（9）乙方自行承担办公桌、电脑、打印机、文件柜等自身使用的办公用品，自行承担所有人员服装费用，但服装样式需经过甲方</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认可，办公、生活用水、电、通讯费用由乙方自行承担。</w:t>
      </w:r>
    </w:p>
    <w:p w14:paraId="5A6AE9D7">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（10）本合同终止时，乙方须向甲方移交全部管理用房及物业管理的全部档案资料。</w:t>
      </w:r>
    </w:p>
    <w:p w14:paraId="164F8DF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乙方的人员配置</w:t>
      </w:r>
    </w:p>
    <w:p w14:paraId="7C9A54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1、乙方的人员配置</w:t>
      </w:r>
    </w:p>
    <w:p w14:paraId="568BD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1.1乙方的项目总负责人             ，身份证号码：                     </w:t>
      </w:r>
    </w:p>
    <w:p w14:paraId="3B491B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1.2乙方必须采取措施，确保乙方人员稳定，特别是骨干人员。骨干人员变动须经甲方</w:t>
      </w:r>
      <w:r>
        <w:rPr>
          <w:rFonts w:hint="eastAsia" w:ascii="宋体" w:hAnsi="宋体" w:cs="宋体"/>
          <w:color w:val="auto"/>
          <w:sz w:val="24"/>
          <w:szCs w:val="24"/>
          <w:highlight w:val="none"/>
          <w:lang w:val="en-US" w:eastAsia="zh-CN"/>
        </w:rPr>
        <w:t>书面</w:t>
      </w:r>
      <w:r>
        <w:rPr>
          <w:rFonts w:hint="eastAsia" w:ascii="宋体" w:hAnsi="宋体" w:eastAsia="宋体" w:cs="宋体"/>
          <w:color w:val="auto"/>
          <w:sz w:val="24"/>
          <w:szCs w:val="24"/>
          <w:highlight w:val="none"/>
        </w:rPr>
        <w:t>同意，其他人员变动须甲方备案。</w:t>
      </w:r>
    </w:p>
    <w:p w14:paraId="07C206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1.3乙方项目总负责人及部门负责人须及时与甲方沟通，第一时间报告重大、紧急事件；每月须向甲方汇报上月工作情况，并提供相关报告。</w:t>
      </w:r>
    </w:p>
    <w:p w14:paraId="0C28B99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2、人员要求：</w:t>
      </w:r>
      <w:r>
        <w:rPr>
          <w:rFonts w:hint="eastAsia" w:ascii="宋体" w:hAnsi="宋体" w:eastAsia="宋体" w:cs="宋体"/>
          <w:color w:val="auto"/>
          <w:sz w:val="24"/>
          <w:szCs w:val="24"/>
          <w:highlight w:val="none"/>
          <w:lang w:eastAsia="zh-CN"/>
        </w:rPr>
        <w:t>详见招投标文件。</w:t>
      </w:r>
    </w:p>
    <w:p w14:paraId="53B1257D">
      <w:pPr>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val="zh-CN"/>
        </w:rPr>
        <w:t>争议处理</w:t>
      </w:r>
    </w:p>
    <w:p w14:paraId="636A47C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甲方所在地</w:t>
      </w:r>
      <w:r>
        <w:rPr>
          <w:rFonts w:hint="eastAsia" w:ascii="宋体" w:hAnsi="宋体" w:eastAsia="宋体" w:cs="宋体"/>
          <w:color w:val="auto"/>
          <w:sz w:val="24"/>
          <w:szCs w:val="24"/>
          <w:highlight w:val="none"/>
        </w:rPr>
        <w:t>人民法院起诉。</w:t>
      </w:r>
      <w:r>
        <w:rPr>
          <w:rFonts w:hint="eastAsia" w:ascii="宋体" w:hAnsi="宋体" w:cs="宋体"/>
          <w:color w:val="auto"/>
          <w:sz w:val="24"/>
          <w:szCs w:val="24"/>
          <w:highlight w:val="none"/>
          <w:lang w:val="en-US" w:eastAsia="zh-CN"/>
        </w:rPr>
        <w:t>违约方需承担守约方因主张权利而产生的律师费、诉讼费、保全费等全部费用。</w:t>
      </w:r>
    </w:p>
    <w:p w14:paraId="703EB9DF">
      <w:pPr>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二十</w:t>
      </w:r>
      <w:r>
        <w:rPr>
          <w:rFonts w:hint="eastAsia" w:ascii="宋体" w:hAnsi="宋体" w:eastAsia="宋体" w:cs="宋体"/>
          <w:b/>
          <w:bCs/>
          <w:color w:val="auto"/>
          <w:sz w:val="24"/>
          <w:szCs w:val="24"/>
          <w:highlight w:val="none"/>
        </w:rPr>
        <w:t xml:space="preserve">条 </w:t>
      </w:r>
      <w:r>
        <w:rPr>
          <w:rFonts w:hint="eastAsia" w:ascii="宋体" w:hAnsi="宋体" w:eastAsia="宋体" w:cs="宋体"/>
          <w:b/>
          <w:bCs/>
          <w:color w:val="auto"/>
          <w:sz w:val="24"/>
          <w:szCs w:val="24"/>
          <w:highlight w:val="none"/>
          <w:lang w:val="zh-CN"/>
        </w:rPr>
        <w:t>其他</w:t>
      </w:r>
    </w:p>
    <w:p w14:paraId="30325FD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未经过甲方的书面同意，乙方不得转让其应履行的合同项下的义务，和将部分合同项下的义务分包给其他单位完成。</w:t>
      </w:r>
    </w:p>
    <w:p w14:paraId="5C3F96A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乙方不得参与可能与合同规定的与甲方的利益相冲突的任何活动。</w:t>
      </w:r>
    </w:p>
    <w:p w14:paraId="7794ED12">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乙方人员在甲方场地工作时，应遵守甲方相关规章、制度。</w:t>
      </w:r>
    </w:p>
    <w:p w14:paraId="2B71A43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4、本合同任何一方给另一方的通知，都应以书面或电传/传真/电报的形式发送，而另一方应以书面形式确认并发送到对方明确的地址。</w:t>
      </w:r>
      <w:r>
        <w:rPr>
          <w:rFonts w:hint="eastAsia" w:ascii="宋体" w:hAnsi="宋体" w:cs="宋体"/>
          <w:color w:val="auto"/>
          <w:sz w:val="24"/>
          <w:szCs w:val="24"/>
          <w:highlight w:val="none"/>
          <w:lang w:val="en-US" w:eastAsia="zh-CN"/>
        </w:rPr>
        <w:t>如一方联系方式发生变更的，需及时书面通知对方；否则，按照合同约定的方式发送的文书等在发出之日起即视为送达给对方。因此造成的损失，由违约方自行承担。</w:t>
      </w:r>
    </w:p>
    <w:p w14:paraId="016805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5、合同履行期内甲乙双方均不得随意变更或解除合同。合同若有未尽事宜，需经双方共同协商，订立补充协议，补充协议与本合同有同等法律效力。</w:t>
      </w:r>
    </w:p>
    <w:p w14:paraId="4AF427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6、采购文件、投标文件及评标过程中形成的文字资料、询标纪要均作为本合同的组成部分，具有同等效力。</w:t>
      </w:r>
    </w:p>
    <w:p w14:paraId="518F1F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7、本合同一式肆份，</w:t>
      </w:r>
      <w:r>
        <w:rPr>
          <w:rFonts w:hint="eastAsia" w:ascii="宋体" w:hAnsi="宋体" w:cs="宋体"/>
          <w:color w:val="auto"/>
          <w:sz w:val="24"/>
          <w:szCs w:val="24"/>
          <w:highlight w:val="none"/>
          <w:lang w:val="en-US" w:eastAsia="zh-Hans"/>
        </w:rPr>
        <w:t>自双方签字盖章之日起生效</w:t>
      </w:r>
      <w:r>
        <w:rPr>
          <w:rFonts w:hint="default" w:ascii="宋体" w:hAnsi="宋体" w:cs="宋体"/>
          <w:color w:val="auto"/>
          <w:sz w:val="24"/>
          <w:szCs w:val="24"/>
          <w:highlight w:val="none"/>
          <w:lang w:eastAsia="zh-Hans"/>
        </w:rPr>
        <w:t>，</w:t>
      </w:r>
      <w:r>
        <w:rPr>
          <w:rFonts w:hint="eastAsia" w:ascii="宋体" w:hAnsi="宋体" w:eastAsia="宋体" w:cs="宋体"/>
          <w:color w:val="auto"/>
          <w:sz w:val="24"/>
          <w:szCs w:val="24"/>
          <w:highlight w:val="none"/>
        </w:rPr>
        <w:t>甲、乙双方各执贰份</w:t>
      </w:r>
      <w:r>
        <w:rPr>
          <w:rFonts w:hint="default" w:ascii="宋体" w:hAnsi="宋体" w:cs="宋体"/>
          <w:color w:val="auto"/>
          <w:sz w:val="24"/>
          <w:szCs w:val="24"/>
          <w:highlight w:val="none"/>
        </w:rPr>
        <w:t>，</w:t>
      </w:r>
      <w:r>
        <w:rPr>
          <w:rFonts w:hint="eastAsia" w:ascii="宋体" w:hAnsi="宋体" w:cs="宋体"/>
          <w:color w:val="auto"/>
          <w:sz w:val="24"/>
          <w:szCs w:val="24"/>
          <w:highlight w:val="none"/>
          <w:lang w:val="en-US" w:eastAsia="zh-Hans"/>
        </w:rPr>
        <w:t>具有同等法律效力</w:t>
      </w:r>
      <w:r>
        <w:rPr>
          <w:rFonts w:hint="eastAsia" w:ascii="宋体" w:hAnsi="宋体" w:eastAsia="宋体" w:cs="宋体"/>
          <w:color w:val="auto"/>
          <w:sz w:val="24"/>
          <w:szCs w:val="24"/>
          <w:highlight w:val="none"/>
        </w:rPr>
        <w:t>。</w:t>
      </w:r>
    </w:p>
    <w:p w14:paraId="29208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8、适用法律：本合同应按照中华人民共和国的法律进行解释。</w:t>
      </w:r>
    </w:p>
    <w:p w14:paraId="0311C1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乙方（盖章）：        </w:t>
      </w:r>
    </w:p>
    <w:p w14:paraId="2430E05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法定代表人或受委托人（签字）：            法定代表人或受委托人（签字）：                   </w:t>
      </w:r>
    </w:p>
    <w:p w14:paraId="4A3BA04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2194A33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地址： </w:t>
      </w:r>
    </w:p>
    <w:p w14:paraId="12653EE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电话和传真：                              电话传真：</w:t>
      </w:r>
    </w:p>
    <w:p w14:paraId="5CDC40C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297669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帐号：                                    帐号：                                                                     </w:t>
      </w:r>
    </w:p>
    <w:p w14:paraId="7D0CF571">
      <w:pPr>
        <w:snapToGrid w:val="0"/>
        <w:spacing w:line="360" w:lineRule="auto"/>
        <w:ind w:right="19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签约地点：</w:t>
      </w:r>
    </w:p>
    <w:p w14:paraId="5C7C0D8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cs="宋体"/>
          <w:b/>
          <w:color w:val="auto"/>
          <w:sz w:val="36"/>
          <w:szCs w:val="20"/>
          <w:highlight w:val="none"/>
        </w:rPr>
      </w:pPr>
      <w:r>
        <w:rPr>
          <w:rFonts w:hint="eastAsia" w:ascii="宋体" w:hAnsi="宋体" w:eastAsia="宋体" w:cs="宋体"/>
          <w:color w:val="auto"/>
          <w:sz w:val="24"/>
          <w:szCs w:val="24"/>
          <w:highlight w:val="none"/>
        </w:rPr>
        <w:t>签约日期：202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   月    日</w:t>
      </w:r>
    </w:p>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sz w:val="24"/>
          <w:highlight w:val="none"/>
        </w:rPr>
        <w:t>：</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sz w:val="24"/>
          <w:highlight w:val="none"/>
        </w:rPr>
        <w:t>：</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5" w:name="_Hlk101257010"/>
      <w:r>
        <w:rPr>
          <w:rFonts w:hint="eastAsia" w:ascii="宋体" w:hAnsi="宋体" w:cs="宋体"/>
          <w:color w:val="auto"/>
          <w:sz w:val="24"/>
          <w:highlight w:val="none"/>
        </w:rPr>
        <w:t>（如果有)</w:t>
      </w:r>
      <w:bookmarkEnd w:id="395"/>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0D909715">
      <w:pPr>
        <w:pStyle w:val="79"/>
        <w:rPr>
          <w:rFonts w:ascii="宋体" w:hAnsi="宋体" w:cs="宋体"/>
          <w:b/>
          <w:color w:val="auto"/>
          <w:kern w:val="0"/>
          <w:sz w:val="32"/>
          <w:szCs w:val="32"/>
          <w:highlight w:val="none"/>
        </w:rPr>
      </w:pPr>
    </w:p>
    <w:p w14:paraId="6164E304">
      <w:pPr>
        <w:pStyle w:val="79"/>
        <w:rPr>
          <w:rFonts w:ascii="宋体" w:hAnsi="宋体" w:cs="宋体"/>
          <w:b/>
          <w:color w:val="auto"/>
          <w:kern w:val="0"/>
          <w:sz w:val="32"/>
          <w:szCs w:val="32"/>
          <w:highlight w:val="none"/>
        </w:rPr>
      </w:pPr>
    </w:p>
    <w:p w14:paraId="5F135506">
      <w:pPr>
        <w:pStyle w:val="79"/>
        <w:rPr>
          <w:rFonts w:ascii="宋体" w:hAnsi="宋体" w:cs="宋体"/>
          <w:b/>
          <w:color w:val="auto"/>
          <w:kern w:val="0"/>
          <w:sz w:val="32"/>
          <w:szCs w:val="32"/>
          <w:highlight w:val="none"/>
        </w:rPr>
      </w:pPr>
    </w:p>
    <w:p w14:paraId="32CC7A45">
      <w:pPr>
        <w:pStyle w:val="79"/>
        <w:rPr>
          <w:rFonts w:ascii="宋体" w:hAnsi="宋体" w:cs="宋体"/>
          <w:b/>
          <w:color w:val="auto"/>
          <w:kern w:val="0"/>
          <w:sz w:val="32"/>
          <w:szCs w:val="32"/>
          <w:highlight w:val="none"/>
        </w:rPr>
      </w:pPr>
    </w:p>
    <w:p w14:paraId="6E6110A7">
      <w:pPr>
        <w:pStyle w:val="79"/>
        <w:rPr>
          <w:rFonts w:ascii="宋体" w:hAnsi="宋体" w:cs="宋体"/>
          <w:b/>
          <w:color w:val="auto"/>
          <w:kern w:val="0"/>
          <w:sz w:val="32"/>
          <w:szCs w:val="32"/>
          <w:highlight w:val="none"/>
        </w:rPr>
      </w:pPr>
    </w:p>
    <w:p w14:paraId="60D6B513">
      <w:pPr>
        <w:pStyle w:val="79"/>
        <w:rPr>
          <w:rFonts w:ascii="宋体" w:hAnsi="宋体" w:cs="宋体"/>
          <w:b/>
          <w:color w:val="auto"/>
          <w:kern w:val="0"/>
          <w:sz w:val="32"/>
          <w:szCs w:val="32"/>
          <w:highlight w:val="none"/>
        </w:rPr>
      </w:pPr>
    </w:p>
    <w:p w14:paraId="45C3CFAD">
      <w:pPr>
        <w:pStyle w:val="79"/>
        <w:rPr>
          <w:rFonts w:ascii="宋体" w:hAnsi="宋体" w:cs="宋体"/>
          <w:b/>
          <w:color w:val="auto"/>
          <w:kern w:val="0"/>
          <w:sz w:val="32"/>
          <w:szCs w:val="32"/>
          <w:highlight w:val="none"/>
        </w:rPr>
      </w:pPr>
    </w:p>
    <w:p w14:paraId="3BA89FA3">
      <w:pPr>
        <w:pStyle w:val="79"/>
        <w:rPr>
          <w:rFonts w:ascii="宋体" w:hAnsi="宋体" w:cs="宋体"/>
          <w:b/>
          <w:color w:val="auto"/>
          <w:kern w:val="0"/>
          <w:sz w:val="32"/>
          <w:szCs w:val="32"/>
          <w:highlight w:val="none"/>
        </w:rPr>
      </w:pPr>
    </w:p>
    <w:p w14:paraId="4435A295">
      <w:pPr>
        <w:jc w:val="center"/>
        <w:rPr>
          <w:rFonts w:ascii="宋体" w:hAnsi="宋体" w:cs="宋体"/>
          <w:b/>
          <w:color w:val="auto"/>
          <w:kern w:val="0"/>
          <w:sz w:val="32"/>
          <w:szCs w:val="32"/>
          <w:highlight w:val="none"/>
        </w:rPr>
      </w:pPr>
    </w:p>
    <w:p w14:paraId="09EA2B9B">
      <w:pPr>
        <w:jc w:val="center"/>
        <w:rPr>
          <w:rFonts w:ascii="宋体" w:hAnsi="宋体" w:cs="宋体"/>
          <w:b/>
          <w:color w:val="auto"/>
          <w:kern w:val="0"/>
          <w:sz w:val="32"/>
          <w:szCs w:val="32"/>
          <w:highlight w:val="none"/>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C1280D">
      <w:pPr>
        <w:autoSpaceDE w:val="0"/>
        <w:autoSpaceDN w:val="0"/>
        <w:spacing w:line="360" w:lineRule="auto"/>
        <w:jc w:val="center"/>
        <w:rPr>
          <w:rFonts w:ascii="宋体" w:hAnsi="宋体" w:cs="宋体"/>
          <w:b/>
          <w:color w:val="auto"/>
          <w:kern w:val="0"/>
          <w:sz w:val="32"/>
          <w:szCs w:val="32"/>
          <w:highlight w:val="none"/>
          <w:lang w:val="zh-CN"/>
        </w:rPr>
      </w:pPr>
    </w:p>
    <w:p w14:paraId="08DB9EF6">
      <w:pPr>
        <w:autoSpaceDE w:val="0"/>
        <w:autoSpaceDN w:val="0"/>
        <w:spacing w:line="360" w:lineRule="auto"/>
        <w:jc w:val="center"/>
        <w:rPr>
          <w:rFonts w:hint="eastAsia"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149"/>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803F886">
      <w:pPr>
        <w:jc w:val="center"/>
        <w:rPr>
          <w:rFonts w:ascii="宋体" w:hAnsi="宋体" w:cs="宋体"/>
          <w:b/>
          <w:color w:val="auto"/>
          <w:kern w:val="0"/>
          <w:sz w:val="32"/>
          <w:szCs w:val="32"/>
          <w:highlight w:val="none"/>
        </w:rPr>
      </w:pPr>
    </w:p>
    <w:p w14:paraId="35CD2C34">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EE4E76">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07766F4D">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jc w:val="center"/>
        <w:rPr>
          <w:rFonts w:ascii="宋体" w:hAnsi="宋体" w:cs="宋体"/>
          <w:b/>
          <w:color w:val="auto"/>
          <w:kern w:val="0"/>
          <w:sz w:val="32"/>
          <w:szCs w:val="32"/>
          <w:highlight w:val="none"/>
        </w:rPr>
      </w:pPr>
    </w:p>
    <w:p w14:paraId="0979F18A">
      <w:pPr>
        <w:pStyle w:val="79"/>
        <w:rPr>
          <w:rFonts w:ascii="宋体" w:hAnsi="宋体" w:cs="宋体"/>
          <w:b/>
          <w:color w:val="auto"/>
          <w:kern w:val="0"/>
          <w:sz w:val="32"/>
          <w:szCs w:val="32"/>
          <w:highlight w:val="none"/>
        </w:rPr>
      </w:pPr>
    </w:p>
    <w:p w14:paraId="2E2E43B9">
      <w:pPr>
        <w:pStyle w:val="79"/>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spacing w:line="360" w:lineRule="auto"/>
        <w:jc w:val="center"/>
        <w:outlineLvl w:val="0"/>
        <w:rPr>
          <w:rFonts w:ascii="宋体" w:hAnsi="宋体" w:cs="宋体"/>
          <w:b/>
          <w:color w:val="auto"/>
          <w:kern w:val="0"/>
          <w:sz w:val="36"/>
          <w:szCs w:val="36"/>
          <w:highlight w:val="none"/>
        </w:rPr>
      </w:pPr>
    </w:p>
    <w:p w14:paraId="48200F11">
      <w:pPr>
        <w:numPr>
          <w:ilvl w:val="0"/>
          <w:numId w:val="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374C50A">
      <w:pPr>
        <w:pStyle w:val="80"/>
        <w:rPr>
          <w:rFonts w:hint="eastAsia"/>
          <w:color w:val="auto"/>
          <w:highlight w:val="none"/>
        </w:rPr>
      </w:pPr>
    </w:p>
    <w:p w14:paraId="4DA9F2CD">
      <w:pPr>
        <w:pStyle w:val="80"/>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B9D21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杭州市公安局钱塘区分局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浙江勋达工程咨询有限公司</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2C1B10E">
            <w:pPr>
              <w:spacing w:line="360" w:lineRule="auto"/>
              <w:jc w:val="center"/>
              <w:rPr>
                <w:rFonts w:ascii="宋体" w:hAnsi="宋体" w:cs="宋体"/>
                <w:b/>
                <w:color w:val="auto"/>
                <w:sz w:val="24"/>
                <w:highlight w:val="none"/>
              </w:rPr>
            </w:pPr>
          </w:p>
          <w:p w14:paraId="38848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7653D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5B12D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1336C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6EDFF947">
            <w:pPr>
              <w:spacing w:line="360" w:lineRule="auto"/>
              <w:jc w:val="center"/>
              <w:rPr>
                <w:rFonts w:ascii="宋体" w:hAnsi="宋体" w:cs="宋体"/>
                <w:b/>
                <w:color w:val="auto"/>
                <w:sz w:val="24"/>
                <w:highlight w:val="none"/>
              </w:rPr>
            </w:pPr>
          </w:p>
          <w:p w14:paraId="5722E1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309C7D3">
            <w:pPr>
              <w:spacing w:line="360" w:lineRule="auto"/>
              <w:jc w:val="center"/>
              <w:rPr>
                <w:rFonts w:ascii="宋体" w:hAnsi="宋体" w:cs="宋体"/>
                <w:b/>
                <w:color w:val="auto"/>
                <w:sz w:val="24"/>
                <w:highlight w:val="none"/>
              </w:rPr>
            </w:pPr>
          </w:p>
          <w:p w14:paraId="285D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A3951D7">
            <w:pPr>
              <w:spacing w:line="360" w:lineRule="auto"/>
              <w:jc w:val="center"/>
              <w:rPr>
                <w:rFonts w:ascii="宋体" w:hAnsi="宋体" w:cs="宋体"/>
                <w:b/>
                <w:color w:val="auto"/>
                <w:sz w:val="24"/>
                <w:highlight w:val="none"/>
              </w:rPr>
            </w:pP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38CE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29EB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E6B6B80">
            <w:pPr>
              <w:snapToGrid w:val="0"/>
              <w:spacing w:line="360" w:lineRule="auto"/>
              <w:jc w:val="center"/>
              <w:rPr>
                <w:rFonts w:ascii="宋体" w:hAnsi="宋体" w:cs="宋体"/>
                <w:color w:val="auto"/>
                <w:sz w:val="24"/>
                <w:highlight w:val="none"/>
              </w:rPr>
            </w:pPr>
          </w:p>
        </w:tc>
        <w:tc>
          <w:tcPr>
            <w:tcW w:w="2410" w:type="dxa"/>
            <w:vAlign w:val="center"/>
          </w:tcPr>
          <w:p w14:paraId="49011045">
            <w:pPr>
              <w:snapToGrid w:val="0"/>
              <w:spacing w:line="360" w:lineRule="auto"/>
              <w:jc w:val="center"/>
              <w:rPr>
                <w:rFonts w:ascii="宋体" w:hAnsi="宋体" w:cs="宋体"/>
                <w:color w:val="auto"/>
                <w:sz w:val="24"/>
                <w:highlight w:val="none"/>
              </w:rPr>
            </w:pPr>
          </w:p>
        </w:tc>
        <w:tc>
          <w:tcPr>
            <w:tcW w:w="2268" w:type="dxa"/>
            <w:vAlign w:val="center"/>
          </w:tcPr>
          <w:p w14:paraId="07DD5525">
            <w:pPr>
              <w:snapToGrid w:val="0"/>
              <w:spacing w:line="360" w:lineRule="auto"/>
              <w:jc w:val="center"/>
              <w:rPr>
                <w:rFonts w:ascii="宋体" w:hAnsi="宋体" w:cs="宋体"/>
                <w:color w:val="auto"/>
                <w:sz w:val="24"/>
                <w:highlight w:val="none"/>
              </w:rPr>
            </w:pPr>
          </w:p>
        </w:tc>
        <w:tc>
          <w:tcPr>
            <w:tcW w:w="2126" w:type="dxa"/>
            <w:vAlign w:val="center"/>
          </w:tcPr>
          <w:p w14:paraId="60BB9C9F">
            <w:pPr>
              <w:spacing w:line="360" w:lineRule="auto"/>
              <w:jc w:val="center"/>
              <w:rPr>
                <w:rFonts w:ascii="宋体" w:hAnsi="宋体" w:cs="宋体"/>
                <w:color w:val="auto"/>
                <w:sz w:val="24"/>
                <w:highlight w:val="none"/>
              </w:rPr>
            </w:pPr>
          </w:p>
        </w:tc>
        <w:tc>
          <w:tcPr>
            <w:tcW w:w="2127" w:type="dxa"/>
          </w:tcPr>
          <w:p w14:paraId="30C10E6C">
            <w:pPr>
              <w:spacing w:line="360" w:lineRule="auto"/>
              <w:jc w:val="center"/>
              <w:rPr>
                <w:rFonts w:ascii="宋体" w:hAnsi="宋体" w:cs="宋体"/>
                <w:color w:val="auto"/>
                <w:sz w:val="24"/>
                <w:highlight w:val="none"/>
              </w:rPr>
            </w:pPr>
          </w:p>
        </w:tc>
        <w:tc>
          <w:tcPr>
            <w:tcW w:w="2126"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5316B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6DA92F8">
            <w:pPr>
              <w:snapToGrid w:val="0"/>
              <w:spacing w:line="360" w:lineRule="auto"/>
              <w:jc w:val="center"/>
              <w:rPr>
                <w:rFonts w:ascii="宋体" w:hAnsi="宋体" w:cs="宋体"/>
                <w:color w:val="auto"/>
                <w:sz w:val="24"/>
                <w:highlight w:val="none"/>
              </w:rPr>
            </w:pPr>
          </w:p>
        </w:tc>
        <w:tc>
          <w:tcPr>
            <w:tcW w:w="2410" w:type="dxa"/>
            <w:vAlign w:val="center"/>
          </w:tcPr>
          <w:p w14:paraId="7715326D">
            <w:pPr>
              <w:snapToGrid w:val="0"/>
              <w:spacing w:line="360" w:lineRule="auto"/>
              <w:jc w:val="center"/>
              <w:rPr>
                <w:rFonts w:ascii="宋体" w:hAnsi="宋体" w:cs="宋体"/>
                <w:color w:val="auto"/>
                <w:sz w:val="24"/>
                <w:highlight w:val="none"/>
              </w:rPr>
            </w:pPr>
          </w:p>
        </w:tc>
        <w:tc>
          <w:tcPr>
            <w:tcW w:w="2268" w:type="dxa"/>
            <w:vAlign w:val="center"/>
          </w:tcPr>
          <w:p w14:paraId="29502B17">
            <w:pPr>
              <w:snapToGrid w:val="0"/>
              <w:spacing w:line="360" w:lineRule="auto"/>
              <w:jc w:val="center"/>
              <w:rPr>
                <w:rFonts w:ascii="宋体" w:hAnsi="宋体" w:cs="宋体"/>
                <w:color w:val="auto"/>
                <w:sz w:val="24"/>
                <w:highlight w:val="none"/>
              </w:rPr>
            </w:pPr>
          </w:p>
        </w:tc>
        <w:tc>
          <w:tcPr>
            <w:tcW w:w="2126" w:type="dxa"/>
            <w:vAlign w:val="center"/>
          </w:tcPr>
          <w:p w14:paraId="645CF258">
            <w:pPr>
              <w:spacing w:line="360" w:lineRule="auto"/>
              <w:jc w:val="center"/>
              <w:rPr>
                <w:rFonts w:ascii="宋体" w:hAnsi="宋体" w:cs="宋体"/>
                <w:color w:val="auto"/>
                <w:sz w:val="24"/>
                <w:highlight w:val="none"/>
              </w:rPr>
            </w:pPr>
          </w:p>
        </w:tc>
        <w:tc>
          <w:tcPr>
            <w:tcW w:w="2127" w:type="dxa"/>
          </w:tcPr>
          <w:p w14:paraId="48B749E5">
            <w:pPr>
              <w:spacing w:line="360" w:lineRule="auto"/>
              <w:jc w:val="center"/>
              <w:rPr>
                <w:rFonts w:ascii="宋体" w:hAnsi="宋体" w:cs="宋体"/>
                <w:color w:val="auto"/>
                <w:sz w:val="24"/>
                <w:highlight w:val="none"/>
              </w:rPr>
            </w:pPr>
          </w:p>
        </w:tc>
        <w:tc>
          <w:tcPr>
            <w:tcW w:w="2126" w:type="dxa"/>
            <w:vAlign w:val="center"/>
          </w:tcPr>
          <w:p w14:paraId="305D7009">
            <w:pPr>
              <w:spacing w:line="360" w:lineRule="auto"/>
              <w:jc w:val="center"/>
              <w:rPr>
                <w:rFonts w:ascii="宋体" w:hAnsi="宋体" w:cs="宋体"/>
                <w:color w:val="auto"/>
                <w:sz w:val="24"/>
                <w:highlight w:val="none"/>
              </w:rPr>
            </w:pPr>
          </w:p>
        </w:tc>
      </w:tr>
      <w:tr w14:paraId="31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B957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DE29410">
            <w:pPr>
              <w:snapToGrid w:val="0"/>
              <w:spacing w:line="360" w:lineRule="auto"/>
              <w:jc w:val="center"/>
              <w:rPr>
                <w:rFonts w:ascii="宋体" w:hAnsi="宋体" w:cs="宋体"/>
                <w:color w:val="auto"/>
                <w:sz w:val="24"/>
                <w:highlight w:val="none"/>
              </w:rPr>
            </w:pPr>
          </w:p>
        </w:tc>
        <w:tc>
          <w:tcPr>
            <w:tcW w:w="2268" w:type="dxa"/>
            <w:vAlign w:val="center"/>
          </w:tcPr>
          <w:p w14:paraId="4A4855F7">
            <w:pPr>
              <w:snapToGrid w:val="0"/>
              <w:spacing w:line="360" w:lineRule="auto"/>
              <w:jc w:val="center"/>
              <w:rPr>
                <w:rFonts w:ascii="宋体" w:hAnsi="宋体" w:cs="宋体"/>
                <w:color w:val="auto"/>
                <w:sz w:val="24"/>
                <w:highlight w:val="none"/>
              </w:rPr>
            </w:pPr>
          </w:p>
        </w:tc>
        <w:tc>
          <w:tcPr>
            <w:tcW w:w="2410" w:type="dxa"/>
            <w:vAlign w:val="center"/>
          </w:tcPr>
          <w:p w14:paraId="5F6A4004">
            <w:pPr>
              <w:snapToGrid w:val="0"/>
              <w:spacing w:line="360" w:lineRule="auto"/>
              <w:jc w:val="center"/>
              <w:rPr>
                <w:rFonts w:ascii="宋体" w:hAnsi="宋体" w:cs="宋体"/>
                <w:color w:val="auto"/>
                <w:sz w:val="24"/>
                <w:highlight w:val="none"/>
              </w:rPr>
            </w:pPr>
          </w:p>
        </w:tc>
        <w:tc>
          <w:tcPr>
            <w:tcW w:w="2268" w:type="dxa"/>
            <w:vAlign w:val="center"/>
          </w:tcPr>
          <w:p w14:paraId="091382D4">
            <w:pPr>
              <w:snapToGrid w:val="0"/>
              <w:spacing w:line="360" w:lineRule="auto"/>
              <w:jc w:val="center"/>
              <w:rPr>
                <w:rFonts w:ascii="宋体" w:hAnsi="宋体" w:cs="宋体"/>
                <w:color w:val="auto"/>
                <w:sz w:val="24"/>
                <w:highlight w:val="none"/>
              </w:rPr>
            </w:pPr>
          </w:p>
        </w:tc>
        <w:tc>
          <w:tcPr>
            <w:tcW w:w="2126" w:type="dxa"/>
            <w:vAlign w:val="center"/>
          </w:tcPr>
          <w:p w14:paraId="468CB7AF">
            <w:pPr>
              <w:spacing w:line="360" w:lineRule="auto"/>
              <w:jc w:val="center"/>
              <w:rPr>
                <w:rFonts w:ascii="宋体" w:hAnsi="宋体" w:cs="宋体"/>
                <w:color w:val="auto"/>
                <w:sz w:val="24"/>
                <w:highlight w:val="none"/>
              </w:rPr>
            </w:pPr>
          </w:p>
        </w:tc>
        <w:tc>
          <w:tcPr>
            <w:tcW w:w="2127" w:type="dxa"/>
          </w:tcPr>
          <w:p w14:paraId="6FD9540F">
            <w:pPr>
              <w:spacing w:line="360" w:lineRule="auto"/>
              <w:jc w:val="center"/>
              <w:rPr>
                <w:rFonts w:ascii="宋体" w:hAnsi="宋体" w:cs="宋体"/>
                <w:color w:val="auto"/>
                <w:sz w:val="24"/>
                <w:highlight w:val="none"/>
              </w:rPr>
            </w:pPr>
          </w:p>
        </w:tc>
        <w:tc>
          <w:tcPr>
            <w:tcW w:w="2126" w:type="dxa"/>
            <w:vAlign w:val="center"/>
          </w:tcPr>
          <w:p w14:paraId="04869F17">
            <w:pPr>
              <w:spacing w:line="360" w:lineRule="auto"/>
              <w:jc w:val="center"/>
              <w:rPr>
                <w:rFonts w:ascii="宋体" w:hAnsi="宋体" w:cs="宋体"/>
                <w:color w:val="auto"/>
                <w:sz w:val="24"/>
                <w:highlight w:val="none"/>
              </w:rPr>
            </w:pPr>
          </w:p>
        </w:tc>
      </w:tr>
      <w:tr w14:paraId="7F2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799C29">
            <w:pPr>
              <w:spacing w:line="360" w:lineRule="auto"/>
              <w:jc w:val="center"/>
              <w:rPr>
                <w:rFonts w:ascii="宋体" w:hAnsi="宋体" w:cs="宋体"/>
                <w:color w:val="auto"/>
                <w:sz w:val="24"/>
                <w:highlight w:val="none"/>
              </w:rPr>
            </w:pPr>
          </w:p>
        </w:tc>
        <w:tc>
          <w:tcPr>
            <w:tcW w:w="992" w:type="dxa"/>
            <w:vAlign w:val="center"/>
          </w:tcPr>
          <w:p w14:paraId="2D6CCF36">
            <w:pPr>
              <w:snapToGrid w:val="0"/>
              <w:spacing w:line="360" w:lineRule="auto"/>
              <w:jc w:val="center"/>
              <w:rPr>
                <w:rFonts w:ascii="宋体" w:hAnsi="宋体" w:cs="宋体"/>
                <w:color w:val="auto"/>
                <w:sz w:val="24"/>
                <w:highlight w:val="none"/>
              </w:rPr>
            </w:pPr>
          </w:p>
        </w:tc>
        <w:tc>
          <w:tcPr>
            <w:tcW w:w="2268" w:type="dxa"/>
            <w:vAlign w:val="center"/>
          </w:tcPr>
          <w:p w14:paraId="22BB5A5A">
            <w:pPr>
              <w:snapToGrid w:val="0"/>
              <w:spacing w:line="360" w:lineRule="auto"/>
              <w:jc w:val="center"/>
              <w:rPr>
                <w:rFonts w:ascii="宋体" w:hAnsi="宋体" w:cs="宋体"/>
                <w:color w:val="auto"/>
                <w:sz w:val="24"/>
                <w:highlight w:val="none"/>
              </w:rPr>
            </w:pPr>
          </w:p>
        </w:tc>
        <w:tc>
          <w:tcPr>
            <w:tcW w:w="2410" w:type="dxa"/>
            <w:vAlign w:val="center"/>
          </w:tcPr>
          <w:p w14:paraId="1C20810C">
            <w:pPr>
              <w:snapToGrid w:val="0"/>
              <w:spacing w:line="360" w:lineRule="auto"/>
              <w:jc w:val="center"/>
              <w:rPr>
                <w:rFonts w:ascii="宋体" w:hAnsi="宋体" w:cs="宋体"/>
                <w:color w:val="auto"/>
                <w:sz w:val="24"/>
                <w:highlight w:val="none"/>
              </w:rPr>
            </w:pPr>
          </w:p>
        </w:tc>
        <w:tc>
          <w:tcPr>
            <w:tcW w:w="2268" w:type="dxa"/>
            <w:vAlign w:val="center"/>
          </w:tcPr>
          <w:p w14:paraId="311DCC2B">
            <w:pPr>
              <w:snapToGrid w:val="0"/>
              <w:spacing w:line="360" w:lineRule="auto"/>
              <w:jc w:val="center"/>
              <w:rPr>
                <w:rFonts w:ascii="宋体" w:hAnsi="宋体" w:cs="宋体"/>
                <w:color w:val="auto"/>
                <w:sz w:val="24"/>
                <w:highlight w:val="none"/>
              </w:rPr>
            </w:pPr>
          </w:p>
        </w:tc>
        <w:tc>
          <w:tcPr>
            <w:tcW w:w="2126" w:type="dxa"/>
            <w:vAlign w:val="center"/>
          </w:tcPr>
          <w:p w14:paraId="590FDDBE">
            <w:pPr>
              <w:spacing w:line="360" w:lineRule="auto"/>
              <w:jc w:val="center"/>
              <w:rPr>
                <w:rFonts w:ascii="宋体" w:hAnsi="宋体" w:cs="宋体"/>
                <w:color w:val="auto"/>
                <w:sz w:val="24"/>
                <w:highlight w:val="none"/>
              </w:rPr>
            </w:pPr>
          </w:p>
        </w:tc>
        <w:tc>
          <w:tcPr>
            <w:tcW w:w="2127" w:type="dxa"/>
          </w:tcPr>
          <w:p w14:paraId="39E087B2">
            <w:pPr>
              <w:spacing w:line="360" w:lineRule="auto"/>
              <w:jc w:val="center"/>
              <w:rPr>
                <w:rFonts w:ascii="宋体" w:hAnsi="宋体" w:cs="宋体"/>
                <w:color w:val="auto"/>
                <w:sz w:val="24"/>
                <w:highlight w:val="none"/>
              </w:rPr>
            </w:pPr>
          </w:p>
        </w:tc>
        <w:tc>
          <w:tcPr>
            <w:tcW w:w="2126" w:type="dxa"/>
            <w:vAlign w:val="center"/>
          </w:tcPr>
          <w:p w14:paraId="242DF449">
            <w:pPr>
              <w:spacing w:line="360" w:lineRule="auto"/>
              <w:jc w:val="center"/>
              <w:rPr>
                <w:rFonts w:ascii="宋体" w:hAnsi="宋体" w:cs="宋体"/>
                <w:color w:val="auto"/>
                <w:sz w:val="24"/>
                <w:highlight w:val="none"/>
              </w:rPr>
            </w:pPr>
          </w:p>
        </w:tc>
      </w:tr>
      <w:tr w14:paraId="6B8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6EB228">
            <w:pPr>
              <w:spacing w:line="360" w:lineRule="auto"/>
              <w:jc w:val="center"/>
              <w:rPr>
                <w:rFonts w:ascii="宋体" w:hAnsi="宋体" w:cs="宋体"/>
                <w:color w:val="auto"/>
                <w:sz w:val="24"/>
                <w:highlight w:val="none"/>
              </w:rPr>
            </w:pPr>
          </w:p>
        </w:tc>
        <w:tc>
          <w:tcPr>
            <w:tcW w:w="992" w:type="dxa"/>
            <w:vAlign w:val="center"/>
          </w:tcPr>
          <w:p w14:paraId="57BF3FD0">
            <w:pPr>
              <w:snapToGrid w:val="0"/>
              <w:spacing w:line="360" w:lineRule="auto"/>
              <w:jc w:val="center"/>
              <w:rPr>
                <w:rFonts w:ascii="宋体" w:hAnsi="宋体" w:cs="宋体"/>
                <w:color w:val="auto"/>
                <w:sz w:val="24"/>
                <w:highlight w:val="none"/>
              </w:rPr>
            </w:pPr>
          </w:p>
        </w:tc>
        <w:tc>
          <w:tcPr>
            <w:tcW w:w="2268" w:type="dxa"/>
            <w:vAlign w:val="center"/>
          </w:tcPr>
          <w:p w14:paraId="2572B551">
            <w:pPr>
              <w:snapToGrid w:val="0"/>
              <w:spacing w:line="360" w:lineRule="auto"/>
              <w:jc w:val="center"/>
              <w:rPr>
                <w:rFonts w:ascii="宋体" w:hAnsi="宋体" w:cs="宋体"/>
                <w:color w:val="auto"/>
                <w:sz w:val="24"/>
                <w:highlight w:val="none"/>
              </w:rPr>
            </w:pPr>
          </w:p>
        </w:tc>
        <w:tc>
          <w:tcPr>
            <w:tcW w:w="2410" w:type="dxa"/>
            <w:vAlign w:val="center"/>
          </w:tcPr>
          <w:p w14:paraId="41F25B34">
            <w:pPr>
              <w:snapToGrid w:val="0"/>
              <w:spacing w:line="360" w:lineRule="auto"/>
              <w:jc w:val="center"/>
              <w:rPr>
                <w:rFonts w:ascii="宋体" w:hAnsi="宋体" w:cs="宋体"/>
                <w:color w:val="auto"/>
                <w:sz w:val="24"/>
                <w:highlight w:val="none"/>
              </w:rPr>
            </w:pPr>
          </w:p>
        </w:tc>
        <w:tc>
          <w:tcPr>
            <w:tcW w:w="2268" w:type="dxa"/>
            <w:vAlign w:val="center"/>
          </w:tcPr>
          <w:p w14:paraId="726E5372">
            <w:pPr>
              <w:snapToGrid w:val="0"/>
              <w:spacing w:line="360" w:lineRule="auto"/>
              <w:jc w:val="center"/>
              <w:rPr>
                <w:rFonts w:ascii="宋体" w:hAnsi="宋体" w:cs="宋体"/>
                <w:color w:val="auto"/>
                <w:sz w:val="24"/>
                <w:highlight w:val="none"/>
              </w:rPr>
            </w:pPr>
          </w:p>
        </w:tc>
        <w:tc>
          <w:tcPr>
            <w:tcW w:w="2126" w:type="dxa"/>
            <w:vAlign w:val="center"/>
          </w:tcPr>
          <w:p w14:paraId="5A4F857D">
            <w:pPr>
              <w:spacing w:line="360" w:lineRule="auto"/>
              <w:jc w:val="center"/>
              <w:rPr>
                <w:rFonts w:ascii="宋体" w:hAnsi="宋体" w:cs="宋体"/>
                <w:color w:val="auto"/>
                <w:sz w:val="24"/>
                <w:highlight w:val="none"/>
              </w:rPr>
            </w:pPr>
          </w:p>
        </w:tc>
        <w:tc>
          <w:tcPr>
            <w:tcW w:w="2127" w:type="dxa"/>
          </w:tcPr>
          <w:p w14:paraId="21BB073B">
            <w:pPr>
              <w:spacing w:line="360" w:lineRule="auto"/>
              <w:jc w:val="center"/>
              <w:rPr>
                <w:rFonts w:ascii="宋体" w:hAnsi="宋体" w:cs="宋体"/>
                <w:color w:val="auto"/>
                <w:sz w:val="24"/>
                <w:highlight w:val="none"/>
              </w:rPr>
            </w:pPr>
          </w:p>
        </w:tc>
        <w:tc>
          <w:tcPr>
            <w:tcW w:w="2126" w:type="dxa"/>
            <w:vAlign w:val="center"/>
          </w:tcPr>
          <w:p w14:paraId="7FD2B377">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6139AFA">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FBC35C1">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37886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0CB9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995715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80"/>
        <w:rPr>
          <w:rFonts w:hint="eastAsia" w:ascii="宋体" w:hAnsi="宋体" w:cs="宋体"/>
          <w:b/>
          <w:color w:val="auto"/>
          <w:sz w:val="24"/>
          <w:highlight w:val="none"/>
        </w:rPr>
      </w:pPr>
    </w:p>
    <w:p w14:paraId="1AA2EA6C">
      <w:pPr>
        <w:pStyle w:val="80"/>
        <w:rPr>
          <w:rFonts w:hint="eastAsia" w:ascii="宋体" w:hAnsi="宋体" w:cs="宋体"/>
          <w:b/>
          <w:color w:val="auto"/>
          <w:sz w:val="24"/>
          <w:highlight w:val="none"/>
        </w:rPr>
      </w:pPr>
    </w:p>
    <w:p w14:paraId="4AF87534">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144D7808">
      <w:pPr>
        <w:spacing w:line="360" w:lineRule="auto"/>
        <w:ind w:right="420" w:firstLine="3614" w:firstLineChars="1000"/>
        <w:rPr>
          <w:rFonts w:ascii="宋体" w:hAnsi="宋体" w:cs="宋体"/>
          <w:b/>
          <w:color w:val="auto"/>
          <w:kern w:val="0"/>
          <w:sz w:val="36"/>
          <w:szCs w:val="36"/>
          <w:highlight w:val="none"/>
        </w:rPr>
      </w:pPr>
    </w:p>
    <w:p w14:paraId="3D92A257">
      <w:pPr>
        <w:spacing w:line="360" w:lineRule="auto"/>
        <w:ind w:right="420" w:firstLine="3614" w:firstLineChars="1000"/>
        <w:rPr>
          <w:rFonts w:ascii="宋体" w:hAnsi="宋体" w:cs="宋体"/>
          <w:b/>
          <w:color w:val="auto"/>
          <w:kern w:val="0"/>
          <w:sz w:val="36"/>
          <w:szCs w:val="36"/>
          <w:highlight w:val="none"/>
        </w:rPr>
      </w:pPr>
    </w:p>
    <w:p w14:paraId="1F93F3A9">
      <w:pPr>
        <w:spacing w:line="360" w:lineRule="auto"/>
        <w:ind w:right="420" w:firstLine="3614" w:firstLineChars="1000"/>
        <w:rPr>
          <w:rFonts w:ascii="宋体" w:hAnsi="宋体" w:cs="宋体"/>
          <w:b/>
          <w:color w:val="auto"/>
          <w:kern w:val="0"/>
          <w:sz w:val="36"/>
          <w:szCs w:val="36"/>
          <w:highlight w:val="none"/>
        </w:rPr>
      </w:pPr>
    </w:p>
    <w:p w14:paraId="4F8F70F7">
      <w:pPr>
        <w:spacing w:line="360" w:lineRule="auto"/>
        <w:ind w:right="420" w:firstLine="3614" w:firstLineChars="1000"/>
        <w:rPr>
          <w:rFonts w:ascii="宋体" w:hAnsi="宋体" w:cs="宋体"/>
          <w:b/>
          <w:color w:val="auto"/>
          <w:kern w:val="0"/>
          <w:sz w:val="36"/>
          <w:szCs w:val="36"/>
          <w:highlight w:val="none"/>
        </w:rPr>
      </w:pPr>
    </w:p>
    <w:p w14:paraId="4B15FB6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396" w:name="OLE_LINK13"/>
      <w:bookmarkStart w:id="397" w:name="OLE_LINK14"/>
      <w:r>
        <w:rPr>
          <w:rFonts w:hint="eastAsia" w:ascii="宋体" w:hAnsi="宋体" w:cs="宋体"/>
          <w:b/>
          <w:color w:val="auto"/>
          <w:spacing w:val="6"/>
          <w:sz w:val="32"/>
          <w:szCs w:val="32"/>
          <w:highlight w:val="none"/>
        </w:rPr>
        <w:t>残疾人福利性单位声明函</w:t>
      </w:r>
    </w:p>
    <w:bookmarkEnd w:id="396"/>
    <w:bookmarkEnd w:id="397"/>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杭州市公安局钱塘区分局2026年特保服务采购项目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21904514">
      <w:pPr>
        <w:pStyle w:val="79"/>
        <w:rPr>
          <w:rFonts w:ascii="宋体" w:hAnsi="宋体" w:cs="宋体"/>
          <w:b/>
          <w:color w:val="auto"/>
          <w:sz w:val="24"/>
          <w:highlight w:val="none"/>
        </w:rPr>
      </w:pPr>
    </w:p>
    <w:p w14:paraId="31BA05B9">
      <w:pPr>
        <w:pStyle w:val="79"/>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73E8755E">
      <w:pPr>
        <w:spacing w:line="360" w:lineRule="auto"/>
        <w:rPr>
          <w:rFonts w:ascii="宋体" w:hAnsi="宋体" w:cs="宋体"/>
          <w:b/>
          <w:color w:val="auto"/>
          <w:sz w:val="24"/>
          <w:highlight w:val="none"/>
        </w:rPr>
      </w:pPr>
    </w:p>
    <w:p w14:paraId="698BDF1A">
      <w:pPr>
        <w:spacing w:line="360" w:lineRule="auto"/>
        <w:rPr>
          <w:rFonts w:ascii="宋体" w:hAnsi="宋体" w:cs="宋体"/>
          <w:b/>
          <w:color w:val="auto"/>
          <w:sz w:val="24"/>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3749B42D">
      <w:pPr>
        <w:pStyle w:val="79"/>
        <w:rPr>
          <w:rFonts w:hint="eastAsia" w:ascii="宋体" w:hAnsi="宋体" w:cs="宋体"/>
          <w:b/>
          <w:color w:val="auto"/>
          <w:spacing w:val="6"/>
          <w:sz w:val="32"/>
          <w:szCs w:val="32"/>
          <w:highlight w:val="none"/>
        </w:rPr>
      </w:pPr>
    </w:p>
    <w:p w14:paraId="31B9E0E5">
      <w:pPr>
        <w:pStyle w:val="79"/>
        <w:rPr>
          <w:rFonts w:hint="eastAsia" w:ascii="宋体" w:hAnsi="宋体" w:cs="宋体"/>
          <w:b/>
          <w:color w:val="auto"/>
          <w:spacing w:val="6"/>
          <w:sz w:val="32"/>
          <w:szCs w:val="32"/>
          <w:highlight w:val="none"/>
        </w:rPr>
      </w:pPr>
    </w:p>
    <w:p w14:paraId="19241EDA">
      <w:pPr>
        <w:pStyle w:val="79"/>
        <w:rPr>
          <w:rFonts w:hint="eastAsia" w:ascii="宋体" w:hAnsi="宋体" w:cs="宋体"/>
          <w:b/>
          <w:color w:val="auto"/>
          <w:spacing w:val="6"/>
          <w:sz w:val="32"/>
          <w:szCs w:val="32"/>
          <w:highlight w:val="none"/>
        </w:rPr>
      </w:pPr>
    </w:p>
    <w:p w14:paraId="3AF699E7">
      <w:pPr>
        <w:pStyle w:val="79"/>
        <w:rPr>
          <w:rFonts w:hint="eastAsia" w:ascii="宋体" w:hAnsi="宋体" w:cs="宋体"/>
          <w:b/>
          <w:color w:val="auto"/>
          <w:spacing w:val="6"/>
          <w:sz w:val="32"/>
          <w:szCs w:val="32"/>
          <w:highlight w:val="none"/>
        </w:rPr>
      </w:pPr>
    </w:p>
    <w:p w14:paraId="7A108EF5">
      <w:pPr>
        <w:pStyle w:val="79"/>
        <w:rPr>
          <w:rFonts w:hint="eastAsia" w:ascii="宋体" w:hAnsi="宋体" w:cs="宋体"/>
          <w:b/>
          <w:color w:val="auto"/>
          <w:spacing w:val="6"/>
          <w:sz w:val="32"/>
          <w:szCs w:val="32"/>
          <w:highlight w:val="none"/>
        </w:rPr>
      </w:pPr>
    </w:p>
    <w:p w14:paraId="6E6D6F90">
      <w:pPr>
        <w:pStyle w:val="79"/>
        <w:rPr>
          <w:rFonts w:hint="eastAsia" w:ascii="宋体" w:hAnsi="宋体" w:cs="宋体"/>
          <w:b/>
          <w:color w:val="auto"/>
          <w:spacing w:val="6"/>
          <w:sz w:val="32"/>
          <w:szCs w:val="32"/>
          <w:highlight w:val="none"/>
        </w:rPr>
      </w:pPr>
    </w:p>
    <w:p w14:paraId="42853BF6">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5500E819">
      <w:pPr>
        <w:autoSpaceDE w:val="0"/>
        <w:autoSpaceDN w:val="0"/>
        <w:jc w:val="center"/>
        <w:rPr>
          <w:rFonts w:hint="eastAsia" w:ascii="宋体" w:hAnsi="宋体" w:cs="宋体"/>
          <w:b/>
          <w:color w:val="auto"/>
          <w:spacing w:val="6"/>
          <w:sz w:val="32"/>
          <w:szCs w:val="32"/>
          <w:highlight w:val="none"/>
        </w:rPr>
      </w:pPr>
    </w:p>
    <w:p w14:paraId="134CE88A">
      <w:pPr>
        <w:autoSpaceDE w:val="0"/>
        <w:autoSpaceDN w:val="0"/>
        <w:jc w:val="center"/>
        <w:rPr>
          <w:rFonts w:hint="eastAsia" w:ascii="宋体" w:hAnsi="宋体" w:cs="宋体"/>
          <w:b/>
          <w:color w:val="auto"/>
          <w:spacing w:val="6"/>
          <w:sz w:val="32"/>
          <w:szCs w:val="32"/>
          <w:highlight w:val="none"/>
        </w:rPr>
      </w:pPr>
    </w:p>
    <w:p w14:paraId="50C31241">
      <w:pPr>
        <w:autoSpaceDE w:val="0"/>
        <w:autoSpaceDN w:val="0"/>
        <w:jc w:val="center"/>
        <w:rPr>
          <w:rFonts w:hint="eastAsia" w:ascii="宋体" w:hAnsi="宋体" w:cs="宋体"/>
          <w:b/>
          <w:color w:val="auto"/>
          <w:spacing w:val="6"/>
          <w:sz w:val="32"/>
          <w:szCs w:val="32"/>
          <w:highlight w:val="none"/>
        </w:rPr>
      </w:pPr>
    </w:p>
    <w:p w14:paraId="3556BDDB">
      <w:pPr>
        <w:autoSpaceDE w:val="0"/>
        <w:autoSpaceDN w:val="0"/>
        <w:jc w:val="center"/>
        <w:rPr>
          <w:rFonts w:hint="eastAsia" w:ascii="宋体" w:hAnsi="宋体" w:cs="宋体"/>
          <w:b/>
          <w:color w:val="auto"/>
          <w:spacing w:val="6"/>
          <w:sz w:val="32"/>
          <w:szCs w:val="32"/>
          <w:highlight w:val="none"/>
        </w:rPr>
      </w:pPr>
    </w:p>
    <w:p w14:paraId="001D1288">
      <w:pPr>
        <w:autoSpaceDE w:val="0"/>
        <w:autoSpaceDN w:val="0"/>
        <w:jc w:val="center"/>
        <w:rPr>
          <w:rFonts w:hint="eastAsia" w:ascii="宋体" w:hAnsi="宋体" w:cs="宋体"/>
          <w:b/>
          <w:color w:val="auto"/>
          <w:spacing w:val="6"/>
          <w:sz w:val="32"/>
          <w:szCs w:val="32"/>
          <w:highlight w:val="none"/>
        </w:rPr>
      </w:pPr>
    </w:p>
    <w:p w14:paraId="22290041">
      <w:pPr>
        <w:autoSpaceDE w:val="0"/>
        <w:autoSpaceDN w:val="0"/>
        <w:jc w:val="center"/>
        <w:rPr>
          <w:rFonts w:hint="eastAsia" w:ascii="宋体" w:hAnsi="宋体" w:cs="宋体"/>
          <w:b/>
          <w:color w:val="auto"/>
          <w:spacing w:val="6"/>
          <w:sz w:val="32"/>
          <w:szCs w:val="32"/>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杭州市公安局钱塘区分局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浙江勋达工程咨询有限公司</w:t>
      </w:r>
      <w:r>
        <w:rPr>
          <w:rFonts w:hint="eastAsia" w:ascii="宋体" w:hAnsi="宋体" w:cs="宋体"/>
          <w:color w:val="auto"/>
          <w:sz w:val="24"/>
          <w:highlight w:val="none"/>
          <w:u w:val="single"/>
        </w:rPr>
        <w:t>：</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6108A5C1">
      <w:pPr>
        <w:autoSpaceDE w:val="0"/>
        <w:autoSpaceDN w:val="0"/>
        <w:jc w:val="center"/>
        <w:rPr>
          <w:rFonts w:hint="eastAsia" w:ascii="宋体" w:hAnsi="宋体" w:cs="宋体"/>
          <w:b/>
          <w:color w:val="auto"/>
          <w:spacing w:val="6"/>
          <w:sz w:val="32"/>
          <w:szCs w:val="32"/>
          <w:highlight w:val="none"/>
        </w:rPr>
      </w:pPr>
    </w:p>
    <w:p w14:paraId="253F0B0E">
      <w:pPr>
        <w:autoSpaceDE w:val="0"/>
        <w:autoSpaceDN w:val="0"/>
        <w:jc w:val="center"/>
        <w:rPr>
          <w:rFonts w:hint="eastAsia" w:ascii="宋体" w:hAnsi="宋体" w:cs="宋体"/>
          <w:b/>
          <w:color w:val="auto"/>
          <w:spacing w:val="6"/>
          <w:sz w:val="32"/>
          <w:szCs w:val="32"/>
          <w:highlight w:val="none"/>
        </w:rPr>
      </w:pPr>
    </w:p>
    <w:p w14:paraId="5FF04E1C">
      <w:pPr>
        <w:autoSpaceDE w:val="0"/>
        <w:autoSpaceDN w:val="0"/>
        <w:jc w:val="center"/>
        <w:rPr>
          <w:rFonts w:hint="eastAsia" w:ascii="宋体" w:hAnsi="宋体" w:cs="宋体"/>
          <w:b/>
          <w:color w:val="auto"/>
          <w:spacing w:val="6"/>
          <w:sz w:val="32"/>
          <w:szCs w:val="32"/>
          <w:highlight w:val="none"/>
        </w:rPr>
      </w:pPr>
    </w:p>
    <w:p w14:paraId="43E8EE02">
      <w:pPr>
        <w:autoSpaceDE w:val="0"/>
        <w:autoSpaceDN w:val="0"/>
        <w:jc w:val="center"/>
        <w:rPr>
          <w:rFonts w:hint="eastAsia" w:ascii="宋体" w:hAnsi="宋体" w:cs="宋体"/>
          <w:b/>
          <w:color w:val="auto"/>
          <w:spacing w:val="6"/>
          <w:sz w:val="32"/>
          <w:szCs w:val="32"/>
          <w:highlight w:val="none"/>
        </w:rPr>
      </w:pPr>
    </w:p>
    <w:p w14:paraId="13D61CAA">
      <w:pPr>
        <w:autoSpaceDE w:val="0"/>
        <w:autoSpaceDN w:val="0"/>
        <w:jc w:val="center"/>
        <w:rPr>
          <w:rFonts w:hint="eastAsia" w:ascii="宋体" w:hAnsi="宋体" w:cs="宋体"/>
          <w:b/>
          <w:color w:val="auto"/>
          <w:spacing w:val="6"/>
          <w:sz w:val="32"/>
          <w:szCs w:val="32"/>
          <w:highlight w:val="none"/>
        </w:rPr>
      </w:pPr>
    </w:p>
    <w:p w14:paraId="7F4C28DD">
      <w:pPr>
        <w:autoSpaceDE w:val="0"/>
        <w:autoSpaceDN w:val="0"/>
        <w:jc w:val="center"/>
        <w:rPr>
          <w:rFonts w:hint="eastAsia" w:ascii="宋体" w:hAnsi="宋体" w:cs="宋体"/>
          <w:b/>
          <w:color w:val="auto"/>
          <w:spacing w:val="6"/>
          <w:sz w:val="32"/>
          <w:szCs w:val="32"/>
          <w:highlight w:val="none"/>
        </w:rPr>
      </w:pPr>
    </w:p>
    <w:p w14:paraId="7F2DB0A5">
      <w:pPr>
        <w:autoSpaceDE w:val="0"/>
        <w:autoSpaceDN w:val="0"/>
        <w:jc w:val="center"/>
        <w:rPr>
          <w:rFonts w:hint="eastAsia" w:ascii="宋体" w:hAnsi="宋体" w:cs="宋体"/>
          <w:b/>
          <w:color w:val="auto"/>
          <w:spacing w:val="6"/>
          <w:sz w:val="32"/>
          <w:szCs w:val="32"/>
          <w:highlight w:val="none"/>
        </w:rPr>
      </w:pP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398"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398"/>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399"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399"/>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0"/>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58E5C0F">
      <w:pPr>
        <w:autoSpaceDE w:val="0"/>
        <w:autoSpaceDN w:val="0"/>
        <w:jc w:val="center"/>
        <w:rPr>
          <w:rFonts w:ascii="宋体" w:hAnsi="宋体" w:cs="宋体"/>
          <w:b/>
          <w:color w:val="auto"/>
          <w:spacing w:val="6"/>
          <w:sz w:val="32"/>
          <w:szCs w:val="32"/>
          <w:highlight w:val="none"/>
        </w:rPr>
      </w:pPr>
    </w:p>
    <w:p w14:paraId="07E7DAF3">
      <w:pPr>
        <w:autoSpaceDE w:val="0"/>
        <w:autoSpaceDN w:val="0"/>
        <w:jc w:val="center"/>
        <w:rPr>
          <w:rFonts w:ascii="宋体" w:hAnsi="宋体" w:cs="宋体"/>
          <w:b/>
          <w:color w:val="auto"/>
          <w:spacing w:val="6"/>
          <w:sz w:val="32"/>
          <w:szCs w:val="32"/>
          <w:highlight w:val="none"/>
        </w:rPr>
      </w:pPr>
    </w:p>
    <w:p w14:paraId="74C77164">
      <w:pPr>
        <w:autoSpaceDE w:val="0"/>
        <w:autoSpaceDN w:val="0"/>
        <w:jc w:val="center"/>
        <w:rPr>
          <w:rFonts w:ascii="宋体" w:hAnsi="宋体" w:cs="宋体"/>
          <w:b/>
          <w:color w:val="auto"/>
          <w:spacing w:val="6"/>
          <w:sz w:val="32"/>
          <w:szCs w:val="32"/>
          <w:highlight w:val="none"/>
        </w:rPr>
      </w:pPr>
    </w:p>
    <w:p w14:paraId="12EE95AE">
      <w:pPr>
        <w:autoSpaceDE w:val="0"/>
        <w:autoSpaceDN w:val="0"/>
        <w:jc w:val="center"/>
        <w:rPr>
          <w:rFonts w:ascii="宋体" w:hAnsi="宋体" w:cs="宋体"/>
          <w:b/>
          <w:color w:val="auto"/>
          <w:spacing w:val="6"/>
          <w:sz w:val="32"/>
          <w:szCs w:val="32"/>
          <w:highlight w:val="none"/>
        </w:rPr>
      </w:pPr>
    </w:p>
    <w:p w14:paraId="652FE5F9">
      <w:pPr>
        <w:autoSpaceDE w:val="0"/>
        <w:autoSpaceDN w:val="0"/>
        <w:jc w:val="center"/>
        <w:rPr>
          <w:rFonts w:ascii="宋体" w:hAnsi="宋体" w:cs="宋体"/>
          <w:b/>
          <w:color w:val="auto"/>
          <w:spacing w:val="6"/>
          <w:sz w:val="32"/>
          <w:szCs w:val="32"/>
          <w:highlight w:val="none"/>
        </w:rPr>
      </w:pPr>
    </w:p>
    <w:p w14:paraId="4C86B973">
      <w:pPr>
        <w:autoSpaceDE w:val="0"/>
        <w:autoSpaceDN w:val="0"/>
        <w:jc w:val="center"/>
        <w:rPr>
          <w:rFonts w:ascii="宋体" w:hAnsi="宋体" w:cs="宋体"/>
          <w:b/>
          <w:color w:val="auto"/>
          <w:spacing w:val="6"/>
          <w:sz w:val="32"/>
          <w:szCs w:val="32"/>
          <w:highlight w:val="none"/>
        </w:rPr>
      </w:pPr>
    </w:p>
    <w:p w14:paraId="45FFA641">
      <w:pPr>
        <w:autoSpaceDE w:val="0"/>
        <w:autoSpaceDN w:val="0"/>
        <w:jc w:val="center"/>
        <w:rPr>
          <w:rFonts w:ascii="宋体" w:hAnsi="宋体" w:cs="宋体"/>
          <w:b/>
          <w:color w:val="auto"/>
          <w:spacing w:val="6"/>
          <w:sz w:val="32"/>
          <w:szCs w:val="32"/>
          <w:highlight w:val="none"/>
        </w:rPr>
      </w:pPr>
    </w:p>
    <w:p w14:paraId="602FA715">
      <w:pPr>
        <w:autoSpaceDE w:val="0"/>
        <w:autoSpaceDN w:val="0"/>
        <w:jc w:val="center"/>
        <w:rPr>
          <w:rFonts w:ascii="宋体" w:hAnsi="宋体" w:cs="宋体"/>
          <w:b/>
          <w:color w:val="auto"/>
          <w:spacing w:val="6"/>
          <w:sz w:val="32"/>
          <w:szCs w:val="32"/>
          <w:highlight w:val="none"/>
        </w:rPr>
      </w:pPr>
    </w:p>
    <w:p w14:paraId="6647DE36">
      <w:pPr>
        <w:autoSpaceDE w:val="0"/>
        <w:autoSpaceDN w:val="0"/>
        <w:jc w:val="center"/>
        <w:rPr>
          <w:rFonts w:ascii="宋体" w:hAnsi="宋体" w:cs="宋体"/>
          <w:b/>
          <w:color w:val="auto"/>
          <w:spacing w:val="6"/>
          <w:sz w:val="32"/>
          <w:szCs w:val="32"/>
          <w:highlight w:val="none"/>
        </w:rPr>
      </w:pPr>
    </w:p>
    <w:p w14:paraId="229706AC">
      <w:pPr>
        <w:autoSpaceDE w:val="0"/>
        <w:autoSpaceDN w:val="0"/>
        <w:jc w:val="center"/>
        <w:rPr>
          <w:rFonts w:ascii="宋体" w:hAnsi="宋体" w:cs="宋体"/>
          <w:b/>
          <w:color w:val="auto"/>
          <w:spacing w:val="6"/>
          <w:sz w:val="32"/>
          <w:szCs w:val="32"/>
          <w:highlight w:val="none"/>
        </w:rPr>
      </w:pPr>
    </w:p>
    <w:p w14:paraId="16F14ABB">
      <w:pPr>
        <w:autoSpaceDE w:val="0"/>
        <w:autoSpaceDN w:val="0"/>
        <w:jc w:val="center"/>
        <w:rPr>
          <w:rFonts w:ascii="宋体" w:hAnsi="宋体" w:cs="宋体"/>
          <w:b/>
          <w:color w:val="auto"/>
          <w:spacing w:val="6"/>
          <w:sz w:val="32"/>
          <w:szCs w:val="32"/>
          <w:highlight w:val="none"/>
        </w:rPr>
      </w:pPr>
    </w:p>
    <w:p w14:paraId="3E4B59CC">
      <w:pPr>
        <w:autoSpaceDE w:val="0"/>
        <w:autoSpaceDN w:val="0"/>
        <w:jc w:val="center"/>
        <w:rPr>
          <w:rFonts w:ascii="宋体" w:hAnsi="宋体" w:cs="宋体"/>
          <w:b/>
          <w:color w:val="auto"/>
          <w:spacing w:val="6"/>
          <w:sz w:val="32"/>
          <w:szCs w:val="32"/>
          <w:highlight w:val="none"/>
        </w:rPr>
      </w:pPr>
    </w:p>
    <w:p w14:paraId="73B76741">
      <w:pPr>
        <w:autoSpaceDE w:val="0"/>
        <w:autoSpaceDN w:val="0"/>
        <w:jc w:val="center"/>
        <w:rPr>
          <w:rFonts w:ascii="宋体" w:hAnsi="宋体" w:cs="宋体"/>
          <w:b/>
          <w:color w:val="auto"/>
          <w:spacing w:val="6"/>
          <w:sz w:val="32"/>
          <w:szCs w:val="32"/>
          <w:highlight w:val="none"/>
        </w:rPr>
      </w:pPr>
    </w:p>
    <w:p w14:paraId="2307C90B">
      <w:pPr>
        <w:pStyle w:val="79"/>
        <w:rPr>
          <w:rFonts w:ascii="宋体" w:hAnsi="宋体" w:cs="宋体"/>
          <w:b/>
          <w:color w:val="auto"/>
          <w:spacing w:val="6"/>
          <w:sz w:val="32"/>
          <w:szCs w:val="32"/>
          <w:highlight w:val="none"/>
        </w:rPr>
      </w:pPr>
    </w:p>
    <w:p w14:paraId="4E77CB03">
      <w:pPr>
        <w:pStyle w:val="79"/>
        <w:rPr>
          <w:rFonts w:ascii="宋体" w:hAnsi="宋体" w:cs="宋体"/>
          <w:b/>
          <w:color w:val="auto"/>
          <w:spacing w:val="6"/>
          <w:sz w:val="32"/>
          <w:szCs w:val="32"/>
          <w:highlight w:val="none"/>
        </w:rPr>
      </w:pPr>
    </w:p>
    <w:p w14:paraId="4BFC09A7">
      <w:pPr>
        <w:pStyle w:val="79"/>
        <w:rPr>
          <w:rFonts w:ascii="宋体" w:hAnsi="宋体" w:cs="宋体"/>
          <w:b/>
          <w:color w:val="auto"/>
          <w:spacing w:val="6"/>
          <w:sz w:val="32"/>
          <w:szCs w:val="32"/>
          <w:highlight w:val="none"/>
        </w:rPr>
      </w:pPr>
    </w:p>
    <w:p w14:paraId="29945AF2">
      <w:pPr>
        <w:pStyle w:val="79"/>
        <w:rPr>
          <w:rFonts w:ascii="宋体" w:hAnsi="宋体" w:cs="宋体"/>
          <w:b/>
          <w:color w:val="auto"/>
          <w:spacing w:val="6"/>
          <w:sz w:val="32"/>
          <w:szCs w:val="32"/>
          <w:highlight w:val="none"/>
        </w:rPr>
      </w:pPr>
    </w:p>
    <w:p w14:paraId="1369493C">
      <w:pPr>
        <w:pStyle w:val="79"/>
        <w:rPr>
          <w:rFonts w:ascii="宋体" w:hAnsi="宋体" w:cs="宋体"/>
          <w:b/>
          <w:color w:val="auto"/>
          <w:spacing w:val="6"/>
          <w:sz w:val="32"/>
          <w:szCs w:val="32"/>
          <w:highlight w:val="none"/>
        </w:rPr>
      </w:pPr>
    </w:p>
    <w:p w14:paraId="32A02507">
      <w:pPr>
        <w:pStyle w:val="79"/>
        <w:rPr>
          <w:rFonts w:ascii="宋体" w:hAnsi="宋体" w:cs="宋体"/>
          <w:b/>
          <w:color w:val="auto"/>
          <w:spacing w:val="6"/>
          <w:sz w:val="32"/>
          <w:szCs w:val="32"/>
          <w:highlight w:val="none"/>
        </w:rPr>
      </w:pPr>
    </w:p>
    <w:p w14:paraId="5E5ABF1E">
      <w:pPr>
        <w:pStyle w:val="79"/>
        <w:rPr>
          <w:rFonts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杭州市公安局钱塘区分局2026年特保服务采购项目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330114264040010000027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rPr>
          <w:color w:val="auto"/>
          <w:highlight w:val="none"/>
        </w:rPr>
      </w:pPr>
      <w:r>
        <w:rPr>
          <w:rFonts w:hint="eastAsia"/>
          <w:color w:val="auto"/>
          <w:highlight w:val="none"/>
          <w:lang w:val="zh-CN"/>
        </w:rPr>
        <w:t xml:space="preserve"> </w:t>
      </w:r>
    </w:p>
    <w:p w14:paraId="1A539F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585299B3">
      <w:pPr>
        <w:autoSpaceDE w:val="0"/>
        <w:autoSpaceDN w:val="0"/>
        <w:jc w:val="center"/>
        <w:rPr>
          <w:rFonts w:ascii="宋体" w:hAnsi="宋体" w:cs="宋体"/>
          <w:b/>
          <w:color w:val="auto"/>
          <w:spacing w:val="6"/>
          <w:sz w:val="32"/>
          <w:szCs w:val="32"/>
          <w:highlight w:val="none"/>
        </w:rPr>
      </w:pPr>
    </w:p>
    <w:p w14:paraId="00522C4A">
      <w:pPr>
        <w:autoSpaceDE w:val="0"/>
        <w:autoSpaceDN w:val="0"/>
        <w:jc w:val="center"/>
        <w:rPr>
          <w:rFonts w:ascii="宋体" w:hAnsi="宋体" w:cs="宋体"/>
          <w:b/>
          <w:color w:val="auto"/>
          <w:spacing w:val="6"/>
          <w:sz w:val="32"/>
          <w:szCs w:val="32"/>
          <w:highlight w:val="none"/>
        </w:rPr>
      </w:pPr>
    </w:p>
    <w:p w14:paraId="65AC4E53">
      <w:pPr>
        <w:autoSpaceDE w:val="0"/>
        <w:autoSpaceDN w:val="0"/>
        <w:jc w:val="center"/>
        <w:rPr>
          <w:rFonts w:ascii="宋体" w:hAnsi="宋体" w:cs="宋体"/>
          <w:b/>
          <w:color w:val="auto"/>
          <w:spacing w:val="6"/>
          <w:sz w:val="32"/>
          <w:szCs w:val="32"/>
          <w:highlight w:val="none"/>
        </w:rPr>
      </w:pPr>
    </w:p>
    <w:p w14:paraId="55C5B575">
      <w:pPr>
        <w:autoSpaceDE w:val="0"/>
        <w:autoSpaceDN w:val="0"/>
        <w:jc w:val="center"/>
        <w:rPr>
          <w:rFonts w:ascii="宋体" w:hAnsi="宋体" w:cs="宋体"/>
          <w:b/>
          <w:color w:val="auto"/>
          <w:spacing w:val="6"/>
          <w:sz w:val="32"/>
          <w:szCs w:val="32"/>
          <w:highlight w:val="none"/>
        </w:rPr>
      </w:pPr>
    </w:p>
    <w:p w14:paraId="7F218967">
      <w:pPr>
        <w:autoSpaceDE w:val="0"/>
        <w:autoSpaceDN w:val="0"/>
        <w:jc w:val="center"/>
        <w:rPr>
          <w:rFonts w:ascii="宋体" w:hAnsi="宋体" w:cs="宋体"/>
          <w:b/>
          <w:color w:val="auto"/>
          <w:spacing w:val="6"/>
          <w:sz w:val="32"/>
          <w:szCs w:val="32"/>
          <w:highlight w:val="none"/>
        </w:rPr>
      </w:pPr>
    </w:p>
    <w:p w14:paraId="63873989">
      <w:pPr>
        <w:autoSpaceDE w:val="0"/>
        <w:autoSpaceDN w:val="0"/>
        <w:jc w:val="center"/>
        <w:rPr>
          <w:rFonts w:ascii="宋体" w:hAnsi="宋体" w:cs="宋体"/>
          <w:b/>
          <w:color w:val="auto"/>
          <w:spacing w:val="6"/>
          <w:sz w:val="32"/>
          <w:szCs w:val="32"/>
          <w:highlight w:val="none"/>
        </w:rPr>
      </w:pPr>
    </w:p>
    <w:p w14:paraId="1D522C2B">
      <w:pPr>
        <w:autoSpaceDE w:val="0"/>
        <w:autoSpaceDN w:val="0"/>
        <w:jc w:val="center"/>
        <w:rPr>
          <w:rFonts w:ascii="宋体" w:hAnsi="宋体" w:cs="宋体"/>
          <w:b/>
          <w:color w:val="auto"/>
          <w:spacing w:val="6"/>
          <w:sz w:val="32"/>
          <w:szCs w:val="32"/>
          <w:highlight w:val="none"/>
        </w:rPr>
      </w:pPr>
    </w:p>
    <w:p w14:paraId="6ABD8BD9">
      <w:pPr>
        <w:autoSpaceDE w:val="0"/>
        <w:autoSpaceDN w:val="0"/>
        <w:jc w:val="center"/>
        <w:rPr>
          <w:rFonts w:ascii="宋体" w:hAnsi="宋体" w:cs="宋体"/>
          <w:b/>
          <w:color w:val="auto"/>
          <w:spacing w:val="6"/>
          <w:sz w:val="32"/>
          <w:szCs w:val="32"/>
          <w:highlight w:val="none"/>
        </w:rPr>
      </w:pPr>
    </w:p>
    <w:p w14:paraId="1C5DE10B">
      <w:pPr>
        <w:autoSpaceDE w:val="0"/>
        <w:autoSpaceDN w:val="0"/>
        <w:jc w:val="center"/>
        <w:rPr>
          <w:rFonts w:ascii="宋体" w:hAnsi="宋体" w:cs="宋体"/>
          <w:b/>
          <w:color w:val="auto"/>
          <w:spacing w:val="6"/>
          <w:sz w:val="32"/>
          <w:szCs w:val="32"/>
          <w:highlight w:val="none"/>
        </w:rPr>
      </w:pPr>
    </w:p>
    <w:p w14:paraId="3CDFE3AD">
      <w:pPr>
        <w:autoSpaceDE w:val="0"/>
        <w:autoSpaceDN w:val="0"/>
        <w:jc w:val="center"/>
        <w:rPr>
          <w:rFonts w:ascii="宋体" w:hAnsi="宋体" w:cs="宋体"/>
          <w:b/>
          <w:color w:val="auto"/>
          <w:spacing w:val="6"/>
          <w:sz w:val="32"/>
          <w:szCs w:val="32"/>
          <w:highlight w:val="none"/>
        </w:rPr>
      </w:pPr>
    </w:p>
    <w:p w14:paraId="626765C5">
      <w:pPr>
        <w:autoSpaceDE w:val="0"/>
        <w:autoSpaceDN w:val="0"/>
        <w:jc w:val="center"/>
        <w:rPr>
          <w:rFonts w:ascii="宋体" w:hAnsi="宋体" w:cs="宋体"/>
          <w:b/>
          <w:color w:val="auto"/>
          <w:spacing w:val="6"/>
          <w:sz w:val="32"/>
          <w:szCs w:val="32"/>
          <w:highlight w:val="none"/>
        </w:rPr>
      </w:pPr>
    </w:p>
    <w:p w14:paraId="0A20AE7B">
      <w:pPr>
        <w:pStyle w:val="79"/>
        <w:rPr>
          <w:rFonts w:ascii="宋体" w:hAnsi="宋体" w:cs="宋体"/>
          <w:b/>
          <w:color w:val="auto"/>
          <w:spacing w:val="6"/>
          <w:sz w:val="32"/>
          <w:szCs w:val="32"/>
          <w:highlight w:val="none"/>
        </w:rPr>
      </w:pPr>
    </w:p>
    <w:p w14:paraId="6FC1BE03">
      <w:pPr>
        <w:pStyle w:val="79"/>
        <w:rPr>
          <w:rFonts w:ascii="宋体" w:hAnsi="宋体" w:cs="宋体"/>
          <w:b/>
          <w:color w:val="auto"/>
          <w:spacing w:val="6"/>
          <w:sz w:val="32"/>
          <w:szCs w:val="32"/>
          <w:highlight w:val="none"/>
        </w:rPr>
      </w:pPr>
    </w:p>
    <w:p w14:paraId="4359956E">
      <w:pPr>
        <w:pStyle w:val="79"/>
        <w:rPr>
          <w:rFonts w:ascii="宋体" w:hAnsi="宋体" w:cs="宋体"/>
          <w:b/>
          <w:color w:val="auto"/>
          <w:spacing w:val="6"/>
          <w:sz w:val="32"/>
          <w:szCs w:val="32"/>
          <w:highlight w:val="none"/>
        </w:rPr>
      </w:pPr>
    </w:p>
    <w:p w14:paraId="5360E15F">
      <w:pPr>
        <w:pStyle w:val="79"/>
        <w:rPr>
          <w:rFonts w:ascii="宋体" w:hAnsi="宋体" w:cs="宋体"/>
          <w:b/>
          <w:color w:val="auto"/>
          <w:spacing w:val="6"/>
          <w:sz w:val="32"/>
          <w:szCs w:val="32"/>
          <w:highlight w:val="none"/>
        </w:rPr>
      </w:pPr>
    </w:p>
    <w:p w14:paraId="28C447AA">
      <w:pPr>
        <w:pStyle w:val="79"/>
        <w:rPr>
          <w:rFonts w:ascii="宋体" w:hAnsi="宋体" w:cs="宋体"/>
          <w:b/>
          <w:color w:val="auto"/>
          <w:spacing w:val="6"/>
          <w:sz w:val="32"/>
          <w:szCs w:val="32"/>
          <w:highlight w:val="none"/>
        </w:rPr>
      </w:pPr>
    </w:p>
    <w:p w14:paraId="2F3710D2">
      <w:pPr>
        <w:pStyle w:val="79"/>
        <w:rPr>
          <w:rFonts w:ascii="宋体" w:hAnsi="宋体" w:cs="宋体"/>
          <w:b/>
          <w:color w:val="auto"/>
          <w:spacing w:val="6"/>
          <w:sz w:val="32"/>
          <w:szCs w:val="32"/>
          <w:highlight w:val="none"/>
        </w:rPr>
      </w:pPr>
    </w:p>
    <w:p w14:paraId="1DA92E72">
      <w:pPr>
        <w:pStyle w:val="79"/>
        <w:rPr>
          <w:rFonts w:ascii="宋体" w:hAnsi="宋体" w:cs="宋体"/>
          <w:b/>
          <w:color w:val="auto"/>
          <w:spacing w:val="6"/>
          <w:sz w:val="32"/>
          <w:szCs w:val="32"/>
          <w:highlight w:val="none"/>
        </w:rPr>
      </w:pPr>
    </w:p>
    <w:p w14:paraId="62DC7B18">
      <w:pPr>
        <w:autoSpaceDE w:val="0"/>
        <w:autoSpaceDN w:val="0"/>
        <w:jc w:val="center"/>
        <w:rPr>
          <w:rFonts w:ascii="宋体" w:hAnsi="宋体" w:cs="宋体"/>
          <w:b/>
          <w:color w:val="auto"/>
          <w:spacing w:val="6"/>
          <w:sz w:val="32"/>
          <w:szCs w:val="32"/>
          <w:highlight w:val="none"/>
        </w:rPr>
      </w:pPr>
    </w:p>
    <w:p w14:paraId="7E935FAA">
      <w:pPr>
        <w:autoSpaceDE w:val="0"/>
        <w:autoSpaceDN w:val="0"/>
        <w:jc w:val="center"/>
        <w:rPr>
          <w:rFonts w:ascii="宋体" w:hAnsi="宋体" w:cs="宋体"/>
          <w:b/>
          <w:color w:val="auto"/>
          <w:spacing w:val="6"/>
          <w:sz w:val="32"/>
          <w:szCs w:val="32"/>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杭州市公安局钱塘区分局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杭州市公安局钱塘区分局2026年特保服务采购项目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bookmarkEnd w:id="405"/>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41"/>
      <w:framePr w:wrap="around" w:vAnchor="text" w:hAnchor="margin" w:xAlign="right" w:y="1"/>
      <w:rPr>
        <w:rStyle w:val="72"/>
      </w:rPr>
    </w:pPr>
    <w:r>
      <w:fldChar w:fldCharType="begin"/>
    </w:r>
    <w:r>
      <w:rPr>
        <w:rStyle w:val="72"/>
      </w:rPr>
      <w:instrText xml:space="preserve">PAGE  </w:instrText>
    </w:r>
    <w:r>
      <w:fldChar w:fldCharType="end"/>
    </w:r>
  </w:p>
  <w:p w14:paraId="65FC6C0A">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1" w:name="_Toc36110187"/>
    <w:bookmarkStart w:id="402" w:name="_Toc91899912"/>
    <w:bookmarkStart w:id="403" w:name="_Toc131845147"/>
    <w:bookmarkStart w:id="404" w:name="_Toc164085800"/>
    <w:r>
      <w:rPr>
        <w:rFonts w:hint="eastAsia" w:ascii="仿宋_GB2312" w:eastAsia="仿宋_GB2312"/>
        <w:kern w:val="0"/>
        <w:szCs w:val="21"/>
      </w:rPr>
      <w:t xml:space="preserve"> 页</w:t>
    </w:r>
    <w:bookmarkEnd w:id="401"/>
    <w:bookmarkEnd w:id="402"/>
    <w:bookmarkEnd w:id="403"/>
    <w:bookmarkEnd w:id="40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41"/>
      <w:framePr w:wrap="around" w:vAnchor="text" w:hAnchor="margin" w:xAlign="right" w:y="1"/>
      <w:rPr>
        <w:rStyle w:val="72"/>
      </w:rPr>
    </w:pPr>
    <w:r>
      <w:fldChar w:fldCharType="begin"/>
    </w:r>
    <w:r>
      <w:rPr>
        <w:rStyle w:val="72"/>
      </w:rPr>
      <w:instrText xml:space="preserve">PAGE  </w:instrText>
    </w:r>
    <w:r>
      <w:fldChar w:fldCharType="end"/>
    </w:r>
  </w:p>
  <w:p w14:paraId="5E0900AF">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2"/>
      <w:pBdr>
        <w:bottom w:val="single" w:color="auto" w:sz="6" w:space="4"/>
      </w:pBdr>
      <w:jc w:val="right"/>
    </w:pPr>
    <w:r>
      <w:t></w:t>
    </w:r>
    <w:r>
      <w:rPr>
        <w:rFonts w:hint="eastAsia"/>
      </w:rPr>
      <w:t xml:space="preserve">             </w:t>
    </w:r>
    <w:r>
      <w:t>杭州市政府采购公开招标文件</w:t>
    </w:r>
  </w:p>
  <w:p w14:paraId="5E97806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2"/>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2"/>
    </w:pPr>
    <w:r>
      <w:t></w:t>
    </w:r>
    <w:r>
      <w:rPr>
        <w:rFonts w:hint="eastAsia"/>
      </w:rPr>
      <w:t xml:space="preserve">         </w:t>
    </w:r>
  </w:p>
  <w:p w14:paraId="6F97612A">
    <w:pPr>
      <w:pStyle w:val="42"/>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2"/>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2"/>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5046B"/>
    <w:multiLevelType w:val="singleLevel"/>
    <w:tmpl w:val="09D5046B"/>
    <w:lvl w:ilvl="0" w:tentative="0">
      <w:start w:val="15"/>
      <w:numFmt w:val="chineseCounting"/>
      <w:suff w:val="space"/>
      <w:lvlText w:val="第%1条"/>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8B319F"/>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60789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8D551BA"/>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3A75DF"/>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310CE6"/>
    <w:rsid w:val="449101DD"/>
    <w:rsid w:val="44DE1391"/>
    <w:rsid w:val="451B225C"/>
    <w:rsid w:val="452410C9"/>
    <w:rsid w:val="45317DFB"/>
    <w:rsid w:val="456D3CE4"/>
    <w:rsid w:val="4579042C"/>
    <w:rsid w:val="457F0571"/>
    <w:rsid w:val="45851176"/>
    <w:rsid w:val="45C63B94"/>
    <w:rsid w:val="45D03C5F"/>
    <w:rsid w:val="460E7DA5"/>
    <w:rsid w:val="46422483"/>
    <w:rsid w:val="4659254A"/>
    <w:rsid w:val="465B0637"/>
    <w:rsid w:val="465E3F0D"/>
    <w:rsid w:val="466A16E6"/>
    <w:rsid w:val="46893F2B"/>
    <w:rsid w:val="46C4686E"/>
    <w:rsid w:val="477B778F"/>
    <w:rsid w:val="478203EC"/>
    <w:rsid w:val="47B025FA"/>
    <w:rsid w:val="4809698F"/>
    <w:rsid w:val="4811697D"/>
    <w:rsid w:val="48166781"/>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56581"/>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253C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E9694D"/>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804EDB"/>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573268"/>
    <w:rsid w:val="6F8331F1"/>
    <w:rsid w:val="6FAE1A09"/>
    <w:rsid w:val="6FD75BF8"/>
    <w:rsid w:val="704B4683"/>
    <w:rsid w:val="707723D0"/>
    <w:rsid w:val="70F5661B"/>
    <w:rsid w:val="71360107"/>
    <w:rsid w:val="713B688E"/>
    <w:rsid w:val="71B6769B"/>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1"/>
    <w:qFormat/>
    <w:uiPriority w:val="0"/>
    <w:pPr>
      <w:ind w:firstLine="420"/>
    </w:pPr>
    <w:rPr>
      <w:rFonts w:hAnsi="Calibri" w:cs="Times New Roman"/>
      <w:snapToGrid/>
      <w:szCs w:val="20"/>
    </w:rPr>
  </w:style>
  <w:style w:type="paragraph" w:styleId="25">
    <w:name w:val="toc 6"/>
    <w:basedOn w:val="1"/>
    <w:next w:val="1"/>
    <w:qFormat/>
    <w:uiPriority w:val="0"/>
    <w:pPr>
      <w:ind w:left="2100" w:leftChars="1000"/>
    </w:pPr>
  </w:style>
  <w:style w:type="paragraph" w:styleId="26">
    <w:name w:val="Body Text Indent"/>
    <w:basedOn w:val="1"/>
    <w:link w:val="26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9">
    <w:name w:val="endnote text"/>
    <w:basedOn w:val="1"/>
    <w:link w:val="932"/>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3"/>
    <w:qFormat/>
    <w:uiPriority w:val="99"/>
    <w:pPr>
      <w:tabs>
        <w:tab w:val="center" w:pos="4153"/>
        <w:tab w:val="right" w:pos="8306"/>
      </w:tabs>
      <w:snapToGrid w:val="0"/>
      <w:jc w:val="left"/>
    </w:pPr>
    <w:rPr>
      <w:sz w:val="18"/>
      <w:szCs w:val="18"/>
    </w:rPr>
  </w:style>
  <w:style w:type="paragraph" w:styleId="42">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6"/>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7"/>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6"/>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8"/>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1"/>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3"/>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1"/>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2"/>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8"/>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9"/>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72</Pages>
  <Words>15294</Words>
  <Characters>16416</Characters>
  <Lines>281</Lines>
  <Paragraphs>79</Paragraphs>
  <TotalTime>13</TotalTime>
  <ScaleCrop>false</ScaleCrop>
  <LinksUpToDate>false</LinksUpToDate>
  <CharactersWithSpaces>16869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crows</cp:lastModifiedBy>
  <cp:lastPrinted>2021-12-28T03:06:00Z</cp:lastPrinted>
  <dcterms:modified xsi:type="dcterms:W3CDTF">2026-04-27T06:21:52Z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eyJoZGlkIjoiNTMzZTFhODBmMmJhYWVmODZjODY1ZTllNmVlNjFjMGQiLCJ1c2VySWQiOiI0NTgzNjc2MzQifQ==</vt:lpwstr>
  </property>
</Properties>
</file>