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C89F6">
      <w:pPr>
        <w:spacing w:line="360" w:lineRule="auto"/>
        <w:jc w:val="center"/>
        <w:rPr>
          <w:rFonts w:hint="default" w:ascii="宋体" w:hAnsi="宋体" w:eastAsia="宋体" w:cs="宋体"/>
          <w:b/>
          <w:color w:val="auto"/>
          <w:sz w:val="44"/>
          <w:szCs w:val="44"/>
          <w:highlight w:val="none"/>
          <w:lang w:val="en-US" w:eastAsia="zh-CN"/>
        </w:rPr>
      </w:pPr>
    </w:p>
    <w:p w14:paraId="4EECA526">
      <w:pPr>
        <w:adjustRightInd/>
        <w:spacing w:line="360" w:lineRule="auto"/>
        <w:jc w:val="center"/>
        <w:rPr>
          <w:rFonts w:hint="eastAsia" w:ascii="宋体" w:hAnsi="宋体" w:cs="宋体"/>
          <w:color w:val="auto"/>
          <w:sz w:val="48"/>
          <w:szCs w:val="48"/>
          <w:highlight w:val="none"/>
          <w:lang w:eastAsia="zh-CN"/>
        </w:rPr>
      </w:pPr>
      <w:bookmarkStart w:id="418" w:name="_GoBack"/>
      <w:r>
        <w:rPr>
          <w:rFonts w:hint="eastAsia" w:ascii="宋体" w:hAnsi="宋体" w:cs="宋体"/>
          <w:color w:val="auto"/>
          <w:sz w:val="48"/>
          <w:szCs w:val="48"/>
          <w:highlight w:val="none"/>
          <w:lang w:eastAsia="zh-CN"/>
        </w:rPr>
        <w:t>202</w:t>
      </w:r>
      <w:r>
        <w:rPr>
          <w:rFonts w:hint="eastAsia" w:ascii="宋体" w:hAnsi="宋体" w:cs="宋体"/>
          <w:color w:val="auto"/>
          <w:sz w:val="48"/>
          <w:szCs w:val="48"/>
          <w:highlight w:val="none"/>
          <w:lang w:val="en-US" w:eastAsia="zh-CN"/>
        </w:rPr>
        <w:t>6</w:t>
      </w:r>
      <w:r>
        <w:rPr>
          <w:rFonts w:hint="eastAsia" w:ascii="宋体" w:hAnsi="宋体" w:cs="宋体"/>
          <w:color w:val="auto"/>
          <w:sz w:val="48"/>
          <w:szCs w:val="48"/>
          <w:highlight w:val="none"/>
          <w:lang w:eastAsia="zh-CN"/>
        </w:rPr>
        <w:t>年度企退人员活动</w:t>
      </w:r>
    </w:p>
    <w:bookmarkEnd w:id="418"/>
    <w:p w14:paraId="3BB48E70">
      <w:pPr>
        <w:pStyle w:val="2"/>
        <w:rPr>
          <w:rFonts w:hint="eastAsia"/>
          <w:lang w:eastAsia="zh-CN"/>
        </w:rPr>
      </w:pPr>
    </w:p>
    <w:p w14:paraId="768E14E4">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2BFEB9BD"/>
    <w:p w14:paraId="6597A52C">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51C21CA5">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编号:330114266040010000013</w:t>
      </w:r>
    </w:p>
    <w:p w14:paraId="2CCB1906">
      <w:pPr>
        <w:adjustRightInd/>
        <w:spacing w:line="360" w:lineRule="auto"/>
        <w:rPr>
          <w:rFonts w:ascii="宋体" w:hAnsi="宋体" w:cs="宋体"/>
          <w:color w:val="auto"/>
          <w:sz w:val="28"/>
          <w:szCs w:val="20"/>
          <w:highlight w:val="none"/>
        </w:rPr>
      </w:pPr>
    </w:p>
    <w:p w14:paraId="78FE8E18">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53122E12">
      <w:pPr>
        <w:spacing w:line="360" w:lineRule="auto"/>
        <w:jc w:val="center"/>
        <w:rPr>
          <w:rFonts w:ascii="宋体" w:hAnsi="宋体" w:cs="宋体"/>
          <w:b/>
          <w:color w:val="auto"/>
          <w:sz w:val="44"/>
          <w:szCs w:val="44"/>
          <w:highlight w:val="none"/>
        </w:rPr>
      </w:pPr>
    </w:p>
    <w:p w14:paraId="2F96B1CD">
      <w:pPr>
        <w:pStyle w:val="2"/>
        <w:rPr>
          <w:rFonts w:ascii="宋体" w:hAnsi="宋体" w:cs="宋体"/>
          <w:b/>
          <w:color w:val="auto"/>
          <w:sz w:val="44"/>
          <w:szCs w:val="44"/>
          <w:highlight w:val="none"/>
        </w:rPr>
      </w:pPr>
    </w:p>
    <w:p w14:paraId="367B8E9C">
      <w:pPr>
        <w:rPr>
          <w:rFonts w:ascii="宋体" w:hAnsi="宋体" w:cs="宋体"/>
          <w:b/>
          <w:color w:val="auto"/>
          <w:sz w:val="44"/>
          <w:szCs w:val="44"/>
          <w:highlight w:val="none"/>
        </w:rPr>
      </w:pPr>
    </w:p>
    <w:p w14:paraId="58E4E86C">
      <w:pPr>
        <w:pStyle w:val="2"/>
        <w:rPr>
          <w:rFonts w:ascii="宋体" w:hAnsi="宋体" w:cs="宋体"/>
          <w:b/>
          <w:color w:val="auto"/>
          <w:sz w:val="44"/>
          <w:szCs w:val="44"/>
          <w:highlight w:val="none"/>
        </w:rPr>
      </w:pPr>
    </w:p>
    <w:p w14:paraId="6E87CAC3">
      <w:pPr>
        <w:rPr>
          <w:rFonts w:ascii="宋体" w:hAnsi="宋体" w:cs="宋体"/>
          <w:b/>
          <w:color w:val="auto"/>
          <w:sz w:val="44"/>
          <w:szCs w:val="44"/>
          <w:highlight w:val="none"/>
        </w:rPr>
      </w:pPr>
    </w:p>
    <w:p w14:paraId="5F6EF23D">
      <w:pPr>
        <w:spacing w:line="360" w:lineRule="auto"/>
        <w:rPr>
          <w:rFonts w:ascii="宋体" w:hAnsi="宋体" w:cs="宋体"/>
          <w:color w:val="auto"/>
          <w:sz w:val="32"/>
          <w:szCs w:val="32"/>
          <w:highlight w:val="none"/>
        </w:rPr>
      </w:pPr>
    </w:p>
    <w:p w14:paraId="0F5802C9">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lang w:eastAsia="zh-CN"/>
        </w:rPr>
        <w:t>杭州市钱塘区人民政府义蓬街道办事处</w:t>
      </w:r>
    </w:p>
    <w:p w14:paraId="3F89C97C">
      <w:pPr>
        <w:snapToGrid w:val="0"/>
        <w:spacing w:line="360" w:lineRule="auto"/>
        <w:jc w:val="center"/>
        <w:rPr>
          <w:rFonts w:hint="eastAsia" w:ascii="宋体" w:hAnsi="宋体" w:cs="宋体"/>
          <w:bCs/>
          <w:color w:val="auto"/>
          <w:sz w:val="32"/>
          <w:szCs w:val="32"/>
          <w:highlight w:val="none"/>
          <w:lang w:eastAsia="zh-CN"/>
        </w:rPr>
      </w:pPr>
      <w:r>
        <w:rPr>
          <w:rFonts w:hint="eastAsia" w:ascii="宋体" w:hAnsi="宋体" w:cs="宋体"/>
          <w:bCs/>
          <w:color w:val="auto"/>
          <w:sz w:val="32"/>
          <w:szCs w:val="32"/>
          <w:highlight w:val="none"/>
          <w:lang w:eastAsia="zh-CN"/>
        </w:rPr>
        <w:t>浙江铭华工程管理有限公司</w:t>
      </w:r>
    </w:p>
    <w:p w14:paraId="5E2E7C09">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十五</w:t>
      </w:r>
      <w:r>
        <w:rPr>
          <w:rFonts w:hint="eastAsia" w:ascii="宋体" w:hAnsi="宋体" w:cs="宋体"/>
          <w:bCs/>
          <w:color w:val="auto"/>
          <w:sz w:val="32"/>
          <w:szCs w:val="32"/>
          <w:highlight w:val="none"/>
        </w:rPr>
        <w:t>日</w:t>
      </w:r>
    </w:p>
    <w:p w14:paraId="620D40CC">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7D5C2AED">
      <w:pPr>
        <w:pStyle w:val="638"/>
        <w:rPr>
          <w:color w:val="auto"/>
          <w:highlight w:val="none"/>
        </w:rPr>
      </w:pPr>
    </w:p>
    <w:p w14:paraId="0DBFD099">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5A3FC90A">
      <w:pPr>
        <w:spacing w:line="360" w:lineRule="auto"/>
        <w:rPr>
          <w:rFonts w:ascii="宋体" w:hAnsi="宋体" w:cs="宋体"/>
          <w:color w:val="auto"/>
          <w:sz w:val="32"/>
          <w:szCs w:val="32"/>
          <w:highlight w:val="none"/>
        </w:rPr>
      </w:pPr>
    </w:p>
    <w:p w14:paraId="7A487219">
      <w:pPr>
        <w:spacing w:line="360" w:lineRule="auto"/>
        <w:rPr>
          <w:rFonts w:ascii="宋体" w:hAnsi="宋体" w:cs="宋体"/>
          <w:color w:val="auto"/>
          <w:sz w:val="32"/>
          <w:szCs w:val="32"/>
          <w:highlight w:val="none"/>
        </w:rPr>
      </w:pPr>
    </w:p>
    <w:p w14:paraId="45B77DE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656084B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4C82700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2C96FB7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6D7C8A7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5125D6F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2BDF4E55">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537B4160">
      <w:pPr>
        <w:spacing w:line="360" w:lineRule="auto"/>
        <w:ind w:firstLine="549" w:firstLineChars="229"/>
        <w:rPr>
          <w:rFonts w:ascii="宋体" w:hAnsi="宋体" w:cs="宋体"/>
          <w:color w:val="auto"/>
          <w:sz w:val="24"/>
          <w:highlight w:val="none"/>
        </w:rPr>
      </w:pPr>
    </w:p>
    <w:p w14:paraId="232D9703">
      <w:pPr>
        <w:spacing w:line="360" w:lineRule="auto"/>
        <w:ind w:firstLine="549" w:firstLineChars="229"/>
        <w:rPr>
          <w:rFonts w:ascii="宋体" w:hAnsi="宋体" w:cs="宋体"/>
          <w:color w:val="auto"/>
          <w:sz w:val="24"/>
          <w:highlight w:val="none"/>
        </w:rPr>
      </w:pPr>
    </w:p>
    <w:p w14:paraId="09A282A8">
      <w:pPr>
        <w:spacing w:line="360" w:lineRule="auto"/>
        <w:ind w:firstLine="549" w:firstLineChars="229"/>
        <w:rPr>
          <w:rFonts w:ascii="宋体" w:hAnsi="宋体" w:cs="宋体"/>
          <w:color w:val="auto"/>
          <w:sz w:val="24"/>
          <w:highlight w:val="none"/>
        </w:rPr>
      </w:pPr>
    </w:p>
    <w:p w14:paraId="7BDCA302">
      <w:pPr>
        <w:spacing w:line="360" w:lineRule="auto"/>
        <w:ind w:firstLine="549" w:firstLineChars="229"/>
        <w:rPr>
          <w:rFonts w:ascii="宋体" w:hAnsi="宋体" w:cs="宋体"/>
          <w:color w:val="auto"/>
          <w:sz w:val="24"/>
          <w:highlight w:val="none"/>
        </w:rPr>
      </w:pPr>
    </w:p>
    <w:p w14:paraId="11D2EB8B">
      <w:pPr>
        <w:spacing w:line="360" w:lineRule="auto"/>
        <w:ind w:firstLine="549" w:firstLineChars="229"/>
        <w:rPr>
          <w:rFonts w:ascii="宋体" w:hAnsi="宋体" w:cs="宋体"/>
          <w:color w:val="auto"/>
          <w:sz w:val="24"/>
          <w:highlight w:val="none"/>
        </w:rPr>
      </w:pPr>
    </w:p>
    <w:p w14:paraId="385F498F">
      <w:pPr>
        <w:spacing w:line="360" w:lineRule="auto"/>
        <w:ind w:firstLine="549" w:firstLineChars="229"/>
        <w:rPr>
          <w:rFonts w:ascii="宋体" w:hAnsi="宋体" w:cs="宋体"/>
          <w:color w:val="auto"/>
          <w:sz w:val="24"/>
          <w:highlight w:val="none"/>
        </w:rPr>
      </w:pPr>
    </w:p>
    <w:p w14:paraId="5972A06C">
      <w:pPr>
        <w:spacing w:line="360" w:lineRule="auto"/>
        <w:ind w:firstLine="549" w:firstLineChars="229"/>
        <w:rPr>
          <w:rFonts w:ascii="宋体" w:hAnsi="宋体" w:cs="宋体"/>
          <w:color w:val="auto"/>
          <w:sz w:val="24"/>
          <w:highlight w:val="none"/>
        </w:rPr>
      </w:pPr>
    </w:p>
    <w:p w14:paraId="2FBB5FEA">
      <w:pPr>
        <w:spacing w:line="360" w:lineRule="auto"/>
        <w:ind w:firstLine="549" w:firstLineChars="229"/>
        <w:rPr>
          <w:rFonts w:ascii="宋体" w:hAnsi="宋体" w:cs="宋体"/>
          <w:color w:val="auto"/>
          <w:sz w:val="24"/>
          <w:highlight w:val="none"/>
        </w:rPr>
      </w:pPr>
    </w:p>
    <w:p w14:paraId="216731E4">
      <w:pPr>
        <w:spacing w:line="360" w:lineRule="auto"/>
        <w:ind w:firstLine="549" w:firstLineChars="229"/>
        <w:rPr>
          <w:rFonts w:ascii="宋体" w:hAnsi="宋体" w:cs="宋体"/>
          <w:color w:val="auto"/>
          <w:sz w:val="24"/>
          <w:highlight w:val="none"/>
        </w:rPr>
      </w:pPr>
    </w:p>
    <w:p w14:paraId="75A39A6D">
      <w:pPr>
        <w:spacing w:line="360" w:lineRule="auto"/>
        <w:ind w:firstLine="549" w:firstLineChars="229"/>
        <w:rPr>
          <w:rFonts w:ascii="宋体" w:hAnsi="宋体" w:cs="宋体"/>
          <w:color w:val="auto"/>
          <w:sz w:val="24"/>
          <w:highlight w:val="none"/>
        </w:rPr>
      </w:pPr>
    </w:p>
    <w:p w14:paraId="37249514">
      <w:pPr>
        <w:spacing w:line="360" w:lineRule="auto"/>
        <w:ind w:firstLine="549" w:firstLineChars="229"/>
        <w:rPr>
          <w:rFonts w:ascii="宋体" w:hAnsi="宋体" w:cs="宋体"/>
          <w:color w:val="auto"/>
          <w:sz w:val="24"/>
          <w:highlight w:val="none"/>
        </w:rPr>
      </w:pPr>
    </w:p>
    <w:p w14:paraId="3BB29FCB">
      <w:pPr>
        <w:spacing w:line="360" w:lineRule="auto"/>
        <w:ind w:firstLine="549" w:firstLineChars="229"/>
        <w:rPr>
          <w:rFonts w:ascii="宋体" w:hAnsi="宋体" w:cs="宋体"/>
          <w:color w:val="auto"/>
          <w:sz w:val="24"/>
          <w:highlight w:val="none"/>
        </w:rPr>
      </w:pPr>
    </w:p>
    <w:p w14:paraId="6FD38A0F">
      <w:pPr>
        <w:spacing w:line="360" w:lineRule="auto"/>
        <w:rPr>
          <w:rFonts w:ascii="宋体" w:hAnsi="宋体" w:cs="宋体"/>
          <w:color w:val="auto"/>
          <w:sz w:val="24"/>
          <w:highlight w:val="none"/>
        </w:rPr>
      </w:pPr>
    </w:p>
    <w:p w14:paraId="67F4E74D">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8647"/>
      <w:bookmarkEnd w:id="4"/>
      <w:bookmarkStart w:id="5" w:name="_Hlt74729822"/>
      <w:bookmarkEnd w:id="5"/>
      <w:bookmarkStart w:id="6" w:name="_Hlt74649545"/>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280C4B2">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3478C5F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lang w:eastAsia="zh-CN"/>
        </w:rPr>
        <w:t>2026年度企退人员活动</w:t>
      </w:r>
      <w:r>
        <w:rPr>
          <w:rFonts w:hint="eastAsia" w:ascii="宋体" w:hAnsi="宋体" w:cs="宋体"/>
          <w:color w:val="auto"/>
          <w:sz w:val="24"/>
          <w:highlight w:val="none"/>
        </w:rPr>
        <w:t>招标项目的潜在投标人应在政采云平台（https://www.zcygov.cn/）获取（下载）招标文件，并于</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27C08F2E">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4EF26AE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b w:val="0"/>
          <w:bCs/>
          <w:color w:val="auto"/>
          <w:sz w:val="24"/>
          <w:highlight w:val="none"/>
        </w:rPr>
        <w:t>330114266040010000013</w:t>
      </w:r>
    </w:p>
    <w:p w14:paraId="07B9D6D9">
      <w:pPr>
        <w:spacing w:line="360" w:lineRule="auto"/>
        <w:rPr>
          <w:rFonts w:ascii="宋体" w:hAnsi="宋体" w:cs="宋体"/>
          <w:color w:val="auto"/>
          <w:sz w:val="24"/>
          <w:highlight w:val="none"/>
          <w:u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b w:val="0"/>
          <w:bCs/>
          <w:color w:val="auto"/>
          <w:sz w:val="24"/>
          <w:highlight w:val="none"/>
          <w:u w:val="none"/>
          <w:lang w:eastAsia="zh-CN"/>
        </w:rPr>
        <w:t>202</w:t>
      </w:r>
      <w:r>
        <w:rPr>
          <w:rFonts w:hint="eastAsia" w:ascii="宋体" w:hAnsi="宋体" w:cs="宋体"/>
          <w:b w:val="0"/>
          <w:bCs/>
          <w:color w:val="auto"/>
          <w:sz w:val="24"/>
          <w:highlight w:val="none"/>
          <w:u w:val="none"/>
          <w:lang w:val="en-US" w:eastAsia="zh-CN"/>
        </w:rPr>
        <w:t>6</w:t>
      </w:r>
      <w:r>
        <w:rPr>
          <w:rFonts w:hint="eastAsia" w:ascii="宋体" w:hAnsi="宋体" w:cs="宋体"/>
          <w:b w:val="0"/>
          <w:bCs/>
          <w:color w:val="auto"/>
          <w:sz w:val="24"/>
          <w:highlight w:val="none"/>
          <w:u w:val="none"/>
          <w:lang w:eastAsia="zh-CN"/>
        </w:rPr>
        <w:t>年度企退人员活动</w:t>
      </w:r>
    </w:p>
    <w:p w14:paraId="00C0648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color w:val="auto"/>
          <w:sz w:val="24"/>
          <w:highlight w:val="none"/>
        </w:rPr>
        <w:t>标项一：715000；标项二：715000</w:t>
      </w:r>
      <w:r>
        <w:rPr>
          <w:rFonts w:ascii="宋体" w:hAnsi="宋体" w:cs="宋体"/>
          <w:b w:val="0"/>
          <w:bCs/>
          <w:color w:val="auto"/>
          <w:sz w:val="24"/>
          <w:highlight w:val="none"/>
        </w:rPr>
        <w:t xml:space="preserve"> </w:t>
      </w:r>
    </w:p>
    <w:p w14:paraId="5F7DBA56">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color w:val="auto"/>
          <w:sz w:val="24"/>
          <w:highlight w:val="none"/>
        </w:rPr>
        <w:t>标项一：715000；标项二：715000</w:t>
      </w:r>
    </w:p>
    <w:p w14:paraId="6C3BF384">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 w:val="0"/>
          <w:bCs/>
          <w:color w:val="auto"/>
          <w:sz w:val="24"/>
          <w:highlight w:val="none"/>
          <w:lang w:eastAsia="zh-CN"/>
        </w:rPr>
        <w:t>202</w:t>
      </w:r>
      <w:r>
        <w:rPr>
          <w:rFonts w:hint="eastAsia" w:hAnsi="宋体" w:cs="宋体"/>
          <w:b w:val="0"/>
          <w:bCs/>
          <w:color w:val="auto"/>
          <w:sz w:val="24"/>
          <w:highlight w:val="none"/>
          <w:lang w:val="en-US" w:eastAsia="zh-CN"/>
        </w:rPr>
        <w:t>6</w:t>
      </w:r>
      <w:r>
        <w:rPr>
          <w:rFonts w:hint="eastAsia" w:hAnsi="宋体" w:cs="宋体"/>
          <w:b w:val="0"/>
          <w:bCs/>
          <w:color w:val="auto"/>
          <w:sz w:val="24"/>
          <w:highlight w:val="none"/>
          <w:lang w:eastAsia="zh-CN"/>
        </w:rPr>
        <w:t>年度企退人员活动</w:t>
      </w:r>
      <w:r>
        <w:rPr>
          <w:rFonts w:hint="eastAsia" w:hAnsi="宋体" w:cs="宋体"/>
          <w:bCs/>
          <w:snapToGrid/>
          <w:color w:val="auto"/>
          <w:kern w:val="2"/>
          <w:sz w:val="24"/>
          <w:szCs w:val="24"/>
          <w:highlight w:val="none"/>
        </w:rPr>
        <w:t>主要内容：</w:t>
      </w:r>
      <w:r>
        <w:rPr>
          <w:rFonts w:hint="eastAsia" w:hAnsi="宋体" w:cs="宋体"/>
          <w:b w:val="0"/>
          <w:bCs/>
          <w:color w:val="auto"/>
          <w:sz w:val="24"/>
          <w:highlight w:val="none"/>
          <w:lang w:eastAsia="zh-CN"/>
        </w:rPr>
        <w:t>202</w:t>
      </w:r>
      <w:r>
        <w:rPr>
          <w:rFonts w:hint="eastAsia" w:hAnsi="宋体" w:cs="宋体"/>
          <w:b w:val="0"/>
          <w:bCs/>
          <w:color w:val="auto"/>
          <w:sz w:val="24"/>
          <w:highlight w:val="none"/>
          <w:lang w:val="en-US" w:eastAsia="zh-CN"/>
        </w:rPr>
        <w:t>6</w:t>
      </w:r>
      <w:r>
        <w:rPr>
          <w:rFonts w:hint="eastAsia" w:hAnsi="宋体" w:cs="宋体"/>
          <w:b w:val="0"/>
          <w:bCs/>
          <w:color w:val="auto"/>
          <w:sz w:val="24"/>
          <w:highlight w:val="none"/>
          <w:lang w:eastAsia="zh-CN"/>
        </w:rPr>
        <w:t>年度</w:t>
      </w:r>
      <w:r>
        <w:rPr>
          <w:rFonts w:hint="eastAsia" w:hAnsi="宋体" w:cs="宋体"/>
          <w:b w:val="0"/>
          <w:bCs/>
          <w:color w:val="auto"/>
          <w:sz w:val="24"/>
          <w:highlight w:val="none"/>
          <w:lang w:val="en-US" w:eastAsia="zh-CN"/>
        </w:rPr>
        <w:t>义蓬街道</w:t>
      </w:r>
      <w:r>
        <w:rPr>
          <w:rFonts w:hint="eastAsia" w:hAnsi="宋体" w:cs="宋体"/>
          <w:b w:val="0"/>
          <w:bCs/>
          <w:color w:val="auto"/>
          <w:sz w:val="24"/>
          <w:highlight w:val="none"/>
          <w:lang w:eastAsia="zh-CN"/>
        </w:rPr>
        <w:t>企退人员</w:t>
      </w:r>
      <w:r>
        <w:rPr>
          <w:rFonts w:hint="eastAsia" w:hAnsi="宋体" w:cs="宋体"/>
          <w:b w:val="0"/>
          <w:bCs/>
          <w:color w:val="auto"/>
          <w:sz w:val="24"/>
          <w:highlight w:val="none"/>
          <w:lang w:val="en-US" w:eastAsia="zh-CN"/>
        </w:rPr>
        <w:t>外出参观一日游览活动</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w:t>
      </w:r>
    </w:p>
    <w:p w14:paraId="243D348E">
      <w:pPr>
        <w:pStyle w:val="132"/>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ascii="宋体" w:hAnsi="宋体" w:cs="宋体"/>
          <w:b w:val="0"/>
          <w:bCs/>
          <w:color w:val="auto"/>
          <w:highlight w:val="none"/>
          <w:lang w:eastAsia="zh-CN"/>
        </w:rPr>
        <w:t>202</w:t>
      </w:r>
      <w:r>
        <w:rPr>
          <w:rFonts w:hint="eastAsia" w:ascii="宋体" w:hAnsi="宋体" w:cs="宋体"/>
          <w:b w:val="0"/>
          <w:bCs/>
          <w:color w:val="auto"/>
          <w:highlight w:val="none"/>
          <w:lang w:val="en-US" w:eastAsia="zh-CN"/>
        </w:rPr>
        <w:t>6</w:t>
      </w:r>
      <w:r>
        <w:rPr>
          <w:rFonts w:hint="eastAsia" w:ascii="宋体" w:hAnsi="宋体" w:cs="宋体"/>
          <w:b w:val="0"/>
          <w:bCs/>
          <w:color w:val="auto"/>
          <w:highlight w:val="none"/>
        </w:rPr>
        <w:t>年</w:t>
      </w:r>
      <w:r>
        <w:rPr>
          <w:rFonts w:hint="eastAsia" w:ascii="宋体" w:hAnsi="宋体" w:cs="宋体"/>
          <w:b w:val="0"/>
          <w:bCs/>
          <w:color w:val="auto"/>
          <w:highlight w:val="none"/>
          <w:lang w:val="en-US" w:eastAsia="zh-CN"/>
        </w:rPr>
        <w:t>4</w:t>
      </w:r>
      <w:r>
        <w:rPr>
          <w:rFonts w:hint="eastAsia" w:ascii="宋体" w:hAnsi="宋体" w:cs="宋体"/>
          <w:b w:val="0"/>
          <w:bCs/>
          <w:color w:val="auto"/>
          <w:highlight w:val="none"/>
        </w:rPr>
        <w:t>月</w:t>
      </w:r>
      <w:r>
        <w:rPr>
          <w:rFonts w:hint="eastAsia" w:ascii="宋体" w:hAnsi="宋体" w:cs="宋体"/>
          <w:b w:val="0"/>
          <w:bCs/>
          <w:color w:val="auto"/>
          <w:highlight w:val="none"/>
          <w:lang w:eastAsia="zh-CN"/>
        </w:rPr>
        <w:t>—202</w:t>
      </w:r>
      <w:r>
        <w:rPr>
          <w:rFonts w:hint="eastAsia" w:ascii="宋体" w:hAnsi="宋体" w:cs="宋体"/>
          <w:b w:val="0"/>
          <w:bCs/>
          <w:color w:val="auto"/>
          <w:highlight w:val="none"/>
          <w:lang w:val="en-US" w:eastAsia="zh-CN"/>
        </w:rPr>
        <w:t>6</w:t>
      </w:r>
      <w:r>
        <w:rPr>
          <w:rFonts w:hint="eastAsia" w:ascii="宋体" w:hAnsi="宋体" w:cs="宋体"/>
          <w:b w:val="0"/>
          <w:bCs/>
          <w:color w:val="auto"/>
          <w:highlight w:val="none"/>
        </w:rPr>
        <w:t>年</w:t>
      </w:r>
      <w:r>
        <w:rPr>
          <w:rFonts w:hint="eastAsia" w:ascii="宋体" w:hAnsi="宋体" w:cs="宋体"/>
          <w:b w:val="0"/>
          <w:bCs/>
          <w:color w:val="auto"/>
          <w:highlight w:val="none"/>
          <w:lang w:val="en-US" w:eastAsia="zh-CN"/>
        </w:rPr>
        <w:t>12</w:t>
      </w:r>
      <w:r>
        <w:rPr>
          <w:rFonts w:hint="eastAsia" w:ascii="宋体" w:hAnsi="宋体" w:cs="宋体"/>
          <w:b w:val="0"/>
          <w:bCs/>
          <w:color w:val="auto"/>
          <w:highlight w:val="none"/>
        </w:rPr>
        <w:t>月</w:t>
      </w:r>
      <w:r>
        <w:rPr>
          <w:rFonts w:hint="eastAsia" w:hAnsi="宋体" w:cs="宋体"/>
          <w:bCs/>
          <w:color w:val="auto"/>
          <w:szCs w:val="24"/>
          <w:highlight w:val="none"/>
        </w:rPr>
        <w:t>。</w:t>
      </w:r>
      <w:r>
        <w:rPr>
          <w:rFonts w:ascii="宋体" w:hAnsi="宋体" w:cs="宋体"/>
          <w:color w:val="auto"/>
          <w:highlight w:val="none"/>
        </w:rPr>
        <w:t xml:space="preserve"> </w:t>
      </w:r>
    </w:p>
    <w:p w14:paraId="033F07E7">
      <w:pPr>
        <w:pStyle w:val="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147460917"/>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MS Gothic" w:hAnsi="MS Gothic" w:eastAsia="宋体" w:cs="Segoe UI Symbol"/>
              <w:snapToGrid w:val="0"/>
              <w:color w:val="auto"/>
              <w:kern w:val="0"/>
              <w:sz w:val="24"/>
              <w:szCs w:val="20"/>
              <w:highlight w:val="none"/>
              <w:lang w:val="en-US" w:eastAsia="zh-CN" w:bidi="ar-SA"/>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37FA1DC9">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3F565117">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w:t>
      </w:r>
      <w:r>
        <w:rPr>
          <w:rFonts w:hint="eastAsia" w:ascii="宋体" w:hAnsi="宋体" w:cs="宋体"/>
          <w:snapToGrid w:val="0"/>
          <w:color w:val="auto"/>
          <w:kern w:val="28"/>
          <w:sz w:val="24"/>
          <w:szCs w:val="20"/>
          <w:highlight w:val="none"/>
        </w:rPr>
        <w:t>收违法案件当事人名单、政府采购严重违法失信行为记录名单；</w:t>
      </w:r>
    </w:p>
    <w:p w14:paraId="2BF23FC5">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63D826D8">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73A4033">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14361262">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831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77E75101">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4746197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w:t>
      </w:r>
      <w:r>
        <w:rPr>
          <w:rFonts w:hint="eastAsia" w:ascii="宋体" w:hAnsi="宋体" w:cs="宋体"/>
          <w:color w:val="auto"/>
          <w:sz w:val="24"/>
          <w:highlight w:val="none"/>
          <w:lang w:val="en-US" w:eastAsia="zh-CN"/>
        </w:rPr>
        <w:t>微</w:t>
      </w:r>
      <w:r>
        <w:rPr>
          <w:rFonts w:hint="eastAsia" w:ascii="宋体" w:hAnsi="宋体" w:cs="宋体"/>
          <w:color w:val="auto"/>
          <w:sz w:val="24"/>
          <w:highlight w:val="none"/>
        </w:rPr>
        <w:t>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229389FD">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474774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42A6353A">
      <w:pPr>
        <w:rPr>
          <w:rFonts w:ascii="宋体" w:hAnsi="宋体" w:cs="宋体"/>
          <w:color w:val="auto"/>
          <w:highlight w:val="none"/>
        </w:rPr>
      </w:pPr>
    </w:p>
    <w:p w14:paraId="0394CC50">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5705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3702EC81">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15669493">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38DAFC77">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8271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sz w:val="24"/>
          <w:highlight w:val="none"/>
        </w:rPr>
        <w:t>无。</w:t>
      </w:r>
    </w:p>
    <w:p w14:paraId="561029DE">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6661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D1AD1C">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EE0C17F">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5079D60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7970418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6776D26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192FEF2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789F6B78">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6854B93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 xml:space="preserve">00秒 </w:t>
      </w:r>
      <w:r>
        <w:rPr>
          <w:rFonts w:hint="eastAsia" w:ascii="宋体" w:hAnsi="宋体" w:cs="宋体"/>
          <w:color w:val="auto"/>
          <w:sz w:val="24"/>
          <w:highlight w:val="none"/>
        </w:rPr>
        <w:t>（北京时间）</w:t>
      </w:r>
    </w:p>
    <w:p w14:paraId="1A00731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29027E08">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 xml:space="preserve">00秒 </w:t>
      </w:r>
      <w:r>
        <w:rPr>
          <w:rFonts w:hint="eastAsia" w:ascii="宋体" w:hAnsi="宋体" w:cs="宋体"/>
          <w:bCs/>
          <w:color w:val="auto"/>
          <w:sz w:val="24"/>
          <w:highlight w:val="none"/>
          <w:u w:val="single"/>
        </w:rPr>
        <w:t xml:space="preserve"> </w:t>
      </w:r>
    </w:p>
    <w:p w14:paraId="2AEDDD5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7F1049CC">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4A674A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CC09C2C">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474B30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74DFA4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auto"/>
          <w:sz w:val="24"/>
          <w:highlight w:val="none"/>
          <w:lang w:val="en-US" w:eastAsia="zh-CN"/>
        </w:rPr>
        <w:t>政务</w:t>
      </w:r>
      <w:r>
        <w:rPr>
          <w:rFonts w:hint="eastAsia" w:ascii="宋体" w:hAnsi="宋体" w:cs="宋体"/>
          <w:color w:val="auto"/>
          <w:sz w:val="24"/>
          <w:highlight w:val="none"/>
        </w:rPr>
        <w:t>服务网-政府采购投诉处理-在线办理。</w:t>
      </w:r>
    </w:p>
    <w:p w14:paraId="50CE17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FB434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1542114A">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34EA136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0CA42612">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rPr>
        <w:t xml:space="preserve">    </w:t>
      </w: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杭州市钱塘区人民政府义蓬街道办事处</w:t>
      </w:r>
      <w:r>
        <w:rPr>
          <w:rFonts w:hint="eastAsia" w:ascii="宋体" w:hAnsi="宋体" w:eastAsia="宋体" w:cs="宋体"/>
          <w:color w:val="auto"/>
          <w:sz w:val="24"/>
          <w:highlight w:val="none"/>
        </w:rPr>
        <w:t xml:space="preserve"> </w:t>
      </w:r>
    </w:p>
    <w:p w14:paraId="2440E29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地    址：</w:t>
      </w:r>
      <w:r>
        <w:rPr>
          <w:rFonts w:hint="eastAsia" w:ascii="宋体" w:hAnsi="宋体" w:eastAsia="宋体" w:cs="宋体"/>
          <w:color w:val="auto"/>
          <w:kern w:val="2"/>
          <w:sz w:val="24"/>
          <w:szCs w:val="24"/>
          <w:highlight w:val="none"/>
        </w:rPr>
        <w:t>浙江省杭州市钱塘区义蓬街道义府大街668号</w:t>
      </w:r>
    </w:p>
    <w:p w14:paraId="09457B2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w:t>
      </w:r>
    </w:p>
    <w:p w14:paraId="287AF93B">
      <w:pPr>
        <w:spacing w:line="360" w:lineRule="auto"/>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项目联系人（询问）：</w:t>
      </w:r>
      <w:r>
        <w:rPr>
          <w:rFonts w:hint="eastAsia" w:ascii="宋体" w:hAnsi="宋体" w:eastAsia="宋体" w:cs="宋体"/>
          <w:color w:val="auto"/>
          <w:sz w:val="24"/>
          <w:szCs w:val="28"/>
          <w:highlight w:val="none"/>
          <w:lang w:val="en-US" w:eastAsia="zh-CN"/>
        </w:rPr>
        <w:t>蒋女士</w:t>
      </w:r>
    </w:p>
    <w:p w14:paraId="0159FC7C">
      <w:pPr>
        <w:spacing w:line="360" w:lineRule="auto"/>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项目联系方式（询问）：0571-8216</w:t>
      </w:r>
      <w:r>
        <w:rPr>
          <w:rFonts w:hint="eastAsia" w:ascii="宋体" w:hAnsi="宋体" w:eastAsia="宋体" w:cs="宋体"/>
          <w:color w:val="auto"/>
          <w:sz w:val="24"/>
          <w:szCs w:val="28"/>
          <w:highlight w:val="none"/>
          <w:lang w:val="en-US" w:eastAsia="zh-CN"/>
        </w:rPr>
        <w:t>6007</w:t>
      </w:r>
    </w:p>
    <w:p w14:paraId="14F527ED">
      <w:pPr>
        <w:spacing w:line="360" w:lineRule="auto"/>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质疑联系人：</w:t>
      </w:r>
      <w:r>
        <w:rPr>
          <w:rFonts w:hint="eastAsia" w:ascii="宋体" w:hAnsi="宋体" w:eastAsia="宋体" w:cs="宋体"/>
          <w:color w:val="auto"/>
          <w:sz w:val="24"/>
          <w:szCs w:val="28"/>
          <w:highlight w:val="none"/>
          <w:lang w:val="en-US" w:eastAsia="zh-CN"/>
        </w:rPr>
        <w:t>裘先生</w:t>
      </w:r>
    </w:p>
    <w:p w14:paraId="7D736B70">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szCs w:val="28"/>
          <w:highlight w:val="none"/>
        </w:rPr>
        <w:t>质疑联系方式：</w:t>
      </w:r>
      <w:r>
        <w:rPr>
          <w:rFonts w:hint="eastAsia" w:ascii="宋体" w:hAnsi="宋体" w:eastAsia="宋体" w:cs="宋体"/>
          <w:color w:val="auto"/>
          <w:sz w:val="24"/>
          <w:szCs w:val="28"/>
          <w:highlight w:val="none"/>
        </w:rPr>
        <w:t>0571-8</w:t>
      </w:r>
      <w:r>
        <w:rPr>
          <w:rFonts w:hint="eastAsia" w:ascii="宋体" w:hAnsi="宋体" w:cs="宋体"/>
          <w:color w:val="auto"/>
          <w:sz w:val="24"/>
          <w:szCs w:val="28"/>
          <w:highlight w:val="none"/>
          <w:lang w:val="en-US" w:eastAsia="zh-CN"/>
        </w:rPr>
        <w:t>9539347</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（请通过以下路径在线提起质疑：政采云-项目采购-询问质疑投诉-质疑列表）</w:t>
      </w:r>
    </w:p>
    <w:p w14:paraId="6A3776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54B6C753">
      <w:pPr>
        <w:pStyle w:val="80"/>
        <w:keepNext w:val="0"/>
        <w:keepLines w:val="0"/>
        <w:pageBreakBefore w:val="0"/>
        <w:shd w:val="clear"/>
        <w:kinsoku/>
        <w:wordWrap/>
        <w:overflowPunct/>
        <w:topLinePunct w:val="0"/>
        <w:bidi w:val="0"/>
        <w:adjustRightInd w:val="0"/>
        <w:snapToGrid/>
        <w:spacing w:line="360" w:lineRule="auto"/>
        <w:ind w:firstLine="48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名    称：</w:t>
      </w:r>
      <w:r>
        <w:rPr>
          <w:rFonts w:hint="eastAsia" w:ascii="宋体" w:hAnsi="宋体" w:eastAsia="宋体" w:cs="宋体"/>
          <w:color w:val="auto"/>
          <w:kern w:val="2"/>
          <w:sz w:val="24"/>
          <w:szCs w:val="24"/>
          <w:highlight w:val="none"/>
          <w:lang w:eastAsia="zh-CN"/>
        </w:rPr>
        <w:t>浙江铭华工程管理有限公司</w:t>
      </w:r>
    </w:p>
    <w:p w14:paraId="3ED8B866">
      <w:pPr>
        <w:pStyle w:val="80"/>
        <w:keepNext w:val="0"/>
        <w:keepLines w:val="0"/>
        <w:pageBreakBefore w:val="0"/>
        <w:shd w:val="clear"/>
        <w:kinsoku/>
        <w:wordWrap/>
        <w:overflowPunct/>
        <w:topLinePunct w:val="0"/>
        <w:bidi w:val="0"/>
        <w:adjustRightInd w:val="0"/>
        <w:snapToGrid/>
        <w:spacing w:line="360" w:lineRule="auto"/>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址：杭州市萧山区北干街道天汇园2幢1602室</w:t>
      </w:r>
    </w:p>
    <w:p w14:paraId="0EDAB895">
      <w:pPr>
        <w:pStyle w:val="80"/>
        <w:keepNext w:val="0"/>
        <w:keepLines w:val="0"/>
        <w:pageBreakBefore w:val="0"/>
        <w:shd w:val="clear"/>
        <w:kinsoku/>
        <w:wordWrap/>
        <w:overflowPunct/>
        <w:topLinePunct w:val="0"/>
        <w:bidi w:val="0"/>
        <w:adjustRightInd w:val="0"/>
        <w:snapToGrid/>
        <w:spacing w:line="360" w:lineRule="auto"/>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传    真：/</w:t>
      </w:r>
    </w:p>
    <w:p w14:paraId="40EC2695">
      <w:pPr>
        <w:pStyle w:val="80"/>
        <w:keepNext w:val="0"/>
        <w:keepLines w:val="0"/>
        <w:pageBreakBefore w:val="0"/>
        <w:shd w:val="clear"/>
        <w:kinsoku/>
        <w:wordWrap/>
        <w:overflowPunct/>
        <w:topLinePunct w:val="0"/>
        <w:bidi w:val="0"/>
        <w:adjustRightInd w:val="0"/>
        <w:snapToGrid/>
        <w:spacing w:line="360" w:lineRule="auto"/>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项目联系人（询问）：宋伊聪</w:t>
      </w:r>
    </w:p>
    <w:p w14:paraId="2B094350">
      <w:pPr>
        <w:pStyle w:val="80"/>
        <w:keepNext w:val="0"/>
        <w:keepLines w:val="0"/>
        <w:pageBreakBefore w:val="0"/>
        <w:shd w:val="clear"/>
        <w:kinsoku/>
        <w:wordWrap/>
        <w:overflowPunct/>
        <w:topLinePunct w:val="0"/>
        <w:bidi w:val="0"/>
        <w:adjustRightInd w:val="0"/>
        <w:snapToGrid/>
        <w:spacing w:line="360" w:lineRule="auto"/>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项目联系方式（询问）：19537680484 </w:t>
      </w:r>
    </w:p>
    <w:p w14:paraId="01D26D02">
      <w:pPr>
        <w:pStyle w:val="80"/>
        <w:keepNext w:val="0"/>
        <w:keepLines w:val="0"/>
        <w:pageBreakBefore w:val="0"/>
        <w:shd w:val="clear"/>
        <w:kinsoku/>
        <w:wordWrap/>
        <w:overflowPunct/>
        <w:topLinePunct w:val="0"/>
        <w:bidi w:val="0"/>
        <w:adjustRightInd w:val="0"/>
        <w:snapToGrid/>
        <w:spacing w:line="360" w:lineRule="auto"/>
        <w:ind w:firstLine="48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质疑联系人：张齐英</w:t>
      </w:r>
    </w:p>
    <w:p w14:paraId="5D8C245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rPr>
        <w:t>质疑联系方式：13388608202</w:t>
      </w:r>
      <w:r>
        <w:rPr>
          <w:rFonts w:hint="eastAsia" w:ascii="宋体" w:hAnsi="宋体" w:cs="宋体"/>
          <w:color w:val="auto"/>
          <w:sz w:val="24"/>
          <w:highlight w:val="none"/>
          <w:lang w:val="en-US" w:eastAsia="zh-CN"/>
        </w:rPr>
        <w:t>（请通过以下路径在线提起质疑：政采云-项目采购-询问质疑投诉-质疑列表）</w:t>
      </w:r>
    </w:p>
    <w:p w14:paraId="122B617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42FD487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称：杭州市财政局政府采购监管处/浙江省政府采购行政裁决服务中心(杭州)</w:t>
      </w:r>
    </w:p>
    <w:p w14:paraId="6CE23B9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杭州市上城区清泰街549号城建综合大楼11楼(快递仅限ems或顺丰)</w:t>
      </w:r>
      <w:r>
        <w:rPr>
          <w:rFonts w:hint="eastAsia" w:ascii="宋体" w:hAnsi="宋体" w:cs="宋体"/>
          <w:color w:val="auto"/>
          <w:sz w:val="24"/>
          <w:highlight w:val="none"/>
        </w:rPr>
        <w:t xml:space="preserve"> </w:t>
      </w:r>
    </w:p>
    <w:p w14:paraId="5209A2E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35E13CE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w:t>
      </w:r>
      <w:r>
        <w:rPr>
          <w:rFonts w:hint="eastAsia" w:ascii="宋体" w:hAnsi="宋体" w:cs="宋体"/>
          <w:color w:val="auto"/>
          <w:sz w:val="24"/>
          <w:highlight w:val="none"/>
          <w:lang w:eastAsia="zh-CN"/>
        </w:rPr>
        <w:t>匡老师</w:t>
      </w:r>
    </w:p>
    <w:p w14:paraId="60417FB4">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监督投诉电话：</w:t>
      </w:r>
      <w:r>
        <w:rPr>
          <w:rFonts w:hint="eastAsia" w:ascii="宋体" w:hAnsi="宋体" w:cs="宋体"/>
          <w:color w:val="auto"/>
          <w:sz w:val="24"/>
          <w:highlight w:val="none"/>
        </w:rPr>
        <w:t>0571-87807798</w:t>
      </w:r>
      <w:r>
        <w:rPr>
          <w:rFonts w:hint="eastAsia" w:ascii="宋体" w:hAnsi="宋体" w:cs="宋体"/>
          <w:color w:val="auto"/>
          <w:sz w:val="24"/>
          <w:highlight w:val="none"/>
        </w:rPr>
        <w:t xml:space="preserve">   </w:t>
      </w:r>
    </w:p>
    <w:p w14:paraId="51926452">
      <w:pPr>
        <w:spacing w:line="360" w:lineRule="auto"/>
        <w:ind w:firstLine="480"/>
        <w:rPr>
          <w:rFonts w:hint="eastAsia" w:ascii="宋体" w:hAnsi="宋体" w:cs="宋体"/>
          <w:color w:val="auto"/>
          <w:sz w:val="24"/>
          <w:highlight w:val="none"/>
        </w:rPr>
      </w:pPr>
    </w:p>
    <w:p w14:paraId="02FDC56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43C5EA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67F83947">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3B881672">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316FE71C">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14:paraId="616BF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1EAF068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l2br w:val="nil"/>
              <w:tr2bl w:val="nil"/>
            </w:tcBorders>
            <w:vAlign w:val="center"/>
          </w:tcPr>
          <w:p w14:paraId="22D1EEC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l2br w:val="nil"/>
              <w:tr2bl w:val="nil"/>
            </w:tcBorders>
            <w:vAlign w:val="center"/>
          </w:tcPr>
          <w:p w14:paraId="5952807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40BC2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8" w:hRule="atLeast"/>
        </w:trPr>
        <w:tc>
          <w:tcPr>
            <w:tcW w:w="629" w:type="dxa"/>
            <w:tcBorders>
              <w:tl2br w:val="nil"/>
              <w:tr2bl w:val="nil"/>
            </w:tcBorders>
            <w:vAlign w:val="center"/>
          </w:tcPr>
          <w:p w14:paraId="7367799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l2br w:val="nil"/>
              <w:tr2bl w:val="nil"/>
            </w:tcBorders>
            <w:vAlign w:val="center"/>
          </w:tcPr>
          <w:p w14:paraId="71569E4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l2br w:val="nil"/>
              <w:tr2bl w:val="nil"/>
            </w:tcBorders>
            <w:vAlign w:val="center"/>
          </w:tcPr>
          <w:p w14:paraId="20841E5D">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5590F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20" w:hRule="atLeast"/>
        </w:trPr>
        <w:tc>
          <w:tcPr>
            <w:tcW w:w="629" w:type="dxa"/>
            <w:tcBorders>
              <w:tl2br w:val="nil"/>
              <w:tr2bl w:val="nil"/>
            </w:tcBorders>
            <w:vAlign w:val="center"/>
          </w:tcPr>
          <w:p w14:paraId="7601DF2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l2br w:val="nil"/>
              <w:tr2bl w:val="nil"/>
            </w:tcBorders>
            <w:vAlign w:val="center"/>
          </w:tcPr>
          <w:p w14:paraId="210B54A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l2br w:val="nil"/>
              <w:tr2bl w:val="nil"/>
            </w:tcBorders>
            <w:vAlign w:val="center"/>
          </w:tcPr>
          <w:p w14:paraId="315AE58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2026年度企退人员活动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lang w:val="en-US" w:eastAsia="zh-CN"/>
              </w:rPr>
              <w:t>其他未列明行业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68D7CCEC">
            <w:pPr>
              <w:rPr>
                <w:rFonts w:hint="default" w:eastAsia="宋体"/>
                <w:color w:val="auto"/>
                <w:highlight w:val="none"/>
                <w:lang w:val="en-US" w:eastAsia="zh-CN"/>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tc>
      </w:tr>
      <w:tr w14:paraId="0C032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BCDD40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l2br w:val="nil"/>
              <w:tr2bl w:val="nil"/>
            </w:tcBorders>
            <w:vAlign w:val="center"/>
          </w:tcPr>
          <w:p w14:paraId="7E0BB54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l2br w:val="nil"/>
              <w:tr2bl w:val="nil"/>
            </w:tcBorders>
            <w:vAlign w:val="center"/>
          </w:tcPr>
          <w:p w14:paraId="52FDEC40">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4745278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058B887F">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746676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14:paraId="3E01F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4EB4ACE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l2br w:val="nil"/>
              <w:tr2bl w:val="nil"/>
            </w:tcBorders>
            <w:vAlign w:val="center"/>
          </w:tcPr>
          <w:p w14:paraId="024A6AE2">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l2br w:val="nil"/>
              <w:tr2bl w:val="nil"/>
            </w:tcBorders>
            <w:vAlign w:val="center"/>
          </w:tcPr>
          <w:p w14:paraId="60CC7E6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77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广告制作</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r>
              <w:rPr>
                <w:rFonts w:hint="eastAsia" w:ascii="宋体" w:hAnsi="宋体" w:cs="宋体"/>
                <w:color w:val="auto"/>
                <w:sz w:val="24"/>
                <w:highlight w:val="none"/>
              </w:rPr>
              <w:t>供应商将其他内容分包的视为“</w:t>
            </w:r>
            <w:r>
              <w:rPr>
                <w:rFonts w:hint="eastAsia" w:ascii="宋体" w:hAnsi="宋体" w:cs="宋体"/>
                <w:color w:val="auto"/>
                <w:kern w:val="0"/>
                <w:sz w:val="24"/>
                <w:highlight w:val="none"/>
              </w:rPr>
              <w:t>投标文件含有采购人不能接受的附加条件”，投标无效。</w:t>
            </w:r>
          </w:p>
          <w:p w14:paraId="42EBA527">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5936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038AF1AF">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4370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0" w:hRule="atLeast"/>
        </w:trPr>
        <w:tc>
          <w:tcPr>
            <w:tcW w:w="629" w:type="dxa"/>
            <w:tcBorders>
              <w:tl2br w:val="nil"/>
              <w:tr2bl w:val="nil"/>
            </w:tcBorders>
            <w:vAlign w:val="center"/>
          </w:tcPr>
          <w:p w14:paraId="673597C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l2br w:val="nil"/>
              <w:tr2bl w:val="nil"/>
            </w:tcBorders>
            <w:vAlign w:val="center"/>
          </w:tcPr>
          <w:p w14:paraId="0CADC06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l2br w:val="nil"/>
              <w:tr2bl w:val="nil"/>
            </w:tcBorders>
            <w:vAlign w:val="center"/>
          </w:tcPr>
          <w:p w14:paraId="0F84FBAA">
            <w:pPr>
              <w:spacing w:line="360" w:lineRule="auto"/>
              <w:rPr>
                <w:color w:val="auto"/>
                <w:highlight w:val="none"/>
              </w:rPr>
            </w:pPr>
            <w:sdt>
              <w:sdtPr>
                <w:rPr>
                  <w:rFonts w:hint="eastAsia" w:ascii="宋体" w:hAnsi="宋体" w:cs="宋体"/>
                  <w:color w:val="auto"/>
                  <w:kern w:val="0"/>
                  <w:sz w:val="24"/>
                  <w:highlight w:val="none"/>
                </w:rPr>
                <w:id w:val="14746447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tc>
      </w:tr>
      <w:tr w14:paraId="02CC9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5" w:hRule="atLeast"/>
        </w:trPr>
        <w:tc>
          <w:tcPr>
            <w:tcW w:w="629" w:type="dxa"/>
            <w:tcBorders>
              <w:tl2br w:val="nil"/>
              <w:tr2bl w:val="nil"/>
            </w:tcBorders>
            <w:vAlign w:val="center"/>
          </w:tcPr>
          <w:p w14:paraId="53C5388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l2br w:val="nil"/>
              <w:tr2bl w:val="nil"/>
            </w:tcBorders>
            <w:vAlign w:val="center"/>
          </w:tcPr>
          <w:p w14:paraId="1DE495D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l2br w:val="nil"/>
              <w:tr2bl w:val="nil"/>
            </w:tcBorders>
            <w:vAlign w:val="center"/>
          </w:tcPr>
          <w:p w14:paraId="50CFC298">
            <w:pPr>
              <w:spacing w:line="360" w:lineRule="auto"/>
              <w:rPr>
                <w:rFonts w:ascii="宋体" w:hAnsi="宋体" w:cs="宋体"/>
                <w:b/>
                <w:color w:val="auto"/>
                <w:sz w:val="24"/>
                <w:highlight w:val="none"/>
              </w:rPr>
            </w:pPr>
            <w:sdt>
              <w:sdtPr>
                <w:rPr>
                  <w:rFonts w:hint="eastAsia" w:ascii="宋体" w:hAnsi="宋体" w:cs="宋体"/>
                  <w:color w:val="auto"/>
                  <w:kern w:val="0"/>
                  <w:sz w:val="24"/>
                  <w:highlight w:val="none"/>
                </w:rPr>
                <w:id w:val="14747069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tc>
      </w:tr>
      <w:tr w14:paraId="3D980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5" w:hRule="atLeast"/>
        </w:trPr>
        <w:tc>
          <w:tcPr>
            <w:tcW w:w="629" w:type="dxa"/>
            <w:tcBorders>
              <w:tl2br w:val="nil"/>
              <w:tr2bl w:val="nil"/>
            </w:tcBorders>
            <w:vAlign w:val="center"/>
          </w:tcPr>
          <w:p w14:paraId="7C31C1A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l2br w:val="nil"/>
              <w:tr2bl w:val="nil"/>
            </w:tcBorders>
            <w:vAlign w:val="center"/>
          </w:tcPr>
          <w:p w14:paraId="7ED034B4">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l2br w:val="nil"/>
              <w:tr2bl w:val="nil"/>
            </w:tcBorders>
            <w:vAlign w:val="center"/>
          </w:tcPr>
          <w:p w14:paraId="180928C2">
            <w:pPr>
              <w:spacing w:line="360" w:lineRule="auto"/>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296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tc>
      </w:tr>
      <w:tr w14:paraId="78DC8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7A42CD3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l2br w:val="nil"/>
              <w:tr2bl w:val="nil"/>
            </w:tcBorders>
            <w:vAlign w:val="center"/>
          </w:tcPr>
          <w:p w14:paraId="6EAC2C7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资质等</w:t>
            </w:r>
            <w:r>
              <w:rPr>
                <w:rFonts w:hint="eastAsia" w:ascii="宋体" w:hAnsi="宋体" w:cs="宋体"/>
                <w:b/>
                <w:color w:val="auto"/>
                <w:sz w:val="24"/>
                <w:highlight w:val="none"/>
              </w:rPr>
              <w:t>证明文件</w:t>
            </w:r>
          </w:p>
        </w:tc>
        <w:tc>
          <w:tcPr>
            <w:tcW w:w="6095" w:type="dxa"/>
            <w:tcBorders>
              <w:tl2br w:val="nil"/>
              <w:tr2bl w:val="nil"/>
            </w:tcBorders>
            <w:vAlign w:val="center"/>
          </w:tcPr>
          <w:p w14:paraId="1282473E">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674DFBCC">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5633F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6B6C9460">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709022F6">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343D3C51">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14:paraId="319ED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7DA1367C">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1843" w:type="dxa"/>
            <w:tcBorders>
              <w:tl2br w:val="nil"/>
              <w:tr2bl w:val="nil"/>
            </w:tcBorders>
            <w:vAlign w:val="center"/>
          </w:tcPr>
          <w:p w14:paraId="0AAD375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tcBorders>
              <w:tl2br w:val="nil"/>
              <w:tr2bl w:val="nil"/>
            </w:tcBorders>
            <w:vAlign w:val="center"/>
          </w:tcPr>
          <w:p w14:paraId="274913E1">
            <w:pPr>
              <w:pStyle w:val="80"/>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018D512B">
            <w:pPr>
              <w:pStyle w:val="80"/>
              <w:spacing w:line="360" w:lineRule="auto"/>
              <w:jc w:val="both"/>
              <w:rPr>
                <w:rFonts w:hint="eastAsia" w:ascii="宋体" w:hAnsi="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8306"/>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实施政府强制采购，</w:t>
            </w:r>
            <w:r>
              <w:rPr>
                <w:rFonts w:hint="eastAsia" w:ascii="宋体" w:hAnsi="宋体" w:cs="宋体"/>
                <w:b/>
                <w:bCs/>
                <w:color w:val="auto"/>
                <w:kern w:val="0"/>
                <w:sz w:val="24"/>
                <w:highlight w:val="none"/>
                <w:lang w:val="zh-CN"/>
              </w:rPr>
              <w:t>投标人</w:t>
            </w:r>
            <w:r>
              <w:rPr>
                <w:rFonts w:hint="eastAsia" w:ascii="宋体" w:hAnsi="宋体" w:cs="宋体"/>
                <w:b/>
                <w:bCs/>
                <w:color w:val="auto"/>
                <w:kern w:val="0"/>
                <w:sz w:val="24"/>
                <w:highlight w:val="none"/>
              </w:rPr>
              <w:t>就</w:t>
            </w:r>
            <w:r>
              <w:rPr>
                <w:rFonts w:hint="eastAsia" w:ascii="宋体" w:hAnsi="宋体" w:cs="宋体"/>
                <w:b/>
                <w:bCs/>
                <w:color w:val="auto"/>
                <w:kern w:val="0"/>
                <w:sz w:val="24"/>
                <w:highlight w:val="none"/>
                <w:lang w:val="zh-CN"/>
              </w:rPr>
              <w:t>相应的投标产品未</w:t>
            </w:r>
            <w:r>
              <w:rPr>
                <w:rFonts w:hint="eastAsia" w:ascii="宋体" w:hAnsi="宋体" w:cs="宋体"/>
                <w:b/>
                <w:bCs/>
                <w:color w:val="auto"/>
                <w:kern w:val="0"/>
                <w:sz w:val="24"/>
                <w:highlight w:val="none"/>
              </w:rPr>
              <w:t>提供</w:t>
            </w:r>
            <w:r>
              <w:rPr>
                <w:rFonts w:hint="eastAsia" w:ascii="宋体" w:hAnsi="宋体" w:cs="宋体"/>
                <w:b/>
                <w:bCs/>
                <w:color w:val="auto"/>
                <w:kern w:val="0"/>
                <w:sz w:val="24"/>
                <w:highlight w:val="none"/>
                <w:lang w:val="zh-CN"/>
              </w:rPr>
              <w:t>国家确定的认证机构出具的、处于有效期之内的节能产品认证证书的，投标无效</w:t>
            </w:r>
            <w:r>
              <w:rPr>
                <w:rFonts w:hint="eastAsia" w:ascii="宋体" w:hAnsi="宋体" w:cs="宋体"/>
                <w:color w:val="auto"/>
                <w:kern w:val="0"/>
                <w:sz w:val="24"/>
                <w:highlight w:val="none"/>
                <w:lang w:val="zh-CN"/>
              </w:rPr>
              <w:t>。</w:t>
            </w:r>
          </w:p>
          <w:p w14:paraId="737420B1">
            <w:pPr>
              <w:pStyle w:val="80"/>
              <w:spacing w:line="360" w:lineRule="auto"/>
              <w:jc w:val="both"/>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3017C63F">
            <w:pPr>
              <w:pStyle w:val="80"/>
              <w:spacing w:line="360" w:lineRule="auto"/>
              <w:jc w:val="both"/>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260CF9E4">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14:paraId="29EA2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731C679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l2br w:val="nil"/>
              <w:tr2bl w:val="nil"/>
            </w:tcBorders>
            <w:vAlign w:val="center"/>
          </w:tcPr>
          <w:p w14:paraId="026FDECF">
            <w:pPr>
              <w:snapToGrid w:val="0"/>
              <w:spacing w:line="360" w:lineRule="auto"/>
              <w:jc w:val="center"/>
              <w:rPr>
                <w:rFonts w:ascii="宋体" w:hAnsi="宋体" w:cs="宋体"/>
                <w:b w:val="0"/>
                <w:bCs/>
                <w:color w:val="auto"/>
                <w:sz w:val="24"/>
                <w:highlight w:val="none"/>
              </w:rPr>
            </w:pPr>
            <w:r>
              <w:rPr>
                <w:rFonts w:hint="eastAsia" w:ascii="宋体" w:hAnsi="宋体" w:cs="宋体"/>
                <w:b w:val="0"/>
                <w:bCs/>
                <w:color w:val="auto"/>
                <w:sz w:val="24"/>
                <w:highlight w:val="none"/>
              </w:rPr>
              <w:t>报价要求</w:t>
            </w:r>
          </w:p>
        </w:tc>
        <w:tc>
          <w:tcPr>
            <w:tcW w:w="6095" w:type="dxa"/>
            <w:tcBorders>
              <w:tl2br w:val="nil"/>
              <w:tr2bl w:val="nil"/>
            </w:tcBorders>
            <w:vAlign w:val="center"/>
          </w:tcPr>
          <w:p w14:paraId="4EE04D16">
            <w:pPr>
              <w:keepNext w:val="0"/>
              <w:keepLines w:val="0"/>
              <w:pageBreakBefore w:val="0"/>
              <w:kinsoku/>
              <w:wordWrap/>
              <w:overflowPunct/>
              <w:topLinePunct w:val="0"/>
              <w:autoSpaceDE/>
              <w:autoSpaceDN/>
              <w:bidi w:val="0"/>
              <w:adjustRightInd w:val="0"/>
              <w:snapToGrid w:val="0"/>
              <w:spacing w:line="360" w:lineRule="auto"/>
              <w:jc w:val="left"/>
              <w:rPr>
                <w:rFonts w:ascii="宋体" w:hAnsi="宋体" w:cs="宋体"/>
                <w:b w:val="0"/>
                <w:bCs/>
                <w:color w:val="auto"/>
                <w:kern w:val="0"/>
                <w:sz w:val="24"/>
                <w:highlight w:val="none"/>
                <w:lang w:val="zh-CN"/>
              </w:rPr>
            </w:pPr>
            <w:r>
              <w:rPr>
                <w:rFonts w:hint="eastAsia" w:ascii="宋体" w:hAnsi="宋体" w:cs="宋体"/>
                <w:b w:val="0"/>
                <w:bCs/>
                <w:color w:val="auto"/>
                <w:kern w:val="0"/>
                <w:sz w:val="24"/>
                <w:highlight w:val="none"/>
                <w:lang w:val="zh-CN"/>
              </w:rPr>
              <w:t>（</w:t>
            </w:r>
            <w:r>
              <w:rPr>
                <w:rFonts w:hint="eastAsia" w:ascii="宋体" w:hAnsi="宋体" w:cs="宋体"/>
                <w:b w:val="0"/>
                <w:bCs/>
                <w:color w:val="auto"/>
                <w:kern w:val="0"/>
                <w:sz w:val="24"/>
                <w:highlight w:val="none"/>
                <w:lang w:val="en-US" w:eastAsia="zh-CN"/>
              </w:rPr>
              <w:t>1</w:t>
            </w:r>
            <w:r>
              <w:rPr>
                <w:rFonts w:hint="eastAsia" w:ascii="宋体" w:hAnsi="宋体" w:cs="宋体"/>
                <w:b w:val="0"/>
                <w:bCs/>
                <w:color w:val="auto"/>
                <w:kern w:val="0"/>
                <w:sz w:val="24"/>
                <w:highlight w:val="none"/>
                <w:lang w:val="zh-CN"/>
              </w:rPr>
              <w:t>）有关本项目实施所需的所有费用（含税费）均计入报价。投标文件</w:t>
            </w:r>
            <w:r>
              <w:rPr>
                <w:rFonts w:hint="eastAsia" w:ascii="宋体" w:hAnsi="宋体" w:cs="宋体"/>
                <w:b w:val="0"/>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b w:val="0"/>
                <w:bCs/>
                <w:color w:val="auto"/>
                <w:kern w:val="0"/>
                <w:sz w:val="24"/>
                <w:highlight w:val="none"/>
                <w:lang w:val="zh-CN"/>
              </w:rPr>
              <w:t>投标文件中价格全部采用人民币报价。招标文件未列明，而投标人认为必需的费用也需列入报价。提醒：验收时检测费用由采购人承担，不包含在投标总价中。</w:t>
            </w:r>
          </w:p>
          <w:p w14:paraId="09C774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360" w:lineRule="auto"/>
              <w:ind w:left="0" w:right="0" w:firstLine="0" w:firstLineChars="0"/>
              <w:jc w:val="both"/>
              <w:textAlignment w:val="baseline"/>
              <w:rPr>
                <w:rFonts w:hint="default" w:ascii="Calibri" w:hAnsi="Calibri" w:cs="Calibri"/>
                <w:b w:val="0"/>
                <w:bCs/>
                <w:i w:val="0"/>
                <w:iCs w:val="0"/>
                <w:caps w:val="0"/>
                <w:color w:val="auto"/>
                <w:spacing w:val="0"/>
                <w:sz w:val="21"/>
                <w:szCs w:val="21"/>
                <w:highlight w:val="none"/>
              </w:rPr>
            </w:pPr>
            <w:r>
              <w:rPr>
                <w:rFonts w:hint="eastAsia" w:ascii="宋体" w:hAnsi="宋体" w:cs="宋体"/>
                <w:b w:val="0"/>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val="0"/>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76FC28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360" w:lineRule="auto"/>
              <w:ind w:left="0" w:right="0" w:firstLine="0"/>
              <w:jc w:val="both"/>
              <w:textAlignment w:val="baseline"/>
              <w:rPr>
                <w:rFonts w:hint="default" w:ascii="Calibri" w:hAnsi="Calibri" w:cs="Calibri"/>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val="0"/>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val="0"/>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val="0"/>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val="0"/>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val="0"/>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val="0"/>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val="0"/>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val="0"/>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val="0"/>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val="0"/>
                <w:bCs/>
                <w:i w:val="0"/>
                <w:iCs w:val="0"/>
                <w:caps w:val="0"/>
                <w:color w:val="auto"/>
                <w:spacing w:val="0"/>
                <w:w w:val="100"/>
                <w:kern w:val="0"/>
                <w:sz w:val="24"/>
                <w:szCs w:val="24"/>
                <w:highlight w:val="none"/>
                <w:shd w:val="clear" w:fill="FFFFFF"/>
                <w:vertAlign w:val="baseline"/>
                <w:lang w:val="en-US" w:eastAsia="zh-CN" w:bidi="ar"/>
              </w:rPr>
              <w:t>；</w:t>
            </w:r>
          </w:p>
          <w:p w14:paraId="45144D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360" w:lineRule="auto"/>
              <w:ind w:left="0" w:right="0" w:firstLine="0"/>
              <w:jc w:val="both"/>
              <w:textAlignment w:val="baseline"/>
              <w:rPr>
                <w:rFonts w:hint="default" w:ascii="Calibri" w:hAnsi="Calibri" w:cs="Calibri"/>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val="0"/>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val="0"/>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val="0"/>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val="0"/>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val="0"/>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val="0"/>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val="0"/>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val="0"/>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val="0"/>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val="0"/>
                <w:bCs/>
                <w:i w:val="0"/>
                <w:iCs w:val="0"/>
                <w:caps w:val="0"/>
                <w:color w:val="auto"/>
                <w:spacing w:val="0"/>
                <w:w w:val="100"/>
                <w:kern w:val="0"/>
                <w:sz w:val="24"/>
                <w:szCs w:val="24"/>
                <w:highlight w:val="none"/>
                <w:shd w:val="clear" w:fill="FFFFFF"/>
                <w:vertAlign w:val="baseline"/>
                <w:lang w:val="en-US" w:eastAsia="zh-CN" w:bidi="ar"/>
              </w:rPr>
              <w:t>；</w:t>
            </w:r>
          </w:p>
          <w:p w14:paraId="6EE566CA">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line="360" w:lineRule="auto"/>
              <w:ind w:firstLine="0"/>
              <w:jc w:val="both"/>
              <w:textAlignment w:val="baseline"/>
              <w:rPr>
                <w:rFonts w:hint="eastAsia" w:ascii="宋体" w:hAnsi="宋体" w:eastAsia="宋体" w:cs="宋体"/>
                <w:b w:val="0"/>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val="0"/>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val="0"/>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val="0"/>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val="0"/>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val="0"/>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val="0"/>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val="0"/>
                <w:bCs/>
                <w:i w:val="0"/>
                <w:iCs w:val="0"/>
                <w:caps w:val="0"/>
                <w:color w:val="auto"/>
                <w:spacing w:val="0"/>
                <w:w w:val="100"/>
                <w:kern w:val="0"/>
                <w:sz w:val="24"/>
                <w:szCs w:val="24"/>
                <w:highlight w:val="none"/>
                <w:shd w:val="clear" w:fill="FFFFFF"/>
                <w:vertAlign w:val="baseline"/>
                <w:lang w:val="en-US" w:eastAsia="zh-CN" w:bidi="ar"/>
              </w:rPr>
              <w:t>；</w:t>
            </w:r>
          </w:p>
          <w:p w14:paraId="7ACE7CEC">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line="360" w:lineRule="auto"/>
              <w:ind w:firstLine="0"/>
              <w:jc w:val="both"/>
              <w:textAlignment w:val="baseline"/>
              <w:rPr>
                <w:b w:val="0"/>
                <w:bCs/>
                <w:color w:val="auto"/>
                <w:highlight w:val="none"/>
              </w:rPr>
            </w:pPr>
            <w:r>
              <w:rPr>
                <w:rFonts w:hint="eastAsia" w:ascii="宋体" w:hAnsi="宋体" w:eastAsia="宋体" w:cs="宋体"/>
                <w:b w:val="0"/>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5D888DB3">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line="360" w:lineRule="auto"/>
              <w:ind w:firstLine="0"/>
              <w:jc w:val="both"/>
              <w:textAlignment w:val="baseline"/>
              <w:rPr>
                <w:rFonts w:hint="eastAsia"/>
                <w:b w:val="0"/>
                <w:bCs/>
                <w:color w:val="auto"/>
                <w:highlight w:val="none"/>
                <w:lang w:val="en-US" w:eastAsia="zh-CN"/>
              </w:rPr>
            </w:pPr>
            <w:r>
              <w:rPr>
                <w:rFonts w:hint="eastAsia" w:ascii="宋体" w:hAnsi="宋体" w:eastAsia="宋体" w:cs="宋体"/>
                <w:b w:val="0"/>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62455CEA">
            <w:pPr>
              <w:keepNext w:val="0"/>
              <w:keepLines w:val="0"/>
              <w:pageBreakBefore w:val="0"/>
              <w:kinsoku/>
              <w:wordWrap/>
              <w:overflowPunct/>
              <w:topLinePunct w:val="0"/>
              <w:autoSpaceDE/>
              <w:autoSpaceDN/>
              <w:bidi w:val="0"/>
              <w:adjustRightInd w:val="0"/>
              <w:snapToGrid w:val="0"/>
              <w:spacing w:line="360" w:lineRule="auto"/>
              <w:jc w:val="left"/>
              <w:rPr>
                <w:rFonts w:ascii="宋体" w:hAnsi="宋体" w:cs="宋体"/>
                <w:b w:val="0"/>
                <w:bCs/>
                <w:color w:val="auto"/>
                <w:kern w:val="0"/>
                <w:sz w:val="24"/>
                <w:highlight w:val="none"/>
                <w:lang w:val="zh-CN"/>
              </w:rPr>
            </w:pPr>
            <w:r>
              <w:rPr>
                <w:rFonts w:hint="eastAsia" w:ascii="宋体" w:hAnsi="宋体" w:cs="宋体"/>
                <w:b w:val="0"/>
                <w:bCs/>
                <w:color w:val="auto"/>
                <w:kern w:val="0"/>
                <w:sz w:val="24"/>
                <w:highlight w:val="none"/>
                <w:lang w:val="zh-CN"/>
              </w:rPr>
              <w:t>（</w:t>
            </w:r>
            <w:r>
              <w:rPr>
                <w:rFonts w:hint="eastAsia" w:ascii="宋体" w:hAnsi="宋体" w:cs="宋体"/>
                <w:b w:val="0"/>
                <w:bCs/>
                <w:color w:val="auto"/>
                <w:kern w:val="0"/>
                <w:sz w:val="24"/>
                <w:highlight w:val="none"/>
                <w:lang w:val="en-US" w:eastAsia="zh-CN"/>
              </w:rPr>
              <w:t>3</w:t>
            </w:r>
            <w:r>
              <w:rPr>
                <w:rFonts w:hint="eastAsia" w:ascii="宋体" w:hAnsi="宋体" w:cs="宋体"/>
                <w:b w:val="0"/>
                <w:bCs/>
                <w:color w:val="auto"/>
                <w:kern w:val="0"/>
                <w:sz w:val="24"/>
                <w:highlight w:val="none"/>
                <w:lang w:val="zh-CN"/>
              </w:rPr>
              <w:t>）投标报价出现下列情形的，投标无效：</w:t>
            </w:r>
          </w:p>
          <w:p w14:paraId="1E12D62B">
            <w:pPr>
              <w:keepNext w:val="0"/>
              <w:keepLines w:val="0"/>
              <w:pageBreakBefore w:val="0"/>
              <w:kinsoku/>
              <w:wordWrap/>
              <w:overflowPunct/>
              <w:topLinePunct w:val="0"/>
              <w:autoSpaceDE/>
              <w:autoSpaceDN/>
              <w:bidi w:val="0"/>
              <w:adjustRightInd w:val="0"/>
              <w:snapToGrid w:val="0"/>
              <w:spacing w:line="360" w:lineRule="auto"/>
              <w:ind w:firstLine="240" w:firstLineChars="100"/>
              <w:jc w:val="left"/>
              <w:rPr>
                <w:rFonts w:ascii="宋体" w:hAnsi="宋体" w:cs="宋体"/>
                <w:b w:val="0"/>
                <w:bCs/>
                <w:color w:val="auto"/>
                <w:kern w:val="0"/>
                <w:sz w:val="24"/>
                <w:highlight w:val="none"/>
                <w:lang w:val="zh-CN"/>
              </w:rPr>
            </w:pPr>
            <w:r>
              <w:rPr>
                <w:rFonts w:hint="eastAsia" w:ascii="宋体" w:hAnsi="宋体" w:cs="宋体"/>
                <w:b w:val="0"/>
                <w:bCs/>
                <w:color w:val="auto"/>
                <w:kern w:val="0"/>
                <w:sz w:val="24"/>
                <w:highlight w:val="none"/>
                <w:lang w:val="zh-CN"/>
              </w:rPr>
              <w:t>投标文件出现不是唯一的、有选择性投标报价的；</w:t>
            </w:r>
          </w:p>
          <w:p w14:paraId="2B268C98">
            <w:pPr>
              <w:keepNext w:val="0"/>
              <w:keepLines w:val="0"/>
              <w:pageBreakBefore w:val="0"/>
              <w:kinsoku/>
              <w:wordWrap/>
              <w:overflowPunct/>
              <w:topLinePunct w:val="0"/>
              <w:autoSpaceDE/>
              <w:autoSpaceDN/>
              <w:bidi w:val="0"/>
              <w:adjustRightInd w:val="0"/>
              <w:snapToGrid w:val="0"/>
              <w:spacing w:line="360" w:lineRule="auto"/>
              <w:ind w:firstLine="240" w:firstLineChars="100"/>
              <w:jc w:val="left"/>
              <w:rPr>
                <w:rFonts w:ascii="宋体" w:hAnsi="宋体" w:cs="宋体"/>
                <w:b w:val="0"/>
                <w:bCs/>
                <w:color w:val="auto"/>
                <w:kern w:val="0"/>
                <w:sz w:val="24"/>
                <w:highlight w:val="none"/>
                <w:lang w:val="zh-CN"/>
              </w:rPr>
            </w:pPr>
            <w:r>
              <w:rPr>
                <w:rFonts w:hint="eastAsia" w:ascii="宋体" w:hAnsi="宋体" w:cs="宋体"/>
                <w:b w:val="0"/>
                <w:bCs/>
                <w:color w:val="auto"/>
                <w:kern w:val="0"/>
                <w:sz w:val="24"/>
                <w:highlight w:val="none"/>
                <w:lang w:val="zh-CN"/>
              </w:rPr>
              <w:t>投标报价超过招标文件中规定的预算金额或者最高限价的;</w:t>
            </w:r>
          </w:p>
          <w:p w14:paraId="03F3EE9B">
            <w:pPr>
              <w:keepNext w:val="0"/>
              <w:keepLines w:val="0"/>
              <w:pageBreakBefore w:val="0"/>
              <w:kinsoku/>
              <w:wordWrap/>
              <w:overflowPunct/>
              <w:topLinePunct w:val="0"/>
              <w:autoSpaceDE/>
              <w:autoSpaceDN/>
              <w:bidi w:val="0"/>
              <w:adjustRightInd w:val="0"/>
              <w:spacing w:line="360" w:lineRule="auto"/>
              <w:ind w:firstLine="240" w:firstLineChars="100"/>
              <w:rPr>
                <w:rFonts w:ascii="宋体" w:hAnsi="宋体" w:cs="宋体"/>
                <w:b w:val="0"/>
                <w:bCs/>
                <w:color w:val="auto"/>
                <w:sz w:val="24"/>
                <w:highlight w:val="none"/>
              </w:rPr>
            </w:pPr>
            <w:r>
              <w:rPr>
                <w:rFonts w:hint="eastAsia" w:ascii="宋体" w:hAnsi="宋体" w:eastAsia="宋体" w:cs="宋体"/>
                <w:b w:val="0"/>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val="0"/>
                <w:bCs/>
                <w:color w:val="auto"/>
                <w:sz w:val="24"/>
                <w:szCs w:val="21"/>
                <w:highlight w:val="none"/>
              </w:rPr>
              <w:t>;</w:t>
            </w:r>
          </w:p>
          <w:p w14:paraId="12C8EF39">
            <w:pPr>
              <w:keepNext w:val="0"/>
              <w:keepLines w:val="0"/>
              <w:pageBreakBefore w:val="0"/>
              <w:kinsoku/>
              <w:wordWrap/>
              <w:overflowPunct/>
              <w:topLinePunct w:val="0"/>
              <w:autoSpaceDE/>
              <w:autoSpaceDN/>
              <w:bidi w:val="0"/>
              <w:adjustRightInd w:val="0"/>
              <w:spacing w:line="360" w:lineRule="auto"/>
              <w:ind w:firstLine="240" w:firstLineChars="100"/>
              <w:rPr>
                <w:rFonts w:ascii="宋体" w:hAnsi="宋体" w:cs="宋体"/>
                <w:b w:val="0"/>
                <w:bCs/>
                <w:color w:val="auto"/>
                <w:sz w:val="24"/>
                <w:highlight w:val="none"/>
              </w:rPr>
            </w:pPr>
            <w:r>
              <w:rPr>
                <w:rFonts w:hint="eastAsia" w:ascii="宋体" w:hAnsi="宋体" w:cs="宋体"/>
                <w:b w:val="0"/>
                <w:bCs/>
                <w:color w:val="auto"/>
                <w:kern w:val="0"/>
                <w:sz w:val="24"/>
                <w:highlight w:val="none"/>
              </w:rPr>
              <w:t>投标人对根据修正原则修正后的报价不确认的</w:t>
            </w:r>
            <w:r>
              <w:rPr>
                <w:rFonts w:hint="eastAsia" w:ascii="宋体" w:hAnsi="宋体" w:cs="宋体"/>
                <w:b w:val="0"/>
                <w:bCs/>
                <w:color w:val="auto"/>
                <w:sz w:val="24"/>
                <w:highlight w:val="none"/>
              </w:rPr>
              <w:t>。</w:t>
            </w:r>
          </w:p>
        </w:tc>
      </w:tr>
      <w:tr w14:paraId="63B14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14:paraId="2AE614C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l2br w:val="nil"/>
              <w:tr2bl w:val="nil"/>
            </w:tcBorders>
            <w:vAlign w:val="center"/>
          </w:tcPr>
          <w:p w14:paraId="664DC2C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l2br w:val="nil"/>
              <w:tr2bl w:val="nil"/>
            </w:tcBorders>
            <w:vAlign w:val="center"/>
          </w:tcPr>
          <w:p w14:paraId="3AE4FD9E">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4704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74BACA9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l2br w:val="nil"/>
              <w:tr2bl w:val="nil"/>
            </w:tcBorders>
            <w:vAlign w:val="center"/>
          </w:tcPr>
          <w:p w14:paraId="4E24462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l2br w:val="nil"/>
              <w:tr2bl w:val="nil"/>
            </w:tcBorders>
            <w:vAlign w:val="center"/>
          </w:tcPr>
          <w:p w14:paraId="409CBA84">
            <w:pPr>
              <w:pStyle w:val="32"/>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lang w:val="en-US" w:eastAsia="zh-CN"/>
              </w:rPr>
              <w:t>/</w:t>
            </w:r>
            <w:r>
              <w:rPr>
                <w:rFonts w:hint="eastAsia" w:hAnsi="宋体" w:cs="宋体"/>
                <w:color w:val="auto"/>
                <w:sz w:val="24"/>
                <w:highlight w:val="none"/>
                <w:u w:val="single"/>
              </w:rPr>
              <w:t xml:space="preserve">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采购人、采购机构不强制或变相强制投标人提交备份投标文件。</w:t>
            </w:r>
          </w:p>
        </w:tc>
      </w:tr>
      <w:tr w14:paraId="70343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6AD6039E">
            <w:pPr>
              <w:snapToGrid w:val="0"/>
              <w:spacing w:line="360" w:lineRule="auto"/>
              <w:jc w:val="center"/>
              <w:rPr>
                <w:rFonts w:hint="default" w:ascii="宋体" w:hAnsi="宋体" w:eastAsia="宋体" w:cs="宋体"/>
                <w:color w:val="auto"/>
                <w:sz w:val="24"/>
                <w:highlight w:val="none"/>
                <w:lang w:val="en" w:eastAsia="zh-CN"/>
              </w:rPr>
            </w:pPr>
            <w:r>
              <w:rPr>
                <w:rFonts w:hint="eastAsia" w:ascii="宋体" w:hAnsi="宋体" w:cs="宋体"/>
                <w:color w:val="auto"/>
                <w:sz w:val="24"/>
                <w:highlight w:val="none"/>
              </w:rPr>
              <w:t>1</w:t>
            </w:r>
            <w:r>
              <w:rPr>
                <w:rFonts w:hint="default" w:ascii="宋体" w:hAnsi="宋体" w:cs="宋体"/>
                <w:color w:val="auto"/>
                <w:sz w:val="24"/>
                <w:highlight w:val="none"/>
                <w:lang w:val="en" w:eastAsia="zh-CN"/>
              </w:rPr>
              <w:t>3</w:t>
            </w:r>
          </w:p>
        </w:tc>
        <w:tc>
          <w:tcPr>
            <w:tcW w:w="1843" w:type="dxa"/>
            <w:vMerge w:val="restart"/>
            <w:tcBorders>
              <w:tl2br w:val="nil"/>
              <w:tr2bl w:val="nil"/>
            </w:tcBorders>
            <w:vAlign w:val="center"/>
          </w:tcPr>
          <w:p w14:paraId="745C10F8">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l2br w:val="nil"/>
              <w:tr2bl w:val="nil"/>
            </w:tcBorders>
            <w:vAlign w:val="center"/>
          </w:tcPr>
          <w:p w14:paraId="3F66AD78">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1EEBE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6260D4F5">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10C2343C">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68F4BE9D">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54148"/>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1CD06BB8">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75730"/>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31785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66D34FC8">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3416CE43">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673570E7">
            <w:pPr>
              <w:spacing w:line="360" w:lineRule="auto"/>
              <w:rPr>
                <w:rFonts w:cs="Arial" w:asciiTheme="minorEastAsia" w:hAnsiTheme="minorEastAsia" w:eastAsiaTheme="minorEastAsia"/>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14:paraId="754A4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0BE5156E">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l2br w:val="nil"/>
              <w:tr2bl w:val="nil"/>
            </w:tcBorders>
            <w:vAlign w:val="center"/>
          </w:tcPr>
          <w:p w14:paraId="746F452E">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l2br w:val="nil"/>
              <w:tr2bl w:val="nil"/>
            </w:tcBorders>
            <w:vAlign w:val="center"/>
          </w:tcPr>
          <w:p w14:paraId="3CB6BFF9">
            <w:pPr>
              <w:spacing w:line="360" w:lineRule="auto"/>
              <w:jc w:val="left"/>
              <w:rPr>
                <w:rFonts w:hint="eastAsia" w:ascii="宋体" w:hAnsi="宋体" w:cs="Arial"/>
                <w:color w:val="auto"/>
                <w:kern w:val="0"/>
                <w:sz w:val="24"/>
                <w:highlight w:val="none"/>
                <w:lang w:val="en" w:eastAsia="zh-CN"/>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标项一1名、标项二1名  </w:t>
            </w:r>
            <w:r>
              <w:rPr>
                <w:rFonts w:hint="eastAsia" w:ascii="宋体" w:hAnsi="宋体" w:cs="Arial"/>
                <w:color w:val="auto"/>
                <w:kern w:val="0"/>
                <w:sz w:val="24"/>
                <w:highlight w:val="none"/>
                <w:lang w:val="en" w:eastAsia="zh-CN"/>
              </w:rPr>
              <w:t>。</w:t>
            </w:r>
          </w:p>
        </w:tc>
      </w:tr>
      <w:tr w14:paraId="24212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78B8D511">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l2br w:val="nil"/>
              <w:tr2bl w:val="nil"/>
            </w:tcBorders>
            <w:vAlign w:val="center"/>
          </w:tcPr>
          <w:p w14:paraId="7C18A540">
            <w:pPr>
              <w:snapToGrid w:val="0"/>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l2br w:val="nil"/>
              <w:tr2bl w:val="nil"/>
            </w:tcBorders>
            <w:vAlign w:val="center"/>
          </w:tcPr>
          <w:p w14:paraId="5564C761">
            <w:pPr>
              <w:spacing w:line="360" w:lineRule="auto"/>
              <w:jc w:val="left"/>
              <w:rPr>
                <w:rFonts w:hint="default" w:ascii="宋体" w:hAnsi="宋体" w:cs="Arial"/>
                <w:color w:val="auto"/>
                <w:kern w:val="0"/>
                <w:sz w:val="24"/>
                <w:highlight w:val="none"/>
                <w:lang w:val="en-US" w:eastAsia="zh-CN"/>
              </w:rPr>
            </w:pPr>
            <w:r>
              <w:rPr>
                <w:rFonts w:hint="eastAsia" w:cs="Arial" w:asciiTheme="minorEastAsia" w:hAnsiTheme="minorEastAsia" w:eastAsiaTheme="minorEastAsia"/>
                <w:color w:val="auto"/>
                <w:kern w:val="0"/>
                <w:sz w:val="24"/>
                <w:highlight w:val="none"/>
                <w:lang w:val="en-US" w:eastAsia="zh-CN"/>
              </w:rPr>
              <w:t>本项目招标代理收费标准按计价格【2002】1980号文规定的标准的40％计取（以中标价为基数）执行。结算方式及时间为：在领取中标通知书时由中标人一次性向采购代理机构付清。</w:t>
            </w:r>
          </w:p>
        </w:tc>
      </w:tr>
    </w:tbl>
    <w:p w14:paraId="5049C498">
      <w:pPr>
        <w:snapToGrid w:val="0"/>
        <w:spacing w:line="360" w:lineRule="auto"/>
        <w:jc w:val="center"/>
        <w:rPr>
          <w:rFonts w:ascii="宋体" w:hAnsi="宋体" w:cs="宋体"/>
          <w:b/>
          <w:color w:val="auto"/>
          <w:sz w:val="32"/>
          <w:szCs w:val="20"/>
          <w:highlight w:val="none"/>
        </w:rPr>
      </w:pPr>
    </w:p>
    <w:bookmarkEnd w:id="10"/>
    <w:p w14:paraId="4423BF2D">
      <w:pPr>
        <w:rPr>
          <w:rFonts w:hint="eastAsia" w:ascii="宋体" w:hAnsi="宋体" w:cs="宋体"/>
          <w:b/>
          <w:color w:val="auto"/>
          <w:sz w:val="32"/>
          <w:szCs w:val="20"/>
          <w:highlight w:val="none"/>
        </w:rPr>
      </w:pPr>
      <w:bookmarkStart w:id="11" w:name="第三部分"/>
      <w:bookmarkStart w:id="12" w:name="_Toc164416483"/>
      <w:r>
        <w:rPr>
          <w:rFonts w:hint="eastAsia" w:ascii="宋体" w:hAnsi="宋体" w:cs="宋体"/>
          <w:b/>
          <w:color w:val="auto"/>
          <w:sz w:val="32"/>
          <w:szCs w:val="20"/>
          <w:highlight w:val="none"/>
        </w:rPr>
        <w:br w:type="page"/>
      </w:r>
    </w:p>
    <w:p w14:paraId="3A785326">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10FA1EA3">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239A199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47B5594F">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361167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3B2932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“采购机构”系指招标公告中载明的本项目的采购机构。</w:t>
      </w:r>
    </w:p>
    <w:p w14:paraId="3ABEF5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6184C0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6C9F56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6C433F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14:paraId="6367881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118E8DB8">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14:paraId="0030D577">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5E806C4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08BE7343">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029E1BE2">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19ECA3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51787E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2C4327F">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1DFEFA6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3418E2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D73D7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F2B300F">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171F403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D882F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w:t>
      </w:r>
      <w:r>
        <w:rPr>
          <w:rFonts w:ascii="宋体" w:hAnsi="宋体" w:cs="宋体"/>
          <w:color w:val="auto"/>
          <w:sz w:val="24"/>
          <w:highlight w:val="none"/>
        </w:rPr>
        <w:t>20</w:t>
      </w:r>
      <w:r>
        <w:rPr>
          <w:rFonts w:hint="eastAsia" w:ascii="宋体" w:hAnsi="宋体" w:cs="宋体"/>
          <w:color w:val="auto"/>
          <w:sz w:val="24"/>
          <w:highlight w:val="none"/>
        </w:rPr>
        <w:t>%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73E9EB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27E1EF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C048A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20D731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3A8FE97">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19567D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7BC87F02">
      <w:pPr>
        <w:spacing w:line="360" w:lineRule="auto"/>
        <w:ind w:left="239" w:leftChars="114" w:firstLine="240" w:firstLineChars="100"/>
        <w:rPr>
          <w:rFonts w:ascii="宋体" w:hAnsi="宋体" w:cs="宋体"/>
          <w:color w:val="auto"/>
          <w:sz w:val="24"/>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r>
        <w:rPr>
          <w:rFonts w:hint="eastAsia" w:ascii="宋体" w:hAnsi="宋体" w:cs="宋体"/>
          <w:color w:val="auto"/>
          <w:sz w:val="24"/>
          <w:highlight w:val="none"/>
        </w:rPr>
        <w:t>3.5平等对待内外资企业和符合条件的破产重整企业</w:t>
      </w:r>
    </w:p>
    <w:p w14:paraId="20E3730D">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lang w:val="en-US" w:eastAsia="zh-CN"/>
        </w:rPr>
        <w:t xml:space="preserve">  3.6 支持本国产品</w:t>
      </w:r>
    </w:p>
    <w:p w14:paraId="6F9B419D">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4B589D42">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47DA7412">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0E930C1D">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0351036C">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r>
        <w:rPr>
          <w:rFonts w:hint="eastAsia" w:ascii="宋体" w:hAnsi="宋体" w:cs="仿宋"/>
          <w:b/>
          <w:bCs/>
          <w:color w:val="auto"/>
          <w:sz w:val="24"/>
          <w:highlight w:val="none"/>
        </w:rPr>
        <w:t>、补偿救济</w:t>
      </w:r>
    </w:p>
    <w:p w14:paraId="75A10B8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auto"/>
          <w:kern w:val="0"/>
          <w:sz w:val="24"/>
          <w:highlight w:val="none"/>
          <w:lang w:val="en-US" w:eastAsia="zh-CN"/>
        </w:rPr>
        <w:t>政务</w:t>
      </w:r>
      <w:r>
        <w:rPr>
          <w:rFonts w:hint="eastAsia" w:ascii="宋体" w:hAnsi="宋体" w:cs="宋体"/>
          <w:color w:val="auto"/>
          <w:kern w:val="0"/>
          <w:sz w:val="24"/>
          <w:highlight w:val="none"/>
          <w:lang w:val="zh-CN"/>
        </w:rPr>
        <w:t>服务网-政府采购投诉处理-在线办理。</w:t>
      </w:r>
    </w:p>
    <w:p w14:paraId="4295EFB9">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1D5D757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41C4BC4">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764890B4">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7366D73C">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0F3C2E1C">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1D9295AA">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07C799AE">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0A7EA668">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2AB6B16D">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4812A1F6">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362A3BAC">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5428EEFC">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0CDA7A6F">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6EC0BB0B">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7E51FE8D">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32C4AABB">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1858DB4C">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.5采购人或者采购机构应当</w:t>
      </w:r>
      <w:r>
        <w:rPr>
          <w:rFonts w:hint="eastAsia"/>
          <w:color w:val="auto"/>
          <w:highlight w:val="none"/>
          <w:lang w:val="en-US" w:eastAsia="zh-CN"/>
        </w:rPr>
        <w:t>根据</w:t>
      </w:r>
      <w:r>
        <w:rPr>
          <w:rFonts w:hint="eastAsia" w:asciiTheme="minorEastAsia" w:hAnsiTheme="minorEastAsia" w:eastAsiaTheme="minorEastAsia"/>
          <w:color w:val="auto"/>
          <w:sz w:val="24"/>
          <w:highlight w:val="none"/>
        </w:rPr>
        <w:t>《杭州市集中采购委托协议》的</w:t>
      </w:r>
      <w:r>
        <w:rPr>
          <w:rFonts w:hint="eastAsia" w:asciiTheme="minorEastAsia" w:hAnsiTheme="minorEastAsia" w:eastAsiaTheme="minorEastAsia"/>
          <w:color w:val="auto"/>
          <w:sz w:val="24"/>
          <w:highlight w:val="none"/>
          <w:lang w:val="en-US" w:eastAsia="zh-CN"/>
        </w:rPr>
        <w:t>约定，</w:t>
      </w:r>
      <w:r>
        <w:rPr>
          <w:rFonts w:hint="eastAsia"/>
          <w:color w:val="auto"/>
          <w:highlight w:val="none"/>
        </w:rPr>
        <w:t>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14:paraId="48FDEE75">
      <w:pPr>
        <w:pStyle w:val="890"/>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color w:val="auto"/>
          <w:sz w:val="24"/>
          <w:highlight w:val="none"/>
          <w:lang w:val="en-US" w:eastAsia="zh-CN"/>
        </w:rPr>
        <w:t>询问、</w:t>
      </w:r>
      <w:r>
        <w:rPr>
          <w:rFonts w:hint="eastAsia" w:ascii="宋体" w:hAnsi="宋体" w:eastAsia="宋体"/>
          <w:color w:val="auto"/>
          <w:sz w:val="24"/>
          <w:highlight w:val="none"/>
        </w:rPr>
        <w:t>质疑答复责任主体如下：</w:t>
      </w:r>
    </w:p>
    <w:p w14:paraId="48860622">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询问、</w:t>
      </w:r>
      <w:r>
        <w:rPr>
          <w:rFonts w:hint="eastAsia" w:asciiTheme="minorEastAsia" w:hAnsiTheme="minorEastAsia" w:eastAsiaTheme="minorEastAsia"/>
          <w:b/>
          <w:color w:val="auto"/>
          <w:sz w:val="28"/>
          <w:szCs w:val="28"/>
          <w:highlight w:val="none"/>
        </w:rPr>
        <w:t>质疑答复责任主体一览表</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73BE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01B69FDE">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质疑内容</w:t>
            </w:r>
          </w:p>
        </w:tc>
        <w:tc>
          <w:tcPr>
            <w:tcW w:w="2232" w:type="dxa"/>
            <w:vAlign w:val="center"/>
          </w:tcPr>
          <w:p w14:paraId="392428BA">
            <w:pPr>
              <w:pStyle w:val="32"/>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质疑答复</w:t>
            </w:r>
          </w:p>
          <w:p w14:paraId="7EC81D6C">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责任主体</w:t>
            </w:r>
          </w:p>
        </w:tc>
      </w:tr>
      <w:tr w14:paraId="34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1B9F74F">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14:paraId="2EFCC1A4">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14:paraId="590131ED">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1786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A2D5D85">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42596B88">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14:paraId="372D8FC3">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r w14:paraId="0619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9891672">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14:paraId="50552BD4">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w:t>
            </w:r>
            <w:r>
              <w:rPr>
                <w:rFonts w:hint="eastAsia" w:asciiTheme="minorEastAsia" w:hAnsiTheme="minorEastAsia" w:eastAsiaTheme="minorEastAsia"/>
                <w:color w:val="auto"/>
                <w:sz w:val="24"/>
                <w:szCs w:val="21"/>
                <w:highlight w:val="none"/>
                <w:lang w:eastAsia="zh-CN"/>
              </w:rPr>
              <w:t>、“</w:t>
            </w:r>
            <w:r>
              <w:rPr>
                <w:rFonts w:hint="eastAsia" w:asciiTheme="minorEastAsia" w:hAnsiTheme="minorEastAsia" w:eastAsiaTheme="minorEastAsia"/>
                <w:color w:val="auto"/>
                <w:sz w:val="24"/>
                <w:szCs w:val="21"/>
                <w:highlight w:val="none"/>
                <w:lang w:val="en-US" w:eastAsia="zh-CN"/>
              </w:rPr>
              <w:t>评审”</w:t>
            </w:r>
            <w:r>
              <w:rPr>
                <w:rFonts w:hint="eastAsia" w:asciiTheme="minorEastAsia" w:hAnsiTheme="minorEastAsia" w:eastAsiaTheme="minorEastAsia"/>
                <w:color w:val="auto"/>
                <w:sz w:val="24"/>
                <w:szCs w:val="21"/>
                <w:highlight w:val="none"/>
              </w:rPr>
              <w:t>等环节的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14:paraId="77115F7F">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1133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42FE3A40">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786F3749">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14:paraId="16495691">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bl>
    <w:p w14:paraId="4A9EA369">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2B5E06AD">
      <w:pPr>
        <w:pStyle w:val="890"/>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458B05F3">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4.4.1质疑供应商对采购人、采购机构的答复不满意或者采购人、采购机构未在规定的时间内作出答复的，可以在答复期满后十五个工作日内向同级政府采购监督管理部门提出投诉。</w:t>
      </w:r>
    </w:p>
    <w:p w14:paraId="015EA148">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566D1FC7">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7315038A">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5FE16726">
      <w:pPr>
        <w:pStyle w:val="890"/>
        <w:shd w:val="clear" w:color="auto" w:fill="FFFFFF"/>
        <w:snapToGrid w:val="0"/>
        <w:spacing w:after="240" w:afterAutospacing="0" w:line="360" w:lineRule="auto"/>
        <w:ind w:firstLine="400"/>
        <w:contextualSpacing/>
        <w:rPr>
          <w:rFonts w:hint="eastAsia" w:ascii="宋体" w:hAnsi="宋体" w:cs="仿宋"/>
          <w:color w:val="auto"/>
          <w:sz w:val="24"/>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w:t>
      </w:r>
      <w:r>
        <w:rPr>
          <w:rFonts w:hint="eastAsia"/>
          <w:color w:val="auto"/>
          <w:highlight w:val="none"/>
          <w:lang w:eastAsia="zh-CN"/>
        </w:rPr>
        <w:t>匡老师</w:t>
      </w:r>
      <w:r>
        <w:rPr>
          <w:rFonts w:hint="eastAsia"/>
          <w:color w:val="auto"/>
          <w:highlight w:val="none"/>
        </w:rPr>
        <w:t>，电话：0571-87807798。</w:t>
      </w:r>
    </w:p>
    <w:p w14:paraId="3372CCE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2198C29F">
      <w:pPr>
        <w:pStyle w:val="890"/>
        <w:shd w:val="clear" w:color="auto" w:fill="FFFFFF"/>
        <w:snapToGrid w:val="0"/>
        <w:spacing w:before="0" w:beforeAutospacing="0" w:after="240" w:afterAutospacing="0" w:line="360" w:lineRule="auto"/>
        <w:ind w:firstLine="400"/>
        <w:contextualSpacing/>
        <w:rPr>
          <w:rFonts w:hint="eastAsia" w:ascii="宋体" w:hAnsi="宋体" w:cs="宋体"/>
          <w:color w:val="auto"/>
          <w:sz w:val="24"/>
          <w:highlight w:val="none"/>
        </w:rPr>
      </w:pPr>
      <w:r>
        <w:rPr>
          <w:rFonts w:hint="eastAsia" w:ascii="宋体" w:hAnsi="宋体" w:cs="宋体"/>
          <w:color w:val="auto"/>
          <w:sz w:val="24"/>
          <w:highlight w:val="none"/>
        </w:rPr>
        <w:t>采购人因政策变化、规划调整而不履行政府采购合同的，供应商可依据《杭州市涉企补偿救济实施办法（试行）》向采购人提起补偿申请。</w:t>
      </w:r>
    </w:p>
    <w:p w14:paraId="779EE602">
      <w:pPr>
        <w:pStyle w:val="890"/>
        <w:shd w:val="clear" w:color="auto" w:fill="FFFFFF"/>
        <w:snapToGrid w:val="0"/>
        <w:spacing w:after="240" w:afterAutospacing="0" w:line="360" w:lineRule="auto"/>
        <w:ind w:firstLine="400"/>
        <w:contextualSpacing/>
        <w:rPr>
          <w:rFonts w:hint="eastAsia"/>
          <w:color w:val="auto"/>
          <w:highlight w:val="none"/>
        </w:rPr>
      </w:pPr>
    </w:p>
    <w:p w14:paraId="66F23090">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14:paraId="4F8DEB45">
      <w:pPr>
        <w:pStyle w:val="132"/>
        <w:snapToGrid w:val="0"/>
        <w:spacing w:before="0"/>
        <w:ind w:firstLine="360"/>
        <w:rPr>
          <w:rFonts w:ascii="宋体" w:hAnsi="宋体" w:cs="宋体"/>
          <w:color w:val="auto"/>
          <w:sz w:val="18"/>
          <w:szCs w:val="18"/>
          <w:highlight w:val="none"/>
        </w:rPr>
      </w:pPr>
    </w:p>
    <w:p w14:paraId="70148AA5">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59E59FD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3D9BFE4A">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62A11FCC">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79B5C262">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57F14678">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4CA42F5E">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47EAD7C3">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0D98A679">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4283B3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211B32AD">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76A986F6">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6.1已获取招标文件的潜在投标人，若有问题需要澄清，应于投标截止时间前，以书面形式向采购机构提出。</w:t>
      </w:r>
    </w:p>
    <w:p w14:paraId="4D53B96F">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7DE9CE9">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0504A582">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523C08BF">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93BAB92">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471135D1">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1600BA5B">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F5719F7">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2D0C278D">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4B213D68">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3AED480F">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14928693">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57665B25">
      <w:pPr>
        <w:snapToGrid w:val="0"/>
        <w:spacing w:line="360" w:lineRule="auto"/>
        <w:ind w:firstLine="482" w:firstLineChars="200"/>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▲投标文件至少应包括以下文件。</w:t>
      </w:r>
    </w:p>
    <w:p w14:paraId="067A9C2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7E591B7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1CCA028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7A886FA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E94EB4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9BFF70A">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600C6F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9DF82F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5F1106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ABCABB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8742C4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B8E5A5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76D173EA">
      <w:pPr>
        <w:snapToGrid w:val="0"/>
        <w:spacing w:line="360" w:lineRule="auto"/>
        <w:ind w:firstLine="960" w:firstLineChars="4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11.2.7人员配置清单；</w:t>
      </w:r>
    </w:p>
    <w:p w14:paraId="009C949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14:paraId="4FD8CF7B">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14:paraId="27E401A6">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7E72799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1169BDF9">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14:paraId="4CC2877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14:paraId="0FA77EFB">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3E5FC66C">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792159BC">
      <w:pPr>
        <w:spacing w:line="360" w:lineRule="auto"/>
        <w:ind w:firstLine="723" w:firstLineChars="300"/>
        <w:rPr>
          <w:color w:val="auto"/>
          <w:highlight w:val="none"/>
        </w:rPr>
      </w:pPr>
      <w:r>
        <w:rPr>
          <w:rFonts w:hint="eastAsia"/>
          <w:b/>
          <w:bCs/>
          <w:color w:val="auto"/>
          <w:sz w:val="24"/>
          <w:szCs w:val="24"/>
          <w:highlight w:val="none"/>
          <w:shd w:val="clear" w:color="auto" w:fill="FFFFFF"/>
          <w:lang w:val="en-US" w:eastAsia="zh-CN"/>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14:paraId="78A6D27A">
      <w:pPr>
        <w:pStyle w:val="132"/>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26B7CB1B">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66CD8901">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6F6E109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5D7E654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16EB9B50">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6B714D17">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0E2B5866">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34791307">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1BCC960B">
      <w:pPr>
        <w:pStyle w:val="132"/>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7543FF7C">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1E8332CE">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445EC56F">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643A87AE">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但采购人、采购机构不强制或变相强制投标人提交备份投标文件。</w:t>
      </w:r>
    </w:p>
    <w:p w14:paraId="0ACC191B">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37571F8E">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15.3直接提交备份投标文件的，投标人应于投标截止时间前在招标公告中载明的开标地点将备份投标文件提交给采购机构，采购机构将拒绝接受逾期送达的备份投标文件。</w:t>
      </w:r>
    </w:p>
    <w:p w14:paraId="7EA1CA4B">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14:paraId="7CAA70FF">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14B8A922">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50D63DEB">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09573DFC">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402C1E30">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4FDAEDD2">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79CA36CC">
      <w:pPr>
        <w:pStyle w:val="132"/>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1F37D864">
      <w:pPr>
        <w:pStyle w:val="132"/>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735FBB10">
      <w:pPr>
        <w:pStyle w:val="132"/>
        <w:spacing w:before="0"/>
        <w:ind w:firstLine="643"/>
        <w:rPr>
          <w:rFonts w:ascii="宋体" w:hAnsi="宋体" w:cs="宋体"/>
          <w:b/>
          <w:color w:val="auto"/>
          <w:sz w:val="32"/>
          <w:highlight w:val="none"/>
        </w:rPr>
      </w:pPr>
    </w:p>
    <w:p w14:paraId="4504A1BF">
      <w:pPr>
        <w:pStyle w:val="132"/>
        <w:spacing w:before="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四、开标</w:t>
      </w:r>
    </w:p>
    <w:p w14:paraId="33DDCB56">
      <w:pPr>
        <w:pStyle w:val="558"/>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57D4014C">
      <w:pPr>
        <w:pStyle w:val="558"/>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18.1采购机构按照招标文件规定的时间通过电子交易平台组织开标，所有投标人均应当准时在线参加。投标人不足3家的，不得开标。</w:t>
      </w:r>
    </w:p>
    <w:p w14:paraId="39062037">
      <w:pPr>
        <w:pStyle w:val="558"/>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18.2开标时，电子交易平台按开标时间自动提取所有投标文件。采购机构依托电子交易平台发起开始解密指令，投标人按照平台提示和招标文件的规定在半小时内完成在线解密。</w:t>
      </w:r>
    </w:p>
    <w:p w14:paraId="35E3BF4F">
      <w:pPr>
        <w:pStyle w:val="558"/>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696774D7">
      <w:pPr>
        <w:widowControl/>
        <w:spacing w:before="100" w:beforeAutospacing="1" w:after="240" w:line="360" w:lineRule="auto"/>
        <w:jc w:val="center"/>
        <w:rPr>
          <w:rFonts w:hint="eastAsia" w:ascii="宋体" w:hAnsi="宋体" w:cs="宋体"/>
          <w:b/>
          <w:color w:val="auto"/>
          <w:sz w:val="32"/>
          <w:highlight w:val="none"/>
        </w:rPr>
      </w:pP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14:paraId="3D78A4C2">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102A927E">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14:paraId="6523D45A">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4C0B6570">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14:paraId="7A666926">
      <w:pPr>
        <w:pStyle w:val="132"/>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01B14055">
      <w:pPr>
        <w:pStyle w:val="132"/>
        <w:spacing w:before="0"/>
        <w:ind w:firstLine="0" w:firstLineChars="0"/>
        <w:rPr>
          <w:rFonts w:ascii="宋体" w:hAnsi="宋体" w:cs="宋体"/>
          <w:b/>
          <w:color w:val="auto"/>
          <w:sz w:val="24"/>
          <w:highlight w:val="none"/>
        </w:rPr>
      </w:pPr>
      <w:r>
        <w:rPr>
          <w:rFonts w:hint="eastAsia" w:ascii="宋体" w:hAnsi="宋体" w:cs="宋体"/>
          <w:b/>
          <w:color w:val="auto"/>
          <w:sz w:val="24"/>
          <w:highlight w:val="none"/>
        </w:rPr>
        <w:t>20、信用信息查询</w:t>
      </w:r>
    </w:p>
    <w:p w14:paraId="3AAE8D3E">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val="en-US" w:eastAsia="zh-CN"/>
        </w:rPr>
        <w:t>采购人</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14:paraId="58D3428C">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4490E4B2">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DDE3E83">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5357458A">
      <w:pPr>
        <w:pStyle w:val="132"/>
        <w:spacing w:before="0"/>
        <w:ind w:firstLine="0" w:firstLineChars="0"/>
        <w:rPr>
          <w:rFonts w:ascii="宋体" w:hAnsi="宋体" w:cs="宋体"/>
          <w:color w:val="auto"/>
          <w:kern w:val="0"/>
          <w:szCs w:val="24"/>
          <w:highlight w:val="none"/>
        </w:rPr>
      </w:pPr>
    </w:p>
    <w:p w14:paraId="2B3D0DAD">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rPr>
        <w:t>、评标</w:t>
      </w:r>
    </w:p>
    <w:p w14:paraId="067AA998">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31026B1D">
      <w:pPr>
        <w:spacing w:line="360" w:lineRule="auto"/>
        <w:rPr>
          <w:rFonts w:ascii="宋体" w:hAnsi="宋体" w:cs="宋体"/>
          <w:b/>
          <w:color w:val="auto"/>
          <w:sz w:val="24"/>
          <w:highlight w:val="none"/>
        </w:rPr>
      </w:pPr>
    </w:p>
    <w:p w14:paraId="22561054">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七</w:t>
      </w:r>
      <w:r>
        <w:rPr>
          <w:rFonts w:hint="eastAsia" w:ascii="宋体" w:hAnsi="宋体" w:cs="宋体"/>
          <w:b/>
          <w:color w:val="auto"/>
          <w:sz w:val="36"/>
          <w:szCs w:val="36"/>
          <w:highlight w:val="none"/>
        </w:rPr>
        <w:t>、定标</w:t>
      </w:r>
    </w:p>
    <w:p w14:paraId="778EDE30">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3F8ECD68">
      <w:pPr>
        <w:pStyle w:val="132"/>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450023B6">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7F97581">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23.1自中标人确定之日起2个工作日内，采购机构通过电子交易平台向中标人发出中标通知书，同时编制发布采购结果公告。采购机构也可以以纸质形式进行中标通知。</w:t>
      </w:r>
    </w:p>
    <w:p w14:paraId="6B0C8822">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36A8F8F2">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54F5A0D4">
      <w:pPr>
        <w:pStyle w:val="80"/>
        <w:numPr>
          <w:ilvl w:val="0"/>
          <w:numId w:val="0"/>
        </w:numPr>
        <w:spacing w:line="360" w:lineRule="auto"/>
        <w:ind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或采购代理机构将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w:t>
      </w:r>
      <w:r>
        <w:rPr>
          <w:rFonts w:hint="eastAsia" w:ascii="宋体" w:hAnsi="宋体" w:cs="宋体"/>
          <w:b w:val="0"/>
          <w:bCs w:val="0"/>
          <w:i w:val="0"/>
          <w:iCs w:val="0"/>
          <w:caps w:val="0"/>
          <w:color w:val="auto"/>
          <w:spacing w:val="0"/>
          <w:kern w:val="2"/>
          <w:sz w:val="24"/>
          <w:szCs w:val="24"/>
          <w:highlight w:val="none"/>
          <w:shd w:val="clear"/>
          <w:lang w:val="en-US" w:eastAsia="zh-CN"/>
        </w:rPr>
        <w:t>积极</w:t>
      </w:r>
      <w:r>
        <w:rPr>
          <w:rFonts w:hint="eastAsia" w:ascii="宋体" w:hAnsi="宋体" w:eastAsia="宋体" w:cs="宋体"/>
          <w:b w:val="0"/>
          <w:bCs w:val="0"/>
          <w:i w:val="0"/>
          <w:iCs w:val="0"/>
          <w:caps w:val="0"/>
          <w:color w:val="auto"/>
          <w:spacing w:val="0"/>
          <w:kern w:val="2"/>
          <w:sz w:val="24"/>
          <w:szCs w:val="24"/>
          <w:highlight w:val="none"/>
          <w:shd w:val="clear"/>
          <w:lang w:val="en-US" w:eastAsia="zh-CN"/>
        </w:rPr>
        <w:t>配合做好相关复核工作，不配合相关复核工作的自行承担不利后果</w:t>
      </w:r>
      <w:r>
        <w:rPr>
          <w:rFonts w:hint="eastAsia" w:ascii="宋体" w:hAnsi="宋体" w:eastAsia="宋体" w:cs="宋体"/>
          <w:i w:val="0"/>
          <w:iCs w:val="0"/>
          <w:caps w:val="0"/>
          <w:color w:val="auto"/>
          <w:spacing w:val="0"/>
          <w:kern w:val="2"/>
          <w:sz w:val="24"/>
          <w:szCs w:val="24"/>
          <w:highlight w:val="none"/>
          <w:shd w:val="clear"/>
        </w:rPr>
        <w:t>。</w:t>
      </w:r>
    </w:p>
    <w:p w14:paraId="16E25803">
      <w:pPr>
        <w:snapToGrid w:val="0"/>
        <w:spacing w:line="360" w:lineRule="auto"/>
        <w:ind w:left="120" w:leftChars="57" w:firstLine="482" w:firstLineChars="150"/>
        <w:jc w:val="center"/>
        <w:rPr>
          <w:rFonts w:ascii="宋体" w:hAnsi="宋体" w:cs="宋体"/>
          <w:b/>
          <w:color w:val="auto"/>
          <w:sz w:val="32"/>
          <w:highlight w:val="none"/>
        </w:rPr>
      </w:pPr>
    </w:p>
    <w:p w14:paraId="122D60D9">
      <w:pPr>
        <w:snapToGrid w:val="0"/>
        <w:spacing w:line="360" w:lineRule="auto"/>
        <w:ind w:left="0" w:leftChars="0" w:firstLine="0" w:firstLineChars="0"/>
        <w:jc w:val="center"/>
        <w:outlineLvl w:val="0"/>
        <w:rPr>
          <w:rFonts w:ascii="宋体" w:hAnsi="宋体" w:cs="宋体"/>
          <w:b/>
          <w:color w:val="auto"/>
          <w:sz w:val="36"/>
          <w:szCs w:val="36"/>
          <w:highlight w:val="none"/>
        </w:rPr>
      </w:pPr>
      <w:r>
        <w:rPr>
          <w:rFonts w:hint="default" w:ascii="宋体" w:hAnsi="宋体" w:cs="宋体"/>
          <w:b/>
          <w:color w:val="auto"/>
          <w:sz w:val="36"/>
          <w:szCs w:val="36"/>
          <w:highlight w:val="none"/>
          <w:lang w:val="en-US" w:eastAsia="zh-CN"/>
        </w:rPr>
        <w:t>八</w:t>
      </w:r>
      <w:r>
        <w:rPr>
          <w:rFonts w:hint="default" w:ascii="宋体" w:hAnsi="宋体" w:cs="宋体"/>
          <w:b/>
          <w:color w:val="auto"/>
          <w:sz w:val="36"/>
          <w:szCs w:val="36"/>
          <w:highlight w:val="none"/>
        </w:rPr>
        <w:t>、合同授予</w:t>
      </w:r>
    </w:p>
    <w:p w14:paraId="2793BDE7">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6BFB849B">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14:paraId="2986330D">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2A09774F">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5A4CC17A">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1C6354E5">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0B2E3F24">
      <w:pPr>
        <w:pStyle w:val="132"/>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69D4DF1B">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14:paraId="03C24A91">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286981AC">
      <w:pPr>
        <w:pStyle w:val="2"/>
        <w:ind w:left="0" w:firstLine="480" w:firstLineChars="200"/>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4F13E895">
      <w:pPr>
        <w:pStyle w:val="2"/>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14:paraId="3140EDFB">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14:paraId="14D5B551">
      <w:pPr>
        <w:snapToGrid w:val="0"/>
        <w:spacing w:line="360" w:lineRule="auto"/>
        <w:ind w:firstLine="3357" w:firstLineChars="1045"/>
        <w:rPr>
          <w:rFonts w:ascii="宋体" w:hAnsi="宋体" w:cs="宋体"/>
          <w:b/>
          <w:color w:val="auto"/>
          <w:sz w:val="32"/>
          <w:highlight w:val="none"/>
        </w:rPr>
      </w:pPr>
    </w:p>
    <w:p w14:paraId="751FF3B7">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val="en-US" w:eastAsia="zh-CN"/>
        </w:rPr>
        <w:t>九</w:t>
      </w:r>
      <w:r>
        <w:rPr>
          <w:rFonts w:hint="eastAsia" w:ascii="宋体" w:hAnsi="宋体" w:cs="宋体"/>
          <w:b/>
          <w:color w:val="auto"/>
          <w:sz w:val="32"/>
          <w:highlight w:val="none"/>
        </w:rPr>
        <w:t>、电子交易活动的中止</w:t>
      </w:r>
    </w:p>
    <w:p w14:paraId="1A4CDDF5">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采购过程中出现以下情形，导致电子交易平台无法正常运行，或者无法保证电子交易的公平、公正和安全时，采购机构可中止电子交易活动：</w:t>
      </w:r>
    </w:p>
    <w:p w14:paraId="1600699A">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26BE86FC">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7E7EE578">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4F297DF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1DD0D4A3">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36FFB468">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46F717BB">
      <w:pPr>
        <w:tabs>
          <w:tab w:val="left" w:pos="0"/>
        </w:tabs>
        <w:spacing w:line="360" w:lineRule="auto"/>
        <w:ind w:firstLine="480"/>
        <w:rPr>
          <w:rFonts w:ascii="宋体" w:hAnsi="宋体" w:cs="宋体"/>
          <w:color w:val="auto"/>
          <w:sz w:val="24"/>
          <w:highlight w:val="none"/>
        </w:rPr>
      </w:pPr>
    </w:p>
    <w:p w14:paraId="3FBD299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十</w:t>
      </w:r>
      <w:r>
        <w:rPr>
          <w:rFonts w:hint="eastAsia" w:ascii="宋体" w:hAnsi="宋体" w:cs="宋体"/>
          <w:b/>
          <w:color w:val="auto"/>
          <w:sz w:val="32"/>
          <w:highlight w:val="none"/>
        </w:rPr>
        <w:t>、验收</w:t>
      </w:r>
    </w:p>
    <w:p w14:paraId="502FB98C">
      <w:pPr>
        <w:pStyle w:val="24"/>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14:paraId="32072EB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1DA3CB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210F266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89C9003">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98C0AAE">
      <w:pPr>
        <w:pStyle w:val="81"/>
        <w:rPr>
          <w:color w:val="auto"/>
          <w:highlight w:val="none"/>
        </w:rPr>
      </w:pPr>
      <w:r>
        <w:rPr>
          <w:rFonts w:hint="eastAsia" w:ascii="宋体" w:hAnsi="宋体" w:eastAsia="宋体" w:cs="宋体"/>
          <w:b w:val="0"/>
          <w:bCs w:val="0"/>
          <w:color w:val="auto"/>
          <w:kern w:val="0"/>
          <w:sz w:val="24"/>
          <w:szCs w:val="24"/>
          <w:highlight w:val="none"/>
          <w:lang w:val="en-US"/>
        </w:rPr>
        <w:t>3</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bookmarkEnd w:id="13"/>
    <w:p w14:paraId="1133D258">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5" w:name="_Hlt68072998"/>
      <w:bookmarkEnd w:id="15"/>
      <w:bookmarkStart w:id="16" w:name="_Hlt74714665"/>
      <w:bookmarkEnd w:id="16"/>
      <w:bookmarkStart w:id="17" w:name="_Hlt68073093"/>
      <w:bookmarkEnd w:id="17"/>
      <w:bookmarkStart w:id="18" w:name="_Hlt74730295"/>
      <w:bookmarkEnd w:id="18"/>
      <w:bookmarkStart w:id="19" w:name="_Hlt75236011"/>
      <w:bookmarkEnd w:id="19"/>
      <w:bookmarkStart w:id="20" w:name="_Hlt68403820"/>
      <w:bookmarkEnd w:id="20"/>
      <w:bookmarkStart w:id="21" w:name="_Hlt68057669"/>
      <w:bookmarkEnd w:id="21"/>
      <w:bookmarkStart w:id="22" w:name="_Hlt74707468"/>
      <w:bookmarkEnd w:id="22"/>
      <w:bookmarkStart w:id="23" w:name="_Hlt74729768"/>
      <w:bookmarkEnd w:id="23"/>
      <w:bookmarkStart w:id="24" w:name="_Hlt75236290"/>
      <w:bookmarkEnd w:id="24"/>
      <w:bookmarkStart w:id="25" w:name="_Hlt75236101"/>
      <w:bookmarkEnd w:id="25"/>
      <w:bookmarkStart w:id="26" w:name="_Hlt68072990"/>
      <w:bookmarkEnd w:id="26"/>
    </w:p>
    <w:bookmarkEnd w:id="11"/>
    <w:bookmarkEnd w:id="12"/>
    <w:p w14:paraId="33930D57">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2FD64BB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（一）招标一览表</w:t>
      </w:r>
    </w:p>
    <w:tbl>
      <w:tblPr>
        <w:tblStyle w:val="63"/>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1"/>
        <w:gridCol w:w="4510"/>
        <w:gridCol w:w="1743"/>
        <w:gridCol w:w="587"/>
        <w:gridCol w:w="587"/>
        <w:gridCol w:w="588"/>
      </w:tblGrid>
      <w:tr w14:paraId="33D5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5" w:hRule="atLeast"/>
          <w:jc w:val="center"/>
        </w:trPr>
        <w:tc>
          <w:tcPr>
            <w:tcW w:w="75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1C42E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w:t>
            </w:r>
          </w:p>
        </w:tc>
        <w:tc>
          <w:tcPr>
            <w:tcW w:w="4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93D80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7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8EBCFC">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简要规格描述或基本情况介绍</w:t>
            </w:r>
          </w:p>
        </w:tc>
        <w:tc>
          <w:tcPr>
            <w:tcW w:w="5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C9071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5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865A0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588" w:type="dxa"/>
            <w:tcBorders>
              <w:top w:val="single" w:color="auto" w:sz="4" w:space="0"/>
              <w:left w:val="single" w:color="auto" w:sz="4" w:space="0"/>
              <w:bottom w:val="single" w:color="auto" w:sz="4" w:space="0"/>
              <w:right w:val="single" w:color="auto" w:sz="4" w:space="0"/>
            </w:tcBorders>
            <w:noWrap w:val="0"/>
            <w:vAlign w:val="center"/>
          </w:tcPr>
          <w:p w14:paraId="61C2BD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51D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3" w:hRule="atLeast"/>
          <w:jc w:val="center"/>
        </w:trPr>
        <w:tc>
          <w:tcPr>
            <w:tcW w:w="75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070A5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标项一</w:t>
            </w:r>
          </w:p>
        </w:tc>
        <w:tc>
          <w:tcPr>
            <w:tcW w:w="4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6BE3E1">
            <w:pPr>
              <w:widowControl/>
              <w:adjustRightInd/>
              <w:spacing w:before="75" w:after="75"/>
              <w:jc w:val="left"/>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义蓬街道2026年度企退人员活动第三方服务项目(义盛片)</w:t>
            </w:r>
          </w:p>
        </w:tc>
        <w:tc>
          <w:tcPr>
            <w:tcW w:w="17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9C52B6">
            <w:pPr>
              <w:tabs>
                <w:tab w:val="left" w:pos="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详见招标需求</w:t>
            </w:r>
          </w:p>
        </w:tc>
        <w:tc>
          <w:tcPr>
            <w:tcW w:w="5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0CD77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5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9A1E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8" w:type="dxa"/>
            <w:tcBorders>
              <w:top w:val="single" w:color="auto" w:sz="4" w:space="0"/>
              <w:left w:val="single" w:color="auto" w:sz="4" w:space="0"/>
              <w:bottom w:val="single" w:color="auto" w:sz="4" w:space="0"/>
              <w:right w:val="single" w:color="auto" w:sz="4" w:space="0"/>
            </w:tcBorders>
            <w:noWrap w:val="0"/>
            <w:vAlign w:val="center"/>
          </w:tcPr>
          <w:p w14:paraId="72610A26">
            <w:pPr>
              <w:jc w:val="center"/>
              <w:rPr>
                <w:rFonts w:hint="eastAsia" w:ascii="宋体" w:hAnsi="宋体" w:eastAsia="宋体" w:cs="宋体"/>
                <w:color w:val="auto"/>
                <w:sz w:val="24"/>
                <w:szCs w:val="24"/>
                <w:highlight w:val="none"/>
              </w:rPr>
            </w:pPr>
          </w:p>
        </w:tc>
      </w:tr>
      <w:tr w14:paraId="7616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atLeast"/>
          <w:jc w:val="center"/>
        </w:trPr>
        <w:tc>
          <w:tcPr>
            <w:tcW w:w="75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1FCC7F">
            <w:pPr>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标项二</w:t>
            </w:r>
          </w:p>
        </w:tc>
        <w:tc>
          <w:tcPr>
            <w:tcW w:w="4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ABB709">
            <w:pPr>
              <w:widowControl/>
              <w:adjustRightInd/>
              <w:spacing w:before="75" w:after="75"/>
              <w:jc w:val="left"/>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义蓬街道2026年度企退人员活动第三方服务项目(头蓬片)</w:t>
            </w:r>
          </w:p>
        </w:tc>
        <w:tc>
          <w:tcPr>
            <w:tcW w:w="17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1AB20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详见招标需求</w:t>
            </w:r>
          </w:p>
        </w:tc>
        <w:tc>
          <w:tcPr>
            <w:tcW w:w="5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7A6C5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5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FEE86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8" w:type="dxa"/>
            <w:tcBorders>
              <w:top w:val="single" w:color="auto" w:sz="4" w:space="0"/>
              <w:left w:val="single" w:color="auto" w:sz="4" w:space="0"/>
              <w:bottom w:val="single" w:color="auto" w:sz="4" w:space="0"/>
              <w:right w:val="single" w:color="auto" w:sz="4" w:space="0"/>
            </w:tcBorders>
            <w:noWrap w:val="0"/>
            <w:vAlign w:val="center"/>
          </w:tcPr>
          <w:p w14:paraId="773E14CE">
            <w:pPr>
              <w:jc w:val="center"/>
              <w:rPr>
                <w:rFonts w:hint="eastAsia" w:ascii="宋体" w:hAnsi="宋体" w:eastAsia="宋体" w:cs="宋体"/>
                <w:color w:val="auto"/>
                <w:sz w:val="24"/>
                <w:szCs w:val="24"/>
                <w:highlight w:val="none"/>
              </w:rPr>
            </w:pPr>
          </w:p>
        </w:tc>
      </w:tr>
    </w:tbl>
    <w:p w14:paraId="4E142545">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color w:val="auto"/>
          <w:highlight w:val="none"/>
        </w:rPr>
      </w:pPr>
      <w:r>
        <w:rPr>
          <w:rFonts w:hint="eastAsia" w:ascii="宋体" w:hAnsi="宋体" w:eastAsia="宋体" w:cs="宋体"/>
          <w:b/>
          <w:bCs/>
          <w:color w:val="auto"/>
          <w:sz w:val="24"/>
          <w:szCs w:val="24"/>
          <w:highlight w:val="none"/>
        </w:rPr>
        <w:t>注：各投标人须综合衡量、充分综合考虑投标风险。</w:t>
      </w:r>
      <w:r>
        <w:rPr>
          <w:rFonts w:hint="eastAsia" w:ascii="宋体" w:hAnsi="宋体" w:eastAsia="宋体" w:cs="宋体"/>
          <w:b/>
          <w:bCs w:val="0"/>
          <w:color w:val="auto"/>
          <w:sz w:val="24"/>
          <w:szCs w:val="24"/>
          <w:highlight w:val="none"/>
        </w:rPr>
        <w:t>本项目共分二个标项，</w:t>
      </w:r>
      <w:r>
        <w:rPr>
          <w:rFonts w:hint="eastAsia" w:ascii="宋体" w:hAnsi="宋体" w:eastAsia="宋体" w:cs="宋体"/>
          <w:b/>
          <w:bCs/>
          <w:color w:val="auto"/>
          <w:sz w:val="24"/>
          <w:szCs w:val="24"/>
          <w:highlight w:val="none"/>
        </w:rPr>
        <w:t>将按照标项</w:t>
      </w:r>
      <w:r>
        <w:rPr>
          <w:rFonts w:hint="eastAsia" w:ascii="宋体" w:hAnsi="宋体" w:eastAsia="宋体" w:cs="宋体"/>
          <w:b/>
          <w:bCs w:val="0"/>
          <w:color w:val="auto"/>
          <w:sz w:val="24"/>
          <w:szCs w:val="24"/>
          <w:highlight w:val="none"/>
        </w:rPr>
        <w:t>一</w:t>
      </w:r>
      <w:r>
        <w:rPr>
          <w:rFonts w:hint="eastAsia" w:ascii="宋体" w:hAnsi="宋体" w:eastAsia="宋体" w:cs="宋体"/>
          <w:b/>
          <w:bCs/>
          <w:color w:val="auto"/>
          <w:sz w:val="24"/>
          <w:szCs w:val="24"/>
          <w:highlight w:val="none"/>
        </w:rPr>
        <w:t>至标项</w:t>
      </w:r>
      <w:r>
        <w:rPr>
          <w:rFonts w:hint="eastAsia" w:ascii="宋体" w:hAnsi="宋体" w:eastAsia="宋体" w:cs="宋体"/>
          <w:b/>
          <w:bCs w:val="0"/>
          <w:color w:val="auto"/>
          <w:sz w:val="24"/>
          <w:szCs w:val="24"/>
          <w:highlight w:val="none"/>
        </w:rPr>
        <w:t>二</w:t>
      </w:r>
      <w:r>
        <w:rPr>
          <w:rFonts w:hint="eastAsia" w:ascii="宋体" w:hAnsi="宋体" w:eastAsia="宋体" w:cs="宋体"/>
          <w:b/>
          <w:bCs/>
          <w:color w:val="auto"/>
          <w:sz w:val="24"/>
          <w:szCs w:val="24"/>
          <w:highlight w:val="none"/>
        </w:rPr>
        <w:t>的顺序进行评审，</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个标项投标人可以重复投标但不可以重复中标。</w:t>
      </w:r>
      <w:r>
        <w:rPr>
          <w:rFonts w:hint="eastAsia" w:ascii="宋体" w:hAnsi="宋体" w:eastAsia="宋体" w:cs="宋体"/>
          <w:b/>
          <w:bCs/>
          <w:color w:val="auto"/>
          <w:sz w:val="24"/>
          <w:szCs w:val="24"/>
          <w:highlight w:val="none"/>
        </w:rPr>
        <w:t>开标顺序为标项一、标项二，以开标当天评审为准，</w:t>
      </w:r>
      <w:r>
        <w:rPr>
          <w:rFonts w:hint="eastAsia" w:ascii="宋体" w:hAnsi="宋体" w:eastAsia="宋体" w:cs="宋体"/>
          <w:b/>
          <w:bCs/>
          <w:color w:val="auto"/>
          <w:sz w:val="24"/>
          <w:szCs w:val="24"/>
          <w:highlight w:val="none"/>
        </w:rPr>
        <w:t>若投标人参与标项一确定为中标候选人，</w:t>
      </w:r>
      <w:r>
        <w:rPr>
          <w:rFonts w:hint="eastAsia" w:ascii="宋体" w:hAnsi="宋体" w:eastAsia="宋体" w:cs="宋体"/>
          <w:b/>
          <w:bCs/>
          <w:color w:val="auto"/>
          <w:sz w:val="24"/>
          <w:szCs w:val="24"/>
          <w:highlight w:val="none"/>
          <w:lang w:eastAsia="zh-CN"/>
        </w:rPr>
        <w:t>则该</w:t>
      </w:r>
      <w:r>
        <w:rPr>
          <w:rFonts w:hint="eastAsia" w:ascii="宋体" w:hAnsi="宋体" w:eastAsia="宋体" w:cs="宋体"/>
          <w:b/>
          <w:bCs/>
          <w:color w:val="auto"/>
          <w:sz w:val="24"/>
          <w:szCs w:val="24"/>
          <w:highlight w:val="none"/>
        </w:rPr>
        <w:t>投标人</w:t>
      </w:r>
      <w:r>
        <w:rPr>
          <w:rFonts w:hint="eastAsia" w:ascii="宋体" w:hAnsi="宋体" w:eastAsia="宋体" w:cs="宋体"/>
          <w:b/>
          <w:bCs/>
          <w:color w:val="auto"/>
          <w:sz w:val="24"/>
          <w:szCs w:val="24"/>
          <w:highlight w:val="none"/>
          <w:lang w:eastAsia="zh-CN"/>
        </w:rPr>
        <w:t>所投</w:t>
      </w:r>
      <w:r>
        <w:rPr>
          <w:rFonts w:hint="eastAsia" w:ascii="宋体" w:hAnsi="宋体" w:eastAsia="宋体" w:cs="宋体"/>
          <w:b/>
          <w:bCs/>
          <w:color w:val="auto"/>
          <w:sz w:val="24"/>
          <w:szCs w:val="24"/>
          <w:highlight w:val="none"/>
        </w:rPr>
        <w:t>标项二</w:t>
      </w:r>
      <w:r>
        <w:rPr>
          <w:rFonts w:hint="eastAsia" w:ascii="宋体" w:hAnsi="宋体" w:eastAsia="宋体" w:cs="宋体"/>
          <w:b/>
          <w:bCs/>
          <w:color w:val="auto"/>
          <w:sz w:val="24"/>
          <w:szCs w:val="24"/>
          <w:highlight w:val="none"/>
          <w:lang w:eastAsia="zh-CN"/>
        </w:rPr>
        <w:t>的投标文件将不予评审</w:t>
      </w:r>
      <w:r>
        <w:rPr>
          <w:rFonts w:hint="eastAsia" w:ascii="宋体" w:hAnsi="宋体" w:eastAsia="宋体" w:cs="宋体"/>
          <w:b/>
          <w:bCs/>
          <w:color w:val="auto"/>
          <w:sz w:val="24"/>
          <w:szCs w:val="24"/>
          <w:highlight w:val="none"/>
        </w:rPr>
        <w:t>。</w:t>
      </w:r>
    </w:p>
    <w:p w14:paraId="74C5F914">
      <w:pPr>
        <w:pStyle w:val="86"/>
        <w:numPr>
          <w:ilvl w:val="0"/>
          <w:numId w:val="1"/>
        </w:numPr>
        <w:ind w:left="0" w:leftChars="0" w:firstLine="0" w:firstLineChars="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招标需求</w:t>
      </w:r>
    </w:p>
    <w:p w14:paraId="15A3EA00">
      <w:pPr>
        <w:shd w:val="clear" w:color="auto" w:fill="FFFFFF"/>
        <w:adjustRightInd w:val="0"/>
        <w:snapToGrid w:val="0"/>
        <w:spacing w:line="360" w:lineRule="auto"/>
        <w:ind w:firstLine="482"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lang w:val="en-US" w:eastAsia="zh-CN"/>
        </w:rPr>
        <w:t>项目名称</w:t>
      </w:r>
      <w:r>
        <w:rPr>
          <w:rFonts w:hint="eastAsia" w:ascii="宋体" w:hAnsi="宋体" w:eastAsia="宋体" w:cs="宋体"/>
          <w:b/>
          <w:bCs/>
          <w:color w:val="auto"/>
          <w:sz w:val="24"/>
          <w:szCs w:val="24"/>
          <w:highlight w:val="none"/>
          <w:lang w:eastAsia="zh-CN"/>
        </w:rPr>
        <w:t>：</w:t>
      </w:r>
      <w:r>
        <w:rPr>
          <w:rFonts w:hint="eastAsia" w:ascii="宋体" w:hAnsi="宋体" w:cs="宋体"/>
          <w:b w:val="0"/>
          <w:bCs w:val="0"/>
          <w:color w:val="auto"/>
          <w:sz w:val="24"/>
          <w:szCs w:val="24"/>
          <w:highlight w:val="none"/>
          <w:lang w:eastAsia="zh-CN"/>
        </w:rPr>
        <w:t>2026年度企退人员活动</w:t>
      </w:r>
    </w:p>
    <w:p w14:paraId="6B60F915">
      <w:pPr>
        <w:shd w:val="clear" w:color="auto" w:fill="FFFFFF"/>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、活动时间：</w:t>
      </w:r>
      <w:r>
        <w:rPr>
          <w:rFonts w:hint="eastAsia" w:ascii="宋体" w:hAnsi="宋体" w:eastAsia="宋体" w:cs="宋体"/>
          <w:b w:val="0"/>
          <w:bCs w:val="0"/>
          <w:color w:val="auto"/>
          <w:sz w:val="24"/>
          <w:szCs w:val="24"/>
          <w:highlight w:val="none"/>
          <w:lang w:eastAsia="zh-CN"/>
        </w:rPr>
        <w:t>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年</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月—202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年</w:t>
      </w:r>
      <w:r>
        <w:rPr>
          <w:rFonts w:hint="eastAsia" w:ascii="宋体" w:hAnsi="宋体" w:cs="宋体"/>
          <w:b w:val="0"/>
          <w:bCs w:val="0"/>
          <w:color w:val="auto"/>
          <w:sz w:val="24"/>
          <w:szCs w:val="24"/>
          <w:highlight w:val="none"/>
          <w:lang w:val="en-US" w:eastAsia="zh-CN"/>
        </w:rPr>
        <w:t>12月</w:t>
      </w:r>
    </w:p>
    <w:p w14:paraId="264327A2">
      <w:pPr>
        <w:shd w:val="clear" w:color="auto" w:fill="FFFFFF"/>
        <w:adjustRightInd w:val="0"/>
        <w:snapToGrid w:val="0"/>
        <w:spacing w:line="360" w:lineRule="auto"/>
        <w:ind w:firstLine="482"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、活动地点：</w:t>
      </w:r>
      <w:r>
        <w:rPr>
          <w:rFonts w:hint="eastAsia" w:ascii="宋体" w:hAnsi="宋体" w:eastAsia="宋体" w:cs="宋体"/>
          <w:b w:val="0"/>
          <w:bCs w:val="0"/>
          <w:color w:val="auto"/>
          <w:sz w:val="24"/>
          <w:szCs w:val="24"/>
          <w:highlight w:val="none"/>
          <w:lang w:val="en-US" w:eastAsia="zh-CN"/>
        </w:rPr>
        <w:t>杭州市钱塘区外</w:t>
      </w:r>
      <w:r>
        <w:rPr>
          <w:rFonts w:hint="eastAsia" w:ascii="宋体" w:hAnsi="宋体" w:eastAsia="宋体" w:cs="宋体"/>
          <w:b w:val="0"/>
          <w:bCs w:val="0"/>
          <w:color w:val="auto"/>
          <w:sz w:val="24"/>
          <w:szCs w:val="24"/>
          <w:highlight w:val="none"/>
          <w:lang w:eastAsia="zh-CN"/>
        </w:rPr>
        <w:t>，一天往返行程范围内</w:t>
      </w:r>
    </w:p>
    <w:p w14:paraId="113F9791">
      <w:pPr>
        <w:shd w:val="clear" w:color="auto" w:fill="FFFFFF"/>
        <w:snapToGrid w:val="0"/>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、活动目的：</w:t>
      </w:r>
      <w:r>
        <w:rPr>
          <w:rFonts w:hint="eastAsia" w:ascii="宋体" w:hAnsi="宋体" w:eastAsia="宋体" w:cs="宋体"/>
          <w:color w:val="auto"/>
          <w:sz w:val="24"/>
          <w:szCs w:val="24"/>
          <w:highlight w:val="none"/>
          <w:lang w:val="en-US" w:eastAsia="zh-CN"/>
        </w:rPr>
        <w:t>为了进一步丰富义蓬街道企退人员的精神文化生活</w:t>
      </w:r>
      <w:r>
        <w:rPr>
          <w:rFonts w:hint="eastAsia" w:ascii="宋体" w:hAnsi="宋体" w:eastAsia="宋体" w:cs="宋体"/>
          <w:color w:val="auto"/>
          <w:sz w:val="24"/>
          <w:szCs w:val="24"/>
          <w:highlight w:val="none"/>
        </w:rPr>
        <w:t>，拟组织</w:t>
      </w:r>
      <w:r>
        <w:rPr>
          <w:rFonts w:hint="eastAsia" w:ascii="宋体" w:hAnsi="宋体" w:eastAsia="宋体" w:cs="宋体"/>
          <w:color w:val="auto"/>
          <w:sz w:val="24"/>
          <w:szCs w:val="24"/>
          <w:highlight w:val="none"/>
          <w:lang w:val="en-US" w:eastAsia="zh-CN"/>
        </w:rPr>
        <w:t>2026年度</w:t>
      </w:r>
      <w:r>
        <w:rPr>
          <w:rFonts w:hint="eastAsia" w:ascii="宋体" w:hAnsi="宋体" w:eastAsia="宋体" w:cs="宋体"/>
          <w:color w:val="auto"/>
          <w:sz w:val="24"/>
          <w:szCs w:val="24"/>
          <w:highlight w:val="none"/>
        </w:rPr>
        <w:t>企退人员外出参观一日游</w:t>
      </w:r>
      <w:r>
        <w:rPr>
          <w:rFonts w:hint="eastAsia" w:ascii="宋体" w:hAnsi="宋体" w:eastAsia="宋体" w:cs="宋体"/>
          <w:color w:val="auto"/>
          <w:sz w:val="24"/>
          <w:szCs w:val="24"/>
          <w:highlight w:val="none"/>
          <w:lang w:val="en-US" w:eastAsia="zh-CN"/>
        </w:rPr>
        <w:t>览</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以小型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多样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就近</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安全为原则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开展好活动的组织落实工作，预计外出人数11000人（标项一</w:t>
      </w:r>
      <w:r>
        <w:rPr>
          <w:rFonts w:hint="eastAsia" w:ascii="宋体" w:hAnsi="宋体" w:cs="宋体"/>
          <w:color w:val="auto"/>
          <w:sz w:val="24"/>
          <w:szCs w:val="24"/>
          <w:highlight w:val="none"/>
          <w:lang w:val="en-US" w:eastAsia="zh-CN"/>
        </w:rPr>
        <w:t>义盛片涉及</w:t>
      </w:r>
      <w:r>
        <w:rPr>
          <w:rFonts w:hint="eastAsia" w:ascii="宋体" w:hAnsi="宋体" w:eastAsia="宋体" w:cs="宋体"/>
          <w:b w:val="0"/>
          <w:bCs w:val="0"/>
          <w:color w:val="auto"/>
          <w:sz w:val="24"/>
          <w:szCs w:val="24"/>
          <w:highlight w:val="none"/>
          <w:lang w:eastAsia="zh-CN"/>
        </w:rPr>
        <w:t>企退</w:t>
      </w:r>
      <w:r>
        <w:rPr>
          <w:rFonts w:hint="eastAsia" w:ascii="宋体" w:hAnsi="宋体" w:cs="宋体"/>
          <w:color w:val="auto"/>
          <w:sz w:val="24"/>
          <w:szCs w:val="24"/>
          <w:highlight w:val="none"/>
          <w:lang w:val="en-US" w:eastAsia="zh-CN"/>
        </w:rPr>
        <w:t>人员所在村社：</w:t>
      </w:r>
      <w:r>
        <w:rPr>
          <w:rFonts w:hint="eastAsia" w:ascii="宋体" w:hAnsi="宋体" w:eastAsia="宋体" w:cs="宋体"/>
          <w:i w:val="0"/>
          <w:iCs w:val="0"/>
          <w:caps w:val="0"/>
          <w:color w:val="auto"/>
          <w:spacing w:val="0"/>
          <w:sz w:val="24"/>
          <w:szCs w:val="24"/>
          <w:highlight w:val="none"/>
          <w:shd w:val="clear" w:color="auto" w:fill="FFFFFF"/>
        </w:rPr>
        <w:t>白浪村、后新庙村、蜜蜂村、蓬园村、新庙前村、新益村、杏花村、义和社区、义蓬村、义盛村、义盛社区、长红村</w:t>
      </w:r>
      <w:r>
        <w:rPr>
          <w:rFonts w:hint="eastAsia" w:ascii="宋体" w:hAnsi="宋体" w:eastAsia="宋体" w:cs="宋体"/>
          <w:i w:val="0"/>
          <w:iCs w:val="0"/>
          <w:caps w:val="0"/>
          <w:color w:val="auto"/>
          <w:spacing w:val="0"/>
          <w:sz w:val="24"/>
          <w:szCs w:val="24"/>
          <w:highlight w:val="none"/>
          <w:shd w:val="clear" w:color="auto" w:fill="FFFFFF"/>
          <w:lang w:eastAsia="zh-CN"/>
        </w:rPr>
        <w:t>、灯塔村、义隆社区、向涛社区</w:t>
      </w:r>
      <w:r>
        <w:rPr>
          <w:rFonts w:hint="eastAsia" w:ascii="宋体" w:hAnsi="宋体" w:cs="宋体"/>
          <w:i w:val="0"/>
          <w:iCs w:val="0"/>
          <w:caps w:val="0"/>
          <w:color w:val="auto"/>
          <w:spacing w:val="0"/>
          <w:sz w:val="24"/>
          <w:szCs w:val="24"/>
          <w:highlight w:val="none"/>
          <w:shd w:val="clear" w:color="auto" w:fill="FFFFFF"/>
          <w:lang w:eastAsia="zh-CN"/>
        </w:rPr>
        <w:t>、</w:t>
      </w:r>
      <w:r>
        <w:rPr>
          <w:rFonts w:hint="eastAsia" w:ascii="宋体" w:hAnsi="宋体" w:cs="宋体"/>
          <w:i w:val="0"/>
          <w:iCs w:val="0"/>
          <w:caps w:val="0"/>
          <w:color w:val="auto"/>
          <w:spacing w:val="0"/>
          <w:sz w:val="24"/>
          <w:szCs w:val="24"/>
          <w:highlight w:val="none"/>
          <w:shd w:val="clear" w:color="auto" w:fill="FFFFFF"/>
          <w:lang w:val="en-US" w:eastAsia="zh-CN"/>
        </w:rPr>
        <w:t>云帆社区</w:t>
      </w:r>
      <w:r>
        <w:rPr>
          <w:rFonts w:hint="eastAsia" w:ascii="宋体" w:hAnsi="宋体" w:cs="宋体"/>
          <w:i w:val="0"/>
          <w:iCs w:val="0"/>
          <w:caps w:val="0"/>
          <w:color w:val="auto"/>
          <w:spacing w:val="0"/>
          <w:sz w:val="24"/>
          <w:szCs w:val="24"/>
          <w:highlight w:val="none"/>
          <w:shd w:val="clear" w:color="auto" w:fill="FFFFFF"/>
          <w:lang w:val="en-US" w:eastAsia="zh-CN"/>
        </w:rPr>
        <w:t>等</w:t>
      </w:r>
      <w:r>
        <w:rPr>
          <w:rFonts w:hint="eastAsia" w:ascii="宋体" w:hAnsi="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auto"/>
          <w:sz w:val="24"/>
          <w:szCs w:val="24"/>
          <w:highlight w:val="none"/>
          <w:lang w:val="en-US" w:eastAsia="zh-CN"/>
        </w:rPr>
        <w:t>预计5500人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标项二</w:t>
      </w:r>
      <w:r>
        <w:rPr>
          <w:rFonts w:hint="eastAsia" w:ascii="宋体" w:hAnsi="宋体" w:cs="宋体"/>
          <w:color w:val="auto"/>
          <w:sz w:val="24"/>
          <w:szCs w:val="24"/>
          <w:highlight w:val="none"/>
          <w:lang w:val="en-US" w:eastAsia="zh-CN"/>
        </w:rPr>
        <w:t>头蓬片涉及</w:t>
      </w:r>
      <w:r>
        <w:rPr>
          <w:rFonts w:hint="eastAsia" w:ascii="宋体" w:hAnsi="宋体" w:eastAsia="宋体" w:cs="宋体"/>
          <w:b w:val="0"/>
          <w:bCs w:val="0"/>
          <w:color w:val="auto"/>
          <w:sz w:val="24"/>
          <w:szCs w:val="24"/>
          <w:highlight w:val="none"/>
          <w:lang w:eastAsia="zh-CN"/>
        </w:rPr>
        <w:t>企退</w:t>
      </w:r>
      <w:r>
        <w:rPr>
          <w:rFonts w:hint="eastAsia" w:ascii="宋体" w:hAnsi="宋体" w:cs="宋体"/>
          <w:color w:val="auto"/>
          <w:sz w:val="24"/>
          <w:szCs w:val="24"/>
          <w:highlight w:val="none"/>
          <w:lang w:val="en-US" w:eastAsia="zh-CN"/>
        </w:rPr>
        <w:t>人员所在村社：</w:t>
      </w:r>
      <w:r>
        <w:rPr>
          <w:rFonts w:hint="eastAsia" w:ascii="宋体" w:hAnsi="宋体" w:eastAsia="宋体" w:cs="宋体"/>
          <w:i w:val="0"/>
          <w:iCs w:val="0"/>
          <w:caps w:val="0"/>
          <w:color w:val="auto"/>
          <w:spacing w:val="0"/>
          <w:sz w:val="24"/>
          <w:szCs w:val="24"/>
          <w:highlight w:val="none"/>
          <w:shd w:val="clear" w:color="auto" w:fill="FFFFFF"/>
        </w:rPr>
        <w:t>仓北村、春光村、春雷村、春园村</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后埠头村、火星村、金泉村、金星村、</w:t>
      </w:r>
      <w:r>
        <w:rPr>
          <w:rFonts w:hint="eastAsia" w:ascii="宋体" w:hAnsi="宋体" w:eastAsia="宋体" w:cs="宋体"/>
          <w:i w:val="0"/>
          <w:iCs w:val="0"/>
          <w:caps w:val="0"/>
          <w:color w:val="auto"/>
          <w:spacing w:val="0"/>
          <w:sz w:val="24"/>
          <w:szCs w:val="24"/>
          <w:highlight w:val="none"/>
          <w:shd w:val="clear" w:color="auto" w:fill="FFFFFF"/>
        </w:rPr>
        <w:t>江盛社区</w:t>
      </w:r>
      <w:r>
        <w:rPr>
          <w:rFonts w:hint="eastAsia" w:ascii="宋体" w:hAnsi="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南沙村、全民村、头蓬社区、小泗埠村</w:t>
      </w:r>
      <w:r>
        <w:rPr>
          <w:rFonts w:hint="eastAsia" w:ascii="宋体" w:hAnsi="宋体" w:cs="宋体"/>
          <w:i w:val="0"/>
          <w:iCs w:val="0"/>
          <w:caps w:val="0"/>
          <w:color w:val="auto"/>
          <w:spacing w:val="0"/>
          <w:sz w:val="24"/>
          <w:szCs w:val="24"/>
          <w:highlight w:val="none"/>
          <w:shd w:val="clear" w:color="auto" w:fill="FFFFFF"/>
          <w:lang w:eastAsia="zh-CN"/>
        </w:rPr>
        <w:t>、</w:t>
      </w:r>
      <w:r>
        <w:rPr>
          <w:rFonts w:hint="eastAsia" w:ascii="宋体" w:hAnsi="宋体" w:cs="宋体"/>
          <w:i w:val="0"/>
          <w:iCs w:val="0"/>
          <w:caps w:val="0"/>
          <w:color w:val="auto"/>
          <w:spacing w:val="0"/>
          <w:sz w:val="24"/>
          <w:szCs w:val="24"/>
          <w:highlight w:val="none"/>
          <w:shd w:val="clear" w:color="auto" w:fill="FFFFFF"/>
          <w:lang w:val="en-US" w:eastAsia="zh-CN"/>
        </w:rPr>
        <w:t>沙堤社区、云堤社区</w:t>
      </w:r>
      <w:r>
        <w:rPr>
          <w:rFonts w:hint="eastAsia" w:ascii="宋体" w:hAnsi="宋体" w:cs="宋体"/>
          <w:i w:val="0"/>
          <w:iCs w:val="0"/>
          <w:caps w:val="0"/>
          <w:color w:val="auto"/>
          <w:spacing w:val="0"/>
          <w:sz w:val="24"/>
          <w:szCs w:val="24"/>
          <w:highlight w:val="none"/>
          <w:shd w:val="clear" w:color="auto" w:fill="FFFFFF"/>
          <w:lang w:val="en-US" w:eastAsia="zh-CN"/>
        </w:rPr>
        <w:t>等</w:t>
      </w:r>
      <w:r>
        <w:rPr>
          <w:rFonts w:hint="eastAsia" w:ascii="宋体" w:hAnsi="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auto"/>
          <w:sz w:val="24"/>
          <w:szCs w:val="24"/>
          <w:highlight w:val="none"/>
          <w:lang w:val="en-US" w:eastAsia="zh-CN"/>
        </w:rPr>
        <w:t>预计5500人</w:t>
      </w:r>
      <w:r>
        <w:rPr>
          <w:rFonts w:hint="eastAsia" w:ascii="宋体" w:hAnsi="宋体" w:cs="宋体"/>
          <w:color w:val="auto"/>
          <w:sz w:val="24"/>
          <w:szCs w:val="24"/>
          <w:highlight w:val="none"/>
          <w:lang w:val="en-US" w:eastAsia="zh-CN"/>
        </w:rPr>
        <w:t>；</w:t>
      </w:r>
      <w:r>
        <w:rPr>
          <w:rFonts w:hint="eastAsia" w:ascii="宋体" w:hAnsi="宋体" w:eastAsia="宋体" w:cs="宋体"/>
          <w:b/>
          <w:bCs/>
          <w:color w:val="auto"/>
          <w:kern w:val="2"/>
          <w:sz w:val="24"/>
          <w:szCs w:val="24"/>
          <w:highlight w:val="none"/>
          <w:lang w:val="en-US" w:eastAsia="zh-CN" w:bidi="ar-SA"/>
        </w:rPr>
        <w:t>具体以实际出行的</w:t>
      </w:r>
      <w:r>
        <w:rPr>
          <w:rFonts w:hint="eastAsia" w:ascii="宋体" w:hAnsi="宋体" w:eastAsia="宋体" w:cs="宋体"/>
          <w:b/>
          <w:bCs/>
          <w:color w:val="auto"/>
          <w:kern w:val="0"/>
          <w:sz w:val="24"/>
          <w:szCs w:val="24"/>
          <w:highlight w:val="none"/>
          <w:lang w:val="en-US" w:eastAsia="zh-CN"/>
        </w:rPr>
        <w:t>企退人员人数</w:t>
      </w:r>
      <w:r>
        <w:rPr>
          <w:rFonts w:hint="eastAsia" w:ascii="宋体" w:hAnsi="宋体" w:eastAsia="宋体" w:cs="宋体"/>
          <w:b/>
          <w:bCs/>
          <w:color w:val="auto"/>
          <w:kern w:val="2"/>
          <w:sz w:val="24"/>
          <w:szCs w:val="24"/>
          <w:highlight w:val="none"/>
          <w:lang w:val="en-US" w:eastAsia="zh-CN" w:bidi="ar-SA"/>
        </w:rPr>
        <w:t>为准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20B3D599">
      <w:pPr>
        <w:shd w:val="clear" w:color="auto" w:fill="FFFFFF"/>
        <w:adjustRightInd w:val="0"/>
        <w:snapToGrid w:val="0"/>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整个</w:t>
      </w:r>
      <w:r>
        <w:rPr>
          <w:rFonts w:hint="eastAsia" w:ascii="宋体" w:hAnsi="宋体" w:eastAsia="宋体" w:cs="宋体"/>
          <w:b w:val="0"/>
          <w:bCs w:val="0"/>
          <w:color w:val="auto"/>
          <w:sz w:val="24"/>
          <w:szCs w:val="24"/>
          <w:highlight w:val="none"/>
          <w:lang w:val="en-US" w:eastAsia="zh-CN"/>
        </w:rPr>
        <w:t>义蓬街道</w:t>
      </w:r>
      <w:r>
        <w:rPr>
          <w:rFonts w:hint="eastAsia" w:ascii="宋体" w:hAnsi="宋体" w:eastAsia="宋体" w:cs="宋体"/>
          <w:b w:val="0"/>
          <w:bCs w:val="0"/>
          <w:color w:val="auto"/>
          <w:sz w:val="24"/>
          <w:szCs w:val="24"/>
          <w:highlight w:val="none"/>
          <w:lang w:eastAsia="zh-CN"/>
        </w:rPr>
        <w:t>企退活动，按照</w:t>
      </w:r>
      <w:r>
        <w:rPr>
          <w:rFonts w:hint="eastAsia" w:ascii="宋体" w:hAnsi="宋体" w:eastAsia="宋体" w:cs="宋体"/>
          <w:b w:val="0"/>
          <w:bCs w:val="0"/>
          <w:color w:val="auto"/>
          <w:sz w:val="24"/>
          <w:szCs w:val="24"/>
          <w:highlight w:val="none"/>
          <w:lang w:val="en-US" w:eastAsia="zh-CN"/>
        </w:rPr>
        <w:t>2个</w:t>
      </w:r>
      <w:r>
        <w:rPr>
          <w:rFonts w:hint="eastAsia" w:ascii="宋体" w:hAnsi="宋体" w:eastAsia="宋体" w:cs="宋体"/>
          <w:color w:val="auto"/>
          <w:sz w:val="24"/>
          <w:szCs w:val="24"/>
          <w:highlight w:val="none"/>
        </w:rPr>
        <w:t>标项</w:t>
      </w:r>
      <w:r>
        <w:rPr>
          <w:rFonts w:hint="eastAsia" w:ascii="宋体" w:hAnsi="宋体" w:eastAsia="宋体" w:cs="宋体"/>
          <w:b w:val="0"/>
          <w:bCs w:val="0"/>
          <w:color w:val="auto"/>
          <w:sz w:val="24"/>
          <w:szCs w:val="24"/>
          <w:highlight w:val="none"/>
          <w:lang w:val="en-US" w:eastAsia="zh-CN"/>
        </w:rPr>
        <w:t>分别组织，本次计划每个</w:t>
      </w:r>
      <w:r>
        <w:rPr>
          <w:rFonts w:hint="eastAsia" w:ascii="宋体" w:hAnsi="宋体" w:eastAsia="宋体" w:cs="宋体"/>
          <w:color w:val="auto"/>
          <w:sz w:val="24"/>
          <w:szCs w:val="24"/>
          <w:highlight w:val="none"/>
        </w:rPr>
        <w:t>标项</w:t>
      </w:r>
      <w:r>
        <w:rPr>
          <w:rFonts w:hint="eastAsia" w:ascii="宋体" w:hAnsi="宋体" w:eastAsia="宋体" w:cs="宋体"/>
          <w:b w:val="0"/>
          <w:bCs w:val="0"/>
          <w:color w:val="auto"/>
          <w:sz w:val="24"/>
          <w:szCs w:val="24"/>
          <w:highlight w:val="none"/>
          <w:lang w:val="en-US" w:eastAsia="zh-CN"/>
        </w:rPr>
        <w:t>安排</w:t>
      </w:r>
      <w:r>
        <w:rPr>
          <w:rFonts w:hint="eastAsia" w:ascii="宋体" w:hAnsi="宋体" w:eastAsia="宋体" w:cs="宋体"/>
          <w:b w:val="0"/>
          <w:bCs w:val="0"/>
          <w:color w:val="auto"/>
          <w:kern w:val="0"/>
          <w:sz w:val="24"/>
          <w:szCs w:val="24"/>
          <w:highlight w:val="none"/>
          <w:lang w:val="en-US" w:eastAsia="zh-CN"/>
        </w:rPr>
        <w:t>三</w:t>
      </w:r>
      <w:r>
        <w:rPr>
          <w:rFonts w:hint="eastAsia" w:ascii="宋体" w:hAnsi="宋体" w:eastAsia="宋体" w:cs="宋体"/>
          <w:b w:val="0"/>
          <w:bCs w:val="0"/>
          <w:color w:val="auto"/>
          <w:kern w:val="0"/>
          <w:sz w:val="24"/>
          <w:szCs w:val="24"/>
          <w:highlight w:val="none"/>
        </w:rPr>
        <w:t>条</w:t>
      </w:r>
      <w:r>
        <w:rPr>
          <w:rFonts w:hint="eastAsia" w:ascii="宋体" w:hAnsi="宋体" w:eastAsia="宋体" w:cs="宋体"/>
          <w:b w:val="0"/>
          <w:bCs w:val="0"/>
          <w:color w:val="auto"/>
          <w:sz w:val="24"/>
          <w:szCs w:val="24"/>
          <w:highlight w:val="none"/>
          <w:lang w:val="en-US" w:eastAsia="zh-CN"/>
        </w:rPr>
        <w:t>旅行路线以供村社组织。活动费的</w:t>
      </w:r>
      <w:r>
        <w:rPr>
          <w:rFonts w:hint="eastAsia" w:ascii="宋体" w:hAnsi="宋体" w:cs="宋体"/>
          <w:b w:val="0"/>
          <w:bCs w:val="0"/>
          <w:color w:val="auto"/>
          <w:sz w:val="24"/>
          <w:szCs w:val="24"/>
          <w:highlight w:val="none"/>
          <w:lang w:val="en-US" w:eastAsia="zh-CN"/>
        </w:rPr>
        <w:t>最高</w:t>
      </w:r>
      <w:r>
        <w:rPr>
          <w:rFonts w:hint="eastAsia" w:ascii="宋体" w:hAnsi="宋体" w:eastAsia="宋体" w:cs="宋体"/>
          <w:b w:val="0"/>
          <w:bCs w:val="0"/>
          <w:color w:val="auto"/>
          <w:sz w:val="24"/>
          <w:szCs w:val="24"/>
          <w:highlight w:val="none"/>
          <w:lang w:val="en-US" w:eastAsia="zh-CN"/>
        </w:rPr>
        <w:t>标准</w:t>
      </w:r>
      <w:r>
        <w:rPr>
          <w:rFonts w:hint="eastAsia" w:ascii="宋体" w:hAnsi="宋体" w:eastAsia="宋体" w:cs="宋体"/>
          <w:b w:val="0"/>
          <w:bCs w:val="0"/>
          <w:color w:val="auto"/>
          <w:sz w:val="24"/>
          <w:szCs w:val="24"/>
          <w:highlight w:val="none"/>
          <w:lang w:val="en-US" w:eastAsia="zh-CN"/>
        </w:rPr>
        <w:t>是外出130元/人。</w:t>
      </w:r>
    </w:p>
    <w:p w14:paraId="69C90A3E">
      <w:pPr>
        <w:spacing w:line="360" w:lineRule="auto"/>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val="en-US" w:eastAsia="zh-CN"/>
        </w:rPr>
        <w:t>2026</w:t>
      </w:r>
      <w:r>
        <w:rPr>
          <w:rFonts w:hint="eastAsia" w:ascii="宋体" w:hAnsi="宋体" w:eastAsia="宋体" w:cs="宋体"/>
          <w:b w:val="0"/>
          <w:bCs w:val="0"/>
          <w:color w:val="auto"/>
          <w:sz w:val="24"/>
          <w:szCs w:val="24"/>
          <w:highlight w:val="none"/>
        </w:rPr>
        <w:t>年度</w:t>
      </w:r>
      <w:r>
        <w:rPr>
          <w:rFonts w:hint="eastAsia" w:ascii="宋体" w:hAnsi="宋体" w:eastAsia="宋体" w:cs="宋体"/>
          <w:b w:val="0"/>
          <w:bCs w:val="0"/>
          <w:color w:val="auto"/>
          <w:sz w:val="24"/>
          <w:szCs w:val="24"/>
          <w:highlight w:val="none"/>
          <w:lang w:val="en-US" w:eastAsia="zh-CN"/>
        </w:rPr>
        <w:t>企退外出</w:t>
      </w:r>
      <w:r>
        <w:rPr>
          <w:rFonts w:hint="eastAsia" w:ascii="宋体" w:hAnsi="宋体" w:eastAsia="宋体" w:cs="宋体"/>
          <w:b w:val="0"/>
          <w:bCs w:val="0"/>
          <w:color w:val="auto"/>
          <w:sz w:val="24"/>
          <w:szCs w:val="24"/>
          <w:highlight w:val="none"/>
        </w:rPr>
        <w:t>活动项目，</w:t>
      </w:r>
      <w:r>
        <w:rPr>
          <w:rFonts w:hint="eastAsia" w:ascii="宋体" w:hAnsi="宋体" w:eastAsia="宋体" w:cs="宋体"/>
          <w:b w:val="0"/>
          <w:bCs w:val="0"/>
          <w:color w:val="auto"/>
          <w:kern w:val="0"/>
          <w:sz w:val="24"/>
          <w:szCs w:val="24"/>
          <w:highlight w:val="none"/>
        </w:rPr>
        <w:t>预计参加人员</w:t>
      </w:r>
      <w:r>
        <w:rPr>
          <w:rFonts w:hint="eastAsia" w:ascii="宋体" w:hAnsi="宋体" w:eastAsia="宋体" w:cs="宋体"/>
          <w:b w:val="0"/>
          <w:bCs w:val="0"/>
          <w:color w:val="auto"/>
          <w:kern w:val="0"/>
          <w:sz w:val="24"/>
          <w:szCs w:val="24"/>
          <w:highlight w:val="none"/>
          <w:lang w:val="en-US" w:eastAsia="zh-CN"/>
        </w:rPr>
        <w:t>11000</w:t>
      </w:r>
      <w:r>
        <w:rPr>
          <w:rFonts w:hint="eastAsia" w:ascii="宋体" w:hAnsi="宋体" w:eastAsia="宋体" w:cs="宋体"/>
          <w:b w:val="0"/>
          <w:bCs w:val="0"/>
          <w:color w:val="auto"/>
          <w:kern w:val="0"/>
          <w:sz w:val="24"/>
          <w:szCs w:val="24"/>
          <w:highlight w:val="none"/>
        </w:rPr>
        <w:t>人</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本次招标参加人员仅限于</w:t>
      </w:r>
      <w:r>
        <w:rPr>
          <w:rFonts w:hint="eastAsia" w:ascii="宋体" w:hAnsi="宋体" w:eastAsia="宋体" w:cs="宋体"/>
          <w:b w:val="0"/>
          <w:bCs w:val="0"/>
          <w:color w:val="auto"/>
          <w:kern w:val="0"/>
          <w:sz w:val="24"/>
          <w:szCs w:val="24"/>
          <w:highlight w:val="none"/>
          <w:lang w:val="en-US" w:eastAsia="zh-CN"/>
        </w:rPr>
        <w:t>202</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年</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月3</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日</w:t>
      </w:r>
      <w:r>
        <w:rPr>
          <w:rFonts w:hint="eastAsia" w:ascii="宋体" w:hAnsi="宋体" w:eastAsia="宋体" w:cs="宋体"/>
          <w:b w:val="0"/>
          <w:bCs w:val="0"/>
          <w:color w:val="auto"/>
          <w:kern w:val="0"/>
          <w:sz w:val="24"/>
          <w:szCs w:val="24"/>
          <w:highlight w:val="none"/>
          <w:lang w:val="en-US" w:eastAsia="zh-CN"/>
        </w:rPr>
        <w:t>之前退休人员</w:t>
      </w:r>
      <w:r>
        <w:rPr>
          <w:rFonts w:hint="eastAsia" w:ascii="宋体" w:hAnsi="宋体" w:eastAsia="宋体" w:cs="宋体"/>
          <w:b w:val="0"/>
          <w:bCs w:val="0"/>
          <w:color w:val="auto"/>
          <w:kern w:val="0"/>
          <w:sz w:val="24"/>
          <w:szCs w:val="24"/>
          <w:highlight w:val="none"/>
        </w:rPr>
        <w:t>；人均费用</w:t>
      </w:r>
      <w:r>
        <w:rPr>
          <w:rFonts w:hint="eastAsia" w:ascii="宋体" w:hAnsi="宋体" w:eastAsia="宋体" w:cs="宋体"/>
          <w:b w:val="0"/>
          <w:bCs w:val="0"/>
          <w:color w:val="auto"/>
          <w:kern w:val="0"/>
          <w:sz w:val="24"/>
          <w:szCs w:val="24"/>
          <w:highlight w:val="none"/>
          <w:lang w:val="en-US" w:eastAsia="zh-CN"/>
        </w:rPr>
        <w:t>为</w:t>
      </w:r>
      <w:r>
        <w:rPr>
          <w:rFonts w:hint="eastAsia" w:ascii="宋体" w:hAnsi="宋体" w:eastAsia="宋体" w:cs="宋体"/>
          <w:b w:val="0"/>
          <w:bCs w:val="0"/>
          <w:color w:val="auto"/>
          <w:kern w:val="0"/>
          <w:sz w:val="24"/>
          <w:szCs w:val="24"/>
          <w:highlight w:val="none"/>
        </w:rPr>
        <w:t>130元/人。服务期限：</w:t>
      </w:r>
      <w:r>
        <w:rPr>
          <w:rFonts w:hint="eastAsia" w:ascii="宋体" w:hAnsi="宋体" w:eastAsia="宋体" w:cs="宋体"/>
          <w:b w:val="0"/>
          <w:bCs w:val="0"/>
          <w:color w:val="auto"/>
          <w:sz w:val="24"/>
          <w:szCs w:val="24"/>
          <w:highlight w:val="none"/>
          <w:lang w:eastAsia="zh-CN"/>
        </w:rPr>
        <w:t>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年</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月—202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年</w:t>
      </w:r>
      <w:r>
        <w:rPr>
          <w:rFonts w:hint="eastAsia" w:ascii="宋体" w:hAnsi="宋体" w:cs="宋体"/>
          <w:b w:val="0"/>
          <w:bCs w:val="0"/>
          <w:color w:val="auto"/>
          <w:sz w:val="24"/>
          <w:szCs w:val="24"/>
          <w:highlight w:val="none"/>
          <w:lang w:val="en-US" w:eastAsia="zh-CN"/>
        </w:rPr>
        <w:t>12月</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sz w:val="24"/>
          <w:szCs w:val="24"/>
          <w:highlight w:val="none"/>
        </w:rPr>
        <w:t>具体为：企退人员活动的管理、策划、组织，活动后评价意见的征求、汇总、分析、反馈以及合理建议，采购人交办的与本项目管理相关的其他事务。</w:t>
      </w:r>
    </w:p>
    <w:p w14:paraId="785346DA">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注：以上各标项的人数为采购人初步统计数量，实际每标项的人数可能出现较大的差异，各投标人须综合衡量、充分考虑、综合考虑投标风险。</w:t>
      </w:r>
    </w:p>
    <w:p w14:paraId="4CAA22E7">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rPr>
        <w:t>、项目技术规范和服务要求：</w:t>
      </w:r>
    </w:p>
    <w:p w14:paraId="736E27B6">
      <w:pPr>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（一）时间地点</w:t>
      </w:r>
      <w:r>
        <w:rPr>
          <w:rFonts w:hint="eastAsia" w:ascii="宋体" w:hAnsi="宋体" w:eastAsia="宋体" w:cs="宋体"/>
          <w:b w:val="0"/>
          <w:bCs w:val="0"/>
          <w:color w:val="auto"/>
          <w:kern w:val="0"/>
          <w:sz w:val="24"/>
          <w:szCs w:val="24"/>
          <w:highlight w:val="none"/>
        </w:rPr>
        <w:cr/>
      </w:r>
      <w:r>
        <w:rPr>
          <w:rFonts w:hint="eastAsia" w:ascii="宋体" w:hAnsi="宋体" w:eastAsia="宋体" w:cs="宋体"/>
          <w:b w:val="0"/>
          <w:bCs w:val="0"/>
          <w:color w:val="auto"/>
          <w:kern w:val="0"/>
          <w:sz w:val="24"/>
          <w:szCs w:val="24"/>
          <w:highlight w:val="none"/>
        </w:rPr>
        <w:t xml:space="preserve">    拟安排在</w:t>
      </w:r>
      <w:r>
        <w:rPr>
          <w:rFonts w:hint="eastAsia" w:ascii="宋体" w:hAnsi="宋体" w:eastAsia="宋体" w:cs="宋体"/>
          <w:b w:val="0"/>
          <w:bCs w:val="0"/>
          <w:color w:val="auto"/>
          <w:sz w:val="24"/>
          <w:szCs w:val="24"/>
          <w:highlight w:val="none"/>
          <w:lang w:eastAsia="zh-CN"/>
        </w:rPr>
        <w:t>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年</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月—202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年</w:t>
      </w:r>
      <w:r>
        <w:rPr>
          <w:rFonts w:hint="eastAsia" w:ascii="宋体" w:hAnsi="宋体" w:cs="宋体"/>
          <w:b w:val="0"/>
          <w:bCs w:val="0"/>
          <w:color w:val="auto"/>
          <w:sz w:val="24"/>
          <w:szCs w:val="24"/>
          <w:highlight w:val="none"/>
          <w:lang w:val="en-US" w:eastAsia="zh-CN"/>
        </w:rPr>
        <w:t>12月</w:t>
      </w:r>
      <w:r>
        <w:rPr>
          <w:rFonts w:hint="eastAsia" w:ascii="宋体" w:hAnsi="宋体" w:eastAsia="宋体" w:cs="宋体"/>
          <w:b w:val="0"/>
          <w:bCs w:val="0"/>
          <w:color w:val="auto"/>
          <w:kern w:val="0"/>
          <w:sz w:val="24"/>
          <w:szCs w:val="24"/>
          <w:highlight w:val="none"/>
        </w:rPr>
        <w:t>，拟安排</w:t>
      </w:r>
      <w:r>
        <w:rPr>
          <w:rFonts w:hint="eastAsia" w:ascii="宋体" w:hAnsi="宋体" w:eastAsia="宋体" w:cs="宋体"/>
          <w:b w:val="0"/>
          <w:bCs w:val="0"/>
          <w:color w:val="auto"/>
          <w:kern w:val="0"/>
          <w:sz w:val="24"/>
          <w:szCs w:val="24"/>
          <w:highlight w:val="none"/>
          <w:lang w:val="en-US" w:eastAsia="zh-CN"/>
        </w:rPr>
        <w:t>三</w:t>
      </w:r>
      <w:r>
        <w:rPr>
          <w:rFonts w:hint="eastAsia" w:ascii="宋体" w:hAnsi="宋体" w:eastAsia="宋体" w:cs="宋体"/>
          <w:b w:val="0"/>
          <w:bCs w:val="0"/>
          <w:color w:val="auto"/>
          <w:kern w:val="0"/>
          <w:sz w:val="24"/>
          <w:szCs w:val="24"/>
          <w:highlight w:val="none"/>
        </w:rPr>
        <w:t>条线路，分别为</w:t>
      </w:r>
    </w:p>
    <w:p w14:paraId="29A252AC">
      <w:pPr>
        <w:spacing w:line="360" w:lineRule="auto"/>
        <w:ind w:firstLine="480" w:firstLineChars="20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（二）线路与具体景点安排</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标项一、标项二</w:t>
      </w:r>
      <w:r>
        <w:rPr>
          <w:rFonts w:hint="eastAsia" w:ascii="宋体" w:hAnsi="宋体" w:eastAsia="宋体" w:cs="宋体"/>
          <w:b w:val="0"/>
          <w:bCs w:val="0"/>
          <w:color w:val="auto"/>
          <w:kern w:val="0"/>
          <w:sz w:val="24"/>
          <w:szCs w:val="24"/>
          <w:highlight w:val="none"/>
          <w:lang w:eastAsia="zh-CN"/>
        </w:rPr>
        <w:t>）</w:t>
      </w:r>
    </w:p>
    <w:p w14:paraId="671EBFE0">
      <w:pPr>
        <w:pStyle w:val="259"/>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路线一：富阳一日游（阳陂湖湿地公园+黄公望村+ 鹳山公园）</w:t>
      </w:r>
    </w:p>
    <w:p w14:paraId="0711775B">
      <w:pPr>
        <w:pStyle w:val="259"/>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路线二：上虞一日游（中华孝德园+英台故里祝家庄景区）</w:t>
      </w:r>
    </w:p>
    <w:p w14:paraId="36AF31D4">
      <w:pPr>
        <w:pStyle w:val="259"/>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路线三：余姚一日游（王阳明故居+阳明古镇府前路历史街区）</w:t>
      </w:r>
    </w:p>
    <w:p w14:paraId="13940B42">
      <w:pPr>
        <w:pStyle w:val="259"/>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注：1、以上线路投标人需在投标文件中提供具体服务方案，供评标委员会评审；</w:t>
      </w:r>
      <w:r>
        <w:rPr>
          <w:rFonts w:hint="eastAsia" w:ascii="宋体" w:hAnsi="宋体" w:eastAsia="宋体" w:cs="宋体"/>
          <w:b w:val="0"/>
          <w:bCs w:val="0"/>
          <w:color w:val="auto"/>
          <w:sz w:val="24"/>
          <w:szCs w:val="24"/>
          <w:highlight w:val="none"/>
          <w:lang w:val="en-US" w:eastAsia="zh-CN"/>
        </w:rPr>
        <w:t>若投标人承诺增加景点的，活动费的最高标准仍为130元/人</w:t>
      </w:r>
      <w:r>
        <w:rPr>
          <w:rFonts w:hint="eastAsia" w:ascii="宋体" w:hAnsi="宋体" w:eastAsia="宋体" w:cs="宋体"/>
          <w:b w:val="0"/>
          <w:bCs w:val="0"/>
          <w:color w:val="auto"/>
          <w:sz w:val="24"/>
          <w:szCs w:val="24"/>
          <w:highlight w:val="none"/>
          <w:lang w:val="en-US" w:eastAsia="zh-CN"/>
        </w:rPr>
        <w:t>。项目具体实施过程中如需</w:t>
      </w:r>
      <w:r>
        <w:rPr>
          <w:rFonts w:hint="eastAsia" w:ascii="宋体" w:hAnsi="宋体" w:eastAsia="宋体" w:cs="宋体"/>
          <w:b w:val="0"/>
          <w:bCs w:val="0"/>
          <w:color w:val="auto"/>
          <w:sz w:val="24"/>
          <w:szCs w:val="24"/>
          <w:highlight w:val="none"/>
          <w:lang w:val="en-US" w:eastAsia="zh-CN"/>
        </w:rPr>
        <w:t>调整</w:t>
      </w:r>
      <w:r>
        <w:rPr>
          <w:rFonts w:hint="eastAsia" w:ascii="宋体" w:hAnsi="宋体" w:eastAsia="宋体" w:cs="宋体"/>
          <w:b w:val="0"/>
          <w:bCs w:val="0"/>
          <w:color w:val="auto"/>
          <w:sz w:val="24"/>
          <w:szCs w:val="24"/>
          <w:highlight w:val="none"/>
          <w:lang w:val="en-US" w:eastAsia="zh-CN"/>
        </w:rPr>
        <w:t>线路，费用按投标价执行，不再另外增加费用。</w:t>
      </w:r>
    </w:p>
    <w:p w14:paraId="1CBF07CC">
      <w:pPr>
        <w:pStyle w:val="259"/>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2、具体方案由投标人自行设计。</w:t>
      </w:r>
    </w:p>
    <w:p w14:paraId="1D76AE42">
      <w:pPr>
        <w:pStyle w:val="259"/>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3、需详细说明线路、景点、午餐菜单及安全应急方案。</w:t>
      </w:r>
    </w:p>
    <w:p w14:paraId="4A7E59FC">
      <w:pPr>
        <w:pStyle w:val="259"/>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4、最终路线的确定由采购人与中标单位协商确定。</w:t>
      </w:r>
    </w:p>
    <w:p w14:paraId="0CB2B95C">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八</w:t>
      </w:r>
      <w:r>
        <w:rPr>
          <w:rFonts w:hint="eastAsia" w:ascii="宋体" w:hAnsi="宋体" w:eastAsia="宋体" w:cs="宋体"/>
          <w:b/>
          <w:bCs/>
          <w:color w:val="auto"/>
          <w:kern w:val="0"/>
          <w:sz w:val="24"/>
          <w:szCs w:val="24"/>
          <w:highlight w:val="none"/>
        </w:rPr>
        <w:t>、以上</w:t>
      </w:r>
      <w:r>
        <w:rPr>
          <w:rFonts w:hint="eastAsia" w:ascii="宋体" w:hAnsi="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条线路的基本要求：</w:t>
      </w:r>
    </w:p>
    <w:p w14:paraId="451A54A2">
      <w:pPr>
        <w:spacing w:line="360" w:lineRule="auto"/>
        <w:ind w:firstLine="480" w:firstLineChars="200"/>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1、</w:t>
      </w:r>
      <w:r>
        <w:rPr>
          <w:rFonts w:hint="eastAsia" w:ascii="宋体" w:hAnsi="宋体" w:cs="宋体"/>
          <w:b w:val="0"/>
          <w:bCs w:val="0"/>
          <w:color w:val="auto"/>
          <w:kern w:val="0"/>
          <w:sz w:val="24"/>
          <w:szCs w:val="24"/>
          <w:highlight w:val="none"/>
          <w:lang w:val="en-US" w:eastAsia="zh-CN"/>
        </w:rPr>
        <w:t>出行时间：</w:t>
      </w:r>
      <w:r>
        <w:rPr>
          <w:rFonts w:hint="eastAsia" w:ascii="宋体" w:hAnsi="宋体" w:cs="宋体"/>
          <w:b w:val="0"/>
          <w:bCs w:val="0"/>
          <w:color w:val="auto"/>
          <w:kern w:val="0"/>
          <w:sz w:val="24"/>
          <w:szCs w:val="24"/>
          <w:highlight w:val="none"/>
          <w:lang w:val="en-US" w:eastAsia="zh-CN"/>
        </w:rPr>
        <w:t>原则上</w:t>
      </w:r>
      <w:r>
        <w:rPr>
          <w:rFonts w:hint="eastAsia" w:ascii="宋体" w:hAnsi="宋体" w:cs="宋体"/>
          <w:b w:val="0"/>
          <w:bCs w:val="0"/>
          <w:color w:val="auto"/>
          <w:kern w:val="0"/>
          <w:sz w:val="24"/>
          <w:szCs w:val="24"/>
          <w:highlight w:val="none"/>
          <w:lang w:val="en-US" w:eastAsia="zh-CN"/>
        </w:rPr>
        <w:t>出发时间应为07时00分前，返程时间应为16时00分后，</w:t>
      </w:r>
      <w:r>
        <w:rPr>
          <w:rFonts w:hint="eastAsia" w:ascii="宋体" w:hAnsi="宋体" w:cs="宋体"/>
          <w:b w:val="0"/>
          <w:bCs w:val="0"/>
          <w:color w:val="auto"/>
          <w:kern w:val="0"/>
          <w:sz w:val="24"/>
          <w:szCs w:val="24"/>
          <w:highlight w:val="none"/>
          <w:lang w:val="en-US" w:eastAsia="zh-CN"/>
        </w:rPr>
        <w:t>最终由各村社确定</w:t>
      </w:r>
      <w:r>
        <w:rPr>
          <w:rFonts w:hint="eastAsia" w:ascii="宋体" w:hAnsi="宋体" w:cs="宋体"/>
          <w:b w:val="0"/>
          <w:bCs w:val="0"/>
          <w:color w:val="auto"/>
          <w:kern w:val="0"/>
          <w:sz w:val="24"/>
          <w:szCs w:val="24"/>
          <w:highlight w:val="none"/>
          <w:lang w:val="en-US" w:eastAsia="zh-CN"/>
        </w:rPr>
        <w:t>。</w:t>
      </w:r>
    </w:p>
    <w:p w14:paraId="1E05BF2F">
      <w:pPr>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交通：全程空调旅游车接送。要求车况好，车位充足，空调效果好，驾驶员</w:t>
      </w:r>
      <w:r>
        <w:rPr>
          <w:rFonts w:hint="eastAsia" w:ascii="宋体" w:hAnsi="宋体" w:eastAsia="宋体" w:cs="宋体"/>
          <w:b w:val="0"/>
          <w:bCs w:val="0"/>
          <w:color w:val="auto"/>
          <w:kern w:val="0"/>
          <w:sz w:val="24"/>
          <w:szCs w:val="24"/>
          <w:highlight w:val="none"/>
        </w:rPr>
        <w:t>具备</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年以上</w:t>
      </w:r>
      <w:r>
        <w:rPr>
          <w:rFonts w:hint="eastAsia" w:ascii="宋体" w:hAnsi="宋体" w:eastAsia="宋体" w:cs="宋体"/>
          <w:b w:val="0"/>
          <w:bCs w:val="0"/>
          <w:color w:val="auto"/>
          <w:kern w:val="0"/>
          <w:sz w:val="24"/>
          <w:szCs w:val="24"/>
          <w:highlight w:val="none"/>
        </w:rPr>
        <w:t>驾龄，具有熟练驾驶经验、驾驶平稳</w:t>
      </w:r>
      <w:r>
        <w:rPr>
          <w:rFonts w:hint="eastAsia" w:ascii="宋体" w:hAnsi="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服务态度好，确保行程安全。</w:t>
      </w:r>
      <w:r>
        <w:rPr>
          <w:rFonts w:hint="eastAsia" w:ascii="宋体" w:hAnsi="宋体" w:eastAsia="宋体" w:cs="宋体"/>
          <w:b w:val="0"/>
          <w:bCs w:val="0"/>
          <w:color w:val="auto"/>
          <w:kern w:val="0"/>
          <w:sz w:val="24"/>
          <w:szCs w:val="24"/>
          <w:highlight w:val="none"/>
        </w:rPr>
        <w:cr/>
      </w:r>
      <w:r>
        <w:rPr>
          <w:rFonts w:hint="eastAsia" w:ascii="宋体" w:hAnsi="宋体" w:eastAsia="宋体" w:cs="宋体"/>
          <w:b w:val="0"/>
          <w:bCs w:val="0"/>
          <w:color w:val="auto"/>
          <w:kern w:val="0"/>
          <w:sz w:val="24"/>
          <w:szCs w:val="24"/>
          <w:highlight w:val="none"/>
        </w:rPr>
        <w:t xml:space="preserve">    </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、门票：所列景点门票。</w:t>
      </w:r>
    </w:p>
    <w:p w14:paraId="2301DA2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、用餐：中午一顿正餐团餐，餐厅交通便利，环境较好</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sz w:val="24"/>
          <w:szCs w:val="24"/>
          <w:highlight w:val="none"/>
          <w:lang w:val="zh-CN"/>
        </w:rPr>
        <w:t>以10人一桌为标准，</w:t>
      </w:r>
      <w:r>
        <w:rPr>
          <w:rFonts w:hint="eastAsia" w:ascii="宋体" w:hAnsi="宋体" w:eastAsia="宋体" w:cs="宋体"/>
          <w:b w:val="0"/>
          <w:bCs w:val="0"/>
          <w:color w:val="auto"/>
          <w:sz w:val="24"/>
          <w:szCs w:val="24"/>
          <w:highlight w:val="none"/>
          <w:lang w:val="en-US" w:eastAsia="zh-CN"/>
        </w:rPr>
        <w:t>按500元一桌为标准，</w:t>
      </w:r>
      <w:r>
        <w:rPr>
          <w:rFonts w:hint="eastAsia" w:ascii="宋体" w:hAnsi="宋体" w:eastAsia="宋体" w:cs="宋体"/>
          <w:b w:val="0"/>
          <w:bCs w:val="0"/>
          <w:color w:val="auto"/>
          <w:sz w:val="24"/>
          <w:szCs w:val="24"/>
          <w:highlight w:val="none"/>
          <w:lang w:val="en-US" w:eastAsia="zh-CN"/>
        </w:rPr>
        <w:t>提供具体的午餐菜单，要求荤菜不少于</w:t>
      </w:r>
      <w:r>
        <w:rPr>
          <w:rFonts w:hint="eastAsia" w:ascii="宋体" w:hAnsi="宋体" w:eastAsia="宋体" w:cs="宋体"/>
          <w:b w:val="0"/>
          <w:bCs w:val="0"/>
          <w:color w:val="auto"/>
          <w:sz w:val="24"/>
          <w:szCs w:val="24"/>
          <w:highlight w:val="none"/>
          <w:lang w:val="en-US" w:eastAsia="zh-CN"/>
        </w:rPr>
        <w:t>5样</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rPr>
        <w:cr/>
      </w:r>
      <w:r>
        <w:rPr>
          <w:rFonts w:hint="eastAsia" w:ascii="宋体" w:hAnsi="宋体" w:eastAsia="宋体" w:cs="宋体"/>
          <w:b w:val="0"/>
          <w:bCs w:val="0"/>
          <w:color w:val="auto"/>
          <w:kern w:val="0"/>
          <w:sz w:val="24"/>
          <w:szCs w:val="24"/>
          <w:highlight w:val="none"/>
        </w:rPr>
        <w:t xml:space="preserve">    </w:t>
      </w:r>
      <w:r>
        <w:rPr>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、导游：全程每车配备</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名具备</w:t>
      </w: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年以上从</w:t>
      </w:r>
      <w:r>
        <w:rPr>
          <w:rFonts w:hint="eastAsia" w:ascii="宋体" w:hAnsi="宋体" w:eastAsia="宋体" w:cs="宋体"/>
          <w:b w:val="0"/>
          <w:bCs w:val="0"/>
          <w:color w:val="auto"/>
          <w:kern w:val="0"/>
          <w:sz w:val="24"/>
          <w:szCs w:val="24"/>
          <w:highlight w:val="none"/>
        </w:rPr>
        <w:t>业经验的</w:t>
      </w:r>
      <w:r>
        <w:rPr>
          <w:rFonts w:hint="eastAsia" w:ascii="宋体" w:hAnsi="宋体" w:eastAsia="宋体" w:cs="宋体"/>
          <w:b w:val="0"/>
          <w:bCs w:val="0"/>
          <w:color w:val="auto"/>
          <w:kern w:val="0"/>
          <w:sz w:val="24"/>
          <w:szCs w:val="24"/>
          <w:highlight w:val="none"/>
        </w:rPr>
        <w:t>导游。</w:t>
      </w:r>
      <w:r>
        <w:rPr>
          <w:rFonts w:hint="eastAsia" w:ascii="宋体" w:hAnsi="宋体" w:eastAsia="宋体" w:cs="宋体"/>
          <w:b w:val="0"/>
          <w:bCs w:val="0"/>
          <w:color w:val="auto"/>
          <w:sz w:val="24"/>
          <w:szCs w:val="24"/>
          <w:highlight w:val="none"/>
        </w:rPr>
        <w:t>投标人投入本项目的导游人数</w:t>
      </w:r>
      <w:r>
        <w:rPr>
          <w:rFonts w:hint="eastAsia" w:ascii="宋体" w:hAnsi="宋体" w:cs="宋体"/>
          <w:b w:val="0"/>
          <w:bCs w:val="0"/>
          <w:color w:val="auto"/>
          <w:sz w:val="24"/>
          <w:szCs w:val="24"/>
          <w:highlight w:val="none"/>
          <w:lang w:val="en-US" w:eastAsia="zh-CN"/>
        </w:rPr>
        <w:t>不少于</w:t>
      </w:r>
      <w:r>
        <w:rPr>
          <w:rFonts w:hint="eastAsia" w:ascii="宋体" w:hAnsi="宋体" w:eastAsia="宋体" w:cs="宋体"/>
          <w:b w:val="0"/>
          <w:bCs w:val="0"/>
          <w:color w:val="auto"/>
          <w:sz w:val="24"/>
          <w:szCs w:val="24"/>
          <w:highlight w:val="none"/>
        </w:rPr>
        <w:t>3人，</w:t>
      </w:r>
      <w:r>
        <w:rPr>
          <w:rFonts w:hint="eastAsia" w:ascii="宋体" w:hAnsi="宋体" w:cs="宋体"/>
          <w:b w:val="0"/>
          <w:bCs w:val="0"/>
          <w:color w:val="auto"/>
          <w:sz w:val="24"/>
          <w:szCs w:val="24"/>
          <w:highlight w:val="none"/>
          <w:lang w:val="en-US" w:eastAsia="zh-CN"/>
        </w:rPr>
        <w:t>具有</w:t>
      </w:r>
      <w:r>
        <w:rPr>
          <w:rFonts w:hint="eastAsia" w:ascii="宋体" w:hAnsi="宋体" w:eastAsia="宋体" w:cs="宋体"/>
          <w:b w:val="0"/>
          <w:bCs w:val="0"/>
          <w:color w:val="auto"/>
          <w:sz w:val="24"/>
          <w:szCs w:val="24"/>
          <w:highlight w:val="none"/>
        </w:rPr>
        <w:t>中级</w:t>
      </w:r>
      <w:r>
        <w:rPr>
          <w:rFonts w:hint="eastAsia" w:ascii="宋体" w:hAnsi="宋体" w:cs="宋体"/>
          <w:b w:val="0"/>
          <w:bCs w:val="0"/>
          <w:color w:val="auto"/>
          <w:sz w:val="24"/>
          <w:szCs w:val="24"/>
          <w:highlight w:val="none"/>
          <w:lang w:val="en-US" w:eastAsia="zh-CN"/>
        </w:rPr>
        <w:t>及以上</w:t>
      </w:r>
      <w:r>
        <w:rPr>
          <w:rFonts w:hint="eastAsia" w:ascii="宋体" w:hAnsi="宋体" w:eastAsia="宋体" w:cs="宋体"/>
          <w:b w:val="0"/>
          <w:bCs w:val="0"/>
          <w:color w:val="auto"/>
          <w:sz w:val="24"/>
          <w:szCs w:val="24"/>
          <w:highlight w:val="none"/>
        </w:rPr>
        <w:t>导游资质</w:t>
      </w:r>
      <w:r>
        <w:rPr>
          <w:rFonts w:hint="eastAsia" w:ascii="宋体" w:hAnsi="宋体" w:cs="宋体"/>
          <w:b w:val="0"/>
          <w:bCs w:val="0"/>
          <w:color w:val="auto"/>
          <w:sz w:val="24"/>
          <w:szCs w:val="24"/>
          <w:highlight w:val="none"/>
          <w:lang w:val="en-US" w:eastAsia="zh-CN"/>
        </w:rPr>
        <w:t>优先。</w:t>
      </w:r>
    </w:p>
    <w:p w14:paraId="69FB94F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color w:val="auto"/>
          <w:sz w:val="24"/>
          <w:szCs w:val="24"/>
          <w:highlight w:val="none"/>
          <w:lang w:val="en-US" w:eastAsia="zh-CN"/>
        </w:rPr>
        <w:t>服务过程中</w:t>
      </w:r>
      <w:r>
        <w:rPr>
          <w:rFonts w:hint="eastAsia" w:ascii="宋体" w:hAnsi="宋体" w:eastAsia="宋体" w:cs="宋体"/>
          <w:color w:val="auto"/>
          <w:sz w:val="24"/>
          <w:szCs w:val="24"/>
          <w:highlight w:val="none"/>
          <w:lang w:eastAsia="zh-CN"/>
        </w:rPr>
        <w:t>至少配备一名医师</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护士（</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lang w:eastAsia="zh-CN"/>
        </w:rPr>
        <w:t>经验两年及以上）</w:t>
      </w:r>
      <w:r>
        <w:rPr>
          <w:rFonts w:hint="eastAsia" w:ascii="宋体" w:hAnsi="宋体" w:cs="宋体"/>
          <w:color w:val="auto"/>
          <w:sz w:val="24"/>
          <w:szCs w:val="24"/>
          <w:highlight w:val="none"/>
          <w:lang w:eastAsia="zh-CN"/>
        </w:rPr>
        <w:t>。</w:t>
      </w:r>
    </w:p>
    <w:p w14:paraId="53BCB04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保险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含各村社出行陪同工作人员</w:t>
      </w:r>
      <w:r>
        <w:rPr>
          <w:rFonts w:hint="eastAsia" w:ascii="宋体" w:hAnsi="宋体" w:cs="宋体"/>
          <w:color w:val="auto"/>
          <w:sz w:val="24"/>
          <w:szCs w:val="24"/>
          <w:highlight w:val="none"/>
          <w:lang w:eastAsia="zh-CN"/>
        </w:rPr>
        <w:t>）</w:t>
      </w:r>
      <w:r>
        <w:rPr>
          <w:rFonts w:hint="eastAsia" w:ascii="宋体" w:hAnsi="宋体" w:eastAsia="宋体" w:cs="宋体"/>
          <w:b w:val="0"/>
          <w:bCs w:val="0"/>
          <w:color w:val="auto"/>
          <w:kern w:val="0"/>
          <w:sz w:val="24"/>
          <w:szCs w:val="24"/>
          <w:highlight w:val="none"/>
        </w:rPr>
        <w:t>：</w:t>
      </w:r>
      <w:r>
        <w:rPr>
          <w:rFonts w:hint="eastAsia" w:ascii="宋体" w:hAnsi="宋体" w:eastAsia="宋体" w:cs="宋体"/>
          <w:color w:val="auto"/>
          <w:sz w:val="24"/>
          <w:szCs w:val="24"/>
          <w:highlight w:val="none"/>
        </w:rPr>
        <w:t>人身意外伤害保险</w:t>
      </w:r>
      <w:r>
        <w:rPr>
          <w:rFonts w:hint="eastAsia" w:ascii="宋体" w:hAnsi="宋体" w:eastAsia="宋体" w:cs="宋体"/>
          <w:b w:val="0"/>
          <w:bCs w:val="0"/>
          <w:color w:val="auto"/>
          <w:kern w:val="0"/>
          <w:sz w:val="24"/>
          <w:szCs w:val="24"/>
          <w:highlight w:val="none"/>
          <w:lang w:val="en-US" w:eastAsia="zh-CN"/>
        </w:rPr>
        <w:t>30</w:t>
      </w:r>
      <w:r>
        <w:rPr>
          <w:rFonts w:hint="eastAsia" w:ascii="宋体" w:hAnsi="宋体" w:eastAsia="宋体" w:cs="宋体"/>
          <w:b w:val="0"/>
          <w:bCs w:val="0"/>
          <w:color w:val="auto"/>
          <w:kern w:val="0"/>
          <w:sz w:val="24"/>
          <w:szCs w:val="24"/>
          <w:highlight w:val="none"/>
        </w:rPr>
        <w:t>万元/人</w:t>
      </w:r>
      <w:r>
        <w:rPr>
          <w:rFonts w:hint="eastAsia" w:ascii="宋体" w:hAnsi="宋体" w:cs="宋体"/>
          <w:b w:val="0"/>
          <w:bCs w:val="0"/>
          <w:color w:val="auto"/>
          <w:kern w:val="0"/>
          <w:sz w:val="24"/>
          <w:szCs w:val="24"/>
          <w:highlight w:val="none"/>
          <w:lang w:eastAsia="zh-CN"/>
        </w:rPr>
        <w:t>，</w:t>
      </w:r>
      <w:r>
        <w:rPr>
          <w:rFonts w:hint="eastAsia" w:ascii="宋体" w:hAnsi="宋体" w:eastAsia="宋体" w:cs="宋体"/>
          <w:color w:val="auto"/>
          <w:sz w:val="24"/>
          <w:szCs w:val="24"/>
          <w:highlight w:val="none"/>
        </w:rPr>
        <w:t>小额赔款先行赔付的（300元及以下）</w:t>
      </w:r>
      <w:r>
        <w:rPr>
          <w:rFonts w:hint="eastAsia" w:ascii="宋体" w:hAnsi="宋体" w:eastAsia="宋体" w:cs="宋体"/>
          <w:b w:val="0"/>
          <w:bCs w:val="0"/>
          <w:color w:val="auto"/>
          <w:kern w:val="0"/>
          <w:sz w:val="24"/>
          <w:szCs w:val="24"/>
          <w:highlight w:val="none"/>
        </w:rPr>
        <w:t>。</w:t>
      </w:r>
    </w:p>
    <w:p w14:paraId="3C237B5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、购物：全程不进任何购物店。</w:t>
      </w:r>
    </w:p>
    <w:p w14:paraId="2A3714D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lang w:val="en-US" w:eastAsia="zh-CN"/>
        </w:rPr>
        <w:t>、其他：</w:t>
      </w:r>
      <w:r>
        <w:rPr>
          <w:rFonts w:hint="eastAsia" w:ascii="宋体" w:hAnsi="宋体" w:cs="宋体"/>
          <w:b w:val="0"/>
          <w:bCs w:val="0"/>
          <w:color w:val="auto"/>
          <w:kern w:val="0"/>
          <w:sz w:val="24"/>
          <w:szCs w:val="24"/>
          <w:highlight w:val="none"/>
          <w:lang w:val="en-US" w:eastAsia="zh-CN"/>
        </w:rPr>
        <w:t>要求携带横幅拍集体照</w:t>
      </w:r>
      <w:r>
        <w:rPr>
          <w:rFonts w:hint="eastAsia" w:ascii="宋体" w:hAnsi="宋体" w:cs="宋体"/>
          <w:b w:val="0"/>
          <w:bCs w:val="0"/>
          <w:color w:val="auto"/>
          <w:kern w:val="0"/>
          <w:sz w:val="24"/>
          <w:szCs w:val="24"/>
          <w:highlight w:val="none"/>
          <w:lang w:val="en-US" w:eastAsia="zh-CN"/>
        </w:rPr>
        <w:t>，赠送</w:t>
      </w:r>
      <w:r>
        <w:rPr>
          <w:rFonts w:hint="eastAsia" w:ascii="宋体" w:hAnsi="宋体" w:eastAsia="宋体" w:cs="宋体"/>
          <w:b w:val="0"/>
          <w:bCs w:val="0"/>
          <w:color w:val="auto"/>
          <w:kern w:val="0"/>
          <w:sz w:val="24"/>
          <w:szCs w:val="24"/>
          <w:highlight w:val="none"/>
          <w:lang w:val="en-US" w:eastAsia="zh-CN"/>
        </w:rPr>
        <w:t>每人</w:t>
      </w:r>
      <w:r>
        <w:rPr>
          <w:rFonts w:hint="eastAsia" w:ascii="宋体" w:hAnsi="宋体" w:cs="宋体"/>
          <w:b w:val="0"/>
          <w:bCs w:val="0"/>
          <w:color w:val="auto"/>
          <w:kern w:val="0"/>
          <w:sz w:val="24"/>
          <w:szCs w:val="24"/>
          <w:highlight w:val="none"/>
          <w:lang w:val="en-US" w:eastAsia="zh-CN"/>
        </w:rPr>
        <w:t>至少</w:t>
      </w:r>
      <w:r>
        <w:rPr>
          <w:rFonts w:hint="eastAsia" w:ascii="宋体" w:hAnsi="宋体" w:eastAsia="宋体" w:cs="宋体"/>
          <w:b w:val="0"/>
          <w:bCs w:val="0"/>
          <w:color w:val="auto"/>
          <w:kern w:val="0"/>
          <w:sz w:val="24"/>
          <w:szCs w:val="24"/>
          <w:highlight w:val="none"/>
          <w:lang w:val="en-US" w:eastAsia="zh-CN"/>
        </w:rPr>
        <w:t>1瓶</w:t>
      </w:r>
      <w:r>
        <w:rPr>
          <w:rFonts w:hint="eastAsia" w:ascii="宋体" w:hAnsi="宋体" w:eastAsia="宋体" w:cs="宋体"/>
          <w:b w:val="0"/>
          <w:bCs w:val="0"/>
          <w:color w:val="auto"/>
          <w:kern w:val="0"/>
          <w:sz w:val="24"/>
          <w:szCs w:val="24"/>
          <w:highlight w:val="none"/>
          <w:lang w:val="en-US" w:eastAsia="zh-CN"/>
        </w:rPr>
        <w:t>矿泉水</w:t>
      </w:r>
      <w:r>
        <w:rPr>
          <w:rFonts w:hint="eastAsia" w:ascii="宋体" w:hAnsi="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帽子等</w:t>
      </w:r>
      <w:r>
        <w:rPr>
          <w:rFonts w:hint="eastAsia" w:ascii="宋体" w:hAnsi="宋体" w:eastAsia="宋体" w:cs="宋体"/>
          <w:b w:val="0"/>
          <w:bCs w:val="0"/>
          <w:color w:val="auto"/>
          <w:kern w:val="0"/>
          <w:sz w:val="24"/>
          <w:szCs w:val="24"/>
          <w:highlight w:val="none"/>
          <w:lang w:val="en-US" w:eastAsia="zh-CN"/>
        </w:rPr>
        <w:t>。</w:t>
      </w:r>
    </w:p>
    <w:p w14:paraId="24FFF31B">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九</w:t>
      </w:r>
      <w:r>
        <w:rPr>
          <w:rFonts w:hint="eastAsia" w:ascii="宋体" w:hAnsi="宋体" w:eastAsia="宋体" w:cs="宋体"/>
          <w:b/>
          <w:bCs/>
          <w:color w:val="auto"/>
          <w:kern w:val="0"/>
          <w:sz w:val="24"/>
          <w:szCs w:val="24"/>
          <w:highlight w:val="none"/>
        </w:rPr>
        <w:t>、相关要求</w:t>
      </w:r>
      <w:r>
        <w:rPr>
          <w:rFonts w:hint="eastAsia" w:ascii="宋体" w:hAnsi="宋体" w:eastAsia="宋体" w:cs="宋体"/>
          <w:b/>
          <w:bCs/>
          <w:color w:val="auto"/>
          <w:kern w:val="0"/>
          <w:sz w:val="24"/>
          <w:szCs w:val="24"/>
          <w:highlight w:val="none"/>
        </w:rPr>
        <w:tab/>
      </w:r>
    </w:p>
    <w:p w14:paraId="29DBF8B2">
      <w:pPr>
        <w:spacing w:line="360" w:lineRule="auto"/>
        <w:ind w:firstLine="480" w:firstLineChars="200"/>
        <w:rPr>
          <w:rFonts w:hint="eastAsia" w:ascii="宋体" w:hAnsi="宋体" w:eastAsia="宋体" w:cs="宋体"/>
          <w:b w:val="0"/>
          <w:bCs w:val="0"/>
          <w:color w:val="auto"/>
          <w:kern w:val="0"/>
          <w:sz w:val="24"/>
          <w:szCs w:val="24"/>
          <w:highlight w:val="none"/>
        </w:rPr>
      </w:pPr>
      <w:bookmarkStart w:id="28" w:name="_Toc351898269"/>
      <w:r>
        <w:rPr>
          <w:rFonts w:hint="eastAsia" w:ascii="宋体" w:hAnsi="宋体" w:eastAsia="宋体" w:cs="宋体"/>
          <w:b w:val="0"/>
          <w:bCs w:val="0"/>
          <w:color w:val="auto"/>
          <w:kern w:val="0"/>
          <w:sz w:val="24"/>
          <w:szCs w:val="24"/>
          <w:highlight w:val="none"/>
        </w:rPr>
        <w:t>1、所有相关人员均需配工作证并持证上岗。</w:t>
      </w:r>
    </w:p>
    <w:p w14:paraId="2B8D7BAD">
      <w:pPr>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2、为提高服务水平，所有服务人员还需进行礼仪的培训。</w:t>
      </w:r>
    </w:p>
    <w:p w14:paraId="232F8A96">
      <w:pPr>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3、为确保服务质量及与采购人沟通联络，中标人须设置兼职主管，负责对承包项目、范围、服务质量的检查监督及与采购人日常业务联系</w:t>
      </w:r>
      <w:r>
        <w:rPr>
          <w:rFonts w:hint="eastAsia" w:ascii="宋体" w:hAnsi="宋体" w:cs="宋体"/>
          <w:b w:val="0"/>
          <w:bCs w:val="0"/>
          <w:color w:val="auto"/>
          <w:kern w:val="0"/>
          <w:sz w:val="24"/>
          <w:szCs w:val="24"/>
          <w:highlight w:val="none"/>
          <w:lang w:val="en-US" w:eastAsia="zh-CN"/>
        </w:rPr>
        <w:t>。</w:t>
      </w:r>
    </w:p>
    <w:p w14:paraId="1EAAE1DE">
      <w:pPr>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4、中标人需提供员工管理服务规范要求及确保服务质量达标的具体措施</w:t>
      </w:r>
      <w:r>
        <w:rPr>
          <w:rFonts w:hint="eastAsia" w:ascii="宋体" w:hAnsi="宋体" w:cs="宋体"/>
          <w:b w:val="0"/>
          <w:bCs w:val="0"/>
          <w:color w:val="auto"/>
          <w:kern w:val="0"/>
          <w:sz w:val="24"/>
          <w:szCs w:val="24"/>
          <w:highlight w:val="none"/>
          <w:lang w:val="en-US" w:eastAsia="zh-CN"/>
        </w:rPr>
        <w:t>。</w:t>
      </w:r>
    </w:p>
    <w:p w14:paraId="73385EF3">
      <w:pPr>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5、中标人须主动接受采购人的指导、检查、监督及协调</w:t>
      </w:r>
      <w:r>
        <w:rPr>
          <w:rFonts w:hint="eastAsia" w:ascii="宋体" w:hAnsi="宋体" w:cs="宋体"/>
          <w:b w:val="0"/>
          <w:bCs w:val="0"/>
          <w:color w:val="auto"/>
          <w:kern w:val="0"/>
          <w:sz w:val="24"/>
          <w:szCs w:val="24"/>
          <w:highlight w:val="none"/>
          <w:lang w:val="en-US" w:eastAsia="zh-CN"/>
        </w:rPr>
        <w:t>。</w:t>
      </w:r>
    </w:p>
    <w:p w14:paraId="35FFFC79">
      <w:pPr>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6、现有服务范围内，由于调整而增加的工作量，不再增加费用</w:t>
      </w:r>
      <w:r>
        <w:rPr>
          <w:rFonts w:hint="eastAsia" w:ascii="宋体" w:hAnsi="宋体" w:cs="宋体"/>
          <w:b w:val="0"/>
          <w:bCs w:val="0"/>
          <w:color w:val="auto"/>
          <w:kern w:val="0"/>
          <w:sz w:val="24"/>
          <w:szCs w:val="24"/>
          <w:highlight w:val="none"/>
          <w:lang w:val="en-US" w:eastAsia="zh-CN"/>
        </w:rPr>
        <w:t>。</w:t>
      </w:r>
    </w:p>
    <w:p w14:paraId="062DEE94">
      <w:pPr>
        <w:spacing w:line="360" w:lineRule="auto"/>
        <w:ind w:firstLine="482" w:firstLineChars="200"/>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7、中标单位</w:t>
      </w:r>
      <w:r>
        <w:rPr>
          <w:rFonts w:hint="eastAsia" w:ascii="宋体" w:hAnsi="宋体" w:cs="宋体"/>
          <w:b/>
          <w:bCs/>
          <w:color w:val="auto"/>
          <w:kern w:val="0"/>
          <w:sz w:val="24"/>
          <w:szCs w:val="24"/>
          <w:highlight w:val="none"/>
          <w:lang w:val="en-US" w:eastAsia="zh-CN"/>
        </w:rPr>
        <w:t>在履约过程中需按相关文件要求执行。</w:t>
      </w:r>
    </w:p>
    <w:p w14:paraId="79DB6890">
      <w:pPr>
        <w:spacing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8、中标单位在服务过程中发生的一切安全事故</w:t>
      </w:r>
      <w:r>
        <w:rPr>
          <w:rFonts w:hint="eastAsia" w:ascii="宋体" w:hAnsi="宋体" w:eastAsia="宋体" w:cs="宋体"/>
          <w:b/>
          <w:bCs/>
          <w:color w:val="auto"/>
          <w:kern w:val="0"/>
          <w:sz w:val="24"/>
          <w:szCs w:val="24"/>
          <w:highlight w:val="none"/>
          <w:lang w:val="en-US" w:eastAsia="zh-CN"/>
        </w:rPr>
        <w:t>（含各村社出行陪同工作人员）</w:t>
      </w:r>
      <w:r>
        <w:rPr>
          <w:rFonts w:hint="eastAsia" w:ascii="宋体" w:hAnsi="宋体" w:eastAsia="宋体" w:cs="宋体"/>
          <w:b/>
          <w:bCs/>
          <w:color w:val="auto"/>
          <w:kern w:val="0"/>
          <w:sz w:val="24"/>
          <w:szCs w:val="24"/>
          <w:highlight w:val="none"/>
          <w:lang w:val="en-US" w:eastAsia="zh-CN"/>
        </w:rPr>
        <w:t>由中标单位负责，与采购人无关。</w:t>
      </w:r>
    </w:p>
    <w:p w14:paraId="11F028B3">
      <w:pPr>
        <w:pStyle w:val="23"/>
        <w:keepNext w:val="0"/>
        <w:keepLines w:val="0"/>
        <w:pageBreakBefore w:val="0"/>
        <w:widowControl w:val="0"/>
        <w:kinsoku/>
        <w:wordWrap/>
        <w:overflowPunct/>
        <w:topLinePunct w:val="0"/>
        <w:bidi w:val="0"/>
        <w:adjustRightInd w:val="0"/>
        <w:snapToGrid/>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lang w:val="en-US" w:eastAsia="zh-CN"/>
        </w:rPr>
        <w:t>若发生政策性问题，需改变旅游路线、时间及人员的中标人应无条件配合，最终由双方协商确定。</w:t>
      </w:r>
    </w:p>
    <w:p w14:paraId="28F39E28">
      <w:pPr>
        <w:keepNext w:val="0"/>
        <w:keepLines w:val="0"/>
        <w:pageBreakBefore w:val="0"/>
        <w:widowControl w:val="0"/>
        <w:kinsoku/>
        <w:wordWrap/>
        <w:overflowPunct/>
        <w:topLinePunct w:val="0"/>
        <w:bidi w:val="0"/>
        <w:adjustRightInd w:val="0"/>
        <w:snapToGrid/>
        <w:spacing w:line="360" w:lineRule="auto"/>
        <w:ind w:firstLine="482" w:firstLineChars="200"/>
        <w:textAlignment w:val="auto"/>
        <w:rPr>
          <w:rFonts w:hint="default"/>
          <w:b/>
          <w:bCs/>
          <w:color w:val="auto"/>
          <w:highlight w:val="none"/>
          <w:lang w:val="en-US" w:eastAsia="zh-CN"/>
        </w:rPr>
      </w:pPr>
      <w:r>
        <w:rPr>
          <w:rFonts w:hint="eastAsia" w:ascii="宋体" w:hAnsi="宋体" w:cs="宋体"/>
          <w:b/>
          <w:bCs/>
          <w:color w:val="auto"/>
          <w:kern w:val="0"/>
          <w:sz w:val="24"/>
          <w:szCs w:val="24"/>
          <w:highlight w:val="none"/>
          <w:lang w:val="en-US" w:eastAsia="zh-CN"/>
        </w:rPr>
        <w:t>10、最终费用结算资料需按采购人要求整理完善，按要求签字盖章等，并确保真实、完善，若未要求提供，则不予结算。</w:t>
      </w:r>
    </w:p>
    <w:bookmarkEnd w:id="28"/>
    <w:p w14:paraId="71FA1CEC">
      <w:pPr>
        <w:keepNext w:val="0"/>
        <w:keepLines w:val="0"/>
        <w:pageBreakBefore w:val="0"/>
        <w:widowControl w:val="0"/>
        <w:kinsoku/>
        <w:wordWrap/>
        <w:overflowPunct/>
        <w:topLinePunct w:val="0"/>
        <w:bidi w:val="0"/>
        <w:adjustRightInd w:val="0"/>
        <w:snapToGrid/>
        <w:spacing w:line="360" w:lineRule="auto"/>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十</w:t>
      </w:r>
      <w:r>
        <w:rPr>
          <w:rFonts w:hint="eastAsia" w:ascii="宋体" w:hAnsi="宋体" w:eastAsia="宋体" w:cs="宋体"/>
          <w:b/>
          <w:bCs/>
          <w:color w:val="auto"/>
          <w:kern w:val="0"/>
          <w:sz w:val="24"/>
          <w:szCs w:val="24"/>
          <w:highlight w:val="none"/>
        </w:rPr>
        <w:t>、检查与考核</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考核标准及措施</w:t>
      </w:r>
      <w:r>
        <w:rPr>
          <w:rFonts w:hint="eastAsia" w:ascii="宋体" w:hAnsi="宋体" w:eastAsia="宋体" w:cs="宋体"/>
          <w:b/>
          <w:bCs/>
          <w:color w:val="auto"/>
          <w:kern w:val="0"/>
          <w:sz w:val="24"/>
          <w:szCs w:val="24"/>
          <w:highlight w:val="none"/>
          <w:lang w:eastAsia="zh-CN"/>
        </w:rPr>
        <w:t>）</w:t>
      </w:r>
    </w:p>
    <w:p w14:paraId="10AF3BA6">
      <w:pPr>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中标</w:t>
      </w:r>
      <w:r>
        <w:rPr>
          <w:rFonts w:hint="eastAsia" w:ascii="宋体" w:hAnsi="宋体" w:eastAsia="宋体" w:cs="宋体"/>
          <w:b w:val="0"/>
          <w:bCs w:val="0"/>
          <w:color w:val="auto"/>
          <w:kern w:val="0"/>
          <w:sz w:val="24"/>
          <w:szCs w:val="24"/>
          <w:highlight w:val="none"/>
        </w:rPr>
        <w:t>人应制定具体的质量保证措施及质量保证和相关服务承诺。</w:t>
      </w:r>
      <w:r>
        <w:rPr>
          <w:rFonts w:hint="eastAsia" w:ascii="宋体" w:hAnsi="宋体" w:eastAsia="宋体" w:cs="宋体"/>
          <w:b w:val="0"/>
          <w:bCs w:val="0"/>
          <w:color w:val="auto"/>
          <w:kern w:val="0"/>
          <w:sz w:val="24"/>
          <w:szCs w:val="24"/>
          <w:highlight w:val="none"/>
          <w:lang w:val="en-US" w:eastAsia="zh-CN"/>
        </w:rPr>
        <w:t>中标人</w:t>
      </w:r>
      <w:r>
        <w:rPr>
          <w:rFonts w:hint="eastAsia" w:ascii="宋体" w:hAnsi="宋体" w:eastAsia="宋体" w:cs="宋体"/>
          <w:b w:val="0"/>
          <w:bCs w:val="0"/>
          <w:color w:val="auto"/>
          <w:kern w:val="0"/>
          <w:sz w:val="24"/>
          <w:szCs w:val="24"/>
          <w:highlight w:val="none"/>
        </w:rPr>
        <w:t>所有的工作除应按</w:t>
      </w:r>
      <w:r>
        <w:rPr>
          <w:rFonts w:hint="eastAsia" w:ascii="宋体" w:hAnsi="宋体" w:eastAsia="宋体" w:cs="宋体"/>
          <w:b w:val="0"/>
          <w:bCs w:val="0"/>
          <w:color w:val="auto"/>
          <w:kern w:val="0"/>
          <w:sz w:val="24"/>
          <w:szCs w:val="24"/>
          <w:highlight w:val="none"/>
          <w:lang w:val="en-US" w:eastAsia="zh-CN"/>
        </w:rPr>
        <w:t>中标人</w:t>
      </w:r>
      <w:r>
        <w:rPr>
          <w:rFonts w:hint="eastAsia" w:ascii="宋体" w:hAnsi="宋体" w:eastAsia="宋体" w:cs="宋体"/>
          <w:b w:val="0"/>
          <w:bCs w:val="0"/>
          <w:color w:val="auto"/>
          <w:kern w:val="0"/>
          <w:sz w:val="24"/>
          <w:szCs w:val="24"/>
          <w:highlight w:val="none"/>
        </w:rPr>
        <w:t>的内部流程实施外，还应接受</w:t>
      </w:r>
      <w:r>
        <w:rPr>
          <w:rFonts w:hint="eastAsia" w:ascii="宋体" w:hAnsi="宋体" w:eastAsia="宋体" w:cs="宋体"/>
          <w:b w:val="0"/>
          <w:bCs w:val="0"/>
          <w:color w:val="auto"/>
          <w:kern w:val="0"/>
          <w:sz w:val="24"/>
          <w:szCs w:val="24"/>
          <w:highlight w:val="none"/>
          <w:lang w:val="en-US" w:eastAsia="zh-CN"/>
        </w:rPr>
        <w:t>采购人</w:t>
      </w:r>
      <w:r>
        <w:rPr>
          <w:rFonts w:hint="eastAsia" w:ascii="宋体" w:hAnsi="宋体" w:eastAsia="宋体" w:cs="宋体"/>
          <w:b w:val="0"/>
          <w:bCs w:val="0"/>
          <w:color w:val="auto"/>
          <w:kern w:val="0"/>
          <w:sz w:val="24"/>
          <w:szCs w:val="24"/>
          <w:highlight w:val="none"/>
        </w:rPr>
        <w:t>或第三方的随时检查，如因质量未达到目标，招标人有权要求其整改，同时</w:t>
      </w:r>
      <w:r>
        <w:rPr>
          <w:rFonts w:hint="eastAsia" w:ascii="宋体" w:hAnsi="宋体" w:eastAsia="宋体" w:cs="宋体"/>
          <w:b w:val="0"/>
          <w:bCs w:val="0"/>
          <w:color w:val="auto"/>
          <w:kern w:val="0"/>
          <w:sz w:val="24"/>
          <w:szCs w:val="24"/>
          <w:highlight w:val="none"/>
          <w:lang w:val="en-US" w:eastAsia="zh-CN"/>
        </w:rPr>
        <w:t>中标人</w:t>
      </w:r>
      <w:r>
        <w:rPr>
          <w:rFonts w:hint="eastAsia" w:ascii="宋体" w:hAnsi="宋体" w:eastAsia="宋体" w:cs="宋体"/>
          <w:b w:val="0"/>
          <w:bCs w:val="0"/>
          <w:color w:val="auto"/>
          <w:kern w:val="0"/>
          <w:sz w:val="24"/>
          <w:szCs w:val="24"/>
          <w:highlight w:val="none"/>
        </w:rPr>
        <w:t>应承担责任和经济赔偿（扣款或终止合同）。</w:t>
      </w:r>
    </w:p>
    <w:p w14:paraId="6464548C">
      <w:pPr>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2、招标人定期和不定期地对服务商管理服务进行检查和抽查，检查记录和整改时限反馈成交人，</w:t>
      </w:r>
      <w:r>
        <w:rPr>
          <w:rFonts w:hint="eastAsia" w:ascii="宋体" w:hAnsi="宋体" w:eastAsia="宋体" w:cs="宋体"/>
          <w:b w:val="0"/>
          <w:bCs w:val="0"/>
          <w:color w:val="auto"/>
          <w:kern w:val="0"/>
          <w:sz w:val="24"/>
          <w:szCs w:val="24"/>
          <w:highlight w:val="none"/>
        </w:rPr>
        <w:t>并对</w:t>
      </w:r>
      <w:r>
        <w:rPr>
          <w:rFonts w:hint="eastAsia" w:ascii="宋体" w:hAnsi="宋体" w:eastAsia="宋体" w:cs="宋体"/>
          <w:b w:val="0"/>
          <w:bCs w:val="0"/>
          <w:color w:val="auto"/>
          <w:kern w:val="0"/>
          <w:sz w:val="24"/>
          <w:szCs w:val="24"/>
          <w:highlight w:val="none"/>
        </w:rPr>
        <w:t>相应内容的检查结果进行考核。</w:t>
      </w:r>
    </w:p>
    <w:p w14:paraId="00EB0A60">
      <w:pPr>
        <w:pStyle w:val="62"/>
        <w:ind w:left="0" w:leftChars="0" w:firstLine="480" w:firstLineChars="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2.1、满意度调查表及措施</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0"/>
        <w:gridCol w:w="3435"/>
        <w:gridCol w:w="1134"/>
        <w:gridCol w:w="1134"/>
      </w:tblGrid>
      <w:tr w14:paraId="0F11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center"/>
          </w:tcPr>
          <w:p w14:paraId="5B799FB1">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项目</w:t>
            </w:r>
          </w:p>
        </w:tc>
        <w:tc>
          <w:tcPr>
            <w:tcW w:w="3435" w:type="dxa"/>
            <w:vAlign w:val="center"/>
          </w:tcPr>
          <w:p w14:paraId="46724670">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评分细则</w:t>
            </w:r>
          </w:p>
        </w:tc>
        <w:tc>
          <w:tcPr>
            <w:tcW w:w="1134" w:type="dxa"/>
            <w:vAlign w:val="center"/>
          </w:tcPr>
          <w:p w14:paraId="4FB4EA9B">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分值</w:t>
            </w:r>
          </w:p>
        </w:tc>
        <w:tc>
          <w:tcPr>
            <w:tcW w:w="1134" w:type="dxa"/>
            <w:vAlign w:val="center"/>
          </w:tcPr>
          <w:p w14:paraId="47104B4F">
            <w:pPr>
              <w:pStyle w:val="6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得分</w:t>
            </w:r>
            <w:r>
              <w:rPr>
                <w:rFonts w:hint="eastAsia" w:cs="宋体"/>
                <w:b w:val="0"/>
                <w:bCs w:val="0"/>
                <w:color w:val="auto"/>
                <w:kern w:val="0"/>
                <w:sz w:val="24"/>
                <w:szCs w:val="24"/>
                <w:highlight w:val="none"/>
                <w:vertAlign w:val="baseline"/>
                <w:lang w:val="en-US" w:eastAsia="zh-CN"/>
              </w:rPr>
              <w:t>（保留整数位）</w:t>
            </w:r>
          </w:p>
        </w:tc>
      </w:tr>
      <w:tr w14:paraId="21D7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31470D0F">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一、交通安排（25分）</w:t>
            </w:r>
          </w:p>
        </w:tc>
        <w:tc>
          <w:tcPr>
            <w:tcW w:w="3435" w:type="dxa"/>
            <w:vAlign w:val="top"/>
          </w:tcPr>
          <w:p w14:paraId="54828699">
            <w:pPr>
              <w:pStyle w:val="62"/>
              <w:spacing w:line="240" w:lineRule="auto"/>
              <w:jc w:val="both"/>
              <w:rPr>
                <w:rFonts w:hint="eastAsia" w:ascii="宋体" w:hAnsi="宋体" w:eastAsia="宋体" w:cs="宋体"/>
                <w:b w:val="0"/>
                <w:bCs w:val="0"/>
                <w:color w:val="auto"/>
                <w:kern w:val="0"/>
                <w:sz w:val="24"/>
                <w:szCs w:val="24"/>
                <w:highlight w:val="none"/>
                <w:vertAlign w:val="baseline"/>
                <w:lang w:val="en-US" w:eastAsia="zh-CN"/>
              </w:rPr>
            </w:pPr>
          </w:p>
        </w:tc>
        <w:tc>
          <w:tcPr>
            <w:tcW w:w="1134" w:type="dxa"/>
            <w:vAlign w:val="top"/>
          </w:tcPr>
          <w:p w14:paraId="2A6EF4B6">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c>
          <w:tcPr>
            <w:tcW w:w="1134" w:type="dxa"/>
            <w:vAlign w:val="top"/>
          </w:tcPr>
          <w:p w14:paraId="051DD276">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2C74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3437C001">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 xml:space="preserve">1. 车辆安全性    </w:t>
            </w:r>
          </w:p>
        </w:tc>
        <w:tc>
          <w:tcPr>
            <w:tcW w:w="3435" w:type="dxa"/>
            <w:vAlign w:val="top"/>
          </w:tcPr>
          <w:p w14:paraId="6207D16E">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车辆资质齐全（营运证、保险等），车况良好，无安全隐患。</w:t>
            </w:r>
          </w:p>
        </w:tc>
        <w:tc>
          <w:tcPr>
            <w:tcW w:w="1134" w:type="dxa"/>
            <w:vAlign w:val="top"/>
          </w:tcPr>
          <w:p w14:paraId="24AA96EB">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10</w:t>
            </w:r>
          </w:p>
        </w:tc>
        <w:tc>
          <w:tcPr>
            <w:tcW w:w="1134" w:type="dxa"/>
            <w:vAlign w:val="top"/>
          </w:tcPr>
          <w:p w14:paraId="349DB8B0">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7AB6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3D7D355D">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 司机资质</w:t>
            </w:r>
          </w:p>
        </w:tc>
        <w:tc>
          <w:tcPr>
            <w:tcW w:w="3435" w:type="dxa"/>
            <w:vAlign w:val="top"/>
          </w:tcPr>
          <w:p w14:paraId="61615978">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 xml:space="preserve">驾驶员持有效证件，无不良记录，熟悉路线。    </w:t>
            </w:r>
          </w:p>
        </w:tc>
        <w:tc>
          <w:tcPr>
            <w:tcW w:w="1134" w:type="dxa"/>
            <w:vAlign w:val="top"/>
          </w:tcPr>
          <w:p w14:paraId="092B9DA9">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w:t>
            </w:r>
          </w:p>
        </w:tc>
        <w:tc>
          <w:tcPr>
            <w:tcW w:w="1134" w:type="dxa"/>
            <w:vAlign w:val="top"/>
          </w:tcPr>
          <w:p w14:paraId="366F48B3">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7B35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5B45FC88">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 接送服务</w:t>
            </w:r>
          </w:p>
        </w:tc>
        <w:tc>
          <w:tcPr>
            <w:tcW w:w="3435" w:type="dxa"/>
            <w:vAlign w:val="top"/>
          </w:tcPr>
          <w:p w14:paraId="0286370F">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准时接送，上下车有专人协助，车内配备急救包、饮用水等。</w:t>
            </w:r>
          </w:p>
        </w:tc>
        <w:tc>
          <w:tcPr>
            <w:tcW w:w="1134" w:type="dxa"/>
            <w:vAlign w:val="top"/>
          </w:tcPr>
          <w:p w14:paraId="25C6FE7E">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w:t>
            </w:r>
          </w:p>
        </w:tc>
        <w:tc>
          <w:tcPr>
            <w:tcW w:w="1134" w:type="dxa"/>
            <w:vAlign w:val="top"/>
          </w:tcPr>
          <w:p w14:paraId="1C2E4654">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1294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18255A43">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4. 应急预案</w:t>
            </w:r>
          </w:p>
        </w:tc>
        <w:tc>
          <w:tcPr>
            <w:tcW w:w="3435" w:type="dxa"/>
            <w:vAlign w:val="top"/>
          </w:tcPr>
          <w:p w14:paraId="239F6BCB">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突发情况（如车辆故障、人员不适）处理流程明确，备用车辆安排妥当。</w:t>
            </w:r>
          </w:p>
        </w:tc>
        <w:tc>
          <w:tcPr>
            <w:tcW w:w="1134" w:type="dxa"/>
            <w:vAlign w:val="top"/>
          </w:tcPr>
          <w:p w14:paraId="32841E51">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w:t>
            </w:r>
          </w:p>
        </w:tc>
        <w:tc>
          <w:tcPr>
            <w:tcW w:w="1134" w:type="dxa"/>
            <w:vAlign w:val="top"/>
          </w:tcPr>
          <w:p w14:paraId="58F771C5">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3595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1402B376">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二、用餐安排（20分）</w:t>
            </w:r>
          </w:p>
        </w:tc>
        <w:tc>
          <w:tcPr>
            <w:tcW w:w="3435" w:type="dxa"/>
            <w:vAlign w:val="top"/>
          </w:tcPr>
          <w:p w14:paraId="7A911A60">
            <w:pPr>
              <w:pStyle w:val="62"/>
              <w:spacing w:line="240" w:lineRule="auto"/>
              <w:jc w:val="both"/>
              <w:rPr>
                <w:rFonts w:hint="eastAsia" w:ascii="宋体" w:hAnsi="宋体" w:eastAsia="宋体" w:cs="宋体"/>
                <w:b w:val="0"/>
                <w:bCs w:val="0"/>
                <w:color w:val="auto"/>
                <w:kern w:val="0"/>
                <w:sz w:val="24"/>
                <w:szCs w:val="24"/>
                <w:highlight w:val="none"/>
                <w:vertAlign w:val="baseline"/>
                <w:lang w:val="en-US" w:eastAsia="zh-CN"/>
              </w:rPr>
            </w:pPr>
          </w:p>
        </w:tc>
        <w:tc>
          <w:tcPr>
            <w:tcW w:w="1134" w:type="dxa"/>
            <w:vAlign w:val="top"/>
          </w:tcPr>
          <w:p w14:paraId="2A2D43CB">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c>
          <w:tcPr>
            <w:tcW w:w="1134" w:type="dxa"/>
            <w:vAlign w:val="top"/>
          </w:tcPr>
          <w:p w14:paraId="2FFC5DBF">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5876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0F273388">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 xml:space="preserve">1. 餐厅资质 </w:t>
            </w:r>
          </w:p>
        </w:tc>
        <w:tc>
          <w:tcPr>
            <w:tcW w:w="3435" w:type="dxa"/>
            <w:vAlign w:val="top"/>
          </w:tcPr>
          <w:p w14:paraId="1E005EAC">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卫生许可证齐全，环境整洁，符合食品安全标准。</w:t>
            </w:r>
          </w:p>
        </w:tc>
        <w:tc>
          <w:tcPr>
            <w:tcW w:w="1134" w:type="dxa"/>
            <w:vAlign w:val="top"/>
          </w:tcPr>
          <w:p w14:paraId="4ABF03D0">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w:t>
            </w:r>
          </w:p>
        </w:tc>
        <w:tc>
          <w:tcPr>
            <w:tcW w:w="1134" w:type="dxa"/>
            <w:vAlign w:val="top"/>
          </w:tcPr>
          <w:p w14:paraId="4A1AC43E">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1EB7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367E0548">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 菜品质量及餐标</w:t>
            </w:r>
          </w:p>
        </w:tc>
        <w:tc>
          <w:tcPr>
            <w:tcW w:w="3435" w:type="dxa"/>
            <w:vAlign w:val="top"/>
          </w:tcPr>
          <w:p w14:paraId="54477A42">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菜品新鲜、营养均衡，适合老年人需求（少油、软烂等），分量充足;餐标达标。</w:t>
            </w:r>
          </w:p>
        </w:tc>
        <w:tc>
          <w:tcPr>
            <w:tcW w:w="1134" w:type="dxa"/>
            <w:vAlign w:val="top"/>
          </w:tcPr>
          <w:p w14:paraId="644C64D6">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10</w:t>
            </w:r>
          </w:p>
        </w:tc>
        <w:tc>
          <w:tcPr>
            <w:tcW w:w="1134" w:type="dxa"/>
            <w:vAlign w:val="top"/>
          </w:tcPr>
          <w:p w14:paraId="5895A4DF">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74F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307B4C96">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 服务态度</w:t>
            </w:r>
          </w:p>
        </w:tc>
        <w:tc>
          <w:tcPr>
            <w:tcW w:w="3435" w:type="dxa"/>
            <w:vAlign w:val="top"/>
          </w:tcPr>
          <w:p w14:paraId="783A1CE6">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服务员耐心周到，尊重老年人习惯（如提供热饮、协助分餐等）。</w:t>
            </w:r>
          </w:p>
        </w:tc>
        <w:tc>
          <w:tcPr>
            <w:tcW w:w="1134" w:type="dxa"/>
            <w:vAlign w:val="top"/>
          </w:tcPr>
          <w:p w14:paraId="7E32A63F">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w:t>
            </w:r>
          </w:p>
        </w:tc>
        <w:tc>
          <w:tcPr>
            <w:tcW w:w="1134" w:type="dxa"/>
            <w:vAlign w:val="top"/>
          </w:tcPr>
          <w:p w14:paraId="4D1336F1">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53A5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2EC1B49E">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三、导游服务（25分）</w:t>
            </w:r>
          </w:p>
        </w:tc>
        <w:tc>
          <w:tcPr>
            <w:tcW w:w="3435" w:type="dxa"/>
            <w:vAlign w:val="top"/>
          </w:tcPr>
          <w:p w14:paraId="5F1405A4">
            <w:pPr>
              <w:pStyle w:val="62"/>
              <w:spacing w:line="240" w:lineRule="auto"/>
              <w:jc w:val="both"/>
              <w:rPr>
                <w:rFonts w:hint="eastAsia" w:ascii="宋体" w:hAnsi="宋体" w:eastAsia="宋体" w:cs="宋体"/>
                <w:b w:val="0"/>
                <w:bCs w:val="0"/>
                <w:color w:val="auto"/>
                <w:kern w:val="0"/>
                <w:sz w:val="24"/>
                <w:szCs w:val="24"/>
                <w:highlight w:val="none"/>
                <w:vertAlign w:val="baseline"/>
                <w:lang w:val="en-US" w:eastAsia="zh-CN"/>
              </w:rPr>
            </w:pPr>
          </w:p>
        </w:tc>
        <w:tc>
          <w:tcPr>
            <w:tcW w:w="1134" w:type="dxa"/>
            <w:vAlign w:val="top"/>
          </w:tcPr>
          <w:p w14:paraId="5D194314">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c>
          <w:tcPr>
            <w:tcW w:w="1134" w:type="dxa"/>
            <w:vAlign w:val="top"/>
          </w:tcPr>
          <w:p w14:paraId="33220002">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06D1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11091FB1">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 xml:space="preserve">1. 专业讲解 </w:t>
            </w:r>
          </w:p>
        </w:tc>
        <w:tc>
          <w:tcPr>
            <w:tcW w:w="3435" w:type="dxa"/>
            <w:vAlign w:val="top"/>
          </w:tcPr>
          <w:p w14:paraId="4BCBE7C8">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导游熟悉活动内容，讲解清晰生动，能调节气氛。</w:t>
            </w:r>
          </w:p>
        </w:tc>
        <w:tc>
          <w:tcPr>
            <w:tcW w:w="1134" w:type="dxa"/>
            <w:vAlign w:val="top"/>
          </w:tcPr>
          <w:p w14:paraId="5852B80F">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10</w:t>
            </w:r>
          </w:p>
        </w:tc>
        <w:tc>
          <w:tcPr>
            <w:tcW w:w="1134" w:type="dxa"/>
            <w:vAlign w:val="top"/>
          </w:tcPr>
          <w:p w14:paraId="3F1D5687">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3E24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18B7C1FC">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 关怀服务及饮用水、旅游帽等达标情况</w:t>
            </w:r>
          </w:p>
        </w:tc>
        <w:tc>
          <w:tcPr>
            <w:tcW w:w="3435" w:type="dxa"/>
            <w:vAlign w:val="top"/>
          </w:tcPr>
          <w:p w14:paraId="27ACBE3A">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主动照顾行动不便者，关注老年人身体状况，及时提供帮助：饮用水、旅游帽等达标。</w:t>
            </w:r>
          </w:p>
        </w:tc>
        <w:tc>
          <w:tcPr>
            <w:tcW w:w="1134" w:type="dxa"/>
            <w:vAlign w:val="top"/>
          </w:tcPr>
          <w:p w14:paraId="46A8AA4C">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10</w:t>
            </w:r>
          </w:p>
        </w:tc>
        <w:tc>
          <w:tcPr>
            <w:tcW w:w="1134" w:type="dxa"/>
            <w:vAlign w:val="top"/>
          </w:tcPr>
          <w:p w14:paraId="1FFEF68F">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7F09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572B84C7">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 xml:space="preserve">3. 行程把控 </w:t>
            </w:r>
          </w:p>
        </w:tc>
        <w:tc>
          <w:tcPr>
            <w:tcW w:w="3435" w:type="dxa"/>
            <w:vAlign w:val="top"/>
          </w:tcPr>
          <w:p w14:paraId="0E399426">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 xml:space="preserve">合理安排时间，避免过度疲劳，预留休息时间。 </w:t>
            </w:r>
          </w:p>
        </w:tc>
        <w:tc>
          <w:tcPr>
            <w:tcW w:w="1134" w:type="dxa"/>
            <w:vAlign w:val="top"/>
          </w:tcPr>
          <w:p w14:paraId="6C0014E7">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w:t>
            </w:r>
          </w:p>
        </w:tc>
        <w:tc>
          <w:tcPr>
            <w:tcW w:w="1134" w:type="dxa"/>
            <w:vAlign w:val="top"/>
          </w:tcPr>
          <w:p w14:paraId="102EB0F0">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167E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6EB42FC1">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四、台账管理（25分）</w:t>
            </w:r>
          </w:p>
        </w:tc>
        <w:tc>
          <w:tcPr>
            <w:tcW w:w="3435" w:type="dxa"/>
            <w:vAlign w:val="top"/>
          </w:tcPr>
          <w:p w14:paraId="01BE3E9F">
            <w:pPr>
              <w:pStyle w:val="62"/>
              <w:spacing w:line="240" w:lineRule="auto"/>
              <w:jc w:val="both"/>
              <w:rPr>
                <w:rFonts w:hint="eastAsia" w:ascii="宋体" w:hAnsi="宋体" w:eastAsia="宋体" w:cs="宋体"/>
                <w:b w:val="0"/>
                <w:bCs w:val="0"/>
                <w:color w:val="auto"/>
                <w:kern w:val="0"/>
                <w:sz w:val="24"/>
                <w:szCs w:val="24"/>
                <w:highlight w:val="none"/>
                <w:vertAlign w:val="baseline"/>
                <w:lang w:val="en-US" w:eastAsia="zh-CN"/>
              </w:rPr>
            </w:pPr>
          </w:p>
        </w:tc>
        <w:tc>
          <w:tcPr>
            <w:tcW w:w="1134" w:type="dxa"/>
            <w:vAlign w:val="top"/>
          </w:tcPr>
          <w:p w14:paraId="2F22C315">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c>
          <w:tcPr>
            <w:tcW w:w="1134" w:type="dxa"/>
            <w:vAlign w:val="top"/>
          </w:tcPr>
          <w:p w14:paraId="07A12553">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2E18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1A03125D">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 活动方案</w:t>
            </w:r>
          </w:p>
        </w:tc>
        <w:tc>
          <w:tcPr>
            <w:tcW w:w="3435" w:type="dxa"/>
            <w:vAlign w:val="top"/>
          </w:tcPr>
          <w:p w14:paraId="5BB606F9">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方案详细（含日程、分工、应急预案等），经审批备案。</w:t>
            </w:r>
          </w:p>
        </w:tc>
        <w:tc>
          <w:tcPr>
            <w:tcW w:w="1134" w:type="dxa"/>
            <w:vAlign w:val="top"/>
          </w:tcPr>
          <w:p w14:paraId="4642580C">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w:t>
            </w:r>
          </w:p>
        </w:tc>
        <w:tc>
          <w:tcPr>
            <w:tcW w:w="1134" w:type="dxa"/>
            <w:vAlign w:val="top"/>
          </w:tcPr>
          <w:p w14:paraId="1D659B3C">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3BAD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5613C8DE">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 人员名单</w:t>
            </w:r>
          </w:p>
        </w:tc>
        <w:tc>
          <w:tcPr>
            <w:tcW w:w="3435" w:type="dxa"/>
            <w:vAlign w:val="top"/>
          </w:tcPr>
          <w:p w14:paraId="04067A01">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参与人员签到表完整，联系方式清晰，特殊需求（如健康情况）备注明确。</w:t>
            </w:r>
          </w:p>
        </w:tc>
        <w:tc>
          <w:tcPr>
            <w:tcW w:w="1134" w:type="dxa"/>
            <w:vAlign w:val="top"/>
          </w:tcPr>
          <w:p w14:paraId="40C345A7">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w:t>
            </w:r>
          </w:p>
        </w:tc>
        <w:tc>
          <w:tcPr>
            <w:tcW w:w="1134" w:type="dxa"/>
            <w:vAlign w:val="top"/>
          </w:tcPr>
          <w:p w14:paraId="306EEF4D">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4982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1BD521C8">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 费用明细</w:t>
            </w:r>
          </w:p>
        </w:tc>
        <w:tc>
          <w:tcPr>
            <w:tcW w:w="3435" w:type="dxa"/>
            <w:vAlign w:val="top"/>
          </w:tcPr>
          <w:p w14:paraId="481335C3">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 xml:space="preserve">交通、餐饮等开支票据齐全，符合财务规范。    </w:t>
            </w:r>
          </w:p>
        </w:tc>
        <w:tc>
          <w:tcPr>
            <w:tcW w:w="1134" w:type="dxa"/>
            <w:vAlign w:val="top"/>
          </w:tcPr>
          <w:p w14:paraId="4A84835E">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10</w:t>
            </w:r>
          </w:p>
        </w:tc>
        <w:tc>
          <w:tcPr>
            <w:tcW w:w="1134" w:type="dxa"/>
            <w:vAlign w:val="top"/>
          </w:tcPr>
          <w:p w14:paraId="719297E7">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4ACB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346F50F5">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4. 影像资料</w:t>
            </w:r>
          </w:p>
        </w:tc>
        <w:tc>
          <w:tcPr>
            <w:tcW w:w="3435" w:type="dxa"/>
            <w:vAlign w:val="top"/>
          </w:tcPr>
          <w:p w14:paraId="4C3CC2A1">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活动照片/视频清晰，能反映全程关键环节（如</w:t>
            </w:r>
            <w:r>
              <w:rPr>
                <w:rFonts w:hint="eastAsia" w:cs="宋体"/>
                <w:b w:val="0"/>
                <w:bCs w:val="0"/>
                <w:color w:val="auto"/>
                <w:kern w:val="0"/>
                <w:sz w:val="24"/>
                <w:szCs w:val="24"/>
                <w:highlight w:val="none"/>
                <w:vertAlign w:val="baseline"/>
                <w:lang w:val="en-US" w:eastAsia="zh-CN"/>
              </w:rPr>
              <w:t>含横幅的</w:t>
            </w:r>
            <w:r>
              <w:rPr>
                <w:rFonts w:hint="eastAsia" w:ascii="宋体" w:hAnsi="宋体" w:eastAsia="宋体" w:cs="宋体"/>
                <w:b w:val="0"/>
                <w:bCs w:val="0"/>
                <w:color w:val="auto"/>
                <w:kern w:val="0"/>
                <w:sz w:val="24"/>
                <w:szCs w:val="24"/>
                <w:highlight w:val="none"/>
                <w:vertAlign w:val="baseline"/>
                <w:lang w:val="en-US" w:eastAsia="zh-CN"/>
              </w:rPr>
              <w:t>集体照</w:t>
            </w:r>
            <w:r>
              <w:rPr>
                <w:rFonts w:hint="eastAsia" w:ascii="宋体" w:hAnsi="宋体" w:eastAsia="宋体" w:cs="宋体"/>
                <w:b w:val="0"/>
                <w:bCs w:val="0"/>
                <w:color w:val="auto"/>
                <w:kern w:val="0"/>
                <w:sz w:val="24"/>
                <w:szCs w:val="24"/>
                <w:highlight w:val="none"/>
                <w:vertAlign w:val="baseline"/>
                <w:lang w:val="en-US" w:eastAsia="zh-CN"/>
              </w:rPr>
              <w:t>、服务场景）。</w:t>
            </w:r>
          </w:p>
        </w:tc>
        <w:tc>
          <w:tcPr>
            <w:tcW w:w="1134" w:type="dxa"/>
            <w:vAlign w:val="top"/>
          </w:tcPr>
          <w:p w14:paraId="35148707">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w:t>
            </w:r>
          </w:p>
        </w:tc>
        <w:tc>
          <w:tcPr>
            <w:tcW w:w="1134" w:type="dxa"/>
            <w:vAlign w:val="top"/>
          </w:tcPr>
          <w:p w14:paraId="74C5FD4D">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77A0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0" w:type="dxa"/>
            <w:vAlign w:val="top"/>
          </w:tcPr>
          <w:p w14:paraId="55EABBFA">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五、保险（5分）</w:t>
            </w:r>
          </w:p>
        </w:tc>
        <w:tc>
          <w:tcPr>
            <w:tcW w:w="3435" w:type="dxa"/>
            <w:vAlign w:val="top"/>
          </w:tcPr>
          <w:p w14:paraId="5B670122">
            <w:pPr>
              <w:pStyle w:val="62"/>
              <w:spacing w:line="240" w:lineRule="auto"/>
              <w:ind w:left="0" w:leftChars="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足额参加旅游意外伤害险、无安全事故</w:t>
            </w:r>
            <w:r>
              <w:rPr>
                <w:rFonts w:hint="eastAsia" w:cs="宋体"/>
                <w:b w:val="0"/>
                <w:bCs w:val="0"/>
                <w:color w:val="auto"/>
                <w:kern w:val="0"/>
                <w:sz w:val="24"/>
                <w:szCs w:val="24"/>
                <w:highlight w:val="none"/>
                <w:vertAlign w:val="baseline"/>
                <w:lang w:val="en-US" w:eastAsia="zh-CN"/>
              </w:rPr>
              <w:t>（含各村社出行陪同工作人员）</w:t>
            </w:r>
          </w:p>
        </w:tc>
        <w:tc>
          <w:tcPr>
            <w:tcW w:w="1134" w:type="dxa"/>
            <w:vAlign w:val="top"/>
          </w:tcPr>
          <w:p w14:paraId="2D164215">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w:t>
            </w:r>
          </w:p>
        </w:tc>
        <w:tc>
          <w:tcPr>
            <w:tcW w:w="1134" w:type="dxa"/>
            <w:vAlign w:val="top"/>
          </w:tcPr>
          <w:p w14:paraId="7975A356">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38FC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9" w:type="dxa"/>
            <w:gridSpan w:val="3"/>
            <w:vAlign w:val="center"/>
          </w:tcPr>
          <w:p w14:paraId="3755CFD9">
            <w:pPr>
              <w:pStyle w:val="62"/>
              <w:spacing w:line="240" w:lineRule="auto"/>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cs="宋体"/>
                <w:b w:val="0"/>
                <w:bCs w:val="0"/>
                <w:color w:val="auto"/>
                <w:kern w:val="0"/>
                <w:sz w:val="24"/>
                <w:szCs w:val="24"/>
                <w:highlight w:val="none"/>
                <w:vertAlign w:val="baseline"/>
                <w:lang w:val="en-US" w:eastAsia="zh-CN"/>
              </w:rPr>
              <w:t>合计</w:t>
            </w:r>
          </w:p>
        </w:tc>
        <w:tc>
          <w:tcPr>
            <w:tcW w:w="1134" w:type="dxa"/>
            <w:vAlign w:val="center"/>
          </w:tcPr>
          <w:p w14:paraId="5ECFC428">
            <w:pPr>
              <w:pStyle w:val="62"/>
              <w:spacing w:line="240" w:lineRule="auto"/>
              <w:jc w:val="center"/>
              <w:rPr>
                <w:rFonts w:hint="eastAsia" w:ascii="宋体" w:hAnsi="宋体" w:eastAsia="宋体" w:cs="宋体"/>
                <w:b w:val="0"/>
                <w:bCs w:val="0"/>
                <w:color w:val="auto"/>
                <w:kern w:val="0"/>
                <w:sz w:val="24"/>
                <w:szCs w:val="24"/>
                <w:highlight w:val="none"/>
                <w:vertAlign w:val="baseline"/>
                <w:lang w:val="en-US" w:eastAsia="zh-CN"/>
              </w:rPr>
            </w:pPr>
          </w:p>
        </w:tc>
      </w:tr>
      <w:tr w14:paraId="05BB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3" w:type="dxa"/>
            <w:gridSpan w:val="4"/>
            <w:vAlign w:val="top"/>
          </w:tcPr>
          <w:p w14:paraId="003F4445">
            <w:pPr>
              <w:pStyle w:val="6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评分标准说明：</w:t>
            </w:r>
            <w:r>
              <w:rPr>
                <w:rFonts w:hint="eastAsia" w:ascii="宋体" w:hAnsi="宋体" w:eastAsia="宋体" w:cs="宋体"/>
                <w:b w:val="0"/>
                <w:bCs w:val="0"/>
                <w:color w:val="auto"/>
                <w:kern w:val="0"/>
                <w:sz w:val="24"/>
                <w:szCs w:val="24"/>
                <w:highlight w:val="none"/>
                <w:lang w:val="en-US" w:eastAsia="zh-CN" w:bidi="ar-SA"/>
              </w:rPr>
              <w:br w:type="textWrapping"/>
            </w:r>
            <w:r>
              <w:rPr>
                <w:rFonts w:hint="eastAsia" w:ascii="宋体" w:hAnsi="宋体" w:eastAsia="宋体" w:cs="宋体"/>
                <w:b w:val="0"/>
                <w:bCs w:val="0"/>
                <w:color w:val="auto"/>
                <w:kern w:val="0"/>
                <w:sz w:val="24"/>
                <w:szCs w:val="24"/>
                <w:highlight w:val="none"/>
                <w:lang w:val="en-US" w:eastAsia="zh-CN" w:bidi="ar-SA"/>
              </w:rPr>
              <w:t>90-100分：活动效果优秀，企退人员高度认可。</w:t>
            </w:r>
            <w:r>
              <w:rPr>
                <w:rFonts w:hint="eastAsia" w:ascii="宋体" w:hAnsi="宋体" w:eastAsia="宋体" w:cs="宋体"/>
                <w:b w:val="0"/>
                <w:bCs w:val="0"/>
                <w:color w:val="auto"/>
                <w:kern w:val="0"/>
                <w:sz w:val="24"/>
                <w:szCs w:val="24"/>
                <w:highlight w:val="none"/>
                <w:lang w:val="en-US" w:eastAsia="zh-CN" w:bidi="ar-SA"/>
              </w:rPr>
              <w:br w:type="textWrapping"/>
            </w:r>
            <w:r>
              <w:rPr>
                <w:rFonts w:hint="eastAsia" w:ascii="宋体" w:hAnsi="宋体" w:eastAsia="宋体" w:cs="宋体"/>
                <w:b w:val="0"/>
                <w:bCs w:val="0"/>
                <w:color w:val="auto"/>
                <w:kern w:val="0"/>
                <w:sz w:val="24"/>
                <w:szCs w:val="24"/>
                <w:highlight w:val="none"/>
                <w:lang w:val="en-US" w:eastAsia="zh-CN" w:bidi="ar-SA"/>
              </w:rPr>
              <w:t>80-89分：活动良好，个别细节需优化。</w:t>
            </w:r>
            <w:r>
              <w:rPr>
                <w:rFonts w:hint="eastAsia" w:ascii="宋体" w:hAnsi="宋体" w:eastAsia="宋体" w:cs="宋体"/>
                <w:b w:val="0"/>
                <w:bCs w:val="0"/>
                <w:color w:val="auto"/>
                <w:kern w:val="0"/>
                <w:sz w:val="24"/>
                <w:szCs w:val="24"/>
                <w:highlight w:val="none"/>
                <w:lang w:val="en-US" w:eastAsia="zh-CN" w:bidi="ar-SA"/>
              </w:rPr>
              <w:br w:type="textWrapping"/>
            </w:r>
            <w:r>
              <w:rPr>
                <w:rFonts w:hint="eastAsia" w:ascii="宋体" w:hAnsi="宋体" w:eastAsia="宋体" w:cs="宋体"/>
                <w:b w:val="0"/>
                <w:bCs w:val="0"/>
                <w:color w:val="auto"/>
                <w:kern w:val="0"/>
                <w:sz w:val="24"/>
                <w:szCs w:val="24"/>
                <w:highlight w:val="none"/>
                <w:lang w:val="en-US" w:eastAsia="zh-CN" w:bidi="ar-SA"/>
              </w:rPr>
              <w:t>60-79分：活动基本达标，需系统性改进。</w:t>
            </w:r>
            <w:r>
              <w:rPr>
                <w:rFonts w:hint="eastAsia" w:ascii="宋体" w:hAnsi="宋体" w:eastAsia="宋体" w:cs="宋体"/>
                <w:b w:val="0"/>
                <w:bCs w:val="0"/>
                <w:color w:val="auto"/>
                <w:kern w:val="0"/>
                <w:sz w:val="24"/>
                <w:szCs w:val="24"/>
                <w:highlight w:val="none"/>
                <w:lang w:val="en-US" w:eastAsia="zh-CN" w:bidi="ar-SA"/>
              </w:rPr>
              <w:br w:type="textWrapping"/>
            </w:r>
            <w:r>
              <w:rPr>
                <w:rFonts w:hint="eastAsia" w:ascii="宋体" w:hAnsi="宋体" w:eastAsia="宋体" w:cs="宋体"/>
                <w:b w:val="0"/>
                <w:bCs w:val="0"/>
                <w:color w:val="auto"/>
                <w:kern w:val="0"/>
                <w:sz w:val="24"/>
                <w:szCs w:val="24"/>
                <w:highlight w:val="none"/>
                <w:lang w:val="en-US" w:eastAsia="zh-CN" w:bidi="ar-SA"/>
              </w:rPr>
              <w:t>60分以下：活动未达到预期，需全面复盘。</w:t>
            </w:r>
          </w:p>
          <w:p w14:paraId="75E69634">
            <w:pPr>
              <w:pStyle w:val="6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以村社为单位进行考核满意度测评。</w:t>
            </w:r>
          </w:p>
          <w:p w14:paraId="30216F5E">
            <w:pPr>
              <w:pStyle w:val="6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扣减服务费用：按合同约定比例扣减当期活动费用（如满意度</w:t>
            </w:r>
            <w:r>
              <w:rPr>
                <w:rFonts w:hint="eastAsia" w:ascii="宋体" w:hAnsi="宋体" w:eastAsia="宋体" w:cs="宋体"/>
                <w:b w:val="0"/>
                <w:bCs w:val="0"/>
                <w:color w:val="auto"/>
                <w:kern w:val="0"/>
                <w:sz w:val="24"/>
                <w:szCs w:val="24"/>
                <w:highlight w:val="none"/>
                <w:lang w:val="en-US" w:eastAsia="zh-CN" w:bidi="ar-SA"/>
              </w:rPr>
              <w:t>90-100分</w:t>
            </w:r>
            <w:r>
              <w:rPr>
                <w:rFonts w:hint="eastAsia" w:cs="宋体"/>
                <w:b w:val="0"/>
                <w:bCs w:val="0"/>
                <w:color w:val="auto"/>
                <w:kern w:val="0"/>
                <w:sz w:val="24"/>
                <w:szCs w:val="24"/>
                <w:highlight w:val="none"/>
                <w:lang w:val="en-US" w:eastAsia="zh-CN" w:bidi="ar-SA"/>
              </w:rPr>
              <w:t>不予扣减</w:t>
            </w:r>
            <w:r>
              <w:rPr>
                <w:rFonts w:hint="eastAsia"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80-89分扣2%，60-79分扣5%，低于60分扣30%）。</w:t>
            </w:r>
          </w:p>
          <w:p w14:paraId="463A33FD">
            <w:pPr>
              <w:pStyle w:val="6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满意度测评率</w:t>
            </w:r>
            <w:r>
              <w:rPr>
                <w:rFonts w:hint="eastAsia" w:cs="宋体"/>
                <w:b w:val="0"/>
                <w:bCs w:val="0"/>
                <w:color w:val="auto"/>
                <w:kern w:val="0"/>
                <w:sz w:val="24"/>
                <w:szCs w:val="24"/>
                <w:highlight w:val="none"/>
                <w:lang w:val="en-US" w:eastAsia="zh-CN"/>
              </w:rPr>
              <w:t>=100％-扣减比例</w:t>
            </w:r>
          </w:p>
        </w:tc>
      </w:tr>
    </w:tbl>
    <w:p w14:paraId="540AE54D">
      <w:pPr>
        <w:pStyle w:val="62"/>
        <w:ind w:left="0" w:leftChars="0" w:firstLine="0" w:firstLineChars="0"/>
        <w:rPr>
          <w:rFonts w:hint="eastAsia" w:ascii="宋体" w:hAnsi="宋体" w:eastAsia="宋体" w:cs="宋体"/>
          <w:b w:val="0"/>
          <w:bCs w:val="0"/>
          <w:color w:val="auto"/>
          <w:kern w:val="0"/>
          <w:sz w:val="24"/>
          <w:szCs w:val="24"/>
          <w:highlight w:val="none"/>
          <w:lang w:val="en-US" w:eastAsia="zh-CN" w:bidi="ar-SA"/>
        </w:rPr>
      </w:pPr>
    </w:p>
    <w:p w14:paraId="2FD60E95">
      <w:pPr>
        <w:spacing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十一、付款方式</w:t>
      </w:r>
    </w:p>
    <w:p w14:paraId="293C912F">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履约保证金</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合同签订后5个工作日内，中标人向采购人支付合同金额的1%作为履约保证金（履约保证金形式应以银行、保险公司出具的保函形式提供）。</w:t>
      </w:r>
    </w:p>
    <w:p w14:paraId="5A9F7F51">
      <w:pPr>
        <w:pStyle w:val="23"/>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2 、付款方式：</w:t>
      </w:r>
      <w:r>
        <w:rPr>
          <w:rFonts w:hint="eastAsia" w:ascii="宋体" w:hAnsi="宋体" w:eastAsia="宋体" w:cs="宋体"/>
          <w:b w:val="0"/>
          <w:bCs w:val="0"/>
          <w:color w:val="auto"/>
          <w:kern w:val="0"/>
          <w:sz w:val="24"/>
          <w:szCs w:val="24"/>
          <w:highlight w:val="none"/>
          <w:lang w:val="en-US" w:eastAsia="zh-CN"/>
        </w:rPr>
        <w:t>合同签订并缴纳履约保证金后，采购人向中标人支付合同价的40%作为预付款（签订合同时，乙方提出不要求预付款或降低预付款比例的，可不适用该条款）。</w:t>
      </w:r>
      <w:r>
        <w:rPr>
          <w:rFonts w:hint="eastAsia" w:ascii="宋体" w:hAnsi="宋体" w:eastAsia="宋体" w:cs="宋体"/>
          <w:b/>
          <w:bCs/>
          <w:color w:val="auto"/>
          <w:kern w:val="0"/>
          <w:sz w:val="24"/>
          <w:szCs w:val="24"/>
          <w:highlight w:val="none"/>
          <w:lang w:val="en-US" w:eastAsia="zh-CN"/>
        </w:rPr>
        <w:t>最终结算价按照各标项实际参加的企退人员人数*投标单价*满意度测评率，按实结算，全部批次人员返程后一个月内付清。</w:t>
      </w:r>
    </w:p>
    <w:p w14:paraId="40A8D331">
      <w:pPr>
        <w:pStyle w:val="23"/>
        <w:ind w:firstLine="241" w:firstLineChars="100"/>
        <w:rPr>
          <w:rFonts w:hint="eastAsia" w:ascii="宋体" w:hAnsi="宋体" w:eastAsia="宋体" w:cs="宋体"/>
          <w:b/>
          <w:bCs/>
          <w:color w:val="auto"/>
          <w:highlight w:val="none"/>
          <w:lang w:val="en-US"/>
        </w:rPr>
      </w:pPr>
      <w:r>
        <w:rPr>
          <w:rFonts w:hint="eastAsia" w:ascii="宋体" w:hAnsi="宋体" w:eastAsia="宋体" w:cs="宋体"/>
          <w:b/>
          <w:bCs/>
          <w:color w:val="auto"/>
          <w:highlight w:val="none"/>
          <w:lang w:val="en-US"/>
        </w:rPr>
        <w:t>▲十</w:t>
      </w:r>
      <w:r>
        <w:rPr>
          <w:rFonts w:hint="eastAsia" w:hAnsi="宋体" w:cs="宋体"/>
          <w:b/>
          <w:bCs/>
          <w:color w:val="auto"/>
          <w:highlight w:val="none"/>
          <w:lang w:val="en-US" w:eastAsia="zh-CN"/>
        </w:rPr>
        <w:t>二</w:t>
      </w:r>
      <w:r>
        <w:rPr>
          <w:rFonts w:hint="eastAsia" w:ascii="宋体" w:hAnsi="宋体" w:eastAsia="宋体" w:cs="宋体"/>
          <w:b/>
          <w:bCs/>
          <w:color w:val="auto"/>
          <w:highlight w:val="none"/>
          <w:lang w:val="en-US"/>
        </w:rPr>
        <w:t>、投标报价</w:t>
      </w:r>
    </w:p>
    <w:p w14:paraId="71219D49">
      <w:pPr>
        <w:pStyle w:val="23"/>
        <w:ind w:firstLine="480" w:firstLineChars="200"/>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val="en-US"/>
        </w:rPr>
        <w:t>本项目</w:t>
      </w:r>
      <w:r>
        <w:rPr>
          <w:rFonts w:hint="eastAsia" w:hAnsi="宋体" w:cs="宋体"/>
          <w:b w:val="0"/>
          <w:bCs w:val="0"/>
          <w:color w:val="auto"/>
          <w:highlight w:val="none"/>
          <w:lang w:val="en-US" w:eastAsia="zh-CN"/>
        </w:rPr>
        <w:t>单价最高限价为</w:t>
      </w:r>
      <w:r>
        <w:rPr>
          <w:rFonts w:hint="eastAsia" w:ascii="宋体" w:hAnsi="宋体" w:eastAsia="宋体" w:cs="宋体"/>
          <w:b w:val="0"/>
          <w:bCs w:val="0"/>
          <w:color w:val="auto"/>
          <w:highlight w:val="none"/>
          <w:lang w:val="en-US"/>
        </w:rPr>
        <w:t>130元/人</w:t>
      </w:r>
      <w:r>
        <w:rPr>
          <w:rFonts w:hint="eastAsia" w:ascii="宋体" w:hAnsi="宋体" w:eastAsia="宋体" w:cs="宋体"/>
          <w:b w:val="0"/>
          <w:bCs w:val="0"/>
          <w:color w:val="auto"/>
          <w:highlight w:val="none"/>
          <w:lang w:val="en-US" w:eastAsia="zh-CN"/>
        </w:rPr>
        <w:t>，</w:t>
      </w:r>
      <w:r>
        <w:rPr>
          <w:rFonts w:hint="eastAsia" w:hAnsi="宋体" w:cs="宋体"/>
          <w:b w:val="0"/>
          <w:bCs w:val="0"/>
          <w:color w:val="auto"/>
          <w:highlight w:val="none"/>
          <w:lang w:val="en-US" w:eastAsia="zh-CN"/>
        </w:rPr>
        <w:t>投标报价超过最高限价的做无效处理。</w:t>
      </w:r>
      <w:r>
        <w:rPr>
          <w:rFonts w:hint="eastAsia" w:ascii="宋体" w:hAnsi="宋体" w:eastAsia="宋体" w:cs="宋体"/>
          <w:b w:val="0"/>
          <w:bCs w:val="0"/>
          <w:color w:val="auto"/>
          <w:highlight w:val="none"/>
          <w:lang w:val="en-US"/>
        </w:rPr>
        <w:t>报价应包括且不仅限货物费、人工费，机械费，服务费，利润，管理费，</w:t>
      </w:r>
      <w:r>
        <w:rPr>
          <w:rFonts w:hint="eastAsia" w:hAnsi="宋体" w:cs="宋体"/>
          <w:b w:val="0"/>
          <w:bCs w:val="0"/>
          <w:color w:val="auto"/>
          <w:highlight w:val="none"/>
          <w:lang w:val="en-US" w:eastAsia="zh-CN"/>
        </w:rPr>
        <w:t>安全相关费用</w:t>
      </w:r>
      <w:r>
        <w:rPr>
          <w:rFonts w:hint="eastAsia" w:hAnsi="宋体" w:cs="宋体"/>
          <w:b w:val="0"/>
          <w:bCs w:val="0"/>
          <w:color w:val="auto"/>
          <w:highlight w:val="none"/>
          <w:lang w:val="en-US" w:eastAsia="zh-CN"/>
        </w:rPr>
        <w:t>，</w:t>
      </w:r>
      <w:r>
        <w:rPr>
          <w:rFonts w:hint="eastAsia" w:hAnsi="宋体" w:cs="宋体"/>
          <w:b/>
          <w:bCs/>
          <w:color w:val="auto"/>
          <w:kern w:val="0"/>
          <w:sz w:val="24"/>
          <w:szCs w:val="24"/>
          <w:highlight w:val="none"/>
          <w:lang w:val="en-US" w:eastAsia="zh-CN"/>
        </w:rPr>
        <w:t>各村社出行陪同工作人员费用</w:t>
      </w:r>
      <w:r>
        <w:rPr>
          <w:rFonts w:hint="eastAsia" w:hAnsi="宋体" w:cs="宋体"/>
          <w:b w:val="0"/>
          <w:bCs w:val="0"/>
          <w:color w:val="auto"/>
          <w:kern w:val="0"/>
          <w:sz w:val="24"/>
          <w:szCs w:val="24"/>
          <w:highlight w:val="none"/>
          <w:lang w:val="en-US" w:eastAsia="zh-CN"/>
        </w:rPr>
        <w:t>，</w:t>
      </w:r>
      <w:r>
        <w:rPr>
          <w:rFonts w:hint="eastAsia" w:ascii="宋体" w:hAnsi="宋体" w:eastAsia="宋体" w:cs="宋体"/>
          <w:b w:val="0"/>
          <w:bCs w:val="0"/>
          <w:color w:val="auto"/>
          <w:highlight w:val="none"/>
          <w:lang w:val="en-US"/>
        </w:rPr>
        <w:t>税金、投标费用、采购代理费及其他伴随服务等。</w:t>
      </w:r>
    </w:p>
    <w:p w14:paraId="70B303F9">
      <w:pPr>
        <w:rPr>
          <w:rFonts w:hint="eastAsia" w:ascii="宋体" w:hAnsi="宋体" w:eastAsia="宋体" w:cs="宋体"/>
          <w:b w:val="0"/>
          <w:bCs w:val="0"/>
          <w:color w:val="auto"/>
          <w:kern w:val="0"/>
          <w:sz w:val="24"/>
          <w:szCs w:val="24"/>
          <w:highlight w:val="none"/>
          <w:lang w:val="en-US" w:eastAsia="zh-CN"/>
        </w:rPr>
      </w:pPr>
    </w:p>
    <w:p w14:paraId="41CEDB4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ED924A7">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1、如有附图，仅作参考。</w:t>
      </w:r>
    </w:p>
    <w:p w14:paraId="20B5DC12">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2、打▲内容为实质性要求，不允许有负偏离，否则将以涉及无效投标条款作无效投标。</w:t>
      </w:r>
    </w:p>
    <w:p w14:paraId="5E432A73">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3、中标人所提供的货物、服务须与投标承诺一致，不得以次充好、偷工减料，若在项目验收中发现有上述情况，将向有关部门举报，根据相关规定进行处理。</w:t>
      </w:r>
    </w:p>
    <w:p w14:paraId="1877591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29" w:name="_Toc184310290"/>
      <w:bookmarkEnd w:id="29"/>
      <w:bookmarkStart w:id="30" w:name="_Toc184310278"/>
      <w:bookmarkEnd w:id="30"/>
      <w:bookmarkStart w:id="31" w:name="_Toc184312129"/>
      <w:bookmarkEnd w:id="31"/>
      <w:bookmarkStart w:id="32" w:name="_Toc184312089"/>
      <w:bookmarkEnd w:id="32"/>
      <w:bookmarkStart w:id="33" w:name="_Toc184312068"/>
      <w:bookmarkEnd w:id="33"/>
      <w:bookmarkStart w:id="34" w:name="_Toc184314429"/>
      <w:bookmarkEnd w:id="34"/>
      <w:bookmarkStart w:id="35" w:name="_Toc184313282"/>
      <w:bookmarkEnd w:id="35"/>
      <w:bookmarkStart w:id="36" w:name="_Toc184313263"/>
      <w:bookmarkEnd w:id="36"/>
      <w:bookmarkStart w:id="37" w:name="_Toc184312108"/>
      <w:bookmarkEnd w:id="37"/>
      <w:bookmarkStart w:id="38" w:name="_Toc184310297"/>
      <w:bookmarkEnd w:id="38"/>
      <w:bookmarkStart w:id="39" w:name="_Toc184312131"/>
      <w:bookmarkEnd w:id="39"/>
      <w:bookmarkStart w:id="40" w:name="_Toc184308082"/>
      <w:bookmarkEnd w:id="40"/>
      <w:bookmarkStart w:id="41" w:name="_Toc184314479"/>
      <w:bookmarkEnd w:id="41"/>
      <w:bookmarkStart w:id="42" w:name="_Toc184308057"/>
      <w:bookmarkEnd w:id="42"/>
      <w:bookmarkStart w:id="43" w:name="_Toc184314432"/>
      <w:bookmarkEnd w:id="43"/>
      <w:bookmarkStart w:id="44" w:name="_Toc184310337"/>
      <w:bookmarkEnd w:id="44"/>
      <w:bookmarkStart w:id="45" w:name="_Toc184308086"/>
      <w:bookmarkEnd w:id="45"/>
      <w:bookmarkStart w:id="46" w:name="_Toc184313308"/>
      <w:bookmarkEnd w:id="46"/>
      <w:bookmarkStart w:id="47" w:name="_Toc184312110"/>
      <w:bookmarkEnd w:id="47"/>
      <w:bookmarkStart w:id="48" w:name="_Toc184308039"/>
      <w:bookmarkEnd w:id="48"/>
      <w:bookmarkStart w:id="49" w:name="_Toc184313288"/>
      <w:bookmarkEnd w:id="49"/>
      <w:bookmarkStart w:id="50" w:name="_Toc184314476"/>
      <w:bookmarkEnd w:id="50"/>
      <w:bookmarkStart w:id="51" w:name="_Toc184308107"/>
      <w:bookmarkEnd w:id="51"/>
      <w:bookmarkStart w:id="52" w:name="_Toc184310305"/>
      <w:bookmarkEnd w:id="52"/>
      <w:bookmarkStart w:id="53" w:name="_Toc184313310"/>
      <w:bookmarkEnd w:id="53"/>
      <w:bookmarkStart w:id="54" w:name="_Toc184314470"/>
      <w:bookmarkEnd w:id="54"/>
      <w:bookmarkStart w:id="55" w:name="_Toc184310277"/>
      <w:bookmarkEnd w:id="55"/>
      <w:bookmarkStart w:id="56" w:name="_Toc184314456"/>
      <w:bookmarkEnd w:id="56"/>
      <w:bookmarkStart w:id="57" w:name="_Toc184313303"/>
      <w:bookmarkEnd w:id="57"/>
      <w:bookmarkStart w:id="58" w:name="_Toc184313295"/>
      <w:bookmarkEnd w:id="58"/>
      <w:bookmarkStart w:id="59" w:name="_Toc184314449"/>
      <w:bookmarkEnd w:id="59"/>
      <w:bookmarkStart w:id="60" w:name="_Toc184312116"/>
      <w:bookmarkEnd w:id="60"/>
      <w:bookmarkStart w:id="61" w:name="_Toc184312101"/>
      <w:bookmarkEnd w:id="61"/>
      <w:bookmarkStart w:id="62" w:name="_Toc184314411"/>
      <w:bookmarkEnd w:id="62"/>
      <w:bookmarkStart w:id="63" w:name="_Toc184308047"/>
      <w:bookmarkEnd w:id="63"/>
      <w:bookmarkStart w:id="64" w:name="_Toc184308092"/>
      <w:bookmarkEnd w:id="64"/>
      <w:bookmarkStart w:id="65" w:name="_Toc184314423"/>
      <w:bookmarkEnd w:id="65"/>
      <w:bookmarkStart w:id="66" w:name="_Toc184313275"/>
      <w:bookmarkEnd w:id="66"/>
      <w:bookmarkStart w:id="67" w:name="_Toc184310308"/>
      <w:bookmarkEnd w:id="67"/>
      <w:bookmarkStart w:id="68" w:name="_Toc184310275"/>
      <w:bookmarkEnd w:id="68"/>
      <w:bookmarkStart w:id="69" w:name="_Toc184310338"/>
      <w:bookmarkEnd w:id="69"/>
      <w:bookmarkStart w:id="70" w:name="_Toc184312086"/>
      <w:bookmarkEnd w:id="70"/>
      <w:bookmarkStart w:id="71" w:name="_Toc184313252"/>
      <w:bookmarkEnd w:id="71"/>
      <w:bookmarkStart w:id="72" w:name="_Toc184308051"/>
      <w:bookmarkEnd w:id="72"/>
      <w:bookmarkStart w:id="73" w:name="_Toc184308093"/>
      <w:bookmarkEnd w:id="73"/>
      <w:bookmarkStart w:id="74" w:name="_Toc184312119"/>
      <w:bookmarkEnd w:id="74"/>
      <w:bookmarkStart w:id="75" w:name="_Toc184312102"/>
      <w:bookmarkEnd w:id="75"/>
      <w:bookmarkStart w:id="76" w:name="_Toc184314445"/>
      <w:bookmarkEnd w:id="76"/>
      <w:bookmarkStart w:id="77" w:name="_Toc184314461"/>
      <w:bookmarkEnd w:id="77"/>
      <w:bookmarkStart w:id="78" w:name="_Toc184312083"/>
      <w:bookmarkEnd w:id="78"/>
      <w:bookmarkStart w:id="79" w:name="_Toc184308077"/>
      <w:bookmarkEnd w:id="79"/>
      <w:bookmarkStart w:id="80" w:name="_Toc184310288"/>
      <w:bookmarkEnd w:id="80"/>
      <w:bookmarkStart w:id="81" w:name="_Toc184313284"/>
      <w:bookmarkEnd w:id="81"/>
      <w:bookmarkStart w:id="82" w:name="_Toc184312073"/>
      <w:bookmarkEnd w:id="82"/>
      <w:bookmarkStart w:id="83" w:name="_Toc184313277"/>
      <w:bookmarkEnd w:id="83"/>
      <w:bookmarkStart w:id="84" w:name="_Toc184312076"/>
      <w:bookmarkEnd w:id="84"/>
      <w:bookmarkStart w:id="85" w:name="_Toc184312106"/>
      <w:bookmarkEnd w:id="85"/>
      <w:bookmarkStart w:id="86" w:name="_Toc184312084"/>
      <w:bookmarkEnd w:id="86"/>
      <w:bookmarkStart w:id="87" w:name="_Toc184313259"/>
      <w:bookmarkEnd w:id="87"/>
      <w:bookmarkStart w:id="88" w:name="_Toc184312114"/>
      <w:bookmarkEnd w:id="88"/>
      <w:bookmarkStart w:id="89" w:name="_Toc184308108"/>
      <w:bookmarkEnd w:id="89"/>
      <w:bookmarkStart w:id="90" w:name="_Toc184312070"/>
      <w:bookmarkEnd w:id="90"/>
      <w:bookmarkStart w:id="91" w:name="_Toc184308083"/>
      <w:bookmarkEnd w:id="91"/>
      <w:bookmarkStart w:id="92" w:name="_Toc184313281"/>
      <w:bookmarkEnd w:id="92"/>
      <w:bookmarkStart w:id="93" w:name="_Toc184308043"/>
      <w:bookmarkEnd w:id="93"/>
      <w:bookmarkStart w:id="94" w:name="_Toc184312104"/>
      <w:bookmarkEnd w:id="94"/>
      <w:bookmarkStart w:id="95" w:name="_Toc184308089"/>
      <w:bookmarkEnd w:id="95"/>
      <w:bookmarkStart w:id="96" w:name="_Toc184310300"/>
      <w:bookmarkEnd w:id="96"/>
      <w:bookmarkStart w:id="97" w:name="_Toc184314417"/>
      <w:bookmarkEnd w:id="97"/>
      <w:bookmarkStart w:id="98" w:name="_Toc184310319"/>
      <w:bookmarkEnd w:id="98"/>
      <w:bookmarkStart w:id="99" w:name="_Toc184312075"/>
      <w:bookmarkEnd w:id="99"/>
      <w:bookmarkStart w:id="100" w:name="_Toc184308038"/>
      <w:bookmarkEnd w:id="100"/>
      <w:bookmarkStart w:id="101" w:name="_Toc184310293"/>
      <w:bookmarkEnd w:id="101"/>
      <w:bookmarkStart w:id="102" w:name="_Toc184310274"/>
      <w:bookmarkEnd w:id="102"/>
      <w:bookmarkStart w:id="103" w:name="_Toc184313266"/>
      <w:bookmarkEnd w:id="103"/>
      <w:bookmarkStart w:id="104" w:name="_Toc184313304"/>
      <w:bookmarkEnd w:id="104"/>
      <w:bookmarkStart w:id="105" w:name="_Toc184313265"/>
      <w:bookmarkEnd w:id="105"/>
      <w:bookmarkStart w:id="106" w:name="_Toc184312077"/>
      <w:bookmarkEnd w:id="106"/>
      <w:bookmarkStart w:id="107" w:name="_Toc184313299"/>
      <w:bookmarkEnd w:id="107"/>
      <w:bookmarkStart w:id="108" w:name="_Toc184313290"/>
      <w:bookmarkEnd w:id="108"/>
      <w:bookmarkStart w:id="109" w:name="_Toc184314477"/>
      <w:bookmarkEnd w:id="109"/>
      <w:bookmarkStart w:id="110" w:name="_Toc184308097"/>
      <w:bookmarkEnd w:id="110"/>
      <w:bookmarkStart w:id="111" w:name="_Toc184308068"/>
      <w:bookmarkEnd w:id="111"/>
      <w:bookmarkStart w:id="112" w:name="_Toc184313280"/>
      <w:bookmarkEnd w:id="112"/>
      <w:bookmarkStart w:id="113" w:name="_Toc184308070"/>
      <w:bookmarkEnd w:id="113"/>
      <w:bookmarkStart w:id="114" w:name="_Toc184312097"/>
      <w:bookmarkEnd w:id="114"/>
      <w:bookmarkStart w:id="115" w:name="_Toc184313297"/>
      <w:bookmarkEnd w:id="115"/>
      <w:bookmarkStart w:id="116" w:name="_Toc184308075"/>
      <w:bookmarkEnd w:id="116"/>
      <w:bookmarkStart w:id="117" w:name="_Toc184312082"/>
      <w:bookmarkEnd w:id="117"/>
      <w:bookmarkStart w:id="118" w:name="_Toc184310316"/>
      <w:bookmarkEnd w:id="118"/>
      <w:bookmarkStart w:id="119" w:name="_Toc184312080"/>
      <w:bookmarkEnd w:id="119"/>
      <w:bookmarkStart w:id="120" w:name="_Toc184308040"/>
      <w:bookmarkEnd w:id="120"/>
      <w:bookmarkStart w:id="121" w:name="_Toc184310299"/>
      <w:bookmarkEnd w:id="121"/>
      <w:bookmarkStart w:id="122" w:name="_Toc184313251"/>
      <w:bookmarkEnd w:id="122"/>
      <w:bookmarkStart w:id="123" w:name="_Toc184313242"/>
      <w:bookmarkEnd w:id="123"/>
      <w:bookmarkStart w:id="124" w:name="_Toc184314475"/>
      <w:bookmarkEnd w:id="124"/>
      <w:bookmarkStart w:id="125" w:name="_Toc184308078"/>
      <w:bookmarkEnd w:id="125"/>
      <w:bookmarkStart w:id="126" w:name="_Toc184310306"/>
      <w:bookmarkEnd w:id="126"/>
      <w:bookmarkStart w:id="127" w:name="_Toc184308048"/>
      <w:bookmarkEnd w:id="127"/>
      <w:bookmarkStart w:id="128" w:name="_Toc184308052"/>
      <w:bookmarkEnd w:id="128"/>
      <w:bookmarkStart w:id="129" w:name="_Toc184310332"/>
      <w:bookmarkEnd w:id="129"/>
      <w:bookmarkStart w:id="130" w:name="_Toc184314447"/>
      <w:bookmarkEnd w:id="130"/>
      <w:bookmarkStart w:id="131" w:name="_Toc184308102"/>
      <w:bookmarkEnd w:id="131"/>
      <w:bookmarkStart w:id="132" w:name="_Toc184308041"/>
      <w:bookmarkEnd w:id="132"/>
      <w:bookmarkStart w:id="133" w:name="_Toc184313244"/>
      <w:bookmarkEnd w:id="133"/>
      <w:bookmarkStart w:id="134" w:name="_Toc184313257"/>
      <w:bookmarkEnd w:id="134"/>
      <w:bookmarkStart w:id="135" w:name="_Toc184312111"/>
      <w:bookmarkEnd w:id="135"/>
      <w:bookmarkStart w:id="136" w:name="_Toc184313254"/>
      <w:bookmarkEnd w:id="136"/>
      <w:bookmarkStart w:id="137" w:name="_Toc184312079"/>
      <w:bookmarkEnd w:id="137"/>
      <w:bookmarkStart w:id="138" w:name="_Toc184314415"/>
      <w:bookmarkEnd w:id="138"/>
      <w:bookmarkStart w:id="139" w:name="_Toc184308063"/>
      <w:bookmarkEnd w:id="139"/>
      <w:bookmarkStart w:id="140" w:name="_Toc184310279"/>
      <w:bookmarkEnd w:id="140"/>
      <w:bookmarkStart w:id="141" w:name="_Toc184313272"/>
      <w:bookmarkEnd w:id="141"/>
      <w:bookmarkStart w:id="142" w:name="_Toc184313293"/>
      <w:bookmarkEnd w:id="142"/>
      <w:bookmarkStart w:id="143" w:name="_Toc184310317"/>
      <w:bookmarkEnd w:id="143"/>
      <w:bookmarkStart w:id="144" w:name="_Toc184308106"/>
      <w:bookmarkEnd w:id="144"/>
      <w:bookmarkStart w:id="145" w:name="_Toc184310334"/>
      <w:bookmarkEnd w:id="145"/>
      <w:bookmarkStart w:id="146" w:name="_Toc184312092"/>
      <w:bookmarkEnd w:id="146"/>
      <w:bookmarkStart w:id="147" w:name="_Toc184308050"/>
      <w:bookmarkEnd w:id="147"/>
      <w:bookmarkStart w:id="148" w:name="_Toc184310344"/>
      <w:bookmarkEnd w:id="148"/>
      <w:bookmarkStart w:id="149" w:name="_Toc184314482"/>
      <w:bookmarkEnd w:id="149"/>
      <w:bookmarkStart w:id="150" w:name="_Toc184310323"/>
      <w:bookmarkEnd w:id="150"/>
      <w:bookmarkStart w:id="151" w:name="_Toc184312074"/>
      <w:bookmarkEnd w:id="151"/>
      <w:bookmarkStart w:id="152" w:name="_Toc184312095"/>
      <w:bookmarkEnd w:id="152"/>
      <w:bookmarkStart w:id="153" w:name="_Toc184308055"/>
      <w:bookmarkEnd w:id="153"/>
      <w:bookmarkStart w:id="154" w:name="_Toc184313249"/>
      <w:bookmarkEnd w:id="154"/>
      <w:bookmarkStart w:id="155" w:name="_Toc184313274"/>
      <w:bookmarkEnd w:id="155"/>
      <w:bookmarkStart w:id="156" w:name="_Toc184313302"/>
      <w:bookmarkEnd w:id="156"/>
      <w:bookmarkStart w:id="157" w:name="_Toc184313305"/>
      <w:bookmarkEnd w:id="157"/>
      <w:bookmarkStart w:id="158" w:name="_Toc184314426"/>
      <w:bookmarkEnd w:id="158"/>
      <w:bookmarkStart w:id="159" w:name="_Toc184310342"/>
      <w:bookmarkEnd w:id="159"/>
      <w:bookmarkStart w:id="160" w:name="_Toc184308079"/>
      <w:bookmarkEnd w:id="160"/>
      <w:bookmarkStart w:id="161" w:name="_Toc184314463"/>
      <w:bookmarkEnd w:id="161"/>
      <w:bookmarkStart w:id="162" w:name="_Toc184312107"/>
      <w:bookmarkEnd w:id="162"/>
      <w:bookmarkStart w:id="163" w:name="_Toc184312094"/>
      <w:bookmarkEnd w:id="163"/>
      <w:bookmarkStart w:id="164" w:name="_Toc184314438"/>
      <w:bookmarkEnd w:id="164"/>
      <w:bookmarkStart w:id="165" w:name="_Toc184310276"/>
      <w:bookmarkEnd w:id="165"/>
      <w:bookmarkStart w:id="166" w:name="_Toc184312133"/>
      <w:bookmarkEnd w:id="166"/>
      <w:bookmarkStart w:id="167" w:name="_Toc184312078"/>
      <w:bookmarkEnd w:id="167"/>
      <w:bookmarkStart w:id="168" w:name="_Toc184310343"/>
      <w:bookmarkEnd w:id="168"/>
      <w:bookmarkStart w:id="169" w:name="_Toc184310282"/>
      <w:bookmarkEnd w:id="169"/>
      <w:bookmarkStart w:id="170" w:name="_Toc184308066"/>
      <w:bookmarkEnd w:id="170"/>
      <w:bookmarkStart w:id="171" w:name="_Toc184314464"/>
      <w:bookmarkEnd w:id="171"/>
      <w:bookmarkStart w:id="172" w:name="_Toc184314410"/>
      <w:bookmarkEnd w:id="172"/>
      <w:bookmarkStart w:id="173" w:name="_Toc184308087"/>
      <w:bookmarkEnd w:id="173"/>
      <w:bookmarkStart w:id="174" w:name="_Toc184314462"/>
      <w:bookmarkEnd w:id="174"/>
      <w:bookmarkStart w:id="175" w:name="_Toc184313241"/>
      <w:bookmarkEnd w:id="175"/>
      <w:bookmarkStart w:id="176" w:name="_Toc184308056"/>
      <w:bookmarkEnd w:id="176"/>
      <w:bookmarkStart w:id="177" w:name="_Toc184313261"/>
      <w:bookmarkEnd w:id="177"/>
      <w:bookmarkStart w:id="178" w:name="_Toc184313300"/>
      <w:bookmarkEnd w:id="178"/>
      <w:bookmarkStart w:id="179" w:name="_Toc184310326"/>
      <w:bookmarkEnd w:id="179"/>
      <w:bookmarkStart w:id="180" w:name="_Toc184313276"/>
      <w:bookmarkEnd w:id="180"/>
      <w:bookmarkStart w:id="181" w:name="_Toc184314416"/>
      <w:bookmarkEnd w:id="181"/>
      <w:bookmarkStart w:id="182" w:name="_Toc184313260"/>
      <w:bookmarkEnd w:id="182"/>
      <w:bookmarkStart w:id="183" w:name="_Toc184313262"/>
      <w:bookmarkEnd w:id="183"/>
      <w:bookmarkStart w:id="184" w:name="_Toc184313255"/>
      <w:bookmarkEnd w:id="184"/>
      <w:bookmarkStart w:id="185" w:name="_Toc184313298"/>
      <w:bookmarkEnd w:id="185"/>
      <w:bookmarkStart w:id="186" w:name="_Toc184310286"/>
      <w:bookmarkEnd w:id="186"/>
      <w:bookmarkStart w:id="187" w:name="_Toc184312123"/>
      <w:bookmarkEnd w:id="187"/>
      <w:bookmarkStart w:id="188" w:name="_Toc184314441"/>
      <w:bookmarkEnd w:id="188"/>
      <w:bookmarkStart w:id="189" w:name="_Toc184312117"/>
      <w:bookmarkEnd w:id="189"/>
      <w:bookmarkStart w:id="190" w:name="_Toc184313279"/>
      <w:bookmarkEnd w:id="190"/>
      <w:bookmarkStart w:id="191" w:name="_Toc184314474"/>
      <w:bookmarkEnd w:id="191"/>
      <w:bookmarkStart w:id="192" w:name="_Toc184312132"/>
      <w:bookmarkEnd w:id="192"/>
      <w:bookmarkStart w:id="193" w:name="_Toc184310302"/>
      <w:bookmarkEnd w:id="193"/>
      <w:bookmarkStart w:id="194" w:name="_Toc184308100"/>
      <w:bookmarkEnd w:id="194"/>
      <w:bookmarkStart w:id="195" w:name="_Toc184312100"/>
      <w:bookmarkEnd w:id="195"/>
      <w:bookmarkStart w:id="196" w:name="_Toc184310320"/>
      <w:bookmarkEnd w:id="196"/>
      <w:bookmarkStart w:id="197" w:name="_Toc184314455"/>
      <w:bookmarkEnd w:id="197"/>
      <w:bookmarkStart w:id="198" w:name="_Toc184308069"/>
      <w:bookmarkEnd w:id="198"/>
      <w:bookmarkStart w:id="199" w:name="_Toc184314481"/>
      <w:bookmarkEnd w:id="199"/>
      <w:bookmarkStart w:id="200" w:name="_Toc184313289"/>
      <w:bookmarkEnd w:id="200"/>
      <w:bookmarkStart w:id="201" w:name="_Toc184314418"/>
      <w:bookmarkEnd w:id="201"/>
      <w:bookmarkStart w:id="202" w:name="_Toc184308053"/>
      <w:bookmarkEnd w:id="202"/>
      <w:bookmarkStart w:id="203" w:name="_Toc184308058"/>
      <w:bookmarkEnd w:id="203"/>
      <w:bookmarkStart w:id="204" w:name="_Toc184312128"/>
      <w:bookmarkEnd w:id="204"/>
      <w:bookmarkStart w:id="205" w:name="_Toc184314421"/>
      <w:bookmarkEnd w:id="205"/>
      <w:bookmarkStart w:id="206" w:name="_Toc184314465"/>
      <w:bookmarkEnd w:id="206"/>
      <w:bookmarkStart w:id="207" w:name="_Toc184310304"/>
      <w:bookmarkEnd w:id="207"/>
      <w:bookmarkStart w:id="208" w:name="_Toc184312067"/>
      <w:bookmarkEnd w:id="208"/>
      <w:bookmarkStart w:id="209" w:name="_Toc184308088"/>
      <w:bookmarkEnd w:id="209"/>
      <w:bookmarkStart w:id="210" w:name="_Toc184308095"/>
      <w:bookmarkEnd w:id="210"/>
      <w:bookmarkStart w:id="211" w:name="_Toc184313270"/>
      <w:bookmarkEnd w:id="211"/>
      <w:bookmarkStart w:id="212" w:name="_Toc184314430"/>
      <w:bookmarkEnd w:id="212"/>
      <w:bookmarkStart w:id="213" w:name="_Toc184308074"/>
      <w:bookmarkEnd w:id="213"/>
      <w:bookmarkStart w:id="214" w:name="_Toc184314435"/>
      <w:bookmarkEnd w:id="214"/>
      <w:bookmarkStart w:id="215" w:name="_Toc184310330"/>
      <w:bookmarkEnd w:id="215"/>
      <w:bookmarkStart w:id="216" w:name="_Toc184308037"/>
      <w:bookmarkEnd w:id="216"/>
      <w:bookmarkStart w:id="217" w:name="_Toc184310303"/>
      <w:bookmarkEnd w:id="217"/>
      <w:bookmarkStart w:id="218" w:name="_Toc184308098"/>
      <w:bookmarkEnd w:id="218"/>
      <w:bookmarkStart w:id="219" w:name="_Toc184308076"/>
      <w:bookmarkEnd w:id="219"/>
      <w:bookmarkStart w:id="220" w:name="_Toc184314414"/>
      <w:bookmarkEnd w:id="220"/>
      <w:bookmarkStart w:id="221" w:name="_Toc184314433"/>
      <w:bookmarkEnd w:id="221"/>
      <w:bookmarkStart w:id="222" w:name="_Toc184313285"/>
      <w:bookmarkEnd w:id="222"/>
      <w:bookmarkStart w:id="223" w:name="_Toc184308061"/>
      <w:bookmarkEnd w:id="223"/>
      <w:bookmarkStart w:id="224" w:name="_Toc184313268"/>
      <w:bookmarkEnd w:id="224"/>
      <w:bookmarkStart w:id="225" w:name="_Toc184308045"/>
      <w:bookmarkEnd w:id="225"/>
      <w:bookmarkStart w:id="226" w:name="_Toc184310340"/>
      <w:bookmarkEnd w:id="226"/>
      <w:bookmarkStart w:id="227" w:name="_Toc184310283"/>
      <w:bookmarkEnd w:id="227"/>
      <w:bookmarkStart w:id="228" w:name="_Toc184308072"/>
      <w:bookmarkEnd w:id="228"/>
      <w:bookmarkStart w:id="229" w:name="_Toc184313238"/>
      <w:bookmarkEnd w:id="229"/>
      <w:bookmarkStart w:id="230" w:name="_Toc184312087"/>
      <w:bookmarkEnd w:id="230"/>
      <w:bookmarkStart w:id="231" w:name="_Toc184310339"/>
      <w:bookmarkEnd w:id="231"/>
      <w:bookmarkStart w:id="232" w:name="_Toc184313267"/>
      <w:bookmarkEnd w:id="232"/>
      <w:bookmarkStart w:id="233" w:name="_Toc184314422"/>
      <w:bookmarkEnd w:id="233"/>
      <w:bookmarkStart w:id="234" w:name="_Toc184308084"/>
      <w:bookmarkEnd w:id="234"/>
      <w:bookmarkStart w:id="235" w:name="_Toc184314468"/>
      <w:bookmarkEnd w:id="235"/>
      <w:bookmarkStart w:id="236" w:name="_Toc184314428"/>
      <w:bookmarkEnd w:id="236"/>
      <w:bookmarkStart w:id="237" w:name="_Toc184312072"/>
      <w:bookmarkEnd w:id="237"/>
      <w:bookmarkStart w:id="238" w:name="_Toc184312136"/>
      <w:bookmarkEnd w:id="238"/>
      <w:bookmarkStart w:id="239" w:name="_Toc184312115"/>
      <w:bookmarkEnd w:id="239"/>
      <w:bookmarkStart w:id="240" w:name="_Toc184308094"/>
      <w:bookmarkEnd w:id="240"/>
      <w:bookmarkStart w:id="241" w:name="_Toc184310281"/>
      <w:bookmarkEnd w:id="241"/>
      <w:bookmarkStart w:id="242" w:name="_Toc184314452"/>
      <w:bookmarkEnd w:id="242"/>
      <w:bookmarkStart w:id="243" w:name="_Toc184312096"/>
      <w:bookmarkEnd w:id="243"/>
      <w:bookmarkStart w:id="244" w:name="_Toc184314457"/>
      <w:bookmarkEnd w:id="244"/>
      <w:bookmarkStart w:id="245" w:name="_Toc184310291"/>
      <w:bookmarkEnd w:id="245"/>
      <w:bookmarkStart w:id="246" w:name="_Toc184310335"/>
      <w:bookmarkEnd w:id="246"/>
      <w:bookmarkStart w:id="247" w:name="_Toc184310314"/>
      <w:bookmarkEnd w:id="247"/>
      <w:bookmarkStart w:id="248" w:name="_Toc184310294"/>
      <w:bookmarkEnd w:id="248"/>
      <w:bookmarkStart w:id="249" w:name="_Toc184310341"/>
      <w:bookmarkEnd w:id="249"/>
      <w:bookmarkStart w:id="250" w:name="_Toc184314442"/>
      <w:bookmarkEnd w:id="250"/>
      <w:bookmarkStart w:id="251" w:name="_Toc184308103"/>
      <w:bookmarkEnd w:id="251"/>
      <w:bookmarkStart w:id="252" w:name="_Toc184313301"/>
      <w:bookmarkEnd w:id="252"/>
      <w:bookmarkStart w:id="253" w:name="_Toc184314467"/>
      <w:bookmarkEnd w:id="253"/>
      <w:bookmarkStart w:id="254" w:name="_Toc184308080"/>
      <w:bookmarkEnd w:id="254"/>
      <w:bookmarkStart w:id="255" w:name="_Toc184313287"/>
      <w:bookmarkEnd w:id="255"/>
      <w:bookmarkStart w:id="256" w:name="_Toc184308064"/>
      <w:bookmarkEnd w:id="256"/>
      <w:bookmarkStart w:id="257" w:name="_Toc184312121"/>
      <w:bookmarkEnd w:id="257"/>
      <w:bookmarkStart w:id="258" w:name="_Toc184308073"/>
      <w:bookmarkEnd w:id="258"/>
      <w:bookmarkStart w:id="259" w:name="_Toc184314472"/>
      <w:bookmarkEnd w:id="259"/>
      <w:bookmarkStart w:id="260" w:name="_Toc184312124"/>
      <w:bookmarkEnd w:id="260"/>
      <w:bookmarkStart w:id="261" w:name="_Toc184314434"/>
      <w:bookmarkEnd w:id="261"/>
      <w:bookmarkStart w:id="262" w:name="_Toc184310273"/>
      <w:bookmarkEnd w:id="262"/>
      <w:bookmarkStart w:id="263" w:name="_Toc184312139"/>
      <w:bookmarkEnd w:id="263"/>
      <w:bookmarkStart w:id="264" w:name="_Toc184313291"/>
      <w:bookmarkEnd w:id="264"/>
      <w:bookmarkStart w:id="265" w:name="_Toc184314466"/>
      <w:bookmarkEnd w:id="265"/>
      <w:bookmarkStart w:id="266" w:name="_Toc184312085"/>
      <w:bookmarkEnd w:id="266"/>
      <w:bookmarkStart w:id="267" w:name="_Toc184310289"/>
      <w:bookmarkEnd w:id="267"/>
      <w:bookmarkStart w:id="268" w:name="_Toc184312071"/>
      <w:bookmarkEnd w:id="268"/>
      <w:bookmarkStart w:id="269" w:name="_Toc184313309"/>
      <w:bookmarkEnd w:id="269"/>
      <w:bookmarkStart w:id="270" w:name="_Toc184310296"/>
      <w:bookmarkEnd w:id="270"/>
      <w:bookmarkStart w:id="271" w:name="_Toc184313240"/>
      <w:bookmarkEnd w:id="271"/>
      <w:bookmarkStart w:id="272" w:name="_Toc184313286"/>
      <w:bookmarkEnd w:id="272"/>
      <w:bookmarkStart w:id="273" w:name="_Toc184308081"/>
      <w:bookmarkEnd w:id="273"/>
      <w:bookmarkStart w:id="274" w:name="_Toc184314420"/>
      <w:bookmarkEnd w:id="274"/>
      <w:bookmarkStart w:id="275" w:name="_Toc184308065"/>
      <w:bookmarkEnd w:id="275"/>
      <w:bookmarkStart w:id="276" w:name="_Toc184314431"/>
      <w:bookmarkEnd w:id="276"/>
      <w:bookmarkStart w:id="277" w:name="_Toc184313269"/>
      <w:bookmarkEnd w:id="277"/>
      <w:bookmarkStart w:id="278" w:name="_Toc184312098"/>
      <w:bookmarkEnd w:id="278"/>
      <w:bookmarkStart w:id="279" w:name="_Toc184312081"/>
      <w:bookmarkEnd w:id="279"/>
      <w:bookmarkStart w:id="280" w:name="_Toc184314478"/>
      <w:bookmarkEnd w:id="280"/>
      <w:bookmarkStart w:id="281" w:name="_Toc184310284"/>
      <w:bookmarkEnd w:id="281"/>
      <w:bookmarkStart w:id="282" w:name="_Toc184310309"/>
      <w:bookmarkEnd w:id="282"/>
      <w:bookmarkStart w:id="283" w:name="_Toc184314413"/>
      <w:bookmarkEnd w:id="283"/>
      <w:bookmarkStart w:id="284" w:name="_Toc184312125"/>
      <w:bookmarkEnd w:id="284"/>
      <w:bookmarkStart w:id="285" w:name="_Toc184313264"/>
      <w:bookmarkEnd w:id="285"/>
      <w:bookmarkStart w:id="286" w:name="_Toc184310318"/>
      <w:bookmarkEnd w:id="286"/>
      <w:bookmarkStart w:id="287" w:name="_Toc184314454"/>
      <w:bookmarkEnd w:id="287"/>
      <w:bookmarkStart w:id="288" w:name="_Toc184312126"/>
      <w:bookmarkEnd w:id="288"/>
      <w:bookmarkStart w:id="289" w:name="_Toc184314453"/>
      <w:bookmarkEnd w:id="289"/>
      <w:bookmarkStart w:id="290" w:name="_Toc184312122"/>
      <w:bookmarkEnd w:id="290"/>
      <w:bookmarkStart w:id="291" w:name="_Toc184308105"/>
      <w:bookmarkEnd w:id="291"/>
      <w:bookmarkStart w:id="292" w:name="_Toc184314444"/>
      <w:bookmarkEnd w:id="292"/>
      <w:bookmarkStart w:id="293" w:name="_Toc184314480"/>
      <w:bookmarkEnd w:id="293"/>
      <w:bookmarkStart w:id="294" w:name="_Toc184308054"/>
      <w:bookmarkEnd w:id="294"/>
      <w:bookmarkStart w:id="295" w:name="_Toc184313250"/>
      <w:bookmarkEnd w:id="295"/>
      <w:bookmarkStart w:id="296" w:name="_Toc184310280"/>
      <w:bookmarkEnd w:id="296"/>
      <w:bookmarkStart w:id="297" w:name="_Toc184313278"/>
      <w:bookmarkEnd w:id="297"/>
      <w:bookmarkStart w:id="298" w:name="_Toc184313296"/>
      <w:bookmarkEnd w:id="298"/>
      <w:bookmarkStart w:id="299" w:name="_Toc184312109"/>
      <w:bookmarkEnd w:id="299"/>
      <w:bookmarkStart w:id="300" w:name="_Toc184310310"/>
      <w:bookmarkEnd w:id="300"/>
      <w:bookmarkStart w:id="301" w:name="_Toc184308062"/>
      <w:bookmarkEnd w:id="301"/>
      <w:bookmarkStart w:id="302" w:name="_Toc184308099"/>
      <w:bookmarkEnd w:id="302"/>
      <w:bookmarkStart w:id="303" w:name="_Toc184313283"/>
      <w:bookmarkEnd w:id="303"/>
      <w:bookmarkStart w:id="304" w:name="_Toc184314460"/>
      <w:bookmarkEnd w:id="304"/>
      <w:bookmarkStart w:id="305" w:name="_Toc184313258"/>
      <w:bookmarkEnd w:id="305"/>
      <w:bookmarkStart w:id="306" w:name="_Toc184310336"/>
      <w:bookmarkEnd w:id="306"/>
      <w:bookmarkStart w:id="307" w:name="_Toc184313239"/>
      <w:bookmarkEnd w:id="307"/>
      <w:bookmarkStart w:id="308" w:name="_Toc184310307"/>
      <w:bookmarkEnd w:id="308"/>
      <w:bookmarkStart w:id="309" w:name="_Toc184310324"/>
      <w:bookmarkEnd w:id="309"/>
      <w:bookmarkStart w:id="310" w:name="_Toc184314473"/>
      <w:bookmarkEnd w:id="310"/>
      <w:bookmarkStart w:id="311" w:name="_Toc184308067"/>
      <w:bookmarkEnd w:id="311"/>
      <w:bookmarkStart w:id="312" w:name="_Toc184314450"/>
      <w:bookmarkEnd w:id="312"/>
      <w:bookmarkStart w:id="313" w:name="_Toc184308044"/>
      <w:bookmarkEnd w:id="313"/>
      <w:bookmarkStart w:id="314" w:name="_Toc184313253"/>
      <w:bookmarkEnd w:id="314"/>
      <w:bookmarkStart w:id="315" w:name="_Toc184310292"/>
      <w:bookmarkEnd w:id="315"/>
      <w:bookmarkStart w:id="316" w:name="_Toc184314419"/>
      <w:bookmarkEnd w:id="316"/>
      <w:bookmarkStart w:id="317" w:name="_Toc184313247"/>
      <w:bookmarkEnd w:id="317"/>
      <w:bookmarkStart w:id="318" w:name="_Toc184310313"/>
      <w:bookmarkEnd w:id="318"/>
      <w:bookmarkStart w:id="319" w:name="_Toc184312120"/>
      <w:bookmarkEnd w:id="319"/>
      <w:bookmarkStart w:id="320" w:name="_Toc184314469"/>
      <w:bookmarkEnd w:id="320"/>
      <w:bookmarkStart w:id="321" w:name="_Toc184312138"/>
      <w:bookmarkEnd w:id="321"/>
      <w:bookmarkStart w:id="322" w:name="_Toc184310322"/>
      <w:bookmarkEnd w:id="322"/>
      <w:bookmarkStart w:id="323" w:name="_Toc184313245"/>
      <w:bookmarkEnd w:id="323"/>
      <w:bookmarkStart w:id="324" w:name="_Toc184308071"/>
      <w:bookmarkEnd w:id="324"/>
      <w:bookmarkStart w:id="325" w:name="_Toc184313307"/>
      <w:bookmarkEnd w:id="325"/>
      <w:bookmarkStart w:id="326" w:name="_Toc184310325"/>
      <w:bookmarkEnd w:id="326"/>
      <w:bookmarkStart w:id="327" w:name="_Toc184314446"/>
      <w:bookmarkEnd w:id="327"/>
      <w:bookmarkStart w:id="328" w:name="_Toc184313256"/>
      <w:bookmarkEnd w:id="328"/>
      <w:bookmarkStart w:id="329" w:name="_Toc184312105"/>
      <w:bookmarkEnd w:id="329"/>
      <w:bookmarkStart w:id="330" w:name="_Toc184314437"/>
      <w:bookmarkEnd w:id="330"/>
      <w:bookmarkStart w:id="331" w:name="_Toc184312103"/>
      <w:bookmarkEnd w:id="331"/>
      <w:bookmarkStart w:id="332" w:name="_Toc184312088"/>
      <w:bookmarkEnd w:id="332"/>
      <w:bookmarkStart w:id="333" w:name="_Toc184310321"/>
      <w:bookmarkEnd w:id="333"/>
      <w:bookmarkStart w:id="334" w:name="_Toc184313306"/>
      <w:bookmarkEnd w:id="334"/>
      <w:bookmarkStart w:id="335" w:name="_Toc184308090"/>
      <w:bookmarkEnd w:id="335"/>
      <w:bookmarkStart w:id="336" w:name="_Toc184310295"/>
      <w:bookmarkEnd w:id="336"/>
      <w:bookmarkStart w:id="337" w:name="_Toc184314443"/>
      <w:bookmarkEnd w:id="337"/>
      <w:bookmarkStart w:id="338" w:name="_Toc184313294"/>
      <w:bookmarkEnd w:id="338"/>
      <w:bookmarkStart w:id="339" w:name="_Toc184312127"/>
      <w:bookmarkEnd w:id="339"/>
      <w:bookmarkStart w:id="340" w:name="_Toc184308042"/>
      <w:bookmarkEnd w:id="340"/>
      <w:bookmarkStart w:id="341" w:name="_Toc184312090"/>
      <w:bookmarkEnd w:id="341"/>
      <w:bookmarkStart w:id="342" w:name="_Toc184314459"/>
      <w:bookmarkEnd w:id="342"/>
      <w:bookmarkStart w:id="343" w:name="_Toc184314440"/>
      <w:bookmarkEnd w:id="343"/>
      <w:bookmarkStart w:id="344" w:name="_Toc184313243"/>
      <w:bookmarkEnd w:id="344"/>
      <w:bookmarkStart w:id="345" w:name="_Toc184310272"/>
      <w:bookmarkEnd w:id="345"/>
      <w:bookmarkStart w:id="346" w:name="_Toc184310312"/>
      <w:bookmarkEnd w:id="346"/>
      <w:bookmarkStart w:id="347" w:name="_Toc184310285"/>
      <w:bookmarkEnd w:id="347"/>
      <w:bookmarkStart w:id="348" w:name="_Toc184310327"/>
      <w:bookmarkEnd w:id="348"/>
      <w:bookmarkStart w:id="349" w:name="_Toc184312091"/>
      <w:bookmarkEnd w:id="349"/>
      <w:bookmarkStart w:id="350" w:name="_Toc184314425"/>
      <w:bookmarkEnd w:id="350"/>
      <w:bookmarkStart w:id="351" w:name="_Toc184310311"/>
      <w:bookmarkEnd w:id="351"/>
      <w:bookmarkStart w:id="352" w:name="_Toc184312135"/>
      <w:bookmarkEnd w:id="352"/>
      <w:bookmarkStart w:id="353" w:name="_Toc184310329"/>
      <w:bookmarkEnd w:id="353"/>
      <w:bookmarkStart w:id="354" w:name="_Toc184312069"/>
      <w:bookmarkEnd w:id="354"/>
      <w:bookmarkStart w:id="355" w:name="_Toc184314448"/>
      <w:bookmarkEnd w:id="355"/>
      <w:bookmarkStart w:id="356" w:name="_Toc184310315"/>
      <w:bookmarkEnd w:id="356"/>
      <w:bookmarkStart w:id="357" w:name="_Toc184312137"/>
      <w:bookmarkEnd w:id="357"/>
      <w:bookmarkStart w:id="358" w:name="_Toc184312099"/>
      <w:bookmarkEnd w:id="358"/>
      <w:bookmarkStart w:id="359" w:name="_Toc184312130"/>
      <w:bookmarkEnd w:id="359"/>
      <w:bookmarkStart w:id="360" w:name="_Toc184313292"/>
      <w:bookmarkEnd w:id="360"/>
      <w:bookmarkStart w:id="361" w:name="_Toc184308085"/>
      <w:bookmarkEnd w:id="361"/>
      <w:bookmarkStart w:id="362" w:name="_Toc184308036"/>
      <w:bookmarkEnd w:id="362"/>
      <w:bookmarkStart w:id="363" w:name="_Toc184310287"/>
      <w:bookmarkEnd w:id="363"/>
      <w:bookmarkStart w:id="364" w:name="_Toc184312134"/>
      <w:bookmarkEnd w:id="364"/>
      <w:bookmarkStart w:id="365" w:name="_Toc184314436"/>
      <w:bookmarkEnd w:id="365"/>
      <w:bookmarkStart w:id="366" w:name="_Toc184308104"/>
      <w:bookmarkEnd w:id="366"/>
      <w:bookmarkStart w:id="367" w:name="_Toc184314424"/>
      <w:bookmarkEnd w:id="367"/>
      <w:bookmarkStart w:id="368" w:name="_Toc184308059"/>
      <w:bookmarkEnd w:id="368"/>
      <w:bookmarkStart w:id="369" w:name="_Toc184310331"/>
      <w:bookmarkEnd w:id="369"/>
      <w:bookmarkStart w:id="370" w:name="_Toc184313271"/>
      <w:bookmarkEnd w:id="370"/>
      <w:bookmarkStart w:id="371" w:name="_Toc184312093"/>
      <w:bookmarkEnd w:id="371"/>
      <w:bookmarkStart w:id="372" w:name="_Toc184308096"/>
      <w:bookmarkEnd w:id="372"/>
      <w:bookmarkStart w:id="373" w:name="_Toc184314471"/>
      <w:bookmarkEnd w:id="373"/>
      <w:bookmarkStart w:id="374" w:name="_Toc184308060"/>
      <w:bookmarkEnd w:id="374"/>
      <w:bookmarkStart w:id="375" w:name="_Toc184308101"/>
      <w:bookmarkEnd w:id="375"/>
      <w:bookmarkStart w:id="376" w:name="_Toc184310333"/>
      <w:bookmarkEnd w:id="376"/>
      <w:bookmarkStart w:id="377" w:name="_Toc184310298"/>
      <w:bookmarkEnd w:id="377"/>
      <w:bookmarkStart w:id="378" w:name="_Toc184314439"/>
      <w:bookmarkEnd w:id="378"/>
      <w:bookmarkStart w:id="379" w:name="_Toc184310301"/>
      <w:bookmarkEnd w:id="379"/>
      <w:bookmarkStart w:id="380" w:name="_Toc184314427"/>
      <w:bookmarkEnd w:id="380"/>
      <w:bookmarkStart w:id="381" w:name="_Toc184314458"/>
      <w:bookmarkEnd w:id="381"/>
      <w:bookmarkStart w:id="382" w:name="_Toc184312118"/>
      <w:bookmarkEnd w:id="382"/>
      <w:bookmarkStart w:id="383" w:name="_Toc184308091"/>
      <w:bookmarkEnd w:id="383"/>
      <w:bookmarkStart w:id="384" w:name="_Toc184308049"/>
      <w:bookmarkEnd w:id="384"/>
      <w:bookmarkStart w:id="385" w:name="_Toc184313248"/>
      <w:bookmarkEnd w:id="385"/>
      <w:bookmarkStart w:id="386" w:name="_Toc184310328"/>
      <w:bookmarkEnd w:id="386"/>
      <w:bookmarkStart w:id="387" w:name="_Toc184313273"/>
      <w:bookmarkEnd w:id="387"/>
      <w:bookmarkStart w:id="388" w:name="_Toc184312112"/>
      <w:bookmarkEnd w:id="388"/>
      <w:bookmarkStart w:id="389" w:name="_Toc184308046"/>
      <w:bookmarkEnd w:id="389"/>
      <w:bookmarkStart w:id="390" w:name="_Toc184314412"/>
      <w:bookmarkEnd w:id="390"/>
      <w:bookmarkStart w:id="391" w:name="_Toc184312113"/>
      <w:bookmarkEnd w:id="391"/>
      <w:bookmarkStart w:id="392" w:name="_Toc184314451"/>
      <w:bookmarkEnd w:id="392"/>
      <w:bookmarkStart w:id="393" w:name="_Toc184313246"/>
      <w:bookmarkEnd w:id="393"/>
      <w:r>
        <w:rPr>
          <w:rFonts w:hint="eastAsia" w:ascii="宋体" w:hAnsi="宋体" w:cs="宋体"/>
          <w:b/>
          <w:color w:val="auto"/>
          <w:sz w:val="36"/>
          <w:szCs w:val="36"/>
          <w:highlight w:val="none"/>
        </w:rPr>
        <w:t>评标办法</w:t>
      </w:r>
    </w:p>
    <w:p w14:paraId="43F11AB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5877"/>
        <w:gridCol w:w="782"/>
        <w:gridCol w:w="919"/>
        <w:gridCol w:w="1082"/>
      </w:tblGrid>
      <w:tr w14:paraId="0C21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265" w:type="pct"/>
            <w:vAlign w:val="center"/>
          </w:tcPr>
          <w:p w14:paraId="44CE8BA3">
            <w:pPr>
              <w:keepNext w:val="0"/>
              <w:keepLines w:val="0"/>
              <w:pageBreakBefore w:val="0"/>
              <w:kinsoku/>
              <w:wordWrap/>
              <w:overflowPunct/>
              <w:topLinePunct w:val="0"/>
              <w:autoSpaceDN/>
              <w:bidi w:val="0"/>
              <w:spacing w:line="240" w:lineRule="auto"/>
              <w:jc w:val="center"/>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212" w:type="pct"/>
            <w:vAlign w:val="center"/>
          </w:tcPr>
          <w:p w14:paraId="5B142020">
            <w:pPr>
              <w:keepNext w:val="0"/>
              <w:keepLines w:val="0"/>
              <w:pageBreakBefore w:val="0"/>
              <w:kinsoku/>
              <w:wordWrap/>
              <w:overflowPunct/>
              <w:topLinePunct w:val="0"/>
              <w:autoSpaceDN/>
              <w:bidi w:val="0"/>
              <w:spacing w:line="240" w:lineRule="auto"/>
              <w:jc w:val="center"/>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评标标准</w:t>
            </w:r>
          </w:p>
        </w:tc>
        <w:tc>
          <w:tcPr>
            <w:tcW w:w="427" w:type="pct"/>
            <w:vAlign w:val="center"/>
          </w:tcPr>
          <w:p w14:paraId="1DCB4F02">
            <w:pPr>
              <w:keepNext w:val="0"/>
              <w:keepLines w:val="0"/>
              <w:pageBreakBefore w:val="0"/>
              <w:kinsoku/>
              <w:wordWrap/>
              <w:overflowPunct/>
              <w:topLinePunct w:val="0"/>
              <w:autoSpaceDN/>
              <w:bidi w:val="0"/>
              <w:spacing w:line="240" w:lineRule="auto"/>
              <w:jc w:val="center"/>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最高分值</w:t>
            </w:r>
          </w:p>
        </w:tc>
        <w:tc>
          <w:tcPr>
            <w:tcW w:w="502" w:type="pct"/>
            <w:vAlign w:val="center"/>
          </w:tcPr>
          <w:p w14:paraId="7D266972">
            <w:pPr>
              <w:keepNext w:val="0"/>
              <w:keepLines w:val="0"/>
              <w:pageBreakBefore w:val="0"/>
              <w:kinsoku/>
              <w:wordWrap/>
              <w:overflowPunct/>
              <w:topLinePunct w:val="0"/>
              <w:autoSpaceDN/>
              <w:bidi w:val="0"/>
              <w:spacing w:line="240" w:lineRule="auto"/>
              <w:jc w:val="center"/>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主观分/客观分属性</w:t>
            </w:r>
          </w:p>
        </w:tc>
        <w:tc>
          <w:tcPr>
            <w:tcW w:w="591" w:type="pct"/>
            <w:vAlign w:val="center"/>
          </w:tcPr>
          <w:p w14:paraId="5F94825A">
            <w:pPr>
              <w:keepNext w:val="0"/>
              <w:keepLines w:val="0"/>
              <w:pageBreakBefore w:val="0"/>
              <w:kinsoku/>
              <w:wordWrap/>
              <w:overflowPunct/>
              <w:topLinePunct w:val="0"/>
              <w:autoSpaceDN/>
              <w:bidi w:val="0"/>
              <w:spacing w:line="240" w:lineRule="auto"/>
              <w:jc w:val="center"/>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投标文件中评标标准相应的商务技术资料目录</w:t>
            </w:r>
            <w:r>
              <w:rPr>
                <w:rFonts w:hint="eastAsia" w:ascii="宋体" w:hAnsi="宋体" w:eastAsia="宋体" w:cs="宋体"/>
                <w:color w:val="auto"/>
                <w:sz w:val="24"/>
                <w:szCs w:val="24"/>
                <w:highlight w:val="none"/>
                <w:shd w:val="clear" w:color="auto" w:fill="FFFFFF"/>
              </w:rPr>
              <w:t>*</w:t>
            </w:r>
          </w:p>
        </w:tc>
      </w:tr>
      <w:tr w14:paraId="39E1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5" w:type="pct"/>
            <w:vAlign w:val="center"/>
          </w:tcPr>
          <w:p w14:paraId="265B3B06">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3212" w:type="pct"/>
            <w:vAlign w:val="center"/>
          </w:tcPr>
          <w:p w14:paraId="696D2A1D">
            <w:pPr>
              <w:keepNext w:val="0"/>
              <w:keepLines w:val="0"/>
              <w:pageBreakBefore w:val="0"/>
              <w:kinsoku/>
              <w:wordWrap/>
              <w:overflowPunct/>
              <w:topLinePunct w:val="0"/>
              <w:autoSpaceDN/>
              <w:bidi w:val="0"/>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投标人自20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年1月1日以来（以合同签订时间为准）完成过类似项目合同业绩的每个得</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分，最高得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分。（投标文件中提供合同复印件，加盖公章。）</w:t>
            </w:r>
          </w:p>
        </w:tc>
        <w:tc>
          <w:tcPr>
            <w:tcW w:w="427" w:type="pct"/>
            <w:vAlign w:val="center"/>
          </w:tcPr>
          <w:p w14:paraId="6034D90D">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Cs/>
                <w:color w:val="auto"/>
                <w:sz w:val="24"/>
                <w:szCs w:val="24"/>
                <w:highlight w:val="none"/>
              </w:rPr>
              <w:t>分</w:t>
            </w:r>
          </w:p>
        </w:tc>
        <w:tc>
          <w:tcPr>
            <w:tcW w:w="502" w:type="pct"/>
            <w:vAlign w:val="center"/>
          </w:tcPr>
          <w:p w14:paraId="17F94A83">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c>
          <w:tcPr>
            <w:tcW w:w="591" w:type="pct"/>
            <w:vAlign w:val="center"/>
          </w:tcPr>
          <w:p w14:paraId="328FDE71">
            <w:pPr>
              <w:keepNext w:val="0"/>
              <w:keepLines w:val="0"/>
              <w:pageBreakBefore w:val="0"/>
              <w:widowControl/>
              <w:kinsoku/>
              <w:wordWrap/>
              <w:overflowPunct/>
              <w:topLinePunct w:val="0"/>
              <w:autoSpaceDN/>
              <w:bidi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业绩</w:t>
            </w:r>
          </w:p>
        </w:tc>
      </w:tr>
      <w:tr w14:paraId="44F3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265" w:type="pct"/>
            <w:vAlign w:val="center"/>
          </w:tcPr>
          <w:p w14:paraId="6060659B">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212" w:type="pct"/>
            <w:vAlign w:val="center"/>
          </w:tcPr>
          <w:p w14:paraId="3DA1376D">
            <w:pPr>
              <w:keepNext w:val="0"/>
              <w:keepLines w:val="0"/>
              <w:pageBreakBefore w:val="0"/>
              <w:kinsoku/>
              <w:wordWrap/>
              <w:overflowPunct/>
              <w:topLinePunct w:val="0"/>
              <w:autoSpaceDE/>
              <w:autoSpaceDN/>
              <w:bidi w:val="0"/>
              <w:adjustRightInd w:val="0"/>
              <w:snapToGrid/>
              <w:spacing w:line="240" w:lineRule="auto"/>
              <w:ind w:left="0" w:leftChars="0" w:right="0" w:right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投标人具有质量保证体系认证、环境管理体系认证、职业健康安全管理体系认证（证书须在有效期内）：三个体系得</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分；任意两个体系得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分；单个体系得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11"/>
                <w:sz w:val="24"/>
                <w:szCs w:val="24"/>
                <w:highlight w:val="none"/>
              </w:rPr>
              <w:t>（</w:t>
            </w:r>
            <w:r>
              <w:rPr>
                <w:rFonts w:hint="eastAsia" w:ascii="宋体" w:hAnsi="宋体" w:eastAsia="宋体" w:cs="宋体"/>
                <w:color w:val="auto"/>
                <w:sz w:val="24"/>
                <w:szCs w:val="24"/>
                <w:highlight w:val="none"/>
                <w:lang w:val="en-US" w:eastAsia="zh-CN"/>
              </w:rPr>
              <w:t>投标文件中提供证书复印件并加盖投标人公章，证书需在有效期内，由评标委员会在国家认监委网站www.cnca.gov.cn查询，未在该网站上查询到的，不得分。</w:t>
            </w:r>
            <w:r>
              <w:rPr>
                <w:rFonts w:hint="eastAsia" w:ascii="宋体" w:hAnsi="宋体" w:eastAsia="宋体" w:cs="宋体"/>
                <w:color w:val="auto"/>
                <w:spacing w:val="0"/>
                <w:kern w:val="11"/>
                <w:sz w:val="24"/>
                <w:szCs w:val="24"/>
                <w:highlight w:val="none"/>
                <w:u w:val="none"/>
                <w:lang w:val="en-US" w:eastAsia="zh-CN" w:bidi="ar-SA"/>
              </w:rPr>
              <w:t>）</w:t>
            </w:r>
          </w:p>
        </w:tc>
        <w:tc>
          <w:tcPr>
            <w:tcW w:w="427" w:type="pct"/>
            <w:vAlign w:val="center"/>
          </w:tcPr>
          <w:p w14:paraId="19E9ED78">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sz w:val="24"/>
                <w:szCs w:val="24"/>
                <w:highlight w:val="none"/>
              </w:rPr>
              <w:t>分</w:t>
            </w:r>
          </w:p>
        </w:tc>
        <w:tc>
          <w:tcPr>
            <w:tcW w:w="502" w:type="pct"/>
            <w:vAlign w:val="center"/>
          </w:tcPr>
          <w:p w14:paraId="155DD35E">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c>
          <w:tcPr>
            <w:tcW w:w="591" w:type="pct"/>
            <w:vAlign w:val="center"/>
          </w:tcPr>
          <w:p w14:paraId="46923F4F">
            <w:pPr>
              <w:keepNext w:val="0"/>
              <w:keepLines w:val="0"/>
              <w:pageBreakBefore w:val="0"/>
              <w:widowControl/>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管理体系</w:t>
            </w:r>
          </w:p>
        </w:tc>
      </w:tr>
      <w:tr w14:paraId="1D27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65" w:type="pct"/>
            <w:vAlign w:val="center"/>
          </w:tcPr>
          <w:p w14:paraId="35FEBD69">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212" w:type="pct"/>
            <w:vAlign w:val="center"/>
          </w:tcPr>
          <w:p w14:paraId="7698DBAD">
            <w:pPr>
              <w:keepNext w:val="0"/>
              <w:keepLines w:val="0"/>
              <w:pageBreakBefore w:val="0"/>
              <w:kinsoku/>
              <w:wordWrap/>
              <w:overflowPunct/>
              <w:topLinePunct w:val="0"/>
              <w:autoSpaceDN/>
              <w:bidi w:val="0"/>
              <w:spacing w:line="24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有效的</w:t>
            </w:r>
            <w:r>
              <w:rPr>
                <w:rFonts w:hint="eastAsia" w:ascii="宋体" w:hAnsi="宋体" w:eastAsia="宋体" w:cs="宋体"/>
                <w:color w:val="auto"/>
                <w:sz w:val="24"/>
                <w:szCs w:val="24"/>
                <w:highlight w:val="none"/>
              </w:rPr>
              <w:t>的企业责任保险保额达到1000万及以上得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在1000万基础上</w:t>
            </w:r>
            <w:r>
              <w:rPr>
                <w:rFonts w:hint="eastAsia" w:ascii="宋体" w:hAnsi="宋体" w:eastAsia="宋体" w:cs="宋体"/>
                <w:color w:val="auto"/>
                <w:sz w:val="24"/>
                <w:szCs w:val="24"/>
                <w:highlight w:val="none"/>
              </w:rPr>
              <w:t>每增加200万</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得1分，本项最高得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64EA954">
            <w:pPr>
              <w:keepNext w:val="0"/>
              <w:keepLines w:val="0"/>
              <w:pageBreakBefore w:val="0"/>
              <w:widowControl w:val="0"/>
              <w:suppressLineNumbers w:val="0"/>
              <w:kinsoku/>
              <w:wordWrap/>
              <w:overflowPunct/>
              <w:topLinePunct w:val="0"/>
              <w:autoSpaceDN/>
              <w:bidi w:val="0"/>
              <w:adjustRightInd w:val="0"/>
              <w:spacing w:before="0" w:beforeAutospacing="0" w:after="0" w:afterAutospacing="0" w:line="240" w:lineRule="auto"/>
              <w:ind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证明材料：需要提供保单复印件</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tc>
        <w:tc>
          <w:tcPr>
            <w:tcW w:w="427" w:type="pct"/>
            <w:vAlign w:val="center"/>
          </w:tcPr>
          <w:p w14:paraId="62F3677D">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sz w:val="24"/>
                <w:szCs w:val="24"/>
                <w:highlight w:val="none"/>
              </w:rPr>
              <w:t>分</w:t>
            </w:r>
          </w:p>
        </w:tc>
        <w:tc>
          <w:tcPr>
            <w:tcW w:w="502" w:type="pct"/>
            <w:vAlign w:val="center"/>
          </w:tcPr>
          <w:p w14:paraId="1F1982C0">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tc>
        <w:tc>
          <w:tcPr>
            <w:tcW w:w="591" w:type="pct"/>
            <w:vAlign w:val="center"/>
          </w:tcPr>
          <w:p w14:paraId="2CEE16B4">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企业责任险</w:t>
            </w:r>
          </w:p>
        </w:tc>
      </w:tr>
      <w:tr w14:paraId="37C7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265" w:type="pct"/>
            <w:vAlign w:val="center"/>
          </w:tcPr>
          <w:p w14:paraId="6505C9C7">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212" w:type="pct"/>
            <w:vAlign w:val="center"/>
          </w:tcPr>
          <w:p w14:paraId="3D33EFBA">
            <w:pPr>
              <w:keepNext w:val="0"/>
              <w:keepLines w:val="0"/>
              <w:pageBreakBefore w:val="0"/>
              <w:kinsoku/>
              <w:wordWrap/>
              <w:overflowPunct/>
              <w:topLinePunct w:val="0"/>
              <w:autoSpaceDN/>
              <w:bidi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承诺为每位</w:t>
            </w:r>
            <w:r>
              <w:rPr>
                <w:rFonts w:hint="eastAsia" w:ascii="宋体" w:hAnsi="宋体" w:eastAsia="宋体" w:cs="宋体"/>
                <w:color w:val="auto"/>
                <w:sz w:val="24"/>
                <w:szCs w:val="24"/>
                <w:highlight w:val="none"/>
                <w:lang w:val="en-US" w:eastAsia="zh-CN"/>
              </w:rPr>
              <w:t>老人</w:t>
            </w:r>
            <w:r>
              <w:rPr>
                <w:rFonts w:hint="eastAsia" w:ascii="宋体" w:hAnsi="宋体" w:eastAsia="宋体" w:cs="宋体"/>
                <w:color w:val="auto"/>
                <w:sz w:val="24"/>
                <w:szCs w:val="24"/>
                <w:highlight w:val="none"/>
              </w:rPr>
              <w:t>提供人身意外伤害保险30万元及以上；</w:t>
            </w:r>
          </w:p>
          <w:p w14:paraId="1242B005">
            <w:pPr>
              <w:keepNext w:val="0"/>
              <w:keepLines w:val="0"/>
              <w:pageBreakBefore w:val="0"/>
              <w:kinsoku/>
              <w:wordWrap/>
              <w:overflowPunct/>
              <w:topLinePunct w:val="0"/>
              <w:autoSpaceDN/>
              <w:bidi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②承诺小额赔款先行赔付的（</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rPr>
              <w:t>元及以下）；</w:t>
            </w:r>
          </w:p>
          <w:p w14:paraId="6C0BF324">
            <w:pPr>
              <w:keepNext w:val="0"/>
              <w:keepLines w:val="0"/>
              <w:pageBreakBefore w:val="0"/>
              <w:kinsoku/>
              <w:wordWrap/>
              <w:overflowPunct/>
              <w:topLinePunct w:val="0"/>
              <w:autoSpaceDN/>
              <w:bidi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③承诺中标后严格按相关政策组织实施活动，配合政府做好采购统计工作。</w:t>
            </w:r>
          </w:p>
          <w:p w14:paraId="428533B3">
            <w:pPr>
              <w:keepNext w:val="0"/>
              <w:keepLines w:val="0"/>
              <w:pageBreakBefore w:val="0"/>
              <w:kinsoku/>
              <w:wordWrap/>
              <w:overflowPunct/>
              <w:topLinePunct w:val="0"/>
              <w:autoSpaceDN/>
              <w:bidi w:val="0"/>
              <w:spacing w:line="24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以上每项得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3925A05A">
            <w:pPr>
              <w:keepNext w:val="0"/>
              <w:keepLines w:val="0"/>
              <w:pageBreakBefore w:val="0"/>
              <w:widowControl w:val="0"/>
              <w:suppressLineNumbers w:val="0"/>
              <w:kinsoku/>
              <w:wordWrap/>
              <w:overflowPunct/>
              <w:topLinePunct w:val="0"/>
              <w:autoSpaceDN/>
              <w:bidi w:val="0"/>
              <w:adjustRightInd w:val="0"/>
              <w:spacing w:before="0" w:beforeAutospacing="0" w:after="0" w:afterAutospacing="0" w:line="240" w:lineRule="auto"/>
              <w:ind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证明材料：</w:t>
            </w:r>
            <w:r>
              <w:rPr>
                <w:rFonts w:hint="eastAsia" w:ascii="宋体" w:hAnsi="宋体" w:eastAsia="宋体" w:cs="宋体"/>
                <w:color w:val="auto"/>
                <w:sz w:val="24"/>
                <w:szCs w:val="24"/>
                <w:highlight w:val="none"/>
                <w:lang w:val="en-US" w:eastAsia="zh-CN"/>
              </w:rPr>
              <w:t>需提供承诺函，承诺函格式自拟，并加盖公章，未提供不得分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tc>
        <w:tc>
          <w:tcPr>
            <w:tcW w:w="427" w:type="pct"/>
            <w:vAlign w:val="center"/>
          </w:tcPr>
          <w:p w14:paraId="2711A367">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sz w:val="24"/>
                <w:szCs w:val="24"/>
                <w:highlight w:val="none"/>
              </w:rPr>
              <w:t>分</w:t>
            </w:r>
          </w:p>
        </w:tc>
        <w:tc>
          <w:tcPr>
            <w:tcW w:w="502" w:type="pct"/>
            <w:vAlign w:val="center"/>
          </w:tcPr>
          <w:p w14:paraId="2FF4C794">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tc>
        <w:tc>
          <w:tcPr>
            <w:tcW w:w="591" w:type="pct"/>
            <w:vAlign w:val="center"/>
          </w:tcPr>
          <w:p w14:paraId="5F6EEC78">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安全保障能力</w:t>
            </w:r>
          </w:p>
        </w:tc>
      </w:tr>
      <w:tr w14:paraId="7E27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265" w:type="pct"/>
            <w:vMerge w:val="restart"/>
            <w:vAlign w:val="center"/>
          </w:tcPr>
          <w:p w14:paraId="68DC4B4C">
            <w:pPr>
              <w:keepNext w:val="0"/>
              <w:keepLines w:val="0"/>
              <w:pageBreakBefore w:val="0"/>
              <w:tabs>
                <w:tab w:val="left" w:pos="851"/>
                <w:tab w:val="left" w:pos="993"/>
              </w:tabs>
              <w:kinsoku/>
              <w:wordWrap/>
              <w:overflowPunct/>
              <w:topLinePunct w:val="0"/>
              <w:autoSpaceDE/>
              <w:autoSpaceDN/>
              <w:bidi w:val="0"/>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212" w:type="pct"/>
            <w:vAlign w:val="center"/>
          </w:tcPr>
          <w:p w14:paraId="74B6CD5B">
            <w:pPr>
              <w:keepNext w:val="0"/>
              <w:keepLines w:val="0"/>
              <w:pageBreakBefore w:val="0"/>
              <w:numPr>
                <w:ilvl w:val="0"/>
                <w:numId w:val="0"/>
              </w:numPr>
              <w:kinsoku/>
              <w:wordWrap/>
              <w:overflowPunct/>
              <w:topLinePunct w:val="0"/>
              <w:autoSpaceDE/>
              <w:autoSpaceDN/>
              <w:bidi w:val="0"/>
              <w:adjustRightInd w:val="0"/>
              <w:snapToGrid/>
              <w:spacing w:line="240" w:lineRule="auto"/>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1、游览行程安排合理具体，景点与需求吻合程度，提供具体方案：方案内容完整、考虑周到与项目匹配度好的得5分；方案内容基本完整、考虑基本到位且与项目匹配度较好的得4分；方案内容基本完整、考虑到位与项目匹配度一般的得3分；方案内容略有瑕疵的，得2分；瑕疵较多的，得1分；方案内容缺失严重、应对失措或与项目不匹配的不得分。</w:t>
            </w:r>
          </w:p>
        </w:tc>
        <w:tc>
          <w:tcPr>
            <w:tcW w:w="427" w:type="pct"/>
            <w:vAlign w:val="center"/>
          </w:tcPr>
          <w:p w14:paraId="471BBEDE">
            <w:pPr>
              <w:keepNext w:val="0"/>
              <w:keepLines w:val="0"/>
              <w:pageBreakBefore w:val="0"/>
              <w:kinsoku/>
              <w:wordWrap/>
              <w:overflowPunct/>
              <w:topLinePunct w:val="0"/>
              <w:autoSpaceDE/>
              <w:autoSpaceDN/>
              <w:bidi w:val="0"/>
              <w:snapToGrid w:val="0"/>
              <w:spacing w:line="240" w:lineRule="auto"/>
              <w:ind w:left="0" w:leftChars="0" w:right="0" w:right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w:t>
            </w:r>
            <w:r>
              <w:rPr>
                <w:rFonts w:hint="eastAsia" w:ascii="宋体" w:hAnsi="宋体" w:eastAsia="宋体" w:cs="宋体"/>
                <w:bCs/>
                <w:color w:val="auto"/>
                <w:sz w:val="24"/>
                <w:szCs w:val="24"/>
                <w:highlight w:val="none"/>
              </w:rPr>
              <w:t>分</w:t>
            </w:r>
          </w:p>
        </w:tc>
        <w:tc>
          <w:tcPr>
            <w:tcW w:w="502" w:type="pct"/>
            <w:vAlign w:val="center"/>
          </w:tcPr>
          <w:p w14:paraId="774F00D3">
            <w:pPr>
              <w:keepNext w:val="0"/>
              <w:keepLines w:val="0"/>
              <w:pageBreakBefore w:val="0"/>
              <w:kinsoku/>
              <w:wordWrap/>
              <w:overflowPunct/>
              <w:topLinePunct w:val="0"/>
              <w:autoSpaceDE/>
              <w:autoSpaceDN/>
              <w:bidi w:val="0"/>
              <w:snapToGrid w:val="0"/>
              <w:spacing w:line="240" w:lineRule="auto"/>
              <w:ind w:left="0" w:leftChars="0" w:right="0" w:right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主观分</w:t>
            </w:r>
          </w:p>
        </w:tc>
        <w:tc>
          <w:tcPr>
            <w:tcW w:w="591" w:type="pct"/>
            <w:vMerge w:val="restart"/>
            <w:vAlign w:val="center"/>
          </w:tcPr>
          <w:p w14:paraId="67505A9F">
            <w:pPr>
              <w:keepNext w:val="0"/>
              <w:keepLines w:val="0"/>
              <w:pageBreakBefore w:val="0"/>
              <w:widowControl/>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旅行方案</w:t>
            </w:r>
          </w:p>
        </w:tc>
      </w:tr>
      <w:tr w14:paraId="177D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265" w:type="pct"/>
            <w:vMerge w:val="continue"/>
            <w:vAlign w:val="center"/>
          </w:tcPr>
          <w:p w14:paraId="1593DE08">
            <w:pPr>
              <w:keepNext w:val="0"/>
              <w:keepLines w:val="0"/>
              <w:pageBreakBefore w:val="0"/>
              <w:tabs>
                <w:tab w:val="left" w:pos="851"/>
                <w:tab w:val="left" w:pos="993"/>
              </w:tabs>
              <w:kinsoku/>
              <w:wordWrap/>
              <w:overflowPunct/>
              <w:topLinePunct w:val="0"/>
              <w:autoSpaceDE/>
              <w:autoSpaceDN/>
              <w:bidi w:val="0"/>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p>
        </w:tc>
        <w:tc>
          <w:tcPr>
            <w:tcW w:w="3212" w:type="pct"/>
            <w:vAlign w:val="center"/>
          </w:tcPr>
          <w:p w14:paraId="76B1165C">
            <w:pPr>
              <w:keepNext w:val="0"/>
              <w:keepLines w:val="0"/>
              <w:pageBreakBefore w:val="0"/>
              <w:numPr>
                <w:ilvl w:val="0"/>
                <w:numId w:val="0"/>
              </w:numPr>
              <w:kinsoku/>
              <w:wordWrap/>
              <w:overflowPunct/>
              <w:topLinePunct w:val="0"/>
              <w:autoSpaceDE/>
              <w:autoSpaceDN/>
              <w:bidi w:val="0"/>
              <w:adjustRightInd w:val="0"/>
              <w:snapToGrid/>
              <w:spacing w:line="240" w:lineRule="auto"/>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2、文娱活动外出游览策划方案具有特色且突出主题：文娱活动外出游览策划方案特色明显、明显突出本项目主题得5分；文娱活动外出游览策划方案较有特色、突出本项目主题得3分；方案稍有特色、较能突出本项目主题得2分；方案没有特色、未能突出本项目主题得1分；方案不合理或未提供不得分。</w:t>
            </w:r>
          </w:p>
        </w:tc>
        <w:tc>
          <w:tcPr>
            <w:tcW w:w="427" w:type="pct"/>
            <w:vAlign w:val="center"/>
          </w:tcPr>
          <w:p w14:paraId="640EC0BB">
            <w:pPr>
              <w:keepNext w:val="0"/>
              <w:keepLines w:val="0"/>
              <w:pageBreakBefore w:val="0"/>
              <w:kinsoku/>
              <w:wordWrap/>
              <w:overflowPunct/>
              <w:topLinePunct w:val="0"/>
              <w:autoSpaceDE/>
              <w:autoSpaceDN/>
              <w:bidi w:val="0"/>
              <w:snapToGrid w:val="0"/>
              <w:spacing w:line="240" w:lineRule="auto"/>
              <w:ind w:left="0" w:leftChars="0" w:right="0" w:right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w:t>
            </w:r>
            <w:r>
              <w:rPr>
                <w:rFonts w:hint="eastAsia" w:ascii="宋体" w:hAnsi="宋体" w:eastAsia="宋体" w:cs="宋体"/>
                <w:bCs/>
                <w:color w:val="auto"/>
                <w:sz w:val="24"/>
                <w:szCs w:val="24"/>
                <w:highlight w:val="none"/>
              </w:rPr>
              <w:t>分</w:t>
            </w:r>
          </w:p>
        </w:tc>
        <w:tc>
          <w:tcPr>
            <w:tcW w:w="502" w:type="pct"/>
            <w:vAlign w:val="center"/>
          </w:tcPr>
          <w:p w14:paraId="3A585C3E">
            <w:pPr>
              <w:keepNext w:val="0"/>
              <w:keepLines w:val="0"/>
              <w:pageBreakBefore w:val="0"/>
              <w:kinsoku/>
              <w:wordWrap/>
              <w:overflowPunct/>
              <w:topLinePunct w:val="0"/>
              <w:autoSpaceDE/>
              <w:autoSpaceDN/>
              <w:bidi w:val="0"/>
              <w:snapToGrid w:val="0"/>
              <w:spacing w:line="240" w:lineRule="auto"/>
              <w:ind w:left="0" w:leftChars="0" w:right="0" w:right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主观分</w:t>
            </w:r>
          </w:p>
        </w:tc>
        <w:tc>
          <w:tcPr>
            <w:tcW w:w="591" w:type="pct"/>
            <w:vMerge w:val="continue"/>
            <w:vAlign w:val="center"/>
          </w:tcPr>
          <w:p w14:paraId="762A79E2">
            <w:pPr>
              <w:keepNext w:val="0"/>
              <w:keepLines w:val="0"/>
              <w:pageBreakBefore w:val="0"/>
              <w:widowControl/>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p>
        </w:tc>
      </w:tr>
      <w:tr w14:paraId="4BB7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65" w:type="pct"/>
            <w:vMerge w:val="continue"/>
            <w:vAlign w:val="center"/>
          </w:tcPr>
          <w:p w14:paraId="667E3B10">
            <w:pPr>
              <w:keepNext w:val="0"/>
              <w:keepLines w:val="0"/>
              <w:pageBreakBefore w:val="0"/>
              <w:tabs>
                <w:tab w:val="left" w:pos="851"/>
                <w:tab w:val="left" w:pos="993"/>
              </w:tabs>
              <w:kinsoku/>
              <w:wordWrap/>
              <w:overflowPunct/>
              <w:topLinePunct w:val="0"/>
              <w:autoSpaceDE/>
              <w:autoSpaceDN/>
              <w:bidi w:val="0"/>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p>
        </w:tc>
        <w:tc>
          <w:tcPr>
            <w:tcW w:w="3212" w:type="pct"/>
            <w:vAlign w:val="center"/>
          </w:tcPr>
          <w:p w14:paraId="709F8F85">
            <w:pPr>
              <w:keepNext w:val="0"/>
              <w:keepLines w:val="0"/>
              <w:pageBreakBefore w:val="0"/>
              <w:widowControl/>
              <w:numPr>
                <w:ilvl w:val="0"/>
                <w:numId w:val="2"/>
              </w:numPr>
              <w:kinsoku/>
              <w:wordWrap/>
              <w:overflowPunct/>
              <w:topLinePunct w:val="0"/>
              <w:autoSpaceDE/>
              <w:autoSpaceDN/>
              <w:bidi w:val="0"/>
              <w:adjustRightInd w:val="0"/>
              <w:snapToGrid/>
              <w:spacing w:line="240" w:lineRule="auto"/>
              <w:ind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文娱活动外出方案</w:t>
            </w:r>
            <w:r>
              <w:rPr>
                <w:rFonts w:hint="eastAsia" w:ascii="宋体" w:hAnsi="宋体" w:eastAsia="宋体" w:cs="宋体"/>
                <w:color w:val="auto"/>
                <w:sz w:val="24"/>
                <w:szCs w:val="24"/>
                <w:highlight w:val="none"/>
              </w:rPr>
              <w:t>对参加各种类型活动的组织安排合理程度</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kern w:val="0"/>
                <w:sz w:val="24"/>
                <w:szCs w:val="24"/>
                <w:highlight w:val="none"/>
              </w:rPr>
              <w:t>活动方案内容与需求完全吻合，人员安排合理的得5分；活动方案内容</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rPr>
              <w:t>需求基本吻合，人员安排基本合理的得4分；活动方案内容与需求吻合程度一般，人员安排一般合理的得3分；活动方案内容存在欠缺、考虑有漏洞，人员安排不太合理的得2分；活动方案内容存在欠缺较多、考虑漏洞较多，人员安排考虑欠缺的得1分；活动方案内容缺失严重，人员安排完全不合理的均不得分。</w:t>
            </w:r>
          </w:p>
        </w:tc>
        <w:tc>
          <w:tcPr>
            <w:tcW w:w="427" w:type="pct"/>
            <w:vAlign w:val="center"/>
          </w:tcPr>
          <w:p w14:paraId="67D84FD4">
            <w:pPr>
              <w:keepNext w:val="0"/>
              <w:keepLines w:val="0"/>
              <w:pageBreakBefore w:val="0"/>
              <w:kinsoku/>
              <w:wordWrap/>
              <w:overflowPunct/>
              <w:topLinePunct w:val="0"/>
              <w:autoSpaceDE/>
              <w:autoSpaceDN/>
              <w:bidi w:val="0"/>
              <w:snapToGrid w:val="0"/>
              <w:spacing w:line="240" w:lineRule="auto"/>
              <w:ind w:left="0" w:leftChars="0" w:right="0" w:right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w:t>
            </w:r>
            <w:r>
              <w:rPr>
                <w:rFonts w:hint="eastAsia" w:ascii="宋体" w:hAnsi="宋体" w:eastAsia="宋体" w:cs="宋体"/>
                <w:bCs/>
                <w:color w:val="auto"/>
                <w:sz w:val="24"/>
                <w:szCs w:val="24"/>
                <w:highlight w:val="none"/>
              </w:rPr>
              <w:t>分</w:t>
            </w:r>
          </w:p>
        </w:tc>
        <w:tc>
          <w:tcPr>
            <w:tcW w:w="502" w:type="pct"/>
            <w:vAlign w:val="center"/>
          </w:tcPr>
          <w:p w14:paraId="040EA80E">
            <w:pPr>
              <w:keepNext w:val="0"/>
              <w:keepLines w:val="0"/>
              <w:pageBreakBefore w:val="0"/>
              <w:kinsoku/>
              <w:wordWrap/>
              <w:overflowPunct/>
              <w:topLinePunct w:val="0"/>
              <w:autoSpaceDE/>
              <w:autoSpaceDN/>
              <w:bidi w:val="0"/>
              <w:snapToGrid w:val="0"/>
              <w:spacing w:line="240" w:lineRule="auto"/>
              <w:ind w:left="0" w:leftChars="0" w:right="0" w:right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主观分</w:t>
            </w:r>
          </w:p>
        </w:tc>
        <w:tc>
          <w:tcPr>
            <w:tcW w:w="591" w:type="pct"/>
            <w:vMerge w:val="continue"/>
            <w:vAlign w:val="center"/>
          </w:tcPr>
          <w:p w14:paraId="45F4DB9D">
            <w:pPr>
              <w:keepNext w:val="0"/>
              <w:keepLines w:val="0"/>
              <w:pageBreakBefore w:val="0"/>
              <w:widowControl/>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p>
        </w:tc>
      </w:tr>
      <w:tr w14:paraId="0DA5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265" w:type="pct"/>
            <w:vMerge w:val="continue"/>
            <w:vAlign w:val="center"/>
          </w:tcPr>
          <w:p w14:paraId="6B730BEA">
            <w:pPr>
              <w:keepNext w:val="0"/>
              <w:keepLines w:val="0"/>
              <w:pageBreakBefore w:val="0"/>
              <w:tabs>
                <w:tab w:val="left" w:pos="851"/>
                <w:tab w:val="left" w:pos="993"/>
              </w:tabs>
              <w:kinsoku/>
              <w:wordWrap/>
              <w:overflowPunct/>
              <w:topLinePunct w:val="0"/>
              <w:autoSpaceDE/>
              <w:autoSpaceDN/>
              <w:bidi w:val="0"/>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p>
        </w:tc>
        <w:tc>
          <w:tcPr>
            <w:tcW w:w="3212" w:type="pct"/>
            <w:vAlign w:val="center"/>
          </w:tcPr>
          <w:p w14:paraId="1F538C1F">
            <w:pPr>
              <w:keepNext w:val="0"/>
              <w:keepLines w:val="0"/>
              <w:pageBreakBefore w:val="0"/>
              <w:numPr>
                <w:ilvl w:val="0"/>
                <w:numId w:val="0"/>
              </w:numPr>
              <w:kinsoku/>
              <w:wordWrap/>
              <w:overflowPunct/>
              <w:topLinePunct w:val="0"/>
              <w:autoSpaceDE/>
              <w:autoSpaceDN/>
              <w:bidi w:val="0"/>
              <w:adjustRightInd w:val="0"/>
              <w:snapToGrid/>
              <w:spacing w:line="240" w:lineRule="auto"/>
              <w:ind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4、用餐方案和用餐品质（提供详细用餐标准）：用餐方案合理，品质具有保证得5分；用餐方案基本合理，品质良好得3分；用餐方案有一定不足需进一步完善，品味一般得1分；用餐方案不合理或未提供方案不得分。</w:t>
            </w:r>
          </w:p>
        </w:tc>
        <w:tc>
          <w:tcPr>
            <w:tcW w:w="427" w:type="pct"/>
            <w:vAlign w:val="center"/>
          </w:tcPr>
          <w:p w14:paraId="20B5BB4D">
            <w:pPr>
              <w:keepNext w:val="0"/>
              <w:keepLines w:val="0"/>
              <w:pageBreakBefore w:val="0"/>
              <w:kinsoku/>
              <w:wordWrap/>
              <w:overflowPunct/>
              <w:topLinePunct w:val="0"/>
              <w:autoSpaceDE/>
              <w:autoSpaceDN/>
              <w:bidi w:val="0"/>
              <w:snapToGrid w:val="0"/>
              <w:spacing w:line="240" w:lineRule="auto"/>
              <w:ind w:left="0" w:leftChars="0" w:right="0" w:right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w:t>
            </w:r>
            <w:r>
              <w:rPr>
                <w:rFonts w:hint="eastAsia" w:ascii="宋体" w:hAnsi="宋体" w:eastAsia="宋体" w:cs="宋体"/>
                <w:bCs/>
                <w:color w:val="auto"/>
                <w:sz w:val="24"/>
                <w:szCs w:val="24"/>
                <w:highlight w:val="none"/>
              </w:rPr>
              <w:t>分</w:t>
            </w:r>
          </w:p>
        </w:tc>
        <w:tc>
          <w:tcPr>
            <w:tcW w:w="502" w:type="pct"/>
            <w:vAlign w:val="center"/>
          </w:tcPr>
          <w:p w14:paraId="3BCB5BFB">
            <w:pPr>
              <w:keepNext w:val="0"/>
              <w:keepLines w:val="0"/>
              <w:pageBreakBefore w:val="0"/>
              <w:kinsoku/>
              <w:wordWrap/>
              <w:overflowPunct/>
              <w:topLinePunct w:val="0"/>
              <w:autoSpaceDE/>
              <w:autoSpaceDN/>
              <w:bidi w:val="0"/>
              <w:snapToGrid w:val="0"/>
              <w:spacing w:line="240" w:lineRule="auto"/>
              <w:ind w:left="0" w:leftChars="0" w:right="0" w:right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主观分</w:t>
            </w:r>
          </w:p>
        </w:tc>
        <w:tc>
          <w:tcPr>
            <w:tcW w:w="591" w:type="pct"/>
            <w:vMerge w:val="continue"/>
            <w:vAlign w:val="center"/>
          </w:tcPr>
          <w:p w14:paraId="3001D66F">
            <w:pPr>
              <w:keepNext w:val="0"/>
              <w:keepLines w:val="0"/>
              <w:pageBreakBefore w:val="0"/>
              <w:widowControl/>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p>
        </w:tc>
      </w:tr>
      <w:tr w14:paraId="09E0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265" w:type="pct"/>
            <w:vMerge w:val="restart"/>
            <w:vAlign w:val="center"/>
          </w:tcPr>
          <w:p w14:paraId="21F8BDA1">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212" w:type="pct"/>
            <w:vAlign w:val="center"/>
          </w:tcPr>
          <w:p w14:paraId="2C0C74F0">
            <w:pPr>
              <w:keepNext w:val="0"/>
              <w:keepLines w:val="0"/>
              <w:pageBreakBefore w:val="0"/>
              <w:numPr>
                <w:ilvl w:val="0"/>
                <w:numId w:val="0"/>
              </w:numPr>
              <w:kinsoku/>
              <w:wordWrap/>
              <w:overflowPunct/>
              <w:topLinePunct w:val="0"/>
              <w:autoSpaceDE/>
              <w:autoSpaceDN/>
              <w:bidi w:val="0"/>
              <w:adjustRightInd w:val="0"/>
              <w:snapToGrid/>
              <w:spacing w:line="24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工作程序和步骤、管理和协调方法、关键步骤和要点条理清晰、详细完整：供应商具有完善的相关处理机制，且有效、及时、到位，考虑周全得5分；供应商具有较为完善得相关处理机制、且较为有效、及时、到位得4分；供应商具有基本完善得相关处理机制、且基本有效、及时、到位得3分；供应商相关处理机制内容有所欠缺，有效性、及时性有较为不足，需进一步完善得2分；供应商相关处理机制内容欠缺较多，有效性、及时性有一定不足，需进一步完善得1分；方案不合理或未提供方案不得分。</w:t>
            </w:r>
          </w:p>
        </w:tc>
        <w:tc>
          <w:tcPr>
            <w:tcW w:w="427" w:type="pct"/>
            <w:vAlign w:val="center"/>
          </w:tcPr>
          <w:p w14:paraId="5E55B243">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bidi="ar-SA"/>
              </w:rPr>
              <w:t>5</w:t>
            </w:r>
            <w:r>
              <w:rPr>
                <w:rFonts w:hint="eastAsia" w:ascii="宋体" w:hAnsi="宋体" w:eastAsia="宋体" w:cs="宋体"/>
                <w:bCs/>
                <w:color w:val="auto"/>
                <w:sz w:val="24"/>
                <w:szCs w:val="24"/>
                <w:highlight w:val="none"/>
              </w:rPr>
              <w:t>分</w:t>
            </w:r>
          </w:p>
        </w:tc>
        <w:tc>
          <w:tcPr>
            <w:tcW w:w="502" w:type="pct"/>
            <w:vAlign w:val="center"/>
          </w:tcPr>
          <w:p w14:paraId="21556D77">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主观分</w:t>
            </w:r>
          </w:p>
        </w:tc>
        <w:tc>
          <w:tcPr>
            <w:tcW w:w="591" w:type="pct"/>
            <w:vMerge w:val="restart"/>
            <w:vAlign w:val="center"/>
          </w:tcPr>
          <w:p w14:paraId="3295E09E">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zh-CN"/>
              </w:rPr>
              <w:t>服务实施计划</w:t>
            </w:r>
          </w:p>
        </w:tc>
      </w:tr>
      <w:tr w14:paraId="6C55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 w:type="pct"/>
            <w:vMerge w:val="continue"/>
            <w:vAlign w:val="center"/>
          </w:tcPr>
          <w:p w14:paraId="3A8D66D7">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p>
        </w:tc>
        <w:tc>
          <w:tcPr>
            <w:tcW w:w="3212" w:type="pct"/>
            <w:vAlign w:val="center"/>
          </w:tcPr>
          <w:p w14:paraId="7C51BB52">
            <w:pPr>
              <w:keepNext w:val="0"/>
              <w:keepLines w:val="0"/>
              <w:pageBreakBefore w:val="0"/>
              <w:numPr>
                <w:ilvl w:val="0"/>
                <w:numId w:val="0"/>
              </w:numPr>
              <w:kinsoku/>
              <w:wordWrap/>
              <w:overflowPunct/>
              <w:topLinePunct w:val="0"/>
              <w:autoSpaceDE/>
              <w:autoSpaceDN/>
              <w:bidi w:val="0"/>
              <w:adjustRightInd w:val="0"/>
              <w:snapToGrid/>
              <w:spacing w:line="24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根据供应商的安全保障性方案、应急预案，对活动中如出现的突发情况进行分析及提出合理的应对措施方案，进行打分：方案内容完整且、考虑周到与项目匹配度好的得5分；方案内容基本完整、考虑到位与项目匹配度一般的得3分；方案内容略有瑕疵的，得1分.方案内容缺失严重、应对失措或与项目不匹配的不得分。</w:t>
            </w:r>
          </w:p>
        </w:tc>
        <w:tc>
          <w:tcPr>
            <w:tcW w:w="427" w:type="pct"/>
            <w:vAlign w:val="center"/>
          </w:tcPr>
          <w:p w14:paraId="6725B1BD">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bidi="ar-SA"/>
              </w:rPr>
              <w:t>5</w:t>
            </w:r>
            <w:r>
              <w:rPr>
                <w:rFonts w:hint="eastAsia" w:ascii="宋体" w:hAnsi="宋体" w:eastAsia="宋体" w:cs="宋体"/>
                <w:bCs/>
                <w:color w:val="auto"/>
                <w:sz w:val="24"/>
                <w:szCs w:val="24"/>
                <w:highlight w:val="none"/>
              </w:rPr>
              <w:t>分</w:t>
            </w:r>
          </w:p>
        </w:tc>
        <w:tc>
          <w:tcPr>
            <w:tcW w:w="502" w:type="pct"/>
            <w:vAlign w:val="center"/>
          </w:tcPr>
          <w:p w14:paraId="5D0BB971">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主观分</w:t>
            </w:r>
          </w:p>
        </w:tc>
        <w:tc>
          <w:tcPr>
            <w:tcW w:w="591" w:type="pct"/>
            <w:vMerge w:val="continue"/>
            <w:vAlign w:val="center"/>
          </w:tcPr>
          <w:p w14:paraId="40FB861A">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p>
        </w:tc>
      </w:tr>
      <w:tr w14:paraId="651E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65" w:type="pct"/>
            <w:vMerge w:val="continue"/>
            <w:vAlign w:val="center"/>
          </w:tcPr>
          <w:p w14:paraId="179D29CF">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p>
        </w:tc>
        <w:tc>
          <w:tcPr>
            <w:tcW w:w="3212" w:type="pct"/>
            <w:vAlign w:val="center"/>
          </w:tcPr>
          <w:p w14:paraId="7BE57AF2">
            <w:pPr>
              <w:keepNext w:val="0"/>
              <w:keepLines w:val="0"/>
              <w:pageBreakBefore w:val="0"/>
              <w:numPr>
                <w:ilvl w:val="0"/>
                <w:numId w:val="0"/>
              </w:numPr>
              <w:kinsoku/>
              <w:wordWrap/>
              <w:overflowPunct/>
              <w:topLinePunct w:val="0"/>
              <w:autoSpaceDE/>
              <w:autoSpaceDN/>
              <w:bidi w:val="0"/>
              <w:adjustRightInd w:val="0"/>
              <w:snapToGrid/>
              <w:spacing w:line="240" w:lineRule="auto"/>
              <w:ind w:right="0" w:rightChars="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 xml:space="preserve">3、问题处理：针对在外出活动过程中如遇到人员受伤等问题，投标人具有完善的相关处理机制，且有效、及时、到位，考虑周全：供应商具有完善的相关处理机制，且有效、及时、到位，考虑周全得5分；供应商具有较为完善的相关处理机制、且较为有效、及时、到位得3分；供应商相关处理机制内容有所欠缺，有效性、及时性有一定不足，需进一步完善得1分；方案不合理或未提供方案不得分。 </w:t>
            </w:r>
          </w:p>
        </w:tc>
        <w:tc>
          <w:tcPr>
            <w:tcW w:w="427" w:type="pct"/>
            <w:vAlign w:val="center"/>
          </w:tcPr>
          <w:p w14:paraId="468ADBCE">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w:t>
            </w:r>
            <w:r>
              <w:rPr>
                <w:rFonts w:hint="eastAsia" w:ascii="宋体" w:hAnsi="宋体" w:eastAsia="宋体" w:cs="宋体"/>
                <w:bCs/>
                <w:color w:val="auto"/>
                <w:sz w:val="24"/>
                <w:szCs w:val="24"/>
                <w:highlight w:val="none"/>
              </w:rPr>
              <w:t>分</w:t>
            </w:r>
          </w:p>
        </w:tc>
        <w:tc>
          <w:tcPr>
            <w:tcW w:w="502" w:type="pct"/>
            <w:vAlign w:val="center"/>
          </w:tcPr>
          <w:p w14:paraId="314DBB2D">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主观分</w:t>
            </w:r>
          </w:p>
        </w:tc>
        <w:tc>
          <w:tcPr>
            <w:tcW w:w="591" w:type="pct"/>
            <w:vMerge w:val="continue"/>
            <w:vAlign w:val="center"/>
          </w:tcPr>
          <w:p w14:paraId="4E1C7CE2">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rPr>
            </w:pPr>
          </w:p>
        </w:tc>
      </w:tr>
      <w:tr w14:paraId="4370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265" w:type="pct"/>
            <w:vMerge w:val="continue"/>
            <w:vAlign w:val="center"/>
          </w:tcPr>
          <w:p w14:paraId="6791076A">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p>
        </w:tc>
        <w:tc>
          <w:tcPr>
            <w:tcW w:w="3212" w:type="pct"/>
            <w:vAlign w:val="center"/>
          </w:tcPr>
          <w:p w14:paraId="1553B1B1">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4、根据供应商提供的针对活动中可能发生投诉的风险点的分析及应对处理措施进行打分：方案针对性强、措施到位的，得5分；方案针对性较强，措施较合理的，得3分；方案有针对性内容的，措施合理性一般得2分；方案有瑕疵，措施有瑕疵的得1分；方案不合理或未提供方案不得分。</w:t>
            </w:r>
          </w:p>
        </w:tc>
        <w:tc>
          <w:tcPr>
            <w:tcW w:w="427" w:type="pct"/>
            <w:vAlign w:val="center"/>
          </w:tcPr>
          <w:p w14:paraId="3F0184A5">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w:t>
            </w:r>
            <w:r>
              <w:rPr>
                <w:rFonts w:hint="eastAsia" w:ascii="宋体" w:hAnsi="宋体" w:eastAsia="宋体" w:cs="宋体"/>
                <w:bCs/>
                <w:color w:val="auto"/>
                <w:sz w:val="24"/>
                <w:szCs w:val="24"/>
                <w:highlight w:val="none"/>
              </w:rPr>
              <w:t>分</w:t>
            </w:r>
          </w:p>
        </w:tc>
        <w:tc>
          <w:tcPr>
            <w:tcW w:w="502" w:type="pct"/>
            <w:vAlign w:val="center"/>
          </w:tcPr>
          <w:p w14:paraId="4FEC2257">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主观分</w:t>
            </w:r>
          </w:p>
        </w:tc>
        <w:tc>
          <w:tcPr>
            <w:tcW w:w="591" w:type="pct"/>
            <w:vMerge w:val="continue"/>
            <w:vAlign w:val="center"/>
          </w:tcPr>
          <w:p w14:paraId="5D632FD4">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rPr>
            </w:pPr>
          </w:p>
        </w:tc>
      </w:tr>
      <w:tr w14:paraId="698C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265" w:type="pct"/>
            <w:vMerge w:val="continue"/>
            <w:vAlign w:val="center"/>
          </w:tcPr>
          <w:p w14:paraId="3DFC6903">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p>
        </w:tc>
        <w:tc>
          <w:tcPr>
            <w:tcW w:w="3212" w:type="pct"/>
            <w:vAlign w:val="center"/>
          </w:tcPr>
          <w:p w14:paraId="06C0245A">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2"/>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根据供应商提供的对参加活动人员名单和个人信息的保密措施和方案的针对性、可行性进行打分。措施及方案完善、针对性强的，得5分；措施及方案基本合理、可行的，得3分；措施及方案略有瑕疵的，得1分；无内容不得分。</w:t>
            </w:r>
          </w:p>
        </w:tc>
        <w:tc>
          <w:tcPr>
            <w:tcW w:w="427" w:type="pct"/>
            <w:vAlign w:val="center"/>
          </w:tcPr>
          <w:p w14:paraId="0F56C74B">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w:t>
            </w:r>
            <w:r>
              <w:rPr>
                <w:rFonts w:hint="eastAsia" w:ascii="宋体" w:hAnsi="宋体" w:eastAsia="宋体" w:cs="宋体"/>
                <w:bCs/>
                <w:color w:val="auto"/>
                <w:sz w:val="24"/>
                <w:szCs w:val="24"/>
                <w:highlight w:val="none"/>
              </w:rPr>
              <w:t>分</w:t>
            </w:r>
          </w:p>
        </w:tc>
        <w:tc>
          <w:tcPr>
            <w:tcW w:w="502" w:type="pct"/>
            <w:vAlign w:val="center"/>
          </w:tcPr>
          <w:p w14:paraId="6ACCE894">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主观分</w:t>
            </w:r>
          </w:p>
        </w:tc>
        <w:tc>
          <w:tcPr>
            <w:tcW w:w="591" w:type="pct"/>
            <w:vMerge w:val="continue"/>
            <w:vAlign w:val="center"/>
          </w:tcPr>
          <w:p w14:paraId="2D23A9D5">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rPr>
            </w:pPr>
          </w:p>
        </w:tc>
      </w:tr>
      <w:tr w14:paraId="3338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65" w:type="pct"/>
            <w:vAlign w:val="center"/>
          </w:tcPr>
          <w:p w14:paraId="4D82FE2D">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3212" w:type="pct"/>
            <w:vAlign w:val="center"/>
          </w:tcPr>
          <w:p w14:paraId="7B4C0EB9">
            <w:pPr>
              <w:keepNext w:val="0"/>
              <w:keepLines w:val="0"/>
              <w:pageBreakBefore w:val="0"/>
              <w:numPr>
                <w:ilvl w:val="0"/>
                <w:numId w:val="0"/>
              </w:numPr>
              <w:kinsoku/>
              <w:wordWrap/>
              <w:overflowPunct/>
              <w:topLinePunct w:val="0"/>
              <w:autoSpaceDE/>
              <w:autoSpaceDN/>
              <w:bidi w:val="0"/>
              <w:adjustRightInd w:val="0"/>
              <w:snapToGrid/>
              <w:spacing w:line="240" w:lineRule="auto"/>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rPr>
              <w:t>项目负责人的专业素质、技术能力、经验等情况，具有类似项目经验，具有调动各项资源的能力（提供相关证明资料）：满足的得5分，基本满足得4分，部分满足得3分，有瑕疵的得2分，瑕疵较多的得1分，不满足不得分。</w:t>
            </w:r>
          </w:p>
        </w:tc>
        <w:tc>
          <w:tcPr>
            <w:tcW w:w="427" w:type="pct"/>
            <w:vAlign w:val="center"/>
          </w:tcPr>
          <w:p w14:paraId="217C8A1F">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w:t>
            </w:r>
            <w:r>
              <w:rPr>
                <w:rFonts w:hint="eastAsia" w:ascii="宋体" w:hAnsi="宋体" w:eastAsia="宋体" w:cs="宋体"/>
                <w:bCs/>
                <w:color w:val="auto"/>
                <w:sz w:val="24"/>
                <w:szCs w:val="24"/>
                <w:highlight w:val="none"/>
              </w:rPr>
              <w:t>分</w:t>
            </w:r>
          </w:p>
        </w:tc>
        <w:tc>
          <w:tcPr>
            <w:tcW w:w="502" w:type="pct"/>
            <w:vAlign w:val="center"/>
          </w:tcPr>
          <w:p w14:paraId="751B60BF">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主观分</w:t>
            </w:r>
          </w:p>
        </w:tc>
        <w:tc>
          <w:tcPr>
            <w:tcW w:w="591" w:type="pct"/>
            <w:vAlign w:val="center"/>
          </w:tcPr>
          <w:p w14:paraId="0AB12FC0">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项目投入人员素质情况</w:t>
            </w:r>
          </w:p>
        </w:tc>
      </w:tr>
      <w:tr w14:paraId="1566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65" w:type="pct"/>
            <w:vAlign w:val="center"/>
          </w:tcPr>
          <w:p w14:paraId="06596A54">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3212" w:type="pct"/>
            <w:vAlign w:val="center"/>
          </w:tcPr>
          <w:p w14:paraId="5877CD93">
            <w:pPr>
              <w:keepNext w:val="0"/>
              <w:keepLines w:val="0"/>
              <w:pageBreakBefore w:val="0"/>
              <w:numPr>
                <w:ilvl w:val="0"/>
                <w:numId w:val="0"/>
              </w:numPr>
              <w:kinsoku/>
              <w:wordWrap/>
              <w:overflowPunct/>
              <w:topLinePunct w:val="0"/>
              <w:autoSpaceDE/>
              <w:autoSpaceDN/>
              <w:bidi w:val="0"/>
              <w:adjustRightInd w:val="0"/>
              <w:snapToGrid/>
              <w:spacing w:line="240" w:lineRule="auto"/>
              <w:ind w:right="0" w:rightChars="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2"/>
                <w:sz w:val="24"/>
                <w:szCs w:val="24"/>
                <w:highlight w:val="none"/>
                <w:lang w:val="en-US" w:eastAsia="zh-CN" w:bidi="ar"/>
              </w:rPr>
              <w:t>投标人投入本项目的导游人数，导游人员3人及以上得基础分2分，其中每有1名高级导游资质及以上的加2分，每有1名中级导游资质的加1分，本项最高得6分。（证明材料：提供相关证书、身份证扫描件、</w:t>
            </w:r>
            <w:r>
              <w:rPr>
                <w:rFonts w:hint="eastAsia" w:ascii="宋体" w:hAnsi="宋体" w:eastAsia="宋体" w:cs="宋体"/>
                <w:color w:val="auto"/>
                <w:kern w:val="0"/>
                <w:sz w:val="24"/>
                <w:szCs w:val="24"/>
                <w:highlight w:val="none"/>
                <w:lang w:val="en-US" w:eastAsia="zh-CN" w:bidi="ar"/>
              </w:rPr>
              <w:t>投标人为其缴纳的投标截止月上溯3个月（含投标截止日当月，共4个月）中任意一个月在本单位缴纳的社保证明</w:t>
            </w:r>
            <w:r>
              <w:rPr>
                <w:rFonts w:hint="eastAsia" w:ascii="宋体" w:hAnsi="宋体" w:eastAsia="宋体" w:cs="宋体"/>
                <w:color w:val="auto"/>
                <w:kern w:val="2"/>
                <w:sz w:val="24"/>
                <w:szCs w:val="24"/>
                <w:highlight w:val="none"/>
                <w:lang w:val="en-US" w:eastAsia="zh-CN" w:bidi="ar"/>
              </w:rPr>
              <w:t>，以上材料均需加盖公章，未提供不得分。）</w:t>
            </w:r>
          </w:p>
        </w:tc>
        <w:tc>
          <w:tcPr>
            <w:tcW w:w="427" w:type="pct"/>
            <w:vAlign w:val="center"/>
          </w:tcPr>
          <w:p w14:paraId="269B72E8">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6</w:t>
            </w:r>
            <w:r>
              <w:rPr>
                <w:rFonts w:hint="eastAsia" w:ascii="宋体" w:hAnsi="宋体" w:eastAsia="宋体" w:cs="宋体"/>
                <w:bCs/>
                <w:color w:val="auto"/>
                <w:sz w:val="24"/>
                <w:szCs w:val="24"/>
                <w:highlight w:val="none"/>
              </w:rPr>
              <w:t>分</w:t>
            </w:r>
          </w:p>
        </w:tc>
        <w:tc>
          <w:tcPr>
            <w:tcW w:w="502" w:type="pct"/>
            <w:vAlign w:val="center"/>
          </w:tcPr>
          <w:p w14:paraId="5B7A4962">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tc>
        <w:tc>
          <w:tcPr>
            <w:tcW w:w="591" w:type="pct"/>
            <w:vAlign w:val="center"/>
          </w:tcPr>
          <w:p w14:paraId="426F3F73">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项目投入人员素质情况</w:t>
            </w:r>
          </w:p>
        </w:tc>
      </w:tr>
      <w:tr w14:paraId="4C1B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65" w:type="pct"/>
            <w:vAlign w:val="center"/>
          </w:tcPr>
          <w:p w14:paraId="35A5C169">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3212" w:type="pct"/>
            <w:vAlign w:val="center"/>
          </w:tcPr>
          <w:p w14:paraId="6D1BE067">
            <w:pPr>
              <w:keepNext w:val="0"/>
              <w:keepLines w:val="0"/>
              <w:pageBreakBefore w:val="0"/>
              <w:numPr>
                <w:ilvl w:val="0"/>
                <w:numId w:val="0"/>
              </w:numPr>
              <w:kinsoku/>
              <w:wordWrap/>
              <w:overflowPunct/>
              <w:topLinePunct w:val="0"/>
              <w:autoSpaceDE/>
              <w:autoSpaceDN/>
              <w:bidi w:val="0"/>
              <w:adjustRightInd w:val="0"/>
              <w:snapToGrid/>
              <w:spacing w:line="240" w:lineRule="auto"/>
              <w:ind w:right="0" w:rightChars="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2"/>
                <w:sz w:val="24"/>
                <w:szCs w:val="24"/>
                <w:highlight w:val="none"/>
                <w:lang w:val="en-US" w:eastAsia="zh-CN" w:bidi="ar"/>
              </w:rPr>
              <w:t>投标人在投标文件中明确服务过程中至少配备一名医师或护士（工作经验两年及以上），满足得5分，否则不得分。（证明材料：提供医师或护士执业证书、身份证扫描件及经验相关有效证明材料、劳动合同（或兼职合同），以上材料均需加盖公章，未提供不得分。）</w:t>
            </w:r>
          </w:p>
        </w:tc>
        <w:tc>
          <w:tcPr>
            <w:tcW w:w="427" w:type="pct"/>
            <w:vAlign w:val="center"/>
          </w:tcPr>
          <w:p w14:paraId="0F0ACA4E">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w:t>
            </w:r>
            <w:r>
              <w:rPr>
                <w:rFonts w:hint="eastAsia" w:ascii="宋体" w:hAnsi="宋体" w:eastAsia="宋体" w:cs="宋体"/>
                <w:bCs/>
                <w:color w:val="auto"/>
                <w:sz w:val="24"/>
                <w:szCs w:val="24"/>
                <w:highlight w:val="none"/>
              </w:rPr>
              <w:t>分</w:t>
            </w:r>
          </w:p>
        </w:tc>
        <w:tc>
          <w:tcPr>
            <w:tcW w:w="502" w:type="pct"/>
            <w:vAlign w:val="center"/>
          </w:tcPr>
          <w:p w14:paraId="0DD41AB5">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tc>
        <w:tc>
          <w:tcPr>
            <w:tcW w:w="591" w:type="pct"/>
            <w:vAlign w:val="center"/>
          </w:tcPr>
          <w:p w14:paraId="7C3CCCC6">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项目投入人员素质情况</w:t>
            </w:r>
          </w:p>
        </w:tc>
      </w:tr>
      <w:tr w14:paraId="4757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265" w:type="pct"/>
            <w:vAlign w:val="center"/>
          </w:tcPr>
          <w:p w14:paraId="7061E695">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212" w:type="pct"/>
            <w:vAlign w:val="center"/>
          </w:tcPr>
          <w:p w14:paraId="37B37ACC">
            <w:pPr>
              <w:keepNext w:val="0"/>
              <w:keepLines w:val="0"/>
              <w:pageBreakBefore w:val="0"/>
              <w:kinsoku/>
              <w:wordWrap/>
              <w:overflowPunct/>
              <w:topLinePunct w:val="0"/>
              <w:autoSpaceDE/>
              <w:autoSpaceDN/>
              <w:bidi w:val="0"/>
              <w:adjustRightInd w:val="0"/>
              <w:snapToGrid/>
              <w:spacing w:line="240" w:lineRule="auto"/>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项目进度安排，合理可行：项目进度安排合理的得5分；项目进度安排基本合理的得3分；项目进度安排一般的得1分；未提供本项内容或完全不合理的得0分。</w:t>
            </w:r>
          </w:p>
        </w:tc>
        <w:tc>
          <w:tcPr>
            <w:tcW w:w="427" w:type="pct"/>
            <w:vAlign w:val="center"/>
          </w:tcPr>
          <w:p w14:paraId="6A5297F1">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w:t>
            </w:r>
            <w:r>
              <w:rPr>
                <w:rFonts w:hint="eastAsia" w:ascii="宋体" w:hAnsi="宋体" w:eastAsia="宋体" w:cs="宋体"/>
                <w:bCs/>
                <w:color w:val="auto"/>
                <w:sz w:val="24"/>
                <w:szCs w:val="24"/>
                <w:highlight w:val="none"/>
              </w:rPr>
              <w:t>分</w:t>
            </w:r>
          </w:p>
        </w:tc>
        <w:tc>
          <w:tcPr>
            <w:tcW w:w="502" w:type="pct"/>
            <w:vAlign w:val="center"/>
          </w:tcPr>
          <w:p w14:paraId="1EF014C4">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主观分</w:t>
            </w:r>
          </w:p>
        </w:tc>
        <w:tc>
          <w:tcPr>
            <w:tcW w:w="591" w:type="pct"/>
            <w:vAlign w:val="center"/>
          </w:tcPr>
          <w:p w14:paraId="0823A07E">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项目进度安排</w:t>
            </w:r>
          </w:p>
        </w:tc>
      </w:tr>
      <w:tr w14:paraId="14CB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65" w:type="pct"/>
            <w:vAlign w:val="center"/>
          </w:tcPr>
          <w:p w14:paraId="299ED9A0">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3212" w:type="pct"/>
            <w:vAlign w:val="center"/>
          </w:tcPr>
          <w:p w14:paraId="547060DF">
            <w:pPr>
              <w:keepNext w:val="0"/>
              <w:keepLines w:val="0"/>
              <w:pageBreakBefore w:val="0"/>
              <w:kinsoku/>
              <w:wordWrap/>
              <w:overflowPunct/>
              <w:topLinePunct w:val="0"/>
              <w:autoSpaceDE/>
              <w:autoSpaceDN/>
              <w:bidi w:val="0"/>
              <w:adjustRightInd w:val="0"/>
              <w:snapToGrid/>
              <w:spacing w:line="240" w:lineRule="auto"/>
              <w:ind w:left="0" w:leftChars="0" w:right="0" w:rightChars="0"/>
              <w:textAlignment w:val="auto"/>
              <w:rPr>
                <w:rFonts w:hint="eastAsia" w:ascii="宋体" w:hAnsi="宋体" w:eastAsia="宋体" w:cs="宋体"/>
                <w:snapToGrid/>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项目景点规划安排，三条线路额外每增加一个景点（除原定景点外）得2分，最多6分。</w:t>
            </w:r>
          </w:p>
        </w:tc>
        <w:tc>
          <w:tcPr>
            <w:tcW w:w="427" w:type="pct"/>
            <w:vAlign w:val="center"/>
          </w:tcPr>
          <w:p w14:paraId="0E20A727">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6</w:t>
            </w:r>
            <w:r>
              <w:rPr>
                <w:rFonts w:hint="eastAsia" w:ascii="宋体" w:hAnsi="宋体" w:eastAsia="宋体" w:cs="宋体"/>
                <w:bCs/>
                <w:color w:val="auto"/>
                <w:sz w:val="24"/>
                <w:szCs w:val="24"/>
                <w:highlight w:val="none"/>
              </w:rPr>
              <w:t>分</w:t>
            </w:r>
          </w:p>
        </w:tc>
        <w:tc>
          <w:tcPr>
            <w:tcW w:w="502" w:type="pct"/>
            <w:vAlign w:val="center"/>
          </w:tcPr>
          <w:p w14:paraId="7F3AE63B">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客观分</w:t>
            </w:r>
          </w:p>
        </w:tc>
        <w:tc>
          <w:tcPr>
            <w:tcW w:w="591" w:type="pct"/>
            <w:vAlign w:val="center"/>
          </w:tcPr>
          <w:p w14:paraId="1006E012">
            <w:pPr>
              <w:keepNext w:val="0"/>
              <w:keepLines w:val="0"/>
              <w:pageBreakBefore w:val="0"/>
              <w:kinsoku/>
              <w:wordWrap/>
              <w:overflowPunct/>
              <w:topLinePunct w:val="0"/>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p>
        </w:tc>
      </w:tr>
      <w:tr w14:paraId="26FC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265" w:type="pct"/>
            <w:vAlign w:val="center"/>
          </w:tcPr>
          <w:p w14:paraId="68B9C390">
            <w:pPr>
              <w:keepNext w:val="0"/>
              <w:keepLines w:val="0"/>
              <w:pageBreakBefore w:val="0"/>
              <w:kinsoku/>
              <w:wordWrap/>
              <w:overflowPunct/>
              <w:topLinePunct w:val="0"/>
              <w:autoSpaceDN/>
              <w:bidi w:val="0"/>
              <w:spacing w:line="24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3212" w:type="pct"/>
          </w:tcPr>
          <w:p w14:paraId="676DE960">
            <w:pPr>
              <w:keepNext w:val="0"/>
              <w:keepLines w:val="0"/>
              <w:pageBreakBefore w:val="0"/>
              <w:kinsoku/>
              <w:wordWrap/>
              <w:overflowPunct/>
              <w:topLinePunct w:val="0"/>
              <w:autoSpaceDE/>
              <w:autoSpaceDN/>
              <w:bidi w:val="0"/>
              <w:snapToGrid/>
              <w:spacing w:line="240" w:lineRule="auto"/>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有效投标报价的最低价作为评标基准价，其最低报价为满分；按［投标报价得分=（评标基准价/投标报价）*最高分值］的计算公式计算。</w:t>
            </w:r>
          </w:p>
          <w:p w14:paraId="101FA82C">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058F9E86">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tc>
        <w:tc>
          <w:tcPr>
            <w:tcW w:w="427" w:type="pct"/>
            <w:vAlign w:val="center"/>
          </w:tcPr>
          <w:p w14:paraId="1720134B">
            <w:pPr>
              <w:keepNext w:val="0"/>
              <w:keepLines w:val="0"/>
              <w:pageBreakBefore w:val="0"/>
              <w:kinsoku/>
              <w:wordWrap/>
              <w:overflowPunct/>
              <w:topLinePunct w:val="0"/>
              <w:autoSpaceDN/>
              <w:bidi w:val="0"/>
              <w:spacing w:line="240" w:lineRule="auto"/>
              <w:jc w:val="center"/>
              <w:textAlignment w:val="auto"/>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tc>
        <w:tc>
          <w:tcPr>
            <w:tcW w:w="502" w:type="pct"/>
            <w:vAlign w:val="center"/>
          </w:tcPr>
          <w:p w14:paraId="3532DC25">
            <w:pPr>
              <w:keepNext w:val="0"/>
              <w:keepLines w:val="0"/>
              <w:pageBreakBefore w:val="0"/>
              <w:kinsoku/>
              <w:wordWrap/>
              <w:overflowPunct/>
              <w:topLinePunct w:val="0"/>
              <w:autoSpaceDN/>
              <w:bidi w:val="0"/>
              <w:spacing w:line="240" w:lineRule="auto"/>
              <w:jc w:val="center"/>
              <w:textAlignment w:val="auto"/>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客观分</w:t>
            </w:r>
          </w:p>
        </w:tc>
        <w:tc>
          <w:tcPr>
            <w:tcW w:w="591" w:type="pct"/>
            <w:vAlign w:val="center"/>
          </w:tcPr>
          <w:p w14:paraId="2E4659D2">
            <w:pPr>
              <w:keepNext w:val="0"/>
              <w:keepLines w:val="0"/>
              <w:pageBreakBefore w:val="0"/>
              <w:kinsoku/>
              <w:wordWrap/>
              <w:overflowPunct/>
              <w:topLinePunct w:val="0"/>
              <w:autoSpaceDN/>
              <w:bidi w:val="0"/>
              <w:spacing w:line="24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5E3DCAB3">
      <w:pPr>
        <w:rPr>
          <w:color w:val="auto"/>
          <w:highlight w:val="none"/>
        </w:rPr>
      </w:pPr>
    </w:p>
    <w:p w14:paraId="131DA431">
      <w:pPr>
        <w:snapToGrid w:val="0"/>
        <w:spacing w:line="360" w:lineRule="auto"/>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r>
        <w:rPr>
          <w:rFonts w:hint="eastAsia" w:ascii="宋体" w:hAnsi="宋体" w:cs="宋体"/>
          <w:color w:val="auto"/>
          <w:sz w:val="24"/>
          <w:highlight w:val="none"/>
          <w:lang w:eastAsia="zh-CN"/>
        </w:rPr>
        <w:t>。</w:t>
      </w:r>
    </w:p>
    <w:p w14:paraId="348F3361">
      <w:pPr>
        <w:rPr>
          <w:rFonts w:hint="eastAsia" w:ascii="宋体" w:hAnsi="宋体" w:cs="宋体"/>
          <w:b/>
          <w:color w:val="auto"/>
          <w:sz w:val="32"/>
          <w:highlight w:val="none"/>
        </w:rPr>
      </w:pPr>
      <w:r>
        <w:rPr>
          <w:rFonts w:hint="eastAsia" w:ascii="宋体" w:hAnsi="宋体" w:cs="宋体"/>
          <w:b/>
          <w:color w:val="auto"/>
          <w:sz w:val="32"/>
          <w:highlight w:val="none"/>
        </w:rPr>
        <w:br w:type="page"/>
      </w:r>
    </w:p>
    <w:p w14:paraId="58862218">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45C74FD2">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431C3EA9">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519476F3">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10F17323">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52BBE5D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649CC47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5E58750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0BF03D21">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2FB3A8BF">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5D85BD40">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4B60E78B">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w:t>
      </w:r>
      <w:r>
        <w:rPr>
          <w:rFonts w:hint="eastAsia" w:ascii="宋体" w:hAnsi="宋体" w:cs="宋体"/>
          <w:color w:val="auto"/>
          <w:kern w:val="0"/>
          <w:szCs w:val="24"/>
          <w:highlight w:val="none"/>
        </w:rPr>
        <w:t>为准;</w:t>
      </w:r>
    </w:p>
    <w:p w14:paraId="0DFD38E8">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5D911929">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7B5DFBED">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8A6C1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14:paraId="5CE76F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E31AEE4">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242A26B4">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5F324A65">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59C7A97">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28BAEC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214F074">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253C1BAB">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2AEC58A">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4895C7A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729F9F2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0A6CC47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2BF7E2B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6291D2D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29BDA988">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35E2A90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56A58D6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276D902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39A2487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64A25749">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3860B338">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346B35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7414527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78FDBB2D">
      <w:pPr>
        <w:pStyle w:val="2"/>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3DB60B1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401E0126">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4877F3C">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57AAD1EA">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70FF68D1">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1D4B13CB">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660B3F4F">
      <w:pPr>
        <w:pStyle w:val="24"/>
        <w:snapToGrid w:val="0"/>
        <w:spacing w:line="360" w:lineRule="auto"/>
        <w:rPr>
          <w:rFonts w:cs="宋体"/>
          <w:color w:val="auto"/>
          <w:highlight w:val="none"/>
        </w:rPr>
      </w:pPr>
      <w:r>
        <w:rPr>
          <w:rFonts w:hint="eastAsia" w:cs="宋体"/>
          <w:color w:val="auto"/>
          <w:highlight w:val="none"/>
        </w:rPr>
        <w:t>废标后，采购机构应当将废标理由通知所有投标人。</w:t>
      </w:r>
    </w:p>
    <w:p w14:paraId="17595E9C">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0DE40BA5">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54C71DC2">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55372F5B">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CFFD398">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10F56892">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59E5284E">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7"/>
    <w:p w14:paraId="61818D74">
      <w:pPr>
        <w:widowControl/>
        <w:adjustRightInd/>
        <w:jc w:val="left"/>
        <w:rPr>
          <w:rFonts w:ascii="宋体" w:hAnsi="宋体" w:cs="宋体"/>
          <w:b/>
          <w:color w:val="auto"/>
          <w:sz w:val="36"/>
          <w:szCs w:val="36"/>
          <w:highlight w:val="none"/>
        </w:rPr>
      </w:pPr>
      <w:bookmarkStart w:id="394" w:name="第五部分"/>
      <w:bookmarkStart w:id="395" w:name="_Toc86217003"/>
      <w:r>
        <w:rPr>
          <w:rFonts w:ascii="宋体" w:hAnsi="宋体" w:cs="宋体"/>
          <w:b/>
          <w:color w:val="auto"/>
          <w:sz w:val="36"/>
          <w:szCs w:val="36"/>
          <w:highlight w:val="none"/>
        </w:rPr>
        <w:br w:type="page"/>
      </w:r>
    </w:p>
    <w:p w14:paraId="58827C06">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116E8A20">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42789993">
      <w:pPr>
        <w:spacing w:line="480" w:lineRule="auto"/>
        <w:jc w:val="center"/>
        <w:rPr>
          <w:rFonts w:ascii="宋体" w:hAnsi="宋体" w:cs="宋体"/>
          <w:b/>
          <w:color w:val="auto"/>
          <w:sz w:val="28"/>
          <w:szCs w:val="28"/>
          <w:highlight w:val="none"/>
        </w:rPr>
      </w:pPr>
    </w:p>
    <w:p w14:paraId="5C612B92">
      <w:pPr>
        <w:spacing w:line="480" w:lineRule="auto"/>
        <w:jc w:val="center"/>
        <w:rPr>
          <w:rFonts w:ascii="宋体" w:hAnsi="宋体" w:cs="宋体"/>
          <w:b/>
          <w:color w:val="auto"/>
          <w:sz w:val="24"/>
          <w:highlight w:val="none"/>
        </w:rPr>
      </w:pPr>
    </w:p>
    <w:p w14:paraId="77A8DBF6">
      <w:pPr>
        <w:spacing w:line="480" w:lineRule="auto"/>
        <w:jc w:val="center"/>
        <w:rPr>
          <w:rFonts w:ascii="宋体" w:hAnsi="宋体" w:cs="宋体"/>
          <w:b/>
          <w:color w:val="auto"/>
          <w:sz w:val="24"/>
          <w:highlight w:val="none"/>
        </w:rPr>
      </w:pPr>
    </w:p>
    <w:p w14:paraId="4180DC18">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6357AE69">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6EA26607">
      <w:pPr>
        <w:pStyle w:val="703"/>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0C39B2ED">
      <w:pPr>
        <w:spacing w:before="120" w:line="22" w:lineRule="atLeast"/>
        <w:rPr>
          <w:rFonts w:ascii="宋体" w:hAnsi="宋体" w:cs="宋体"/>
          <w:color w:val="auto"/>
          <w:sz w:val="24"/>
          <w:highlight w:val="none"/>
        </w:rPr>
      </w:pPr>
    </w:p>
    <w:p w14:paraId="05D4CF67">
      <w:pPr>
        <w:pStyle w:val="2"/>
        <w:rPr>
          <w:color w:val="auto"/>
          <w:highlight w:val="none"/>
        </w:rPr>
      </w:pPr>
    </w:p>
    <w:p w14:paraId="300B0157">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2026年度企退人员活动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2629325B">
      <w:pPr>
        <w:pStyle w:val="600"/>
        <w:spacing w:before="120" w:line="22" w:lineRule="atLeast"/>
        <w:rPr>
          <w:rFonts w:ascii="宋体" w:hAnsi="宋体" w:eastAsia="宋体" w:cs="宋体"/>
          <w:color w:val="auto"/>
          <w:szCs w:val="24"/>
          <w:highlight w:val="none"/>
        </w:rPr>
      </w:pPr>
    </w:p>
    <w:p w14:paraId="6C526363">
      <w:pPr>
        <w:pStyle w:val="600"/>
        <w:spacing w:before="120" w:line="22" w:lineRule="atLeast"/>
        <w:rPr>
          <w:rFonts w:ascii="宋体" w:hAnsi="宋体" w:eastAsia="宋体" w:cs="宋体"/>
          <w:color w:val="auto"/>
          <w:szCs w:val="24"/>
          <w:highlight w:val="none"/>
        </w:rPr>
      </w:pPr>
    </w:p>
    <w:p w14:paraId="0C058CB8">
      <w:pPr>
        <w:rPr>
          <w:rFonts w:ascii="宋体" w:hAnsi="宋体" w:cs="宋体"/>
          <w:color w:val="auto"/>
          <w:sz w:val="24"/>
          <w:highlight w:val="none"/>
        </w:rPr>
      </w:pPr>
    </w:p>
    <w:p w14:paraId="44E0FB9F">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杭州市钱塘区人民政府义蓬街道办事处</w:t>
      </w:r>
      <w:r>
        <w:rPr>
          <w:rFonts w:hint="eastAsia" w:ascii="宋体" w:hAnsi="宋体" w:cs="宋体"/>
          <w:color w:val="auto"/>
          <w:sz w:val="24"/>
          <w:highlight w:val="none"/>
          <w:u w:val="single"/>
        </w:rPr>
        <w:t xml:space="preserve">  </w:t>
      </w:r>
    </w:p>
    <w:p w14:paraId="0EBCA554">
      <w:pPr>
        <w:spacing w:before="120" w:line="22" w:lineRule="atLeast"/>
        <w:rPr>
          <w:rFonts w:ascii="宋体" w:hAnsi="宋体" w:cs="宋体"/>
          <w:color w:val="auto"/>
          <w:sz w:val="24"/>
          <w:highlight w:val="none"/>
        </w:rPr>
      </w:pPr>
    </w:p>
    <w:p w14:paraId="4C85C5A4">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4538FAFF">
      <w:pPr>
        <w:spacing w:before="120" w:line="22" w:lineRule="atLeast"/>
        <w:rPr>
          <w:rFonts w:ascii="宋体" w:hAnsi="宋体" w:cs="宋体"/>
          <w:color w:val="auto"/>
          <w:sz w:val="24"/>
          <w:highlight w:val="none"/>
        </w:rPr>
      </w:pPr>
    </w:p>
    <w:p w14:paraId="634F8370">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28972987">
      <w:pPr>
        <w:spacing w:before="120" w:line="22" w:lineRule="atLeast"/>
        <w:rPr>
          <w:rFonts w:ascii="宋体" w:hAnsi="宋体" w:cs="宋体"/>
          <w:color w:val="auto"/>
          <w:sz w:val="24"/>
          <w:highlight w:val="none"/>
        </w:rPr>
      </w:pPr>
    </w:p>
    <w:p w14:paraId="371D8D56">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714014D">
      <w:pPr>
        <w:widowControl/>
        <w:jc w:val="left"/>
        <w:rPr>
          <w:rFonts w:ascii="宋体" w:hAnsi="宋体" w:cs="宋体"/>
          <w:color w:val="auto"/>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p>
    <w:p w14:paraId="633C313C">
      <w:pPr>
        <w:rPr>
          <w:rFonts w:ascii="宋体" w:hAnsi="宋体" w:cs="宋体"/>
          <w:b/>
          <w:color w:val="auto"/>
          <w:sz w:val="24"/>
          <w:highlight w:val="none"/>
        </w:rPr>
      </w:pPr>
    </w:p>
    <w:p w14:paraId="69633706">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杭州市钱塘区人民政府义蓬街道办事处</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公开招标</w:t>
      </w:r>
      <w:r>
        <w:rPr>
          <w:rFonts w:ascii="宋体" w:hAnsi="宋体"/>
          <w:color w:val="auto"/>
          <w:sz w:val="24"/>
          <w:highlight w:val="none"/>
          <w:u w:val="single"/>
        </w:rPr>
        <w:t xml:space="preserve">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2026年度企退人员活动</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招标编号：330114266040010000013</w:t>
      </w:r>
      <w:r>
        <w:rPr>
          <w:rFonts w:hint="eastAsia" w:ascii="宋体" w:hAnsi="宋体" w:cs="宋体"/>
          <w:color w:val="auto"/>
          <w:sz w:val="24"/>
          <w:highlight w:val="none"/>
          <w:u w:val="single"/>
        </w:rPr>
        <w:t>）</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7C9294DF">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杭州市钱塘区人民政府义蓬街道办事处</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lang w:val="en-US" w:eastAsia="zh-CN"/>
        </w:rPr>
        <w:t>标</w:t>
      </w:r>
      <w:r>
        <w:rPr>
          <w:rFonts w:ascii="宋体" w:hAnsi="宋体"/>
          <w:color w:val="auto"/>
          <w:sz w:val="24"/>
          <w:highlight w:val="none"/>
          <w:u w:val="single"/>
        </w:rPr>
        <w:t xml:space="preserve">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r>
        <w:rPr>
          <w:rFonts w:hint="eastAsia" w:ascii="宋体" w:hAnsi="宋体"/>
          <w:color w:val="auto"/>
          <w:sz w:val="24"/>
          <w:highlight w:val="none"/>
          <w:lang w:val="en-US" w:eastAsia="zh-CN"/>
        </w:rPr>
        <w:t>最终以双方协商并经甲方法务审核后确定。</w:t>
      </w:r>
    </w:p>
    <w:p w14:paraId="2A8C8773">
      <w:pPr>
        <w:spacing w:line="560" w:lineRule="exact"/>
        <w:ind w:firstLine="482" w:firstLineChars="200"/>
        <w:outlineLvl w:val="0"/>
        <w:rPr>
          <w:rFonts w:ascii="宋体" w:hAnsi="宋体"/>
          <w:color w:val="auto"/>
          <w:sz w:val="24"/>
          <w:highlight w:val="none"/>
        </w:rPr>
      </w:pPr>
      <w:r>
        <w:rPr>
          <w:rFonts w:ascii="宋体" w:hAnsi="宋体"/>
          <w:b/>
          <w:color w:val="auto"/>
          <w:sz w:val="24"/>
          <w:highlight w:val="none"/>
        </w:rPr>
        <w:t xml:space="preserve">1.1 </w:t>
      </w:r>
      <w:r>
        <w:rPr>
          <w:rFonts w:hint="eastAsia" w:ascii="宋体" w:hAnsi="宋体"/>
          <w:b/>
          <w:color w:val="auto"/>
          <w:sz w:val="24"/>
          <w:highlight w:val="none"/>
        </w:rPr>
        <w:t>合同组成部分</w:t>
      </w:r>
    </w:p>
    <w:p w14:paraId="302E045D">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63B979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4B8673C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3BC150F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41F4EBE2">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3523DE6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11FA36B4">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1.2 </w:t>
      </w:r>
      <w:r>
        <w:rPr>
          <w:rFonts w:hint="eastAsia" w:ascii="宋体" w:hAnsi="宋体"/>
          <w:b/>
          <w:color w:val="auto"/>
          <w:sz w:val="24"/>
          <w:highlight w:val="none"/>
        </w:rPr>
        <w:t>标的</w:t>
      </w:r>
    </w:p>
    <w:p w14:paraId="4F806BA5">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详细内容见该项目招标文件第三部分，乙方投标文件</w:t>
      </w:r>
      <w:r>
        <w:rPr>
          <w:rFonts w:ascii="宋体" w:hAnsi="宋体"/>
          <w:color w:val="auto"/>
          <w:sz w:val="24"/>
          <w:highlight w:val="none"/>
          <w:u w:val="single"/>
        </w:rPr>
        <w:t xml:space="preserve">   </w:t>
      </w:r>
      <w:r>
        <w:rPr>
          <w:rFonts w:hint="eastAsia" w:ascii="宋体" w:hAnsi="宋体"/>
          <w:color w:val="auto"/>
          <w:sz w:val="24"/>
          <w:highlight w:val="none"/>
        </w:rPr>
        <w:t>；</w:t>
      </w:r>
    </w:p>
    <w:p w14:paraId="47A59535">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详细内容见该项目招标文件第三部分，乙方投标文件</w:t>
      </w:r>
      <w:r>
        <w:rPr>
          <w:rFonts w:ascii="宋体" w:hAnsi="宋体"/>
          <w:color w:val="auto"/>
          <w:sz w:val="24"/>
          <w:highlight w:val="none"/>
          <w:u w:val="single"/>
        </w:rPr>
        <w:t xml:space="preserve"> </w:t>
      </w:r>
      <w:r>
        <w:rPr>
          <w:rFonts w:hint="eastAsia" w:ascii="宋体" w:hAnsi="宋体"/>
          <w:color w:val="auto"/>
          <w:sz w:val="24"/>
          <w:highlight w:val="none"/>
        </w:rPr>
        <w:t>；</w:t>
      </w:r>
    </w:p>
    <w:p w14:paraId="4570C17C">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w:t>
      </w:r>
      <w:r>
        <w:rPr>
          <w:rFonts w:hint="eastAsia" w:ascii="宋体" w:hAnsi="宋体"/>
          <w:color w:val="auto"/>
          <w:sz w:val="24"/>
          <w:highlight w:val="none"/>
          <w:u w:val="single"/>
          <w:lang w:val="en-US" w:eastAsia="zh-CN"/>
        </w:rPr>
        <w:t>详细内容见该项目招标文件第三部分，乙方投标文件</w:t>
      </w:r>
      <w:r>
        <w:rPr>
          <w:rFonts w:ascii="宋体" w:hAnsi="宋体"/>
          <w:color w:val="auto"/>
          <w:sz w:val="24"/>
          <w:highlight w:val="none"/>
          <w:u w:val="single"/>
        </w:rPr>
        <w:t xml:space="preserve"> </w:t>
      </w:r>
      <w:r>
        <w:rPr>
          <w:rFonts w:hint="eastAsia" w:ascii="宋体" w:hAnsi="宋体"/>
          <w:color w:val="auto"/>
          <w:sz w:val="24"/>
          <w:highlight w:val="none"/>
          <w:u w:val="none"/>
        </w:rPr>
        <w:t>；</w:t>
      </w:r>
    </w:p>
    <w:p w14:paraId="666B02B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w:t>
      </w:r>
      <w:r>
        <w:rPr>
          <w:rFonts w:hint="eastAsia" w:ascii="宋体" w:hAnsi="宋体"/>
          <w:color w:val="auto"/>
          <w:sz w:val="24"/>
          <w:highlight w:val="none"/>
          <w:u w:val="single"/>
          <w:lang w:val="en-US" w:eastAsia="zh-CN"/>
        </w:rPr>
        <w:t>详细内容见该项目招标文件第三部分，乙方投标文件</w:t>
      </w:r>
      <w:r>
        <w:rPr>
          <w:rFonts w:ascii="宋体" w:hAnsi="宋体"/>
          <w:color w:val="auto"/>
          <w:sz w:val="24"/>
          <w:highlight w:val="none"/>
          <w:u w:val="single"/>
        </w:rPr>
        <w:t xml:space="preserve"> </w:t>
      </w:r>
      <w:r>
        <w:rPr>
          <w:rFonts w:hint="eastAsia" w:ascii="宋体" w:hAnsi="宋体"/>
          <w:color w:val="auto"/>
          <w:sz w:val="24"/>
          <w:highlight w:val="none"/>
        </w:rPr>
        <w:t>；</w:t>
      </w:r>
    </w:p>
    <w:p w14:paraId="644DF93E">
      <w:pPr>
        <w:pStyle w:val="961"/>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否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45365A42">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6A75A9A">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DF4373A">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ED68F75">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p>
    <w:p w14:paraId="75ECF74A">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2B0F3BB1">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4A240A82">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7C8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AD3E309">
            <w:pPr>
              <w:pStyle w:val="321"/>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1707162E">
            <w:pPr>
              <w:pStyle w:val="321"/>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56B2A723">
            <w:pPr>
              <w:pStyle w:val="321"/>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324B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91DEAEF">
            <w:pPr>
              <w:pStyle w:val="321"/>
              <w:spacing w:line="560" w:lineRule="exact"/>
              <w:ind w:firstLine="200"/>
              <w:jc w:val="center"/>
              <w:rPr>
                <w:rFonts w:hAnsi="宋体"/>
                <w:color w:val="auto"/>
                <w:sz w:val="24"/>
                <w:szCs w:val="24"/>
                <w:highlight w:val="none"/>
              </w:rPr>
            </w:pPr>
          </w:p>
        </w:tc>
        <w:tc>
          <w:tcPr>
            <w:tcW w:w="3402" w:type="dxa"/>
            <w:vAlign w:val="center"/>
          </w:tcPr>
          <w:p w14:paraId="565FD403">
            <w:pPr>
              <w:pStyle w:val="321"/>
              <w:spacing w:line="560" w:lineRule="exact"/>
              <w:ind w:firstLine="200"/>
              <w:jc w:val="center"/>
              <w:rPr>
                <w:rFonts w:hAnsi="宋体"/>
                <w:color w:val="auto"/>
                <w:sz w:val="24"/>
                <w:szCs w:val="24"/>
                <w:highlight w:val="none"/>
              </w:rPr>
            </w:pPr>
          </w:p>
        </w:tc>
        <w:tc>
          <w:tcPr>
            <w:tcW w:w="2552" w:type="dxa"/>
            <w:vAlign w:val="center"/>
          </w:tcPr>
          <w:p w14:paraId="170ACE92">
            <w:pPr>
              <w:pStyle w:val="321"/>
              <w:spacing w:line="560" w:lineRule="exact"/>
              <w:ind w:firstLine="200"/>
              <w:jc w:val="center"/>
              <w:rPr>
                <w:rFonts w:hAnsi="宋体"/>
                <w:color w:val="auto"/>
                <w:sz w:val="24"/>
                <w:szCs w:val="24"/>
                <w:highlight w:val="none"/>
              </w:rPr>
            </w:pPr>
          </w:p>
        </w:tc>
      </w:tr>
      <w:tr w14:paraId="7FE7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3840CD2">
            <w:pPr>
              <w:pStyle w:val="321"/>
              <w:spacing w:line="560" w:lineRule="exact"/>
              <w:ind w:firstLine="200"/>
              <w:jc w:val="center"/>
              <w:rPr>
                <w:rFonts w:hAnsi="宋体"/>
                <w:color w:val="auto"/>
                <w:sz w:val="24"/>
                <w:szCs w:val="24"/>
                <w:highlight w:val="none"/>
              </w:rPr>
            </w:pPr>
          </w:p>
        </w:tc>
        <w:tc>
          <w:tcPr>
            <w:tcW w:w="3402" w:type="dxa"/>
            <w:vAlign w:val="center"/>
          </w:tcPr>
          <w:p w14:paraId="15D01AFB">
            <w:pPr>
              <w:pStyle w:val="321"/>
              <w:spacing w:line="560" w:lineRule="exact"/>
              <w:ind w:firstLine="200"/>
              <w:jc w:val="center"/>
              <w:rPr>
                <w:rFonts w:hAnsi="宋体"/>
                <w:color w:val="auto"/>
                <w:sz w:val="24"/>
                <w:szCs w:val="24"/>
                <w:highlight w:val="none"/>
              </w:rPr>
            </w:pPr>
          </w:p>
        </w:tc>
        <w:tc>
          <w:tcPr>
            <w:tcW w:w="2552" w:type="dxa"/>
            <w:vAlign w:val="center"/>
          </w:tcPr>
          <w:p w14:paraId="4A1C9551">
            <w:pPr>
              <w:pStyle w:val="321"/>
              <w:spacing w:line="560" w:lineRule="exact"/>
              <w:ind w:firstLine="200"/>
              <w:jc w:val="center"/>
              <w:rPr>
                <w:rFonts w:hAnsi="宋体"/>
                <w:color w:val="auto"/>
                <w:sz w:val="24"/>
                <w:szCs w:val="24"/>
                <w:highlight w:val="none"/>
              </w:rPr>
            </w:pPr>
          </w:p>
        </w:tc>
      </w:tr>
      <w:tr w14:paraId="696E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E994736">
            <w:pPr>
              <w:pStyle w:val="321"/>
              <w:spacing w:line="560" w:lineRule="exact"/>
              <w:ind w:firstLine="200"/>
              <w:jc w:val="center"/>
              <w:rPr>
                <w:rFonts w:hAnsi="宋体"/>
                <w:color w:val="auto"/>
                <w:sz w:val="24"/>
                <w:szCs w:val="24"/>
                <w:highlight w:val="none"/>
              </w:rPr>
            </w:pPr>
          </w:p>
        </w:tc>
        <w:tc>
          <w:tcPr>
            <w:tcW w:w="3402" w:type="dxa"/>
            <w:vAlign w:val="center"/>
          </w:tcPr>
          <w:p w14:paraId="59D56594">
            <w:pPr>
              <w:pStyle w:val="321"/>
              <w:spacing w:line="560" w:lineRule="exact"/>
              <w:ind w:firstLine="200"/>
              <w:jc w:val="center"/>
              <w:rPr>
                <w:rFonts w:hAnsi="宋体"/>
                <w:color w:val="auto"/>
                <w:sz w:val="24"/>
                <w:szCs w:val="24"/>
                <w:highlight w:val="none"/>
              </w:rPr>
            </w:pPr>
          </w:p>
        </w:tc>
        <w:tc>
          <w:tcPr>
            <w:tcW w:w="2552" w:type="dxa"/>
            <w:vAlign w:val="center"/>
          </w:tcPr>
          <w:p w14:paraId="72E86921">
            <w:pPr>
              <w:pStyle w:val="321"/>
              <w:spacing w:line="560" w:lineRule="exact"/>
              <w:ind w:firstLine="200"/>
              <w:jc w:val="center"/>
              <w:rPr>
                <w:rFonts w:hAnsi="宋体"/>
                <w:color w:val="auto"/>
                <w:sz w:val="24"/>
                <w:szCs w:val="24"/>
                <w:highlight w:val="none"/>
              </w:rPr>
            </w:pPr>
          </w:p>
        </w:tc>
      </w:tr>
      <w:tr w14:paraId="0844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A360B9F">
            <w:pPr>
              <w:pStyle w:val="321"/>
              <w:spacing w:line="560" w:lineRule="exact"/>
              <w:ind w:firstLine="200"/>
              <w:jc w:val="center"/>
              <w:rPr>
                <w:rFonts w:hAnsi="宋体"/>
                <w:color w:val="auto"/>
                <w:sz w:val="24"/>
                <w:szCs w:val="24"/>
                <w:highlight w:val="none"/>
              </w:rPr>
            </w:pPr>
          </w:p>
        </w:tc>
        <w:tc>
          <w:tcPr>
            <w:tcW w:w="3402" w:type="dxa"/>
            <w:vAlign w:val="center"/>
          </w:tcPr>
          <w:p w14:paraId="6AD54901">
            <w:pPr>
              <w:pStyle w:val="321"/>
              <w:spacing w:line="560" w:lineRule="exact"/>
              <w:ind w:firstLine="200"/>
              <w:jc w:val="center"/>
              <w:rPr>
                <w:rFonts w:hAnsi="宋体"/>
                <w:color w:val="auto"/>
                <w:sz w:val="24"/>
                <w:szCs w:val="24"/>
                <w:highlight w:val="none"/>
              </w:rPr>
            </w:pPr>
          </w:p>
        </w:tc>
        <w:tc>
          <w:tcPr>
            <w:tcW w:w="2552" w:type="dxa"/>
            <w:vAlign w:val="center"/>
          </w:tcPr>
          <w:p w14:paraId="167FAEA7">
            <w:pPr>
              <w:pStyle w:val="321"/>
              <w:spacing w:line="560" w:lineRule="exact"/>
              <w:ind w:firstLine="200"/>
              <w:jc w:val="center"/>
              <w:rPr>
                <w:rFonts w:hAnsi="宋体"/>
                <w:color w:val="auto"/>
                <w:sz w:val="24"/>
                <w:szCs w:val="24"/>
                <w:highlight w:val="none"/>
              </w:rPr>
            </w:pPr>
          </w:p>
        </w:tc>
      </w:tr>
      <w:tr w14:paraId="2ACB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87735C0">
            <w:pPr>
              <w:pStyle w:val="321"/>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45E70683">
            <w:pPr>
              <w:pStyle w:val="321"/>
              <w:spacing w:line="560" w:lineRule="exact"/>
              <w:ind w:firstLine="200"/>
              <w:jc w:val="center"/>
              <w:rPr>
                <w:rFonts w:hAnsi="宋体"/>
                <w:color w:val="auto"/>
                <w:sz w:val="24"/>
                <w:szCs w:val="24"/>
                <w:highlight w:val="none"/>
              </w:rPr>
            </w:pPr>
          </w:p>
        </w:tc>
      </w:tr>
    </w:tbl>
    <w:p w14:paraId="6C7CAF55">
      <w:pPr>
        <w:spacing w:line="56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hint="eastAsia" w:ascii="宋体" w:hAnsi="宋体"/>
          <w:color w:val="auto"/>
          <w:sz w:val="24"/>
          <w:highlight w:val="none"/>
          <w:lang w:val="en-US" w:eastAsia="zh-CN"/>
        </w:rPr>
        <w:t xml:space="preserve">     </w:t>
      </w:r>
      <w:r>
        <w:rPr>
          <w:rFonts w:hint="eastAsia" w:ascii="宋体" w:hAnsi="宋体" w:cs="宋体"/>
          <w:color w:val="auto"/>
          <w:sz w:val="24"/>
          <w:highlight w:val="none"/>
        </w:rPr>
        <w:t>标项</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715000</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柒拾壹万伍仟</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hint="eastAsia" w:ascii="宋体" w:hAnsi="宋体"/>
          <w:color w:val="auto"/>
          <w:sz w:val="24"/>
          <w:highlight w:val="none"/>
          <w:lang w:eastAsia="zh-CN"/>
        </w:rPr>
        <w:t>；</w:t>
      </w:r>
      <w:r>
        <w:rPr>
          <w:rFonts w:hint="eastAsia" w:ascii="宋体" w:hAnsi="宋体" w:cs="宋体"/>
          <w:color w:val="auto"/>
          <w:sz w:val="24"/>
          <w:highlight w:val="none"/>
        </w:rPr>
        <w:t>标项二：</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rPr>
        <w:t>715000</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柒拾壹万伍仟</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5DF69DA5">
      <w:pPr>
        <w:pStyle w:val="81"/>
        <w:spacing w:after="313" w:afterLines="100"/>
        <w:rPr>
          <w:color w:val="auto"/>
          <w:highlight w:val="none"/>
          <w:lang w:val="en-US"/>
        </w:rPr>
      </w:pP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i/>
          <w:color w:val="auto"/>
          <w:sz w:val="24"/>
          <w:szCs w:val="24"/>
          <w:highlight w:val="none"/>
          <w:u w:val="single"/>
          <w:lang w:val="en-US"/>
        </w:rPr>
        <w:t>合同专用条款</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p w14:paraId="49DF1184">
      <w:pPr>
        <w:pStyle w:val="961"/>
        <w:spacing w:before="0" w:beforeAutospacing="0" w:after="313" w:afterLines="100" w:afterAutospacing="0" w:line="360" w:lineRule="auto"/>
        <w:ind w:firstLine="480"/>
        <w:rPr>
          <w:b/>
          <w:color w:val="auto"/>
          <w:highlight w:val="none"/>
        </w:rPr>
      </w:pPr>
      <w:bookmarkStart w:id="396" w:name="_Toc1814"/>
      <w:bookmarkStart w:id="397" w:name="_Toc22618"/>
      <w:bookmarkStart w:id="398" w:name="_Toc10340"/>
      <w:r>
        <w:rPr>
          <w:rFonts w:hint="eastAsia"/>
          <w:b/>
          <w:color w:val="auto"/>
          <w:highlight w:val="none"/>
        </w:rPr>
        <w:t>1.4履约保证金</w:t>
      </w:r>
    </w:p>
    <w:p w14:paraId="2AE783D3">
      <w:pPr>
        <w:pStyle w:val="961"/>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F138813">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FFBBAEE">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6AED103">
      <w:pPr>
        <w:pStyle w:val="2"/>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542CF57">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7896DCF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396"/>
      <w:bookmarkEnd w:id="397"/>
      <w:bookmarkEnd w:id="398"/>
      <w:r>
        <w:rPr>
          <w:rFonts w:hint="eastAsia" w:ascii="宋体" w:hAnsi="宋体" w:cs="宋体"/>
          <w:b/>
          <w:color w:val="auto"/>
          <w:sz w:val="24"/>
          <w:highlight w:val="none"/>
        </w:rPr>
        <w:t>预付款</w:t>
      </w:r>
    </w:p>
    <w:p w14:paraId="599F2943">
      <w:pPr>
        <w:pStyle w:val="961"/>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06C68B6B">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A18477F">
      <w:pPr>
        <w:pStyle w:val="961"/>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26D063B">
      <w:pPr>
        <w:pStyle w:val="961"/>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0269708E">
      <w:pPr>
        <w:pStyle w:val="961"/>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4CDFAB1F">
      <w:pPr>
        <w:pStyle w:val="961"/>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AC53635">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15A78E1">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p>
    <w:p w14:paraId="06E56B9F">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60ABB969">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4CEE578D">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1F04E7B">
      <w:pPr>
        <w:spacing w:line="560" w:lineRule="exact"/>
        <w:ind w:firstLine="480" w:firstLineChars="200"/>
        <w:outlineLvl w:val="0"/>
        <w:rPr>
          <w:rFonts w:ascii="宋体" w:hAnsi="宋体"/>
          <w:bCs/>
          <w:color w:val="auto"/>
          <w:sz w:val="24"/>
          <w:highlight w:val="none"/>
        </w:rPr>
      </w:pPr>
      <w:r>
        <w:rPr>
          <w:rFonts w:hint="eastAsia" w:ascii="宋体" w:hAnsi="宋体"/>
          <w:bCs/>
          <w:color w:val="auto"/>
          <w:sz w:val="24"/>
          <w:highlight w:val="none"/>
        </w:rPr>
        <w:t>1.7.4若服务</w:t>
      </w:r>
      <w:r>
        <w:rPr>
          <w:rFonts w:hint="eastAsia"/>
          <w:bCs/>
          <w:color w:val="auto"/>
          <w:sz w:val="24"/>
          <w:highlight w:val="none"/>
        </w:rPr>
        <w:t>涉及货物的，则货物的：</w:t>
      </w:r>
    </w:p>
    <w:p w14:paraId="5D0E5263">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1C1254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04D578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F40FECF">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p>
    <w:p w14:paraId="053849BC">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hint="eastAsia" w:ascii="宋体" w:hAnsi="宋体" w:cs="宋体"/>
          <w:color w:val="auto"/>
          <w:kern w:val="0"/>
          <w:sz w:val="24"/>
          <w:highlight w:val="none"/>
          <w:u w:val="single"/>
        </w:rPr>
        <w:t>（可根据情况修改）</w:t>
      </w:r>
      <w:r>
        <w:rPr>
          <w:rFonts w:hint="eastAsia" w:ascii="宋体" w:hAnsi="宋体" w:cs="宋体"/>
          <w:color w:val="auto"/>
          <w:kern w:val="0"/>
          <w:sz w:val="24"/>
          <w:highlight w:val="none"/>
          <w:u w:val="single"/>
          <w:lang w:val="en-US" w:eastAsia="zh-CN"/>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70BE8DBF">
      <w:pPr>
        <w:pStyle w:val="2"/>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0.05（可根据情况修改）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4A60F307">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w:t>
      </w:r>
      <w:r>
        <w:rPr>
          <w:rFonts w:hint="eastAsia" w:ascii="宋体" w:hAnsi="宋体" w:eastAsia="宋体" w:cs="宋体"/>
          <w:b w:val="0"/>
          <w:bCs w:val="0"/>
          <w:color w:val="auto"/>
          <w:sz w:val="24"/>
          <w:szCs w:val="24"/>
          <w:highlight w:val="none"/>
          <w:u w:val="single"/>
          <w:lang w:val="en-US"/>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6B438A6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C9B145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A31E1D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07EE4EA2">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14:paraId="3F4C030C">
      <w:pPr>
        <w:spacing w:line="560" w:lineRule="exact"/>
        <w:ind w:firstLine="482" w:firstLineChars="200"/>
        <w:outlineLvl w:val="0"/>
        <w:rPr>
          <w:rFonts w:ascii="宋体" w:hAnsi="宋体" w:cs="宋体"/>
          <w:b/>
          <w:color w:val="auto"/>
          <w:sz w:val="24"/>
          <w:highlight w:val="none"/>
        </w:rPr>
      </w:pPr>
      <w:bookmarkStart w:id="399" w:name="_Toc28375"/>
      <w:bookmarkStart w:id="400" w:name="_Toc16021"/>
      <w:bookmarkStart w:id="401" w:name="_Toc15583"/>
      <w:r>
        <w:rPr>
          <w:rFonts w:hint="eastAsia" w:ascii="宋体" w:hAnsi="宋体" w:cs="宋体"/>
          <w:b/>
          <w:color w:val="auto"/>
          <w:sz w:val="24"/>
          <w:highlight w:val="none"/>
        </w:rPr>
        <w:t>1.9合同争议的解决</w:t>
      </w:r>
      <w:bookmarkEnd w:id="399"/>
      <w:bookmarkEnd w:id="400"/>
      <w:bookmarkEnd w:id="401"/>
    </w:p>
    <w:p w14:paraId="73E7FD4F">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14:paraId="4328DBAC">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28610444">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3FFFACD7">
      <w:pPr>
        <w:spacing w:line="560" w:lineRule="exact"/>
        <w:ind w:firstLine="482" w:firstLineChars="200"/>
        <w:outlineLvl w:val="0"/>
        <w:rPr>
          <w:rFonts w:ascii="宋体" w:hAnsi="宋体" w:cs="宋体"/>
          <w:b/>
          <w:color w:val="auto"/>
          <w:sz w:val="24"/>
          <w:highlight w:val="none"/>
        </w:rPr>
      </w:pPr>
      <w:bookmarkStart w:id="402" w:name="_Toc15322"/>
      <w:bookmarkStart w:id="403" w:name="_Toc7245"/>
      <w:bookmarkStart w:id="404" w:name="_Toc11173"/>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 xml:space="preserve"> 合同生效</w:t>
      </w:r>
      <w:bookmarkEnd w:id="402"/>
      <w:bookmarkEnd w:id="403"/>
      <w:bookmarkEnd w:id="404"/>
    </w:p>
    <w:p w14:paraId="0A1041E7">
      <w:pPr>
        <w:spacing w:line="560" w:lineRule="exact"/>
        <w:ind w:firstLine="480" w:firstLineChars="200"/>
        <w:rPr>
          <w:rFonts w:ascii="宋体" w:hAnsi="宋体"/>
          <w:color w:val="auto"/>
          <w:sz w:val="24"/>
          <w:highlight w:val="none"/>
          <w:lang w:val="zh-CN"/>
        </w:rPr>
      </w:pPr>
      <w:r>
        <w:rPr>
          <w:rFonts w:hint="eastAsia" w:ascii="宋体" w:hAnsi="宋体" w:cs="宋体"/>
          <w:color w:val="auto"/>
          <w:sz w:val="24"/>
          <w:highlight w:val="none"/>
        </w:rPr>
        <w:t>本合同自双方当事人盖章签字时生效。</w:t>
      </w:r>
    </w:p>
    <w:p w14:paraId="33868673">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7DE6E598">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5DC68341">
      <w:pPr>
        <w:autoSpaceDE w:val="0"/>
        <w:autoSpaceDN w:val="0"/>
        <w:spacing w:line="560" w:lineRule="exact"/>
        <w:rPr>
          <w:rFonts w:ascii="宋体" w:hAnsi="宋体"/>
          <w:color w:val="auto"/>
          <w:sz w:val="24"/>
          <w:highlight w:val="none"/>
          <w:lang w:val="zh-CN"/>
        </w:rPr>
      </w:pPr>
    </w:p>
    <w:p w14:paraId="3FC4DC89">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153F131E">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356A0C7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65AD1942">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2998B357">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62D7B92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1BAE2AC5">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6D6E57CE">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40C0B63F">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320E22AD">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24E13350">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42E7B844">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34C32EEF">
      <w:pPr>
        <w:widowControl/>
        <w:adjustRightInd/>
        <w:jc w:val="left"/>
        <w:rPr>
          <w:rFonts w:hint="eastAsia" w:ascii="宋体" w:hAnsi="宋体"/>
          <w:b/>
          <w:color w:val="auto"/>
          <w:szCs w:val="24"/>
          <w:highlight w:val="none"/>
        </w:rPr>
      </w:pPr>
    </w:p>
    <w:p w14:paraId="4C326FA9">
      <w:pPr>
        <w:pStyle w:val="703"/>
        <w:ind w:firstLine="2843" w:firstLineChars="118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p>
    <w:p w14:paraId="40D81923">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 定义</w:t>
      </w:r>
    </w:p>
    <w:p w14:paraId="71150F81">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28DA0388">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2AE58DD9">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2536E17F">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1673BC32">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39D42FB2">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D062A18">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0572FA19">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2.2 技术规范</w:t>
      </w:r>
    </w:p>
    <w:p w14:paraId="39BFAD0A">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6EF4A130">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2.3 知识产权</w:t>
      </w:r>
    </w:p>
    <w:p w14:paraId="162F6A5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29263132">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3C273EFA">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7F17DF7F">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4FF325B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062CE5E4">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2.5 结算方式和付款条件</w:t>
      </w:r>
    </w:p>
    <w:p w14:paraId="1CD284F4">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0EBB97EE">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2.6 技术资料和保密义务</w:t>
      </w:r>
    </w:p>
    <w:p w14:paraId="27E7CB47">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0BD3EB9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029665A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03453F52">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2.7 </w:t>
      </w:r>
      <w:r>
        <w:rPr>
          <w:rFonts w:hint="eastAsia" w:ascii="宋体" w:hAnsi="宋体"/>
          <w:b/>
          <w:color w:val="auto"/>
          <w:sz w:val="24"/>
          <w:highlight w:val="none"/>
        </w:rPr>
        <w:t>质量保证</w:t>
      </w:r>
    </w:p>
    <w:p w14:paraId="7F82C0C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020E35A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38A89027">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2.8 </w:t>
      </w:r>
      <w:r>
        <w:rPr>
          <w:rFonts w:hint="eastAsia" w:ascii="宋体" w:hAnsi="宋体"/>
          <w:b/>
          <w:color w:val="auto"/>
          <w:sz w:val="24"/>
          <w:highlight w:val="none"/>
        </w:rPr>
        <w:t>延迟履行</w:t>
      </w:r>
    </w:p>
    <w:p w14:paraId="4D2A4A0E">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30DD2A8B">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2.9 </w:t>
      </w:r>
      <w:r>
        <w:rPr>
          <w:rFonts w:hint="eastAsia" w:ascii="宋体" w:hAnsi="宋体"/>
          <w:b/>
          <w:color w:val="auto"/>
          <w:sz w:val="24"/>
          <w:highlight w:val="none"/>
        </w:rPr>
        <w:t>合同变更</w:t>
      </w:r>
    </w:p>
    <w:p w14:paraId="6C30A4B7">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64406A2D">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2.10 合同转让和分包</w:t>
      </w:r>
    </w:p>
    <w:p w14:paraId="2CFF891C">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lang w:val="en-US" w:eastAsia="zh-CN"/>
        </w:rPr>
        <w:t>书面</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2EFD99CC">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2.11 不可抗力</w:t>
      </w:r>
    </w:p>
    <w:p w14:paraId="3F1477D5">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5F733AF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607DB22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30574CD8">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F1D14E">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2.12 税费</w:t>
      </w:r>
    </w:p>
    <w:p w14:paraId="0E169656">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263D5B5B">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2.13 乙方破产</w:t>
      </w:r>
    </w:p>
    <w:p w14:paraId="1BBE93B3">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2408AC9B">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2.14 合同中止、终止</w:t>
      </w:r>
    </w:p>
    <w:p w14:paraId="2578FCB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3D7FFEE4">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DE7522D">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2.15 检验和验收</w:t>
      </w:r>
    </w:p>
    <w:p w14:paraId="76C44423">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7078A737">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8021EEF">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3D35E171">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2.16 通知和送达</w:t>
      </w:r>
    </w:p>
    <w:p w14:paraId="27476DF7">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6</w:t>
      </w:r>
      <w:r>
        <w:rPr>
          <w:rFonts w:ascii="宋体" w:hAnsi="宋体"/>
          <w:color w:val="auto"/>
          <w:sz w:val="24"/>
          <w:highlight w:val="none"/>
        </w:rPr>
        <w:t>.1</w:t>
      </w:r>
      <w:r>
        <w:rPr>
          <w:rFonts w:hint="eastAsia" w:ascii="宋体" w:hAnsi="宋体"/>
          <w:color w:val="auto"/>
          <w:sz w:val="24"/>
          <w:highlight w:val="none"/>
        </w:rPr>
        <w:t>任何一方因履行合同而以合同第一部分尾部所列明的传真或电子邮件发出的所有通知、文件、材料，均视为已向对方当事人送达；任何一方变更上述送达方式或者地址的，应于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6B35C4BE">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6</w:t>
      </w:r>
      <w:r>
        <w:rPr>
          <w:rFonts w:ascii="宋体" w:hAnsi="宋体"/>
          <w:color w:val="auto"/>
          <w:sz w:val="24"/>
          <w:highlight w:val="none"/>
        </w:rPr>
        <w:t>.2以当面交付方式送达的，交付之时视为送达；以电子邮件方式送达的，发出电子邮件之时视为送达；以传真方式送达的，发出传真之时视为送达；以邮寄方式送达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p>
    <w:p w14:paraId="64F71CE6">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p>
    <w:p w14:paraId="3026E44A">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18CD880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35379755">
      <w:pPr>
        <w:spacing w:line="560" w:lineRule="exact"/>
        <w:ind w:firstLine="482" w:firstLineChars="200"/>
        <w:outlineLvl w:val="0"/>
        <w:rPr>
          <w:rFonts w:ascii="宋体" w:hAnsi="宋体" w:cs="宋体"/>
          <w:b/>
          <w:color w:val="auto"/>
          <w:sz w:val="24"/>
          <w:highlight w:val="none"/>
        </w:rPr>
      </w:pPr>
      <w:bookmarkStart w:id="405" w:name="_Toc4355"/>
      <w:bookmarkStart w:id="406" w:name="_Toc30599"/>
      <w:bookmarkStart w:id="407" w:name="_Toc18540"/>
      <w:r>
        <w:rPr>
          <w:rFonts w:hint="eastAsia" w:ascii="宋体" w:hAnsi="宋体" w:cs="宋体"/>
          <w:b/>
          <w:color w:val="auto"/>
          <w:sz w:val="24"/>
          <w:highlight w:val="none"/>
        </w:rPr>
        <w:t>2.18 计量单位</w:t>
      </w:r>
      <w:bookmarkEnd w:id="405"/>
      <w:bookmarkEnd w:id="406"/>
      <w:bookmarkEnd w:id="407"/>
    </w:p>
    <w:p w14:paraId="3EA475D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399A6E11">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04B7349C">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2C21CBF8">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 xml:space="preserve"> 第三部分  合同专用条款</w:t>
      </w:r>
    </w:p>
    <w:p w14:paraId="6D91C215">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5CF48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14ED4AA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0EF95CC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42878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3169B766">
            <w:pPr>
              <w:spacing w:line="360" w:lineRule="auto"/>
              <w:jc w:val="both"/>
              <w:rPr>
                <w:rFonts w:hint="default" w:ascii="宋体" w:hAnsi="宋体" w:eastAsia="宋体" w:cs="宋体"/>
                <w:b/>
                <w:color w:val="auto"/>
                <w:sz w:val="24"/>
                <w:highlight w:val="none"/>
                <w:lang w:val="en-US" w:eastAsia="zh-CN"/>
              </w:rPr>
            </w:pPr>
            <w:r>
              <w:rPr>
                <w:rFonts w:hint="eastAsia" w:ascii="宋体" w:hAnsi="宋体" w:cs="宋体"/>
                <w:b w:val="0"/>
                <w:bCs/>
                <w:color w:val="auto"/>
                <w:sz w:val="24"/>
                <w:highlight w:val="none"/>
                <w:lang w:val="en-US" w:eastAsia="zh-CN"/>
              </w:rPr>
              <w:t>1.3</w:t>
            </w:r>
          </w:p>
        </w:tc>
        <w:tc>
          <w:tcPr>
            <w:tcW w:w="4464" w:type="pct"/>
            <w:vAlign w:val="center"/>
          </w:tcPr>
          <w:p w14:paraId="6E42D47F">
            <w:pPr>
              <w:spacing w:line="560" w:lineRule="exact"/>
              <w:ind w:firstLine="0" w:firstLineChars="0"/>
              <w:jc w:val="both"/>
              <w:rPr>
                <w:rFonts w:hint="eastAsia" w:ascii="宋体" w:hAnsi="宋体" w:cs="宋体"/>
                <w:b/>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1.3.2   </w:t>
            </w:r>
            <w:r>
              <w:rPr>
                <w:rFonts w:hint="eastAsia" w:ascii="宋体" w:hAnsi="宋体" w:cs="宋体"/>
                <w:color w:val="auto"/>
                <w:sz w:val="24"/>
                <w:highlight w:val="none"/>
              </w:rPr>
              <w:t>条款规定的计价方式计价。</w:t>
            </w:r>
          </w:p>
        </w:tc>
      </w:tr>
      <w:tr w14:paraId="1F53F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A4F4989">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2CC4FF84">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各标项实际参加的企退人员人数</w:t>
            </w:r>
          </w:p>
        </w:tc>
      </w:tr>
      <w:tr w14:paraId="72E14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3447B8B">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1.3.3</w:t>
            </w:r>
          </w:p>
        </w:tc>
        <w:tc>
          <w:tcPr>
            <w:tcW w:w="8149" w:type="dxa"/>
            <w:vAlign w:val="center"/>
          </w:tcPr>
          <w:p w14:paraId="1DD11F1A">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70198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CF9D90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149" w:type="dxa"/>
            <w:vAlign w:val="center"/>
          </w:tcPr>
          <w:p w14:paraId="2201F901">
            <w:pPr>
              <w:spacing w:line="360" w:lineRule="auto"/>
              <w:rPr>
                <w:rFonts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是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否）需要支付履约保证金。</w:t>
            </w:r>
          </w:p>
        </w:tc>
      </w:tr>
      <w:tr w14:paraId="53114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8F8F5AE">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1.4.1</w:t>
            </w:r>
          </w:p>
        </w:tc>
        <w:tc>
          <w:tcPr>
            <w:tcW w:w="8149" w:type="dxa"/>
            <w:vAlign w:val="center"/>
          </w:tcPr>
          <w:p w14:paraId="49B7CFCA">
            <w:pPr>
              <w:spacing w:line="360" w:lineRule="auto"/>
              <w:rPr>
                <w:rFonts w:hint="eastAsia"/>
                <w:color w:val="auto"/>
                <w:sz w:val="24"/>
                <w:highlight w:val="none"/>
              </w:rPr>
            </w:pPr>
            <w:r>
              <w:rPr>
                <w:rFonts w:hint="eastAsia" w:ascii="宋体" w:hAnsi="宋体" w:cs="宋体"/>
                <w:color w:val="auto"/>
                <w:kern w:val="0"/>
                <w:sz w:val="24"/>
                <w:highlight w:val="none"/>
              </w:rPr>
              <w:t>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tc>
      </w:tr>
      <w:tr w14:paraId="561DC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1FCBCB3">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78E3EE51">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合同签订后5个工作日内，中标人向采购人支付合同金额的1%作为履约保证金（履约保证金形式应以银行、保险公司出具的保函形式提供）。</w:t>
            </w:r>
          </w:p>
        </w:tc>
      </w:tr>
      <w:tr w14:paraId="2CE21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EE5932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4464" w:type="pct"/>
            <w:vAlign w:val="center"/>
          </w:tcPr>
          <w:p w14:paraId="3BCBD1ED">
            <w:pPr>
              <w:spacing w:line="360" w:lineRule="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14:paraId="79D62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D6B24A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194C5B8A">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合同签订并缴纳履约保证金后，采购人向中标人支付合同价的40%作为预付款（签订合同时，乙方提出不要求预付款或降低预付款比例的，可不适用该条款）</w:t>
            </w:r>
          </w:p>
        </w:tc>
      </w:tr>
      <w:tr w14:paraId="03741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C3DB3BC">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1278AD62">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78E55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A69F34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2B9AC806">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024C1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CEDE984">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1A7DC4BB">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合同签订并缴纳履约保证金后，采购人向中标人支付合同价的40%作为预付款（签订合同时，乙方提出不要求预付款或降低预付款比例的，可不适用该条款）。</w:t>
            </w:r>
            <w:r>
              <w:rPr>
                <w:rFonts w:hint="eastAsia" w:ascii="宋体" w:hAnsi="宋体" w:cs="宋体"/>
                <w:color w:val="auto"/>
                <w:sz w:val="24"/>
                <w:highlight w:val="none"/>
                <w:lang w:val="en-US" w:eastAsia="zh-CN"/>
              </w:rPr>
              <w:t>最终结算价按照各标项实际参加的企退人员人数*投标单价*满意度测评率，按实结算，全部批次人员返程后一个月内付清。</w:t>
            </w:r>
          </w:p>
        </w:tc>
      </w:tr>
      <w:tr w14:paraId="7C16F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6C4A72E">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149" w:type="dxa"/>
            <w:vAlign w:val="center"/>
          </w:tcPr>
          <w:p w14:paraId="1F5248AD">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12月</w:t>
            </w:r>
          </w:p>
        </w:tc>
      </w:tr>
      <w:tr w14:paraId="0ADAC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93AF87C">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149" w:type="dxa"/>
            <w:vAlign w:val="center"/>
          </w:tcPr>
          <w:p w14:paraId="57A79160">
            <w:pPr>
              <w:spacing w:line="360" w:lineRule="auto"/>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按甲方要求</w:t>
            </w:r>
          </w:p>
        </w:tc>
      </w:tr>
      <w:tr w14:paraId="46458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346EED2">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149" w:type="dxa"/>
            <w:vAlign w:val="center"/>
          </w:tcPr>
          <w:p w14:paraId="52EC0C0D">
            <w:pPr>
              <w:keepNext w:val="0"/>
              <w:keepLines w:val="0"/>
              <w:pageBreakBefore w:val="0"/>
              <w:kinsoku/>
              <w:wordWrap/>
              <w:overflowPunct/>
              <w:topLinePunct w:val="0"/>
              <w:bidi w:val="0"/>
              <w:adjustRightInd w:val="0"/>
              <w:snapToGrid w:val="0"/>
              <w:spacing w:line="360" w:lineRule="auto"/>
              <w:ind w:right="0" w:rightChars="0"/>
              <w:textAlignment w:val="auto"/>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按甲方要求</w:t>
            </w:r>
          </w:p>
        </w:tc>
      </w:tr>
      <w:tr w14:paraId="15384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82C8DF0">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149" w:type="dxa"/>
            <w:vAlign w:val="center"/>
          </w:tcPr>
          <w:p w14:paraId="5889BEDC">
            <w:pPr>
              <w:keepNext w:val="0"/>
              <w:keepLines w:val="0"/>
              <w:pageBreakBefore w:val="0"/>
              <w:kinsoku/>
              <w:wordWrap/>
              <w:overflowPunct/>
              <w:topLinePunct w:val="0"/>
              <w:bidi w:val="0"/>
              <w:adjustRightInd w:val="0"/>
              <w:snapToGrid w:val="0"/>
              <w:spacing w:line="360" w:lineRule="auto"/>
              <w:ind w:right="0" w:rightChars="0"/>
              <w:textAlignment w:val="auto"/>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w:t>
            </w:r>
          </w:p>
        </w:tc>
      </w:tr>
      <w:tr w14:paraId="69168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B63EAFD">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149" w:type="dxa"/>
            <w:vAlign w:val="center"/>
          </w:tcPr>
          <w:p w14:paraId="17CB6999">
            <w:pPr>
              <w:keepNext w:val="0"/>
              <w:keepLines w:val="0"/>
              <w:pageBreakBefore w:val="0"/>
              <w:kinsoku/>
              <w:wordWrap/>
              <w:overflowPunct/>
              <w:topLinePunct w:val="0"/>
              <w:bidi w:val="0"/>
              <w:adjustRightInd w:val="0"/>
              <w:snapToGrid w:val="0"/>
              <w:spacing w:line="360" w:lineRule="auto"/>
              <w:ind w:right="0" w:rightChars="0"/>
              <w:textAlignment w:val="auto"/>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w:t>
            </w:r>
          </w:p>
        </w:tc>
      </w:tr>
      <w:tr w14:paraId="7A1BB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5C3A0B8">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149" w:type="dxa"/>
            <w:vAlign w:val="center"/>
          </w:tcPr>
          <w:p w14:paraId="65CEA1EA">
            <w:pPr>
              <w:keepNext w:val="0"/>
              <w:keepLines w:val="0"/>
              <w:pageBreakBefore w:val="0"/>
              <w:kinsoku/>
              <w:wordWrap/>
              <w:overflowPunct/>
              <w:topLinePunct w:val="0"/>
              <w:bidi w:val="0"/>
              <w:adjustRightInd w:val="0"/>
              <w:snapToGrid w:val="0"/>
              <w:spacing w:line="360" w:lineRule="auto"/>
              <w:ind w:right="0" w:rightChars="0"/>
              <w:textAlignment w:val="auto"/>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w:t>
            </w:r>
          </w:p>
        </w:tc>
      </w:tr>
      <w:tr w14:paraId="3F956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EA07B2">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14:paraId="3EBC80D1">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3B7D1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78A83B">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8149" w:type="dxa"/>
            <w:vAlign w:val="center"/>
          </w:tcPr>
          <w:p w14:paraId="3ABF05D0">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r>
      <w:tr w14:paraId="7A6B3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51D5144">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149" w:type="dxa"/>
            <w:vAlign w:val="center"/>
          </w:tcPr>
          <w:p w14:paraId="6A971168">
            <w:pPr>
              <w:keepNext w:val="0"/>
              <w:keepLines w:val="0"/>
              <w:pageBreakBefore w:val="0"/>
              <w:kinsoku/>
              <w:wordWrap/>
              <w:overflowPunct/>
              <w:topLinePunct w:val="0"/>
              <w:bidi w:val="0"/>
              <w:adjustRightInd w:val="0"/>
              <w:snapToGrid w:val="0"/>
              <w:spacing w:line="360" w:lineRule="auto"/>
              <w:ind w:right="0" w:rightChars="0"/>
              <w:textAlignment w:val="auto"/>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w:t>
            </w:r>
          </w:p>
        </w:tc>
      </w:tr>
      <w:tr w14:paraId="1AEDF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13C4F3F">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149" w:type="dxa"/>
            <w:vAlign w:val="center"/>
          </w:tcPr>
          <w:p w14:paraId="7D1F1484">
            <w:pPr>
              <w:keepNext w:val="0"/>
              <w:keepLines w:val="0"/>
              <w:pageBreakBefore w:val="0"/>
              <w:kinsoku/>
              <w:wordWrap/>
              <w:overflowPunct/>
              <w:topLinePunct w:val="0"/>
              <w:bidi w:val="0"/>
              <w:adjustRightInd w:val="0"/>
              <w:snapToGrid w:val="0"/>
              <w:spacing w:line="360" w:lineRule="auto"/>
              <w:ind w:right="0" w:rightChars="0"/>
              <w:textAlignment w:val="auto"/>
              <w:rPr>
                <w:rFonts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甲方所在地</w:t>
            </w:r>
          </w:p>
        </w:tc>
      </w:tr>
      <w:tr w14:paraId="4BFA1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FF233EF">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149" w:type="dxa"/>
            <w:vAlign w:val="center"/>
          </w:tcPr>
          <w:p w14:paraId="1C592CAF">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22D03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6934F8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149" w:type="dxa"/>
            <w:vAlign w:val="center"/>
          </w:tcPr>
          <w:p w14:paraId="74069131">
            <w:pPr>
              <w:keepNext w:val="0"/>
              <w:keepLines w:val="0"/>
              <w:pageBreakBefore w:val="0"/>
              <w:kinsoku/>
              <w:wordWrap/>
              <w:overflowPunct/>
              <w:topLinePunct w:val="0"/>
              <w:bidi w:val="0"/>
              <w:adjustRightInd w:val="0"/>
              <w:snapToGrid w:val="0"/>
              <w:spacing w:line="360" w:lineRule="auto"/>
              <w:ind w:right="0" w:rightChars="0"/>
              <w:textAlignment w:val="auto"/>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同</w:t>
            </w:r>
            <w:r>
              <w:rPr>
                <w:rFonts w:hint="eastAsia" w:ascii="宋体" w:hAnsi="宋体" w:eastAsia="宋体" w:cs="宋体"/>
                <w:color w:val="auto"/>
                <w:sz w:val="24"/>
                <w:szCs w:val="24"/>
                <w:highlight w:val="none"/>
              </w:rPr>
              <w:t>1.6.2</w:t>
            </w:r>
          </w:p>
        </w:tc>
      </w:tr>
      <w:tr w14:paraId="1F4BF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04D1BCE">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2D9B3A84">
            <w:pPr>
              <w:keepNext w:val="0"/>
              <w:keepLines w:val="0"/>
              <w:pageBreakBefore w:val="0"/>
              <w:kinsoku/>
              <w:wordWrap/>
              <w:overflowPunct/>
              <w:topLinePunct w:val="0"/>
              <w:bidi w:val="0"/>
              <w:adjustRightInd w:val="0"/>
              <w:snapToGrid w:val="0"/>
              <w:spacing w:line="360" w:lineRule="auto"/>
              <w:ind w:right="0" w:rightChars="0"/>
              <w:textAlignment w:val="auto"/>
              <w:rPr>
                <w:rFonts w:ascii="宋体" w:hAnsi="宋体" w:cs="宋体"/>
                <w:color w:val="auto"/>
                <w:sz w:val="24"/>
                <w:highlight w:val="none"/>
              </w:rPr>
            </w:pPr>
            <w:r>
              <w:rPr>
                <w:rFonts w:hint="eastAsia" w:ascii="宋体" w:hAnsi="宋体" w:eastAsia="宋体" w:cs="宋体"/>
                <w:color w:val="auto"/>
                <w:sz w:val="24"/>
                <w:szCs w:val="24"/>
                <w:highlight w:val="none"/>
              </w:rPr>
              <w:t>因不可抗力致使合同有变更必要的，双方当事人应在</w:t>
            </w:r>
            <w:r>
              <w:rPr>
                <w:rFonts w:hint="eastAsia" w:ascii="宋体" w:hAnsi="宋体" w:eastAsia="宋体" w:cs="宋体"/>
                <w:b w:val="0"/>
                <w:bCs/>
                <w:i w:val="0"/>
                <w:iCs/>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内以书面形式变更合同</w:t>
            </w:r>
            <w:r>
              <w:rPr>
                <w:rFonts w:hint="eastAsia" w:ascii="宋体" w:hAnsi="宋体" w:eastAsia="宋体" w:cs="宋体"/>
                <w:color w:val="auto"/>
                <w:sz w:val="24"/>
                <w:szCs w:val="24"/>
                <w:highlight w:val="none"/>
                <w:lang w:eastAsia="zh-CN"/>
              </w:rPr>
              <w:t>。</w:t>
            </w:r>
          </w:p>
        </w:tc>
      </w:tr>
      <w:tr w14:paraId="384BB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6D4F63FB">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vAlign w:val="top"/>
          </w:tcPr>
          <w:p w14:paraId="7A866848">
            <w:pPr>
              <w:keepNext w:val="0"/>
              <w:keepLines w:val="0"/>
              <w:pageBreakBefore w:val="0"/>
              <w:kinsoku/>
              <w:wordWrap/>
              <w:overflowPunct/>
              <w:topLinePunct w:val="0"/>
              <w:bidi w:val="0"/>
              <w:adjustRightInd w:val="0"/>
              <w:snapToGrid w:val="0"/>
              <w:spacing w:line="360" w:lineRule="auto"/>
              <w:ind w:right="0" w:rightChars="0"/>
              <w:textAlignment w:val="auto"/>
              <w:rPr>
                <w:rFonts w:ascii="宋体" w:hAnsi="宋体" w:cs="宋体"/>
                <w:color w:val="auto"/>
                <w:sz w:val="24"/>
                <w:highlight w:val="none"/>
              </w:rPr>
            </w:pPr>
            <w:r>
              <w:rPr>
                <w:rFonts w:hint="eastAsia" w:ascii="宋体" w:hAnsi="宋体" w:eastAsia="宋体" w:cs="宋体"/>
                <w:color w:val="auto"/>
                <w:sz w:val="24"/>
                <w:szCs w:val="24"/>
                <w:highlight w:val="none"/>
              </w:rPr>
              <w:t>受不可抗力影响的一方在不可抗力发生后，应在</w:t>
            </w:r>
            <w:r>
              <w:rPr>
                <w:rFonts w:hint="eastAsia" w:ascii="宋体" w:hAnsi="宋体" w:eastAsia="宋体" w:cs="宋体"/>
                <w:b w:val="0"/>
                <w:bCs/>
                <w:i w:val="0"/>
                <w:iCs/>
                <w:color w:val="auto"/>
                <w:sz w:val="24"/>
                <w:szCs w:val="24"/>
                <w:highlight w:val="none"/>
                <w:u w:val="single"/>
                <w:lang w:val="en-US" w:eastAsia="zh-CN"/>
              </w:rPr>
              <w:t xml:space="preserve"> 24 </w:t>
            </w:r>
            <w:r>
              <w:rPr>
                <w:rFonts w:hint="eastAsia" w:ascii="宋体" w:hAnsi="宋体" w:eastAsia="宋体" w:cs="宋体"/>
                <w:color w:val="auto"/>
                <w:sz w:val="24"/>
                <w:szCs w:val="24"/>
                <w:highlight w:val="none"/>
                <w:lang w:eastAsia="zh-CN"/>
              </w:rPr>
              <w:t>小时</w:t>
            </w:r>
            <w:r>
              <w:rPr>
                <w:rFonts w:hint="eastAsia" w:ascii="宋体" w:hAnsi="宋体" w:eastAsia="宋体" w:cs="宋体"/>
                <w:color w:val="auto"/>
                <w:sz w:val="24"/>
                <w:szCs w:val="24"/>
                <w:highlight w:val="none"/>
              </w:rPr>
              <w:t>内以书面形式通知对方当事人，并在</w:t>
            </w:r>
            <w:r>
              <w:rPr>
                <w:rFonts w:hint="eastAsia" w:ascii="宋体" w:hAnsi="宋体" w:eastAsia="宋体" w:cs="宋体"/>
                <w:b w:val="0"/>
                <w:bCs/>
                <w:i w:val="0"/>
                <w:iCs/>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内，将有关部门出具的证明文件送达对方当事人。</w:t>
            </w:r>
          </w:p>
        </w:tc>
      </w:tr>
      <w:tr w14:paraId="2D7F9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DBE0F71">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center"/>
          </w:tcPr>
          <w:p w14:paraId="1469E7F5">
            <w:pPr>
              <w:keepNext w:val="0"/>
              <w:keepLines w:val="0"/>
              <w:pageBreakBefore w:val="0"/>
              <w:kinsoku/>
              <w:wordWrap/>
              <w:overflowPunct/>
              <w:topLinePunct w:val="0"/>
              <w:bidi w:val="0"/>
              <w:adjustRightInd w:val="0"/>
              <w:snapToGrid w:val="0"/>
              <w:spacing w:line="360" w:lineRule="auto"/>
              <w:ind w:right="0" w:rightChars="0"/>
              <w:textAlignment w:val="auto"/>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甲方；甲方要求</w:t>
            </w:r>
          </w:p>
        </w:tc>
      </w:tr>
      <w:tr w14:paraId="2C071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0C3869B">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1361512E">
            <w:pPr>
              <w:pStyle w:val="40"/>
              <w:keepNext w:val="0"/>
              <w:keepLines w:val="0"/>
              <w:pageBreakBefore w:val="0"/>
              <w:kinsoku/>
              <w:wordWrap/>
              <w:overflowPunct/>
              <w:topLinePunct w:val="0"/>
              <w:bidi w:val="0"/>
              <w:adjustRightInd w:val="0"/>
              <w:snapToGrid w:val="0"/>
              <w:spacing w:line="360" w:lineRule="auto"/>
              <w:ind w:right="0" w:rightChars="0" w:firstLine="0" w:firstLineChars="0"/>
              <w:textAlignment w:val="auto"/>
              <w:rPr>
                <w:rFonts w:ascii="宋体" w:hAnsi="宋体" w:cs="宋体"/>
                <w:color w:val="auto"/>
                <w:sz w:val="24"/>
                <w:highlight w:val="none"/>
              </w:rPr>
            </w:pPr>
            <w:r>
              <w:rPr>
                <w:rFonts w:hint="eastAsia" w:ascii="宋体" w:hAnsi="宋体" w:eastAsia="宋体" w:cs="宋体"/>
                <w:color w:val="auto"/>
                <w:kern w:val="2"/>
                <w:sz w:val="24"/>
                <w:szCs w:val="24"/>
                <w:highlight w:val="none"/>
              </w:rPr>
              <w:t>根据</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认可的有关国家标准、行业标准、地方标准或者其他标准规范，结合招标文件及合同规定的验收评定标准等规范由</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组织验收。</w:t>
            </w:r>
          </w:p>
        </w:tc>
      </w:tr>
      <w:tr w14:paraId="2A5F7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2D1CCE62">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vAlign w:val="top"/>
          </w:tcPr>
          <w:p w14:paraId="70B625A2">
            <w:pPr>
              <w:keepNext w:val="0"/>
              <w:keepLines w:val="0"/>
              <w:pageBreakBefore w:val="0"/>
              <w:kinsoku/>
              <w:wordWrap/>
              <w:overflowPunct/>
              <w:topLinePunct w:val="0"/>
              <w:bidi w:val="0"/>
              <w:adjustRightInd w:val="0"/>
              <w:snapToGrid w:val="0"/>
              <w:spacing w:line="360" w:lineRule="auto"/>
              <w:ind w:right="0" w:rightChars="0"/>
              <w:textAlignment w:val="auto"/>
              <w:rPr>
                <w:rFonts w:ascii="宋体" w:hAnsi="宋体" w:cs="宋体"/>
                <w:color w:val="auto"/>
                <w:sz w:val="24"/>
                <w:highlight w:val="none"/>
              </w:rPr>
            </w:pPr>
            <w:r>
              <w:rPr>
                <w:rFonts w:hint="eastAsia" w:ascii="宋体" w:hAnsi="宋体" w:eastAsia="宋体" w:cs="宋体"/>
                <w:color w:val="auto"/>
                <w:spacing w:val="2"/>
                <w:sz w:val="24"/>
                <w:szCs w:val="24"/>
                <w:highlight w:val="none"/>
              </w:rPr>
              <w:t>本合同一式</w:t>
            </w:r>
            <w:r>
              <w:rPr>
                <w:rFonts w:hint="eastAsia" w:ascii="宋体" w:hAnsi="宋体" w:eastAsia="宋体" w:cs="宋体"/>
                <w:color w:val="auto"/>
                <w:spacing w:val="2"/>
                <w:sz w:val="24"/>
                <w:szCs w:val="24"/>
                <w:highlight w:val="none"/>
                <w:u w:val="single"/>
              </w:rPr>
              <w:t>陆</w:t>
            </w:r>
            <w:r>
              <w:rPr>
                <w:rFonts w:hint="eastAsia" w:ascii="宋体" w:hAnsi="宋体" w:eastAsia="宋体" w:cs="宋体"/>
                <w:color w:val="auto"/>
                <w:spacing w:val="2"/>
                <w:sz w:val="24"/>
                <w:szCs w:val="24"/>
                <w:highlight w:val="none"/>
              </w:rPr>
              <w:t>份，均具有同等法律效力，甲方执</w:t>
            </w:r>
            <w:r>
              <w:rPr>
                <w:rFonts w:hint="eastAsia" w:ascii="宋体" w:hAnsi="宋体" w:eastAsia="宋体" w:cs="宋体"/>
                <w:color w:val="auto"/>
                <w:spacing w:val="2"/>
                <w:sz w:val="24"/>
                <w:szCs w:val="24"/>
                <w:highlight w:val="none"/>
                <w:u w:val="single"/>
              </w:rPr>
              <w:t>肆</w:t>
            </w:r>
            <w:r>
              <w:rPr>
                <w:rFonts w:hint="eastAsia" w:ascii="宋体" w:hAnsi="宋体" w:eastAsia="宋体" w:cs="宋体"/>
                <w:color w:val="auto"/>
                <w:spacing w:val="2"/>
                <w:sz w:val="24"/>
                <w:szCs w:val="24"/>
                <w:highlight w:val="none"/>
              </w:rPr>
              <w:t>份，乙方执</w:t>
            </w:r>
            <w:r>
              <w:rPr>
                <w:rFonts w:hint="eastAsia" w:ascii="宋体" w:hAnsi="宋体" w:eastAsia="宋体" w:cs="宋体"/>
                <w:color w:val="auto"/>
                <w:spacing w:val="2"/>
                <w:sz w:val="24"/>
                <w:szCs w:val="24"/>
                <w:highlight w:val="none"/>
                <w:u w:val="single"/>
              </w:rPr>
              <w:t>贰</w:t>
            </w:r>
            <w:r>
              <w:rPr>
                <w:rFonts w:hint="eastAsia" w:ascii="宋体" w:hAnsi="宋体" w:eastAsia="宋体" w:cs="宋体"/>
                <w:color w:val="auto"/>
                <w:spacing w:val="2"/>
                <w:sz w:val="24"/>
                <w:szCs w:val="24"/>
                <w:highlight w:val="none"/>
              </w:rPr>
              <w:t>份</w:t>
            </w:r>
          </w:p>
        </w:tc>
      </w:tr>
    </w:tbl>
    <w:p w14:paraId="114D17D2">
      <w:pPr>
        <w:spacing w:line="360" w:lineRule="auto"/>
        <w:ind w:left="-420" w:leftChars="-200" w:right="-420" w:rightChars="-200" w:firstLine="480" w:firstLineChars="200"/>
        <w:rPr>
          <w:rFonts w:ascii="宋体" w:hAnsi="宋体" w:cs="宋体"/>
          <w:color w:val="auto"/>
          <w:sz w:val="24"/>
          <w:highlight w:val="none"/>
        </w:rPr>
      </w:pPr>
    </w:p>
    <w:p w14:paraId="10587386">
      <w:pPr>
        <w:spacing w:line="360" w:lineRule="auto"/>
        <w:ind w:left="-420" w:leftChars="-200" w:right="-420" w:rightChars="-200" w:firstLine="480" w:firstLineChars="200"/>
        <w:rPr>
          <w:rFonts w:ascii="宋体" w:hAnsi="宋体" w:cs="宋体"/>
          <w:color w:val="auto"/>
          <w:sz w:val="24"/>
          <w:highlight w:val="none"/>
        </w:rPr>
      </w:pPr>
    </w:p>
    <w:p w14:paraId="487390B5">
      <w:pPr>
        <w:spacing w:line="360" w:lineRule="auto"/>
        <w:ind w:left="-420" w:leftChars="-200" w:right="-420" w:rightChars="-200"/>
        <w:rPr>
          <w:rFonts w:ascii="宋体" w:hAnsi="宋体" w:cs="宋体"/>
          <w:color w:val="auto"/>
          <w:sz w:val="24"/>
          <w:highlight w:val="none"/>
        </w:rPr>
      </w:pPr>
    </w:p>
    <w:p w14:paraId="4335DA0B">
      <w:pPr>
        <w:spacing w:line="360" w:lineRule="auto"/>
        <w:ind w:left="-420" w:leftChars="-200" w:right="-420" w:rightChars="-200" w:firstLine="480" w:firstLineChars="200"/>
        <w:jc w:val="center"/>
        <w:outlineLvl w:val="0"/>
        <w:rPr>
          <w:rFonts w:ascii="宋体" w:hAnsi="宋体" w:cs="宋体"/>
          <w:color w:val="auto"/>
          <w:sz w:val="24"/>
          <w:highlight w:val="none"/>
        </w:rPr>
      </w:pPr>
    </w:p>
    <w:p w14:paraId="51D769B0">
      <w:pPr>
        <w:spacing w:line="360" w:lineRule="auto"/>
        <w:ind w:left="-420" w:leftChars="-200" w:right="-420" w:rightChars="-200" w:firstLine="480" w:firstLineChars="200"/>
        <w:jc w:val="center"/>
        <w:outlineLvl w:val="0"/>
        <w:rPr>
          <w:rFonts w:ascii="宋体" w:hAnsi="宋体" w:cs="宋体"/>
          <w:color w:val="auto"/>
          <w:sz w:val="24"/>
          <w:highlight w:val="none"/>
        </w:rPr>
      </w:pPr>
    </w:p>
    <w:p w14:paraId="29FC1363">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6F562068">
      <w:pPr>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4"/>
      <w:r>
        <w:rPr>
          <w:rFonts w:hint="eastAsia" w:ascii="宋体" w:hAnsi="宋体" w:cs="宋体"/>
          <w:b/>
          <w:color w:val="auto"/>
          <w:sz w:val="36"/>
          <w:szCs w:val="20"/>
          <w:highlight w:val="none"/>
        </w:rPr>
        <w:t xml:space="preserve"> </w:t>
      </w:r>
      <w:bookmarkEnd w:id="395"/>
      <w:r>
        <w:rPr>
          <w:rFonts w:hint="eastAsia" w:ascii="宋体" w:hAnsi="宋体" w:cs="宋体"/>
          <w:b/>
          <w:color w:val="auto"/>
          <w:sz w:val="36"/>
          <w:szCs w:val="20"/>
          <w:highlight w:val="none"/>
        </w:rPr>
        <w:t>应提交的有关格式范例</w:t>
      </w:r>
    </w:p>
    <w:p w14:paraId="266D1841">
      <w:pPr>
        <w:spacing w:line="360" w:lineRule="auto"/>
        <w:jc w:val="center"/>
        <w:outlineLvl w:val="0"/>
        <w:rPr>
          <w:rFonts w:ascii="宋体" w:hAnsi="宋体" w:cs="宋体"/>
          <w:b/>
          <w:color w:val="auto"/>
          <w:kern w:val="0"/>
          <w:sz w:val="36"/>
          <w:szCs w:val="36"/>
          <w:highlight w:val="none"/>
        </w:rPr>
      </w:pPr>
    </w:p>
    <w:p w14:paraId="6B7B885F">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7B96FA2F">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DFFA63A">
      <w:pPr>
        <w:spacing w:line="360" w:lineRule="auto"/>
        <w:jc w:val="center"/>
        <w:outlineLvl w:val="0"/>
        <w:rPr>
          <w:rFonts w:ascii="宋体" w:hAnsi="宋体" w:cs="宋体"/>
          <w:b/>
          <w:color w:val="auto"/>
          <w:kern w:val="0"/>
          <w:sz w:val="36"/>
          <w:szCs w:val="36"/>
          <w:highlight w:val="none"/>
        </w:rPr>
      </w:pPr>
    </w:p>
    <w:p w14:paraId="1CF8802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3D658458">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F6BD89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7A6E9A0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2A9B0C8F">
      <w:pPr>
        <w:snapToGrid w:val="0"/>
        <w:spacing w:line="360" w:lineRule="auto"/>
        <w:ind w:firstLine="480" w:firstLineChars="200"/>
        <w:rPr>
          <w:rFonts w:ascii="宋体" w:hAnsi="宋体" w:cs="宋体"/>
          <w:color w:val="auto"/>
          <w:sz w:val="24"/>
          <w:highlight w:val="none"/>
        </w:rPr>
      </w:pPr>
    </w:p>
    <w:p w14:paraId="41D5BD17">
      <w:pPr>
        <w:spacing w:line="360" w:lineRule="auto"/>
        <w:ind w:firstLine="480" w:firstLineChars="200"/>
        <w:rPr>
          <w:rFonts w:ascii="宋体" w:hAnsi="宋体" w:cs="宋体"/>
          <w:color w:val="auto"/>
          <w:sz w:val="24"/>
          <w:highlight w:val="none"/>
        </w:rPr>
      </w:pPr>
    </w:p>
    <w:p w14:paraId="45F642BC">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796C4D48">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杭州市钱塘区人民政府义蓬街道办事处、浙江铭华工程管理有限公司</w:t>
      </w:r>
      <w:r>
        <w:rPr>
          <w:rFonts w:hint="eastAsia" w:ascii="宋体" w:hAnsi="宋体" w:cs="宋体"/>
          <w:color w:val="auto"/>
          <w:sz w:val="24"/>
          <w:highlight w:val="none"/>
        </w:rPr>
        <w:t>：</w:t>
      </w:r>
    </w:p>
    <w:p w14:paraId="79EE580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35F49C12">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750D43A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52BCDBE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41E25BD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62AB7F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8770BB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33A013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61CF8BD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066376E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1D20C12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75478B1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5495FE4">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462E01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DA24197">
      <w:pPr>
        <w:snapToGrid w:val="0"/>
        <w:spacing w:line="360" w:lineRule="auto"/>
        <w:ind w:right="480" w:firstLine="480" w:firstLineChars="200"/>
        <w:jc w:val="left"/>
        <w:rPr>
          <w:rFonts w:ascii="宋体" w:hAnsi="宋体" w:cs="宋体"/>
          <w:b/>
          <w:color w:val="auto"/>
          <w:kern w:val="0"/>
          <w:sz w:val="32"/>
          <w:szCs w:val="32"/>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6DA1685">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AB46A95">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045FBB95">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1F7149F1">
      <w:pPr>
        <w:snapToGrid w:val="0"/>
        <w:spacing w:line="360" w:lineRule="auto"/>
        <w:ind w:right="480"/>
        <w:jc w:val="center"/>
        <w:rPr>
          <w:rFonts w:ascii="宋体" w:hAnsi="宋体" w:cs="宋体"/>
          <w:b/>
          <w:color w:val="auto"/>
          <w:kern w:val="0"/>
          <w:sz w:val="32"/>
          <w:szCs w:val="32"/>
          <w:highlight w:val="none"/>
        </w:rPr>
      </w:pPr>
    </w:p>
    <w:p w14:paraId="083106F9">
      <w:pPr>
        <w:snapToGrid w:val="0"/>
        <w:spacing w:line="360" w:lineRule="auto"/>
        <w:ind w:right="480"/>
        <w:jc w:val="center"/>
        <w:rPr>
          <w:rFonts w:ascii="宋体" w:hAnsi="宋体" w:cs="宋体"/>
          <w:b/>
          <w:color w:val="auto"/>
          <w:kern w:val="0"/>
          <w:sz w:val="32"/>
          <w:szCs w:val="32"/>
          <w:highlight w:val="none"/>
        </w:rPr>
      </w:pPr>
    </w:p>
    <w:p w14:paraId="22BA301F">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2326420A">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670A0A26">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2663825B">
      <w:pPr>
        <w:widowControl/>
        <w:spacing w:line="360" w:lineRule="auto"/>
        <w:ind w:firstLine="480"/>
        <w:jc w:val="left"/>
        <w:rPr>
          <w:rFonts w:ascii="宋体" w:hAnsi="宋体" w:cs="宋体"/>
          <w:color w:val="auto"/>
          <w:sz w:val="24"/>
          <w:highlight w:val="none"/>
        </w:rPr>
      </w:pPr>
    </w:p>
    <w:p w14:paraId="2FC01000">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14:paraId="05A170EA">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78B30F4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14:paraId="162A384F">
      <w:pPr>
        <w:widowControl/>
        <w:spacing w:line="360" w:lineRule="auto"/>
        <w:ind w:left="150"/>
        <w:jc w:val="center"/>
        <w:rPr>
          <w:rFonts w:ascii="宋体" w:hAnsi="宋体" w:cs="宋体"/>
          <w:b/>
          <w:color w:val="auto"/>
          <w:kern w:val="0"/>
          <w:sz w:val="32"/>
          <w:szCs w:val="32"/>
          <w:highlight w:val="none"/>
        </w:rPr>
      </w:pPr>
    </w:p>
    <w:p w14:paraId="194BC5D7">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48A8C5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142ED10">
      <w:pPr>
        <w:rPr>
          <w:rFonts w:ascii="宋体" w:hAnsi="宋体" w:cs="宋体"/>
          <w:color w:val="auto"/>
          <w:highlight w:val="none"/>
        </w:rPr>
      </w:pPr>
    </w:p>
    <w:p w14:paraId="0ABED52D">
      <w:pPr>
        <w:snapToGrid w:val="0"/>
        <w:spacing w:line="360" w:lineRule="auto"/>
        <w:ind w:right="480"/>
        <w:jc w:val="center"/>
        <w:rPr>
          <w:rFonts w:ascii="宋体" w:hAnsi="宋体" w:cs="宋体"/>
          <w:b/>
          <w:color w:val="auto"/>
          <w:kern w:val="0"/>
          <w:sz w:val="32"/>
          <w:szCs w:val="32"/>
          <w:highlight w:val="none"/>
        </w:rPr>
      </w:pPr>
    </w:p>
    <w:p w14:paraId="49E77680">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57C8C5BD">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684DDA3E">
      <w:pPr>
        <w:spacing w:line="360" w:lineRule="auto"/>
        <w:jc w:val="center"/>
        <w:outlineLvl w:val="0"/>
        <w:rPr>
          <w:rFonts w:ascii="宋体" w:hAnsi="宋体" w:cs="宋体"/>
          <w:b/>
          <w:color w:val="auto"/>
          <w:kern w:val="0"/>
          <w:sz w:val="24"/>
          <w:highlight w:val="none"/>
        </w:rPr>
      </w:pPr>
    </w:p>
    <w:p w14:paraId="2C3B24FD">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4D3FECEF">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（1）投标函</w:t>
      </w:r>
      <w:r>
        <w:rPr>
          <w:rFonts w:hint="eastAsia" w:ascii="宋体" w:hAnsi="宋体" w:cs="宋体"/>
          <w:color w:val="auto"/>
          <w:highlight w:val="none"/>
        </w:rPr>
        <w:t>…………………………………………………………………………………</w:t>
      </w:r>
      <w:r>
        <w:rPr>
          <w:rFonts w:hint="eastAsia" w:ascii="宋体" w:hAnsi="宋体" w:cs="宋体"/>
          <w:color w:val="auto"/>
          <w:sz w:val="24"/>
          <w:highlight w:val="none"/>
        </w:rPr>
        <w:t>（页码）（2）授权委托书或法定代表人（单位负责人、自然人本人）身份证明</w:t>
      </w:r>
      <w:r>
        <w:rPr>
          <w:rFonts w:hint="eastAsia" w:ascii="宋体" w:hAnsi="宋体" w:cs="宋体"/>
          <w:color w:val="auto"/>
          <w:highlight w:val="none"/>
        </w:rPr>
        <w:t>………</w:t>
      </w:r>
      <w:r>
        <w:rPr>
          <w:rFonts w:hint="eastAsia" w:ascii="宋体" w:hAnsi="宋体" w:cs="宋体"/>
          <w:color w:val="auto"/>
          <w:sz w:val="24"/>
          <w:highlight w:val="none"/>
        </w:rPr>
        <w:t>（页码）</w:t>
      </w:r>
    </w:p>
    <w:p w14:paraId="465B04F4">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w:t>
      </w:r>
      <w:r>
        <w:rPr>
          <w:rFonts w:hint="eastAsia" w:ascii="宋体" w:hAnsi="宋体" w:cs="宋体"/>
          <w:color w:val="auto"/>
          <w:sz w:val="24"/>
          <w:highlight w:val="none"/>
        </w:rPr>
        <w:t>（页码）</w:t>
      </w:r>
    </w:p>
    <w:p w14:paraId="22B3B95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w:t>
      </w:r>
      <w:r>
        <w:rPr>
          <w:rFonts w:hint="eastAsia" w:ascii="宋体" w:hAnsi="宋体" w:cs="宋体"/>
          <w:color w:val="auto"/>
          <w:sz w:val="24"/>
          <w:highlight w:val="none"/>
        </w:rPr>
        <w:t>（页码）</w:t>
      </w:r>
    </w:p>
    <w:p w14:paraId="47500FD1">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p>
    <w:p w14:paraId="5F6197F7">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人员配置</w:t>
      </w:r>
      <w:r>
        <w:rPr>
          <w:rFonts w:hint="eastAsia" w:ascii="宋体" w:hAnsi="宋体" w:cs="宋体"/>
          <w:color w:val="auto"/>
          <w:sz w:val="24"/>
          <w:highlight w:val="none"/>
        </w:rPr>
        <w:t>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r>
        <w:rPr>
          <w:rFonts w:hint="eastAsia" w:ascii="宋体" w:hAnsi="宋体" w:cs="宋体"/>
          <w:color w:val="auto"/>
          <w:highlight w:val="none"/>
        </w:rPr>
        <w:t>………………………………………………………………………</w:t>
      </w:r>
      <w:r>
        <w:rPr>
          <w:rFonts w:hint="eastAsia" w:ascii="宋体" w:hAnsi="宋体" w:cs="宋体"/>
          <w:color w:val="auto"/>
          <w:sz w:val="24"/>
          <w:highlight w:val="none"/>
        </w:rPr>
        <w:t>（页码）</w:t>
      </w:r>
    </w:p>
    <w:p w14:paraId="4E77E490">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w:t>
      </w:r>
      <w:r>
        <w:rPr>
          <w:rFonts w:hint="eastAsia" w:ascii="宋体" w:hAnsi="宋体" w:cs="宋体"/>
          <w:color w:val="auto"/>
          <w:sz w:val="24"/>
          <w:highlight w:val="none"/>
        </w:rPr>
        <w:t>（页码）</w:t>
      </w:r>
    </w:p>
    <w:p w14:paraId="4A58EF70">
      <w:pPr>
        <w:snapToGrid w:val="0"/>
        <w:spacing w:line="360" w:lineRule="auto"/>
        <w:jc w:val="center"/>
        <w:rPr>
          <w:rFonts w:ascii="宋体" w:hAnsi="宋体" w:cs="宋体"/>
          <w:b/>
          <w:color w:val="auto"/>
          <w:kern w:val="0"/>
          <w:sz w:val="32"/>
          <w:szCs w:val="32"/>
          <w:highlight w:val="none"/>
          <w:lang w:val="zh-CN"/>
        </w:rPr>
      </w:pPr>
    </w:p>
    <w:p w14:paraId="75CF45AC">
      <w:pPr>
        <w:snapToGrid w:val="0"/>
        <w:spacing w:line="360" w:lineRule="auto"/>
        <w:jc w:val="center"/>
        <w:rPr>
          <w:rFonts w:ascii="宋体" w:hAnsi="宋体" w:cs="宋体"/>
          <w:b/>
          <w:color w:val="auto"/>
          <w:kern w:val="0"/>
          <w:sz w:val="32"/>
          <w:szCs w:val="32"/>
          <w:highlight w:val="none"/>
          <w:lang w:val="zh-CN"/>
        </w:rPr>
      </w:pPr>
    </w:p>
    <w:p w14:paraId="5621F20C">
      <w:pPr>
        <w:snapToGrid w:val="0"/>
        <w:spacing w:line="360" w:lineRule="auto"/>
        <w:jc w:val="center"/>
        <w:rPr>
          <w:rFonts w:ascii="宋体" w:hAnsi="宋体" w:cs="宋体"/>
          <w:b/>
          <w:color w:val="auto"/>
          <w:kern w:val="0"/>
          <w:sz w:val="32"/>
          <w:szCs w:val="32"/>
          <w:highlight w:val="none"/>
          <w:lang w:val="zh-CN"/>
        </w:rPr>
      </w:pPr>
    </w:p>
    <w:p w14:paraId="5698DFAA">
      <w:pPr>
        <w:snapToGrid w:val="0"/>
        <w:spacing w:line="360" w:lineRule="auto"/>
        <w:jc w:val="center"/>
        <w:rPr>
          <w:rFonts w:ascii="宋体" w:hAnsi="宋体" w:cs="宋体"/>
          <w:b/>
          <w:color w:val="auto"/>
          <w:kern w:val="0"/>
          <w:sz w:val="32"/>
          <w:szCs w:val="32"/>
          <w:highlight w:val="none"/>
          <w:lang w:val="zh-CN"/>
        </w:rPr>
      </w:pPr>
    </w:p>
    <w:p w14:paraId="79514F81">
      <w:pPr>
        <w:snapToGrid w:val="0"/>
        <w:spacing w:line="360" w:lineRule="auto"/>
        <w:jc w:val="center"/>
        <w:rPr>
          <w:rFonts w:ascii="宋体" w:hAnsi="宋体" w:cs="宋体"/>
          <w:b/>
          <w:color w:val="auto"/>
          <w:kern w:val="0"/>
          <w:sz w:val="32"/>
          <w:szCs w:val="32"/>
          <w:highlight w:val="none"/>
          <w:lang w:val="zh-CN"/>
        </w:rPr>
      </w:pPr>
    </w:p>
    <w:p w14:paraId="409FA1F9">
      <w:pPr>
        <w:snapToGrid w:val="0"/>
        <w:spacing w:line="360" w:lineRule="auto"/>
        <w:jc w:val="center"/>
        <w:rPr>
          <w:rFonts w:ascii="宋体" w:hAnsi="宋体" w:cs="宋体"/>
          <w:b/>
          <w:color w:val="auto"/>
          <w:kern w:val="0"/>
          <w:sz w:val="32"/>
          <w:szCs w:val="32"/>
          <w:highlight w:val="none"/>
          <w:lang w:val="zh-CN"/>
        </w:rPr>
      </w:pPr>
    </w:p>
    <w:p w14:paraId="3332A475">
      <w:pPr>
        <w:snapToGrid w:val="0"/>
        <w:spacing w:line="360" w:lineRule="auto"/>
        <w:jc w:val="center"/>
        <w:rPr>
          <w:rFonts w:ascii="宋体" w:hAnsi="宋体" w:cs="宋体"/>
          <w:b/>
          <w:color w:val="auto"/>
          <w:kern w:val="0"/>
          <w:sz w:val="32"/>
          <w:szCs w:val="32"/>
          <w:highlight w:val="none"/>
          <w:lang w:val="zh-CN"/>
        </w:rPr>
      </w:pPr>
    </w:p>
    <w:p w14:paraId="094A3589">
      <w:pPr>
        <w:snapToGrid w:val="0"/>
        <w:spacing w:line="360" w:lineRule="auto"/>
        <w:jc w:val="center"/>
        <w:rPr>
          <w:rFonts w:ascii="宋体" w:hAnsi="宋体" w:cs="宋体"/>
          <w:b/>
          <w:color w:val="auto"/>
          <w:kern w:val="0"/>
          <w:sz w:val="32"/>
          <w:szCs w:val="32"/>
          <w:highlight w:val="none"/>
          <w:lang w:val="zh-CN"/>
        </w:rPr>
      </w:pPr>
    </w:p>
    <w:p w14:paraId="586332B8">
      <w:pPr>
        <w:snapToGrid w:val="0"/>
        <w:spacing w:line="360" w:lineRule="auto"/>
        <w:jc w:val="center"/>
        <w:rPr>
          <w:rFonts w:ascii="宋体" w:hAnsi="宋体" w:cs="宋体"/>
          <w:b/>
          <w:color w:val="auto"/>
          <w:kern w:val="0"/>
          <w:sz w:val="32"/>
          <w:szCs w:val="32"/>
          <w:highlight w:val="none"/>
          <w:lang w:val="zh-CN"/>
        </w:rPr>
      </w:pPr>
    </w:p>
    <w:p w14:paraId="32F5FA59">
      <w:pPr>
        <w:snapToGrid w:val="0"/>
        <w:spacing w:line="360" w:lineRule="auto"/>
        <w:jc w:val="center"/>
        <w:rPr>
          <w:rFonts w:ascii="宋体" w:hAnsi="宋体" w:cs="宋体"/>
          <w:b/>
          <w:color w:val="auto"/>
          <w:kern w:val="0"/>
          <w:sz w:val="32"/>
          <w:szCs w:val="32"/>
          <w:highlight w:val="none"/>
          <w:lang w:val="zh-CN"/>
        </w:rPr>
      </w:pPr>
    </w:p>
    <w:p w14:paraId="2170424F">
      <w:pPr>
        <w:snapToGrid w:val="0"/>
        <w:spacing w:line="360" w:lineRule="auto"/>
        <w:jc w:val="center"/>
        <w:rPr>
          <w:rFonts w:ascii="宋体" w:hAnsi="宋体" w:cs="宋体"/>
          <w:b/>
          <w:color w:val="auto"/>
          <w:kern w:val="0"/>
          <w:sz w:val="32"/>
          <w:szCs w:val="32"/>
          <w:highlight w:val="none"/>
          <w:lang w:val="zh-CN"/>
        </w:rPr>
      </w:pPr>
    </w:p>
    <w:p w14:paraId="12ED3B2C">
      <w:pPr>
        <w:snapToGrid w:val="0"/>
        <w:spacing w:line="360" w:lineRule="auto"/>
        <w:jc w:val="center"/>
        <w:rPr>
          <w:rFonts w:ascii="宋体" w:hAnsi="宋体" w:cs="宋体"/>
          <w:b/>
          <w:color w:val="auto"/>
          <w:kern w:val="0"/>
          <w:sz w:val="32"/>
          <w:szCs w:val="32"/>
          <w:highlight w:val="none"/>
          <w:lang w:val="zh-CN"/>
        </w:rPr>
      </w:pPr>
    </w:p>
    <w:p w14:paraId="1B53A8A3">
      <w:pPr>
        <w:rPr>
          <w:rFonts w:ascii="宋体" w:hAnsi="宋体" w:cs="宋体"/>
          <w:b/>
          <w:color w:val="auto"/>
          <w:kern w:val="0"/>
          <w:sz w:val="32"/>
          <w:szCs w:val="32"/>
          <w:highlight w:val="none"/>
          <w:lang w:val="zh-CN"/>
        </w:rPr>
      </w:pPr>
    </w:p>
    <w:p w14:paraId="4A622652">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70682DE">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67BD6FC0">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杭州市钱塘区人民政府义蓬街道办事处、浙江铭华工程管理有限公司</w:t>
      </w:r>
      <w:r>
        <w:rPr>
          <w:rFonts w:hint="eastAsia" w:ascii="宋体" w:hAnsi="宋体" w:cs="宋体"/>
          <w:color w:val="auto"/>
          <w:sz w:val="24"/>
          <w:highlight w:val="none"/>
        </w:rPr>
        <w:t>：</w:t>
      </w:r>
    </w:p>
    <w:p w14:paraId="11DDDF3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343272D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478B098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75FA040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0F84FB6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1F63B9E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08" w:name="_Hlk101257010"/>
      <w:r>
        <w:rPr>
          <w:rFonts w:hint="eastAsia" w:ascii="宋体" w:hAnsi="宋体" w:cs="宋体"/>
          <w:color w:val="auto"/>
          <w:sz w:val="24"/>
          <w:highlight w:val="none"/>
        </w:rPr>
        <w:t>（如果有)</w:t>
      </w:r>
      <w:bookmarkEnd w:id="408"/>
      <w:r>
        <w:rPr>
          <w:rFonts w:hint="eastAsia" w:ascii="宋体" w:hAnsi="宋体" w:cs="宋体"/>
          <w:snapToGrid w:val="0"/>
          <w:color w:val="auto"/>
          <w:kern w:val="28"/>
          <w:sz w:val="24"/>
          <w:szCs w:val="20"/>
          <w:highlight w:val="none"/>
        </w:rPr>
        <w:t>；</w:t>
      </w:r>
    </w:p>
    <w:p w14:paraId="76CEDD1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60B35C0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0B5F0280">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2DD129B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64CF0B2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333234C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01FD109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F25934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9AAF46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03663C3A">
      <w:pPr>
        <w:snapToGrid w:val="0"/>
        <w:spacing w:line="360" w:lineRule="auto"/>
        <w:ind w:left="420" w:leftChars="20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lang w:val="en-US" w:eastAsia="zh-CN"/>
        </w:rPr>
        <w:t>人员配置清单；</w:t>
      </w:r>
    </w:p>
    <w:p w14:paraId="23DF58C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14:paraId="21759AE3">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14:paraId="1CA3A47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257B76E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2689D554">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w:t>
      </w:r>
      <w:r>
        <w:rPr>
          <w:rFonts w:hint="eastAsia" w:ascii="宋体" w:hAnsi="宋体" w:eastAsia="宋体" w:cs="宋体"/>
          <w:color w:val="auto"/>
          <w:spacing w:val="0"/>
          <w:sz w:val="24"/>
          <w:szCs w:val="24"/>
          <w:highlight w:val="none"/>
        </w:rPr>
        <w:t>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14:paraId="7D3C31F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4600E87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14:paraId="603A97F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49ECB8A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1111FCD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7C608F6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75FCC38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667D6E32">
      <w:pPr>
        <w:numPr>
          <w:ilvl w:val="0"/>
          <w:numId w:val="3"/>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94DEEDD">
      <w:pPr>
        <w:numPr>
          <w:ilvl w:val="0"/>
          <w:numId w:val="3"/>
        </w:numPr>
        <w:snapToGrid/>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901C93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5D95E2A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6B256B5">
      <w:pPr>
        <w:snapToGrid w:val="0"/>
        <w:spacing w:line="360" w:lineRule="auto"/>
        <w:ind w:left="420" w:leftChars="200" w:firstLine="4200" w:firstLineChars="1750"/>
        <w:rPr>
          <w:rFonts w:ascii="宋体" w:hAnsi="宋体" w:cs="宋体"/>
          <w:color w:val="auto"/>
          <w:kern w:val="0"/>
          <w:sz w:val="24"/>
          <w:highlight w:val="none"/>
          <w:u w:val="single"/>
        </w:rPr>
      </w:pPr>
    </w:p>
    <w:p w14:paraId="70F683E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78992F9">
      <w:pPr>
        <w:jc w:val="center"/>
        <w:rPr>
          <w:rFonts w:ascii="宋体" w:hAnsi="宋体" w:cs="宋体"/>
          <w:b/>
          <w:color w:val="auto"/>
          <w:kern w:val="0"/>
          <w:sz w:val="32"/>
          <w:szCs w:val="32"/>
          <w:highlight w:val="none"/>
        </w:rPr>
      </w:pPr>
    </w:p>
    <w:p w14:paraId="69E4056F">
      <w:pPr>
        <w:jc w:val="center"/>
        <w:rPr>
          <w:rFonts w:ascii="宋体" w:hAnsi="宋体" w:cs="宋体"/>
          <w:b/>
          <w:color w:val="auto"/>
          <w:kern w:val="0"/>
          <w:sz w:val="32"/>
          <w:szCs w:val="32"/>
          <w:highlight w:val="none"/>
        </w:rPr>
      </w:pPr>
    </w:p>
    <w:p w14:paraId="4CFDAF0F">
      <w:pPr>
        <w:jc w:val="center"/>
        <w:rPr>
          <w:rFonts w:ascii="宋体" w:hAnsi="宋体" w:cs="宋体"/>
          <w:b/>
          <w:color w:val="auto"/>
          <w:kern w:val="0"/>
          <w:sz w:val="32"/>
          <w:szCs w:val="32"/>
          <w:highlight w:val="none"/>
        </w:rPr>
      </w:pPr>
    </w:p>
    <w:p w14:paraId="605F5F6B">
      <w:pPr>
        <w:jc w:val="center"/>
        <w:rPr>
          <w:rFonts w:ascii="宋体" w:hAnsi="宋体" w:cs="宋体"/>
          <w:b/>
          <w:color w:val="auto"/>
          <w:kern w:val="0"/>
          <w:sz w:val="32"/>
          <w:szCs w:val="32"/>
          <w:highlight w:val="none"/>
        </w:rPr>
      </w:pPr>
    </w:p>
    <w:p w14:paraId="3E47FD7B">
      <w:pPr>
        <w:jc w:val="center"/>
        <w:rPr>
          <w:rFonts w:ascii="宋体" w:hAnsi="宋体" w:cs="宋体"/>
          <w:b/>
          <w:color w:val="auto"/>
          <w:kern w:val="0"/>
          <w:sz w:val="32"/>
          <w:szCs w:val="32"/>
          <w:highlight w:val="none"/>
        </w:rPr>
      </w:pPr>
    </w:p>
    <w:p w14:paraId="12970B1E">
      <w:pPr>
        <w:jc w:val="center"/>
        <w:rPr>
          <w:rFonts w:ascii="宋体" w:hAnsi="宋体" w:cs="宋体"/>
          <w:b/>
          <w:color w:val="auto"/>
          <w:kern w:val="0"/>
          <w:sz w:val="32"/>
          <w:szCs w:val="32"/>
          <w:highlight w:val="none"/>
        </w:rPr>
      </w:pPr>
    </w:p>
    <w:p w14:paraId="2EF26101">
      <w:pPr>
        <w:jc w:val="center"/>
        <w:rPr>
          <w:rFonts w:ascii="宋体" w:hAnsi="宋体" w:cs="宋体"/>
          <w:b/>
          <w:color w:val="auto"/>
          <w:kern w:val="0"/>
          <w:sz w:val="32"/>
          <w:szCs w:val="32"/>
          <w:highlight w:val="none"/>
        </w:rPr>
      </w:pPr>
    </w:p>
    <w:p w14:paraId="23D513C0">
      <w:pPr>
        <w:pStyle w:val="2"/>
        <w:rPr>
          <w:color w:val="auto"/>
          <w:highlight w:val="none"/>
          <w:lang w:val="en-US"/>
        </w:rPr>
      </w:pPr>
    </w:p>
    <w:p w14:paraId="6AA8E395">
      <w:pPr>
        <w:jc w:val="center"/>
        <w:rPr>
          <w:rFonts w:ascii="宋体" w:hAnsi="宋体" w:cs="宋体"/>
          <w:b/>
          <w:color w:val="auto"/>
          <w:kern w:val="0"/>
          <w:sz w:val="32"/>
          <w:szCs w:val="32"/>
          <w:highlight w:val="none"/>
        </w:rPr>
      </w:pPr>
    </w:p>
    <w:p w14:paraId="145269CB">
      <w:pPr>
        <w:jc w:val="center"/>
        <w:rPr>
          <w:rFonts w:ascii="宋体" w:hAnsi="宋体" w:cs="宋体"/>
          <w:b/>
          <w:color w:val="auto"/>
          <w:kern w:val="0"/>
          <w:sz w:val="32"/>
          <w:szCs w:val="32"/>
          <w:highlight w:val="none"/>
        </w:rPr>
      </w:pPr>
    </w:p>
    <w:p w14:paraId="33E698D4">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6AE0F08">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2A5EAE8B">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429C3AF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杭州市钱塘区人民政府义蓬街道办事处、浙江铭华工程管理有限公司</w:t>
      </w:r>
      <w:r>
        <w:rPr>
          <w:rFonts w:hint="eastAsia" w:ascii="宋体" w:hAnsi="宋体" w:cs="宋体"/>
          <w:color w:val="auto"/>
          <w:kern w:val="0"/>
          <w:sz w:val="24"/>
          <w:highlight w:val="none"/>
          <w:lang w:val="zh-CN"/>
        </w:rPr>
        <w:t>：</w:t>
      </w:r>
    </w:p>
    <w:p w14:paraId="06451055">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FA47E9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252B4C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87FC2E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56A538B2">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3E3AFD48">
      <w:pPr>
        <w:snapToGrid w:val="0"/>
        <w:spacing w:line="360" w:lineRule="auto"/>
        <w:rPr>
          <w:rFonts w:ascii="宋体" w:hAnsi="宋体" w:cs="宋体"/>
          <w:color w:val="auto"/>
          <w:sz w:val="24"/>
          <w:highlight w:val="none"/>
        </w:rPr>
      </w:pPr>
    </w:p>
    <w:p w14:paraId="45C9DAF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536FFB1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杭州市钱塘区人民政府义蓬街道办事处、浙江铭华工程管理有限公司</w:t>
      </w:r>
      <w:r>
        <w:rPr>
          <w:rFonts w:hint="eastAsia" w:ascii="宋体" w:hAnsi="宋体" w:cs="宋体"/>
          <w:color w:val="auto"/>
          <w:kern w:val="0"/>
          <w:sz w:val="24"/>
          <w:highlight w:val="none"/>
          <w:lang w:val="zh-CN"/>
        </w:rPr>
        <w:t>：</w:t>
      </w:r>
    </w:p>
    <w:p w14:paraId="3857F6B7">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2477C61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C4FD8F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CB9E320">
      <w:pPr>
        <w:jc w:val="center"/>
        <w:rPr>
          <w:rFonts w:ascii="宋体" w:hAnsi="宋体" w:cs="宋体"/>
          <w:b/>
          <w:color w:val="auto"/>
          <w:kern w:val="0"/>
          <w:sz w:val="32"/>
          <w:szCs w:val="32"/>
          <w:highlight w:val="none"/>
        </w:rPr>
      </w:pPr>
    </w:p>
    <w:p w14:paraId="6B1155C0">
      <w:pPr>
        <w:rPr>
          <w:rFonts w:ascii="宋体" w:hAnsi="宋体" w:cs="宋体"/>
          <w:color w:val="auto"/>
          <w:highlight w:val="none"/>
        </w:rPr>
      </w:pPr>
    </w:p>
    <w:p w14:paraId="6E8CAF5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262E13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F62458A">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D00FEFE">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5963971">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5F6ECEAF">
      <w:pPr>
        <w:autoSpaceDE w:val="0"/>
        <w:autoSpaceDN w:val="0"/>
        <w:spacing w:line="360" w:lineRule="auto"/>
        <w:jc w:val="center"/>
        <w:rPr>
          <w:rFonts w:ascii="宋体" w:hAnsi="宋体" w:cs="宋体"/>
          <w:b/>
          <w:color w:val="auto"/>
          <w:kern w:val="0"/>
          <w:sz w:val="32"/>
          <w:szCs w:val="32"/>
          <w:highlight w:val="none"/>
          <w:lang w:val="zh-CN"/>
        </w:rPr>
      </w:pPr>
    </w:p>
    <w:p w14:paraId="16779693">
      <w:pPr>
        <w:autoSpaceDE w:val="0"/>
        <w:autoSpaceDN w:val="0"/>
        <w:spacing w:line="360" w:lineRule="auto"/>
        <w:jc w:val="center"/>
        <w:rPr>
          <w:rFonts w:hint="eastAsia" w:ascii="宋体" w:hAnsi="宋体" w:cs="宋体"/>
          <w:b/>
          <w:color w:val="auto"/>
          <w:kern w:val="0"/>
          <w:sz w:val="32"/>
          <w:szCs w:val="32"/>
          <w:highlight w:val="none"/>
          <w:lang w:val="zh-CN"/>
        </w:rPr>
      </w:pPr>
    </w:p>
    <w:p w14:paraId="3E42A5FB">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322CE72D">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A71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96CF798">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0C1BC88E">
            <w:pPr>
              <w:pStyle w:val="150"/>
              <w:adjustRightInd w:val="0"/>
              <w:spacing w:line="360" w:lineRule="auto"/>
              <w:rPr>
                <w:rFonts w:hAnsi="宋体" w:cs="宋体"/>
                <w:bCs/>
                <w:color w:val="auto"/>
                <w:sz w:val="24"/>
                <w:highlight w:val="none"/>
              </w:rPr>
            </w:pPr>
          </w:p>
        </w:tc>
      </w:tr>
    </w:tbl>
    <w:p w14:paraId="62867F29">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8E51D02">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4429E232">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EC1ED87">
      <w:pPr>
        <w:jc w:val="center"/>
        <w:rPr>
          <w:rFonts w:ascii="宋体" w:hAnsi="宋体" w:cs="宋体"/>
          <w:b/>
          <w:color w:val="auto"/>
          <w:kern w:val="0"/>
          <w:sz w:val="32"/>
          <w:szCs w:val="32"/>
          <w:highlight w:val="none"/>
        </w:rPr>
      </w:pPr>
    </w:p>
    <w:p w14:paraId="562D1FA1">
      <w:pPr>
        <w:jc w:val="center"/>
        <w:rPr>
          <w:rFonts w:ascii="宋体" w:hAnsi="宋体" w:cs="宋体"/>
          <w:b/>
          <w:color w:val="auto"/>
          <w:kern w:val="0"/>
          <w:sz w:val="32"/>
          <w:szCs w:val="32"/>
          <w:highlight w:val="none"/>
        </w:rPr>
      </w:pPr>
    </w:p>
    <w:p w14:paraId="62D790C7">
      <w:pPr>
        <w:jc w:val="center"/>
        <w:rPr>
          <w:rFonts w:ascii="宋体" w:hAnsi="宋体" w:cs="宋体"/>
          <w:b/>
          <w:color w:val="auto"/>
          <w:kern w:val="0"/>
          <w:sz w:val="32"/>
          <w:szCs w:val="32"/>
          <w:highlight w:val="none"/>
        </w:rPr>
      </w:pPr>
    </w:p>
    <w:p w14:paraId="78EF04AF">
      <w:pPr>
        <w:jc w:val="center"/>
        <w:rPr>
          <w:rFonts w:ascii="宋体" w:hAnsi="宋体" w:cs="宋体"/>
          <w:b/>
          <w:color w:val="auto"/>
          <w:kern w:val="0"/>
          <w:sz w:val="32"/>
          <w:szCs w:val="32"/>
          <w:highlight w:val="none"/>
        </w:rPr>
      </w:pPr>
    </w:p>
    <w:p w14:paraId="3F64AF43">
      <w:pPr>
        <w:jc w:val="center"/>
        <w:rPr>
          <w:rFonts w:ascii="宋体" w:hAnsi="宋体" w:cs="宋体"/>
          <w:b/>
          <w:color w:val="auto"/>
          <w:kern w:val="0"/>
          <w:sz w:val="32"/>
          <w:szCs w:val="32"/>
          <w:highlight w:val="none"/>
        </w:rPr>
      </w:pPr>
    </w:p>
    <w:p w14:paraId="17940E1C">
      <w:pPr>
        <w:jc w:val="center"/>
        <w:rPr>
          <w:rFonts w:ascii="宋体" w:hAnsi="宋体" w:cs="宋体"/>
          <w:b/>
          <w:color w:val="auto"/>
          <w:kern w:val="0"/>
          <w:sz w:val="32"/>
          <w:szCs w:val="32"/>
          <w:highlight w:val="none"/>
        </w:rPr>
      </w:pPr>
    </w:p>
    <w:p w14:paraId="167F9DEE">
      <w:pPr>
        <w:jc w:val="center"/>
        <w:rPr>
          <w:rFonts w:ascii="宋体" w:hAnsi="宋体" w:cs="宋体"/>
          <w:b/>
          <w:color w:val="auto"/>
          <w:kern w:val="0"/>
          <w:sz w:val="32"/>
          <w:szCs w:val="32"/>
          <w:highlight w:val="none"/>
        </w:rPr>
      </w:pPr>
    </w:p>
    <w:p w14:paraId="286F67F5">
      <w:pPr>
        <w:jc w:val="center"/>
        <w:rPr>
          <w:rFonts w:ascii="宋体" w:hAnsi="宋体" w:cs="宋体"/>
          <w:b/>
          <w:color w:val="auto"/>
          <w:kern w:val="0"/>
          <w:sz w:val="32"/>
          <w:szCs w:val="32"/>
          <w:highlight w:val="none"/>
        </w:rPr>
      </w:pPr>
    </w:p>
    <w:p w14:paraId="4A2DD608">
      <w:pPr>
        <w:jc w:val="center"/>
        <w:rPr>
          <w:rFonts w:ascii="宋体" w:hAnsi="宋体" w:cs="宋体"/>
          <w:b/>
          <w:color w:val="auto"/>
          <w:kern w:val="0"/>
          <w:sz w:val="32"/>
          <w:szCs w:val="32"/>
          <w:highlight w:val="none"/>
        </w:rPr>
      </w:pPr>
    </w:p>
    <w:p w14:paraId="17C212CF">
      <w:pPr>
        <w:jc w:val="center"/>
        <w:rPr>
          <w:rFonts w:ascii="宋体" w:hAnsi="宋体" w:cs="宋体"/>
          <w:b/>
          <w:color w:val="auto"/>
          <w:kern w:val="0"/>
          <w:sz w:val="32"/>
          <w:szCs w:val="32"/>
          <w:highlight w:val="none"/>
        </w:rPr>
      </w:pPr>
    </w:p>
    <w:p w14:paraId="145C65D5">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A7B034A">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5A96D584">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33022140">
      <w:pPr>
        <w:snapToGrid w:val="0"/>
        <w:spacing w:line="360" w:lineRule="auto"/>
        <w:rPr>
          <w:rFonts w:ascii="宋体" w:hAnsi="宋体" w:cs="宋体"/>
          <w:color w:val="auto"/>
          <w:kern w:val="0"/>
          <w:sz w:val="24"/>
          <w:highlight w:val="none"/>
        </w:rPr>
      </w:pPr>
    </w:p>
    <w:p w14:paraId="6CAEE9F5">
      <w:pPr>
        <w:numPr>
          <w:ilvl w:val="0"/>
          <w:numId w:val="4"/>
        </w:num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符合性审查资料</w:t>
      </w:r>
    </w:p>
    <w:p w14:paraId="6F92CECD">
      <w:pPr>
        <w:numPr>
          <w:ilvl w:val="0"/>
          <w:numId w:val="0"/>
        </w:numPr>
        <w:jc w:val="center"/>
        <w:rPr>
          <w:rFonts w:hint="eastAsia"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7C0C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729443E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14:paraId="40F0FF5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A32B49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A357A4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41E82FA4">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08FD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2CD52409">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14:paraId="0D7245D3">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555959E">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516989B9">
            <w:pPr>
              <w:rPr>
                <w:rFonts w:ascii="宋体" w:hAnsi="宋体" w:cs="宋体"/>
                <w:color w:val="auto"/>
                <w:sz w:val="24"/>
                <w:highlight w:val="none"/>
              </w:rPr>
            </w:pPr>
          </w:p>
          <w:p w14:paraId="5BA1DAF9">
            <w:pPr>
              <w:rPr>
                <w:rFonts w:ascii="宋体" w:hAnsi="宋体" w:cs="宋体"/>
                <w:color w:val="auto"/>
                <w:sz w:val="24"/>
                <w:highlight w:val="none"/>
              </w:rPr>
            </w:pPr>
            <w:r>
              <w:rPr>
                <w:rFonts w:hint="eastAsia" w:ascii="宋体" w:hAnsi="宋体" w:cs="宋体"/>
                <w:color w:val="auto"/>
                <w:sz w:val="24"/>
                <w:highlight w:val="none"/>
              </w:rPr>
              <w:t>见投标文件</w:t>
            </w:r>
          </w:p>
          <w:p w14:paraId="1E29D0EA">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127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6BC7898">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14:paraId="361E321A">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3328F8C2">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015EDFF3">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23F6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0F587A5">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14:paraId="01665B38">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6EFEE208">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14:paraId="76C07938">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14:paraId="2207425E">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14:paraId="587C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B04583F">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14:paraId="59FD52E5">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6AE4080E">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14:paraId="783DB5FE">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34BF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1C7ACBD">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14:paraId="2AA15736">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3EDEC88E">
            <w:pPr>
              <w:rPr>
                <w:rFonts w:hint="eastAsia" w:ascii="宋体" w:hAnsi="宋体" w:cs="宋体"/>
                <w:b w:val="0"/>
                <w:bCs w:val="0"/>
                <w:color w:val="auto"/>
                <w:kern w:val="0"/>
                <w:sz w:val="24"/>
                <w:highlight w:val="none"/>
              </w:rPr>
            </w:pPr>
          </w:p>
        </w:tc>
        <w:tc>
          <w:tcPr>
            <w:tcW w:w="1418" w:type="dxa"/>
          </w:tcPr>
          <w:p w14:paraId="273AC4E0">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7DBC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704233BC">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14:paraId="7B5059B6">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141109A2">
            <w:pPr>
              <w:rPr>
                <w:rFonts w:hint="eastAsia" w:ascii="宋体" w:hAnsi="宋体" w:cs="宋体"/>
                <w:b w:val="0"/>
                <w:bCs w:val="0"/>
                <w:color w:val="auto"/>
                <w:kern w:val="0"/>
                <w:sz w:val="24"/>
                <w:highlight w:val="none"/>
              </w:rPr>
            </w:pPr>
          </w:p>
        </w:tc>
        <w:tc>
          <w:tcPr>
            <w:tcW w:w="1418" w:type="dxa"/>
          </w:tcPr>
          <w:p w14:paraId="34CD3382">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2DEBF41">
      <w:pPr>
        <w:numPr>
          <w:ilvl w:val="0"/>
          <w:numId w:val="0"/>
        </w:numPr>
        <w:jc w:val="center"/>
        <w:rPr>
          <w:rFonts w:hint="eastAsia" w:ascii="宋体" w:hAnsi="宋体" w:cs="宋体"/>
          <w:b/>
          <w:color w:val="auto"/>
          <w:kern w:val="0"/>
          <w:sz w:val="32"/>
          <w:szCs w:val="32"/>
          <w:highlight w:val="none"/>
        </w:rPr>
      </w:pPr>
    </w:p>
    <w:p w14:paraId="623BA6DF">
      <w:pPr>
        <w:jc w:val="center"/>
        <w:rPr>
          <w:rFonts w:ascii="宋体" w:hAnsi="宋体" w:cs="宋体"/>
          <w:b/>
          <w:color w:val="auto"/>
          <w:kern w:val="0"/>
          <w:sz w:val="32"/>
          <w:szCs w:val="32"/>
          <w:highlight w:val="none"/>
        </w:rPr>
      </w:pPr>
    </w:p>
    <w:p w14:paraId="56BD5A51">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1ADC584F">
      <w:pPr>
        <w:spacing w:line="360" w:lineRule="auto"/>
        <w:ind w:right="420"/>
        <w:jc w:val="both"/>
        <w:rPr>
          <w:rFonts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p>
    <w:p w14:paraId="1D6D3FF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4863EC5B">
      <w:pPr>
        <w:jc w:val="center"/>
        <w:rPr>
          <w:rFonts w:ascii="宋体" w:hAnsi="宋体" w:cs="宋体"/>
          <w:b/>
          <w:color w:val="auto"/>
          <w:kern w:val="0"/>
          <w:sz w:val="32"/>
          <w:szCs w:val="32"/>
          <w:highlight w:val="none"/>
        </w:rPr>
      </w:pPr>
    </w:p>
    <w:p w14:paraId="47F5F11E">
      <w:pPr>
        <w:jc w:val="center"/>
        <w:rPr>
          <w:rFonts w:ascii="宋体" w:hAnsi="宋体" w:cs="宋体"/>
          <w:b/>
          <w:color w:val="auto"/>
          <w:kern w:val="0"/>
          <w:sz w:val="32"/>
          <w:szCs w:val="32"/>
          <w:highlight w:val="none"/>
        </w:rPr>
      </w:pPr>
    </w:p>
    <w:p w14:paraId="59F4679C">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176F6559">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1CFB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24D4662">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37CC7FE8">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5A24409D">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44D8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67101D9">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1DEC75AF">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53C69BA7">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29B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7A63BB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5E8CD047">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5F36B888">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D86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C217D59">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257BA596">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1ACF9501">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77BE0BE2">
      <w:pPr>
        <w:jc w:val="center"/>
        <w:rPr>
          <w:rFonts w:ascii="宋体" w:hAnsi="宋体" w:cs="宋体"/>
          <w:b/>
          <w:color w:val="auto"/>
          <w:kern w:val="0"/>
          <w:sz w:val="32"/>
          <w:szCs w:val="32"/>
          <w:highlight w:val="none"/>
        </w:rPr>
      </w:pPr>
    </w:p>
    <w:p w14:paraId="6B81A4F0">
      <w:pPr>
        <w:pStyle w:val="80"/>
        <w:rPr>
          <w:color w:val="auto"/>
          <w:highlight w:val="none"/>
        </w:rPr>
      </w:pPr>
    </w:p>
    <w:p w14:paraId="2F02474F">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6EC0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17DC74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876287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990AD03">
            <w:pPr>
              <w:spacing w:line="360" w:lineRule="auto"/>
              <w:jc w:val="center"/>
              <w:rPr>
                <w:rFonts w:ascii="宋体" w:hAnsi="宋体" w:cs="宋体"/>
                <w:b/>
                <w:color w:val="auto"/>
                <w:sz w:val="24"/>
                <w:highlight w:val="none"/>
              </w:rPr>
            </w:pPr>
          </w:p>
          <w:p w14:paraId="7CE4E43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594F74B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3DAABF7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38A2830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6828B970">
            <w:pPr>
              <w:spacing w:line="360" w:lineRule="auto"/>
              <w:jc w:val="center"/>
              <w:rPr>
                <w:rFonts w:ascii="宋体" w:hAnsi="宋体" w:cs="宋体"/>
                <w:b/>
                <w:color w:val="auto"/>
                <w:sz w:val="24"/>
                <w:highlight w:val="none"/>
              </w:rPr>
            </w:pPr>
          </w:p>
          <w:p w14:paraId="0EC1A53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04119A4E">
            <w:pPr>
              <w:spacing w:line="360" w:lineRule="auto"/>
              <w:jc w:val="center"/>
              <w:rPr>
                <w:rFonts w:ascii="宋体" w:hAnsi="宋体" w:cs="宋体"/>
                <w:b/>
                <w:color w:val="auto"/>
                <w:sz w:val="24"/>
                <w:highlight w:val="none"/>
              </w:rPr>
            </w:pPr>
          </w:p>
        </w:tc>
      </w:tr>
      <w:tr w14:paraId="0FAC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79522D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31186AC2">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E446BCC">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BA99396">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4AA02A1">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C0C2382">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305854C3">
            <w:pPr>
              <w:spacing w:line="360" w:lineRule="auto"/>
              <w:jc w:val="center"/>
              <w:rPr>
                <w:rFonts w:ascii="宋体" w:hAnsi="宋体" w:cs="宋体"/>
                <w:color w:val="auto"/>
                <w:sz w:val="24"/>
                <w:highlight w:val="none"/>
              </w:rPr>
            </w:pPr>
          </w:p>
        </w:tc>
      </w:tr>
      <w:tr w14:paraId="6F49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D0E82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0E2F4F18">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529F99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830211C">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26EC67F">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0FFFF492">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6EE777F0">
            <w:pPr>
              <w:spacing w:line="360" w:lineRule="auto"/>
              <w:jc w:val="center"/>
              <w:rPr>
                <w:rFonts w:ascii="宋体" w:hAnsi="宋体" w:cs="宋体"/>
                <w:color w:val="auto"/>
                <w:sz w:val="24"/>
                <w:highlight w:val="none"/>
              </w:rPr>
            </w:pPr>
          </w:p>
        </w:tc>
      </w:tr>
      <w:tr w14:paraId="4A13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A1586A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C97646B">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7D3FAEC">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E6DA2D1">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34DF4D8">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019EE1D3">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F488269">
            <w:pPr>
              <w:spacing w:line="360" w:lineRule="auto"/>
              <w:jc w:val="center"/>
              <w:rPr>
                <w:rFonts w:ascii="宋体" w:hAnsi="宋体" w:cs="宋体"/>
                <w:color w:val="auto"/>
                <w:sz w:val="24"/>
                <w:highlight w:val="none"/>
              </w:rPr>
            </w:pPr>
          </w:p>
        </w:tc>
      </w:tr>
    </w:tbl>
    <w:p w14:paraId="13580D5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0C9CD62">
      <w:pPr>
        <w:jc w:val="center"/>
        <w:rPr>
          <w:rFonts w:ascii="宋体" w:hAnsi="宋体" w:cs="宋体"/>
          <w:b/>
          <w:color w:val="auto"/>
          <w:kern w:val="0"/>
          <w:sz w:val="32"/>
          <w:szCs w:val="32"/>
          <w:highlight w:val="none"/>
        </w:rPr>
      </w:pPr>
    </w:p>
    <w:p w14:paraId="7386C48A">
      <w:pPr>
        <w:jc w:val="center"/>
        <w:rPr>
          <w:rFonts w:ascii="宋体" w:hAnsi="宋体" w:cs="宋体"/>
          <w:b/>
          <w:color w:val="auto"/>
          <w:kern w:val="0"/>
          <w:sz w:val="32"/>
          <w:szCs w:val="32"/>
          <w:highlight w:val="none"/>
        </w:rPr>
      </w:pPr>
    </w:p>
    <w:p w14:paraId="1D95CCE5">
      <w:pPr>
        <w:snapToGrid w:val="0"/>
        <w:spacing w:line="360" w:lineRule="auto"/>
        <w:jc w:val="center"/>
        <w:outlineLvl w:val="0"/>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七、人员配置清单</w:t>
      </w:r>
    </w:p>
    <w:p w14:paraId="70D2896C">
      <w:pPr>
        <w:snapToGrid w:val="0"/>
        <w:spacing w:line="360" w:lineRule="auto"/>
        <w:jc w:val="center"/>
        <w:rPr>
          <w:rFonts w:hint="eastAsia" w:ascii="宋体" w:hAnsi="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（按招标文件内容提供，格式自拟）</w:t>
      </w:r>
    </w:p>
    <w:p w14:paraId="0C5264EA">
      <w:pPr>
        <w:jc w:val="center"/>
        <w:rPr>
          <w:rFonts w:hint="eastAsia" w:ascii="宋体" w:hAnsi="宋体" w:cs="宋体"/>
          <w:b/>
          <w:color w:val="auto"/>
          <w:kern w:val="0"/>
          <w:sz w:val="32"/>
          <w:szCs w:val="32"/>
          <w:highlight w:val="none"/>
        </w:rPr>
      </w:pPr>
    </w:p>
    <w:p w14:paraId="6EAD07B0">
      <w:pPr>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br w:type="page"/>
      </w:r>
    </w:p>
    <w:p w14:paraId="098954C2">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八、</w:t>
      </w:r>
      <w:r>
        <w:rPr>
          <w:rFonts w:hint="eastAsia" w:ascii="宋体" w:hAnsi="宋体" w:cs="宋体"/>
          <w:b/>
          <w:color w:val="auto"/>
          <w:kern w:val="0"/>
          <w:sz w:val="32"/>
          <w:szCs w:val="32"/>
          <w:highlight w:val="none"/>
        </w:rPr>
        <w:t>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5612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49F0FB">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4659CF0B">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7EBAE6C7">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060A1D8A">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56EB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C73D8B6">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2A51426A">
            <w:pPr>
              <w:jc w:val="center"/>
              <w:rPr>
                <w:rFonts w:ascii="宋体" w:hAnsi="宋体" w:cs="宋体"/>
                <w:b/>
                <w:color w:val="auto"/>
                <w:kern w:val="0"/>
                <w:sz w:val="32"/>
                <w:szCs w:val="32"/>
                <w:highlight w:val="none"/>
              </w:rPr>
            </w:pPr>
          </w:p>
        </w:tc>
        <w:tc>
          <w:tcPr>
            <w:tcW w:w="3546" w:type="dxa"/>
          </w:tcPr>
          <w:p w14:paraId="444ADF71">
            <w:pPr>
              <w:jc w:val="center"/>
              <w:rPr>
                <w:rFonts w:ascii="宋体" w:hAnsi="宋体" w:cs="宋体"/>
                <w:b/>
                <w:color w:val="auto"/>
                <w:kern w:val="0"/>
                <w:sz w:val="32"/>
                <w:szCs w:val="32"/>
                <w:highlight w:val="none"/>
              </w:rPr>
            </w:pPr>
          </w:p>
        </w:tc>
        <w:tc>
          <w:tcPr>
            <w:tcW w:w="1276" w:type="dxa"/>
          </w:tcPr>
          <w:p w14:paraId="64DB0BAF">
            <w:pPr>
              <w:jc w:val="center"/>
              <w:rPr>
                <w:rFonts w:ascii="宋体" w:hAnsi="宋体" w:cs="宋体"/>
                <w:b/>
                <w:color w:val="auto"/>
                <w:kern w:val="0"/>
                <w:sz w:val="32"/>
                <w:szCs w:val="32"/>
                <w:highlight w:val="none"/>
              </w:rPr>
            </w:pPr>
          </w:p>
        </w:tc>
      </w:tr>
      <w:tr w14:paraId="32B3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068264">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60532D44">
            <w:pPr>
              <w:jc w:val="center"/>
              <w:rPr>
                <w:rFonts w:ascii="宋体" w:hAnsi="宋体" w:cs="宋体"/>
                <w:b/>
                <w:color w:val="auto"/>
                <w:kern w:val="0"/>
                <w:sz w:val="32"/>
                <w:szCs w:val="32"/>
                <w:highlight w:val="none"/>
              </w:rPr>
            </w:pPr>
          </w:p>
        </w:tc>
        <w:tc>
          <w:tcPr>
            <w:tcW w:w="3546" w:type="dxa"/>
          </w:tcPr>
          <w:p w14:paraId="547D2BB3">
            <w:pPr>
              <w:jc w:val="center"/>
              <w:rPr>
                <w:rFonts w:ascii="宋体" w:hAnsi="宋体" w:cs="宋体"/>
                <w:b/>
                <w:color w:val="auto"/>
                <w:kern w:val="0"/>
                <w:sz w:val="32"/>
                <w:szCs w:val="32"/>
                <w:highlight w:val="none"/>
              </w:rPr>
            </w:pPr>
          </w:p>
        </w:tc>
        <w:tc>
          <w:tcPr>
            <w:tcW w:w="1276" w:type="dxa"/>
          </w:tcPr>
          <w:p w14:paraId="5A9B4A2A">
            <w:pPr>
              <w:jc w:val="center"/>
              <w:rPr>
                <w:rFonts w:ascii="宋体" w:hAnsi="宋体" w:cs="宋体"/>
                <w:b/>
                <w:color w:val="auto"/>
                <w:kern w:val="0"/>
                <w:sz w:val="32"/>
                <w:szCs w:val="32"/>
                <w:highlight w:val="none"/>
              </w:rPr>
            </w:pPr>
          </w:p>
        </w:tc>
      </w:tr>
      <w:tr w14:paraId="4B0A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0E488BE">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7A333F6A">
            <w:pPr>
              <w:jc w:val="center"/>
              <w:rPr>
                <w:rFonts w:ascii="宋体" w:hAnsi="宋体" w:cs="宋体"/>
                <w:b/>
                <w:color w:val="auto"/>
                <w:kern w:val="0"/>
                <w:sz w:val="32"/>
                <w:szCs w:val="32"/>
                <w:highlight w:val="none"/>
              </w:rPr>
            </w:pPr>
          </w:p>
        </w:tc>
        <w:tc>
          <w:tcPr>
            <w:tcW w:w="3546" w:type="dxa"/>
          </w:tcPr>
          <w:p w14:paraId="50F9107E">
            <w:pPr>
              <w:jc w:val="center"/>
              <w:rPr>
                <w:rFonts w:ascii="宋体" w:hAnsi="宋体" w:cs="宋体"/>
                <w:b/>
                <w:color w:val="auto"/>
                <w:kern w:val="0"/>
                <w:sz w:val="32"/>
                <w:szCs w:val="32"/>
                <w:highlight w:val="none"/>
              </w:rPr>
            </w:pPr>
          </w:p>
        </w:tc>
        <w:tc>
          <w:tcPr>
            <w:tcW w:w="1276" w:type="dxa"/>
          </w:tcPr>
          <w:p w14:paraId="3625F158">
            <w:pPr>
              <w:jc w:val="center"/>
              <w:rPr>
                <w:rFonts w:ascii="宋体" w:hAnsi="宋体" w:cs="宋体"/>
                <w:b/>
                <w:color w:val="auto"/>
                <w:kern w:val="0"/>
                <w:sz w:val="32"/>
                <w:szCs w:val="32"/>
                <w:highlight w:val="none"/>
              </w:rPr>
            </w:pPr>
          </w:p>
        </w:tc>
      </w:tr>
    </w:tbl>
    <w:p w14:paraId="4DA04714">
      <w:pPr>
        <w:jc w:val="center"/>
        <w:rPr>
          <w:rFonts w:ascii="宋体" w:hAnsi="宋体" w:cs="宋体"/>
          <w:b/>
          <w:color w:val="auto"/>
          <w:kern w:val="0"/>
          <w:sz w:val="32"/>
          <w:szCs w:val="32"/>
          <w:highlight w:val="none"/>
        </w:rPr>
      </w:pPr>
    </w:p>
    <w:p w14:paraId="466F1EDC">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4DA18B22">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14:paraId="2C78A43A">
      <w:pPr>
        <w:numPr>
          <w:ilvl w:val="0"/>
          <w:numId w:val="0"/>
        </w:numPr>
        <w:spacing w:line="360" w:lineRule="auto"/>
        <w:ind w:right="420"/>
        <w:rPr>
          <w:rFonts w:hint="eastAsia" w:ascii="宋体" w:hAnsi="宋体" w:cs="宋体"/>
          <w:color w:val="auto"/>
          <w:kern w:val="2"/>
          <w:sz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14:paraId="6768EB07">
      <w:pPr>
        <w:spacing w:line="360" w:lineRule="auto"/>
        <w:ind w:right="420"/>
        <w:rPr>
          <w:rFonts w:hint="eastAsia" w:ascii="宋体" w:hAnsi="宋体" w:cs="宋体"/>
          <w:color w:val="auto"/>
          <w:sz w:val="24"/>
          <w:highlight w:val="none"/>
        </w:rPr>
      </w:pPr>
    </w:p>
    <w:p w14:paraId="3F16BEC9">
      <w:pPr>
        <w:ind w:firstLine="1911" w:firstLineChars="595"/>
        <w:rPr>
          <w:rFonts w:ascii="宋体" w:hAnsi="宋体" w:cs="宋体"/>
          <w:b/>
          <w:bCs/>
          <w:color w:val="auto"/>
          <w:sz w:val="32"/>
          <w:szCs w:val="32"/>
          <w:highlight w:val="none"/>
        </w:rPr>
      </w:pPr>
    </w:p>
    <w:p w14:paraId="4527F559">
      <w:pPr>
        <w:ind w:firstLine="1911" w:firstLineChars="595"/>
        <w:rPr>
          <w:rFonts w:ascii="宋体" w:hAnsi="宋体" w:cs="宋体"/>
          <w:b/>
          <w:bCs/>
          <w:color w:val="auto"/>
          <w:sz w:val="32"/>
          <w:szCs w:val="32"/>
          <w:highlight w:val="none"/>
        </w:rPr>
      </w:pPr>
    </w:p>
    <w:p w14:paraId="48BC87C0">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18095A27">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lang w:val="en-US" w:eastAsia="zh-CN"/>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5C388CE6">
      <w:pPr>
        <w:snapToGrid w:val="0"/>
        <w:spacing w:line="360" w:lineRule="auto"/>
        <w:rPr>
          <w:rFonts w:ascii="宋体" w:hAnsi="宋体" w:cs="宋体"/>
          <w:color w:val="auto"/>
          <w:sz w:val="24"/>
          <w:highlight w:val="none"/>
        </w:rPr>
      </w:pPr>
    </w:p>
    <w:p w14:paraId="4402AD2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杭州市钱塘区人民政府义蓬街道办事处、浙江铭华工程管理有限公司</w:t>
      </w:r>
      <w:r>
        <w:rPr>
          <w:rFonts w:hint="eastAsia" w:ascii="宋体" w:hAnsi="宋体" w:cs="宋体"/>
          <w:color w:val="auto"/>
          <w:kern w:val="0"/>
          <w:sz w:val="24"/>
          <w:highlight w:val="none"/>
          <w:lang w:val="zh-CN"/>
        </w:rPr>
        <w:t>：</w:t>
      </w:r>
    </w:p>
    <w:p w14:paraId="089262C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425BC63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5300915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043339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2FF9D310">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714F7A8B">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419AFCB5">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2E2E0FA3">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171EE2C1">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29A6C127">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6A4DC682">
      <w:pPr>
        <w:autoSpaceDE w:val="0"/>
        <w:autoSpaceDN w:val="0"/>
        <w:spacing w:line="360" w:lineRule="auto"/>
        <w:ind w:left="2"/>
        <w:jc w:val="left"/>
        <w:rPr>
          <w:rFonts w:ascii="宋体" w:hAnsi="宋体" w:cs="宋体"/>
          <w:color w:val="auto"/>
          <w:kern w:val="0"/>
          <w:sz w:val="24"/>
          <w:highlight w:val="none"/>
          <w:lang w:val="zh-CN"/>
        </w:rPr>
      </w:pPr>
    </w:p>
    <w:p w14:paraId="5916B0D5">
      <w:pPr>
        <w:autoSpaceDE w:val="0"/>
        <w:autoSpaceDN w:val="0"/>
        <w:spacing w:line="360" w:lineRule="auto"/>
        <w:ind w:left="2"/>
        <w:jc w:val="left"/>
        <w:rPr>
          <w:rFonts w:ascii="宋体" w:hAnsi="宋体" w:cs="宋体"/>
          <w:color w:val="auto"/>
          <w:kern w:val="0"/>
          <w:sz w:val="24"/>
          <w:highlight w:val="none"/>
          <w:lang w:val="zh-CN"/>
        </w:rPr>
      </w:pPr>
    </w:p>
    <w:p w14:paraId="7B96B8E3">
      <w:pPr>
        <w:autoSpaceDE w:val="0"/>
        <w:autoSpaceDN w:val="0"/>
        <w:spacing w:line="360" w:lineRule="auto"/>
        <w:ind w:left="2"/>
        <w:jc w:val="left"/>
        <w:rPr>
          <w:rFonts w:ascii="宋体" w:hAnsi="宋体" w:cs="宋体"/>
          <w:color w:val="auto"/>
          <w:kern w:val="0"/>
          <w:sz w:val="24"/>
          <w:highlight w:val="none"/>
          <w:lang w:val="zh-CN"/>
        </w:rPr>
      </w:pPr>
    </w:p>
    <w:p w14:paraId="71391C68">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5609C8DC">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3CF6826B">
      <w:pPr>
        <w:spacing w:line="360" w:lineRule="auto"/>
        <w:jc w:val="center"/>
        <w:rPr>
          <w:rFonts w:ascii="宋体" w:hAnsi="宋体" w:cs="宋体"/>
          <w:b/>
          <w:bCs/>
          <w:color w:val="auto"/>
          <w:sz w:val="24"/>
          <w:highlight w:val="none"/>
        </w:rPr>
      </w:pPr>
    </w:p>
    <w:p w14:paraId="1A97A36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299FB1E">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8733E72">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19A634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2E25DC96">
      <w:pPr>
        <w:spacing w:line="360" w:lineRule="auto"/>
        <w:jc w:val="center"/>
        <w:outlineLvl w:val="0"/>
        <w:rPr>
          <w:rFonts w:ascii="宋体" w:hAnsi="宋体" w:cs="宋体"/>
          <w:b/>
          <w:color w:val="auto"/>
          <w:kern w:val="0"/>
          <w:sz w:val="36"/>
          <w:szCs w:val="36"/>
          <w:highlight w:val="none"/>
        </w:rPr>
      </w:pPr>
    </w:p>
    <w:p w14:paraId="590D39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4C74E0C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14:paraId="29BBBBA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31376221">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bCs/>
          <w:color w:val="auto"/>
          <w:sz w:val="48"/>
          <w:szCs w:val="48"/>
          <w:highlight w:val="none"/>
          <w:lang w:eastAsia="zh-CN"/>
        </w:rPr>
        <w:t>（</w:t>
      </w:r>
      <w:r>
        <w:rPr>
          <w:rFonts w:hint="eastAsia" w:ascii="宋体" w:hAnsi="宋体" w:cs="宋体"/>
          <w:b/>
          <w:bCs/>
          <w:color w:val="auto"/>
          <w:sz w:val="48"/>
          <w:szCs w:val="48"/>
          <w:highlight w:val="none"/>
          <w:lang w:val="en-US" w:eastAsia="zh-CN"/>
        </w:rPr>
        <w:t>投标人若同时参与标项一、标项二投标，则报价文件须单独编制、单独上传</w:t>
      </w:r>
      <w:r>
        <w:rPr>
          <w:rFonts w:hint="eastAsia" w:ascii="宋体" w:hAnsi="宋体" w:cs="宋体"/>
          <w:b/>
          <w:bCs/>
          <w:color w:val="auto"/>
          <w:sz w:val="48"/>
          <w:szCs w:val="48"/>
          <w:highlight w:val="none"/>
          <w:lang w:eastAsia="zh-CN"/>
        </w:rPr>
        <w:t>）</w:t>
      </w:r>
    </w:p>
    <w:p w14:paraId="41D893DE">
      <w:pPr>
        <w:snapToGrid w:val="0"/>
        <w:spacing w:line="360" w:lineRule="auto"/>
        <w:ind w:right="480"/>
        <w:jc w:val="center"/>
        <w:rPr>
          <w:rFonts w:ascii="宋体" w:hAnsi="宋体" w:cs="宋体"/>
          <w:b/>
          <w:color w:val="auto"/>
          <w:kern w:val="0"/>
          <w:sz w:val="32"/>
          <w:szCs w:val="32"/>
          <w:highlight w:val="none"/>
        </w:rPr>
      </w:pPr>
    </w:p>
    <w:p w14:paraId="57944ED5">
      <w:pPr>
        <w:snapToGrid w:val="0"/>
        <w:spacing w:line="360" w:lineRule="auto"/>
        <w:ind w:right="480"/>
        <w:jc w:val="center"/>
        <w:rPr>
          <w:rFonts w:ascii="宋体" w:hAnsi="宋体" w:cs="宋体"/>
          <w:b/>
          <w:color w:val="auto"/>
          <w:kern w:val="0"/>
          <w:sz w:val="32"/>
          <w:szCs w:val="32"/>
          <w:highlight w:val="none"/>
        </w:rPr>
      </w:pPr>
    </w:p>
    <w:p w14:paraId="651F868E">
      <w:pPr>
        <w:snapToGrid w:val="0"/>
        <w:spacing w:line="360" w:lineRule="auto"/>
        <w:ind w:right="480"/>
        <w:jc w:val="center"/>
        <w:rPr>
          <w:rFonts w:ascii="宋体" w:hAnsi="宋体" w:cs="宋体"/>
          <w:b/>
          <w:color w:val="auto"/>
          <w:kern w:val="0"/>
          <w:sz w:val="32"/>
          <w:szCs w:val="32"/>
          <w:highlight w:val="none"/>
        </w:rPr>
      </w:pPr>
    </w:p>
    <w:p w14:paraId="4E551B79">
      <w:pPr>
        <w:snapToGrid w:val="0"/>
        <w:spacing w:line="360" w:lineRule="auto"/>
        <w:ind w:right="480"/>
        <w:jc w:val="center"/>
        <w:rPr>
          <w:rFonts w:ascii="宋体" w:hAnsi="宋体" w:cs="宋体"/>
          <w:b/>
          <w:color w:val="auto"/>
          <w:kern w:val="0"/>
          <w:sz w:val="32"/>
          <w:szCs w:val="32"/>
          <w:highlight w:val="none"/>
        </w:rPr>
      </w:pPr>
    </w:p>
    <w:p w14:paraId="589FF887">
      <w:pPr>
        <w:snapToGrid w:val="0"/>
        <w:spacing w:line="360" w:lineRule="auto"/>
        <w:ind w:right="480"/>
        <w:jc w:val="center"/>
        <w:rPr>
          <w:rFonts w:ascii="宋体" w:hAnsi="宋体" w:cs="宋体"/>
          <w:b/>
          <w:color w:val="auto"/>
          <w:kern w:val="0"/>
          <w:sz w:val="32"/>
          <w:szCs w:val="32"/>
          <w:highlight w:val="none"/>
        </w:rPr>
      </w:pPr>
    </w:p>
    <w:p w14:paraId="57DAEE10">
      <w:pPr>
        <w:snapToGrid w:val="0"/>
        <w:spacing w:line="360" w:lineRule="auto"/>
        <w:ind w:right="480"/>
        <w:jc w:val="center"/>
        <w:rPr>
          <w:rFonts w:ascii="宋体" w:hAnsi="宋体" w:cs="宋体"/>
          <w:b/>
          <w:color w:val="auto"/>
          <w:kern w:val="0"/>
          <w:sz w:val="32"/>
          <w:szCs w:val="32"/>
          <w:highlight w:val="none"/>
        </w:rPr>
      </w:pPr>
    </w:p>
    <w:p w14:paraId="16932C04">
      <w:pPr>
        <w:snapToGrid w:val="0"/>
        <w:spacing w:line="360" w:lineRule="auto"/>
        <w:ind w:right="480"/>
        <w:jc w:val="center"/>
        <w:rPr>
          <w:rFonts w:ascii="宋体" w:hAnsi="宋体" w:cs="宋体"/>
          <w:b/>
          <w:color w:val="auto"/>
          <w:kern w:val="0"/>
          <w:sz w:val="32"/>
          <w:szCs w:val="32"/>
          <w:highlight w:val="none"/>
        </w:rPr>
      </w:pPr>
    </w:p>
    <w:p w14:paraId="63B24880">
      <w:pPr>
        <w:snapToGrid w:val="0"/>
        <w:spacing w:line="360" w:lineRule="auto"/>
        <w:ind w:right="480"/>
        <w:jc w:val="center"/>
        <w:rPr>
          <w:rFonts w:ascii="宋体" w:hAnsi="宋体" w:cs="宋体"/>
          <w:b/>
          <w:color w:val="auto"/>
          <w:kern w:val="0"/>
          <w:sz w:val="32"/>
          <w:szCs w:val="32"/>
          <w:highlight w:val="none"/>
        </w:rPr>
      </w:pPr>
    </w:p>
    <w:p w14:paraId="68B6612D">
      <w:pPr>
        <w:snapToGrid w:val="0"/>
        <w:spacing w:line="360" w:lineRule="auto"/>
        <w:ind w:right="480"/>
        <w:jc w:val="center"/>
        <w:rPr>
          <w:rFonts w:ascii="宋体" w:hAnsi="宋体" w:cs="宋体"/>
          <w:b/>
          <w:color w:val="auto"/>
          <w:kern w:val="0"/>
          <w:sz w:val="32"/>
          <w:szCs w:val="32"/>
          <w:highlight w:val="none"/>
        </w:rPr>
      </w:pPr>
    </w:p>
    <w:p w14:paraId="44380021">
      <w:pPr>
        <w:snapToGrid w:val="0"/>
        <w:spacing w:line="360" w:lineRule="auto"/>
        <w:ind w:right="480"/>
        <w:jc w:val="center"/>
        <w:rPr>
          <w:rFonts w:ascii="宋体" w:hAnsi="宋体" w:cs="宋体"/>
          <w:b/>
          <w:color w:val="auto"/>
          <w:kern w:val="0"/>
          <w:sz w:val="32"/>
          <w:szCs w:val="32"/>
          <w:highlight w:val="none"/>
        </w:rPr>
      </w:pPr>
    </w:p>
    <w:p w14:paraId="798C82A4">
      <w:pPr>
        <w:snapToGrid w:val="0"/>
        <w:spacing w:line="360" w:lineRule="auto"/>
        <w:ind w:right="480"/>
        <w:jc w:val="center"/>
        <w:rPr>
          <w:rFonts w:ascii="宋体" w:hAnsi="宋体" w:cs="宋体"/>
          <w:b/>
          <w:color w:val="auto"/>
          <w:kern w:val="0"/>
          <w:sz w:val="32"/>
          <w:szCs w:val="32"/>
          <w:highlight w:val="none"/>
        </w:rPr>
      </w:pPr>
    </w:p>
    <w:p w14:paraId="24ACE450">
      <w:pPr>
        <w:snapToGrid w:val="0"/>
        <w:spacing w:line="360" w:lineRule="auto"/>
        <w:ind w:right="480"/>
        <w:jc w:val="center"/>
        <w:rPr>
          <w:rFonts w:ascii="宋体" w:hAnsi="宋体" w:cs="宋体"/>
          <w:b/>
          <w:color w:val="auto"/>
          <w:kern w:val="0"/>
          <w:sz w:val="32"/>
          <w:szCs w:val="32"/>
          <w:highlight w:val="none"/>
        </w:rPr>
      </w:pPr>
    </w:p>
    <w:p w14:paraId="28DEFF4C">
      <w:pPr>
        <w:snapToGrid w:val="0"/>
        <w:spacing w:line="360" w:lineRule="auto"/>
        <w:ind w:right="480"/>
        <w:jc w:val="center"/>
        <w:rPr>
          <w:rFonts w:ascii="宋体" w:hAnsi="宋体" w:cs="宋体"/>
          <w:b/>
          <w:color w:val="auto"/>
          <w:kern w:val="0"/>
          <w:sz w:val="32"/>
          <w:szCs w:val="32"/>
          <w:highlight w:val="none"/>
        </w:rPr>
      </w:pPr>
    </w:p>
    <w:p w14:paraId="73593888">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7AC9807">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5E25BD8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杭州市钱塘区人民政府义蓬街道办事处、浙江铭华工程管理有限公司</w:t>
      </w:r>
      <w:r>
        <w:rPr>
          <w:rFonts w:hint="eastAsia" w:ascii="宋体" w:hAnsi="宋体" w:cs="宋体"/>
          <w:color w:val="auto"/>
          <w:kern w:val="0"/>
          <w:sz w:val="24"/>
          <w:highlight w:val="none"/>
          <w:lang w:val="zh-CN"/>
        </w:rPr>
        <w:t>：</w:t>
      </w:r>
    </w:p>
    <w:p w14:paraId="1511DEC0">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34D7FF9C">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15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36"/>
        <w:gridCol w:w="1699"/>
        <w:gridCol w:w="1699"/>
        <w:gridCol w:w="1699"/>
        <w:gridCol w:w="1699"/>
        <w:gridCol w:w="1699"/>
        <w:gridCol w:w="1699"/>
        <w:gridCol w:w="1700"/>
        <w:gridCol w:w="1700"/>
      </w:tblGrid>
      <w:tr w14:paraId="3E65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7" w:hRule="atLeast"/>
        </w:trPr>
        <w:tc>
          <w:tcPr>
            <w:tcW w:w="573" w:type="dxa"/>
            <w:vAlign w:val="center"/>
          </w:tcPr>
          <w:p w14:paraId="428C617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697" w:type="dxa"/>
            <w:vAlign w:val="center"/>
          </w:tcPr>
          <w:p w14:paraId="165186D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417" w:type="dxa"/>
            <w:vAlign w:val="center"/>
          </w:tcPr>
          <w:p w14:paraId="044409BA">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服务范围</w:t>
            </w:r>
          </w:p>
        </w:tc>
        <w:tc>
          <w:tcPr>
            <w:tcW w:w="1417" w:type="dxa"/>
            <w:vAlign w:val="center"/>
          </w:tcPr>
          <w:p w14:paraId="02FC637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1417" w:type="dxa"/>
            <w:vAlign w:val="center"/>
          </w:tcPr>
          <w:p w14:paraId="375A4D3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1417" w:type="dxa"/>
            <w:vAlign w:val="center"/>
          </w:tcPr>
          <w:p w14:paraId="25FE73E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417" w:type="dxa"/>
            <w:vAlign w:val="center"/>
          </w:tcPr>
          <w:p w14:paraId="5C70B913">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p w14:paraId="7F54F466">
            <w:pPr>
              <w:spacing w:line="360" w:lineRule="auto"/>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人</w:t>
            </w:r>
            <w:r>
              <w:rPr>
                <w:rFonts w:hint="eastAsia" w:ascii="宋体" w:hAnsi="宋体" w:eastAsia="宋体" w:cs="宋体"/>
                <w:b/>
                <w:color w:val="auto"/>
                <w:sz w:val="24"/>
                <w:highlight w:val="none"/>
                <w:lang w:eastAsia="zh-CN"/>
              </w:rPr>
              <w:t>）</w:t>
            </w:r>
          </w:p>
        </w:tc>
        <w:tc>
          <w:tcPr>
            <w:tcW w:w="1417" w:type="dxa"/>
            <w:vAlign w:val="center"/>
          </w:tcPr>
          <w:p w14:paraId="0FF18B7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p w14:paraId="533EF4FB">
            <w:pPr>
              <w:spacing w:line="360" w:lineRule="auto"/>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元/人</w:t>
            </w:r>
            <w:r>
              <w:rPr>
                <w:rFonts w:hint="eastAsia" w:ascii="宋体" w:hAnsi="宋体" w:eastAsia="宋体" w:cs="宋体"/>
                <w:b/>
                <w:color w:val="auto"/>
                <w:sz w:val="24"/>
                <w:highlight w:val="none"/>
                <w:lang w:eastAsia="zh-CN"/>
              </w:rPr>
              <w:t>）</w:t>
            </w:r>
          </w:p>
        </w:tc>
        <w:tc>
          <w:tcPr>
            <w:tcW w:w="1417" w:type="dxa"/>
            <w:vAlign w:val="center"/>
          </w:tcPr>
          <w:p w14:paraId="524B1AC3">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w:t>
            </w:r>
          </w:p>
          <w:p w14:paraId="01B7521A">
            <w:pPr>
              <w:pStyle w:val="2"/>
              <w:jc w:val="center"/>
              <w:rPr>
                <w:rFonts w:hint="eastAsia" w:eastAsia="宋体"/>
                <w:color w:val="auto"/>
                <w:highlight w:val="none"/>
                <w:lang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元</w:t>
            </w:r>
            <w:r>
              <w:rPr>
                <w:rFonts w:hint="eastAsia" w:ascii="宋体" w:hAnsi="宋体" w:eastAsia="宋体" w:cs="宋体"/>
                <w:b/>
                <w:color w:val="auto"/>
                <w:sz w:val="24"/>
                <w:highlight w:val="none"/>
                <w:lang w:eastAsia="zh-CN"/>
              </w:rPr>
              <w:t>）</w:t>
            </w:r>
          </w:p>
        </w:tc>
        <w:tc>
          <w:tcPr>
            <w:tcW w:w="1417" w:type="dxa"/>
            <w:vAlign w:val="center"/>
          </w:tcPr>
          <w:p w14:paraId="2608B8AE">
            <w:pPr>
              <w:spacing w:line="360" w:lineRule="auto"/>
              <w:jc w:val="center"/>
              <w:rPr>
                <w:rFonts w:ascii="宋体" w:hAnsi="宋体" w:cs="宋体"/>
                <w:b/>
                <w:color w:val="auto"/>
                <w:sz w:val="24"/>
                <w:highlight w:val="none"/>
              </w:rPr>
            </w:pPr>
          </w:p>
          <w:p w14:paraId="58D634A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0B9B1683">
            <w:pPr>
              <w:spacing w:line="360" w:lineRule="auto"/>
              <w:jc w:val="center"/>
              <w:rPr>
                <w:rFonts w:ascii="宋体" w:hAnsi="宋体" w:cs="宋体"/>
                <w:b/>
                <w:color w:val="auto"/>
                <w:sz w:val="24"/>
                <w:highlight w:val="none"/>
              </w:rPr>
            </w:pPr>
          </w:p>
        </w:tc>
      </w:tr>
      <w:tr w14:paraId="6902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573" w:type="dxa"/>
            <w:vAlign w:val="center"/>
          </w:tcPr>
          <w:p w14:paraId="3FDEAB6A">
            <w:pPr>
              <w:spacing w:line="360" w:lineRule="auto"/>
              <w:jc w:val="center"/>
              <w:rPr>
                <w:rFonts w:hint="eastAsia" w:ascii="宋体" w:hAnsi="宋体" w:eastAsia="宋体" w:cs="宋体"/>
                <w:color w:val="auto"/>
                <w:sz w:val="24"/>
                <w:szCs w:val="24"/>
                <w:highlight w:val="none"/>
              </w:rPr>
            </w:pPr>
          </w:p>
        </w:tc>
        <w:tc>
          <w:tcPr>
            <w:tcW w:w="697" w:type="dxa"/>
            <w:vAlign w:val="center"/>
          </w:tcPr>
          <w:p w14:paraId="08E82662">
            <w:pPr>
              <w:snapToGrid w:val="0"/>
              <w:spacing w:line="360" w:lineRule="auto"/>
              <w:jc w:val="center"/>
              <w:rPr>
                <w:rFonts w:hint="eastAsia" w:ascii="宋体" w:hAnsi="宋体" w:eastAsia="宋体" w:cs="宋体"/>
                <w:color w:val="auto"/>
                <w:sz w:val="24"/>
                <w:szCs w:val="24"/>
                <w:highlight w:val="none"/>
              </w:rPr>
            </w:pPr>
          </w:p>
        </w:tc>
        <w:tc>
          <w:tcPr>
            <w:tcW w:w="1417" w:type="dxa"/>
            <w:vAlign w:val="center"/>
          </w:tcPr>
          <w:p w14:paraId="42F98602">
            <w:pPr>
              <w:snapToGrid w:val="0"/>
              <w:spacing w:line="360" w:lineRule="auto"/>
              <w:jc w:val="center"/>
              <w:rPr>
                <w:rFonts w:hint="eastAsia" w:ascii="宋体" w:hAnsi="宋体" w:eastAsia="宋体" w:cs="宋体"/>
                <w:color w:val="auto"/>
                <w:sz w:val="24"/>
                <w:szCs w:val="24"/>
                <w:highlight w:val="none"/>
              </w:rPr>
            </w:pPr>
          </w:p>
        </w:tc>
        <w:tc>
          <w:tcPr>
            <w:tcW w:w="1417" w:type="dxa"/>
            <w:vAlign w:val="center"/>
          </w:tcPr>
          <w:p w14:paraId="6FEE645A">
            <w:pPr>
              <w:snapToGrid w:val="0"/>
              <w:spacing w:line="360" w:lineRule="auto"/>
              <w:jc w:val="center"/>
              <w:rPr>
                <w:rFonts w:hint="eastAsia" w:ascii="宋体" w:hAnsi="宋体" w:eastAsia="宋体" w:cs="宋体"/>
                <w:color w:val="auto"/>
                <w:sz w:val="24"/>
                <w:szCs w:val="24"/>
                <w:highlight w:val="none"/>
              </w:rPr>
            </w:pPr>
          </w:p>
        </w:tc>
        <w:tc>
          <w:tcPr>
            <w:tcW w:w="1417" w:type="dxa"/>
            <w:vAlign w:val="center"/>
          </w:tcPr>
          <w:p w14:paraId="24D70DFD">
            <w:pPr>
              <w:snapToGrid w:val="0"/>
              <w:spacing w:line="360" w:lineRule="auto"/>
              <w:jc w:val="center"/>
              <w:rPr>
                <w:rFonts w:hint="eastAsia" w:ascii="宋体" w:hAnsi="宋体" w:eastAsia="宋体" w:cs="宋体"/>
                <w:color w:val="auto"/>
                <w:sz w:val="24"/>
                <w:szCs w:val="24"/>
                <w:highlight w:val="none"/>
              </w:rPr>
            </w:pPr>
          </w:p>
        </w:tc>
        <w:tc>
          <w:tcPr>
            <w:tcW w:w="1417" w:type="dxa"/>
            <w:vAlign w:val="center"/>
          </w:tcPr>
          <w:p w14:paraId="017002EE">
            <w:pPr>
              <w:spacing w:line="360" w:lineRule="auto"/>
              <w:jc w:val="center"/>
              <w:rPr>
                <w:rFonts w:hint="eastAsia" w:ascii="宋体" w:hAnsi="宋体" w:eastAsia="宋体" w:cs="宋体"/>
                <w:color w:val="auto"/>
                <w:sz w:val="24"/>
                <w:szCs w:val="24"/>
                <w:highlight w:val="none"/>
              </w:rPr>
            </w:pPr>
          </w:p>
        </w:tc>
        <w:tc>
          <w:tcPr>
            <w:tcW w:w="1417" w:type="dxa"/>
            <w:vAlign w:val="center"/>
          </w:tcPr>
          <w:p w14:paraId="4D868A3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5500</w:t>
            </w:r>
          </w:p>
        </w:tc>
        <w:tc>
          <w:tcPr>
            <w:tcW w:w="1417" w:type="dxa"/>
            <w:vAlign w:val="center"/>
          </w:tcPr>
          <w:p w14:paraId="4E07C329">
            <w:pPr>
              <w:spacing w:line="360" w:lineRule="auto"/>
              <w:jc w:val="center"/>
              <w:rPr>
                <w:rFonts w:hint="eastAsia" w:ascii="宋体" w:hAnsi="宋体" w:eastAsia="宋体" w:cs="宋体"/>
                <w:color w:val="auto"/>
                <w:sz w:val="24"/>
                <w:szCs w:val="24"/>
                <w:highlight w:val="none"/>
                <w:lang w:val="en-US" w:eastAsia="zh-CN"/>
              </w:rPr>
            </w:pPr>
          </w:p>
        </w:tc>
        <w:tc>
          <w:tcPr>
            <w:tcW w:w="1417" w:type="dxa"/>
            <w:vAlign w:val="center"/>
          </w:tcPr>
          <w:p w14:paraId="120D1C21">
            <w:pPr>
              <w:spacing w:line="360" w:lineRule="auto"/>
              <w:jc w:val="center"/>
              <w:rPr>
                <w:rFonts w:hint="eastAsia" w:ascii="宋体" w:hAnsi="宋体" w:eastAsia="宋体" w:cs="宋体"/>
                <w:color w:val="auto"/>
                <w:sz w:val="24"/>
                <w:szCs w:val="24"/>
                <w:highlight w:val="none"/>
              </w:rPr>
            </w:pPr>
          </w:p>
        </w:tc>
        <w:tc>
          <w:tcPr>
            <w:tcW w:w="1417" w:type="dxa"/>
            <w:vAlign w:val="center"/>
          </w:tcPr>
          <w:p w14:paraId="42F8577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130</w:t>
            </w:r>
            <w:r>
              <w:rPr>
                <w:rFonts w:hint="eastAsia" w:ascii="宋体" w:hAnsi="宋体" w:eastAsia="宋体" w:cs="宋体"/>
                <w:color w:val="auto"/>
                <w:sz w:val="24"/>
                <w:szCs w:val="24"/>
                <w:highlight w:val="none"/>
              </w:rPr>
              <w:t>元/人</w:t>
            </w:r>
          </w:p>
        </w:tc>
      </w:tr>
      <w:tr w14:paraId="6CFD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17" w:type="dxa"/>
            <w:gridSpan w:val="4"/>
            <w:vAlign w:val="center"/>
          </w:tcPr>
          <w:p w14:paraId="1CB1A8B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1417" w:type="dxa"/>
            <w:gridSpan w:val="6"/>
          </w:tcPr>
          <w:p w14:paraId="5A6C638D">
            <w:pPr>
              <w:spacing w:line="360" w:lineRule="auto"/>
              <w:jc w:val="center"/>
              <w:rPr>
                <w:rFonts w:ascii="宋体" w:hAnsi="宋体" w:cs="宋体"/>
                <w:color w:val="auto"/>
                <w:sz w:val="24"/>
                <w:highlight w:val="none"/>
              </w:rPr>
            </w:pPr>
          </w:p>
        </w:tc>
      </w:tr>
      <w:tr w14:paraId="48D4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17" w:type="dxa"/>
            <w:gridSpan w:val="4"/>
            <w:vAlign w:val="center"/>
          </w:tcPr>
          <w:p w14:paraId="2B1EC1A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1417" w:type="dxa"/>
            <w:gridSpan w:val="6"/>
          </w:tcPr>
          <w:p w14:paraId="08C9AB16">
            <w:pPr>
              <w:spacing w:line="360" w:lineRule="auto"/>
              <w:jc w:val="center"/>
              <w:rPr>
                <w:rFonts w:ascii="宋体" w:hAnsi="宋体" w:cs="宋体"/>
                <w:color w:val="auto"/>
                <w:sz w:val="24"/>
                <w:highlight w:val="none"/>
              </w:rPr>
            </w:pPr>
          </w:p>
        </w:tc>
      </w:tr>
    </w:tbl>
    <w:p w14:paraId="479BEC39">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7065184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043CF7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0B36094F">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3、特别提示：采购机构将对项目名称和项目编号，中标供应商名称、地址和中标金额，主要中标标的名称、服务范围、服务要求、服务时间、服务标准等予以公示。</w:t>
      </w:r>
    </w:p>
    <w:p w14:paraId="2C297E4C">
      <w:pPr>
        <w:snapToGrid w:val="0"/>
        <w:spacing w:line="360" w:lineRule="auto"/>
        <w:ind w:firstLine="480" w:firstLineChars="200"/>
        <w:jc w:val="left"/>
        <w:rPr>
          <w:rFonts w:ascii="宋体" w:hAnsi="宋体" w:cs="宋体"/>
          <w:color w:val="auto"/>
          <w:kern w:val="0"/>
          <w:sz w:val="24"/>
          <w:highlight w:val="none"/>
          <w:lang w:val="zh-CN"/>
        </w:rPr>
      </w:pPr>
    </w:p>
    <w:p w14:paraId="015819BA">
      <w:pPr>
        <w:snapToGrid w:val="0"/>
        <w:spacing w:line="360" w:lineRule="auto"/>
        <w:ind w:firstLine="5520" w:firstLineChars="2300"/>
        <w:jc w:val="right"/>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55004304">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860866D">
      <w:pPr>
        <w:spacing w:line="360" w:lineRule="auto"/>
        <w:ind w:firstLine="482" w:firstLineChars="200"/>
        <w:rPr>
          <w:rFonts w:ascii="宋体" w:hAnsi="宋体" w:cs="宋体"/>
          <w:b/>
          <w:color w:val="auto"/>
          <w:sz w:val="24"/>
          <w:highlight w:val="none"/>
        </w:rPr>
      </w:pPr>
    </w:p>
    <w:p w14:paraId="1F65516F">
      <w:pPr>
        <w:spacing w:line="360" w:lineRule="auto"/>
        <w:ind w:firstLine="482" w:firstLineChars="200"/>
        <w:rPr>
          <w:rFonts w:ascii="宋体" w:hAnsi="宋体" w:cs="宋体"/>
          <w:b/>
          <w:color w:val="auto"/>
          <w:kern w:val="0"/>
          <w:sz w:val="24"/>
          <w:highlight w:val="none"/>
        </w:rPr>
      </w:pPr>
    </w:p>
    <w:p w14:paraId="179D5AC4">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35C13944">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14:paraId="3583C878">
      <w:pPr>
        <w:pStyle w:val="694"/>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3A68C175">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0FFB8FEB">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1B06E239">
      <w:pPr>
        <w:pStyle w:val="694"/>
        <w:keepNext w:val="0"/>
        <w:pageBreakBefore w:val="0"/>
        <w:tabs>
          <w:tab w:val="clear" w:pos="720"/>
        </w:tabs>
        <w:snapToGrid w:val="0"/>
        <w:spacing w:before="120" w:after="120"/>
        <w:ind w:firstLine="643"/>
        <w:outlineLvl w:val="9"/>
        <w:rPr>
          <w:rFonts w:hint="default" w:ascii="宋体" w:hAnsi="宋体" w:eastAsia="宋体" w:cs="宋体"/>
          <w:color w:val="auto"/>
          <w:sz w:val="32"/>
          <w:szCs w:val="32"/>
          <w:highlight w:val="none"/>
          <w:lang w:val="en-US" w:eastAsia="zh-CN"/>
        </w:rPr>
      </w:pPr>
    </w:p>
    <w:p w14:paraId="6129733D">
      <w:pPr>
        <w:pStyle w:val="694"/>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中小企业声明函（如果有）</w:t>
      </w:r>
    </w:p>
    <w:p w14:paraId="7ECBA9EB">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7CC10893">
      <w:pPr>
        <w:spacing w:line="360" w:lineRule="auto"/>
        <w:ind w:right="420" w:firstLine="3614" w:firstLineChars="1000"/>
        <w:rPr>
          <w:rFonts w:ascii="宋体" w:hAnsi="宋体" w:cs="宋体"/>
          <w:b/>
          <w:color w:val="auto"/>
          <w:kern w:val="0"/>
          <w:sz w:val="36"/>
          <w:szCs w:val="36"/>
          <w:highlight w:val="none"/>
        </w:rPr>
      </w:pPr>
    </w:p>
    <w:p w14:paraId="7D6F2731">
      <w:pPr>
        <w:spacing w:line="360" w:lineRule="auto"/>
        <w:ind w:right="420" w:firstLine="3614" w:firstLineChars="1000"/>
        <w:rPr>
          <w:rFonts w:ascii="宋体" w:hAnsi="宋体" w:cs="宋体"/>
          <w:b/>
          <w:color w:val="auto"/>
          <w:kern w:val="0"/>
          <w:sz w:val="36"/>
          <w:szCs w:val="36"/>
          <w:highlight w:val="none"/>
        </w:rPr>
      </w:pPr>
    </w:p>
    <w:p w14:paraId="30751D89">
      <w:pPr>
        <w:spacing w:line="360" w:lineRule="auto"/>
        <w:ind w:right="420" w:firstLine="3614" w:firstLineChars="1000"/>
        <w:rPr>
          <w:rFonts w:ascii="宋体" w:hAnsi="宋体" w:cs="宋体"/>
          <w:b/>
          <w:color w:val="auto"/>
          <w:kern w:val="0"/>
          <w:sz w:val="36"/>
          <w:szCs w:val="36"/>
          <w:highlight w:val="none"/>
        </w:rPr>
      </w:pPr>
    </w:p>
    <w:p w14:paraId="446C272E">
      <w:pPr>
        <w:spacing w:line="360" w:lineRule="auto"/>
        <w:ind w:right="420" w:firstLine="3614" w:firstLineChars="1000"/>
        <w:rPr>
          <w:rFonts w:ascii="宋体" w:hAnsi="宋体" w:cs="宋体"/>
          <w:b/>
          <w:color w:val="auto"/>
          <w:kern w:val="0"/>
          <w:sz w:val="36"/>
          <w:szCs w:val="36"/>
          <w:highlight w:val="none"/>
        </w:rPr>
      </w:pPr>
    </w:p>
    <w:p w14:paraId="78E12E72">
      <w:pPr>
        <w:spacing w:line="360" w:lineRule="auto"/>
        <w:ind w:right="420" w:firstLine="3614" w:firstLineChars="1000"/>
        <w:rPr>
          <w:rFonts w:ascii="宋体" w:hAnsi="宋体" w:cs="宋体"/>
          <w:b/>
          <w:color w:val="auto"/>
          <w:kern w:val="0"/>
          <w:sz w:val="36"/>
          <w:szCs w:val="36"/>
          <w:highlight w:val="none"/>
        </w:rPr>
      </w:pPr>
    </w:p>
    <w:p w14:paraId="3E1DC47F">
      <w:pPr>
        <w:spacing w:line="360" w:lineRule="auto"/>
        <w:ind w:right="420" w:firstLine="3614" w:firstLineChars="1000"/>
        <w:rPr>
          <w:rFonts w:ascii="宋体" w:hAnsi="宋体" w:cs="宋体"/>
          <w:b/>
          <w:color w:val="auto"/>
          <w:kern w:val="0"/>
          <w:sz w:val="36"/>
          <w:szCs w:val="36"/>
          <w:highlight w:val="none"/>
        </w:rPr>
      </w:pPr>
    </w:p>
    <w:p w14:paraId="6FE6793F">
      <w:pPr>
        <w:spacing w:line="360" w:lineRule="auto"/>
        <w:ind w:right="420" w:firstLine="3614" w:firstLineChars="1000"/>
        <w:rPr>
          <w:rFonts w:ascii="宋体" w:hAnsi="宋体" w:cs="宋体"/>
          <w:b/>
          <w:color w:val="auto"/>
          <w:kern w:val="0"/>
          <w:sz w:val="36"/>
          <w:szCs w:val="36"/>
          <w:highlight w:val="none"/>
        </w:rPr>
      </w:pPr>
    </w:p>
    <w:p w14:paraId="4B38D7CC">
      <w:pPr>
        <w:spacing w:line="360" w:lineRule="auto"/>
        <w:ind w:right="420" w:firstLine="3614" w:firstLineChars="1000"/>
        <w:rPr>
          <w:rFonts w:ascii="宋体" w:hAnsi="宋体" w:cs="宋体"/>
          <w:b/>
          <w:color w:val="auto"/>
          <w:kern w:val="0"/>
          <w:sz w:val="36"/>
          <w:szCs w:val="36"/>
          <w:highlight w:val="none"/>
        </w:rPr>
      </w:pPr>
    </w:p>
    <w:p w14:paraId="3495B051">
      <w:pPr>
        <w:pStyle w:val="3"/>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3D3E7A71">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3FA426FB">
      <w:pPr>
        <w:spacing w:line="360" w:lineRule="auto"/>
        <w:jc w:val="center"/>
        <w:rPr>
          <w:rFonts w:ascii="宋体" w:hAnsi="宋体" w:cs="宋体"/>
          <w:b/>
          <w:color w:val="auto"/>
          <w:spacing w:val="6"/>
          <w:sz w:val="32"/>
          <w:szCs w:val="32"/>
          <w:highlight w:val="none"/>
        </w:rPr>
      </w:pPr>
      <w:bookmarkStart w:id="409" w:name="OLE_LINK13"/>
      <w:bookmarkStart w:id="410" w:name="OLE_LINK14"/>
      <w:r>
        <w:rPr>
          <w:rFonts w:hint="eastAsia" w:ascii="宋体" w:hAnsi="宋体" w:cs="宋体"/>
          <w:b/>
          <w:color w:val="auto"/>
          <w:spacing w:val="6"/>
          <w:sz w:val="32"/>
          <w:szCs w:val="32"/>
          <w:highlight w:val="none"/>
        </w:rPr>
        <w:t>残疾人福利性单位声明函</w:t>
      </w:r>
    </w:p>
    <w:bookmarkEnd w:id="409"/>
    <w:bookmarkEnd w:id="410"/>
    <w:p w14:paraId="2886F642">
      <w:pPr>
        <w:spacing w:line="360" w:lineRule="auto"/>
        <w:rPr>
          <w:rFonts w:ascii="宋体" w:hAnsi="宋体" w:cs="宋体"/>
          <w:b/>
          <w:color w:val="auto"/>
          <w:spacing w:val="6"/>
          <w:sz w:val="30"/>
          <w:szCs w:val="30"/>
          <w:highlight w:val="none"/>
        </w:rPr>
      </w:pPr>
    </w:p>
    <w:p w14:paraId="5F6C1A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5DD6B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720B43A">
      <w:pPr>
        <w:spacing w:line="360" w:lineRule="auto"/>
        <w:ind w:firstLine="480" w:firstLineChars="200"/>
        <w:rPr>
          <w:rFonts w:ascii="宋体" w:hAnsi="宋体" w:cs="宋体"/>
          <w:color w:val="auto"/>
          <w:sz w:val="24"/>
          <w:highlight w:val="none"/>
        </w:rPr>
      </w:pPr>
    </w:p>
    <w:p w14:paraId="64C54786">
      <w:pPr>
        <w:spacing w:line="360" w:lineRule="auto"/>
        <w:ind w:firstLine="480" w:firstLineChars="200"/>
        <w:rPr>
          <w:rFonts w:ascii="宋体" w:hAnsi="宋体" w:cs="宋体"/>
          <w:color w:val="auto"/>
          <w:sz w:val="24"/>
          <w:highlight w:val="none"/>
        </w:rPr>
      </w:pPr>
    </w:p>
    <w:p w14:paraId="5A8B057F">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1DE9BE00">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3F58F621">
      <w:pPr>
        <w:spacing w:line="360" w:lineRule="auto"/>
        <w:ind w:firstLine="480" w:firstLineChars="200"/>
        <w:rPr>
          <w:rFonts w:ascii="宋体" w:hAnsi="宋体" w:cs="宋体"/>
          <w:color w:val="auto"/>
          <w:sz w:val="24"/>
          <w:highlight w:val="none"/>
        </w:rPr>
      </w:pPr>
    </w:p>
    <w:p w14:paraId="29C33246">
      <w:pPr>
        <w:spacing w:line="360" w:lineRule="auto"/>
        <w:ind w:firstLine="420" w:firstLineChars="200"/>
        <w:rPr>
          <w:rFonts w:ascii="宋体" w:hAnsi="宋体" w:cs="宋体"/>
          <w:color w:val="auto"/>
          <w:highlight w:val="none"/>
        </w:rPr>
      </w:pPr>
    </w:p>
    <w:p w14:paraId="56DCBEFF">
      <w:pPr>
        <w:spacing w:line="360" w:lineRule="auto"/>
        <w:ind w:firstLine="420" w:firstLineChars="200"/>
        <w:rPr>
          <w:rFonts w:ascii="宋体" w:hAnsi="宋体" w:cs="宋体"/>
          <w:color w:val="auto"/>
          <w:highlight w:val="none"/>
        </w:rPr>
      </w:pPr>
    </w:p>
    <w:p w14:paraId="7C8F002F">
      <w:pPr>
        <w:spacing w:line="360" w:lineRule="auto"/>
        <w:ind w:firstLine="420" w:firstLineChars="200"/>
        <w:rPr>
          <w:rFonts w:ascii="宋体" w:hAnsi="宋体" w:cs="宋体"/>
          <w:color w:val="auto"/>
          <w:highlight w:val="none"/>
        </w:rPr>
      </w:pPr>
    </w:p>
    <w:p w14:paraId="57363828">
      <w:pPr>
        <w:spacing w:line="360" w:lineRule="auto"/>
        <w:ind w:firstLine="420" w:firstLineChars="200"/>
        <w:rPr>
          <w:rFonts w:ascii="宋体" w:hAnsi="宋体" w:cs="宋体"/>
          <w:color w:val="auto"/>
          <w:highlight w:val="none"/>
        </w:rPr>
      </w:pPr>
    </w:p>
    <w:p w14:paraId="5FBF3F48">
      <w:pPr>
        <w:spacing w:line="360" w:lineRule="auto"/>
        <w:rPr>
          <w:rFonts w:ascii="宋体" w:hAnsi="宋体" w:cs="宋体"/>
          <w:b/>
          <w:color w:val="auto"/>
          <w:sz w:val="24"/>
          <w:highlight w:val="none"/>
        </w:rPr>
      </w:pPr>
    </w:p>
    <w:p w14:paraId="2695B50D">
      <w:pPr>
        <w:spacing w:line="360" w:lineRule="auto"/>
        <w:rPr>
          <w:rFonts w:ascii="宋体" w:hAnsi="宋体" w:cs="宋体"/>
          <w:b/>
          <w:color w:val="auto"/>
          <w:sz w:val="24"/>
          <w:highlight w:val="none"/>
        </w:rPr>
      </w:pPr>
    </w:p>
    <w:p w14:paraId="1B6E9A37">
      <w:pPr>
        <w:spacing w:line="360" w:lineRule="auto"/>
        <w:rPr>
          <w:rFonts w:ascii="宋体" w:hAnsi="宋体" w:cs="宋体"/>
          <w:b/>
          <w:color w:val="auto"/>
          <w:sz w:val="24"/>
          <w:highlight w:val="none"/>
        </w:rPr>
      </w:pPr>
    </w:p>
    <w:p w14:paraId="057139D7">
      <w:pPr>
        <w:spacing w:line="360" w:lineRule="auto"/>
        <w:rPr>
          <w:rFonts w:ascii="宋体" w:hAnsi="宋体" w:cs="宋体"/>
          <w:b/>
          <w:color w:val="auto"/>
          <w:sz w:val="24"/>
          <w:highlight w:val="none"/>
        </w:rPr>
      </w:pPr>
    </w:p>
    <w:p w14:paraId="33775607">
      <w:pPr>
        <w:spacing w:line="360" w:lineRule="auto"/>
        <w:rPr>
          <w:rFonts w:ascii="宋体" w:hAnsi="宋体" w:cs="宋体"/>
          <w:b/>
          <w:color w:val="auto"/>
          <w:sz w:val="24"/>
          <w:highlight w:val="none"/>
        </w:rPr>
      </w:pPr>
    </w:p>
    <w:p w14:paraId="7F3F8EA9">
      <w:pPr>
        <w:spacing w:line="360" w:lineRule="auto"/>
        <w:rPr>
          <w:rFonts w:ascii="宋体" w:hAnsi="宋体" w:cs="宋体"/>
          <w:b/>
          <w:color w:val="auto"/>
          <w:sz w:val="24"/>
          <w:highlight w:val="none"/>
        </w:rPr>
      </w:pPr>
    </w:p>
    <w:p w14:paraId="6ED7F533">
      <w:pPr>
        <w:spacing w:line="360" w:lineRule="auto"/>
        <w:rPr>
          <w:rFonts w:ascii="宋体" w:hAnsi="宋体" w:cs="宋体"/>
          <w:b/>
          <w:color w:val="auto"/>
          <w:sz w:val="24"/>
          <w:highlight w:val="none"/>
        </w:rPr>
      </w:pPr>
    </w:p>
    <w:p w14:paraId="0B846A3A">
      <w:pPr>
        <w:spacing w:line="360" w:lineRule="auto"/>
        <w:rPr>
          <w:rFonts w:ascii="宋体" w:hAnsi="宋体" w:cs="宋体"/>
          <w:b/>
          <w:color w:val="auto"/>
          <w:sz w:val="24"/>
          <w:highlight w:val="none"/>
        </w:rPr>
      </w:pPr>
    </w:p>
    <w:p w14:paraId="11B22709">
      <w:pPr>
        <w:spacing w:line="360" w:lineRule="auto"/>
        <w:rPr>
          <w:rFonts w:ascii="宋体" w:hAnsi="宋体" w:cs="宋体"/>
          <w:b/>
          <w:color w:val="auto"/>
          <w:sz w:val="24"/>
          <w:highlight w:val="none"/>
        </w:rPr>
      </w:pPr>
    </w:p>
    <w:p w14:paraId="411A1BAF">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0EE72FC4">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4D21848A">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847CE8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7AFE5F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523291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8BA70D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A0BB57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33744B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4EA188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726887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D61D2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047E00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43B78A4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38762BA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BF8A93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64E33A8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9A98755">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F70AE2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60A694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09985E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4B1B39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BDAEB6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7364C3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19C0D0B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7B315A6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082F4A8">
      <w:pPr>
        <w:spacing w:line="360" w:lineRule="auto"/>
        <w:jc w:val="center"/>
        <w:rPr>
          <w:rFonts w:ascii="宋体" w:hAnsi="宋体" w:cs="宋体"/>
          <w:b/>
          <w:bCs/>
          <w:color w:val="auto"/>
          <w:sz w:val="24"/>
          <w:highlight w:val="none"/>
        </w:rPr>
      </w:pPr>
    </w:p>
    <w:p w14:paraId="7D986694">
      <w:pPr>
        <w:spacing w:line="360" w:lineRule="auto"/>
        <w:rPr>
          <w:rFonts w:ascii="宋体" w:hAnsi="宋体" w:cs="宋体"/>
          <w:b/>
          <w:color w:val="auto"/>
          <w:sz w:val="24"/>
          <w:highlight w:val="none"/>
        </w:rPr>
      </w:pPr>
    </w:p>
    <w:p w14:paraId="4E8EF612">
      <w:pPr>
        <w:spacing w:line="360" w:lineRule="auto"/>
        <w:rPr>
          <w:rFonts w:ascii="宋体" w:hAnsi="宋体" w:cs="宋体"/>
          <w:b/>
          <w:color w:val="auto"/>
          <w:sz w:val="24"/>
          <w:highlight w:val="none"/>
        </w:rPr>
      </w:pPr>
    </w:p>
    <w:p w14:paraId="45289F7D">
      <w:pPr>
        <w:spacing w:line="360" w:lineRule="auto"/>
        <w:rPr>
          <w:rFonts w:ascii="宋体" w:hAnsi="宋体" w:cs="宋体"/>
          <w:b/>
          <w:color w:val="auto"/>
          <w:sz w:val="24"/>
          <w:highlight w:val="none"/>
        </w:rPr>
      </w:pPr>
    </w:p>
    <w:p w14:paraId="7E6D5095">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795162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6529410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2BA174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2532618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1B0FB35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4A9C688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4B72367">
      <w:pPr>
        <w:widowControl/>
        <w:spacing w:line="360" w:lineRule="auto"/>
        <w:ind w:firstLine="600" w:firstLineChars="200"/>
        <w:jc w:val="left"/>
        <w:rPr>
          <w:rFonts w:ascii="宋体" w:hAnsi="宋体" w:cs="宋体"/>
          <w:color w:val="auto"/>
          <w:sz w:val="30"/>
          <w:szCs w:val="30"/>
          <w:highlight w:val="none"/>
        </w:rPr>
      </w:pPr>
    </w:p>
    <w:p w14:paraId="0CE56797">
      <w:pPr>
        <w:spacing w:line="360" w:lineRule="auto"/>
        <w:jc w:val="center"/>
        <w:rPr>
          <w:rFonts w:ascii="宋体" w:hAnsi="宋体" w:cs="宋体"/>
          <w:b/>
          <w:color w:val="auto"/>
          <w:spacing w:val="6"/>
          <w:sz w:val="32"/>
          <w:szCs w:val="32"/>
          <w:highlight w:val="none"/>
        </w:rPr>
      </w:pPr>
    </w:p>
    <w:p w14:paraId="2C099C10">
      <w:pPr>
        <w:spacing w:line="360" w:lineRule="auto"/>
        <w:jc w:val="center"/>
        <w:rPr>
          <w:rFonts w:ascii="宋体" w:hAnsi="宋体" w:cs="宋体"/>
          <w:b/>
          <w:color w:val="auto"/>
          <w:spacing w:val="6"/>
          <w:sz w:val="32"/>
          <w:szCs w:val="32"/>
          <w:highlight w:val="none"/>
        </w:rPr>
      </w:pPr>
    </w:p>
    <w:p w14:paraId="3D45CCED">
      <w:pPr>
        <w:spacing w:line="360" w:lineRule="auto"/>
        <w:jc w:val="center"/>
        <w:rPr>
          <w:rFonts w:ascii="宋体" w:hAnsi="宋体" w:cs="宋体"/>
          <w:b/>
          <w:color w:val="auto"/>
          <w:spacing w:val="6"/>
          <w:sz w:val="32"/>
          <w:szCs w:val="32"/>
          <w:highlight w:val="none"/>
        </w:rPr>
      </w:pPr>
    </w:p>
    <w:p w14:paraId="7348C271">
      <w:pPr>
        <w:spacing w:line="360" w:lineRule="auto"/>
        <w:jc w:val="center"/>
        <w:rPr>
          <w:rFonts w:ascii="宋体" w:hAnsi="宋体" w:cs="宋体"/>
          <w:b/>
          <w:color w:val="auto"/>
          <w:spacing w:val="6"/>
          <w:sz w:val="32"/>
          <w:szCs w:val="32"/>
          <w:highlight w:val="none"/>
        </w:rPr>
      </w:pPr>
    </w:p>
    <w:p w14:paraId="0A6DF42E">
      <w:pPr>
        <w:spacing w:line="360" w:lineRule="auto"/>
        <w:jc w:val="center"/>
        <w:rPr>
          <w:rFonts w:ascii="宋体" w:hAnsi="宋体" w:cs="宋体"/>
          <w:b/>
          <w:color w:val="auto"/>
          <w:spacing w:val="6"/>
          <w:sz w:val="32"/>
          <w:szCs w:val="32"/>
          <w:highlight w:val="none"/>
        </w:rPr>
      </w:pPr>
    </w:p>
    <w:p w14:paraId="079D4EED">
      <w:pPr>
        <w:spacing w:line="360" w:lineRule="auto"/>
        <w:jc w:val="center"/>
        <w:rPr>
          <w:rFonts w:ascii="宋体" w:hAnsi="宋体" w:cs="宋体"/>
          <w:b/>
          <w:color w:val="auto"/>
          <w:spacing w:val="6"/>
          <w:sz w:val="32"/>
          <w:szCs w:val="32"/>
          <w:highlight w:val="none"/>
        </w:rPr>
      </w:pPr>
    </w:p>
    <w:p w14:paraId="06E1875C">
      <w:pPr>
        <w:spacing w:line="360" w:lineRule="auto"/>
        <w:jc w:val="center"/>
        <w:rPr>
          <w:rFonts w:ascii="宋体" w:hAnsi="宋体" w:cs="宋体"/>
          <w:b/>
          <w:color w:val="auto"/>
          <w:spacing w:val="6"/>
          <w:sz w:val="32"/>
          <w:szCs w:val="32"/>
          <w:highlight w:val="none"/>
        </w:rPr>
      </w:pPr>
    </w:p>
    <w:p w14:paraId="2245B036">
      <w:pPr>
        <w:spacing w:line="360" w:lineRule="auto"/>
        <w:jc w:val="center"/>
        <w:rPr>
          <w:rFonts w:ascii="宋体" w:hAnsi="宋体" w:cs="宋体"/>
          <w:b/>
          <w:color w:val="auto"/>
          <w:spacing w:val="6"/>
          <w:sz w:val="32"/>
          <w:szCs w:val="32"/>
          <w:highlight w:val="none"/>
        </w:rPr>
      </w:pPr>
    </w:p>
    <w:p w14:paraId="569253A7">
      <w:pPr>
        <w:spacing w:line="360" w:lineRule="auto"/>
        <w:jc w:val="center"/>
        <w:rPr>
          <w:rFonts w:ascii="宋体" w:hAnsi="宋体" w:cs="宋体"/>
          <w:b/>
          <w:color w:val="auto"/>
          <w:spacing w:val="6"/>
          <w:sz w:val="32"/>
          <w:szCs w:val="32"/>
          <w:highlight w:val="none"/>
        </w:rPr>
      </w:pPr>
    </w:p>
    <w:p w14:paraId="2806B24A">
      <w:pPr>
        <w:spacing w:line="360" w:lineRule="auto"/>
        <w:jc w:val="center"/>
        <w:rPr>
          <w:rFonts w:ascii="宋体" w:hAnsi="宋体" w:cs="宋体"/>
          <w:b/>
          <w:color w:val="auto"/>
          <w:spacing w:val="6"/>
          <w:sz w:val="32"/>
          <w:szCs w:val="32"/>
          <w:highlight w:val="none"/>
        </w:rPr>
      </w:pPr>
    </w:p>
    <w:p w14:paraId="59218514">
      <w:pPr>
        <w:spacing w:line="360" w:lineRule="auto"/>
        <w:jc w:val="center"/>
        <w:rPr>
          <w:rFonts w:ascii="宋体" w:hAnsi="宋体" w:cs="宋体"/>
          <w:b/>
          <w:color w:val="auto"/>
          <w:spacing w:val="6"/>
          <w:sz w:val="32"/>
          <w:szCs w:val="32"/>
          <w:highlight w:val="none"/>
        </w:rPr>
      </w:pPr>
    </w:p>
    <w:p w14:paraId="1384BEC5">
      <w:pPr>
        <w:spacing w:line="360" w:lineRule="auto"/>
        <w:jc w:val="center"/>
        <w:rPr>
          <w:rFonts w:ascii="宋体" w:hAnsi="宋体" w:cs="宋体"/>
          <w:b/>
          <w:color w:val="auto"/>
          <w:spacing w:val="6"/>
          <w:sz w:val="32"/>
          <w:szCs w:val="32"/>
          <w:highlight w:val="none"/>
        </w:rPr>
      </w:pPr>
    </w:p>
    <w:p w14:paraId="6246D13E">
      <w:pPr>
        <w:spacing w:line="360" w:lineRule="auto"/>
        <w:jc w:val="left"/>
        <w:rPr>
          <w:rFonts w:ascii="宋体" w:hAnsi="宋体" w:cs="宋体"/>
          <w:b/>
          <w:color w:val="auto"/>
          <w:spacing w:val="6"/>
          <w:sz w:val="32"/>
          <w:szCs w:val="32"/>
          <w:highlight w:val="none"/>
        </w:rPr>
      </w:pPr>
    </w:p>
    <w:p w14:paraId="1C440566">
      <w:pPr>
        <w:spacing w:line="360" w:lineRule="auto"/>
        <w:jc w:val="left"/>
        <w:rPr>
          <w:rFonts w:ascii="宋体" w:hAnsi="宋体" w:cs="宋体"/>
          <w:b/>
          <w:color w:val="auto"/>
          <w:spacing w:val="6"/>
          <w:sz w:val="32"/>
          <w:szCs w:val="32"/>
          <w:highlight w:val="none"/>
        </w:rPr>
      </w:pPr>
    </w:p>
    <w:p w14:paraId="3A053C56">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780F9785">
      <w:pPr>
        <w:spacing w:line="360" w:lineRule="auto"/>
        <w:jc w:val="center"/>
        <w:rPr>
          <w:rFonts w:ascii="宋体" w:hAnsi="宋体" w:cs="宋体"/>
          <w:b/>
          <w:color w:val="auto"/>
          <w:sz w:val="24"/>
          <w:highlight w:val="none"/>
        </w:rPr>
      </w:pPr>
    </w:p>
    <w:p w14:paraId="7C7ED35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21DB0DDA">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7C2B4734">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52C13302">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99DEE56">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6800682">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B6971F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56B93EC">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5D432EA2">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DE6401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580053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6B9408E">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4D8AF382">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21B084F">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91887A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378D8B1">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46CDB40">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44D4CBD5">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095FD37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C85654D">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93D7BB4">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6C571C7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05A61CF">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1C7E50B">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5AD2F98B">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06E13E0D">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7642DC3">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64095EE7">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4689E82A">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31C5EDA3">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8B41200">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2517055">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C5B4A5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5390710">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2C5FCD50">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37C2ACB6">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5E201BFB">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7D5E810">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7F7B88D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69A87D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EDB4DC3">
      <w:pPr>
        <w:spacing w:line="360" w:lineRule="auto"/>
        <w:rPr>
          <w:rFonts w:ascii="宋体" w:hAnsi="宋体" w:cs="宋体"/>
          <w:b/>
          <w:color w:val="auto"/>
          <w:sz w:val="24"/>
          <w:highlight w:val="none"/>
        </w:rPr>
      </w:pPr>
    </w:p>
    <w:p w14:paraId="3A553E98">
      <w:pPr>
        <w:spacing w:line="360" w:lineRule="auto"/>
        <w:rPr>
          <w:rFonts w:ascii="宋体" w:hAnsi="宋体" w:cs="宋体"/>
          <w:b/>
          <w:color w:val="auto"/>
          <w:sz w:val="24"/>
          <w:highlight w:val="none"/>
        </w:rPr>
      </w:pPr>
    </w:p>
    <w:p w14:paraId="794FFCED">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13CE2EE">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6070BFE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D596F1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FF5B80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30B969D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67F9EB9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2FFEE6F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738EE78B">
      <w:pPr>
        <w:spacing w:line="360" w:lineRule="auto"/>
        <w:rPr>
          <w:rFonts w:ascii="宋体" w:hAnsi="宋体" w:cs="宋体"/>
          <w:b/>
          <w:color w:val="auto"/>
          <w:sz w:val="24"/>
          <w:highlight w:val="none"/>
        </w:rPr>
      </w:pPr>
    </w:p>
    <w:p w14:paraId="126E257C">
      <w:pPr>
        <w:autoSpaceDE w:val="0"/>
        <w:autoSpaceDN w:val="0"/>
        <w:jc w:val="center"/>
        <w:rPr>
          <w:rFonts w:ascii="宋体" w:hAnsi="宋体" w:cs="宋体"/>
          <w:b/>
          <w:color w:val="auto"/>
          <w:spacing w:val="6"/>
          <w:sz w:val="32"/>
          <w:szCs w:val="32"/>
          <w:highlight w:val="none"/>
        </w:rPr>
      </w:pPr>
    </w:p>
    <w:p w14:paraId="418F3465">
      <w:pPr>
        <w:autoSpaceDE w:val="0"/>
        <w:autoSpaceDN w:val="0"/>
        <w:jc w:val="center"/>
        <w:rPr>
          <w:rFonts w:ascii="宋体" w:hAnsi="宋体" w:cs="宋体"/>
          <w:b/>
          <w:color w:val="auto"/>
          <w:spacing w:val="6"/>
          <w:sz w:val="32"/>
          <w:szCs w:val="32"/>
          <w:highlight w:val="none"/>
        </w:rPr>
      </w:pPr>
    </w:p>
    <w:p w14:paraId="1A8479C7">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041DB62C">
      <w:pPr>
        <w:spacing w:line="360" w:lineRule="auto"/>
        <w:rPr>
          <w:rFonts w:ascii="宋体" w:hAnsi="宋体" w:cs="宋体"/>
          <w:color w:val="auto"/>
          <w:sz w:val="24"/>
          <w:highlight w:val="none"/>
          <w:u w:val="single"/>
        </w:rPr>
      </w:pPr>
    </w:p>
    <w:p w14:paraId="305C2FF3">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杭州市钱塘区人民政府义蓬街道办事处、浙江铭华工程管理有限公司</w:t>
      </w:r>
      <w:r>
        <w:rPr>
          <w:rFonts w:hint="eastAsia" w:ascii="宋体" w:hAnsi="宋体" w:cs="宋体"/>
          <w:color w:val="auto"/>
          <w:sz w:val="24"/>
          <w:highlight w:val="none"/>
          <w:u w:val="single"/>
        </w:rPr>
        <w:t>：</w:t>
      </w:r>
    </w:p>
    <w:p w14:paraId="7A522651">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1C964C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3E718CB3">
      <w:pPr>
        <w:spacing w:line="360" w:lineRule="auto"/>
        <w:ind w:firstLine="494"/>
        <w:rPr>
          <w:rFonts w:ascii="宋体" w:hAnsi="宋体" w:cs="宋体"/>
          <w:color w:val="auto"/>
          <w:sz w:val="24"/>
          <w:highlight w:val="none"/>
        </w:rPr>
      </w:pPr>
    </w:p>
    <w:p w14:paraId="367B3EBD">
      <w:pPr>
        <w:spacing w:line="360" w:lineRule="auto"/>
        <w:ind w:firstLine="494"/>
        <w:rPr>
          <w:rFonts w:ascii="宋体" w:hAnsi="宋体" w:cs="宋体"/>
          <w:color w:val="auto"/>
          <w:sz w:val="24"/>
          <w:highlight w:val="none"/>
        </w:rPr>
      </w:pPr>
    </w:p>
    <w:p w14:paraId="0841118C">
      <w:pPr>
        <w:spacing w:line="360" w:lineRule="auto"/>
        <w:ind w:firstLine="494"/>
        <w:rPr>
          <w:rFonts w:ascii="宋体" w:hAnsi="宋体" w:cs="宋体"/>
          <w:color w:val="auto"/>
          <w:sz w:val="24"/>
          <w:highlight w:val="none"/>
        </w:rPr>
      </w:pPr>
    </w:p>
    <w:p w14:paraId="0C356E31">
      <w:pPr>
        <w:spacing w:line="360" w:lineRule="auto"/>
        <w:ind w:firstLine="494"/>
        <w:rPr>
          <w:rFonts w:ascii="宋体" w:hAnsi="宋体" w:cs="宋体"/>
          <w:color w:val="auto"/>
          <w:sz w:val="24"/>
          <w:highlight w:val="none"/>
        </w:rPr>
      </w:pPr>
    </w:p>
    <w:p w14:paraId="45011D49">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18635DF0">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7D73C6A">
      <w:pPr>
        <w:rPr>
          <w:rFonts w:ascii="宋体" w:hAnsi="宋体" w:cs="宋体"/>
          <w:color w:val="auto"/>
          <w:sz w:val="24"/>
          <w:highlight w:val="none"/>
        </w:rPr>
      </w:pPr>
      <w:r>
        <w:rPr>
          <w:rFonts w:hint="eastAsia" w:ascii="宋体" w:hAnsi="宋体" w:cs="宋体"/>
          <w:b/>
          <w:bCs/>
          <w:color w:val="auto"/>
          <w:sz w:val="24"/>
          <w:highlight w:val="none"/>
        </w:rPr>
        <w:t>附：</w:t>
      </w:r>
    </w:p>
    <w:p w14:paraId="27419D23">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4C4D6AAF">
      <w:pPr>
        <w:autoSpaceDE w:val="0"/>
        <w:autoSpaceDN w:val="0"/>
        <w:jc w:val="center"/>
        <w:rPr>
          <w:rFonts w:ascii="宋体" w:hAnsi="宋体" w:cs="宋体"/>
          <w:b/>
          <w:color w:val="auto"/>
          <w:spacing w:val="6"/>
          <w:sz w:val="32"/>
          <w:szCs w:val="32"/>
          <w:highlight w:val="none"/>
        </w:rPr>
      </w:pPr>
    </w:p>
    <w:p w14:paraId="0CE1EE6F">
      <w:pPr>
        <w:autoSpaceDE w:val="0"/>
        <w:autoSpaceDN w:val="0"/>
        <w:jc w:val="center"/>
        <w:rPr>
          <w:rFonts w:ascii="宋体" w:hAnsi="宋体" w:cs="宋体"/>
          <w:b/>
          <w:color w:val="auto"/>
          <w:spacing w:val="6"/>
          <w:sz w:val="32"/>
          <w:szCs w:val="32"/>
          <w:highlight w:val="none"/>
        </w:rPr>
      </w:pPr>
    </w:p>
    <w:p w14:paraId="62DFDDA5">
      <w:pPr>
        <w:autoSpaceDE w:val="0"/>
        <w:autoSpaceDN w:val="0"/>
        <w:jc w:val="center"/>
        <w:rPr>
          <w:rFonts w:ascii="宋体" w:hAnsi="宋体" w:cs="宋体"/>
          <w:b/>
          <w:color w:val="auto"/>
          <w:spacing w:val="6"/>
          <w:sz w:val="32"/>
          <w:szCs w:val="32"/>
          <w:highlight w:val="none"/>
        </w:rPr>
      </w:pPr>
    </w:p>
    <w:p w14:paraId="7A5F7C25">
      <w:pPr>
        <w:autoSpaceDE w:val="0"/>
        <w:autoSpaceDN w:val="0"/>
        <w:jc w:val="center"/>
        <w:rPr>
          <w:rFonts w:ascii="宋体" w:hAnsi="宋体" w:cs="宋体"/>
          <w:b/>
          <w:color w:val="auto"/>
          <w:spacing w:val="6"/>
          <w:sz w:val="32"/>
          <w:szCs w:val="32"/>
          <w:highlight w:val="none"/>
        </w:rPr>
      </w:pPr>
    </w:p>
    <w:p w14:paraId="44DB5F8B">
      <w:pPr>
        <w:autoSpaceDE w:val="0"/>
        <w:autoSpaceDN w:val="0"/>
        <w:jc w:val="center"/>
        <w:rPr>
          <w:rFonts w:ascii="宋体" w:hAnsi="宋体" w:cs="宋体"/>
          <w:b/>
          <w:color w:val="auto"/>
          <w:spacing w:val="6"/>
          <w:sz w:val="32"/>
          <w:szCs w:val="32"/>
          <w:highlight w:val="none"/>
        </w:rPr>
      </w:pPr>
    </w:p>
    <w:p w14:paraId="1DC5E93E">
      <w:pPr>
        <w:autoSpaceDE w:val="0"/>
        <w:autoSpaceDN w:val="0"/>
        <w:jc w:val="center"/>
        <w:rPr>
          <w:rFonts w:ascii="宋体" w:hAnsi="宋体" w:cs="宋体"/>
          <w:b/>
          <w:color w:val="auto"/>
          <w:spacing w:val="6"/>
          <w:sz w:val="32"/>
          <w:szCs w:val="32"/>
          <w:highlight w:val="none"/>
        </w:rPr>
      </w:pPr>
    </w:p>
    <w:p w14:paraId="6B81CA67">
      <w:pPr>
        <w:autoSpaceDE w:val="0"/>
        <w:autoSpaceDN w:val="0"/>
        <w:jc w:val="center"/>
        <w:rPr>
          <w:rFonts w:ascii="宋体" w:hAnsi="宋体" w:cs="宋体"/>
          <w:b/>
          <w:color w:val="auto"/>
          <w:spacing w:val="6"/>
          <w:sz w:val="32"/>
          <w:szCs w:val="32"/>
          <w:highlight w:val="none"/>
        </w:rPr>
      </w:pPr>
    </w:p>
    <w:p w14:paraId="6114FFB5">
      <w:pPr>
        <w:autoSpaceDE w:val="0"/>
        <w:autoSpaceDN w:val="0"/>
        <w:jc w:val="center"/>
        <w:rPr>
          <w:rFonts w:ascii="宋体" w:hAnsi="宋体" w:cs="宋体"/>
          <w:b/>
          <w:color w:val="auto"/>
          <w:spacing w:val="6"/>
          <w:sz w:val="32"/>
          <w:szCs w:val="32"/>
          <w:highlight w:val="none"/>
        </w:rPr>
      </w:pPr>
    </w:p>
    <w:p w14:paraId="78FF0458">
      <w:pPr>
        <w:autoSpaceDE w:val="0"/>
        <w:autoSpaceDN w:val="0"/>
        <w:jc w:val="center"/>
        <w:rPr>
          <w:rFonts w:ascii="宋体" w:hAnsi="宋体" w:cs="宋体"/>
          <w:b/>
          <w:color w:val="auto"/>
          <w:spacing w:val="6"/>
          <w:sz w:val="32"/>
          <w:szCs w:val="32"/>
          <w:highlight w:val="none"/>
        </w:rPr>
      </w:pPr>
    </w:p>
    <w:p w14:paraId="3FA25537">
      <w:pPr>
        <w:autoSpaceDE w:val="0"/>
        <w:autoSpaceDN w:val="0"/>
        <w:jc w:val="center"/>
        <w:rPr>
          <w:rFonts w:ascii="宋体" w:hAnsi="宋体" w:cs="宋体"/>
          <w:b/>
          <w:color w:val="auto"/>
          <w:spacing w:val="6"/>
          <w:sz w:val="32"/>
          <w:szCs w:val="32"/>
          <w:highlight w:val="none"/>
        </w:rPr>
      </w:pPr>
    </w:p>
    <w:p w14:paraId="315E1D02">
      <w:pPr>
        <w:autoSpaceDE w:val="0"/>
        <w:autoSpaceDN w:val="0"/>
        <w:jc w:val="center"/>
        <w:rPr>
          <w:rFonts w:ascii="宋体" w:hAnsi="宋体" w:cs="宋体"/>
          <w:b/>
          <w:color w:val="auto"/>
          <w:spacing w:val="6"/>
          <w:sz w:val="32"/>
          <w:szCs w:val="32"/>
          <w:highlight w:val="none"/>
        </w:rPr>
      </w:pPr>
    </w:p>
    <w:p w14:paraId="1F1AF446">
      <w:pPr>
        <w:autoSpaceDE w:val="0"/>
        <w:autoSpaceDN w:val="0"/>
        <w:jc w:val="center"/>
        <w:rPr>
          <w:rFonts w:ascii="宋体" w:hAnsi="宋体" w:cs="宋体"/>
          <w:b/>
          <w:color w:val="auto"/>
          <w:spacing w:val="6"/>
          <w:sz w:val="32"/>
          <w:szCs w:val="32"/>
          <w:highlight w:val="none"/>
        </w:rPr>
      </w:pPr>
    </w:p>
    <w:p w14:paraId="47EF4847">
      <w:pPr>
        <w:autoSpaceDE w:val="0"/>
        <w:autoSpaceDN w:val="0"/>
        <w:jc w:val="center"/>
        <w:rPr>
          <w:rFonts w:ascii="宋体" w:hAnsi="宋体" w:cs="宋体"/>
          <w:b/>
          <w:color w:val="auto"/>
          <w:spacing w:val="6"/>
          <w:sz w:val="32"/>
          <w:szCs w:val="32"/>
          <w:highlight w:val="none"/>
        </w:rPr>
      </w:pPr>
    </w:p>
    <w:p w14:paraId="3066B8F5">
      <w:pPr>
        <w:autoSpaceDE w:val="0"/>
        <w:autoSpaceDN w:val="0"/>
        <w:jc w:val="center"/>
        <w:rPr>
          <w:rFonts w:ascii="宋体" w:hAnsi="宋体" w:cs="宋体"/>
          <w:b/>
          <w:color w:val="auto"/>
          <w:spacing w:val="6"/>
          <w:sz w:val="32"/>
          <w:szCs w:val="32"/>
          <w:highlight w:val="none"/>
        </w:rPr>
      </w:pPr>
    </w:p>
    <w:p w14:paraId="0674838B">
      <w:pPr>
        <w:autoSpaceDE w:val="0"/>
        <w:autoSpaceDN w:val="0"/>
        <w:jc w:val="center"/>
        <w:rPr>
          <w:rFonts w:ascii="宋体" w:hAnsi="宋体" w:cs="宋体"/>
          <w:b/>
          <w:color w:val="auto"/>
          <w:spacing w:val="6"/>
          <w:sz w:val="32"/>
          <w:szCs w:val="32"/>
          <w:highlight w:val="none"/>
        </w:rPr>
      </w:pPr>
    </w:p>
    <w:p w14:paraId="1697AC74">
      <w:pPr>
        <w:autoSpaceDE w:val="0"/>
        <w:autoSpaceDN w:val="0"/>
        <w:jc w:val="center"/>
        <w:rPr>
          <w:rFonts w:ascii="宋体" w:hAnsi="宋体" w:cs="宋体"/>
          <w:b/>
          <w:color w:val="auto"/>
          <w:spacing w:val="6"/>
          <w:sz w:val="32"/>
          <w:szCs w:val="32"/>
          <w:highlight w:val="none"/>
        </w:rPr>
      </w:pPr>
    </w:p>
    <w:p w14:paraId="39099220">
      <w:pPr>
        <w:autoSpaceDE w:val="0"/>
        <w:autoSpaceDN w:val="0"/>
        <w:jc w:val="center"/>
        <w:rPr>
          <w:rFonts w:ascii="宋体" w:hAnsi="宋体" w:cs="宋体"/>
          <w:b/>
          <w:color w:val="auto"/>
          <w:spacing w:val="6"/>
          <w:sz w:val="32"/>
          <w:szCs w:val="32"/>
          <w:highlight w:val="none"/>
        </w:rPr>
      </w:pPr>
    </w:p>
    <w:p w14:paraId="413368FB">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023C4F42">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25C2858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6AC0616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57E7131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授权代表根据招标文件规定及投标内容而对采购人、采购机构所作的任何合法承诺，包括书面澄清及</w:t>
      </w:r>
      <w:r>
        <w:rPr>
          <w:rFonts w:hint="eastAsia" w:ascii="宋体" w:hAnsi="宋体" w:cs="宋体"/>
          <w:color w:val="auto"/>
          <w:kern w:val="0"/>
          <w:sz w:val="24"/>
          <w:highlight w:val="none"/>
          <w:lang w:val="en-US" w:eastAsia="zh-CN"/>
        </w:rPr>
        <w:t>响</w:t>
      </w:r>
      <w:r>
        <w:rPr>
          <w:rFonts w:hint="eastAsia" w:ascii="宋体" w:hAnsi="宋体" w:cs="宋体"/>
          <w:color w:val="auto"/>
          <w:kern w:val="0"/>
          <w:sz w:val="24"/>
          <w:highlight w:val="none"/>
          <w:lang w:val="zh-CN"/>
        </w:rPr>
        <w:t>应等均对联合投标各方产生约束力。</w:t>
      </w:r>
    </w:p>
    <w:p w14:paraId="4C3BA7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lang w:val="en-US" w:eastAsia="zh-CN"/>
        </w:rPr>
        <w:t>所有联合体成员</w:t>
      </w:r>
      <w:r>
        <w:rPr>
          <w:rFonts w:hint="eastAsia" w:ascii="宋体" w:hAnsi="宋体" w:cs="宋体"/>
          <w:color w:val="auto"/>
          <w:kern w:val="0"/>
          <w:sz w:val="24"/>
          <w:highlight w:val="none"/>
          <w:lang w:val="zh-CN"/>
        </w:rPr>
        <w:t>分工如下：</w:t>
      </w:r>
    </w:p>
    <w:p w14:paraId="1C89C75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17B09D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076E553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6C8237C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5B0C8755">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w:t>
      </w:r>
      <w:bookmarkStart w:id="411"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11"/>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12"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12"/>
      <w:r>
        <w:rPr>
          <w:rFonts w:hint="eastAsia" w:ascii="宋体" w:hAnsi="宋体" w:cs="宋体"/>
          <w:b/>
          <w:color w:val="auto"/>
          <w:kern w:val="0"/>
          <w:sz w:val="24"/>
          <w:highlight w:val="none"/>
          <w:lang w:val="zh-CN"/>
        </w:rPr>
        <w:t>）</w:t>
      </w:r>
    </w:p>
    <w:p w14:paraId="522A57A0">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38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413"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13"/>
    </w:p>
    <w:p w14:paraId="2063F91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6BE5987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D79783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32687C5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73EB99F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3、本协议提交采购人、采购机构后，联合体各方不得以任何形式对上述内容进行修改或撤销。</w:t>
      </w:r>
    </w:p>
    <w:p w14:paraId="596D8BA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A57F79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8DA14F3">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4A39F5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A17743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81454F0">
      <w:pPr>
        <w:autoSpaceDE w:val="0"/>
        <w:autoSpaceDN w:val="0"/>
        <w:jc w:val="center"/>
        <w:rPr>
          <w:rFonts w:ascii="宋体" w:hAnsi="宋体" w:cs="宋体"/>
          <w:b/>
          <w:color w:val="auto"/>
          <w:spacing w:val="6"/>
          <w:sz w:val="32"/>
          <w:szCs w:val="32"/>
          <w:highlight w:val="none"/>
        </w:rPr>
      </w:pPr>
    </w:p>
    <w:p w14:paraId="76D4910E">
      <w:pPr>
        <w:autoSpaceDE w:val="0"/>
        <w:autoSpaceDN w:val="0"/>
        <w:jc w:val="center"/>
        <w:rPr>
          <w:rFonts w:ascii="宋体" w:hAnsi="宋体" w:cs="宋体"/>
          <w:b/>
          <w:color w:val="auto"/>
          <w:spacing w:val="6"/>
          <w:sz w:val="32"/>
          <w:szCs w:val="32"/>
          <w:highlight w:val="none"/>
        </w:rPr>
      </w:pPr>
    </w:p>
    <w:p w14:paraId="3B3AE481">
      <w:pPr>
        <w:autoSpaceDE w:val="0"/>
        <w:autoSpaceDN w:val="0"/>
        <w:jc w:val="center"/>
        <w:rPr>
          <w:rFonts w:ascii="宋体" w:hAnsi="宋体" w:cs="宋体"/>
          <w:b/>
          <w:color w:val="auto"/>
          <w:spacing w:val="6"/>
          <w:sz w:val="32"/>
          <w:szCs w:val="32"/>
          <w:highlight w:val="none"/>
        </w:rPr>
      </w:pPr>
    </w:p>
    <w:p w14:paraId="41C465DC">
      <w:pPr>
        <w:autoSpaceDE w:val="0"/>
        <w:autoSpaceDN w:val="0"/>
        <w:jc w:val="center"/>
        <w:rPr>
          <w:rFonts w:ascii="宋体" w:hAnsi="宋体" w:cs="宋体"/>
          <w:b/>
          <w:color w:val="auto"/>
          <w:spacing w:val="6"/>
          <w:sz w:val="32"/>
          <w:szCs w:val="32"/>
          <w:highlight w:val="none"/>
        </w:rPr>
      </w:pPr>
    </w:p>
    <w:p w14:paraId="2EFE99C8">
      <w:pPr>
        <w:autoSpaceDE w:val="0"/>
        <w:autoSpaceDN w:val="0"/>
        <w:jc w:val="center"/>
        <w:rPr>
          <w:rFonts w:ascii="宋体" w:hAnsi="宋体" w:cs="宋体"/>
          <w:b/>
          <w:color w:val="auto"/>
          <w:spacing w:val="6"/>
          <w:sz w:val="32"/>
          <w:szCs w:val="32"/>
          <w:highlight w:val="none"/>
        </w:rPr>
      </w:pPr>
    </w:p>
    <w:p w14:paraId="380D9BF3">
      <w:pPr>
        <w:autoSpaceDE w:val="0"/>
        <w:autoSpaceDN w:val="0"/>
        <w:jc w:val="center"/>
        <w:rPr>
          <w:rFonts w:ascii="宋体" w:hAnsi="宋体" w:cs="宋体"/>
          <w:b/>
          <w:color w:val="auto"/>
          <w:spacing w:val="6"/>
          <w:sz w:val="32"/>
          <w:szCs w:val="32"/>
          <w:highlight w:val="none"/>
        </w:rPr>
      </w:pPr>
    </w:p>
    <w:p w14:paraId="59CB62F3">
      <w:pPr>
        <w:autoSpaceDE w:val="0"/>
        <w:autoSpaceDN w:val="0"/>
        <w:jc w:val="center"/>
        <w:rPr>
          <w:rFonts w:ascii="宋体" w:hAnsi="宋体" w:cs="宋体"/>
          <w:b/>
          <w:color w:val="auto"/>
          <w:spacing w:val="6"/>
          <w:sz w:val="32"/>
          <w:szCs w:val="32"/>
          <w:highlight w:val="none"/>
        </w:rPr>
      </w:pPr>
    </w:p>
    <w:p w14:paraId="6DAA57E3">
      <w:pPr>
        <w:autoSpaceDE w:val="0"/>
        <w:autoSpaceDN w:val="0"/>
        <w:jc w:val="center"/>
        <w:rPr>
          <w:rFonts w:ascii="宋体" w:hAnsi="宋体" w:cs="宋体"/>
          <w:b/>
          <w:color w:val="auto"/>
          <w:spacing w:val="6"/>
          <w:sz w:val="32"/>
          <w:szCs w:val="32"/>
          <w:highlight w:val="none"/>
        </w:rPr>
      </w:pPr>
    </w:p>
    <w:p w14:paraId="448B4860">
      <w:pPr>
        <w:autoSpaceDE w:val="0"/>
        <w:autoSpaceDN w:val="0"/>
        <w:jc w:val="center"/>
        <w:rPr>
          <w:rFonts w:ascii="宋体" w:hAnsi="宋体" w:cs="宋体"/>
          <w:b/>
          <w:color w:val="auto"/>
          <w:spacing w:val="6"/>
          <w:sz w:val="32"/>
          <w:szCs w:val="32"/>
          <w:highlight w:val="none"/>
        </w:rPr>
      </w:pPr>
    </w:p>
    <w:p w14:paraId="5BD02DAD">
      <w:pPr>
        <w:autoSpaceDE w:val="0"/>
        <w:autoSpaceDN w:val="0"/>
        <w:jc w:val="center"/>
        <w:rPr>
          <w:rFonts w:ascii="宋体" w:hAnsi="宋体" w:cs="宋体"/>
          <w:b/>
          <w:color w:val="auto"/>
          <w:spacing w:val="6"/>
          <w:sz w:val="32"/>
          <w:szCs w:val="32"/>
          <w:highlight w:val="none"/>
        </w:rPr>
      </w:pPr>
    </w:p>
    <w:p w14:paraId="13C1D14D">
      <w:pPr>
        <w:autoSpaceDE w:val="0"/>
        <w:autoSpaceDN w:val="0"/>
        <w:jc w:val="center"/>
        <w:rPr>
          <w:rFonts w:ascii="宋体" w:hAnsi="宋体" w:cs="宋体"/>
          <w:b/>
          <w:color w:val="auto"/>
          <w:spacing w:val="6"/>
          <w:sz w:val="32"/>
          <w:szCs w:val="32"/>
          <w:highlight w:val="none"/>
        </w:rPr>
      </w:pPr>
    </w:p>
    <w:p w14:paraId="2DF4018D">
      <w:pPr>
        <w:autoSpaceDE w:val="0"/>
        <w:autoSpaceDN w:val="0"/>
        <w:jc w:val="center"/>
        <w:rPr>
          <w:rFonts w:ascii="宋体" w:hAnsi="宋体" w:cs="宋体"/>
          <w:b/>
          <w:color w:val="auto"/>
          <w:spacing w:val="6"/>
          <w:sz w:val="32"/>
          <w:szCs w:val="32"/>
          <w:highlight w:val="none"/>
        </w:rPr>
      </w:pPr>
    </w:p>
    <w:p w14:paraId="7797DDE9">
      <w:pPr>
        <w:autoSpaceDE w:val="0"/>
        <w:autoSpaceDN w:val="0"/>
        <w:jc w:val="center"/>
        <w:rPr>
          <w:rFonts w:ascii="宋体" w:hAnsi="宋体" w:cs="宋体"/>
          <w:b/>
          <w:color w:val="auto"/>
          <w:spacing w:val="6"/>
          <w:sz w:val="32"/>
          <w:szCs w:val="32"/>
          <w:highlight w:val="none"/>
        </w:rPr>
      </w:pPr>
    </w:p>
    <w:p w14:paraId="1F2E716A">
      <w:pPr>
        <w:autoSpaceDE w:val="0"/>
        <w:autoSpaceDN w:val="0"/>
        <w:jc w:val="center"/>
        <w:rPr>
          <w:rFonts w:ascii="宋体" w:hAnsi="宋体" w:cs="宋体"/>
          <w:b/>
          <w:color w:val="auto"/>
          <w:spacing w:val="6"/>
          <w:sz w:val="32"/>
          <w:szCs w:val="32"/>
          <w:highlight w:val="none"/>
        </w:rPr>
      </w:pPr>
    </w:p>
    <w:p w14:paraId="18E2DA6F">
      <w:pPr>
        <w:autoSpaceDE w:val="0"/>
        <w:autoSpaceDN w:val="0"/>
        <w:jc w:val="center"/>
        <w:rPr>
          <w:rFonts w:ascii="宋体" w:hAnsi="宋体" w:cs="宋体"/>
          <w:b/>
          <w:color w:val="auto"/>
          <w:spacing w:val="6"/>
          <w:sz w:val="32"/>
          <w:szCs w:val="32"/>
          <w:highlight w:val="none"/>
        </w:rPr>
      </w:pPr>
    </w:p>
    <w:p w14:paraId="5F16F92B">
      <w:pPr>
        <w:autoSpaceDE w:val="0"/>
        <w:autoSpaceDN w:val="0"/>
        <w:jc w:val="center"/>
        <w:rPr>
          <w:rFonts w:ascii="宋体" w:hAnsi="宋体" w:cs="宋体"/>
          <w:b/>
          <w:color w:val="auto"/>
          <w:spacing w:val="6"/>
          <w:sz w:val="32"/>
          <w:szCs w:val="32"/>
          <w:highlight w:val="none"/>
        </w:rPr>
      </w:pPr>
    </w:p>
    <w:p w14:paraId="2288771D">
      <w:pPr>
        <w:autoSpaceDE w:val="0"/>
        <w:autoSpaceDN w:val="0"/>
        <w:jc w:val="center"/>
        <w:rPr>
          <w:rFonts w:ascii="宋体" w:hAnsi="宋体" w:cs="宋体"/>
          <w:b/>
          <w:color w:val="auto"/>
          <w:spacing w:val="6"/>
          <w:sz w:val="32"/>
          <w:szCs w:val="32"/>
          <w:highlight w:val="none"/>
        </w:rPr>
      </w:pPr>
    </w:p>
    <w:p w14:paraId="0191185F">
      <w:pPr>
        <w:autoSpaceDE w:val="0"/>
        <w:autoSpaceDN w:val="0"/>
        <w:jc w:val="center"/>
        <w:rPr>
          <w:rFonts w:ascii="宋体" w:hAnsi="宋体" w:cs="宋体"/>
          <w:b/>
          <w:color w:val="auto"/>
          <w:spacing w:val="6"/>
          <w:sz w:val="32"/>
          <w:szCs w:val="32"/>
          <w:highlight w:val="none"/>
        </w:rPr>
      </w:pPr>
    </w:p>
    <w:p w14:paraId="6C934844">
      <w:pPr>
        <w:autoSpaceDE w:val="0"/>
        <w:autoSpaceDN w:val="0"/>
        <w:jc w:val="center"/>
        <w:rPr>
          <w:rFonts w:ascii="宋体" w:hAnsi="宋体" w:cs="宋体"/>
          <w:b/>
          <w:color w:val="auto"/>
          <w:spacing w:val="6"/>
          <w:sz w:val="32"/>
          <w:szCs w:val="32"/>
          <w:highlight w:val="none"/>
        </w:rPr>
      </w:pPr>
    </w:p>
    <w:p w14:paraId="54EEBFCD">
      <w:pPr>
        <w:autoSpaceDE w:val="0"/>
        <w:autoSpaceDN w:val="0"/>
        <w:jc w:val="center"/>
        <w:rPr>
          <w:rFonts w:ascii="宋体" w:hAnsi="宋体" w:cs="宋体"/>
          <w:b/>
          <w:color w:val="auto"/>
          <w:spacing w:val="6"/>
          <w:sz w:val="32"/>
          <w:szCs w:val="32"/>
          <w:highlight w:val="none"/>
        </w:rPr>
      </w:pPr>
    </w:p>
    <w:p w14:paraId="24353026">
      <w:pPr>
        <w:autoSpaceDE w:val="0"/>
        <w:autoSpaceDN w:val="0"/>
        <w:jc w:val="center"/>
        <w:rPr>
          <w:rFonts w:ascii="宋体" w:hAnsi="宋体" w:cs="宋体"/>
          <w:b/>
          <w:color w:val="auto"/>
          <w:spacing w:val="6"/>
          <w:sz w:val="32"/>
          <w:szCs w:val="32"/>
          <w:highlight w:val="none"/>
        </w:rPr>
      </w:pPr>
    </w:p>
    <w:p w14:paraId="17DB54AD">
      <w:pPr>
        <w:autoSpaceDE w:val="0"/>
        <w:autoSpaceDN w:val="0"/>
        <w:jc w:val="center"/>
        <w:rPr>
          <w:rFonts w:ascii="宋体" w:hAnsi="宋体" w:cs="宋体"/>
          <w:b/>
          <w:color w:val="auto"/>
          <w:spacing w:val="6"/>
          <w:sz w:val="32"/>
          <w:szCs w:val="32"/>
          <w:highlight w:val="none"/>
        </w:rPr>
      </w:pPr>
    </w:p>
    <w:p w14:paraId="456BE31D">
      <w:pPr>
        <w:autoSpaceDE w:val="0"/>
        <w:autoSpaceDN w:val="0"/>
        <w:jc w:val="center"/>
        <w:rPr>
          <w:rFonts w:ascii="宋体" w:hAnsi="宋体" w:cs="宋体"/>
          <w:b/>
          <w:color w:val="auto"/>
          <w:spacing w:val="6"/>
          <w:sz w:val="32"/>
          <w:szCs w:val="32"/>
          <w:highlight w:val="none"/>
        </w:rPr>
      </w:pPr>
    </w:p>
    <w:p w14:paraId="71C36D70">
      <w:pPr>
        <w:snapToGrid w:val="0"/>
        <w:spacing w:line="360" w:lineRule="auto"/>
        <w:ind w:firstLine="3666" w:firstLineChars="1100"/>
        <w:rPr>
          <w:rFonts w:ascii="宋体" w:hAnsi="宋体" w:cs="宋体"/>
          <w:b/>
          <w:color w:val="auto"/>
          <w:spacing w:val="6"/>
          <w:sz w:val="32"/>
          <w:szCs w:val="32"/>
          <w:highlight w:val="none"/>
        </w:rPr>
      </w:pPr>
    </w:p>
    <w:p w14:paraId="0430E3CD">
      <w:pPr>
        <w:widowControl/>
        <w:adjustRightInd/>
        <w:jc w:val="left"/>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14:paraId="7CCB750C">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7CA3860A">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6A4021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26B0143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51308A64">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323077AB">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191A0F4C">
      <w:pPr>
        <w:pStyle w:val="2"/>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74C152FF">
      <w:pPr>
        <w:tabs>
          <w:tab w:val="left" w:pos="432"/>
        </w:tabs>
        <w:snapToGrid w:val="0"/>
        <w:ind w:left="664" w:leftChars="316" w:firstLine="228" w:firstLineChars="95"/>
        <w:rPr>
          <w:rFonts w:ascii="宋体" w:hAnsi="宋体" w:eastAsia="宋体" w:cs="宋体"/>
          <w:color w:val="auto"/>
          <w:kern w:val="0"/>
          <w:sz w:val="24"/>
          <w:szCs w:val="24"/>
          <w:highlight w:val="none"/>
        </w:rPr>
      </w:pPr>
      <w:r>
        <w:rPr>
          <w:rFonts w:hint="eastAsia" w:ascii="宋体" w:hAnsi="宋体" w:cs="宋体"/>
          <w:color w:val="auto"/>
          <w:kern w:val="0"/>
          <w:sz w:val="24"/>
          <w:highlight w:val="none"/>
          <w:u w:val="none"/>
          <w:lang w:eastAsia="zh-CN"/>
        </w:rPr>
        <w:t>以上分包供应商</w:t>
      </w:r>
      <w:r>
        <w:rPr>
          <w:rFonts w:hint="eastAsia" w:ascii="宋体" w:hAnsi="宋体" w:cs="宋体"/>
          <w:color w:val="auto"/>
          <w:kern w:val="0"/>
          <w:sz w:val="24"/>
          <w:highlight w:val="none"/>
          <w:u w:val="none"/>
          <w:lang w:val="zh-CN"/>
        </w:rPr>
        <w:t>具备所承</w:t>
      </w:r>
      <w:r>
        <w:rPr>
          <w:rFonts w:hint="eastAsia" w:ascii="宋体" w:hAnsi="宋体" w:cs="宋体"/>
          <w:color w:val="auto"/>
          <w:kern w:val="0"/>
          <w:sz w:val="24"/>
          <w:highlight w:val="none"/>
          <w:u w:val="none"/>
        </w:rPr>
        <w:t>担</w:t>
      </w:r>
      <w:r>
        <w:rPr>
          <w:rFonts w:hint="eastAsia" w:ascii="宋体" w:hAnsi="宋体" w:cs="宋体"/>
          <w:color w:val="auto"/>
          <w:kern w:val="0"/>
          <w:sz w:val="24"/>
          <w:highlight w:val="none"/>
          <w:u w:val="none"/>
          <w:lang w:val="zh-CN"/>
        </w:rPr>
        <w:t>分包工作内容相应的资质条件且不得再次分包。</w:t>
      </w:r>
    </w:p>
    <w:p w14:paraId="1228B871">
      <w:pPr>
        <w:pStyle w:val="2"/>
        <w:ind w:left="664" w:leftChars="316" w:firstLine="305" w:firstLineChars="95"/>
        <w:rPr>
          <w:color w:val="auto"/>
          <w:highlight w:val="none"/>
        </w:rPr>
      </w:pPr>
    </w:p>
    <w:p w14:paraId="268870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3D2452FF">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199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6735FEA">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52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014FAF2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C6B5DB9">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807EB7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4287AA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A5E9CB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08B1C3FE">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BABE0F8">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3890DE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EE785A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D26AEE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C10C7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57B1FF06">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257A4AF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0C7790F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6661361A">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C44B34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B0249AA">
      <w:pPr>
        <w:autoSpaceDE w:val="0"/>
        <w:autoSpaceDN w:val="0"/>
        <w:jc w:val="center"/>
        <w:rPr>
          <w:rFonts w:ascii="宋体" w:hAnsi="宋体" w:cs="宋体"/>
          <w:b/>
          <w:color w:val="auto"/>
          <w:spacing w:val="6"/>
          <w:sz w:val="32"/>
          <w:szCs w:val="32"/>
          <w:highlight w:val="none"/>
        </w:rPr>
      </w:pPr>
    </w:p>
    <w:p w14:paraId="0F0AD8A9">
      <w:pPr>
        <w:autoSpaceDE w:val="0"/>
        <w:autoSpaceDN w:val="0"/>
        <w:jc w:val="center"/>
        <w:rPr>
          <w:rFonts w:ascii="宋体" w:hAnsi="宋体" w:cs="宋体"/>
          <w:b/>
          <w:color w:val="auto"/>
          <w:spacing w:val="6"/>
          <w:sz w:val="32"/>
          <w:szCs w:val="32"/>
          <w:highlight w:val="none"/>
        </w:rPr>
      </w:pPr>
    </w:p>
    <w:p w14:paraId="1F126F38">
      <w:pPr>
        <w:autoSpaceDE w:val="0"/>
        <w:autoSpaceDN w:val="0"/>
        <w:jc w:val="center"/>
        <w:rPr>
          <w:rFonts w:ascii="宋体" w:hAnsi="宋体" w:cs="宋体"/>
          <w:b/>
          <w:color w:val="auto"/>
          <w:spacing w:val="6"/>
          <w:sz w:val="32"/>
          <w:szCs w:val="32"/>
          <w:highlight w:val="none"/>
        </w:rPr>
      </w:pPr>
    </w:p>
    <w:p w14:paraId="2AD43820">
      <w:pPr>
        <w:autoSpaceDE w:val="0"/>
        <w:autoSpaceDN w:val="0"/>
        <w:jc w:val="center"/>
        <w:rPr>
          <w:rFonts w:ascii="宋体" w:hAnsi="宋体" w:cs="宋体"/>
          <w:b/>
          <w:color w:val="auto"/>
          <w:spacing w:val="6"/>
          <w:sz w:val="32"/>
          <w:szCs w:val="32"/>
          <w:highlight w:val="none"/>
        </w:rPr>
      </w:pPr>
    </w:p>
    <w:p w14:paraId="02864FF4">
      <w:pPr>
        <w:autoSpaceDE w:val="0"/>
        <w:autoSpaceDN w:val="0"/>
        <w:jc w:val="center"/>
        <w:rPr>
          <w:rFonts w:ascii="宋体" w:hAnsi="宋体" w:cs="宋体"/>
          <w:b/>
          <w:color w:val="auto"/>
          <w:spacing w:val="6"/>
          <w:sz w:val="32"/>
          <w:szCs w:val="32"/>
          <w:highlight w:val="none"/>
        </w:rPr>
      </w:pPr>
    </w:p>
    <w:p w14:paraId="0669D857">
      <w:pPr>
        <w:autoSpaceDE w:val="0"/>
        <w:autoSpaceDN w:val="0"/>
        <w:jc w:val="center"/>
        <w:rPr>
          <w:rFonts w:ascii="宋体" w:hAnsi="宋体" w:cs="宋体"/>
          <w:b/>
          <w:color w:val="auto"/>
          <w:spacing w:val="6"/>
          <w:sz w:val="32"/>
          <w:szCs w:val="32"/>
          <w:highlight w:val="none"/>
        </w:rPr>
      </w:pPr>
    </w:p>
    <w:p w14:paraId="2E216037">
      <w:pPr>
        <w:autoSpaceDE w:val="0"/>
        <w:autoSpaceDN w:val="0"/>
        <w:jc w:val="center"/>
        <w:rPr>
          <w:rFonts w:ascii="宋体" w:hAnsi="宋体" w:cs="宋体"/>
          <w:b/>
          <w:color w:val="auto"/>
          <w:spacing w:val="6"/>
          <w:sz w:val="32"/>
          <w:szCs w:val="32"/>
          <w:highlight w:val="none"/>
        </w:rPr>
      </w:pPr>
    </w:p>
    <w:p w14:paraId="04FF4DD2">
      <w:pPr>
        <w:autoSpaceDE w:val="0"/>
        <w:autoSpaceDN w:val="0"/>
        <w:jc w:val="center"/>
        <w:rPr>
          <w:rFonts w:ascii="宋体" w:hAnsi="宋体" w:cs="宋体"/>
          <w:b/>
          <w:color w:val="auto"/>
          <w:spacing w:val="6"/>
          <w:sz w:val="32"/>
          <w:szCs w:val="32"/>
          <w:highlight w:val="none"/>
        </w:rPr>
      </w:pPr>
    </w:p>
    <w:p w14:paraId="13860901">
      <w:pPr>
        <w:autoSpaceDE w:val="0"/>
        <w:autoSpaceDN w:val="0"/>
        <w:jc w:val="center"/>
        <w:rPr>
          <w:rFonts w:ascii="宋体" w:hAnsi="宋体" w:cs="宋体"/>
          <w:b/>
          <w:color w:val="auto"/>
          <w:spacing w:val="6"/>
          <w:sz w:val="32"/>
          <w:szCs w:val="32"/>
          <w:highlight w:val="none"/>
        </w:rPr>
      </w:pPr>
    </w:p>
    <w:p w14:paraId="25C053E4">
      <w:pPr>
        <w:autoSpaceDE w:val="0"/>
        <w:autoSpaceDN w:val="0"/>
        <w:jc w:val="center"/>
        <w:rPr>
          <w:rFonts w:ascii="宋体" w:hAnsi="宋体" w:cs="宋体"/>
          <w:b/>
          <w:color w:val="auto"/>
          <w:spacing w:val="6"/>
          <w:sz w:val="32"/>
          <w:szCs w:val="32"/>
          <w:highlight w:val="none"/>
        </w:rPr>
      </w:pPr>
    </w:p>
    <w:p w14:paraId="3BA7D468">
      <w:pPr>
        <w:autoSpaceDE w:val="0"/>
        <w:autoSpaceDN w:val="0"/>
        <w:jc w:val="center"/>
        <w:rPr>
          <w:rFonts w:ascii="宋体" w:hAnsi="宋体" w:cs="宋体"/>
          <w:b/>
          <w:color w:val="auto"/>
          <w:spacing w:val="6"/>
          <w:sz w:val="32"/>
          <w:szCs w:val="32"/>
          <w:highlight w:val="none"/>
        </w:rPr>
      </w:pPr>
    </w:p>
    <w:p w14:paraId="08083B41">
      <w:pPr>
        <w:autoSpaceDE w:val="0"/>
        <w:autoSpaceDN w:val="0"/>
        <w:jc w:val="center"/>
        <w:rPr>
          <w:rFonts w:ascii="宋体" w:hAnsi="宋体" w:cs="宋体"/>
          <w:b/>
          <w:color w:val="auto"/>
          <w:spacing w:val="6"/>
          <w:sz w:val="32"/>
          <w:szCs w:val="32"/>
          <w:highlight w:val="none"/>
        </w:rPr>
      </w:pPr>
    </w:p>
    <w:p w14:paraId="7434E265">
      <w:pPr>
        <w:autoSpaceDE w:val="0"/>
        <w:autoSpaceDN w:val="0"/>
        <w:jc w:val="center"/>
        <w:rPr>
          <w:rFonts w:ascii="宋体" w:hAnsi="宋体" w:cs="宋体"/>
          <w:b/>
          <w:color w:val="auto"/>
          <w:spacing w:val="6"/>
          <w:sz w:val="32"/>
          <w:szCs w:val="32"/>
          <w:highlight w:val="none"/>
        </w:rPr>
      </w:pPr>
    </w:p>
    <w:p w14:paraId="6A7DBB27">
      <w:pPr>
        <w:autoSpaceDE w:val="0"/>
        <w:autoSpaceDN w:val="0"/>
        <w:jc w:val="center"/>
        <w:rPr>
          <w:rFonts w:ascii="宋体" w:hAnsi="宋体" w:cs="宋体"/>
          <w:b/>
          <w:color w:val="auto"/>
          <w:spacing w:val="6"/>
          <w:sz w:val="32"/>
          <w:szCs w:val="32"/>
          <w:highlight w:val="none"/>
        </w:rPr>
      </w:pPr>
    </w:p>
    <w:p w14:paraId="585F97C4">
      <w:pPr>
        <w:autoSpaceDE w:val="0"/>
        <w:autoSpaceDN w:val="0"/>
        <w:jc w:val="center"/>
        <w:rPr>
          <w:rFonts w:ascii="宋体" w:hAnsi="宋体" w:cs="宋体"/>
          <w:b/>
          <w:color w:val="auto"/>
          <w:spacing w:val="6"/>
          <w:sz w:val="32"/>
          <w:szCs w:val="32"/>
          <w:highlight w:val="none"/>
        </w:rPr>
      </w:pPr>
    </w:p>
    <w:p w14:paraId="15C8FBD3">
      <w:pPr>
        <w:autoSpaceDE w:val="0"/>
        <w:autoSpaceDN w:val="0"/>
        <w:jc w:val="center"/>
        <w:rPr>
          <w:rFonts w:ascii="宋体" w:hAnsi="宋体" w:cs="宋体"/>
          <w:b/>
          <w:color w:val="auto"/>
          <w:spacing w:val="6"/>
          <w:sz w:val="32"/>
          <w:szCs w:val="32"/>
          <w:highlight w:val="none"/>
        </w:rPr>
      </w:pPr>
    </w:p>
    <w:p w14:paraId="38A4FEC7">
      <w:pPr>
        <w:autoSpaceDE w:val="0"/>
        <w:autoSpaceDN w:val="0"/>
        <w:jc w:val="center"/>
        <w:rPr>
          <w:rFonts w:ascii="宋体" w:hAnsi="宋体" w:cs="宋体"/>
          <w:b/>
          <w:color w:val="auto"/>
          <w:spacing w:val="6"/>
          <w:sz w:val="32"/>
          <w:szCs w:val="32"/>
          <w:highlight w:val="none"/>
        </w:rPr>
      </w:pPr>
    </w:p>
    <w:p w14:paraId="5178221C">
      <w:pPr>
        <w:autoSpaceDE w:val="0"/>
        <w:autoSpaceDN w:val="0"/>
        <w:jc w:val="center"/>
        <w:rPr>
          <w:rFonts w:ascii="宋体" w:hAnsi="宋体" w:cs="宋体"/>
          <w:b/>
          <w:color w:val="auto"/>
          <w:spacing w:val="6"/>
          <w:sz w:val="32"/>
          <w:szCs w:val="32"/>
          <w:highlight w:val="none"/>
        </w:rPr>
      </w:pPr>
    </w:p>
    <w:p w14:paraId="392097BF">
      <w:pPr>
        <w:autoSpaceDE w:val="0"/>
        <w:autoSpaceDN w:val="0"/>
        <w:jc w:val="center"/>
        <w:rPr>
          <w:rFonts w:ascii="宋体" w:hAnsi="宋体" w:cs="宋体"/>
          <w:b/>
          <w:color w:val="auto"/>
          <w:spacing w:val="6"/>
          <w:sz w:val="32"/>
          <w:szCs w:val="32"/>
          <w:highlight w:val="none"/>
        </w:rPr>
      </w:pPr>
    </w:p>
    <w:p w14:paraId="2A238751">
      <w:pPr>
        <w:autoSpaceDE w:val="0"/>
        <w:autoSpaceDN w:val="0"/>
        <w:jc w:val="center"/>
        <w:rPr>
          <w:rFonts w:ascii="宋体" w:hAnsi="宋体" w:cs="宋体"/>
          <w:b/>
          <w:color w:val="auto"/>
          <w:spacing w:val="6"/>
          <w:sz w:val="32"/>
          <w:szCs w:val="32"/>
          <w:highlight w:val="none"/>
        </w:rPr>
      </w:pPr>
    </w:p>
    <w:p w14:paraId="1B0D189A">
      <w:pPr>
        <w:autoSpaceDE w:val="0"/>
        <w:autoSpaceDN w:val="0"/>
        <w:jc w:val="center"/>
        <w:rPr>
          <w:rFonts w:ascii="宋体" w:hAnsi="宋体" w:cs="宋体"/>
          <w:b/>
          <w:color w:val="auto"/>
          <w:spacing w:val="6"/>
          <w:sz w:val="32"/>
          <w:szCs w:val="32"/>
          <w:highlight w:val="none"/>
        </w:rPr>
      </w:pPr>
    </w:p>
    <w:p w14:paraId="6C970B10">
      <w:pPr>
        <w:autoSpaceDE w:val="0"/>
        <w:autoSpaceDN w:val="0"/>
        <w:jc w:val="center"/>
        <w:rPr>
          <w:rFonts w:ascii="宋体" w:hAnsi="宋体" w:cs="宋体"/>
          <w:b/>
          <w:color w:val="auto"/>
          <w:spacing w:val="6"/>
          <w:sz w:val="32"/>
          <w:szCs w:val="32"/>
          <w:highlight w:val="none"/>
        </w:rPr>
      </w:pPr>
    </w:p>
    <w:p w14:paraId="772EEC7D">
      <w:pPr>
        <w:autoSpaceDE w:val="0"/>
        <w:autoSpaceDN w:val="0"/>
        <w:jc w:val="center"/>
        <w:rPr>
          <w:rFonts w:ascii="宋体" w:hAnsi="宋体" w:cs="宋体"/>
          <w:b/>
          <w:color w:val="auto"/>
          <w:spacing w:val="6"/>
          <w:sz w:val="32"/>
          <w:szCs w:val="32"/>
          <w:highlight w:val="none"/>
        </w:rPr>
      </w:pPr>
    </w:p>
    <w:p w14:paraId="1158ABC1">
      <w:pPr>
        <w:autoSpaceDE w:val="0"/>
        <w:autoSpaceDN w:val="0"/>
        <w:jc w:val="center"/>
        <w:rPr>
          <w:rFonts w:ascii="宋体" w:hAnsi="宋体" w:cs="宋体"/>
          <w:b/>
          <w:color w:val="auto"/>
          <w:spacing w:val="6"/>
          <w:sz w:val="32"/>
          <w:szCs w:val="32"/>
          <w:highlight w:val="none"/>
        </w:rPr>
      </w:pPr>
    </w:p>
    <w:p w14:paraId="2E660F2A">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4B7665FB">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66DBCC69">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杭州市钱塘区人民政府义蓬街道办事处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eastAsia="zh-CN"/>
        </w:rPr>
        <w:t>2026年度企退人员活动</w:t>
      </w:r>
      <w:r>
        <w:rPr>
          <w:rFonts w:hint="eastAsia" w:ascii="宋体" w:hAnsi="宋体" w:cs="宋体"/>
          <w:b w:val="0"/>
          <w:bCs w:val="0"/>
          <w:color w:val="auto"/>
          <w:sz w:val="24"/>
          <w:highlight w:val="none"/>
          <w:u w:val="single"/>
        </w:rPr>
        <w:t xml:space="preserve">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44A5488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b w:val="0"/>
          <w:bCs w:val="0"/>
          <w:color w:val="auto"/>
          <w:sz w:val="24"/>
          <w:highlight w:val="none"/>
          <w:u w:val="single"/>
          <w:lang w:eastAsia="zh-CN"/>
        </w:rPr>
        <w:t>2026年度企退人员活动</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其他未列明行业</w:t>
      </w:r>
      <w:r>
        <w:rPr>
          <w:rFonts w:hint="eastAsia" w:ascii="宋体" w:hAnsi="宋体" w:cs="宋体"/>
          <w:color w:val="auto"/>
          <w:sz w:val="24"/>
          <w:highlight w:val="none"/>
        </w:rPr>
        <w:t xml:space="preserve"> ；承接企业为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3BD182D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5B0A8CE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7D29373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902CA8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5C02F99F">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17CEE41F">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12B03E08">
      <w:pPr>
        <w:spacing w:line="360" w:lineRule="auto"/>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36653BEF">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 xml:space="preserve">   注：</w:t>
      </w:r>
    </w:p>
    <w:p w14:paraId="33C4C804">
      <w:pPr>
        <w:spacing w:line="360" w:lineRule="auto"/>
        <w:ind w:right="42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rPr>
        <w:t>（声明函格式内容中已填写的，无需改动）；标记“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668B4E58">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F5E6C16">
      <w:pPr>
        <w:spacing w:line="240" w:lineRule="auto"/>
        <w:ind w:right="0"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2433DDFD">
      <w:pPr>
        <w:pStyle w:val="2"/>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4B9B0B4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5A4F6AD5">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5676D3E7">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695158C9">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712CC601">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4BC345FB">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5FC190D8">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7797BDFA">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2563D5DE">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0C0C89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4"/>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084C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A30D929">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556427A2">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930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3180564F">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5490101E">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78115C10">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601E4DA1">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26A978AA">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6E35D55D">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4155641F">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4A3C055E">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3E659A4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253958D9">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DC99C2A">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3CAA741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4226ABBA">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38365491">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23C7D27F">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76457EEB">
      <w:pPr>
        <w:pStyle w:val="80"/>
        <w:rPr>
          <w:rFonts w:hint="eastAsia"/>
          <w:color w:val="auto"/>
          <w:highlight w:val="none"/>
          <w:lang w:val="en-US" w:eastAsia="zh-CN"/>
        </w:rPr>
      </w:pPr>
    </w:p>
    <w:p w14:paraId="3209FC88">
      <w:pPr>
        <w:pStyle w:val="2"/>
        <w:rPr>
          <w:rFonts w:ascii="宋体" w:hAnsi="宋体" w:eastAsia="宋体" w:cs="宋体"/>
          <w:color w:val="auto"/>
          <w:highlight w:val="none"/>
          <w:lang w:val="en-US"/>
        </w:rPr>
      </w:pPr>
    </w:p>
    <w:p w14:paraId="4CB88C5E">
      <w:pPr>
        <w:spacing w:line="360" w:lineRule="auto"/>
        <w:ind w:right="420"/>
        <w:rPr>
          <w:rFonts w:ascii="宋体" w:hAnsi="宋体" w:cs="宋体"/>
          <w:color w:val="auto"/>
          <w:highlight w:val="none"/>
        </w:rPr>
      </w:pPr>
    </w:p>
    <w:p w14:paraId="5E4D8F8E">
      <w:pPr>
        <w:spacing w:line="360" w:lineRule="auto"/>
        <w:rPr>
          <w:rFonts w:ascii="宋体" w:hAnsi="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DejaVu Math TeX Gyre"/>
    <w:panose1 w:val="00000000000000000000"/>
    <w:charset w:val="00"/>
    <w:family w:val="auto"/>
    <w:pitch w:val="default"/>
    <w:sig w:usb0="00000000" w:usb1="00000000" w:usb2="00000000" w:usb3="00000000" w:csb0="0000009F" w:csb1="00000000"/>
  </w:font>
  <w:font w:name="DejaVu Math TeX Gyre">
    <w:panose1 w:val="02000503000000000000"/>
    <w:charset w:val="00"/>
    <w:family w:val="auto"/>
    <w:pitch w:val="default"/>
    <w:sig w:usb0="A10000EF" w:usb1="4201F9EE" w:usb2="02000000" w:usb3="00000000" w:csb0="60000193" w:csb1="0DD4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panose1 w:val="020B0504020202030204"/>
    <w:charset w:val="00"/>
    <w:family w:val="swiss"/>
    <w:pitch w:val="default"/>
    <w:sig w:usb0="00000007" w:usb1="00000000" w:usb2="00000000" w:usb3="00000000" w:csb0="00000093"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DejaVu Math TeX Gyre"/>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DejaVu Math TeX Gyre"/>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5CAA">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1E2CD">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8F1B7">
    <w:pPr>
      <w:pStyle w:val="39"/>
      <w:framePr w:wrap="around" w:vAnchor="text" w:hAnchor="margin" w:xAlign="right" w:y="1"/>
      <w:rPr>
        <w:rStyle w:val="73"/>
      </w:rPr>
    </w:pPr>
    <w:r>
      <w:fldChar w:fldCharType="begin"/>
    </w:r>
    <w:r>
      <w:rPr>
        <w:rStyle w:val="73"/>
      </w:rPr>
      <w:instrText xml:space="preserve">PAGE  </w:instrText>
    </w:r>
    <w:r>
      <w:fldChar w:fldCharType="end"/>
    </w:r>
  </w:p>
  <w:p w14:paraId="0B8E58B7">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E4808">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4" w:name="_Toc131845147"/>
    <w:bookmarkStart w:id="415" w:name="_Toc164085800"/>
    <w:bookmarkStart w:id="416" w:name="_Toc36110187"/>
    <w:bookmarkStart w:id="417" w:name="_Toc91899912"/>
    <w:r>
      <w:rPr>
        <w:rFonts w:hint="eastAsia" w:ascii="仿宋_GB2312" w:eastAsia="仿宋_GB2312"/>
        <w:kern w:val="0"/>
        <w:szCs w:val="21"/>
      </w:rPr>
      <w:t xml:space="preserve"> 页</w:t>
    </w:r>
    <w:bookmarkEnd w:id="414"/>
    <w:bookmarkEnd w:id="415"/>
    <w:bookmarkEnd w:id="416"/>
    <w:bookmarkEnd w:id="41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11C32">
    <w:pPr>
      <w:pStyle w:val="39"/>
      <w:framePr w:wrap="around" w:vAnchor="text" w:hAnchor="margin" w:xAlign="right" w:y="1"/>
      <w:rPr>
        <w:rStyle w:val="73"/>
      </w:rPr>
    </w:pPr>
    <w:r>
      <w:fldChar w:fldCharType="begin"/>
    </w:r>
    <w:r>
      <w:rPr>
        <w:rStyle w:val="73"/>
      </w:rPr>
      <w:instrText xml:space="preserve">PAGE  </w:instrText>
    </w:r>
    <w:r>
      <w:fldChar w:fldCharType="end"/>
    </w:r>
  </w:p>
  <w:p w14:paraId="61C544DD">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85EC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0218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F3AB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51BDBEB8">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F1BD">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9C1C">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ED14C">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088D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657">
    <w:pPr>
      <w:pStyle w:val="41"/>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F598E">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D1ABC">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0783">
    <w:pPr>
      <w:pStyle w:val="41"/>
      <w:rPr>
        <w:rFonts w:ascii="仿宋_GB2312" w:eastAsia="仿宋_GB2312"/>
        <w:b/>
        <w:i/>
        <w:u w:val="single"/>
      </w:rPr>
    </w:pPr>
    <w:r>
      <w:t></w:t>
    </w:r>
    <w:r>
      <w:rPr>
        <w:rFonts w:hint="eastAsia"/>
      </w:rPr>
      <w:t xml:space="preserve">                                                  </w:t>
    </w:r>
    <w:r>
      <w:t xml:space="preserve">             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5654">
    <w:pPr>
      <w:pStyle w:val="41"/>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3B9C">
    <w:pPr>
      <w:pStyle w:val="41"/>
      <w:rPr>
        <w:rFonts w:ascii="仿宋_GB2312" w:eastAsia="仿宋_GB2312"/>
        <w:b/>
        <w:i/>
        <w:u w:val="single"/>
      </w:rPr>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D73B">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F549">
    <w:pPr>
      <w:pStyle w:val="41"/>
      <w:jc w:val="right"/>
      <w:rPr>
        <w:rFonts w:ascii="仿宋_GB2312" w:eastAsia="仿宋_GB2312"/>
        <w:b/>
        <w:i/>
        <w:u w:val="single"/>
      </w:rPr>
    </w:pPr>
    <w:r>
      <w:rPr>
        <w:rFonts w:hint="eastAsia"/>
      </w:rPr>
      <w:t xml:space="preserve">                                  </w:t>
    </w:r>
    <w:r>
      <w:t>杭州市政府采购公开招标文件</w:t>
    </w:r>
  </w:p>
  <w:p w14:paraId="51221CEF">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22B7D">
    <w:pPr>
      <w:pStyle w:val="41"/>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1666">
    <w:pPr>
      <w:pStyle w:val="41"/>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DC4291A3"/>
    <w:multiLevelType w:val="singleLevel"/>
    <w:tmpl w:val="DC4291A3"/>
    <w:lvl w:ilvl="0" w:tentative="0">
      <w:start w:val="3"/>
      <w:numFmt w:val="decimal"/>
      <w:suff w:val="nothing"/>
      <w:lvlText w:val="%1、"/>
      <w:lvlJc w:val="left"/>
    </w:lvl>
  </w:abstractNum>
  <w:abstractNum w:abstractNumId="2">
    <w:nsid w:val="0CE5D3FC"/>
    <w:multiLevelType w:val="singleLevel"/>
    <w:tmpl w:val="0CE5D3FC"/>
    <w:lvl w:ilvl="0" w:tentative="0">
      <w:start w:val="4"/>
      <w:numFmt w:val="chineseCounting"/>
      <w:suff w:val="nothing"/>
      <w:lvlText w:val="%1、"/>
      <w:lvlJc w:val="left"/>
      <w:rPr>
        <w:rFonts w:hint="eastAsia"/>
      </w:rPr>
    </w:lvl>
  </w:abstractNum>
  <w:abstractNum w:abstractNumId="3">
    <w:nsid w:val="1920329B"/>
    <w:multiLevelType w:val="singleLevel"/>
    <w:tmpl w:val="1920329B"/>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9F7441"/>
    <w:rsid w:val="01B37585"/>
    <w:rsid w:val="01D55165"/>
    <w:rsid w:val="01D75E88"/>
    <w:rsid w:val="01DF6BF8"/>
    <w:rsid w:val="01EC2C57"/>
    <w:rsid w:val="021900C6"/>
    <w:rsid w:val="025F0711"/>
    <w:rsid w:val="026B2E25"/>
    <w:rsid w:val="02794AFC"/>
    <w:rsid w:val="02824D4D"/>
    <w:rsid w:val="02DC4B10"/>
    <w:rsid w:val="02DD76CE"/>
    <w:rsid w:val="02F36323"/>
    <w:rsid w:val="02F5619C"/>
    <w:rsid w:val="0326446A"/>
    <w:rsid w:val="032D5555"/>
    <w:rsid w:val="036634D2"/>
    <w:rsid w:val="03DD35E4"/>
    <w:rsid w:val="04076900"/>
    <w:rsid w:val="04093CE0"/>
    <w:rsid w:val="04123CC2"/>
    <w:rsid w:val="041A5A3B"/>
    <w:rsid w:val="042311BA"/>
    <w:rsid w:val="042B157A"/>
    <w:rsid w:val="048F763B"/>
    <w:rsid w:val="049F330E"/>
    <w:rsid w:val="04AA775C"/>
    <w:rsid w:val="04AB1DE0"/>
    <w:rsid w:val="04AE367F"/>
    <w:rsid w:val="04AF1889"/>
    <w:rsid w:val="04F66F48"/>
    <w:rsid w:val="05251E14"/>
    <w:rsid w:val="053242B0"/>
    <w:rsid w:val="057E5747"/>
    <w:rsid w:val="05A16594"/>
    <w:rsid w:val="05A7762D"/>
    <w:rsid w:val="05B922DB"/>
    <w:rsid w:val="05E06973"/>
    <w:rsid w:val="05E16195"/>
    <w:rsid w:val="060E5941"/>
    <w:rsid w:val="06110FAF"/>
    <w:rsid w:val="06493CA7"/>
    <w:rsid w:val="065A6178"/>
    <w:rsid w:val="066F1CF3"/>
    <w:rsid w:val="06757199"/>
    <w:rsid w:val="06930BB8"/>
    <w:rsid w:val="06DC0977"/>
    <w:rsid w:val="07245D42"/>
    <w:rsid w:val="07264C62"/>
    <w:rsid w:val="07752435"/>
    <w:rsid w:val="0779354C"/>
    <w:rsid w:val="07871192"/>
    <w:rsid w:val="08061376"/>
    <w:rsid w:val="083E2F6B"/>
    <w:rsid w:val="08452D77"/>
    <w:rsid w:val="086401F8"/>
    <w:rsid w:val="08751CAA"/>
    <w:rsid w:val="087E4C40"/>
    <w:rsid w:val="08A871D0"/>
    <w:rsid w:val="08D66AD6"/>
    <w:rsid w:val="08DA33A3"/>
    <w:rsid w:val="08E80F13"/>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1C0718"/>
    <w:rsid w:val="0A3E7710"/>
    <w:rsid w:val="0A5B7E63"/>
    <w:rsid w:val="0AA277E2"/>
    <w:rsid w:val="0AA374A5"/>
    <w:rsid w:val="0AAB7649"/>
    <w:rsid w:val="0ABC5606"/>
    <w:rsid w:val="0ADC6CCF"/>
    <w:rsid w:val="0B30404E"/>
    <w:rsid w:val="0B3D39AE"/>
    <w:rsid w:val="0B3F4299"/>
    <w:rsid w:val="0B4C6C14"/>
    <w:rsid w:val="0B547599"/>
    <w:rsid w:val="0B631A88"/>
    <w:rsid w:val="0B683D45"/>
    <w:rsid w:val="0B7F3F11"/>
    <w:rsid w:val="0B884417"/>
    <w:rsid w:val="0BF6188C"/>
    <w:rsid w:val="0BF73C91"/>
    <w:rsid w:val="0C170175"/>
    <w:rsid w:val="0C2A6DCE"/>
    <w:rsid w:val="0C571A41"/>
    <w:rsid w:val="0C5C1171"/>
    <w:rsid w:val="0C5E1CBC"/>
    <w:rsid w:val="0C615B50"/>
    <w:rsid w:val="0C6A432F"/>
    <w:rsid w:val="0C6C7CCF"/>
    <w:rsid w:val="0C8445DA"/>
    <w:rsid w:val="0C87121B"/>
    <w:rsid w:val="0CBA4E1D"/>
    <w:rsid w:val="0CC007F7"/>
    <w:rsid w:val="0CC617AC"/>
    <w:rsid w:val="0CE618DF"/>
    <w:rsid w:val="0CFE707A"/>
    <w:rsid w:val="0D063BDA"/>
    <w:rsid w:val="0D08375F"/>
    <w:rsid w:val="0D184CFB"/>
    <w:rsid w:val="0D202D3B"/>
    <w:rsid w:val="0D4A7419"/>
    <w:rsid w:val="0D827401"/>
    <w:rsid w:val="0D84094E"/>
    <w:rsid w:val="0D8A00E9"/>
    <w:rsid w:val="0D8D589E"/>
    <w:rsid w:val="0DA01C73"/>
    <w:rsid w:val="0DD63300"/>
    <w:rsid w:val="0DF50604"/>
    <w:rsid w:val="0DF702FE"/>
    <w:rsid w:val="0E060E51"/>
    <w:rsid w:val="0E0D7668"/>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2D2B33"/>
    <w:rsid w:val="10646583"/>
    <w:rsid w:val="107D4B15"/>
    <w:rsid w:val="108A3C80"/>
    <w:rsid w:val="10C26171"/>
    <w:rsid w:val="10F33360"/>
    <w:rsid w:val="10FC16EA"/>
    <w:rsid w:val="110F1D40"/>
    <w:rsid w:val="111D3B37"/>
    <w:rsid w:val="11266F33"/>
    <w:rsid w:val="118963A1"/>
    <w:rsid w:val="11C6522A"/>
    <w:rsid w:val="11D16C62"/>
    <w:rsid w:val="11E104CC"/>
    <w:rsid w:val="11E20309"/>
    <w:rsid w:val="12253FEF"/>
    <w:rsid w:val="12255233"/>
    <w:rsid w:val="12530213"/>
    <w:rsid w:val="127723A9"/>
    <w:rsid w:val="12862074"/>
    <w:rsid w:val="12883966"/>
    <w:rsid w:val="129E45B4"/>
    <w:rsid w:val="12D81596"/>
    <w:rsid w:val="12F11F28"/>
    <w:rsid w:val="13072A44"/>
    <w:rsid w:val="13200C1E"/>
    <w:rsid w:val="135F4BE2"/>
    <w:rsid w:val="136441CE"/>
    <w:rsid w:val="139B1A0A"/>
    <w:rsid w:val="139D25C7"/>
    <w:rsid w:val="13BF3CE4"/>
    <w:rsid w:val="13D86E7A"/>
    <w:rsid w:val="13EA45AA"/>
    <w:rsid w:val="141008D8"/>
    <w:rsid w:val="14125FE6"/>
    <w:rsid w:val="146D271E"/>
    <w:rsid w:val="14885C9A"/>
    <w:rsid w:val="14982588"/>
    <w:rsid w:val="149A5AD9"/>
    <w:rsid w:val="14A7619D"/>
    <w:rsid w:val="14B20F69"/>
    <w:rsid w:val="14BA7E1E"/>
    <w:rsid w:val="14E629C1"/>
    <w:rsid w:val="150536C3"/>
    <w:rsid w:val="150C1963"/>
    <w:rsid w:val="151447A0"/>
    <w:rsid w:val="154A6454"/>
    <w:rsid w:val="15762120"/>
    <w:rsid w:val="160475A2"/>
    <w:rsid w:val="16701161"/>
    <w:rsid w:val="16A8729C"/>
    <w:rsid w:val="16B33777"/>
    <w:rsid w:val="16BC70A7"/>
    <w:rsid w:val="16C31696"/>
    <w:rsid w:val="16C6339E"/>
    <w:rsid w:val="16F53777"/>
    <w:rsid w:val="172F2D79"/>
    <w:rsid w:val="17557BEF"/>
    <w:rsid w:val="177045AC"/>
    <w:rsid w:val="17D349C1"/>
    <w:rsid w:val="17E63F73"/>
    <w:rsid w:val="180A06C1"/>
    <w:rsid w:val="1830729E"/>
    <w:rsid w:val="1870062C"/>
    <w:rsid w:val="18817102"/>
    <w:rsid w:val="18830A15"/>
    <w:rsid w:val="18852B28"/>
    <w:rsid w:val="188B5321"/>
    <w:rsid w:val="19932372"/>
    <w:rsid w:val="19A20DD5"/>
    <w:rsid w:val="19AE03F1"/>
    <w:rsid w:val="19F863C8"/>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BD96C46"/>
    <w:rsid w:val="1C0459C2"/>
    <w:rsid w:val="1C1B3B4A"/>
    <w:rsid w:val="1C314E69"/>
    <w:rsid w:val="1C5648D0"/>
    <w:rsid w:val="1C88086E"/>
    <w:rsid w:val="1D266CE1"/>
    <w:rsid w:val="1D344C11"/>
    <w:rsid w:val="1D3963AF"/>
    <w:rsid w:val="1D6A673C"/>
    <w:rsid w:val="1D70376F"/>
    <w:rsid w:val="1D9247AE"/>
    <w:rsid w:val="1D9F68AF"/>
    <w:rsid w:val="1DB567EC"/>
    <w:rsid w:val="1DF51A98"/>
    <w:rsid w:val="1E022DAA"/>
    <w:rsid w:val="1E2F53D8"/>
    <w:rsid w:val="1E3D060F"/>
    <w:rsid w:val="1E3F7D2E"/>
    <w:rsid w:val="1E4134E4"/>
    <w:rsid w:val="1E5062B3"/>
    <w:rsid w:val="1E523514"/>
    <w:rsid w:val="1E714A66"/>
    <w:rsid w:val="1E802593"/>
    <w:rsid w:val="1E8B6156"/>
    <w:rsid w:val="1E9516DF"/>
    <w:rsid w:val="1EA703CC"/>
    <w:rsid w:val="1EB7330C"/>
    <w:rsid w:val="1F0A0FF3"/>
    <w:rsid w:val="1F1C1B35"/>
    <w:rsid w:val="1F5771FF"/>
    <w:rsid w:val="1FE868A9"/>
    <w:rsid w:val="20034907"/>
    <w:rsid w:val="200B3717"/>
    <w:rsid w:val="20173E4B"/>
    <w:rsid w:val="203F49D7"/>
    <w:rsid w:val="204E48BC"/>
    <w:rsid w:val="205F525F"/>
    <w:rsid w:val="207737BF"/>
    <w:rsid w:val="208921B3"/>
    <w:rsid w:val="20973DEB"/>
    <w:rsid w:val="20B26522"/>
    <w:rsid w:val="20B44310"/>
    <w:rsid w:val="21021A7E"/>
    <w:rsid w:val="211116EB"/>
    <w:rsid w:val="216133FC"/>
    <w:rsid w:val="21613AFB"/>
    <w:rsid w:val="217F6677"/>
    <w:rsid w:val="21B5B083"/>
    <w:rsid w:val="21D56769"/>
    <w:rsid w:val="21E52EF3"/>
    <w:rsid w:val="21FB5D7B"/>
    <w:rsid w:val="22015E94"/>
    <w:rsid w:val="220B1C3D"/>
    <w:rsid w:val="221B2723"/>
    <w:rsid w:val="221D1D20"/>
    <w:rsid w:val="22334A87"/>
    <w:rsid w:val="22A52C56"/>
    <w:rsid w:val="22BE6801"/>
    <w:rsid w:val="22F8366E"/>
    <w:rsid w:val="233500BF"/>
    <w:rsid w:val="23377FF7"/>
    <w:rsid w:val="23533917"/>
    <w:rsid w:val="2361217E"/>
    <w:rsid w:val="236B425F"/>
    <w:rsid w:val="23836192"/>
    <w:rsid w:val="23901F29"/>
    <w:rsid w:val="239C0061"/>
    <w:rsid w:val="23B908A4"/>
    <w:rsid w:val="23BC65C9"/>
    <w:rsid w:val="23CC0B31"/>
    <w:rsid w:val="23D305B4"/>
    <w:rsid w:val="23E95BEF"/>
    <w:rsid w:val="23FD0064"/>
    <w:rsid w:val="240115C5"/>
    <w:rsid w:val="24343749"/>
    <w:rsid w:val="245375B0"/>
    <w:rsid w:val="24642C0A"/>
    <w:rsid w:val="24B22173"/>
    <w:rsid w:val="24B95AD9"/>
    <w:rsid w:val="24BE24DA"/>
    <w:rsid w:val="24CF5825"/>
    <w:rsid w:val="24D663E6"/>
    <w:rsid w:val="24D77F2B"/>
    <w:rsid w:val="25621E22"/>
    <w:rsid w:val="258B00E2"/>
    <w:rsid w:val="25A917A6"/>
    <w:rsid w:val="25BE27CC"/>
    <w:rsid w:val="25F74A5C"/>
    <w:rsid w:val="26216C89"/>
    <w:rsid w:val="2628662C"/>
    <w:rsid w:val="262D45DE"/>
    <w:rsid w:val="26777E78"/>
    <w:rsid w:val="26871DC8"/>
    <w:rsid w:val="26A53EF9"/>
    <w:rsid w:val="26A94201"/>
    <w:rsid w:val="26AC274F"/>
    <w:rsid w:val="26E01351"/>
    <w:rsid w:val="27044A29"/>
    <w:rsid w:val="271D34C8"/>
    <w:rsid w:val="276142BF"/>
    <w:rsid w:val="27783712"/>
    <w:rsid w:val="27907362"/>
    <w:rsid w:val="27E751A7"/>
    <w:rsid w:val="28333E1D"/>
    <w:rsid w:val="28454BD6"/>
    <w:rsid w:val="28455253"/>
    <w:rsid w:val="28551971"/>
    <w:rsid w:val="285B1C53"/>
    <w:rsid w:val="289832D2"/>
    <w:rsid w:val="289F7086"/>
    <w:rsid w:val="28B64CF2"/>
    <w:rsid w:val="28C32028"/>
    <w:rsid w:val="28CC490F"/>
    <w:rsid w:val="28DE40AA"/>
    <w:rsid w:val="2908279F"/>
    <w:rsid w:val="2916341D"/>
    <w:rsid w:val="292721E8"/>
    <w:rsid w:val="29345E77"/>
    <w:rsid w:val="294C65AD"/>
    <w:rsid w:val="29806583"/>
    <w:rsid w:val="298B3C4C"/>
    <w:rsid w:val="29F26D24"/>
    <w:rsid w:val="2A15033F"/>
    <w:rsid w:val="2A1662C1"/>
    <w:rsid w:val="2A1C7367"/>
    <w:rsid w:val="2A2815FA"/>
    <w:rsid w:val="2A6D6092"/>
    <w:rsid w:val="2A7D76B4"/>
    <w:rsid w:val="2B437463"/>
    <w:rsid w:val="2B6D12EE"/>
    <w:rsid w:val="2B7807EE"/>
    <w:rsid w:val="2BA50BF7"/>
    <w:rsid w:val="2BBF00EC"/>
    <w:rsid w:val="2BC37CFD"/>
    <w:rsid w:val="2BD5237F"/>
    <w:rsid w:val="2BE536CE"/>
    <w:rsid w:val="2BE758D9"/>
    <w:rsid w:val="2C09049E"/>
    <w:rsid w:val="2C0A653C"/>
    <w:rsid w:val="2C191F85"/>
    <w:rsid w:val="2C6208C4"/>
    <w:rsid w:val="2C673A99"/>
    <w:rsid w:val="2CE82D6F"/>
    <w:rsid w:val="2D343236"/>
    <w:rsid w:val="2DB240A4"/>
    <w:rsid w:val="2DD15014"/>
    <w:rsid w:val="2DE57402"/>
    <w:rsid w:val="2DEB754B"/>
    <w:rsid w:val="2DF72DE4"/>
    <w:rsid w:val="2E0220AF"/>
    <w:rsid w:val="2E4B082A"/>
    <w:rsid w:val="2E5D4E86"/>
    <w:rsid w:val="2E5D790B"/>
    <w:rsid w:val="2E6F4DE5"/>
    <w:rsid w:val="2E9A3C18"/>
    <w:rsid w:val="2EBB0FEE"/>
    <w:rsid w:val="2EC63002"/>
    <w:rsid w:val="2F0A6B38"/>
    <w:rsid w:val="2F946CCB"/>
    <w:rsid w:val="2FB742F5"/>
    <w:rsid w:val="2FD25781"/>
    <w:rsid w:val="2FDC745C"/>
    <w:rsid w:val="2FE053CC"/>
    <w:rsid w:val="2FFD7934"/>
    <w:rsid w:val="30733ACD"/>
    <w:rsid w:val="308C3862"/>
    <w:rsid w:val="309379D8"/>
    <w:rsid w:val="30A270F7"/>
    <w:rsid w:val="30DF1478"/>
    <w:rsid w:val="30EC586F"/>
    <w:rsid w:val="319C6071"/>
    <w:rsid w:val="31AC537E"/>
    <w:rsid w:val="31E3679B"/>
    <w:rsid w:val="31E732FD"/>
    <w:rsid w:val="31F52DDF"/>
    <w:rsid w:val="32517576"/>
    <w:rsid w:val="32BE5C2C"/>
    <w:rsid w:val="32FB6478"/>
    <w:rsid w:val="33263B3F"/>
    <w:rsid w:val="33587748"/>
    <w:rsid w:val="336963EB"/>
    <w:rsid w:val="33816EEB"/>
    <w:rsid w:val="33EB55CD"/>
    <w:rsid w:val="33EC4C02"/>
    <w:rsid w:val="340D2360"/>
    <w:rsid w:val="3410665D"/>
    <w:rsid w:val="34211214"/>
    <w:rsid w:val="342E63AB"/>
    <w:rsid w:val="34950E68"/>
    <w:rsid w:val="34986E94"/>
    <w:rsid w:val="34A43B20"/>
    <w:rsid w:val="34AF62C9"/>
    <w:rsid w:val="34CB4388"/>
    <w:rsid w:val="34FA6E12"/>
    <w:rsid w:val="354D7158"/>
    <w:rsid w:val="358D5588"/>
    <w:rsid w:val="35B04BF9"/>
    <w:rsid w:val="362D31F6"/>
    <w:rsid w:val="363A3B40"/>
    <w:rsid w:val="364A002F"/>
    <w:rsid w:val="365302AE"/>
    <w:rsid w:val="36607A0A"/>
    <w:rsid w:val="366E227C"/>
    <w:rsid w:val="366F2E0D"/>
    <w:rsid w:val="367B6A5C"/>
    <w:rsid w:val="36846564"/>
    <w:rsid w:val="36A74ADA"/>
    <w:rsid w:val="36AD60D5"/>
    <w:rsid w:val="36B224F9"/>
    <w:rsid w:val="36DB560A"/>
    <w:rsid w:val="36EC0CC9"/>
    <w:rsid w:val="37267CA4"/>
    <w:rsid w:val="373F410B"/>
    <w:rsid w:val="375F62AD"/>
    <w:rsid w:val="379E599E"/>
    <w:rsid w:val="37EE7094"/>
    <w:rsid w:val="38296C89"/>
    <w:rsid w:val="383002EB"/>
    <w:rsid w:val="38586797"/>
    <w:rsid w:val="38BC0149"/>
    <w:rsid w:val="38D87D1C"/>
    <w:rsid w:val="39025256"/>
    <w:rsid w:val="393B4615"/>
    <w:rsid w:val="39463BE4"/>
    <w:rsid w:val="3962620A"/>
    <w:rsid w:val="39636459"/>
    <w:rsid w:val="396B7F6C"/>
    <w:rsid w:val="397C156F"/>
    <w:rsid w:val="39B417A9"/>
    <w:rsid w:val="39B77B2A"/>
    <w:rsid w:val="39FC5695"/>
    <w:rsid w:val="3A006D8E"/>
    <w:rsid w:val="3A025C12"/>
    <w:rsid w:val="3A3651E5"/>
    <w:rsid w:val="3A744481"/>
    <w:rsid w:val="3A8C7BEF"/>
    <w:rsid w:val="3A906246"/>
    <w:rsid w:val="3AE64A88"/>
    <w:rsid w:val="3B2349B7"/>
    <w:rsid w:val="3B30643F"/>
    <w:rsid w:val="3B616CFF"/>
    <w:rsid w:val="3B6259F6"/>
    <w:rsid w:val="3B976654"/>
    <w:rsid w:val="3BC01EFC"/>
    <w:rsid w:val="3BCA786A"/>
    <w:rsid w:val="3BD31E2F"/>
    <w:rsid w:val="3BF15831"/>
    <w:rsid w:val="3C105946"/>
    <w:rsid w:val="3C300759"/>
    <w:rsid w:val="3C471448"/>
    <w:rsid w:val="3C5F759A"/>
    <w:rsid w:val="3C6C525A"/>
    <w:rsid w:val="3C7B1B7E"/>
    <w:rsid w:val="3C8A7134"/>
    <w:rsid w:val="3CCE23CB"/>
    <w:rsid w:val="3CD17D17"/>
    <w:rsid w:val="3D3C7F39"/>
    <w:rsid w:val="3D440F09"/>
    <w:rsid w:val="3D4504A0"/>
    <w:rsid w:val="3D8734BB"/>
    <w:rsid w:val="3D9A11D4"/>
    <w:rsid w:val="3DA16D89"/>
    <w:rsid w:val="3DA364BE"/>
    <w:rsid w:val="3DE041CB"/>
    <w:rsid w:val="3DEF225C"/>
    <w:rsid w:val="3E0D48F6"/>
    <w:rsid w:val="3E1868B4"/>
    <w:rsid w:val="3E377251"/>
    <w:rsid w:val="3E42664B"/>
    <w:rsid w:val="3E5A7334"/>
    <w:rsid w:val="3E7B5D6B"/>
    <w:rsid w:val="3E843E66"/>
    <w:rsid w:val="3E8F51FE"/>
    <w:rsid w:val="3E926F87"/>
    <w:rsid w:val="3E9A59DE"/>
    <w:rsid w:val="3EA031FF"/>
    <w:rsid w:val="3EA173C2"/>
    <w:rsid w:val="3EAF4836"/>
    <w:rsid w:val="3EC33DFA"/>
    <w:rsid w:val="3EF573F5"/>
    <w:rsid w:val="3F060E16"/>
    <w:rsid w:val="3F1D1096"/>
    <w:rsid w:val="3F2F0234"/>
    <w:rsid w:val="3F6363FE"/>
    <w:rsid w:val="3F756B8F"/>
    <w:rsid w:val="3F95482B"/>
    <w:rsid w:val="3F9C4A49"/>
    <w:rsid w:val="3FCD2210"/>
    <w:rsid w:val="3FDDCD37"/>
    <w:rsid w:val="4019356B"/>
    <w:rsid w:val="40307C5E"/>
    <w:rsid w:val="40592157"/>
    <w:rsid w:val="406E1CAE"/>
    <w:rsid w:val="408D788C"/>
    <w:rsid w:val="408E0F77"/>
    <w:rsid w:val="40A0133A"/>
    <w:rsid w:val="40C31A53"/>
    <w:rsid w:val="40DE4DE3"/>
    <w:rsid w:val="40F5154D"/>
    <w:rsid w:val="40FF545D"/>
    <w:rsid w:val="410067C8"/>
    <w:rsid w:val="418F0D2A"/>
    <w:rsid w:val="41B47D39"/>
    <w:rsid w:val="41D01505"/>
    <w:rsid w:val="42472441"/>
    <w:rsid w:val="42474939"/>
    <w:rsid w:val="424C3C57"/>
    <w:rsid w:val="42613FF3"/>
    <w:rsid w:val="42660D96"/>
    <w:rsid w:val="428667D2"/>
    <w:rsid w:val="42AE38A9"/>
    <w:rsid w:val="42CD1CE0"/>
    <w:rsid w:val="42DD54B7"/>
    <w:rsid w:val="42E1381E"/>
    <w:rsid w:val="42ED6459"/>
    <w:rsid w:val="42FE58DD"/>
    <w:rsid w:val="430F5864"/>
    <w:rsid w:val="43174B3D"/>
    <w:rsid w:val="434B790E"/>
    <w:rsid w:val="435621A5"/>
    <w:rsid w:val="4360274F"/>
    <w:rsid w:val="43977AB6"/>
    <w:rsid w:val="43A3342B"/>
    <w:rsid w:val="43C77C27"/>
    <w:rsid w:val="43DE09EE"/>
    <w:rsid w:val="44002FAD"/>
    <w:rsid w:val="446300D3"/>
    <w:rsid w:val="449101DD"/>
    <w:rsid w:val="44B45CB7"/>
    <w:rsid w:val="44DE1391"/>
    <w:rsid w:val="451B225C"/>
    <w:rsid w:val="452410C9"/>
    <w:rsid w:val="45317DFB"/>
    <w:rsid w:val="456D3CE4"/>
    <w:rsid w:val="4579042C"/>
    <w:rsid w:val="457F0571"/>
    <w:rsid w:val="45851176"/>
    <w:rsid w:val="459536FB"/>
    <w:rsid w:val="45C63B94"/>
    <w:rsid w:val="460E7DA5"/>
    <w:rsid w:val="46422483"/>
    <w:rsid w:val="4659254A"/>
    <w:rsid w:val="465B0637"/>
    <w:rsid w:val="465E3F0D"/>
    <w:rsid w:val="466A16E6"/>
    <w:rsid w:val="46893F2B"/>
    <w:rsid w:val="46C4686E"/>
    <w:rsid w:val="47023A54"/>
    <w:rsid w:val="477B778F"/>
    <w:rsid w:val="478203EC"/>
    <w:rsid w:val="47870957"/>
    <w:rsid w:val="479B1265"/>
    <w:rsid w:val="47B025FA"/>
    <w:rsid w:val="47F866B8"/>
    <w:rsid w:val="4809698F"/>
    <w:rsid w:val="4811697D"/>
    <w:rsid w:val="485850FC"/>
    <w:rsid w:val="487A3E25"/>
    <w:rsid w:val="488B5503"/>
    <w:rsid w:val="48937E21"/>
    <w:rsid w:val="489A0361"/>
    <w:rsid w:val="48B87BF5"/>
    <w:rsid w:val="48B94FF3"/>
    <w:rsid w:val="48CB1598"/>
    <w:rsid w:val="48E37AAB"/>
    <w:rsid w:val="48FD4B4C"/>
    <w:rsid w:val="490A68E0"/>
    <w:rsid w:val="491055FE"/>
    <w:rsid w:val="495F5B3E"/>
    <w:rsid w:val="496F77D7"/>
    <w:rsid w:val="497456B3"/>
    <w:rsid w:val="497654FD"/>
    <w:rsid w:val="497A417B"/>
    <w:rsid w:val="49B64211"/>
    <w:rsid w:val="49F6167F"/>
    <w:rsid w:val="4A064FA0"/>
    <w:rsid w:val="4A16615C"/>
    <w:rsid w:val="4A32185E"/>
    <w:rsid w:val="4A4424D7"/>
    <w:rsid w:val="4AB82D0F"/>
    <w:rsid w:val="4AEB7664"/>
    <w:rsid w:val="4AFD7C19"/>
    <w:rsid w:val="4B0567D1"/>
    <w:rsid w:val="4B236AAE"/>
    <w:rsid w:val="4B707271"/>
    <w:rsid w:val="4B9739F7"/>
    <w:rsid w:val="4BEE2503"/>
    <w:rsid w:val="4C245A30"/>
    <w:rsid w:val="4C6B1A16"/>
    <w:rsid w:val="4C6E7A8A"/>
    <w:rsid w:val="4CB6685F"/>
    <w:rsid w:val="4CC367FE"/>
    <w:rsid w:val="4CCA55F9"/>
    <w:rsid w:val="4D077F3C"/>
    <w:rsid w:val="4D123355"/>
    <w:rsid w:val="4D2A3B31"/>
    <w:rsid w:val="4D312C52"/>
    <w:rsid w:val="4D5C3245"/>
    <w:rsid w:val="4D905305"/>
    <w:rsid w:val="4D964A72"/>
    <w:rsid w:val="4D9C1254"/>
    <w:rsid w:val="4E793892"/>
    <w:rsid w:val="4E800872"/>
    <w:rsid w:val="4EC569ED"/>
    <w:rsid w:val="4ED50EA1"/>
    <w:rsid w:val="4EEC050C"/>
    <w:rsid w:val="4F104EC3"/>
    <w:rsid w:val="4F47354A"/>
    <w:rsid w:val="4F911C54"/>
    <w:rsid w:val="4F974A08"/>
    <w:rsid w:val="4FE625E0"/>
    <w:rsid w:val="500C324F"/>
    <w:rsid w:val="501A5E96"/>
    <w:rsid w:val="5021480F"/>
    <w:rsid w:val="508C5C1B"/>
    <w:rsid w:val="50962ECB"/>
    <w:rsid w:val="50A42E38"/>
    <w:rsid w:val="50A4577F"/>
    <w:rsid w:val="50B73D1F"/>
    <w:rsid w:val="50BD5BC9"/>
    <w:rsid w:val="50C11EEE"/>
    <w:rsid w:val="50E97CFC"/>
    <w:rsid w:val="50FA4028"/>
    <w:rsid w:val="510D65B7"/>
    <w:rsid w:val="511157AB"/>
    <w:rsid w:val="512C73D2"/>
    <w:rsid w:val="5142540C"/>
    <w:rsid w:val="5182713F"/>
    <w:rsid w:val="518832C8"/>
    <w:rsid w:val="519D3C50"/>
    <w:rsid w:val="51A0432A"/>
    <w:rsid w:val="51A86090"/>
    <w:rsid w:val="51B7396D"/>
    <w:rsid w:val="521C2FA3"/>
    <w:rsid w:val="52214A5D"/>
    <w:rsid w:val="522E4CC3"/>
    <w:rsid w:val="5244713B"/>
    <w:rsid w:val="52615633"/>
    <w:rsid w:val="526F4DE4"/>
    <w:rsid w:val="52977FD4"/>
    <w:rsid w:val="52A25790"/>
    <w:rsid w:val="52A96B6F"/>
    <w:rsid w:val="52B45975"/>
    <w:rsid w:val="52B93AFC"/>
    <w:rsid w:val="52D94AA4"/>
    <w:rsid w:val="52EA3A62"/>
    <w:rsid w:val="52F50BB8"/>
    <w:rsid w:val="53097272"/>
    <w:rsid w:val="53544462"/>
    <w:rsid w:val="53864205"/>
    <w:rsid w:val="5397158E"/>
    <w:rsid w:val="539F20DD"/>
    <w:rsid w:val="54013861"/>
    <w:rsid w:val="54487265"/>
    <w:rsid w:val="544D6070"/>
    <w:rsid w:val="54605E1E"/>
    <w:rsid w:val="54AC0188"/>
    <w:rsid w:val="54B3506A"/>
    <w:rsid w:val="54CA0D16"/>
    <w:rsid w:val="54DD3138"/>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C29B6"/>
    <w:rsid w:val="55DD4241"/>
    <w:rsid w:val="566B6D1E"/>
    <w:rsid w:val="56917403"/>
    <w:rsid w:val="56F17A27"/>
    <w:rsid w:val="57032A2C"/>
    <w:rsid w:val="570F5219"/>
    <w:rsid w:val="575D12B5"/>
    <w:rsid w:val="57610A87"/>
    <w:rsid w:val="577B1140"/>
    <w:rsid w:val="577B7F21"/>
    <w:rsid w:val="577F181B"/>
    <w:rsid w:val="57921984"/>
    <w:rsid w:val="579737F0"/>
    <w:rsid w:val="57992121"/>
    <w:rsid w:val="57AB7B30"/>
    <w:rsid w:val="57AF5251"/>
    <w:rsid w:val="57B26373"/>
    <w:rsid w:val="57B63F04"/>
    <w:rsid w:val="57C253EC"/>
    <w:rsid w:val="57CD20C2"/>
    <w:rsid w:val="57D675AB"/>
    <w:rsid w:val="57D95FDD"/>
    <w:rsid w:val="58482120"/>
    <w:rsid w:val="58917D2F"/>
    <w:rsid w:val="5894085C"/>
    <w:rsid w:val="58AE4F0C"/>
    <w:rsid w:val="58B85899"/>
    <w:rsid w:val="58BA3515"/>
    <w:rsid w:val="58E363A9"/>
    <w:rsid w:val="595E1678"/>
    <w:rsid w:val="596D5BD4"/>
    <w:rsid w:val="597E3DD8"/>
    <w:rsid w:val="59A20D32"/>
    <w:rsid w:val="59F80043"/>
    <w:rsid w:val="5A09252F"/>
    <w:rsid w:val="5A0B2778"/>
    <w:rsid w:val="5A2A7C7B"/>
    <w:rsid w:val="5A3E2560"/>
    <w:rsid w:val="5A5D3B6E"/>
    <w:rsid w:val="5A637A76"/>
    <w:rsid w:val="5A6D33BA"/>
    <w:rsid w:val="5A792B1F"/>
    <w:rsid w:val="5A874767"/>
    <w:rsid w:val="5AA85BE2"/>
    <w:rsid w:val="5AAD6F28"/>
    <w:rsid w:val="5ACA493D"/>
    <w:rsid w:val="5AD63A24"/>
    <w:rsid w:val="5B0F2CB6"/>
    <w:rsid w:val="5B2D6220"/>
    <w:rsid w:val="5B2E1A1D"/>
    <w:rsid w:val="5B843A1C"/>
    <w:rsid w:val="5B873E3F"/>
    <w:rsid w:val="5B936CE1"/>
    <w:rsid w:val="5C02690E"/>
    <w:rsid w:val="5C196DA7"/>
    <w:rsid w:val="5C2A048C"/>
    <w:rsid w:val="5C585E94"/>
    <w:rsid w:val="5C80234E"/>
    <w:rsid w:val="5C8A680C"/>
    <w:rsid w:val="5CA27166"/>
    <w:rsid w:val="5D03036F"/>
    <w:rsid w:val="5D0C4701"/>
    <w:rsid w:val="5D0F0395"/>
    <w:rsid w:val="5D221076"/>
    <w:rsid w:val="5D397964"/>
    <w:rsid w:val="5D5A391C"/>
    <w:rsid w:val="5D5F10C0"/>
    <w:rsid w:val="5D891B7B"/>
    <w:rsid w:val="5DA53EC5"/>
    <w:rsid w:val="5DAD38EE"/>
    <w:rsid w:val="5E006862"/>
    <w:rsid w:val="5E0207B9"/>
    <w:rsid w:val="5E1834A1"/>
    <w:rsid w:val="5E261785"/>
    <w:rsid w:val="5E4A7017"/>
    <w:rsid w:val="5E552BBA"/>
    <w:rsid w:val="5E611C10"/>
    <w:rsid w:val="5E7A0F3F"/>
    <w:rsid w:val="5ED162F0"/>
    <w:rsid w:val="5EFC7377"/>
    <w:rsid w:val="5F06174D"/>
    <w:rsid w:val="5F3A3602"/>
    <w:rsid w:val="5F45733B"/>
    <w:rsid w:val="5F6277C6"/>
    <w:rsid w:val="5F6D0B1D"/>
    <w:rsid w:val="5F8D0B82"/>
    <w:rsid w:val="5FCC5339"/>
    <w:rsid w:val="5FE34A5B"/>
    <w:rsid w:val="5FFE1E36"/>
    <w:rsid w:val="600F6F74"/>
    <w:rsid w:val="60232584"/>
    <w:rsid w:val="606D435A"/>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0642B6"/>
    <w:rsid w:val="64240056"/>
    <w:rsid w:val="643E143A"/>
    <w:rsid w:val="64491666"/>
    <w:rsid w:val="644C3BBB"/>
    <w:rsid w:val="648B6EEF"/>
    <w:rsid w:val="64C158BF"/>
    <w:rsid w:val="64CE2EAA"/>
    <w:rsid w:val="65053C30"/>
    <w:rsid w:val="653C3090"/>
    <w:rsid w:val="656A19C9"/>
    <w:rsid w:val="65854376"/>
    <w:rsid w:val="658767BE"/>
    <w:rsid w:val="65892531"/>
    <w:rsid w:val="658D79C4"/>
    <w:rsid w:val="66195831"/>
    <w:rsid w:val="661C2CA5"/>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7FC1454"/>
    <w:rsid w:val="68411239"/>
    <w:rsid w:val="68551F4F"/>
    <w:rsid w:val="68684D3C"/>
    <w:rsid w:val="687234C5"/>
    <w:rsid w:val="687C10C9"/>
    <w:rsid w:val="68840C16"/>
    <w:rsid w:val="68876EFB"/>
    <w:rsid w:val="68884654"/>
    <w:rsid w:val="689F444F"/>
    <w:rsid w:val="68B96DBB"/>
    <w:rsid w:val="68CA2805"/>
    <w:rsid w:val="68D36AD6"/>
    <w:rsid w:val="68E937A3"/>
    <w:rsid w:val="693E15D3"/>
    <w:rsid w:val="695B4640"/>
    <w:rsid w:val="69627681"/>
    <w:rsid w:val="6977531D"/>
    <w:rsid w:val="69CC2BFF"/>
    <w:rsid w:val="69FD55B8"/>
    <w:rsid w:val="6A0B1C62"/>
    <w:rsid w:val="6A2406C8"/>
    <w:rsid w:val="6A4D4AE8"/>
    <w:rsid w:val="6ADE0BD1"/>
    <w:rsid w:val="6AE96859"/>
    <w:rsid w:val="6B147746"/>
    <w:rsid w:val="6B24787C"/>
    <w:rsid w:val="6B573233"/>
    <w:rsid w:val="6B5B6274"/>
    <w:rsid w:val="6B611163"/>
    <w:rsid w:val="6B935D53"/>
    <w:rsid w:val="6BA52253"/>
    <w:rsid w:val="6BCA69DA"/>
    <w:rsid w:val="6BF90264"/>
    <w:rsid w:val="6C196F71"/>
    <w:rsid w:val="6C226FCB"/>
    <w:rsid w:val="6C31226F"/>
    <w:rsid w:val="6C552F0B"/>
    <w:rsid w:val="6C8C67B7"/>
    <w:rsid w:val="6C9D744C"/>
    <w:rsid w:val="6CE16E6B"/>
    <w:rsid w:val="6D1510B5"/>
    <w:rsid w:val="6D167928"/>
    <w:rsid w:val="6D26299B"/>
    <w:rsid w:val="6D4772EC"/>
    <w:rsid w:val="6D9078AF"/>
    <w:rsid w:val="6DAA3FEF"/>
    <w:rsid w:val="6DC0172B"/>
    <w:rsid w:val="6DCB690C"/>
    <w:rsid w:val="6DD41A5B"/>
    <w:rsid w:val="6DF43C2E"/>
    <w:rsid w:val="6DF51CA3"/>
    <w:rsid w:val="6E5F00A3"/>
    <w:rsid w:val="6E8335BD"/>
    <w:rsid w:val="6E8E12EF"/>
    <w:rsid w:val="6E972936"/>
    <w:rsid w:val="6ED446C5"/>
    <w:rsid w:val="6EF95920"/>
    <w:rsid w:val="6F2502A8"/>
    <w:rsid w:val="6F2A7D94"/>
    <w:rsid w:val="6F8331F1"/>
    <w:rsid w:val="6FAE1A09"/>
    <w:rsid w:val="6FB86358"/>
    <w:rsid w:val="6FD31337"/>
    <w:rsid w:val="6FD75BF8"/>
    <w:rsid w:val="6FFDBB4D"/>
    <w:rsid w:val="707723D0"/>
    <w:rsid w:val="707D6A8A"/>
    <w:rsid w:val="708F6BDE"/>
    <w:rsid w:val="70986E39"/>
    <w:rsid w:val="70E76B9A"/>
    <w:rsid w:val="70F5661B"/>
    <w:rsid w:val="7124455A"/>
    <w:rsid w:val="71360107"/>
    <w:rsid w:val="713B688E"/>
    <w:rsid w:val="719077DA"/>
    <w:rsid w:val="71D43752"/>
    <w:rsid w:val="71F1796A"/>
    <w:rsid w:val="72154626"/>
    <w:rsid w:val="72262B5D"/>
    <w:rsid w:val="72283FF7"/>
    <w:rsid w:val="722E7212"/>
    <w:rsid w:val="723A0474"/>
    <w:rsid w:val="725923E4"/>
    <w:rsid w:val="726E5CBB"/>
    <w:rsid w:val="72864BF7"/>
    <w:rsid w:val="729023FC"/>
    <w:rsid w:val="735F0AE9"/>
    <w:rsid w:val="7362065C"/>
    <w:rsid w:val="73C0646E"/>
    <w:rsid w:val="7420471D"/>
    <w:rsid w:val="742222F5"/>
    <w:rsid w:val="744040C3"/>
    <w:rsid w:val="74476126"/>
    <w:rsid w:val="74706664"/>
    <w:rsid w:val="747F3682"/>
    <w:rsid w:val="748E6582"/>
    <w:rsid w:val="749018A2"/>
    <w:rsid w:val="749C4185"/>
    <w:rsid w:val="74EB7541"/>
    <w:rsid w:val="75067759"/>
    <w:rsid w:val="752E6DCD"/>
    <w:rsid w:val="7551380D"/>
    <w:rsid w:val="75600BE5"/>
    <w:rsid w:val="7564475C"/>
    <w:rsid w:val="7583797F"/>
    <w:rsid w:val="759D3E47"/>
    <w:rsid w:val="75D20F1D"/>
    <w:rsid w:val="75DA2C18"/>
    <w:rsid w:val="75F54412"/>
    <w:rsid w:val="761D08E0"/>
    <w:rsid w:val="765D347C"/>
    <w:rsid w:val="76826699"/>
    <w:rsid w:val="76C87133"/>
    <w:rsid w:val="76CD08D5"/>
    <w:rsid w:val="76DB4B92"/>
    <w:rsid w:val="77052AA4"/>
    <w:rsid w:val="77136511"/>
    <w:rsid w:val="77184757"/>
    <w:rsid w:val="77340A39"/>
    <w:rsid w:val="77351FD0"/>
    <w:rsid w:val="77472422"/>
    <w:rsid w:val="777F31F2"/>
    <w:rsid w:val="77D1700D"/>
    <w:rsid w:val="77EC04CC"/>
    <w:rsid w:val="78775729"/>
    <w:rsid w:val="78827C45"/>
    <w:rsid w:val="789B6A68"/>
    <w:rsid w:val="78A42DB0"/>
    <w:rsid w:val="78A656AB"/>
    <w:rsid w:val="78B12A49"/>
    <w:rsid w:val="78B2245C"/>
    <w:rsid w:val="78BB6E67"/>
    <w:rsid w:val="78E172CC"/>
    <w:rsid w:val="78EA1D1F"/>
    <w:rsid w:val="7904172F"/>
    <w:rsid w:val="790F7E27"/>
    <w:rsid w:val="792A231A"/>
    <w:rsid w:val="79316829"/>
    <w:rsid w:val="797E66A9"/>
    <w:rsid w:val="798518A4"/>
    <w:rsid w:val="79A97383"/>
    <w:rsid w:val="79AB6F26"/>
    <w:rsid w:val="79D31932"/>
    <w:rsid w:val="79E27E8B"/>
    <w:rsid w:val="79F850CE"/>
    <w:rsid w:val="79FD443C"/>
    <w:rsid w:val="7A1D1975"/>
    <w:rsid w:val="7A3E5150"/>
    <w:rsid w:val="7A4670D6"/>
    <w:rsid w:val="7A534B63"/>
    <w:rsid w:val="7A5C26D2"/>
    <w:rsid w:val="7A615382"/>
    <w:rsid w:val="7A67303B"/>
    <w:rsid w:val="7A7B7AB9"/>
    <w:rsid w:val="7AAB1D04"/>
    <w:rsid w:val="7ABA4368"/>
    <w:rsid w:val="7AD05746"/>
    <w:rsid w:val="7B257FFD"/>
    <w:rsid w:val="7B343476"/>
    <w:rsid w:val="7B5A2978"/>
    <w:rsid w:val="7B5A7E4C"/>
    <w:rsid w:val="7B667AF9"/>
    <w:rsid w:val="7B7468F8"/>
    <w:rsid w:val="7B803CF3"/>
    <w:rsid w:val="7B8C08E9"/>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A30ED"/>
    <w:rsid w:val="7DEF0916"/>
    <w:rsid w:val="7E1E5218"/>
    <w:rsid w:val="7E9A4E1F"/>
    <w:rsid w:val="7EA7723A"/>
    <w:rsid w:val="7EC072DF"/>
    <w:rsid w:val="7ED52645"/>
    <w:rsid w:val="7EF516C9"/>
    <w:rsid w:val="7EF56FBB"/>
    <w:rsid w:val="7F0768EB"/>
    <w:rsid w:val="7F143BEC"/>
    <w:rsid w:val="7F715AF2"/>
    <w:rsid w:val="7F886E69"/>
    <w:rsid w:val="7FFE0F09"/>
    <w:rsid w:val="BB7FA927"/>
    <w:rsid w:val="D6DE5EB8"/>
    <w:rsid w:val="D9DE0E68"/>
    <w:rsid w:val="F5273DAA"/>
    <w:rsid w:val="F5D7D14F"/>
    <w:rsid w:val="F5FFD31F"/>
    <w:rsid w:val="FB9C63DD"/>
    <w:rsid w:val="FBEBA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0"/>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3"/>
    <w:qFormat/>
    <w:uiPriority w:val="0"/>
    <w:pPr>
      <w:shd w:val="clear" w:color="auto" w:fill="000080"/>
    </w:pPr>
  </w:style>
  <w:style w:type="paragraph" w:styleId="19">
    <w:name w:val="annotation text"/>
    <w:basedOn w:val="1"/>
    <w:link w:val="345"/>
    <w:qFormat/>
    <w:uiPriority w:val="99"/>
    <w:pPr>
      <w:jc w:val="left"/>
    </w:pPr>
  </w:style>
  <w:style w:type="paragraph" w:styleId="20">
    <w:name w:val="Salutation"/>
    <w:basedOn w:val="1"/>
    <w:next w:val="1"/>
    <w:link w:val="299"/>
    <w:qFormat/>
    <w:uiPriority w:val="0"/>
    <w:rPr>
      <w:rFonts w:ascii="仿宋_GB2312" w:eastAsia="仿宋_GB2312"/>
      <w:sz w:val="28"/>
      <w:szCs w:val="20"/>
    </w:rPr>
  </w:style>
  <w:style w:type="paragraph" w:styleId="21">
    <w:name w:val="Body Text 3"/>
    <w:basedOn w:val="1"/>
    <w:link w:val="331"/>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31"/>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
    <w:link w:val="266"/>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6"/>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2"/>
    <w:qFormat/>
    <w:uiPriority w:val="0"/>
    <w:pPr>
      <w:ind w:left="100" w:leftChars="2500"/>
    </w:pPr>
    <w:rPr>
      <w:rFonts w:ascii="宋体"/>
      <w:sz w:val="24"/>
      <w:szCs w:val="21"/>
      <w:lang w:val="zh-CN"/>
    </w:rPr>
  </w:style>
  <w:style w:type="paragraph" w:styleId="36">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7">
    <w:name w:val="endnote text"/>
    <w:basedOn w:val="1"/>
    <w:link w:val="933"/>
    <w:qFormat/>
    <w:uiPriority w:val="0"/>
    <w:rPr>
      <w:lang w:val="zh-CN"/>
    </w:rPr>
  </w:style>
  <w:style w:type="paragraph" w:styleId="38">
    <w:name w:val="Balloon Text"/>
    <w:basedOn w:val="1"/>
    <w:link w:val="189"/>
    <w:qFormat/>
    <w:uiPriority w:val="0"/>
    <w:rPr>
      <w:sz w:val="18"/>
      <w:szCs w:val="18"/>
    </w:rPr>
  </w:style>
  <w:style w:type="paragraph" w:styleId="39">
    <w:name w:val="footer"/>
    <w:basedOn w:val="1"/>
    <w:link w:val="384"/>
    <w:qFormat/>
    <w:uiPriority w:val="99"/>
    <w:pPr>
      <w:tabs>
        <w:tab w:val="center" w:pos="4153"/>
        <w:tab w:val="right" w:pos="8306"/>
      </w:tabs>
      <w:snapToGrid w:val="0"/>
      <w:jc w:val="left"/>
    </w:pPr>
    <w:rPr>
      <w:sz w:val="18"/>
      <w:szCs w:val="18"/>
    </w:rPr>
  </w:style>
  <w:style w:type="paragraph" w:styleId="40">
    <w:name w:val="envelope return"/>
    <w:basedOn w:val="1"/>
    <w:qFormat/>
    <w:uiPriority w:val="0"/>
    <w:pPr>
      <w:widowControl/>
      <w:spacing w:line="220" w:lineRule="atLeast"/>
      <w:ind w:firstLine="181"/>
      <w:jc w:val="left"/>
      <w:textAlignment w:val="baseline"/>
    </w:pPr>
    <w:rPr>
      <w:rFonts w:ascii="Arial" w:hAnsi="Arial"/>
      <w:kern w:val="0"/>
      <w:sz w:val="18"/>
      <w:szCs w:val="20"/>
    </w:rPr>
  </w:style>
  <w:style w:type="paragraph" w:styleId="41">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1"/>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6"/>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3"/>
    <w:qFormat/>
    <w:uiPriority w:val="0"/>
    <w:pPr>
      <w:spacing w:after="120" w:line="480" w:lineRule="auto"/>
    </w:pPr>
  </w:style>
  <w:style w:type="paragraph" w:styleId="57">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7"/>
    <w:qFormat/>
    <w:uiPriority w:val="0"/>
    <w:rPr>
      <w:b/>
      <w:bCs/>
    </w:rPr>
  </w:style>
  <w:style w:type="paragraph" w:styleId="61">
    <w:name w:val="Body Text First Indent"/>
    <w:basedOn w:val="23"/>
    <w:link w:val="322"/>
    <w:qFormat/>
    <w:uiPriority w:val="0"/>
    <w:pPr>
      <w:ind w:firstLine="420"/>
    </w:pPr>
    <w:rPr>
      <w:rFonts w:hAnsi="Calibri" w:cs="Times New Roman"/>
      <w:snapToGrid/>
      <w:szCs w:val="20"/>
    </w:rPr>
  </w:style>
  <w:style w:type="paragraph" w:styleId="62">
    <w:name w:val="Body Text First Indent 2"/>
    <w:basedOn w:val="24"/>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60"/>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47"/>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8"/>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2"/>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5"/>
    <w:qFormat/>
    <w:uiPriority w:val="0"/>
    <w:rPr>
      <w:rFonts w:ascii="宋体"/>
      <w:kern w:val="2"/>
      <w:sz w:val="24"/>
      <w:szCs w:val="21"/>
      <w:lang w:val="zh-CN"/>
    </w:rPr>
  </w:style>
  <w:style w:type="character" w:customStyle="1" w:styleId="183">
    <w:name w:val="标题 9 Char"/>
    <w:link w:val="11"/>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38"/>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5"/>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18"/>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29"/>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6"/>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16"/>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Char3"/>
    <w:link w:val="24"/>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Char"/>
    <w:link w:val="3"/>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Char2"/>
    <w:link w:val="59"/>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Char"/>
    <w:link w:val="7"/>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Char"/>
    <w:link w:val="20"/>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Char"/>
    <w:link w:val="57"/>
    <w:qFormat/>
    <w:uiPriority w:val="0"/>
    <w:rPr>
      <w:rFonts w:ascii="黑体" w:hAnsi="Courier New" w:eastAsia="黑体"/>
    </w:rPr>
  </w:style>
  <w:style w:type="character" w:customStyle="1" w:styleId="303">
    <w:name w:val="正文文本 2 Char1"/>
    <w:link w:val="56"/>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6"/>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Char"/>
    <w:link w:val="9"/>
    <w:qFormat/>
    <w:uiPriority w:val="0"/>
    <w:rPr>
      <w:b/>
      <w:bCs/>
      <w:kern w:val="2"/>
      <w:sz w:val="24"/>
      <w:szCs w:val="24"/>
    </w:rPr>
  </w:style>
  <w:style w:type="character" w:customStyle="1" w:styleId="309">
    <w:name w:val="正文文本缩进 2 Char"/>
    <w:link w:val="36"/>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Char"/>
    <w:link w:val="50"/>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Char"/>
    <w:link w:val="61"/>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Char2"/>
    <w:link w:val="6"/>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Char"/>
    <w:link w:val="21"/>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Char1"/>
    <w:link w:val="19"/>
    <w:qFormat/>
    <w:uiPriority w:val="99"/>
    <w:rPr>
      <w:kern w:val="2"/>
      <w:sz w:val="21"/>
      <w:szCs w:val="24"/>
    </w:rPr>
  </w:style>
  <w:style w:type="character" w:customStyle="1" w:styleId="346">
    <w:name w:val="签名 Char"/>
    <w:link w:val="42"/>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0"/>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3"/>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39"/>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1"/>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0"/>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5"/>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2">
    <w:name w:val="gray6"/>
    <w:basedOn w:val="70"/>
    <w:qFormat/>
    <w:uiPriority w:val="0"/>
    <w:rPr>
      <w:rFonts w:ascii="Arial" w:hAnsi="Arial" w:eastAsia="黑体" w:cs="Arial"/>
      <w:snapToGrid w:val="0"/>
      <w:kern w:val="0"/>
      <w:szCs w:val="21"/>
    </w:rPr>
  </w:style>
  <w:style w:type="character" w:customStyle="1" w:styleId="433">
    <w:name w:val="hui"/>
    <w:basedOn w:val="70"/>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6"/>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4"/>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2"/>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4"/>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7"/>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6"/>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6"/>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3"/>
    <w:qFormat/>
    <w:uiPriority w:val="0"/>
    <w:pPr>
      <w:tabs>
        <w:tab w:val="left" w:pos="840"/>
      </w:tabs>
      <w:adjustRightInd/>
      <w:ind w:left="840" w:hanging="420"/>
    </w:pPr>
  </w:style>
  <w:style w:type="paragraph" w:customStyle="1" w:styleId="627">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6"/>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6"/>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8"/>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qFormat/>
    <w:uiPriority w:val="0"/>
    <w:pPr>
      <w:tabs>
        <w:tab w:val="left" w:pos="1080"/>
      </w:tabs>
      <w:ind w:left="1080" w:hanging="1080"/>
    </w:pPr>
  </w:style>
  <w:style w:type="paragraph" w:customStyle="1" w:styleId="898">
    <w:name w:val="数字标题1"/>
    <w:basedOn w:val="3"/>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4"/>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Char"/>
    <w:link w:val="37"/>
    <w:qFormat/>
    <w:uiPriority w:val="0"/>
    <w:rPr>
      <w:kern w:val="2"/>
      <w:sz w:val="21"/>
      <w:szCs w:val="24"/>
      <w:lang w:val="zh-CN"/>
    </w:rPr>
  </w:style>
  <w:style w:type="character" w:customStyle="1" w:styleId="934">
    <w:name w:val="无间隔 Char"/>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59"/>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84</Pages>
  <Words>365</Words>
  <Characters>478</Characters>
  <Lines>282</Lines>
  <Paragraphs>79</Paragraphs>
  <TotalTime>43</TotalTime>
  <ScaleCrop>false</ScaleCrop>
  <LinksUpToDate>false</LinksUpToDate>
  <CharactersWithSpaces>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Mrs12</cp:lastModifiedBy>
  <cp:lastPrinted>2026-03-25T07:59:00Z</cp:lastPrinted>
  <dcterms:modified xsi:type="dcterms:W3CDTF">2026-04-15T07:57:37Z</dcterms:modified>
  <dc:title>杭州市市民卡扩大发卡工程</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eyJoZGlkIjoiYzk1NzQ0M2RiN2Y4NWRiZDYxZDU3MWZiNWJjZThmMmIiLCJ1c2VySWQiOiI0MDY1NDE2MzkifQ==</vt:lpwstr>
  </property>
</Properties>
</file>