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4649D">
      <w:pPr>
        <w:pStyle w:val="4"/>
        <w:ind w:firstLine="0"/>
        <w:rPr>
          <w:rFonts w:ascii="宋体" w:hAnsi="宋体" w:cs="宋体"/>
          <w:b/>
          <w:bCs/>
          <w:color w:val="auto"/>
          <w:sz w:val="44"/>
          <w:szCs w:val="44"/>
          <w:highlight w:val="none"/>
        </w:rPr>
      </w:pPr>
    </w:p>
    <w:p w14:paraId="1AD101E2">
      <w:pPr>
        <w:bidi w:val="0"/>
        <w:jc w:val="center"/>
        <w:rPr>
          <w:rFonts w:hint="eastAsia" w:ascii="宋体" w:hAnsi="宋体" w:eastAsia="宋体" w:cs="宋体"/>
          <w:b/>
          <w:bCs/>
          <w:color w:val="auto"/>
          <w:sz w:val="48"/>
          <w:szCs w:val="48"/>
          <w:highlight w:val="none"/>
          <w:u w:val="none"/>
        </w:rPr>
      </w:pPr>
      <w:r>
        <w:rPr>
          <w:rFonts w:hint="eastAsia" w:ascii="宋体" w:hAnsi="宋体" w:eastAsia="宋体" w:cs="宋体"/>
          <w:b/>
          <w:bCs/>
          <w:color w:val="auto"/>
          <w:sz w:val="48"/>
          <w:szCs w:val="48"/>
          <w:highlight w:val="none"/>
          <w:u w:val="none"/>
          <w:lang w:eastAsia="zh-CN"/>
        </w:rPr>
        <w:t>绍兴市上虞区应急管理局2026年度食堂劳务外包服务项目</w:t>
      </w:r>
    </w:p>
    <w:p w14:paraId="7DF86246">
      <w:pPr>
        <w:pStyle w:val="4"/>
        <w:rPr>
          <w:rFonts w:ascii="宋体"/>
          <w:b/>
          <w:bCs/>
          <w:color w:val="auto"/>
          <w:sz w:val="44"/>
          <w:szCs w:val="44"/>
          <w:highlight w:val="none"/>
          <w:u w:val="none"/>
        </w:rPr>
      </w:pPr>
    </w:p>
    <w:p w14:paraId="5340ADC3">
      <w:pPr>
        <w:pStyle w:val="4"/>
        <w:rPr>
          <w:rFonts w:ascii="宋体"/>
          <w:b/>
          <w:bCs/>
          <w:color w:val="auto"/>
          <w:sz w:val="44"/>
          <w:szCs w:val="44"/>
          <w:highlight w:val="none"/>
        </w:rPr>
      </w:pPr>
    </w:p>
    <w:p w14:paraId="10B6C2D2">
      <w:pPr>
        <w:pStyle w:val="4"/>
        <w:rPr>
          <w:rFonts w:ascii="宋体"/>
          <w:b/>
          <w:bCs/>
          <w:color w:val="auto"/>
          <w:sz w:val="44"/>
          <w:szCs w:val="44"/>
          <w:highlight w:val="none"/>
        </w:rPr>
      </w:pPr>
    </w:p>
    <w:p w14:paraId="04D07E62">
      <w:pPr>
        <w:pStyle w:val="4"/>
        <w:rPr>
          <w:b/>
          <w:bCs/>
          <w:color w:val="auto"/>
          <w:highlight w:val="none"/>
        </w:rPr>
      </w:pPr>
    </w:p>
    <w:p w14:paraId="15E0F403">
      <w:pPr>
        <w:bidi w:val="0"/>
        <w:jc w:val="center"/>
        <w:rPr>
          <w:rFonts w:hint="eastAsia" w:ascii="Times New Roman" w:hAnsi="Times New Roman" w:eastAsia="宋体" w:cs="Times New Roman"/>
          <w:b/>
          <w:bCs/>
          <w:color w:val="auto"/>
          <w:sz w:val="72"/>
          <w:szCs w:val="72"/>
          <w:highlight w:val="none"/>
        </w:rPr>
      </w:pPr>
      <w:bookmarkStart w:id="0" w:name="_Toc20516"/>
      <w:r>
        <w:rPr>
          <w:rFonts w:hint="eastAsia" w:ascii="Times New Roman" w:hAnsi="Times New Roman" w:eastAsia="宋体" w:cs="Times New Roman"/>
          <w:b/>
          <w:bCs/>
          <w:color w:val="auto"/>
          <w:sz w:val="72"/>
          <w:szCs w:val="72"/>
          <w:highlight w:val="none"/>
        </w:rPr>
        <w:t>竞争性磋商文件</w:t>
      </w:r>
      <w:bookmarkEnd w:id="0"/>
    </w:p>
    <w:p w14:paraId="780783CF">
      <w:pPr>
        <w:spacing w:line="360" w:lineRule="auto"/>
        <w:jc w:val="center"/>
        <w:rPr>
          <w:rFonts w:ascii="宋体"/>
          <w:b/>
          <w:bCs/>
          <w:color w:val="auto"/>
          <w:sz w:val="24"/>
          <w:szCs w:val="24"/>
          <w:highlight w:val="none"/>
        </w:rPr>
      </w:pPr>
    </w:p>
    <w:p w14:paraId="7C282497">
      <w:pPr>
        <w:snapToGrid w:val="0"/>
        <w:spacing w:line="360" w:lineRule="auto"/>
        <w:ind w:firstLine="2611" w:firstLineChars="867"/>
        <w:jc w:val="left"/>
        <w:rPr>
          <w:rFonts w:hint="default" w:ascii="宋体" w:eastAsia="宋体"/>
          <w:b/>
          <w:bCs/>
          <w:color w:val="auto"/>
          <w:sz w:val="30"/>
          <w:szCs w:val="30"/>
          <w:highlight w:val="none"/>
          <w:u w:val="single"/>
          <w:lang w:val="en-US" w:eastAsia="zh-CN"/>
        </w:rPr>
      </w:pPr>
      <w:r>
        <w:rPr>
          <w:rFonts w:hint="eastAsia" w:ascii="宋体" w:hAnsi="宋体" w:cs="宋体"/>
          <w:b/>
          <w:bCs/>
          <w:color w:val="auto"/>
          <w:sz w:val="30"/>
          <w:szCs w:val="30"/>
          <w:highlight w:val="none"/>
        </w:rPr>
        <w:t>项目编号：</w:t>
      </w:r>
      <w:r>
        <w:rPr>
          <w:rFonts w:hint="eastAsia" w:ascii="宋体" w:hAnsi="宋体" w:cs="宋体"/>
          <w:b/>
          <w:bCs/>
          <w:color w:val="auto"/>
          <w:sz w:val="30"/>
          <w:szCs w:val="30"/>
          <w:highlight w:val="none"/>
          <w:u w:val="single"/>
          <w:lang w:eastAsia="zh-CN"/>
        </w:rPr>
        <w:t>CY202600</w:t>
      </w:r>
      <w:r>
        <w:rPr>
          <w:rFonts w:hint="eastAsia" w:ascii="宋体" w:hAnsi="宋体" w:cs="宋体"/>
          <w:b/>
          <w:bCs/>
          <w:color w:val="auto"/>
          <w:sz w:val="30"/>
          <w:szCs w:val="30"/>
          <w:highlight w:val="none"/>
          <w:u w:val="single"/>
          <w:lang w:val="en-US" w:eastAsia="zh-CN"/>
        </w:rPr>
        <w:t>3</w:t>
      </w:r>
    </w:p>
    <w:p w14:paraId="0BA4692F">
      <w:pPr>
        <w:snapToGrid w:val="0"/>
        <w:spacing w:line="360" w:lineRule="auto"/>
        <w:ind w:firstLine="2301" w:firstLineChars="767"/>
        <w:jc w:val="left"/>
        <w:rPr>
          <w:rFonts w:ascii="宋体"/>
          <w:color w:val="auto"/>
          <w:sz w:val="30"/>
          <w:szCs w:val="30"/>
          <w:highlight w:val="none"/>
        </w:rPr>
      </w:pPr>
    </w:p>
    <w:p w14:paraId="24184850">
      <w:pPr>
        <w:spacing w:line="360" w:lineRule="auto"/>
        <w:rPr>
          <w:rFonts w:ascii="宋体"/>
          <w:color w:val="auto"/>
          <w:sz w:val="28"/>
          <w:szCs w:val="28"/>
          <w:highlight w:val="none"/>
        </w:rPr>
      </w:pPr>
    </w:p>
    <w:p w14:paraId="7A973B4A">
      <w:pPr>
        <w:spacing w:line="360" w:lineRule="auto"/>
        <w:jc w:val="center"/>
        <w:rPr>
          <w:rFonts w:ascii="宋体"/>
          <w:color w:val="auto"/>
          <w:sz w:val="24"/>
          <w:szCs w:val="24"/>
          <w:highlight w:val="none"/>
        </w:rPr>
      </w:pPr>
    </w:p>
    <w:p w14:paraId="0224CEA6">
      <w:pPr>
        <w:spacing w:line="360" w:lineRule="auto"/>
        <w:jc w:val="center"/>
        <w:rPr>
          <w:rFonts w:ascii="宋体"/>
          <w:color w:val="auto"/>
          <w:sz w:val="24"/>
          <w:szCs w:val="24"/>
          <w:highlight w:val="none"/>
        </w:rPr>
      </w:pPr>
    </w:p>
    <w:p w14:paraId="34B5E38D">
      <w:pPr>
        <w:spacing w:line="360" w:lineRule="auto"/>
        <w:jc w:val="center"/>
        <w:rPr>
          <w:rFonts w:ascii="宋体"/>
          <w:color w:val="auto"/>
          <w:sz w:val="24"/>
          <w:szCs w:val="24"/>
          <w:highlight w:val="none"/>
        </w:rPr>
      </w:pPr>
    </w:p>
    <w:p w14:paraId="7BE87868">
      <w:pPr>
        <w:spacing w:line="360" w:lineRule="auto"/>
        <w:jc w:val="center"/>
        <w:rPr>
          <w:rFonts w:ascii="宋体"/>
          <w:color w:val="auto"/>
          <w:sz w:val="24"/>
          <w:szCs w:val="24"/>
          <w:highlight w:val="none"/>
        </w:rPr>
      </w:pPr>
    </w:p>
    <w:p w14:paraId="23C40A24">
      <w:pPr>
        <w:spacing w:line="360" w:lineRule="auto"/>
        <w:jc w:val="center"/>
        <w:rPr>
          <w:rFonts w:ascii="宋体"/>
          <w:color w:val="auto"/>
          <w:sz w:val="24"/>
          <w:szCs w:val="24"/>
          <w:highlight w:val="none"/>
        </w:rPr>
      </w:pPr>
    </w:p>
    <w:p w14:paraId="469C9E8E">
      <w:pPr>
        <w:spacing w:line="360" w:lineRule="auto"/>
        <w:rPr>
          <w:rFonts w:ascii="宋体"/>
          <w:color w:val="auto"/>
          <w:sz w:val="24"/>
          <w:szCs w:val="24"/>
          <w:highlight w:val="none"/>
        </w:rPr>
      </w:pPr>
    </w:p>
    <w:p w14:paraId="6D4E0CDC">
      <w:pPr>
        <w:snapToGrid w:val="0"/>
        <w:spacing w:line="360" w:lineRule="auto"/>
        <w:ind w:firstLine="904" w:firstLineChars="300"/>
        <w:jc w:val="both"/>
        <w:rPr>
          <w:rFonts w:hint="eastAsia" w:ascii="宋体" w:eastAsia="宋体"/>
          <w:b/>
          <w:bCs/>
          <w:color w:val="auto"/>
          <w:sz w:val="30"/>
          <w:szCs w:val="30"/>
          <w:highlight w:val="none"/>
          <w:u w:val="single"/>
          <w:lang w:eastAsia="zh-CN"/>
        </w:rPr>
      </w:pPr>
      <w:r>
        <w:rPr>
          <w:rFonts w:hint="eastAsia" w:ascii="宋体" w:hAnsi="宋体" w:cs="宋体"/>
          <w:b/>
          <w:bCs/>
          <w:color w:val="auto"/>
          <w:sz w:val="30"/>
          <w:szCs w:val="30"/>
          <w:highlight w:val="none"/>
        </w:rPr>
        <w:t xml:space="preserve">采 </w:t>
      </w:r>
      <w:r>
        <w:rPr>
          <w:rFonts w:hint="eastAsia" w:ascii="宋体" w:hAnsi="宋体" w:cs="宋体"/>
          <w:b/>
          <w:bCs/>
          <w:color w:val="auto"/>
          <w:sz w:val="30"/>
          <w:szCs w:val="30"/>
          <w:highlight w:val="none"/>
          <w:lang w:val="en-US" w:eastAsia="zh-CN"/>
        </w:rPr>
        <w:t xml:space="preserve">  </w:t>
      </w:r>
      <w:r>
        <w:rPr>
          <w:rFonts w:hint="eastAsia" w:ascii="宋体" w:hAnsi="宋体" w:cs="宋体"/>
          <w:b/>
          <w:bCs/>
          <w:color w:val="auto"/>
          <w:sz w:val="30"/>
          <w:szCs w:val="30"/>
          <w:highlight w:val="none"/>
        </w:rPr>
        <w:t xml:space="preserve">购 </w:t>
      </w:r>
      <w:r>
        <w:rPr>
          <w:rFonts w:hint="eastAsia" w:ascii="宋体" w:hAnsi="宋体" w:cs="宋体"/>
          <w:b/>
          <w:bCs/>
          <w:color w:val="auto"/>
          <w:sz w:val="30"/>
          <w:szCs w:val="30"/>
          <w:highlight w:val="none"/>
          <w:lang w:val="en-US" w:eastAsia="zh-CN"/>
        </w:rPr>
        <w:t xml:space="preserve">  </w:t>
      </w:r>
      <w:r>
        <w:rPr>
          <w:rFonts w:hint="eastAsia" w:ascii="宋体" w:hAnsi="宋体" w:cs="宋体"/>
          <w:b/>
          <w:bCs/>
          <w:color w:val="auto"/>
          <w:sz w:val="30"/>
          <w:szCs w:val="30"/>
          <w:highlight w:val="none"/>
        </w:rPr>
        <w:t>人：</w:t>
      </w:r>
      <w:r>
        <w:rPr>
          <w:rFonts w:hint="eastAsia" w:ascii="宋体" w:hAnsi="宋体" w:cs="宋体"/>
          <w:b/>
          <w:bCs/>
          <w:color w:val="auto"/>
          <w:sz w:val="30"/>
          <w:szCs w:val="30"/>
          <w:highlight w:val="none"/>
          <w:lang w:eastAsia="zh-CN"/>
        </w:rPr>
        <w:t>绍兴市上虞区应急管理局</w:t>
      </w:r>
    </w:p>
    <w:p w14:paraId="2AB1E501">
      <w:pPr>
        <w:snapToGrid w:val="0"/>
        <w:spacing w:line="360" w:lineRule="auto"/>
        <w:ind w:firstLine="904" w:firstLineChars="300"/>
        <w:jc w:val="both"/>
        <w:rPr>
          <w:rFonts w:hint="eastAsia" w:ascii="宋体" w:eastAsia="宋体"/>
          <w:b/>
          <w:bCs/>
          <w:color w:val="auto"/>
          <w:sz w:val="30"/>
          <w:szCs w:val="30"/>
          <w:highlight w:val="none"/>
          <w:lang w:eastAsia="zh-CN"/>
        </w:rPr>
      </w:pPr>
      <w:r>
        <w:rPr>
          <w:rFonts w:hint="eastAsia" w:ascii="宋体" w:hAnsi="宋体" w:cs="宋体"/>
          <w:b/>
          <w:bCs/>
          <w:color w:val="auto"/>
          <w:sz w:val="30"/>
          <w:szCs w:val="30"/>
          <w:highlight w:val="none"/>
        </w:rPr>
        <w:t>采购代理机构：</w:t>
      </w:r>
      <w:r>
        <w:rPr>
          <w:rFonts w:hint="eastAsia" w:ascii="宋体" w:hAnsi="宋体" w:cs="宋体"/>
          <w:b/>
          <w:bCs/>
          <w:color w:val="auto"/>
          <w:sz w:val="30"/>
          <w:szCs w:val="30"/>
          <w:highlight w:val="none"/>
          <w:lang w:eastAsia="zh-CN"/>
        </w:rPr>
        <w:t>绍兴成言工程咨询管理有限公司</w:t>
      </w:r>
    </w:p>
    <w:p w14:paraId="54D30181">
      <w:pPr>
        <w:jc w:val="center"/>
        <w:rPr>
          <w:rFonts w:ascii="宋体"/>
          <w:b/>
          <w:bCs/>
          <w:color w:val="auto"/>
          <w:sz w:val="30"/>
          <w:szCs w:val="30"/>
          <w:highlight w:val="none"/>
        </w:rPr>
        <w:sectPr>
          <w:footerReference r:id="rId3" w:type="default"/>
          <w:pgSz w:w="11906" w:h="16838"/>
          <w:pgMar w:top="1440" w:right="1700" w:bottom="1440" w:left="1800" w:header="851" w:footer="992" w:gutter="0"/>
          <w:pgNumType w:fmt="decimal"/>
          <w:cols w:space="425" w:num="1"/>
          <w:docGrid w:type="lines" w:linePitch="312" w:charSpace="0"/>
        </w:sectPr>
      </w:pPr>
      <w:r>
        <w:rPr>
          <w:rFonts w:hint="eastAsia" w:ascii="宋体" w:hAnsi="宋体" w:cs="宋体"/>
          <w:b/>
          <w:bCs/>
          <w:color w:val="auto"/>
          <w:sz w:val="30"/>
          <w:szCs w:val="30"/>
          <w:highlight w:val="none"/>
        </w:rPr>
        <w:t>二〇二</w:t>
      </w:r>
      <w:r>
        <w:rPr>
          <w:rFonts w:hint="eastAsia" w:ascii="宋体" w:hAnsi="宋体" w:cs="宋体"/>
          <w:b/>
          <w:bCs/>
          <w:color w:val="auto"/>
          <w:sz w:val="30"/>
          <w:szCs w:val="30"/>
          <w:highlight w:val="none"/>
          <w:lang w:val="en-US" w:eastAsia="zh-CN"/>
        </w:rPr>
        <w:t>六</w:t>
      </w:r>
      <w:r>
        <w:rPr>
          <w:rFonts w:hint="eastAsia" w:ascii="宋体" w:hAnsi="宋体" w:cs="宋体"/>
          <w:b/>
          <w:bCs/>
          <w:color w:val="auto"/>
          <w:sz w:val="30"/>
          <w:szCs w:val="30"/>
          <w:highlight w:val="none"/>
        </w:rPr>
        <w:t>年</w:t>
      </w:r>
      <w:r>
        <w:rPr>
          <w:rFonts w:hint="eastAsia" w:ascii="宋体" w:hAnsi="宋体" w:cs="宋体"/>
          <w:b/>
          <w:bCs/>
          <w:color w:val="auto"/>
          <w:sz w:val="30"/>
          <w:szCs w:val="30"/>
          <w:highlight w:val="none"/>
          <w:lang w:val="en-US" w:eastAsia="zh-CN"/>
        </w:rPr>
        <w:t>五</w:t>
      </w:r>
      <w:r>
        <w:rPr>
          <w:rFonts w:hint="eastAsia" w:ascii="宋体" w:hAnsi="宋体" w:cs="宋体"/>
          <w:b/>
          <w:bCs/>
          <w:color w:val="auto"/>
          <w:sz w:val="30"/>
          <w:szCs w:val="30"/>
          <w:highlight w:val="none"/>
        </w:rPr>
        <w:t>月</w:t>
      </w:r>
    </w:p>
    <w:p w14:paraId="517E8AA3">
      <w:pPr>
        <w:spacing w:line="36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sdt>
      <w:sdtPr>
        <w:rPr>
          <w:rFonts w:ascii="宋体" w:hAnsi="宋体" w:eastAsia="宋体" w:cs="Times New Roman"/>
          <w:color w:val="auto"/>
          <w:sz w:val="21"/>
          <w:highlight w:val="none"/>
          <w:lang w:val="en-US" w:eastAsia="zh-CN" w:bidi="ar-SA"/>
        </w:rPr>
        <w:id w:val="147468467"/>
        <w15:color w:val="DBDBDB"/>
        <w:docPartObj>
          <w:docPartGallery w:val="Table of Contents"/>
          <w:docPartUnique/>
        </w:docPartObj>
      </w:sdtPr>
      <w:sdtEndPr>
        <w:rPr>
          <w:rFonts w:ascii="宋体" w:hAnsi="宋体" w:eastAsia="宋体" w:cs="Times New Roman"/>
          <w:b/>
          <w:bCs/>
          <w:color w:val="auto"/>
          <w:sz w:val="24"/>
          <w:szCs w:val="28"/>
          <w:highlight w:val="none"/>
          <w:lang w:val="en-US" w:eastAsia="zh-CN" w:bidi="ar-SA"/>
        </w:rPr>
      </w:sdtEndPr>
      <w:sdtContent>
        <w:p w14:paraId="1ED48EF3">
          <w:pPr>
            <w:pStyle w:val="3"/>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rFonts w:ascii="宋体" w:hAnsi="宋体" w:eastAsia="宋体" w:cs="Times New Roman"/>
              <w:b/>
              <w:bCs/>
              <w:color w:val="auto"/>
              <w:sz w:val="28"/>
              <w:szCs w:val="28"/>
              <w:highlight w:val="none"/>
              <w:lang w:val="en-US" w:eastAsia="zh-CN" w:bidi="ar-SA"/>
            </w:rPr>
          </w:pPr>
          <w:r>
            <w:rPr>
              <w:rFonts w:cs="Times New Roman"/>
              <w:color w:val="auto"/>
              <w:highlight w:val="none"/>
            </w:rPr>
            <w:fldChar w:fldCharType="begin"/>
          </w:r>
          <w:r>
            <w:rPr>
              <w:rFonts w:cs="Times New Roman"/>
              <w:color w:val="auto"/>
              <w:highlight w:val="none"/>
            </w:rPr>
            <w:instrText xml:space="preserve">TOC \o "1-2" \h \u </w:instrText>
          </w:r>
          <w:r>
            <w:rPr>
              <w:rFonts w:cs="Times New Roman"/>
              <w:color w:val="auto"/>
              <w:highlight w:val="none"/>
            </w:rPr>
            <w:fldChar w:fldCharType="separate"/>
          </w:r>
        </w:p>
        <w:p w14:paraId="6ECCA05F">
          <w:pPr>
            <w:pStyle w:val="21"/>
            <w:tabs>
              <w:tab w:val="right" w:leader="dot" w:pos="8306"/>
            </w:tabs>
          </w:pPr>
          <w:r>
            <w:rPr>
              <w:rFonts w:cs="Times New Roman"/>
              <w:color w:val="auto"/>
              <w:highlight w:val="none"/>
            </w:rPr>
            <w:fldChar w:fldCharType="begin"/>
          </w:r>
          <w:r>
            <w:rPr>
              <w:rFonts w:cs="Times New Roman"/>
              <w:highlight w:val="none"/>
            </w:rPr>
            <w:instrText xml:space="preserve"> HYPERLINK \l _Toc28771 </w:instrText>
          </w:r>
          <w:r>
            <w:rPr>
              <w:rFonts w:cs="Times New Roman"/>
              <w:highlight w:val="none"/>
            </w:rPr>
            <w:fldChar w:fldCharType="separate"/>
          </w:r>
          <w:r>
            <w:rPr>
              <w:rFonts w:hint="eastAsia" w:cs="宋体"/>
              <w:szCs w:val="36"/>
              <w:highlight w:val="none"/>
            </w:rPr>
            <w:t>第一部分</w:t>
          </w:r>
          <w:r>
            <w:rPr>
              <w:szCs w:val="36"/>
              <w:highlight w:val="none"/>
            </w:rPr>
            <w:t xml:space="preserve"> </w:t>
          </w:r>
          <w:r>
            <w:rPr>
              <w:rFonts w:hint="eastAsia" w:cs="宋体"/>
              <w:szCs w:val="36"/>
              <w:highlight w:val="none"/>
            </w:rPr>
            <w:t>磋商公告</w:t>
          </w:r>
          <w:r>
            <w:tab/>
          </w:r>
          <w:r>
            <w:fldChar w:fldCharType="begin"/>
          </w:r>
          <w:r>
            <w:instrText xml:space="preserve"> PAGEREF _Toc28771 \h </w:instrText>
          </w:r>
          <w:r>
            <w:fldChar w:fldCharType="separate"/>
          </w:r>
          <w:r>
            <w:t>3</w:t>
          </w:r>
          <w:r>
            <w:fldChar w:fldCharType="end"/>
          </w:r>
          <w:r>
            <w:rPr>
              <w:rFonts w:cs="Times New Roman"/>
              <w:color w:val="auto"/>
              <w:highlight w:val="none"/>
            </w:rPr>
            <w:fldChar w:fldCharType="end"/>
          </w:r>
        </w:p>
        <w:p w14:paraId="52F1D06C">
          <w:pPr>
            <w:pStyle w:val="21"/>
            <w:tabs>
              <w:tab w:val="right" w:leader="dot" w:pos="8306"/>
            </w:tabs>
          </w:pPr>
          <w:r>
            <w:rPr>
              <w:rFonts w:cs="Times New Roman"/>
              <w:color w:val="auto"/>
              <w:highlight w:val="none"/>
            </w:rPr>
            <w:fldChar w:fldCharType="begin"/>
          </w:r>
          <w:r>
            <w:rPr>
              <w:rFonts w:cs="Times New Roman"/>
              <w:highlight w:val="none"/>
            </w:rPr>
            <w:instrText xml:space="preserve"> HYPERLINK \l _Toc18253 </w:instrText>
          </w:r>
          <w:r>
            <w:rPr>
              <w:rFonts w:cs="Times New Roman"/>
              <w:highlight w:val="none"/>
            </w:rPr>
            <w:fldChar w:fldCharType="separate"/>
          </w:r>
          <w:r>
            <w:rPr>
              <w:rFonts w:hint="eastAsia"/>
              <w:lang w:val="en-US" w:eastAsia="zh-CN"/>
            </w:rPr>
            <w:t>第二部分 供应商须知</w:t>
          </w:r>
          <w:r>
            <w:tab/>
          </w:r>
          <w:r>
            <w:fldChar w:fldCharType="begin"/>
          </w:r>
          <w:r>
            <w:instrText xml:space="preserve"> PAGEREF _Toc18253 \h </w:instrText>
          </w:r>
          <w:r>
            <w:fldChar w:fldCharType="separate"/>
          </w:r>
          <w:r>
            <w:t>8</w:t>
          </w:r>
          <w:r>
            <w:fldChar w:fldCharType="end"/>
          </w:r>
          <w:r>
            <w:rPr>
              <w:rFonts w:cs="Times New Roman"/>
              <w:color w:val="auto"/>
              <w:highlight w:val="none"/>
            </w:rPr>
            <w:fldChar w:fldCharType="end"/>
          </w:r>
        </w:p>
        <w:p w14:paraId="1560BFB4">
          <w:pPr>
            <w:pStyle w:val="24"/>
            <w:tabs>
              <w:tab w:val="right" w:leader="dot" w:pos="8306"/>
            </w:tabs>
          </w:pPr>
          <w:r>
            <w:rPr>
              <w:rFonts w:cs="Times New Roman"/>
              <w:color w:val="auto"/>
              <w:highlight w:val="none"/>
            </w:rPr>
            <w:fldChar w:fldCharType="begin"/>
          </w:r>
          <w:r>
            <w:rPr>
              <w:rFonts w:cs="Times New Roman"/>
              <w:highlight w:val="none"/>
            </w:rPr>
            <w:instrText xml:space="preserve"> HYPERLINK \l _Toc9040 </w:instrText>
          </w:r>
          <w:r>
            <w:rPr>
              <w:rFonts w:cs="Times New Roman"/>
              <w:highlight w:val="none"/>
            </w:rPr>
            <w:fldChar w:fldCharType="separate"/>
          </w:r>
          <w:r>
            <w:rPr>
              <w:rFonts w:hint="eastAsia" w:hAnsi="宋体" w:cs="Times New Roman"/>
            </w:rPr>
            <w:t xml:space="preserve">一、 </w:t>
          </w:r>
          <w:r>
            <w:rPr>
              <w:rFonts w:hint="eastAsia" w:hAnsi="宋体"/>
              <w:highlight w:val="none"/>
            </w:rPr>
            <w:t>总则</w:t>
          </w:r>
          <w:r>
            <w:tab/>
          </w:r>
          <w:r>
            <w:fldChar w:fldCharType="begin"/>
          </w:r>
          <w:r>
            <w:instrText xml:space="preserve"> PAGEREF _Toc9040 \h </w:instrText>
          </w:r>
          <w:r>
            <w:fldChar w:fldCharType="separate"/>
          </w:r>
          <w:r>
            <w:t>12</w:t>
          </w:r>
          <w:r>
            <w:fldChar w:fldCharType="end"/>
          </w:r>
          <w:r>
            <w:rPr>
              <w:rFonts w:cs="Times New Roman"/>
              <w:color w:val="auto"/>
              <w:highlight w:val="none"/>
            </w:rPr>
            <w:fldChar w:fldCharType="end"/>
          </w:r>
        </w:p>
        <w:p w14:paraId="429A4479">
          <w:pPr>
            <w:pStyle w:val="24"/>
            <w:tabs>
              <w:tab w:val="right" w:leader="dot" w:pos="8306"/>
            </w:tabs>
          </w:pPr>
          <w:r>
            <w:rPr>
              <w:rFonts w:cs="Times New Roman"/>
              <w:color w:val="auto"/>
              <w:highlight w:val="none"/>
            </w:rPr>
            <w:fldChar w:fldCharType="begin"/>
          </w:r>
          <w:r>
            <w:rPr>
              <w:rFonts w:cs="Times New Roman"/>
              <w:highlight w:val="none"/>
            </w:rPr>
            <w:instrText xml:space="preserve"> HYPERLINK \l _Toc31889 </w:instrText>
          </w:r>
          <w:r>
            <w:rPr>
              <w:rFonts w:cs="Times New Roman"/>
              <w:highlight w:val="none"/>
            </w:rPr>
            <w:fldChar w:fldCharType="separate"/>
          </w:r>
          <w:r>
            <w:rPr>
              <w:rFonts w:hint="eastAsia" w:cs="Times New Roman"/>
            </w:rPr>
            <w:t xml:space="preserve">二、 </w:t>
          </w:r>
          <w:r>
            <w:rPr>
              <w:rFonts w:hint="eastAsia"/>
              <w:highlight w:val="none"/>
            </w:rPr>
            <w:t>竞争性磋商文件</w:t>
          </w:r>
          <w:r>
            <w:tab/>
          </w:r>
          <w:r>
            <w:fldChar w:fldCharType="begin"/>
          </w:r>
          <w:r>
            <w:instrText xml:space="preserve"> PAGEREF _Toc31889 \h </w:instrText>
          </w:r>
          <w:r>
            <w:fldChar w:fldCharType="separate"/>
          </w:r>
          <w:r>
            <w:t>15</w:t>
          </w:r>
          <w:r>
            <w:fldChar w:fldCharType="end"/>
          </w:r>
          <w:r>
            <w:rPr>
              <w:rFonts w:cs="Times New Roman"/>
              <w:color w:val="auto"/>
              <w:highlight w:val="none"/>
            </w:rPr>
            <w:fldChar w:fldCharType="end"/>
          </w:r>
        </w:p>
        <w:p w14:paraId="486FC54B">
          <w:pPr>
            <w:pStyle w:val="24"/>
            <w:tabs>
              <w:tab w:val="right" w:leader="dot" w:pos="8306"/>
            </w:tabs>
          </w:pPr>
          <w:r>
            <w:rPr>
              <w:rFonts w:cs="Times New Roman"/>
              <w:color w:val="auto"/>
              <w:highlight w:val="none"/>
            </w:rPr>
            <w:fldChar w:fldCharType="begin"/>
          </w:r>
          <w:r>
            <w:rPr>
              <w:rFonts w:cs="Times New Roman"/>
              <w:highlight w:val="none"/>
            </w:rPr>
            <w:instrText xml:space="preserve"> HYPERLINK \l _Toc18076 </w:instrText>
          </w:r>
          <w:r>
            <w:rPr>
              <w:rFonts w:cs="Times New Roman"/>
              <w:highlight w:val="none"/>
            </w:rPr>
            <w:fldChar w:fldCharType="separate"/>
          </w:r>
          <w:r>
            <w:rPr>
              <w:rFonts w:hint="eastAsia" w:cs="Times New Roman"/>
            </w:rPr>
            <w:t xml:space="preserve">三、 </w:t>
          </w:r>
          <w:r>
            <w:rPr>
              <w:rFonts w:hint="eastAsia"/>
              <w:highlight w:val="none"/>
            </w:rPr>
            <w:t>竞争性磋商响应文件的编写</w:t>
          </w:r>
          <w:r>
            <w:tab/>
          </w:r>
          <w:r>
            <w:fldChar w:fldCharType="begin"/>
          </w:r>
          <w:r>
            <w:instrText xml:space="preserve"> PAGEREF _Toc18076 \h </w:instrText>
          </w:r>
          <w:r>
            <w:fldChar w:fldCharType="separate"/>
          </w:r>
          <w:r>
            <w:t>16</w:t>
          </w:r>
          <w:r>
            <w:fldChar w:fldCharType="end"/>
          </w:r>
          <w:r>
            <w:rPr>
              <w:rFonts w:cs="Times New Roman"/>
              <w:color w:val="auto"/>
              <w:highlight w:val="none"/>
            </w:rPr>
            <w:fldChar w:fldCharType="end"/>
          </w:r>
        </w:p>
        <w:p w14:paraId="20C56C28">
          <w:pPr>
            <w:pStyle w:val="24"/>
            <w:tabs>
              <w:tab w:val="right" w:leader="dot" w:pos="8306"/>
            </w:tabs>
          </w:pPr>
          <w:r>
            <w:rPr>
              <w:rFonts w:cs="Times New Roman"/>
              <w:color w:val="auto"/>
              <w:highlight w:val="none"/>
            </w:rPr>
            <w:fldChar w:fldCharType="begin"/>
          </w:r>
          <w:r>
            <w:rPr>
              <w:rFonts w:cs="Times New Roman"/>
              <w:highlight w:val="none"/>
            </w:rPr>
            <w:instrText xml:space="preserve"> HYPERLINK \l _Toc19973 </w:instrText>
          </w:r>
          <w:r>
            <w:rPr>
              <w:rFonts w:cs="Times New Roman"/>
              <w:highlight w:val="none"/>
            </w:rPr>
            <w:fldChar w:fldCharType="separate"/>
          </w:r>
          <w:r>
            <w:rPr>
              <w:rFonts w:hint="eastAsia" w:cs="Times New Roman"/>
            </w:rPr>
            <w:t xml:space="preserve">四、 </w:t>
          </w:r>
          <w:r>
            <w:rPr>
              <w:rFonts w:hint="eastAsia"/>
              <w:highlight w:val="none"/>
            </w:rPr>
            <w:t>响应文件的递交</w:t>
          </w:r>
          <w:r>
            <w:tab/>
          </w:r>
          <w:r>
            <w:fldChar w:fldCharType="begin"/>
          </w:r>
          <w:r>
            <w:instrText xml:space="preserve"> PAGEREF _Toc19973 \h </w:instrText>
          </w:r>
          <w:r>
            <w:fldChar w:fldCharType="separate"/>
          </w:r>
          <w:r>
            <w:t>20</w:t>
          </w:r>
          <w:r>
            <w:fldChar w:fldCharType="end"/>
          </w:r>
          <w:r>
            <w:rPr>
              <w:rFonts w:cs="Times New Roman"/>
              <w:color w:val="auto"/>
              <w:highlight w:val="none"/>
            </w:rPr>
            <w:fldChar w:fldCharType="end"/>
          </w:r>
        </w:p>
        <w:p w14:paraId="44B16B36">
          <w:pPr>
            <w:pStyle w:val="24"/>
            <w:tabs>
              <w:tab w:val="right" w:leader="dot" w:pos="8306"/>
            </w:tabs>
          </w:pPr>
          <w:r>
            <w:rPr>
              <w:rFonts w:cs="Times New Roman"/>
              <w:color w:val="auto"/>
              <w:highlight w:val="none"/>
            </w:rPr>
            <w:fldChar w:fldCharType="begin"/>
          </w:r>
          <w:r>
            <w:rPr>
              <w:rFonts w:cs="Times New Roman"/>
              <w:highlight w:val="none"/>
            </w:rPr>
            <w:instrText xml:space="preserve"> HYPERLINK \l _Toc4704 </w:instrText>
          </w:r>
          <w:r>
            <w:rPr>
              <w:rFonts w:cs="Times New Roman"/>
              <w:highlight w:val="none"/>
            </w:rPr>
            <w:fldChar w:fldCharType="separate"/>
          </w:r>
          <w:r>
            <w:rPr>
              <w:rFonts w:hint="eastAsia" w:hAnsi="宋体" w:cs="Times New Roman"/>
            </w:rPr>
            <w:t xml:space="preserve">五、 </w:t>
          </w:r>
          <w:r>
            <w:rPr>
              <w:rFonts w:hint="eastAsia"/>
              <w:highlight w:val="none"/>
            </w:rPr>
            <w:t>磋商无效的情形</w:t>
          </w:r>
          <w:r>
            <w:tab/>
          </w:r>
          <w:r>
            <w:fldChar w:fldCharType="begin"/>
          </w:r>
          <w:r>
            <w:instrText xml:space="preserve"> PAGEREF _Toc4704 \h </w:instrText>
          </w:r>
          <w:r>
            <w:fldChar w:fldCharType="separate"/>
          </w:r>
          <w:r>
            <w:t>21</w:t>
          </w:r>
          <w:r>
            <w:fldChar w:fldCharType="end"/>
          </w:r>
          <w:r>
            <w:rPr>
              <w:rFonts w:cs="Times New Roman"/>
              <w:color w:val="auto"/>
              <w:highlight w:val="none"/>
            </w:rPr>
            <w:fldChar w:fldCharType="end"/>
          </w:r>
        </w:p>
        <w:p w14:paraId="56D754B4">
          <w:pPr>
            <w:pStyle w:val="24"/>
            <w:tabs>
              <w:tab w:val="right" w:leader="dot" w:pos="8306"/>
            </w:tabs>
          </w:pPr>
          <w:r>
            <w:rPr>
              <w:rFonts w:cs="Times New Roman"/>
              <w:color w:val="auto"/>
              <w:highlight w:val="none"/>
            </w:rPr>
            <w:fldChar w:fldCharType="begin"/>
          </w:r>
          <w:r>
            <w:rPr>
              <w:rFonts w:cs="Times New Roman"/>
              <w:highlight w:val="none"/>
            </w:rPr>
            <w:instrText xml:space="preserve"> HYPERLINK \l _Toc21503 </w:instrText>
          </w:r>
          <w:r>
            <w:rPr>
              <w:rFonts w:cs="Times New Roman"/>
              <w:highlight w:val="none"/>
            </w:rPr>
            <w:fldChar w:fldCharType="separate"/>
          </w:r>
          <w:r>
            <w:rPr>
              <w:rFonts w:hint="eastAsia" w:cs="Times New Roman"/>
            </w:rPr>
            <w:t xml:space="preserve">六、 </w:t>
          </w:r>
          <w:r>
            <w:rPr>
              <w:rFonts w:hint="eastAsia"/>
              <w:highlight w:val="none"/>
            </w:rPr>
            <w:t>采购中止的情形</w:t>
          </w:r>
          <w:r>
            <w:tab/>
          </w:r>
          <w:r>
            <w:fldChar w:fldCharType="begin"/>
          </w:r>
          <w:r>
            <w:instrText xml:space="preserve"> PAGEREF _Toc21503 \h </w:instrText>
          </w:r>
          <w:r>
            <w:fldChar w:fldCharType="separate"/>
          </w:r>
          <w:r>
            <w:t>24</w:t>
          </w:r>
          <w:r>
            <w:fldChar w:fldCharType="end"/>
          </w:r>
          <w:r>
            <w:rPr>
              <w:rFonts w:cs="Times New Roman"/>
              <w:color w:val="auto"/>
              <w:highlight w:val="none"/>
            </w:rPr>
            <w:fldChar w:fldCharType="end"/>
          </w:r>
        </w:p>
        <w:p w14:paraId="72F343FA">
          <w:pPr>
            <w:pStyle w:val="24"/>
            <w:tabs>
              <w:tab w:val="right" w:leader="dot" w:pos="8306"/>
            </w:tabs>
          </w:pPr>
          <w:r>
            <w:rPr>
              <w:rFonts w:cs="Times New Roman"/>
              <w:color w:val="auto"/>
              <w:highlight w:val="none"/>
            </w:rPr>
            <w:fldChar w:fldCharType="begin"/>
          </w:r>
          <w:r>
            <w:rPr>
              <w:rFonts w:cs="Times New Roman"/>
              <w:highlight w:val="none"/>
            </w:rPr>
            <w:instrText xml:space="preserve"> HYPERLINK \l _Toc18364 </w:instrText>
          </w:r>
          <w:r>
            <w:rPr>
              <w:rFonts w:cs="Times New Roman"/>
              <w:highlight w:val="none"/>
            </w:rPr>
            <w:fldChar w:fldCharType="separate"/>
          </w:r>
          <w:r>
            <w:rPr>
              <w:rFonts w:hint="eastAsia"/>
            </w:rPr>
            <w:t xml:space="preserve">七、 </w:t>
          </w:r>
          <w:r>
            <w:rPr>
              <w:rFonts w:hint="eastAsia"/>
              <w:highlight w:val="none"/>
            </w:rPr>
            <w:t>询问、质疑与投诉</w:t>
          </w:r>
          <w:r>
            <w:tab/>
          </w:r>
          <w:r>
            <w:fldChar w:fldCharType="begin"/>
          </w:r>
          <w:r>
            <w:instrText xml:space="preserve"> PAGEREF _Toc18364 \h </w:instrText>
          </w:r>
          <w:r>
            <w:fldChar w:fldCharType="separate"/>
          </w:r>
          <w:r>
            <w:t>24</w:t>
          </w:r>
          <w:r>
            <w:fldChar w:fldCharType="end"/>
          </w:r>
          <w:r>
            <w:rPr>
              <w:rFonts w:cs="Times New Roman"/>
              <w:color w:val="auto"/>
              <w:highlight w:val="none"/>
            </w:rPr>
            <w:fldChar w:fldCharType="end"/>
          </w:r>
        </w:p>
        <w:p w14:paraId="7ED07BFC">
          <w:pPr>
            <w:pStyle w:val="24"/>
            <w:tabs>
              <w:tab w:val="right" w:leader="dot" w:pos="8306"/>
            </w:tabs>
          </w:pPr>
          <w:r>
            <w:rPr>
              <w:rFonts w:cs="Times New Roman"/>
              <w:color w:val="auto"/>
              <w:highlight w:val="none"/>
            </w:rPr>
            <w:fldChar w:fldCharType="begin"/>
          </w:r>
          <w:r>
            <w:rPr>
              <w:rFonts w:cs="Times New Roman"/>
              <w:highlight w:val="none"/>
            </w:rPr>
            <w:instrText xml:space="preserve"> HYPERLINK \l _Toc21666 </w:instrText>
          </w:r>
          <w:r>
            <w:rPr>
              <w:rFonts w:cs="Times New Roman"/>
              <w:highlight w:val="none"/>
            </w:rPr>
            <w:fldChar w:fldCharType="separate"/>
          </w:r>
          <w:r>
            <w:rPr>
              <w:rFonts w:hint="eastAsia" w:cs="Times New Roman"/>
            </w:rPr>
            <w:t xml:space="preserve">八、 </w:t>
          </w:r>
          <w:r>
            <w:rPr>
              <w:rFonts w:hint="eastAsia"/>
              <w:highlight w:val="none"/>
            </w:rPr>
            <w:t>确定成交供应商与签订合同</w:t>
          </w:r>
          <w:r>
            <w:tab/>
          </w:r>
          <w:r>
            <w:fldChar w:fldCharType="begin"/>
          </w:r>
          <w:r>
            <w:instrText xml:space="preserve"> PAGEREF _Toc21666 \h </w:instrText>
          </w:r>
          <w:r>
            <w:fldChar w:fldCharType="separate"/>
          </w:r>
          <w:r>
            <w:t>27</w:t>
          </w:r>
          <w:r>
            <w:fldChar w:fldCharType="end"/>
          </w:r>
          <w:r>
            <w:rPr>
              <w:rFonts w:cs="Times New Roman"/>
              <w:color w:val="auto"/>
              <w:highlight w:val="none"/>
            </w:rPr>
            <w:fldChar w:fldCharType="end"/>
          </w:r>
        </w:p>
        <w:p w14:paraId="151D1D81">
          <w:pPr>
            <w:pStyle w:val="21"/>
            <w:tabs>
              <w:tab w:val="right" w:leader="dot" w:pos="8306"/>
            </w:tabs>
          </w:pPr>
          <w:r>
            <w:rPr>
              <w:rFonts w:cs="Times New Roman"/>
              <w:color w:val="auto"/>
              <w:highlight w:val="none"/>
            </w:rPr>
            <w:fldChar w:fldCharType="begin"/>
          </w:r>
          <w:r>
            <w:rPr>
              <w:rFonts w:cs="Times New Roman"/>
              <w:highlight w:val="none"/>
            </w:rPr>
            <w:instrText xml:space="preserve"> HYPERLINK \l _Toc32714 </w:instrText>
          </w:r>
          <w:r>
            <w:rPr>
              <w:rFonts w:cs="Times New Roman"/>
              <w:highlight w:val="none"/>
            </w:rPr>
            <w:fldChar w:fldCharType="separate"/>
          </w:r>
          <w:r>
            <w:rPr>
              <w:rFonts w:hint="eastAsia"/>
              <w:szCs w:val="36"/>
              <w:highlight w:val="none"/>
            </w:rPr>
            <w:t xml:space="preserve">第三部分 </w:t>
          </w:r>
          <w:r>
            <w:rPr>
              <w:rFonts w:hint="eastAsia" w:cs="宋体"/>
              <w:szCs w:val="36"/>
              <w:highlight w:val="none"/>
            </w:rPr>
            <w:t>采购内容及要求</w:t>
          </w:r>
          <w:r>
            <w:tab/>
          </w:r>
          <w:r>
            <w:fldChar w:fldCharType="begin"/>
          </w:r>
          <w:r>
            <w:instrText xml:space="preserve"> PAGEREF _Toc32714 \h </w:instrText>
          </w:r>
          <w:r>
            <w:fldChar w:fldCharType="separate"/>
          </w:r>
          <w:r>
            <w:t>28</w:t>
          </w:r>
          <w:r>
            <w:fldChar w:fldCharType="end"/>
          </w:r>
          <w:r>
            <w:rPr>
              <w:rFonts w:cs="Times New Roman"/>
              <w:color w:val="auto"/>
              <w:highlight w:val="none"/>
            </w:rPr>
            <w:fldChar w:fldCharType="end"/>
          </w:r>
        </w:p>
        <w:p w14:paraId="20687F17">
          <w:pPr>
            <w:pStyle w:val="24"/>
            <w:tabs>
              <w:tab w:val="right" w:leader="dot" w:pos="8306"/>
            </w:tabs>
          </w:pPr>
          <w:r>
            <w:rPr>
              <w:rFonts w:cs="Times New Roman"/>
              <w:color w:val="auto"/>
              <w:highlight w:val="none"/>
            </w:rPr>
            <w:fldChar w:fldCharType="begin"/>
          </w:r>
          <w:r>
            <w:rPr>
              <w:rFonts w:cs="Times New Roman"/>
              <w:highlight w:val="none"/>
            </w:rPr>
            <w:instrText xml:space="preserve"> HYPERLINK \l _Toc10807 </w:instrText>
          </w:r>
          <w:r>
            <w:rPr>
              <w:rFonts w:cs="Times New Roman"/>
              <w:highlight w:val="none"/>
            </w:rPr>
            <w:fldChar w:fldCharType="separate"/>
          </w:r>
          <w:r>
            <w:rPr>
              <w:rFonts w:hint="eastAsia" w:hAnsi="宋体" w:cs="宋体"/>
              <w:szCs w:val="28"/>
              <w:highlight w:val="none"/>
              <w:lang w:val="en-US" w:eastAsia="zh-CN"/>
            </w:rPr>
            <w:t>第一章 总体要求</w:t>
          </w:r>
          <w:r>
            <w:tab/>
          </w:r>
          <w:r>
            <w:fldChar w:fldCharType="begin"/>
          </w:r>
          <w:r>
            <w:instrText xml:space="preserve"> PAGEREF _Toc10807 \h </w:instrText>
          </w:r>
          <w:r>
            <w:fldChar w:fldCharType="separate"/>
          </w:r>
          <w:r>
            <w:t>28</w:t>
          </w:r>
          <w:r>
            <w:fldChar w:fldCharType="end"/>
          </w:r>
          <w:r>
            <w:rPr>
              <w:rFonts w:cs="Times New Roman"/>
              <w:color w:val="auto"/>
              <w:highlight w:val="none"/>
            </w:rPr>
            <w:fldChar w:fldCharType="end"/>
          </w:r>
        </w:p>
        <w:p w14:paraId="48D2A7F3">
          <w:pPr>
            <w:pStyle w:val="24"/>
            <w:tabs>
              <w:tab w:val="right" w:leader="dot" w:pos="8306"/>
            </w:tabs>
          </w:pPr>
          <w:r>
            <w:rPr>
              <w:rFonts w:cs="Times New Roman"/>
              <w:color w:val="auto"/>
              <w:highlight w:val="none"/>
            </w:rPr>
            <w:fldChar w:fldCharType="begin"/>
          </w:r>
          <w:r>
            <w:rPr>
              <w:rFonts w:cs="Times New Roman"/>
              <w:highlight w:val="none"/>
            </w:rPr>
            <w:instrText xml:space="preserve"> HYPERLINK \l _Toc758 </w:instrText>
          </w:r>
          <w:r>
            <w:rPr>
              <w:rFonts w:cs="Times New Roman"/>
              <w:highlight w:val="none"/>
            </w:rPr>
            <w:fldChar w:fldCharType="separate"/>
          </w:r>
          <w:r>
            <w:rPr>
              <w:rFonts w:hint="eastAsia" w:hAnsi="宋体" w:cs="宋体"/>
              <w:szCs w:val="28"/>
              <w:highlight w:val="none"/>
              <w:lang w:val="en-US" w:eastAsia="zh-CN"/>
            </w:rPr>
            <w:t>第二章 付款方式及要求</w:t>
          </w:r>
          <w:r>
            <w:tab/>
          </w:r>
          <w:r>
            <w:fldChar w:fldCharType="begin"/>
          </w:r>
          <w:r>
            <w:instrText xml:space="preserve"> PAGEREF _Toc758 \h </w:instrText>
          </w:r>
          <w:r>
            <w:fldChar w:fldCharType="separate"/>
          </w:r>
          <w:r>
            <w:t>32</w:t>
          </w:r>
          <w:r>
            <w:fldChar w:fldCharType="end"/>
          </w:r>
          <w:r>
            <w:rPr>
              <w:rFonts w:cs="Times New Roman"/>
              <w:color w:val="auto"/>
              <w:highlight w:val="none"/>
            </w:rPr>
            <w:fldChar w:fldCharType="end"/>
          </w:r>
        </w:p>
        <w:p w14:paraId="196F90C2">
          <w:pPr>
            <w:pStyle w:val="24"/>
            <w:tabs>
              <w:tab w:val="right" w:leader="dot" w:pos="8306"/>
            </w:tabs>
          </w:pPr>
          <w:r>
            <w:rPr>
              <w:rFonts w:cs="Times New Roman"/>
              <w:color w:val="auto"/>
              <w:highlight w:val="none"/>
            </w:rPr>
            <w:fldChar w:fldCharType="begin"/>
          </w:r>
          <w:r>
            <w:rPr>
              <w:rFonts w:cs="Times New Roman"/>
              <w:highlight w:val="none"/>
            </w:rPr>
            <w:instrText xml:space="preserve"> HYPERLINK \l _Toc7572 </w:instrText>
          </w:r>
          <w:r>
            <w:rPr>
              <w:rFonts w:cs="Times New Roman"/>
              <w:highlight w:val="none"/>
            </w:rPr>
            <w:fldChar w:fldCharType="separate"/>
          </w:r>
          <w:r>
            <w:rPr>
              <w:rFonts w:hint="eastAsia" w:hAnsi="宋体" w:cs="宋体"/>
              <w:szCs w:val="28"/>
              <w:highlight w:val="none"/>
              <w:lang w:val="en-US" w:eastAsia="zh-CN"/>
            </w:rPr>
            <w:t>第三章 考核</w:t>
          </w:r>
          <w:r>
            <w:tab/>
          </w:r>
          <w:r>
            <w:fldChar w:fldCharType="begin"/>
          </w:r>
          <w:r>
            <w:instrText xml:space="preserve"> PAGEREF _Toc7572 \h </w:instrText>
          </w:r>
          <w:r>
            <w:fldChar w:fldCharType="separate"/>
          </w:r>
          <w:r>
            <w:t>33</w:t>
          </w:r>
          <w:r>
            <w:fldChar w:fldCharType="end"/>
          </w:r>
          <w:r>
            <w:rPr>
              <w:rFonts w:cs="Times New Roman"/>
              <w:color w:val="auto"/>
              <w:highlight w:val="none"/>
            </w:rPr>
            <w:fldChar w:fldCharType="end"/>
          </w:r>
        </w:p>
        <w:p w14:paraId="7BE70DDF">
          <w:pPr>
            <w:pStyle w:val="21"/>
            <w:tabs>
              <w:tab w:val="right" w:leader="dot" w:pos="8306"/>
            </w:tabs>
          </w:pPr>
          <w:r>
            <w:rPr>
              <w:rFonts w:cs="Times New Roman"/>
              <w:color w:val="auto"/>
              <w:highlight w:val="none"/>
            </w:rPr>
            <w:fldChar w:fldCharType="begin"/>
          </w:r>
          <w:r>
            <w:rPr>
              <w:rFonts w:cs="Times New Roman"/>
              <w:highlight w:val="none"/>
            </w:rPr>
            <w:instrText xml:space="preserve"> HYPERLINK \l _Toc6229 </w:instrText>
          </w:r>
          <w:r>
            <w:rPr>
              <w:rFonts w:cs="Times New Roman"/>
              <w:highlight w:val="none"/>
            </w:rPr>
            <w:fldChar w:fldCharType="separate"/>
          </w:r>
          <w:r>
            <w:rPr>
              <w:rFonts w:hint="eastAsia" w:cs="宋体"/>
              <w:szCs w:val="36"/>
              <w:highlight w:val="none"/>
            </w:rPr>
            <w:t>第四部分 磋商原则及磋商方法</w:t>
          </w:r>
          <w:r>
            <w:tab/>
          </w:r>
          <w:r>
            <w:fldChar w:fldCharType="begin"/>
          </w:r>
          <w:r>
            <w:instrText xml:space="preserve"> PAGEREF _Toc6229 \h </w:instrText>
          </w:r>
          <w:r>
            <w:fldChar w:fldCharType="separate"/>
          </w:r>
          <w:r>
            <w:t>36</w:t>
          </w:r>
          <w:r>
            <w:fldChar w:fldCharType="end"/>
          </w:r>
          <w:r>
            <w:rPr>
              <w:rFonts w:cs="Times New Roman"/>
              <w:color w:val="auto"/>
              <w:highlight w:val="none"/>
            </w:rPr>
            <w:fldChar w:fldCharType="end"/>
          </w:r>
        </w:p>
        <w:p w14:paraId="31C89253">
          <w:pPr>
            <w:pStyle w:val="24"/>
            <w:tabs>
              <w:tab w:val="right" w:leader="dot" w:pos="8306"/>
            </w:tabs>
          </w:pPr>
          <w:r>
            <w:rPr>
              <w:rFonts w:cs="Times New Roman"/>
              <w:color w:val="auto"/>
              <w:highlight w:val="none"/>
            </w:rPr>
            <w:fldChar w:fldCharType="begin"/>
          </w:r>
          <w:r>
            <w:rPr>
              <w:rFonts w:cs="Times New Roman"/>
              <w:highlight w:val="none"/>
            </w:rPr>
            <w:instrText xml:space="preserve"> HYPERLINK \l _Toc23731 </w:instrText>
          </w:r>
          <w:r>
            <w:rPr>
              <w:rFonts w:cs="Times New Roman"/>
              <w:highlight w:val="none"/>
            </w:rPr>
            <w:fldChar w:fldCharType="separate"/>
          </w:r>
          <w:r>
            <w:rPr>
              <w:rFonts w:hint="eastAsia" w:cs="Times New Roman"/>
            </w:rPr>
            <w:t xml:space="preserve">一、 </w:t>
          </w:r>
          <w:r>
            <w:rPr>
              <w:rFonts w:hint="eastAsia"/>
              <w:highlight w:val="none"/>
            </w:rPr>
            <w:t>磋商原则</w:t>
          </w:r>
          <w:r>
            <w:tab/>
          </w:r>
          <w:r>
            <w:fldChar w:fldCharType="begin"/>
          </w:r>
          <w:r>
            <w:instrText xml:space="preserve"> PAGEREF _Toc23731 \h </w:instrText>
          </w:r>
          <w:r>
            <w:fldChar w:fldCharType="separate"/>
          </w:r>
          <w:r>
            <w:t>36</w:t>
          </w:r>
          <w:r>
            <w:fldChar w:fldCharType="end"/>
          </w:r>
          <w:r>
            <w:rPr>
              <w:rFonts w:cs="Times New Roman"/>
              <w:color w:val="auto"/>
              <w:highlight w:val="none"/>
            </w:rPr>
            <w:fldChar w:fldCharType="end"/>
          </w:r>
        </w:p>
        <w:p w14:paraId="416ABE24">
          <w:pPr>
            <w:pStyle w:val="24"/>
            <w:tabs>
              <w:tab w:val="right" w:leader="dot" w:pos="8306"/>
            </w:tabs>
          </w:pPr>
          <w:r>
            <w:rPr>
              <w:rFonts w:cs="Times New Roman"/>
              <w:color w:val="auto"/>
              <w:highlight w:val="none"/>
            </w:rPr>
            <w:fldChar w:fldCharType="begin"/>
          </w:r>
          <w:r>
            <w:rPr>
              <w:rFonts w:cs="Times New Roman"/>
              <w:highlight w:val="none"/>
            </w:rPr>
            <w:instrText xml:space="preserve"> HYPERLINK \l _Toc29798 </w:instrText>
          </w:r>
          <w:r>
            <w:rPr>
              <w:rFonts w:cs="Times New Roman"/>
              <w:highlight w:val="none"/>
            </w:rPr>
            <w:fldChar w:fldCharType="separate"/>
          </w:r>
          <w:r>
            <w:rPr>
              <w:rFonts w:hint="eastAsia" w:cs="Times New Roman"/>
            </w:rPr>
            <w:t xml:space="preserve">二、 </w:t>
          </w:r>
          <w:r>
            <w:rPr>
              <w:rFonts w:hint="eastAsia"/>
              <w:highlight w:val="none"/>
            </w:rPr>
            <w:t>磋商程序</w:t>
          </w:r>
          <w:r>
            <w:tab/>
          </w:r>
          <w:r>
            <w:fldChar w:fldCharType="begin"/>
          </w:r>
          <w:r>
            <w:instrText xml:space="preserve"> PAGEREF _Toc29798 \h </w:instrText>
          </w:r>
          <w:r>
            <w:fldChar w:fldCharType="separate"/>
          </w:r>
          <w:r>
            <w:t>37</w:t>
          </w:r>
          <w:r>
            <w:fldChar w:fldCharType="end"/>
          </w:r>
          <w:r>
            <w:rPr>
              <w:rFonts w:cs="Times New Roman"/>
              <w:color w:val="auto"/>
              <w:highlight w:val="none"/>
            </w:rPr>
            <w:fldChar w:fldCharType="end"/>
          </w:r>
        </w:p>
        <w:p w14:paraId="3FDE9832">
          <w:pPr>
            <w:pStyle w:val="24"/>
            <w:tabs>
              <w:tab w:val="right" w:leader="dot" w:pos="8306"/>
            </w:tabs>
          </w:pPr>
          <w:r>
            <w:rPr>
              <w:rFonts w:cs="Times New Roman"/>
              <w:color w:val="auto"/>
              <w:highlight w:val="none"/>
            </w:rPr>
            <w:fldChar w:fldCharType="begin"/>
          </w:r>
          <w:r>
            <w:rPr>
              <w:rFonts w:cs="Times New Roman"/>
              <w:highlight w:val="none"/>
            </w:rPr>
            <w:instrText xml:space="preserve"> HYPERLINK \l _Toc14037 </w:instrText>
          </w:r>
          <w:r>
            <w:rPr>
              <w:rFonts w:cs="Times New Roman"/>
              <w:highlight w:val="none"/>
            </w:rPr>
            <w:fldChar w:fldCharType="separate"/>
          </w:r>
          <w:r>
            <w:rPr>
              <w:rFonts w:hint="eastAsia" w:cs="Times New Roman"/>
            </w:rPr>
            <w:t xml:space="preserve">三、 </w:t>
          </w:r>
          <w:r>
            <w:rPr>
              <w:rFonts w:hint="eastAsia"/>
              <w:highlight w:val="none"/>
            </w:rPr>
            <w:t>注意事项</w:t>
          </w:r>
          <w:r>
            <w:tab/>
          </w:r>
          <w:r>
            <w:fldChar w:fldCharType="begin"/>
          </w:r>
          <w:r>
            <w:instrText xml:space="preserve"> PAGEREF _Toc14037 \h </w:instrText>
          </w:r>
          <w:r>
            <w:fldChar w:fldCharType="separate"/>
          </w:r>
          <w:r>
            <w:t>40</w:t>
          </w:r>
          <w:r>
            <w:fldChar w:fldCharType="end"/>
          </w:r>
          <w:r>
            <w:rPr>
              <w:rFonts w:cs="Times New Roman"/>
              <w:color w:val="auto"/>
              <w:highlight w:val="none"/>
            </w:rPr>
            <w:fldChar w:fldCharType="end"/>
          </w:r>
        </w:p>
        <w:p w14:paraId="255D0562">
          <w:pPr>
            <w:pStyle w:val="24"/>
            <w:tabs>
              <w:tab w:val="right" w:leader="dot" w:pos="8306"/>
            </w:tabs>
          </w:pPr>
          <w:r>
            <w:rPr>
              <w:rFonts w:cs="Times New Roman"/>
              <w:color w:val="auto"/>
              <w:highlight w:val="none"/>
            </w:rPr>
            <w:fldChar w:fldCharType="begin"/>
          </w:r>
          <w:r>
            <w:rPr>
              <w:rFonts w:cs="Times New Roman"/>
              <w:highlight w:val="none"/>
            </w:rPr>
            <w:instrText xml:space="preserve"> HYPERLINK \l _Toc27425 </w:instrText>
          </w:r>
          <w:r>
            <w:rPr>
              <w:rFonts w:cs="Times New Roman"/>
              <w:highlight w:val="none"/>
            </w:rPr>
            <w:fldChar w:fldCharType="separate"/>
          </w:r>
          <w:r>
            <w:rPr>
              <w:rFonts w:hint="eastAsia" w:cs="Times New Roman"/>
            </w:rPr>
            <w:t xml:space="preserve">四、 </w:t>
          </w:r>
          <w:r>
            <w:rPr>
              <w:rFonts w:hint="eastAsia"/>
              <w:highlight w:val="none"/>
            </w:rPr>
            <w:t>评分细则</w:t>
          </w:r>
          <w:r>
            <w:tab/>
          </w:r>
          <w:r>
            <w:fldChar w:fldCharType="begin"/>
          </w:r>
          <w:r>
            <w:instrText xml:space="preserve"> PAGEREF _Toc27425 \h </w:instrText>
          </w:r>
          <w:r>
            <w:fldChar w:fldCharType="separate"/>
          </w:r>
          <w:r>
            <w:t>41</w:t>
          </w:r>
          <w:r>
            <w:fldChar w:fldCharType="end"/>
          </w:r>
          <w:r>
            <w:rPr>
              <w:rFonts w:cs="Times New Roman"/>
              <w:color w:val="auto"/>
              <w:highlight w:val="none"/>
            </w:rPr>
            <w:fldChar w:fldCharType="end"/>
          </w:r>
        </w:p>
        <w:p w14:paraId="70A464D5">
          <w:pPr>
            <w:pStyle w:val="21"/>
            <w:tabs>
              <w:tab w:val="right" w:leader="dot" w:pos="8306"/>
            </w:tabs>
          </w:pPr>
          <w:r>
            <w:rPr>
              <w:rFonts w:cs="Times New Roman"/>
              <w:color w:val="auto"/>
              <w:highlight w:val="none"/>
            </w:rPr>
            <w:fldChar w:fldCharType="begin"/>
          </w:r>
          <w:r>
            <w:rPr>
              <w:rFonts w:cs="Times New Roman"/>
              <w:highlight w:val="none"/>
            </w:rPr>
            <w:instrText xml:space="preserve"> HYPERLINK \l _Toc21224 </w:instrText>
          </w:r>
          <w:r>
            <w:rPr>
              <w:rFonts w:cs="Times New Roman"/>
              <w:highlight w:val="none"/>
            </w:rPr>
            <w:fldChar w:fldCharType="separate"/>
          </w:r>
          <w:r>
            <w:rPr>
              <w:rFonts w:hint="eastAsia" w:cs="宋体"/>
              <w:szCs w:val="36"/>
              <w:highlight w:val="none"/>
            </w:rPr>
            <w:t>第五部分</w:t>
          </w:r>
          <w:r>
            <w:rPr>
              <w:rFonts w:hint="eastAsia" w:cs="宋体"/>
              <w:szCs w:val="36"/>
              <w:highlight w:val="none"/>
              <w:lang w:val="en-US" w:eastAsia="zh-CN"/>
            </w:rPr>
            <w:t xml:space="preserve"> </w:t>
          </w:r>
          <w:r>
            <w:rPr>
              <w:rFonts w:hint="eastAsia" w:cs="宋体"/>
              <w:szCs w:val="36"/>
              <w:highlight w:val="none"/>
            </w:rPr>
            <w:t>采购合同</w:t>
          </w:r>
          <w:r>
            <w:tab/>
          </w:r>
          <w:r>
            <w:fldChar w:fldCharType="begin"/>
          </w:r>
          <w:r>
            <w:instrText xml:space="preserve"> PAGEREF _Toc21224 \h </w:instrText>
          </w:r>
          <w:r>
            <w:fldChar w:fldCharType="separate"/>
          </w:r>
          <w:r>
            <w:t>46</w:t>
          </w:r>
          <w:r>
            <w:fldChar w:fldCharType="end"/>
          </w:r>
          <w:r>
            <w:rPr>
              <w:rFonts w:cs="Times New Roman"/>
              <w:color w:val="auto"/>
              <w:highlight w:val="none"/>
            </w:rPr>
            <w:fldChar w:fldCharType="end"/>
          </w:r>
        </w:p>
        <w:p w14:paraId="72E0A284">
          <w:pPr>
            <w:pStyle w:val="21"/>
            <w:tabs>
              <w:tab w:val="right" w:leader="dot" w:pos="8306"/>
            </w:tabs>
          </w:pPr>
          <w:r>
            <w:rPr>
              <w:rFonts w:cs="Times New Roman"/>
              <w:color w:val="auto"/>
              <w:highlight w:val="none"/>
            </w:rPr>
            <w:fldChar w:fldCharType="begin"/>
          </w:r>
          <w:r>
            <w:rPr>
              <w:rFonts w:cs="Times New Roman"/>
              <w:highlight w:val="none"/>
            </w:rPr>
            <w:instrText xml:space="preserve"> HYPERLINK \l _Toc26435 </w:instrText>
          </w:r>
          <w:r>
            <w:rPr>
              <w:rFonts w:cs="Times New Roman"/>
              <w:highlight w:val="none"/>
            </w:rPr>
            <w:fldChar w:fldCharType="separate"/>
          </w:r>
          <w:r>
            <w:rPr>
              <w:rFonts w:hint="eastAsia" w:cs="宋体"/>
              <w:szCs w:val="36"/>
              <w:highlight w:val="none"/>
            </w:rPr>
            <w:t>第六部分</w:t>
          </w:r>
          <w:r>
            <w:rPr>
              <w:szCs w:val="36"/>
              <w:highlight w:val="none"/>
            </w:rPr>
            <w:t xml:space="preserve"> </w:t>
          </w:r>
          <w:r>
            <w:rPr>
              <w:rFonts w:hint="eastAsia" w:cs="宋体"/>
              <w:szCs w:val="36"/>
              <w:highlight w:val="none"/>
            </w:rPr>
            <w:t>应提交的有关格式范例</w:t>
          </w:r>
          <w:r>
            <w:tab/>
          </w:r>
          <w:r>
            <w:fldChar w:fldCharType="begin"/>
          </w:r>
          <w:r>
            <w:instrText xml:space="preserve"> PAGEREF _Toc26435 \h </w:instrText>
          </w:r>
          <w:r>
            <w:fldChar w:fldCharType="separate"/>
          </w:r>
          <w:r>
            <w:t>60</w:t>
          </w:r>
          <w:r>
            <w:fldChar w:fldCharType="end"/>
          </w:r>
          <w:r>
            <w:rPr>
              <w:rFonts w:cs="Times New Roman"/>
              <w:color w:val="auto"/>
              <w:highlight w:val="none"/>
            </w:rPr>
            <w:fldChar w:fldCharType="end"/>
          </w:r>
        </w:p>
        <w:p w14:paraId="4F040752">
          <w:pPr>
            <w:pStyle w:val="3"/>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rFonts w:cs="Times New Roman"/>
              <w:color w:val="auto"/>
              <w:highlight w:val="none"/>
            </w:rPr>
          </w:pPr>
          <w:r>
            <w:rPr>
              <w:rFonts w:cs="Times New Roman"/>
              <w:b/>
              <w:color w:val="auto"/>
              <w:highlight w:val="none"/>
            </w:rPr>
            <w:fldChar w:fldCharType="end"/>
          </w:r>
        </w:p>
      </w:sdtContent>
    </w:sdt>
    <w:p w14:paraId="784779E3">
      <w:pPr>
        <w:keepLines w:val="0"/>
        <w:pageBreakBefore w:val="0"/>
        <w:kinsoku/>
        <w:wordWrap/>
        <w:overflowPunct/>
        <w:topLinePunct w:val="0"/>
        <w:autoSpaceDE/>
        <w:autoSpaceDN/>
        <w:bidi w:val="0"/>
        <w:adjustRightInd/>
        <w:snapToGrid/>
        <w:spacing w:line="360" w:lineRule="auto"/>
        <w:textAlignment w:val="auto"/>
        <w:rPr>
          <w:color w:val="auto"/>
          <w:highlight w:val="none"/>
        </w:rPr>
      </w:pPr>
    </w:p>
    <w:p w14:paraId="24BB44FD">
      <w:pPr>
        <w:keepLines w:val="0"/>
        <w:pageBreakBefore w:val="0"/>
        <w:kinsoku/>
        <w:wordWrap/>
        <w:overflowPunct/>
        <w:topLinePunct w:val="0"/>
        <w:autoSpaceDE/>
        <w:autoSpaceDN/>
        <w:bidi w:val="0"/>
        <w:adjustRightInd/>
        <w:snapToGrid/>
        <w:spacing w:line="360" w:lineRule="auto"/>
        <w:textAlignment w:val="auto"/>
        <w:rPr>
          <w:color w:val="auto"/>
          <w:highlight w:val="none"/>
        </w:rPr>
      </w:pPr>
    </w:p>
    <w:p w14:paraId="55BFDFD3">
      <w:pPr>
        <w:keepLines w:val="0"/>
        <w:pageBreakBefore w:val="0"/>
        <w:kinsoku/>
        <w:wordWrap/>
        <w:overflowPunct/>
        <w:topLinePunct w:val="0"/>
        <w:autoSpaceDE/>
        <w:autoSpaceDN/>
        <w:bidi w:val="0"/>
        <w:adjustRightInd/>
        <w:snapToGrid/>
        <w:spacing w:line="360" w:lineRule="auto"/>
        <w:textAlignment w:val="auto"/>
        <w:rPr>
          <w:color w:val="auto"/>
          <w:highlight w:val="none"/>
        </w:rPr>
      </w:pPr>
    </w:p>
    <w:p w14:paraId="009ED811">
      <w:pPr>
        <w:rPr>
          <w:color w:val="auto"/>
          <w:highlight w:val="none"/>
        </w:rPr>
      </w:pPr>
    </w:p>
    <w:p w14:paraId="0EB8DB06">
      <w:pPr>
        <w:tabs>
          <w:tab w:val="left" w:pos="3148"/>
        </w:tabs>
        <w:jc w:val="left"/>
        <w:rPr>
          <w:color w:val="auto"/>
          <w:highlight w:val="none"/>
        </w:rPr>
        <w:sectPr>
          <w:footerReference r:id="rId4" w:type="default"/>
          <w:pgSz w:w="11906" w:h="16838"/>
          <w:pgMar w:top="1440" w:right="1800" w:bottom="1440" w:left="1800" w:header="851" w:footer="992" w:gutter="0"/>
          <w:pgNumType w:fmt="decimal"/>
          <w:cols w:space="425" w:num="1"/>
          <w:docGrid w:type="lines" w:linePitch="312" w:charSpace="0"/>
        </w:sectPr>
      </w:pPr>
    </w:p>
    <w:p w14:paraId="52664583">
      <w:pPr>
        <w:pStyle w:val="2"/>
        <w:jc w:val="center"/>
        <w:rPr>
          <w:rFonts w:ascii="宋体" w:cs="Times New Roman"/>
          <w:color w:val="auto"/>
          <w:highlight w:val="none"/>
        </w:rPr>
      </w:pPr>
      <w:bookmarkStart w:id="1" w:name="_Toc7788"/>
      <w:bookmarkStart w:id="2" w:name="_Toc28771"/>
      <w:bookmarkStart w:id="3" w:name="_Toc32199"/>
      <w:bookmarkStart w:id="4" w:name="_Toc13178"/>
      <w:bookmarkStart w:id="5" w:name="_Toc9291"/>
      <w:bookmarkStart w:id="6" w:name="_Toc31034"/>
      <w:bookmarkStart w:id="7" w:name="第二部分"/>
      <w:bookmarkStart w:id="8" w:name="_Toc91899870"/>
      <w:r>
        <w:rPr>
          <w:rFonts w:hint="eastAsia" w:cs="宋体"/>
          <w:color w:val="auto"/>
          <w:sz w:val="36"/>
          <w:szCs w:val="36"/>
          <w:highlight w:val="none"/>
        </w:rPr>
        <w:t>第一部分</w:t>
      </w:r>
      <w:r>
        <w:rPr>
          <w:color w:val="auto"/>
          <w:sz w:val="36"/>
          <w:szCs w:val="36"/>
          <w:highlight w:val="none"/>
        </w:rPr>
        <w:t xml:space="preserve"> </w:t>
      </w:r>
      <w:r>
        <w:rPr>
          <w:rFonts w:hint="eastAsia" w:cs="宋体"/>
          <w:color w:val="auto"/>
          <w:sz w:val="36"/>
          <w:szCs w:val="36"/>
          <w:highlight w:val="none"/>
        </w:rPr>
        <w:t>磋商公告</w:t>
      </w:r>
      <w:bookmarkEnd w:id="1"/>
      <w:bookmarkEnd w:id="2"/>
      <w:bookmarkEnd w:id="3"/>
      <w:bookmarkEnd w:id="4"/>
      <w:bookmarkEnd w:id="5"/>
      <w:bookmarkEnd w:id="6"/>
    </w:p>
    <w:p w14:paraId="785A6441">
      <w:pPr>
        <w:adjustRightInd w:val="0"/>
        <w:spacing w:line="360" w:lineRule="auto"/>
        <w:jc w:val="center"/>
        <w:rPr>
          <w:rFonts w:ascii="宋体"/>
          <w:color w:val="auto"/>
          <w:sz w:val="28"/>
          <w:szCs w:val="28"/>
          <w:highlight w:val="none"/>
        </w:rPr>
      </w:pPr>
      <w:r>
        <w:rPr>
          <w:rFonts w:hint="eastAsia" w:ascii="宋体" w:hAnsi="宋体" w:cs="宋体"/>
          <w:color w:val="auto"/>
          <w:sz w:val="28"/>
          <w:szCs w:val="28"/>
          <w:highlight w:val="none"/>
          <w:lang w:eastAsia="zh-CN"/>
        </w:rPr>
        <w:t>绍兴成言工程咨询管理有限公司关于绍兴市上虞区应急管理局绍兴市上虞区应急管理局2026年度食堂劳务外包服务项目的竞争</w:t>
      </w:r>
      <w:r>
        <w:rPr>
          <w:rFonts w:hint="eastAsia" w:ascii="宋体" w:hAnsi="宋体" w:cs="宋体"/>
          <w:color w:val="auto"/>
          <w:sz w:val="28"/>
          <w:szCs w:val="28"/>
          <w:highlight w:val="none"/>
        </w:rPr>
        <w:t>性磋商公告</w:t>
      </w:r>
    </w:p>
    <w:p w14:paraId="63006F69">
      <w:pPr>
        <w:adjustRightInd w:val="0"/>
        <w:spacing w:line="360" w:lineRule="auto"/>
        <w:jc w:val="center"/>
        <w:rPr>
          <w:rFonts w:ascii="宋体"/>
          <w:color w:val="auto"/>
          <w:sz w:val="28"/>
          <w:szCs w:val="28"/>
          <w:highlight w:val="none"/>
        </w:rPr>
      </w:pPr>
      <w:r>
        <w:rPr>
          <w:rFonts w:hint="eastAsia" w:ascii="宋体" w:hAnsi="宋体" w:cs="宋体"/>
          <w:color w:val="auto"/>
          <w:sz w:val="28"/>
          <w:szCs w:val="28"/>
          <w:highlight w:val="none"/>
        </w:rPr>
        <w:t>公告日期：</w:t>
      </w:r>
      <w:r>
        <w:rPr>
          <w:rFonts w:hint="eastAsia" w:ascii="宋体" w:hAnsi="宋体" w:cs="宋体"/>
          <w:color w:val="auto"/>
          <w:sz w:val="28"/>
          <w:szCs w:val="28"/>
          <w:highlight w:val="none"/>
          <w:lang w:eastAsia="zh-CN"/>
        </w:rPr>
        <w:t>202</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月</w:t>
      </w:r>
      <w:bookmarkStart w:id="195" w:name="_GoBack"/>
      <w:r>
        <w:rPr>
          <w:rFonts w:hint="eastAsia" w:ascii="宋体" w:hAnsi="宋体" w:cs="宋体"/>
          <w:color w:val="auto"/>
          <w:sz w:val="28"/>
          <w:szCs w:val="28"/>
          <w:highlight w:val="none"/>
          <w:lang w:val="en-US" w:eastAsia="zh-CN"/>
        </w:rPr>
        <w:t>8</w:t>
      </w:r>
      <w:bookmarkEnd w:id="195"/>
      <w:r>
        <w:rPr>
          <w:rFonts w:hint="eastAsia" w:ascii="宋体" w:hAnsi="宋体" w:cs="宋体"/>
          <w:color w:val="auto"/>
          <w:sz w:val="28"/>
          <w:szCs w:val="28"/>
          <w:highlight w:val="none"/>
        </w:rPr>
        <w:t>日</w:t>
      </w:r>
    </w:p>
    <w:p w14:paraId="3CEEDD27">
      <w:pPr>
        <w:adjustRightInd w:val="0"/>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根据《中华人民共和国政府采购法》等有关规定，</w:t>
      </w:r>
      <w:r>
        <w:rPr>
          <w:rFonts w:hint="eastAsia" w:ascii="宋体" w:hAnsi="宋体" w:cs="宋体"/>
          <w:color w:val="auto"/>
          <w:sz w:val="24"/>
          <w:szCs w:val="24"/>
          <w:highlight w:val="none"/>
          <w:u w:val="single"/>
          <w:lang w:eastAsia="zh-CN"/>
        </w:rPr>
        <w:t>绍兴成言工程咨询管理有限公司</w:t>
      </w:r>
      <w:r>
        <w:rPr>
          <w:rFonts w:hint="eastAsia" w:ascii="宋体" w:hAnsi="宋体" w:cs="宋体"/>
          <w:color w:val="auto"/>
          <w:sz w:val="24"/>
          <w:szCs w:val="24"/>
          <w:highlight w:val="none"/>
        </w:rPr>
        <w:t>受</w:t>
      </w:r>
      <w:r>
        <w:rPr>
          <w:rFonts w:hint="eastAsia" w:ascii="宋体" w:hAnsi="宋体" w:cs="宋体"/>
          <w:color w:val="auto"/>
          <w:sz w:val="24"/>
          <w:szCs w:val="24"/>
          <w:highlight w:val="none"/>
          <w:u w:val="single"/>
          <w:lang w:eastAsia="zh-CN"/>
        </w:rPr>
        <w:t>绍兴市上虞区应急管理局</w:t>
      </w:r>
      <w:r>
        <w:rPr>
          <w:rFonts w:hint="eastAsia" w:ascii="宋体" w:hAnsi="宋体" w:cs="宋体"/>
          <w:color w:val="auto"/>
          <w:sz w:val="24"/>
          <w:szCs w:val="24"/>
          <w:highlight w:val="none"/>
        </w:rPr>
        <w:t>委托，现就</w:t>
      </w:r>
      <w:r>
        <w:rPr>
          <w:rFonts w:hint="eastAsia" w:ascii="宋体" w:hAnsi="宋体" w:cs="宋体"/>
          <w:color w:val="auto"/>
          <w:sz w:val="24"/>
          <w:szCs w:val="24"/>
          <w:highlight w:val="none"/>
          <w:u w:val="single"/>
          <w:lang w:eastAsia="zh-CN"/>
        </w:rPr>
        <w:t>绍兴市上虞区应急管理局2026年度食堂劳务外包服务项目</w:t>
      </w:r>
      <w:r>
        <w:rPr>
          <w:rFonts w:hint="eastAsia" w:ascii="宋体" w:hAnsi="宋体" w:cs="宋体"/>
          <w:color w:val="auto"/>
          <w:sz w:val="24"/>
          <w:szCs w:val="24"/>
          <w:highlight w:val="none"/>
        </w:rPr>
        <w:t>进行竞争性磋商采购，欢迎国内合格的供应商参加本次采购活动。</w:t>
      </w:r>
    </w:p>
    <w:p w14:paraId="404959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rPr>
      </w:pPr>
      <w:bookmarkStart w:id="9" w:name="_Toc13882"/>
      <w:bookmarkStart w:id="10" w:name="_Toc1362"/>
      <w:r>
        <w:rPr>
          <w:rFonts w:hint="eastAsia" w:ascii="宋体" w:hAnsi="宋体" w:eastAsia="宋体" w:cs="宋体"/>
          <w:sz w:val="24"/>
          <w:szCs w:val="24"/>
          <w:lang w:eastAsia="zh-CN"/>
        </w:rPr>
        <w:t>一、</w:t>
      </w:r>
      <w:r>
        <w:rPr>
          <w:rFonts w:hint="eastAsia" w:ascii="宋体" w:hAnsi="宋体" w:eastAsia="宋体" w:cs="宋体"/>
          <w:sz w:val="24"/>
          <w:szCs w:val="24"/>
        </w:rPr>
        <w:t>磋商项目编号：</w:t>
      </w:r>
      <w:bookmarkEnd w:id="9"/>
      <w:bookmarkEnd w:id="10"/>
      <w:r>
        <w:rPr>
          <w:rFonts w:hint="eastAsia" w:ascii="宋体" w:hAnsi="宋体" w:cs="宋体"/>
          <w:sz w:val="24"/>
          <w:szCs w:val="24"/>
          <w:u w:val="single"/>
          <w:lang w:eastAsia="zh-CN"/>
        </w:rPr>
        <w:t>CY202600</w:t>
      </w:r>
      <w:r>
        <w:rPr>
          <w:rFonts w:hint="eastAsia" w:ascii="宋体" w:hAnsi="宋体" w:cs="宋体"/>
          <w:sz w:val="24"/>
          <w:szCs w:val="24"/>
          <w:u w:val="single"/>
          <w:lang w:val="en-US" w:eastAsia="zh-CN"/>
        </w:rPr>
        <w:t>3</w:t>
      </w:r>
    </w:p>
    <w:p w14:paraId="13F5EF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二、</w:t>
      </w:r>
      <w:r>
        <w:rPr>
          <w:rFonts w:hint="eastAsia" w:ascii="宋体" w:hAnsi="宋体" w:eastAsia="宋体" w:cs="宋体"/>
          <w:sz w:val="24"/>
          <w:szCs w:val="24"/>
        </w:rPr>
        <w:t>采购组织类型：</w:t>
      </w:r>
      <w:r>
        <w:rPr>
          <w:rFonts w:hint="eastAsia" w:ascii="宋体" w:hAnsi="宋体" w:eastAsia="宋体" w:cs="宋体"/>
          <w:sz w:val="24"/>
          <w:szCs w:val="24"/>
          <w:u w:val="single"/>
        </w:rPr>
        <w:t>分散采购（中介代理）</w:t>
      </w:r>
      <w:r>
        <w:rPr>
          <w:rFonts w:hint="eastAsia" w:ascii="宋体" w:hAnsi="宋体" w:eastAsia="宋体" w:cs="宋体"/>
          <w:sz w:val="24"/>
          <w:szCs w:val="24"/>
        </w:rPr>
        <w:t xml:space="preserve">  </w:t>
      </w:r>
    </w:p>
    <w:p w14:paraId="0E9179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cs="宋体"/>
          <w:sz w:val="24"/>
          <w:szCs w:val="24"/>
          <w:lang w:eastAsia="zh-CN"/>
        </w:rPr>
        <w:t>、</w:t>
      </w:r>
      <w:r>
        <w:rPr>
          <w:rFonts w:hint="eastAsia" w:ascii="宋体" w:hAnsi="宋体" w:eastAsia="宋体" w:cs="宋体"/>
          <w:sz w:val="24"/>
          <w:szCs w:val="24"/>
        </w:rPr>
        <w:t>磋商项目概况:</w:t>
      </w:r>
    </w:p>
    <w:tbl>
      <w:tblPr>
        <w:tblStyle w:val="28"/>
        <w:tblW w:w="9706" w:type="dxa"/>
        <w:jc w:val="center"/>
        <w:tblBorders>
          <w:top w:val="single" w:color="000000" w:sz="4" w:space="0"/>
          <w:left w:val="single" w:color="000000" w:sz="4" w:space="0"/>
          <w:bottom w:val="single" w:color="000000" w:sz="4" w:space="0"/>
          <w:right w:val="single" w:color="000000" w:sz="4" w:space="0"/>
          <w:insideH w:val="single" w:color="A6A6A6" w:sz="4" w:space="0"/>
          <w:insideV w:val="single" w:color="A6A6A6" w:sz="4" w:space="0"/>
        </w:tblBorders>
        <w:tblLayout w:type="fixed"/>
        <w:tblCellMar>
          <w:top w:w="0" w:type="dxa"/>
          <w:left w:w="108" w:type="dxa"/>
          <w:bottom w:w="0" w:type="dxa"/>
          <w:right w:w="108" w:type="dxa"/>
        </w:tblCellMar>
      </w:tblPr>
      <w:tblGrid>
        <w:gridCol w:w="558"/>
        <w:gridCol w:w="1715"/>
        <w:gridCol w:w="720"/>
        <w:gridCol w:w="825"/>
        <w:gridCol w:w="1260"/>
        <w:gridCol w:w="2738"/>
        <w:gridCol w:w="1423"/>
        <w:gridCol w:w="467"/>
      </w:tblGrid>
      <w:tr w14:paraId="1F9D694A">
        <w:tblPrEx>
          <w:tblBorders>
            <w:top w:val="single" w:color="000000" w:sz="4" w:space="0"/>
            <w:left w:val="single" w:color="000000" w:sz="4" w:space="0"/>
            <w:bottom w:val="single" w:color="000000" w:sz="4" w:space="0"/>
            <w:right w:val="single" w:color="000000" w:sz="4" w:space="0"/>
            <w:insideH w:val="single" w:color="A6A6A6" w:sz="4" w:space="0"/>
            <w:insideV w:val="single" w:color="A6A6A6" w:sz="4" w:space="0"/>
          </w:tblBorders>
          <w:tblCellMar>
            <w:top w:w="0" w:type="dxa"/>
            <w:left w:w="108" w:type="dxa"/>
            <w:bottom w:w="0" w:type="dxa"/>
            <w:right w:w="108" w:type="dxa"/>
          </w:tblCellMar>
        </w:tblPrEx>
        <w:trPr>
          <w:trHeight w:val="977" w:hRule="atLeast"/>
          <w:jc w:val="center"/>
        </w:trPr>
        <w:tc>
          <w:tcPr>
            <w:tcW w:w="558" w:type="dxa"/>
            <w:tcBorders>
              <w:top w:val="single" w:color="000000" w:sz="4" w:space="0"/>
            </w:tcBorders>
            <w:vAlign w:val="center"/>
          </w:tcPr>
          <w:p w14:paraId="7198666B">
            <w:pPr>
              <w:adjustRightInd w:val="0"/>
              <w:spacing w:line="360" w:lineRule="auto"/>
              <w:jc w:val="center"/>
              <w:rPr>
                <w:rFonts w:ascii="宋体"/>
                <w:color w:val="auto"/>
                <w:sz w:val="24"/>
                <w:szCs w:val="24"/>
                <w:highlight w:val="none"/>
              </w:rPr>
            </w:pPr>
            <w:r>
              <w:rPr>
                <w:rFonts w:hint="eastAsia" w:ascii="宋体" w:hAnsi="宋体" w:cs="宋体"/>
                <w:color w:val="auto"/>
                <w:sz w:val="24"/>
                <w:szCs w:val="24"/>
                <w:highlight w:val="none"/>
              </w:rPr>
              <w:t>序号</w:t>
            </w:r>
          </w:p>
        </w:tc>
        <w:tc>
          <w:tcPr>
            <w:tcW w:w="1715" w:type="dxa"/>
            <w:tcBorders>
              <w:top w:val="single" w:color="000000" w:sz="4" w:space="0"/>
            </w:tcBorders>
            <w:vAlign w:val="center"/>
          </w:tcPr>
          <w:p w14:paraId="5D49CCA6">
            <w:pPr>
              <w:adjustRightInd w:val="0"/>
              <w:spacing w:line="360" w:lineRule="auto"/>
              <w:jc w:val="center"/>
              <w:rPr>
                <w:rFonts w:ascii="宋体"/>
                <w:color w:val="auto"/>
                <w:sz w:val="24"/>
                <w:szCs w:val="24"/>
                <w:highlight w:val="none"/>
              </w:rPr>
            </w:pPr>
            <w:r>
              <w:rPr>
                <w:rFonts w:hint="eastAsia" w:ascii="宋体" w:hAnsi="宋体" w:cs="宋体"/>
                <w:color w:val="auto"/>
                <w:sz w:val="24"/>
                <w:szCs w:val="24"/>
                <w:highlight w:val="none"/>
              </w:rPr>
              <w:t>项目名称</w:t>
            </w:r>
          </w:p>
        </w:tc>
        <w:tc>
          <w:tcPr>
            <w:tcW w:w="720" w:type="dxa"/>
            <w:tcBorders>
              <w:top w:val="single" w:color="000000" w:sz="4" w:space="0"/>
            </w:tcBorders>
            <w:vAlign w:val="center"/>
          </w:tcPr>
          <w:p w14:paraId="43AC08FB">
            <w:pPr>
              <w:adjustRightInd w:val="0"/>
              <w:spacing w:line="360" w:lineRule="auto"/>
              <w:jc w:val="center"/>
              <w:rPr>
                <w:rFonts w:ascii="宋体"/>
                <w:color w:val="auto"/>
                <w:sz w:val="24"/>
                <w:szCs w:val="24"/>
                <w:highlight w:val="none"/>
              </w:rPr>
            </w:pPr>
            <w:r>
              <w:rPr>
                <w:rFonts w:hint="eastAsia" w:ascii="宋体" w:hAnsi="宋体" w:cs="宋体"/>
                <w:color w:val="auto"/>
                <w:sz w:val="24"/>
                <w:szCs w:val="24"/>
                <w:highlight w:val="none"/>
              </w:rPr>
              <w:t>数量</w:t>
            </w:r>
          </w:p>
        </w:tc>
        <w:tc>
          <w:tcPr>
            <w:tcW w:w="825" w:type="dxa"/>
            <w:tcBorders>
              <w:top w:val="single" w:color="000000" w:sz="4" w:space="0"/>
            </w:tcBorders>
            <w:vAlign w:val="center"/>
          </w:tcPr>
          <w:p w14:paraId="60F88BA9">
            <w:pPr>
              <w:adjustRightInd w:val="0"/>
              <w:spacing w:line="360" w:lineRule="auto"/>
              <w:jc w:val="center"/>
              <w:rPr>
                <w:rFonts w:ascii="宋体"/>
                <w:color w:val="auto"/>
                <w:sz w:val="24"/>
                <w:szCs w:val="24"/>
                <w:highlight w:val="none"/>
              </w:rPr>
            </w:pPr>
            <w:r>
              <w:rPr>
                <w:rFonts w:hint="eastAsia" w:ascii="宋体" w:hAnsi="宋体" w:cs="宋体"/>
                <w:color w:val="auto"/>
                <w:sz w:val="24"/>
                <w:szCs w:val="24"/>
                <w:highlight w:val="none"/>
              </w:rPr>
              <w:t>单位</w:t>
            </w:r>
          </w:p>
        </w:tc>
        <w:tc>
          <w:tcPr>
            <w:tcW w:w="1260" w:type="dxa"/>
            <w:tcBorders>
              <w:top w:val="single" w:color="000000" w:sz="4" w:space="0"/>
            </w:tcBorders>
            <w:vAlign w:val="center"/>
          </w:tcPr>
          <w:p w14:paraId="2691A7C3">
            <w:pPr>
              <w:adjustRightInd w:val="0"/>
              <w:spacing w:line="360" w:lineRule="auto"/>
              <w:jc w:val="center"/>
              <w:rPr>
                <w:rFonts w:ascii="宋体"/>
                <w:color w:val="auto"/>
                <w:sz w:val="24"/>
                <w:szCs w:val="24"/>
                <w:highlight w:val="none"/>
              </w:rPr>
            </w:pPr>
            <w:r>
              <w:rPr>
                <w:rFonts w:hint="eastAsia" w:ascii="宋体" w:hAnsi="宋体" w:cs="宋体"/>
                <w:color w:val="auto"/>
                <w:sz w:val="24"/>
                <w:szCs w:val="24"/>
                <w:highlight w:val="none"/>
              </w:rPr>
              <w:t>预算金额</w:t>
            </w:r>
            <w:r>
              <w:rPr>
                <w:rFonts w:ascii="宋体" w:hAnsi="宋体" w:cs="宋体"/>
                <w:color w:val="auto"/>
                <w:sz w:val="24"/>
                <w:szCs w:val="24"/>
                <w:highlight w:val="none"/>
              </w:rPr>
              <w:t>(</w:t>
            </w:r>
            <w:r>
              <w:rPr>
                <w:rFonts w:hint="eastAsia" w:ascii="宋体" w:hAnsi="宋体" w:cs="宋体"/>
                <w:color w:val="auto"/>
                <w:sz w:val="24"/>
                <w:szCs w:val="24"/>
                <w:highlight w:val="none"/>
              </w:rPr>
              <w:t>万元</w:t>
            </w:r>
            <w:r>
              <w:rPr>
                <w:rFonts w:ascii="宋体" w:hAnsi="宋体" w:cs="宋体"/>
                <w:color w:val="auto"/>
                <w:sz w:val="24"/>
                <w:szCs w:val="24"/>
                <w:highlight w:val="none"/>
              </w:rPr>
              <w:t>)</w:t>
            </w:r>
          </w:p>
        </w:tc>
        <w:tc>
          <w:tcPr>
            <w:tcW w:w="2738" w:type="dxa"/>
            <w:tcBorders>
              <w:top w:val="single" w:color="000000" w:sz="4" w:space="0"/>
            </w:tcBorders>
            <w:vAlign w:val="center"/>
          </w:tcPr>
          <w:p w14:paraId="7529B9FE">
            <w:pPr>
              <w:adjustRightInd w:val="0"/>
              <w:spacing w:line="360" w:lineRule="auto"/>
              <w:jc w:val="center"/>
              <w:rPr>
                <w:rFonts w:ascii="宋体"/>
                <w:color w:val="auto"/>
                <w:sz w:val="24"/>
                <w:szCs w:val="24"/>
                <w:highlight w:val="none"/>
              </w:rPr>
            </w:pPr>
            <w:r>
              <w:rPr>
                <w:rFonts w:hint="eastAsia" w:ascii="宋体" w:hAnsi="宋体" w:cs="宋体"/>
                <w:color w:val="auto"/>
                <w:sz w:val="24"/>
                <w:szCs w:val="24"/>
                <w:highlight w:val="none"/>
              </w:rPr>
              <w:t>简要规格描述或标项基本概况介绍</w:t>
            </w:r>
          </w:p>
        </w:tc>
        <w:tc>
          <w:tcPr>
            <w:tcW w:w="1423" w:type="dxa"/>
            <w:tcBorders>
              <w:top w:val="single" w:color="000000" w:sz="4" w:space="0"/>
            </w:tcBorders>
            <w:vAlign w:val="center"/>
          </w:tcPr>
          <w:p w14:paraId="512CCAD3">
            <w:pPr>
              <w:adjustRightInd w:val="0"/>
              <w:spacing w:line="360" w:lineRule="auto"/>
              <w:jc w:val="center"/>
              <w:rPr>
                <w:rFonts w:ascii="宋体"/>
                <w:color w:val="auto"/>
                <w:sz w:val="24"/>
                <w:szCs w:val="24"/>
                <w:highlight w:val="none"/>
              </w:rPr>
            </w:pPr>
            <w:r>
              <w:rPr>
                <w:rFonts w:hint="eastAsia" w:ascii="宋体" w:hAnsi="宋体" w:eastAsia="宋体" w:cs="宋体"/>
                <w:color w:val="auto"/>
                <w:sz w:val="24"/>
                <w:szCs w:val="24"/>
                <w:highlight w:val="none"/>
              </w:rPr>
              <w:t>最高限价(万元)</w:t>
            </w:r>
          </w:p>
        </w:tc>
        <w:tc>
          <w:tcPr>
            <w:tcW w:w="467" w:type="dxa"/>
            <w:tcBorders>
              <w:top w:val="single" w:color="000000" w:sz="4" w:space="0"/>
            </w:tcBorders>
            <w:vAlign w:val="center"/>
          </w:tcPr>
          <w:p w14:paraId="2431492C">
            <w:pPr>
              <w:adjustRightInd w:val="0"/>
              <w:spacing w:line="360" w:lineRule="auto"/>
              <w:jc w:val="center"/>
              <w:rPr>
                <w:rFonts w:ascii="宋体"/>
                <w:color w:val="auto"/>
                <w:sz w:val="24"/>
                <w:szCs w:val="24"/>
                <w:highlight w:val="none"/>
              </w:rPr>
            </w:pPr>
            <w:r>
              <w:rPr>
                <w:rFonts w:hint="eastAsia" w:ascii="宋体"/>
                <w:color w:val="auto"/>
                <w:sz w:val="24"/>
                <w:szCs w:val="24"/>
                <w:highlight w:val="none"/>
              </w:rPr>
              <w:t>备注</w:t>
            </w:r>
          </w:p>
        </w:tc>
      </w:tr>
      <w:tr w14:paraId="41451347">
        <w:tblPrEx>
          <w:tblBorders>
            <w:top w:val="single" w:color="000000" w:sz="4" w:space="0"/>
            <w:left w:val="single" w:color="000000" w:sz="4" w:space="0"/>
            <w:bottom w:val="single" w:color="000000" w:sz="4" w:space="0"/>
            <w:right w:val="single" w:color="000000" w:sz="4" w:space="0"/>
            <w:insideH w:val="single" w:color="A6A6A6" w:sz="4" w:space="0"/>
            <w:insideV w:val="single" w:color="A6A6A6" w:sz="4" w:space="0"/>
          </w:tblBorders>
          <w:tblCellMar>
            <w:top w:w="0" w:type="dxa"/>
            <w:left w:w="108" w:type="dxa"/>
            <w:bottom w:w="0" w:type="dxa"/>
            <w:right w:w="108" w:type="dxa"/>
          </w:tblCellMar>
        </w:tblPrEx>
        <w:trPr>
          <w:jc w:val="center"/>
        </w:trPr>
        <w:tc>
          <w:tcPr>
            <w:tcW w:w="558" w:type="dxa"/>
            <w:tcBorders>
              <w:bottom w:val="single" w:color="000000" w:sz="4" w:space="0"/>
            </w:tcBorders>
            <w:vAlign w:val="center"/>
          </w:tcPr>
          <w:p w14:paraId="5023AABE">
            <w:pPr>
              <w:adjustRightInd w:val="0"/>
              <w:spacing w:line="360" w:lineRule="auto"/>
              <w:jc w:val="center"/>
              <w:rPr>
                <w:rFonts w:ascii="宋体"/>
                <w:color w:val="auto"/>
                <w:sz w:val="24"/>
                <w:szCs w:val="24"/>
                <w:highlight w:val="none"/>
              </w:rPr>
            </w:pPr>
            <w:r>
              <w:rPr>
                <w:rFonts w:ascii="宋体" w:hAnsi="宋体" w:cs="宋体"/>
                <w:color w:val="auto"/>
                <w:sz w:val="24"/>
                <w:szCs w:val="24"/>
                <w:highlight w:val="none"/>
              </w:rPr>
              <w:t>1</w:t>
            </w:r>
          </w:p>
        </w:tc>
        <w:tc>
          <w:tcPr>
            <w:tcW w:w="1715" w:type="dxa"/>
            <w:tcBorders>
              <w:bottom w:val="single" w:color="000000" w:sz="4" w:space="0"/>
            </w:tcBorders>
            <w:vAlign w:val="center"/>
          </w:tcPr>
          <w:p w14:paraId="1B680D33">
            <w:pPr>
              <w:adjustRightInd w:val="0"/>
              <w:spacing w:line="360" w:lineRule="auto"/>
              <w:jc w:val="center"/>
              <w:rPr>
                <w:rFonts w:hint="eastAsia" w:ascii="宋体" w:eastAsia="宋体"/>
                <w:color w:val="auto"/>
                <w:sz w:val="24"/>
                <w:szCs w:val="24"/>
                <w:highlight w:val="none"/>
                <w:lang w:eastAsia="zh-CN"/>
              </w:rPr>
            </w:pPr>
            <w:r>
              <w:rPr>
                <w:rFonts w:hint="eastAsia" w:ascii="宋体" w:hAnsi="宋体" w:cs="宋体"/>
                <w:color w:val="auto"/>
                <w:sz w:val="24"/>
                <w:szCs w:val="24"/>
                <w:highlight w:val="none"/>
                <w:lang w:eastAsia="zh-CN"/>
              </w:rPr>
              <w:t>绍兴市上虞区应急管理局2026年度食堂劳务外包服务项目</w:t>
            </w:r>
          </w:p>
        </w:tc>
        <w:tc>
          <w:tcPr>
            <w:tcW w:w="720" w:type="dxa"/>
            <w:tcBorders>
              <w:bottom w:val="single" w:color="000000" w:sz="4" w:space="0"/>
            </w:tcBorders>
            <w:vAlign w:val="center"/>
          </w:tcPr>
          <w:p w14:paraId="43E40F28">
            <w:pPr>
              <w:adjustRightInd w:val="0"/>
              <w:spacing w:line="360" w:lineRule="auto"/>
              <w:jc w:val="center"/>
              <w:rPr>
                <w:rFonts w:hint="eastAsia" w:ascii="宋体" w:eastAsia="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825" w:type="dxa"/>
            <w:tcBorders>
              <w:bottom w:val="single" w:color="000000" w:sz="4" w:space="0"/>
            </w:tcBorders>
            <w:vAlign w:val="center"/>
          </w:tcPr>
          <w:p w14:paraId="4BC1452D">
            <w:pPr>
              <w:adjustRightInd w:val="0"/>
              <w:spacing w:line="360" w:lineRule="auto"/>
              <w:jc w:val="center"/>
              <w:rPr>
                <w:rFonts w:hint="eastAsia" w:ascii="宋体" w:eastAsia="宋体"/>
                <w:color w:val="auto"/>
                <w:sz w:val="24"/>
                <w:szCs w:val="24"/>
                <w:highlight w:val="none"/>
                <w:lang w:eastAsia="zh-CN"/>
              </w:rPr>
            </w:pPr>
            <w:r>
              <w:rPr>
                <w:rFonts w:hint="eastAsia" w:ascii="宋体" w:hAnsi="宋体" w:cs="宋体"/>
                <w:color w:val="auto"/>
                <w:sz w:val="24"/>
                <w:szCs w:val="24"/>
                <w:highlight w:val="none"/>
                <w:lang w:eastAsia="zh-CN"/>
              </w:rPr>
              <w:t>项</w:t>
            </w:r>
          </w:p>
        </w:tc>
        <w:tc>
          <w:tcPr>
            <w:tcW w:w="1260" w:type="dxa"/>
            <w:tcBorders>
              <w:bottom w:val="single" w:color="000000" w:sz="4" w:space="0"/>
            </w:tcBorders>
            <w:vAlign w:val="center"/>
          </w:tcPr>
          <w:p w14:paraId="35D2615F">
            <w:pPr>
              <w:adjustRightIn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36.4</w:t>
            </w:r>
          </w:p>
        </w:tc>
        <w:tc>
          <w:tcPr>
            <w:tcW w:w="2738" w:type="dxa"/>
            <w:tcBorders>
              <w:bottom w:val="single" w:color="000000" w:sz="4" w:space="0"/>
            </w:tcBorders>
            <w:vAlign w:val="center"/>
          </w:tcPr>
          <w:p w14:paraId="42658FF8">
            <w:pPr>
              <w:adjustRightIn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食堂劳务外包服务，外包期限1年</w:t>
            </w:r>
          </w:p>
        </w:tc>
        <w:tc>
          <w:tcPr>
            <w:tcW w:w="1423" w:type="dxa"/>
            <w:tcBorders>
              <w:bottom w:val="single" w:color="000000" w:sz="4" w:space="0"/>
            </w:tcBorders>
            <w:vAlign w:val="center"/>
          </w:tcPr>
          <w:p w14:paraId="13A909DA">
            <w:pPr>
              <w:adjustRightIn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36.4</w:t>
            </w:r>
          </w:p>
        </w:tc>
        <w:tc>
          <w:tcPr>
            <w:tcW w:w="467" w:type="dxa"/>
            <w:tcBorders>
              <w:bottom w:val="single" w:color="000000" w:sz="4" w:space="0"/>
            </w:tcBorders>
            <w:vAlign w:val="center"/>
          </w:tcPr>
          <w:p w14:paraId="710DFDD3">
            <w:pPr>
              <w:adjustRightInd w:val="0"/>
              <w:spacing w:line="360" w:lineRule="auto"/>
              <w:jc w:val="center"/>
              <w:rPr>
                <w:rFonts w:ascii="宋体"/>
                <w:color w:val="auto"/>
                <w:sz w:val="24"/>
                <w:szCs w:val="24"/>
                <w:highlight w:val="none"/>
              </w:rPr>
            </w:pPr>
          </w:p>
        </w:tc>
      </w:tr>
    </w:tbl>
    <w:p w14:paraId="447CB54E">
      <w:pPr>
        <w:rPr>
          <w:color w:val="auto"/>
          <w:highlight w:val="none"/>
        </w:rPr>
      </w:pPr>
    </w:p>
    <w:p w14:paraId="3B387D9A">
      <w:pPr>
        <w:adjustRightInd w:val="0"/>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四</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合格供应商资格要求</w:t>
      </w:r>
      <w:r>
        <w:rPr>
          <w:rFonts w:ascii="宋体" w:hAnsi="宋体" w:cs="宋体"/>
          <w:color w:val="auto"/>
          <w:sz w:val="24"/>
          <w:szCs w:val="24"/>
          <w:highlight w:val="none"/>
        </w:rPr>
        <w:t>:</w:t>
      </w:r>
    </w:p>
    <w:p w14:paraId="405C104C">
      <w:pPr>
        <w:numPr>
          <w:ilvl w:val="0"/>
          <w:numId w:val="4"/>
        </w:numPr>
        <w:wordWrap w:val="0"/>
        <w:adjustRightIn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符合政府采购法第二十二条，且未被“信用中国”（www.creditchina.gov.cn）、中国政府采购网（www.ccgp.gov.cn）列入失信被执行人、</w:t>
      </w:r>
      <w:r>
        <w:rPr>
          <w:rFonts w:hint="eastAsia" w:ascii="宋体" w:hAnsi="宋体" w:cs="宋体"/>
          <w:color w:val="auto"/>
          <w:sz w:val="24"/>
          <w:szCs w:val="24"/>
          <w:highlight w:val="none"/>
          <w:lang w:eastAsia="zh-CN"/>
        </w:rPr>
        <w:t>重大税收违法失信主体</w:t>
      </w:r>
      <w:r>
        <w:rPr>
          <w:rFonts w:hint="eastAsia" w:ascii="宋体" w:hAnsi="宋体" w:cs="宋体"/>
          <w:color w:val="auto"/>
          <w:sz w:val="24"/>
          <w:szCs w:val="24"/>
          <w:highlight w:val="none"/>
        </w:rPr>
        <w:t>、政府采购严重违法失信行为记录名单。</w:t>
      </w:r>
    </w:p>
    <w:p w14:paraId="1A04FD0E">
      <w:pPr>
        <w:numPr>
          <w:ilvl w:val="0"/>
          <w:numId w:val="4"/>
        </w:numPr>
        <w:wordWrap w:val="0"/>
        <w:adjustRightInd w:val="0"/>
        <w:spacing w:line="360" w:lineRule="auto"/>
        <w:ind w:firstLine="480" w:firstLineChars="200"/>
        <w:rPr>
          <w:color w:val="auto"/>
          <w:highlight w:val="none"/>
        </w:rPr>
      </w:pPr>
      <w:r>
        <w:rPr>
          <w:rFonts w:hint="eastAsia" w:ascii="宋体" w:hAnsi="宋体" w:eastAsia="宋体" w:cs="宋体"/>
          <w:color w:val="auto"/>
          <w:sz w:val="24"/>
          <w:szCs w:val="24"/>
          <w:highlight w:val="none"/>
        </w:rPr>
        <w:t>落实政府采购政策</w:t>
      </w:r>
      <w:r>
        <w:rPr>
          <w:rFonts w:hint="eastAsia" w:ascii="宋体" w:hAnsi="宋体" w:cs="宋体"/>
          <w:color w:val="auto"/>
          <w:sz w:val="24"/>
          <w:szCs w:val="24"/>
          <w:highlight w:val="none"/>
        </w:rPr>
        <w:t>需满足的资格要求：</w:t>
      </w:r>
      <w:r>
        <w:rPr>
          <w:rFonts w:hint="eastAsia" w:ascii="宋体" w:hAnsi="宋体" w:cs="宋体"/>
          <w:color w:val="auto"/>
          <w:sz w:val="24"/>
          <w:highlight w:val="none"/>
        </w:rPr>
        <w:t>专门面向中小企业/小微企业</w:t>
      </w:r>
      <w:r>
        <w:rPr>
          <w:rFonts w:hint="eastAsia" w:ascii="宋体" w:hAnsi="宋体" w:cs="宋体"/>
          <w:color w:val="auto"/>
          <w:sz w:val="24"/>
          <w:szCs w:val="24"/>
          <w:highlight w:val="none"/>
        </w:rPr>
        <w:t>。</w:t>
      </w:r>
    </w:p>
    <w:p w14:paraId="7D740107">
      <w:pPr>
        <w:numPr>
          <w:ilvl w:val="0"/>
          <w:numId w:val="4"/>
        </w:numPr>
        <w:adjustRightIn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本项目不接受联合体参加磋商。</w:t>
      </w:r>
    </w:p>
    <w:p w14:paraId="18ABEED6">
      <w:pPr>
        <w:numPr>
          <w:ilvl w:val="0"/>
          <w:numId w:val="4"/>
        </w:numPr>
        <w:adjustRightIn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本项目采用资格后审的审查方式，由磋商小组负责审查。</w:t>
      </w:r>
    </w:p>
    <w:p w14:paraId="487A11B7">
      <w:pPr>
        <w:adjustRightInd w:val="0"/>
        <w:spacing w:line="360" w:lineRule="auto"/>
        <w:ind w:firstLine="480" w:firstLineChars="200"/>
        <w:rPr>
          <w:rFonts w:hint="eastAsia" w:ascii="宋体" w:hAnsi="宋体" w:cs="宋体"/>
          <w:color w:val="auto"/>
          <w:sz w:val="24"/>
          <w:szCs w:val="24"/>
          <w:highlight w:val="none"/>
        </w:rPr>
      </w:pPr>
      <w:bookmarkStart w:id="11" w:name="_Toc20115"/>
      <w:bookmarkStart w:id="12" w:name="_Toc16269"/>
      <w:r>
        <w:rPr>
          <w:rFonts w:hint="eastAsia" w:ascii="宋体" w:hAnsi="宋体" w:cs="宋体"/>
          <w:color w:val="auto"/>
          <w:sz w:val="24"/>
          <w:szCs w:val="24"/>
          <w:highlight w:val="none"/>
        </w:rPr>
        <w:t>五</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获取磋商文件</w:t>
      </w:r>
      <w:bookmarkEnd w:id="11"/>
      <w:bookmarkEnd w:id="12"/>
    </w:p>
    <w:p w14:paraId="2B2045B5">
      <w:pPr>
        <w:numPr>
          <w:ilvl w:val="0"/>
          <w:numId w:val="5"/>
        </w:numPr>
        <w:adjustRightInd w:val="0"/>
        <w:spacing w:line="360" w:lineRule="auto"/>
        <w:ind w:firstLine="480" w:firstLineChars="200"/>
        <w:rPr>
          <w:rFonts w:ascii="宋体"/>
          <w:color w:val="auto"/>
          <w:sz w:val="24"/>
          <w:szCs w:val="24"/>
          <w:highlight w:val="none"/>
        </w:rPr>
      </w:pPr>
      <w:bookmarkStart w:id="13" w:name="报名开始时间1"/>
      <w:r>
        <w:rPr>
          <w:rFonts w:hint="eastAsia" w:ascii="宋体" w:hAnsi="宋体" w:cs="宋体"/>
          <w:color w:val="auto"/>
          <w:sz w:val="24"/>
          <w:szCs w:val="24"/>
          <w:highlight w:val="none"/>
        </w:rPr>
        <w:t>获取磋商文件时间</w:t>
      </w:r>
      <w:r>
        <w:rPr>
          <w:rFonts w:ascii="宋体" w:hAnsi="宋体" w:cs="宋体"/>
          <w:color w:val="auto"/>
          <w:sz w:val="24"/>
          <w:szCs w:val="24"/>
          <w:highlight w:val="none"/>
        </w:rPr>
        <w:t>:</w:t>
      </w:r>
      <w:bookmarkEnd w:id="13"/>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19</w:t>
      </w:r>
      <w:r>
        <w:rPr>
          <w:rFonts w:hint="eastAsia" w:ascii="宋体" w:hAnsi="宋体" w:cs="宋体"/>
          <w:color w:val="auto"/>
          <w:sz w:val="24"/>
          <w:szCs w:val="24"/>
          <w:highlight w:val="none"/>
          <w:u w:val="single"/>
        </w:rPr>
        <w:t>日</w:t>
      </w:r>
      <w:r>
        <w:rPr>
          <w:rFonts w:hint="eastAsia" w:ascii="宋体" w:hAnsi="宋体" w:cs="宋体"/>
          <w:color w:val="auto"/>
          <w:sz w:val="24"/>
          <w:szCs w:val="24"/>
          <w:highlight w:val="none"/>
          <w:u w:val="single"/>
          <w:lang w:val="en-US" w:eastAsia="zh-CN"/>
        </w:rPr>
        <w:t xml:space="preserve"> 下</w:t>
      </w:r>
      <w:r>
        <w:rPr>
          <w:rFonts w:hint="eastAsia" w:ascii="宋体" w:hAnsi="宋体" w:cs="宋体"/>
          <w:color w:val="auto"/>
          <w:sz w:val="24"/>
          <w:szCs w:val="24"/>
          <w:highlight w:val="none"/>
          <w:u w:val="single"/>
        </w:rPr>
        <w:t>午</w:t>
      </w:r>
      <w:r>
        <w:rPr>
          <w:rFonts w:hint="eastAsia" w:ascii="宋体" w:hAnsi="宋体" w:cs="宋体"/>
          <w:color w:val="auto"/>
          <w:sz w:val="24"/>
          <w:szCs w:val="24"/>
          <w:highlight w:val="none"/>
          <w:u w:val="single"/>
          <w:lang w:val="en-US" w:eastAsia="zh-CN"/>
        </w:rPr>
        <w:t>14</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之前获取。</w:t>
      </w:r>
    </w:p>
    <w:p w14:paraId="172F1A8D">
      <w:pPr>
        <w:numPr>
          <w:ilvl w:val="0"/>
          <w:numId w:val="5"/>
        </w:numPr>
        <w:adjustRightInd w:val="0"/>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获取磋商文件方式：供应商登陆政采云平台</w:t>
      </w:r>
      <w:r>
        <w:rPr>
          <w:rFonts w:ascii="宋体" w:hAnsi="宋体" w:cs="宋体"/>
          <w:color w:val="auto"/>
          <w:sz w:val="24"/>
          <w:szCs w:val="24"/>
          <w:highlight w:val="none"/>
        </w:rPr>
        <w:t>http://www.zcygov.cn/</w:t>
      </w:r>
      <w:r>
        <w:rPr>
          <w:rFonts w:hint="eastAsia" w:ascii="宋体" w:hAnsi="宋体" w:cs="宋体"/>
          <w:color w:val="auto"/>
          <w:sz w:val="24"/>
          <w:szCs w:val="24"/>
          <w:highlight w:val="none"/>
        </w:rPr>
        <w:t>，在线申请获取磋商文件（进入“项目采购”应用，在获取采购文件菜单中选择项目，申请获取采购文件）。</w:t>
      </w:r>
    </w:p>
    <w:p w14:paraId="5749B343">
      <w:pPr>
        <w:numPr>
          <w:ilvl w:val="0"/>
          <w:numId w:val="5"/>
        </w:numPr>
        <w:adjustRightInd w:val="0"/>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提示：</w:t>
      </w:r>
    </w:p>
    <w:p w14:paraId="1205F0D0">
      <w:pPr>
        <w:numPr>
          <w:ilvl w:val="0"/>
          <w:numId w:val="6"/>
        </w:numPr>
        <w:adjustRightInd w:val="0"/>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将拒绝接受未获取磋商文件供应商的响应文件。</w:t>
      </w:r>
    </w:p>
    <w:p w14:paraId="663032F2">
      <w:pPr>
        <w:numPr>
          <w:ilvl w:val="0"/>
          <w:numId w:val="6"/>
        </w:numPr>
        <w:adjustRightInd w:val="0"/>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磋商文件及更正补充公告请自行登录浙江政府采购网或绍兴市上虞区公共资源交易中心网站，在采购公告页面中下载。</w:t>
      </w:r>
    </w:p>
    <w:p w14:paraId="47A7A406">
      <w:pPr>
        <w:adjustRightIn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六、其他补充事宜：</w:t>
      </w:r>
    </w:p>
    <w:p w14:paraId="02C7DF66">
      <w:pPr>
        <w:widowControl/>
        <w:adjustRightIn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2022年7月1日开始实施，此前有关规定与上述文件内容不一致的，按上述文件要求执行</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政策落实根据财政部门要求更新）。</w:t>
      </w:r>
    </w:p>
    <w:p w14:paraId="569079E6">
      <w:pPr>
        <w:widowControl/>
        <w:adjustRightIn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2.根据《浙江省政府采购询问和质疑实施办法》（浙财采监〔2025〕11 号）文件要求，供应商可以通过电子交易平台向采购人、采购代理机构提出询问和质疑。鼓励供应商在线提起询问，路径为：政采云-项目采购-询问质疑投诉-询问列表，鼓励供应商在线提起质疑，路径为：政采云-项目采购-询问质疑投诉-质疑列表。根据《浙江省政府采购行政裁决工作规程》的通知（</w:t>
      </w:r>
      <w:r>
        <w:rPr>
          <w:rFonts w:ascii="宋体" w:hAnsi="宋体" w:eastAsia="宋体" w:cs="宋体"/>
          <w:color w:val="auto"/>
          <w:sz w:val="24"/>
          <w:szCs w:val="24"/>
          <w:highlight w:val="none"/>
        </w:rPr>
        <w:t>浙财采监〔2025〕7号</w:t>
      </w:r>
      <w:r>
        <w:rPr>
          <w:rFonts w:hint="eastAsia" w:ascii="宋体" w:hAnsi="宋体" w:eastAsia="宋体" w:cs="宋体"/>
          <w:color w:val="auto"/>
          <w:sz w:val="24"/>
          <w:szCs w:val="24"/>
          <w:highlight w:val="none"/>
        </w:rPr>
        <w:t>）文件关于“健全行政裁决机制”要求，质疑供应商对在线质疑答复不满意的，可在线提起投诉，路径为：政采云-项目采购-询问质疑投诉-投诉列表或浙江政务服务网-政府采购投诉处理-在线办理。</w:t>
      </w:r>
    </w:p>
    <w:p w14:paraId="3837B252">
      <w:pPr>
        <w:adjustRightIn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3.供应商认为采购文件、采购过程、中标或者成交结果使自己的权益受到损害的，可以自获取</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之日或者</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公告期限届满之日（公告期限届满后获取</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以公告期限届满之日为准）起7个工作日内，在线或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2A980E3">
      <w:pPr>
        <w:adjustRightInd w:val="0"/>
        <w:spacing w:line="360" w:lineRule="auto"/>
        <w:ind w:firstLine="480" w:firstLineChars="200"/>
        <w:rPr>
          <w:rFonts w:ascii="宋体" w:hAnsi="宋体" w:cs="宋体"/>
          <w:color w:val="auto"/>
          <w:sz w:val="24"/>
          <w:szCs w:val="24"/>
          <w:highlight w:val="none"/>
        </w:rPr>
      </w:pPr>
      <w:r>
        <w:rPr>
          <w:rFonts w:hint="eastAsia" w:ascii="宋体" w:hAnsi="宋体" w:eastAsia="宋体" w:cs="宋体"/>
          <w:color w:val="auto"/>
          <w:sz w:val="24"/>
          <w:szCs w:val="24"/>
          <w:highlight w:val="none"/>
        </w:rPr>
        <w:t>4.其他事项：（1）需要落实的政府采购政策：包括节约资源、保护环境、支持创新、促进中小企业发展等。详见</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的第二部分总则。（2）电子招投标的说明：①电子招投标：本项目以数据电文形式，依托“政府采购云平台（www.zcygov.cn）”进行招投标活动，不接受纸质</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的获取：使用账号登录或者使用CA登录政采云平台；进入“项目采购”应用，在获取采购文件菜单中选择项目，获取</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；④</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的制作：在“政采云电子交易客户端”中完成“填写基本信息”、“导入</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”、“标书关联”、“标书检查”、“电子签名”、“生成电子标书”等操作；⑤采购人、采购代理机构将依托政采云平台完成本项目的电子交易活动，平台不接受未按上述方式获取</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的供应商进行投标活动； ⑥对未按上述方式获取</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的供应商对该文件提出的质疑，采购人或采购代理机构将不予处理；⑦不提供</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纸质版；⑧</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的传输递交：</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在投标截止时间前将加密的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上传至政府采购云平台；⑨</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的解密：</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按照平台提示和</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的规定在半小时内完成在线解密。通过“政府采购云平台”上传递交的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无法按时解密的，视为</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撤回；⑩具体操作指南：详见政采云平台“服务中心-帮助文档-项目采购-操作流程-电子招投标-政府采购项目电子交易管理操作指南-供应商”。（3）</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公告期限与</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公告的公告期限一致。</w:t>
      </w:r>
    </w:p>
    <w:p w14:paraId="52266A79">
      <w:pPr>
        <w:adjustRightInd w:val="0"/>
        <w:spacing w:line="360" w:lineRule="auto"/>
        <w:ind w:left="400" w:left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.特别提醒</w:t>
      </w:r>
    </w:p>
    <w:p w14:paraId="705B136F">
      <w:pPr>
        <w:wordWrap w:val="0"/>
        <w:adjustRightIn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单位负责人为同一人或者存在直接控股、管理关系的不同供应商，不得参加同一合同项下的政府采购活动。</w:t>
      </w:r>
    </w:p>
    <w:p w14:paraId="5B0F864E">
      <w:pPr>
        <w:adjustRightIn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除单一来源采购项目外，为采购项目提供整体设计、规范编制或者项目管理、监理、检测等服务的供应商，不得再参加该采购项目的其他采购活动。</w:t>
      </w:r>
    </w:p>
    <w:p w14:paraId="74CEF255">
      <w:pPr>
        <w:adjustRightInd w:val="0"/>
        <w:spacing w:line="360" w:lineRule="auto"/>
        <w:ind w:firstLine="482" w:firstLineChars="200"/>
        <w:jc w:val="left"/>
        <w:rPr>
          <w:rFonts w:ascii="宋体"/>
          <w:color w:val="auto"/>
          <w:sz w:val="24"/>
          <w:szCs w:val="24"/>
          <w:highlight w:val="none"/>
        </w:rPr>
      </w:pPr>
      <w:r>
        <w:rPr>
          <w:rFonts w:hint="eastAsia" w:ascii="宋体" w:hAnsi="宋体" w:cs="宋体"/>
          <w:b/>
          <w:bCs/>
          <w:color w:val="auto"/>
          <w:sz w:val="24"/>
          <w:szCs w:val="24"/>
          <w:highlight w:val="none"/>
        </w:rPr>
        <w:t>七</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磋商响应截止时间及要求：</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2026</w:t>
      </w:r>
      <w:r>
        <w:rPr>
          <w:rFonts w:hint="eastAsia" w:ascii="宋体" w:hAnsi="宋体" w:cs="宋体"/>
          <w:color w:val="auto"/>
          <w:sz w:val="24"/>
          <w:szCs w:val="24"/>
          <w:highlight w:val="none"/>
        </w:rPr>
        <w:t>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5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19 </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 xml:space="preserve"> 下</w:t>
      </w:r>
      <w:r>
        <w:rPr>
          <w:rFonts w:hint="eastAsia" w:ascii="宋体" w:hAnsi="宋体" w:cs="宋体"/>
          <w:color w:val="auto"/>
          <w:sz w:val="24"/>
          <w:szCs w:val="24"/>
          <w:highlight w:val="none"/>
        </w:rPr>
        <w:t>午</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14</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分整之前将电子磋商响应文件上传到“政采云”平台。</w:t>
      </w:r>
    </w:p>
    <w:p w14:paraId="41BB37D6">
      <w:pPr>
        <w:adjustRightInd w:val="0"/>
        <w:spacing w:line="360" w:lineRule="auto"/>
        <w:ind w:firstLine="482" w:firstLineChars="200"/>
        <w:jc w:val="left"/>
        <w:rPr>
          <w:rFonts w:ascii="宋体"/>
          <w:color w:val="auto"/>
          <w:sz w:val="24"/>
          <w:szCs w:val="24"/>
          <w:highlight w:val="none"/>
        </w:rPr>
      </w:pPr>
      <w:r>
        <w:rPr>
          <w:rFonts w:hint="eastAsia" w:ascii="宋体" w:hAnsi="宋体" w:cs="宋体"/>
          <w:b/>
          <w:bCs/>
          <w:color w:val="auto"/>
          <w:sz w:val="24"/>
          <w:szCs w:val="24"/>
          <w:highlight w:val="none"/>
        </w:rPr>
        <w:t>八</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递交首次响应文件时间及地点：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2026</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5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19 </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 xml:space="preserve"> 下</w:t>
      </w:r>
      <w:r>
        <w:rPr>
          <w:rFonts w:hint="eastAsia" w:ascii="宋体" w:hAnsi="宋体" w:cs="宋体"/>
          <w:color w:val="auto"/>
          <w:sz w:val="24"/>
          <w:szCs w:val="24"/>
          <w:highlight w:val="none"/>
        </w:rPr>
        <w:t>午</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14 </w:t>
      </w:r>
      <w:r>
        <w:rPr>
          <w:rFonts w:hint="eastAsia" w:ascii="宋体" w:hAnsi="宋体" w:cs="宋体"/>
          <w:color w:val="auto"/>
          <w:sz w:val="24"/>
          <w:szCs w:val="24"/>
          <w:highlight w:val="none"/>
        </w:rPr>
        <w:t>时</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分</w:t>
      </w:r>
      <w:bookmarkStart w:id="14" w:name="B30_开标地点"/>
      <w:r>
        <w:rPr>
          <w:rFonts w:hint="eastAsia" w:ascii="宋体" w:hAnsi="宋体" w:cs="宋体"/>
          <w:color w:val="auto"/>
          <w:sz w:val="24"/>
          <w:szCs w:val="24"/>
          <w:highlight w:val="none"/>
        </w:rPr>
        <w:t>整在</w:t>
      </w:r>
      <w:r>
        <w:rPr>
          <w:rFonts w:hint="eastAsia" w:ascii="宋体" w:hAnsi="宋体" w:cs="宋体"/>
          <w:color w:val="auto"/>
          <w:sz w:val="24"/>
          <w:szCs w:val="24"/>
          <w:highlight w:val="none"/>
          <w:lang w:eastAsia="zh-CN"/>
        </w:rPr>
        <w:t>绍兴成言工程咨询管理有限公司</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绍兴市上虞区百官街道梁祝大道2385号万金大厦24楼</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开标室开标。</w:t>
      </w:r>
      <w:bookmarkEnd w:id="14"/>
    </w:p>
    <w:p w14:paraId="4DAACC58">
      <w:pPr>
        <w:adjustRightInd w:val="0"/>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开标时间后</w:t>
      </w:r>
      <w:r>
        <w:rPr>
          <w:rFonts w:ascii="宋体" w:hAnsi="宋体" w:cs="宋体"/>
          <w:color w:val="auto"/>
          <w:sz w:val="24"/>
          <w:szCs w:val="24"/>
          <w:highlight w:val="none"/>
        </w:rPr>
        <w:t>30</w:t>
      </w:r>
      <w:r>
        <w:rPr>
          <w:rFonts w:hint="eastAsia" w:ascii="宋体" w:hAnsi="宋体" w:cs="宋体"/>
          <w:color w:val="auto"/>
          <w:sz w:val="24"/>
          <w:szCs w:val="24"/>
          <w:highlight w:val="none"/>
        </w:rPr>
        <w:t>分钟内（当日</w:t>
      </w:r>
      <w:r>
        <w:rPr>
          <w:rFonts w:hint="eastAsia" w:ascii="宋体" w:hAnsi="宋体" w:cs="宋体"/>
          <w:color w:val="0000FF"/>
          <w:sz w:val="24"/>
          <w:szCs w:val="24"/>
          <w:highlight w:val="none"/>
          <w:lang w:val="en-US" w:eastAsia="zh-CN"/>
        </w:rPr>
        <w:t>15</w:t>
      </w:r>
      <w:r>
        <w:rPr>
          <w:rFonts w:ascii="宋体" w:hAnsi="宋体" w:cs="宋体"/>
          <w:color w:val="auto"/>
          <w:sz w:val="24"/>
          <w:szCs w:val="24"/>
          <w:highlight w:val="none"/>
        </w:rPr>
        <w:t>:</w:t>
      </w:r>
      <w:r>
        <w:rPr>
          <w:rFonts w:hint="eastAsia" w:ascii="宋体" w:hAnsi="宋体" w:cs="宋体"/>
          <w:color w:val="0000FF"/>
          <w:sz w:val="24"/>
          <w:szCs w:val="24"/>
          <w:highlight w:val="none"/>
          <w:lang w:val="en-US" w:eastAsia="zh-CN"/>
        </w:rPr>
        <w:t>00</w:t>
      </w:r>
      <w:r>
        <w:rPr>
          <w:rFonts w:hint="eastAsia" w:ascii="宋体" w:hAnsi="宋体" w:cs="宋体"/>
          <w:color w:val="auto"/>
          <w:sz w:val="24"/>
          <w:szCs w:val="24"/>
          <w:highlight w:val="none"/>
        </w:rPr>
        <w:t>前）供应商可以登录“政采云”平台，用“项目采购</w:t>
      </w:r>
      <w:r>
        <w:rPr>
          <w:rFonts w:ascii="宋体" w:cs="宋体"/>
          <w:color w:val="auto"/>
          <w:sz w:val="24"/>
          <w:szCs w:val="24"/>
          <w:highlight w:val="none"/>
        </w:rPr>
        <w:t>-</w:t>
      </w:r>
      <w:r>
        <w:rPr>
          <w:rFonts w:hint="eastAsia" w:ascii="宋体" w:hAnsi="宋体" w:cs="宋体"/>
          <w:color w:val="auto"/>
          <w:sz w:val="24"/>
          <w:szCs w:val="24"/>
          <w:highlight w:val="none"/>
        </w:rPr>
        <w:t>开标评标”功能进行解密响应文件。若供应商在规定时间内（当日</w:t>
      </w:r>
      <w:r>
        <w:rPr>
          <w:rFonts w:hint="eastAsia" w:ascii="宋体" w:hAnsi="宋体" w:cs="宋体"/>
          <w:color w:val="0000FF"/>
          <w:sz w:val="24"/>
          <w:szCs w:val="24"/>
          <w:highlight w:val="none"/>
          <w:lang w:val="en-US" w:eastAsia="zh-CN"/>
        </w:rPr>
        <w:t>15</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w:t>
      </w:r>
      <w:r>
        <w:rPr>
          <w:rFonts w:hint="eastAsia" w:ascii="宋体" w:hAnsi="宋体" w:cs="宋体"/>
          <w:color w:val="0000FF"/>
          <w:sz w:val="24"/>
          <w:szCs w:val="24"/>
          <w:highlight w:val="none"/>
          <w:lang w:val="en-US" w:eastAsia="zh-CN"/>
        </w:rPr>
        <w:t>00</w:t>
      </w:r>
      <w:r>
        <w:rPr>
          <w:rFonts w:hint="eastAsia" w:ascii="宋体" w:hAnsi="宋体" w:cs="宋体"/>
          <w:color w:val="auto"/>
          <w:sz w:val="24"/>
          <w:szCs w:val="24"/>
          <w:highlight w:val="none"/>
        </w:rPr>
        <w:t>前）解密失败，则由采购代理机构工作人员上传供应商提供的备份文件。备份文件（后缀名为</w:t>
      </w:r>
      <w:r>
        <w:rPr>
          <w:rFonts w:ascii="宋体" w:hAnsi="宋体" w:cs="宋体"/>
          <w:color w:val="auto"/>
          <w:sz w:val="24"/>
          <w:szCs w:val="24"/>
          <w:highlight w:val="none"/>
        </w:rPr>
        <w:t>.bfbs</w:t>
      </w:r>
      <w:r>
        <w:rPr>
          <w:rFonts w:hint="eastAsia" w:ascii="宋体" w:hAnsi="宋体" w:cs="宋体"/>
          <w:color w:val="auto"/>
          <w:sz w:val="24"/>
          <w:szCs w:val="24"/>
          <w:highlight w:val="none"/>
        </w:rPr>
        <w:t>）须存储在</w:t>
      </w:r>
      <w:r>
        <w:rPr>
          <w:rFonts w:ascii="宋体" w:hAnsi="宋体" w:cs="宋体"/>
          <w:color w:val="auto"/>
          <w:sz w:val="24"/>
          <w:szCs w:val="24"/>
          <w:highlight w:val="none"/>
        </w:rPr>
        <w:t>U</w:t>
      </w:r>
      <w:r>
        <w:rPr>
          <w:rFonts w:hint="eastAsia" w:ascii="宋体" w:hAnsi="宋体" w:cs="宋体"/>
          <w:color w:val="auto"/>
          <w:sz w:val="24"/>
          <w:szCs w:val="24"/>
          <w:highlight w:val="none"/>
        </w:rPr>
        <w:t>盘中，与上传的电子磋商响应文件一致，用信封进行密封并盖章</w:t>
      </w:r>
      <w:r>
        <w:rPr>
          <w:rFonts w:hint="eastAsia" w:ascii="宋体" w:hAnsi="宋体" w:cs="宋体"/>
          <w:b/>
          <w:bCs/>
          <w:color w:val="auto"/>
          <w:sz w:val="24"/>
          <w:szCs w:val="24"/>
          <w:highlight w:val="none"/>
        </w:rPr>
        <w:t>（信封内仅需放入存储备份文件的</w:t>
      </w:r>
      <w:r>
        <w:rPr>
          <w:rFonts w:ascii="宋体" w:hAnsi="宋体" w:cs="宋体"/>
          <w:b/>
          <w:bCs/>
          <w:color w:val="auto"/>
          <w:sz w:val="24"/>
          <w:szCs w:val="24"/>
          <w:highlight w:val="none"/>
        </w:rPr>
        <w:t>U</w:t>
      </w:r>
      <w:r>
        <w:rPr>
          <w:rFonts w:hint="eastAsia" w:ascii="宋体" w:hAnsi="宋体" w:cs="宋体"/>
          <w:b/>
          <w:bCs/>
          <w:color w:val="auto"/>
          <w:sz w:val="24"/>
          <w:szCs w:val="24"/>
          <w:highlight w:val="none"/>
        </w:rPr>
        <w:t>盘）</w:t>
      </w:r>
      <w:r>
        <w:rPr>
          <w:rFonts w:hint="eastAsia" w:ascii="宋体" w:hAnsi="宋体" w:cs="宋体"/>
          <w:color w:val="auto"/>
          <w:sz w:val="24"/>
          <w:szCs w:val="24"/>
          <w:highlight w:val="none"/>
        </w:rPr>
        <w:t>，由授权代表在磋商响应截止时间前递交至开标地点。若电子磋商响应文件正常解锁，则</w:t>
      </w:r>
      <w:r>
        <w:rPr>
          <w:rFonts w:ascii="宋体" w:hAnsi="宋体" w:cs="宋体"/>
          <w:color w:val="auto"/>
          <w:sz w:val="24"/>
          <w:szCs w:val="24"/>
          <w:highlight w:val="none"/>
        </w:rPr>
        <w:t>U</w:t>
      </w:r>
      <w:r>
        <w:rPr>
          <w:rFonts w:hint="eastAsia" w:ascii="宋体" w:hAnsi="宋体" w:cs="宋体"/>
          <w:color w:val="auto"/>
          <w:sz w:val="24"/>
          <w:szCs w:val="24"/>
          <w:highlight w:val="none"/>
        </w:rPr>
        <w:t>盘退还给供应商；若解锁失败，则由采购代理机构将</w:t>
      </w:r>
      <w:r>
        <w:rPr>
          <w:rFonts w:ascii="宋体" w:hAnsi="宋体" w:cs="宋体"/>
          <w:color w:val="auto"/>
          <w:sz w:val="24"/>
          <w:szCs w:val="24"/>
          <w:highlight w:val="none"/>
        </w:rPr>
        <w:t>U</w:t>
      </w:r>
      <w:r>
        <w:rPr>
          <w:rFonts w:hint="eastAsia" w:ascii="宋体" w:hAnsi="宋体" w:cs="宋体"/>
          <w:color w:val="auto"/>
          <w:sz w:val="24"/>
          <w:szCs w:val="24"/>
          <w:highlight w:val="none"/>
        </w:rPr>
        <w:t>盘中的备份文件上传，该</w:t>
      </w:r>
      <w:r>
        <w:rPr>
          <w:rFonts w:ascii="宋体" w:hAnsi="宋体" w:cs="宋体"/>
          <w:color w:val="auto"/>
          <w:sz w:val="24"/>
          <w:szCs w:val="24"/>
          <w:highlight w:val="none"/>
        </w:rPr>
        <w:t>U</w:t>
      </w:r>
      <w:r>
        <w:rPr>
          <w:rFonts w:hint="eastAsia" w:ascii="宋体" w:hAnsi="宋体" w:cs="宋体"/>
          <w:color w:val="auto"/>
          <w:sz w:val="24"/>
          <w:szCs w:val="24"/>
          <w:highlight w:val="none"/>
        </w:rPr>
        <w:t>盘将由采购代理机构保存。</w:t>
      </w:r>
    </w:p>
    <w:p w14:paraId="0EF14213">
      <w:pPr>
        <w:adjustRightInd w:val="0"/>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本次开标不提供现场</w:t>
      </w:r>
      <w:r>
        <w:rPr>
          <w:rFonts w:hint="eastAsia" w:ascii="宋体" w:hAnsi="宋体" w:cs="宋体"/>
          <w:color w:val="auto"/>
          <w:sz w:val="24"/>
          <w:highlight w:val="none"/>
        </w:rPr>
        <w:t>演示</w:t>
      </w:r>
      <w:r>
        <w:rPr>
          <w:rFonts w:hint="eastAsia" w:ascii="宋体" w:hAnsi="宋体" w:cs="宋体"/>
          <w:color w:val="auto"/>
          <w:sz w:val="24"/>
          <w:szCs w:val="24"/>
          <w:highlight w:val="none"/>
        </w:rPr>
        <w:t>。</w:t>
      </w:r>
    </w:p>
    <w:p w14:paraId="027CE60D">
      <w:pPr>
        <w:adjustRightInd w:val="0"/>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九</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磋商保证金：无</w:t>
      </w:r>
    </w:p>
    <w:p w14:paraId="4D14A2B8">
      <w:pPr>
        <w:adjustRightInd w:val="0"/>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公告期限：3个工作日</w:t>
      </w:r>
    </w:p>
    <w:p w14:paraId="1CADA39D">
      <w:pPr>
        <w:adjustRightInd w:val="0"/>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十一</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联系方式：</w:t>
      </w:r>
    </w:p>
    <w:p w14:paraId="35179AF1">
      <w:pPr>
        <w:adjustRightInd w:val="0"/>
        <w:spacing w:line="360" w:lineRule="auto"/>
        <w:ind w:firstLine="480" w:firstLineChars="200"/>
        <w:rPr>
          <w:rFonts w:hint="eastAsia" w:ascii="宋体" w:eastAsia="宋体"/>
          <w:color w:val="auto"/>
          <w:sz w:val="24"/>
          <w:szCs w:val="24"/>
          <w:highlight w:val="none"/>
          <w:lang w:eastAsia="zh-CN"/>
        </w:rPr>
      </w:pPr>
      <w:r>
        <w:rPr>
          <w:rFonts w:ascii="宋体" w:hAnsi="宋体" w:cs="宋体"/>
          <w:color w:val="auto"/>
          <w:sz w:val="24"/>
          <w:szCs w:val="24"/>
          <w:highlight w:val="none"/>
        </w:rPr>
        <w:t>1</w:t>
      </w:r>
      <w:r>
        <w:rPr>
          <w:rFonts w:hint="eastAsia" w:ascii="宋体" w:hAnsi="宋体" w:cs="宋体"/>
          <w:color w:val="auto"/>
          <w:sz w:val="24"/>
          <w:szCs w:val="24"/>
          <w:highlight w:val="none"/>
        </w:rPr>
        <w:t>．采购代理机构名称：</w:t>
      </w:r>
      <w:r>
        <w:rPr>
          <w:rFonts w:hint="eastAsia" w:ascii="宋体" w:hAnsi="宋体" w:cs="宋体"/>
          <w:color w:val="auto"/>
          <w:sz w:val="24"/>
          <w:szCs w:val="24"/>
          <w:highlight w:val="none"/>
          <w:lang w:eastAsia="zh-CN"/>
        </w:rPr>
        <w:t>绍兴成言工程咨询管理有限公司</w:t>
      </w:r>
    </w:p>
    <w:p w14:paraId="1B3577E2">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陆先生</w:t>
      </w:r>
    </w:p>
    <w:p w14:paraId="785AF6B2">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联系电话：1735759181</w:t>
      </w:r>
      <w:r>
        <w:rPr>
          <w:rFonts w:hint="eastAsia" w:ascii="宋体" w:hAnsi="宋体" w:cs="宋体"/>
          <w:color w:val="auto"/>
          <w:sz w:val="24"/>
          <w:szCs w:val="24"/>
          <w:highlight w:val="none"/>
          <w:lang w:val="en-US" w:eastAsia="zh-CN"/>
        </w:rPr>
        <w:t>5</w:t>
      </w:r>
    </w:p>
    <w:p w14:paraId="52CAB703">
      <w:pPr>
        <w:adjustRightIn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质疑联系人：章女士</w:t>
      </w:r>
    </w:p>
    <w:p w14:paraId="554B656D">
      <w:pPr>
        <w:adjustRightInd w:val="0"/>
        <w:spacing w:line="360" w:lineRule="auto"/>
        <w:ind w:firstLine="480" w:firstLineChars="200"/>
        <w:rPr>
          <w:rFonts w:ascii="宋体"/>
          <w:color w:val="auto"/>
          <w:sz w:val="24"/>
          <w:szCs w:val="24"/>
          <w:highlight w:val="none"/>
        </w:rPr>
      </w:pPr>
      <w:r>
        <w:rPr>
          <w:rFonts w:hint="eastAsia" w:ascii="宋体" w:hAnsi="宋体" w:cs="宋体"/>
          <w:sz w:val="24"/>
          <w:szCs w:val="24"/>
          <w:highlight w:val="none"/>
        </w:rPr>
        <w:t>质疑联系方式：0575-81280058</w:t>
      </w:r>
      <w:r>
        <w:rPr>
          <w:rFonts w:hint="eastAsia" w:ascii="宋体" w:hAnsi="宋体" w:cs="宋体"/>
          <w:color w:val="auto"/>
          <w:sz w:val="24"/>
          <w:szCs w:val="24"/>
          <w:highlight w:val="none"/>
        </w:rPr>
        <w:t xml:space="preserve">     </w:t>
      </w:r>
    </w:p>
    <w:p w14:paraId="45C35CBD">
      <w:pPr>
        <w:adjustRightIn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lang w:eastAsia="zh-CN"/>
        </w:rPr>
        <w:t>绍兴市上虞区百官街道梁祝大道2385号万金大厦24楼</w:t>
      </w:r>
    </w:p>
    <w:p w14:paraId="5C2DCC85">
      <w:pPr>
        <w:adjustRightInd w:val="0"/>
        <w:spacing w:line="360" w:lineRule="auto"/>
        <w:ind w:firstLine="480" w:firstLineChars="200"/>
        <w:rPr>
          <w:rFonts w:hint="eastAsia" w:ascii="宋体" w:eastAsia="宋体"/>
          <w:color w:val="auto"/>
          <w:sz w:val="24"/>
          <w:szCs w:val="24"/>
          <w:highlight w:val="none"/>
          <w:lang w:eastAsia="zh-CN"/>
        </w:rPr>
      </w:pPr>
      <w:r>
        <w:rPr>
          <w:rFonts w:ascii="宋体" w:hAnsi="宋体" w:cs="宋体"/>
          <w:color w:val="auto"/>
          <w:sz w:val="24"/>
          <w:szCs w:val="24"/>
          <w:highlight w:val="none"/>
        </w:rPr>
        <w:t>2</w:t>
      </w:r>
      <w:r>
        <w:rPr>
          <w:rFonts w:hint="eastAsia" w:ascii="宋体" w:hAnsi="宋体" w:cs="宋体"/>
          <w:color w:val="auto"/>
          <w:sz w:val="24"/>
          <w:szCs w:val="24"/>
          <w:highlight w:val="none"/>
        </w:rPr>
        <w:t>．采购人名称：</w:t>
      </w:r>
      <w:r>
        <w:rPr>
          <w:rFonts w:hint="eastAsia" w:ascii="宋体" w:hAnsi="宋体" w:cs="宋体"/>
          <w:color w:val="auto"/>
          <w:sz w:val="24"/>
          <w:highlight w:val="none"/>
          <w:lang w:eastAsia="zh-CN"/>
        </w:rPr>
        <w:t>绍兴市上虞区应急管理局</w:t>
      </w:r>
    </w:p>
    <w:p w14:paraId="1E85E772">
      <w:pPr>
        <w:adjustRightIn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项目联系人（询问）：</w:t>
      </w:r>
      <w:r>
        <w:rPr>
          <w:rFonts w:hint="eastAsia" w:ascii="宋体" w:hAnsi="宋体" w:cs="宋体"/>
          <w:color w:val="auto"/>
          <w:sz w:val="24"/>
          <w:highlight w:val="none"/>
          <w:lang w:val="en-US" w:eastAsia="zh-CN"/>
        </w:rPr>
        <w:t xml:space="preserve"> 潘女士 </w:t>
      </w:r>
    </w:p>
    <w:p w14:paraId="4633CE51">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项目联系方式（询问</w:t>
      </w:r>
      <w:r>
        <w:rPr>
          <w:rFonts w:hint="eastAsia" w:ascii="宋体" w:hAnsi="宋体" w:eastAsia="宋体" w:cs="宋体"/>
          <w:color w:val="auto"/>
          <w:sz w:val="24"/>
          <w:highlight w:val="none"/>
          <w:lang w:val="en-US" w:eastAsia="zh-CN"/>
        </w:rPr>
        <w:t xml:space="preserve">）：0575-81280623  </w:t>
      </w:r>
    </w:p>
    <w:p w14:paraId="029C15D2">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质疑联系人：</w:t>
      </w:r>
      <w:r>
        <w:rPr>
          <w:rFonts w:hint="eastAsia" w:ascii="宋体" w:hAnsi="宋体" w:eastAsia="宋体" w:cs="宋体"/>
          <w:color w:val="auto"/>
          <w:sz w:val="24"/>
          <w:highlight w:val="none"/>
          <w:lang w:val="en-US" w:eastAsia="zh-CN"/>
        </w:rPr>
        <w:t xml:space="preserve">沈女士  </w:t>
      </w:r>
    </w:p>
    <w:p w14:paraId="7E9ECD59">
      <w:pPr>
        <w:adjustRightInd w:val="0"/>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rPr>
        <w:t>质疑联系方式：</w:t>
      </w:r>
      <w:r>
        <w:rPr>
          <w:rFonts w:hint="eastAsia" w:ascii="宋体" w:hAnsi="宋体" w:eastAsia="宋体" w:cs="宋体"/>
          <w:color w:val="auto"/>
          <w:sz w:val="24"/>
          <w:highlight w:val="none"/>
          <w:lang w:val="en-US" w:eastAsia="zh-CN"/>
        </w:rPr>
        <w:t>0575-81280623</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rPr>
        <w:t xml:space="preserve">                 </w:t>
      </w:r>
    </w:p>
    <w:p w14:paraId="20160D3F">
      <w:pPr>
        <w:adjustRightIn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地址：绍兴市上虞区恒利路149号</w:t>
      </w:r>
    </w:p>
    <w:p w14:paraId="74F28163">
      <w:pPr>
        <w:adjustRightInd w:val="0"/>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．同级政府采购监督管理部门名称：上虞区财政局政府采购监管科</w:t>
      </w:r>
    </w:p>
    <w:p w14:paraId="2CEBB911">
      <w:pPr>
        <w:adjustRightInd w:val="0"/>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联系人：谷先生</w:t>
      </w:r>
    </w:p>
    <w:p w14:paraId="76B4BE6C">
      <w:pPr>
        <w:adjustRightInd w:val="0"/>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监督投诉电话：</w:t>
      </w:r>
      <w:r>
        <w:rPr>
          <w:rFonts w:ascii="宋体" w:hAnsi="宋体" w:cs="宋体"/>
          <w:color w:val="auto"/>
          <w:sz w:val="24"/>
          <w:szCs w:val="24"/>
          <w:highlight w:val="none"/>
        </w:rPr>
        <w:t>0575-82130212</w:t>
      </w:r>
    </w:p>
    <w:p w14:paraId="7E38CCA2">
      <w:pPr>
        <w:adjustRightIn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传真：0575-821</w:t>
      </w:r>
      <w:r>
        <w:rPr>
          <w:rFonts w:hint="eastAsia" w:ascii="宋体" w:hAnsi="宋体" w:cs="宋体"/>
          <w:color w:val="auto"/>
          <w:sz w:val="24"/>
          <w:szCs w:val="24"/>
          <w:highlight w:val="none"/>
          <w:lang w:val="en-US" w:eastAsia="zh-CN"/>
        </w:rPr>
        <w:t>54859</w:t>
      </w:r>
    </w:p>
    <w:p w14:paraId="5DB435A5">
      <w:pPr>
        <w:adjustRightInd w:val="0"/>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地址：绍兴市上虞区体育场路</w:t>
      </w:r>
      <w:r>
        <w:rPr>
          <w:rFonts w:ascii="宋体" w:hAnsi="宋体" w:cs="宋体"/>
          <w:color w:val="auto"/>
          <w:sz w:val="24"/>
          <w:szCs w:val="24"/>
          <w:highlight w:val="none"/>
        </w:rPr>
        <w:t>18</w:t>
      </w:r>
      <w:r>
        <w:rPr>
          <w:rFonts w:hint="eastAsia" w:ascii="宋体" w:hAnsi="宋体" w:cs="宋体"/>
          <w:color w:val="auto"/>
          <w:sz w:val="24"/>
          <w:szCs w:val="24"/>
          <w:highlight w:val="none"/>
        </w:rPr>
        <w:t>号</w:t>
      </w:r>
    </w:p>
    <w:p w14:paraId="2CBBAB38">
      <w:pPr>
        <w:spacing w:line="360" w:lineRule="auto"/>
        <w:jc w:val="center"/>
        <w:outlineLvl w:val="0"/>
        <w:rPr>
          <w:rFonts w:ascii="宋体"/>
          <w:b/>
          <w:bCs/>
          <w:color w:val="auto"/>
          <w:sz w:val="36"/>
          <w:szCs w:val="36"/>
          <w:highlight w:val="none"/>
        </w:rPr>
      </w:pPr>
    </w:p>
    <w:p w14:paraId="2E541B3B">
      <w:pP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若对项目采购电子交易系统操作有疑问，可登录政采云（https://www.zcygov.cn/），点击右侧咨询小采，获取采小蜜智能服务管家帮助，或拨打政采云服务热线95763获取热线服务帮助。</w:t>
      </w:r>
    </w:p>
    <w:p w14:paraId="325F521D">
      <w:pPr>
        <w:adjustRightInd w:val="0"/>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CA问题联系电话（人工）：汇信CA 400-888-4636；天谷CA 400-087-8198。</w:t>
      </w:r>
      <w:bookmarkStart w:id="15" w:name="_Toc24505"/>
      <w:bookmarkStart w:id="16" w:name="_Toc29834"/>
      <w:bookmarkStart w:id="17" w:name="_Toc546"/>
    </w:p>
    <w:p w14:paraId="5B136251">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4C069A11">
      <w:pPr>
        <w:pStyle w:val="2"/>
        <w:bidi w:val="0"/>
        <w:jc w:val="center"/>
      </w:pPr>
      <w:bookmarkStart w:id="18" w:name="_Toc18253"/>
      <w:bookmarkStart w:id="19" w:name="_Toc22545"/>
      <w:bookmarkStart w:id="20" w:name="_Toc12883"/>
      <w:r>
        <w:rPr>
          <w:rFonts w:hint="eastAsia"/>
          <w:lang w:val="en-US" w:eastAsia="zh-CN"/>
        </w:rPr>
        <w:t>第二部分</w:t>
      </w:r>
      <w:bookmarkEnd w:id="7"/>
      <w:r>
        <w:rPr>
          <w:rFonts w:hint="eastAsia"/>
          <w:lang w:val="en-US" w:eastAsia="zh-CN"/>
        </w:rPr>
        <w:t xml:space="preserve"> </w:t>
      </w:r>
      <w:bookmarkEnd w:id="8"/>
      <w:r>
        <w:rPr>
          <w:rFonts w:hint="eastAsia"/>
          <w:lang w:val="en-US" w:eastAsia="zh-CN"/>
        </w:rPr>
        <w:t>供应商须知</w:t>
      </w:r>
      <w:bookmarkEnd w:id="15"/>
      <w:bookmarkEnd w:id="16"/>
      <w:bookmarkEnd w:id="17"/>
      <w:bookmarkEnd w:id="18"/>
      <w:bookmarkEnd w:id="19"/>
      <w:bookmarkEnd w:id="20"/>
    </w:p>
    <w:p w14:paraId="0C93DEC2">
      <w:pPr>
        <w:widowControl/>
        <w:adjustRightInd w:val="0"/>
        <w:snapToGrid w:val="0"/>
        <w:spacing w:line="360" w:lineRule="auto"/>
        <w:jc w:val="center"/>
        <w:rPr>
          <w:rFonts w:ascii="宋体"/>
          <w:b/>
          <w:bCs/>
          <w:snapToGrid w:val="0"/>
          <w:color w:val="auto"/>
          <w:sz w:val="32"/>
          <w:szCs w:val="32"/>
          <w:highlight w:val="none"/>
        </w:rPr>
      </w:pPr>
      <w:r>
        <w:rPr>
          <w:rFonts w:hint="eastAsia" w:ascii="宋体" w:hAnsi="宋体" w:cs="宋体"/>
          <w:b/>
          <w:bCs/>
          <w:snapToGrid w:val="0"/>
          <w:color w:val="auto"/>
          <w:sz w:val="30"/>
          <w:szCs w:val="30"/>
          <w:highlight w:val="none"/>
        </w:rPr>
        <w:t>供应商须知前附表</w:t>
      </w:r>
    </w:p>
    <w:tbl>
      <w:tblPr>
        <w:tblStyle w:val="28"/>
        <w:tblW w:w="913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1800"/>
        <w:gridCol w:w="6682"/>
      </w:tblGrid>
      <w:tr w14:paraId="5F9552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tblHeader/>
          <w:jc w:val="center"/>
        </w:trPr>
        <w:tc>
          <w:tcPr>
            <w:tcW w:w="648" w:type="dxa"/>
            <w:tcBorders>
              <w:top w:val="double" w:color="auto" w:sz="4" w:space="0"/>
            </w:tcBorders>
            <w:vAlign w:val="center"/>
          </w:tcPr>
          <w:p w14:paraId="1510BC27">
            <w:pPr>
              <w:snapToGrid w:val="0"/>
              <w:jc w:val="center"/>
              <w:rPr>
                <w:rFonts w:ascii="宋体"/>
                <w:b/>
                <w:bCs/>
                <w:snapToGrid w:val="0"/>
                <w:color w:val="auto"/>
                <w:highlight w:val="none"/>
              </w:rPr>
            </w:pPr>
            <w:r>
              <w:rPr>
                <w:rFonts w:hint="eastAsia" w:ascii="宋体" w:hAnsi="宋体" w:cs="宋体"/>
                <w:b/>
                <w:bCs/>
                <w:snapToGrid w:val="0"/>
                <w:color w:val="auto"/>
                <w:highlight w:val="none"/>
              </w:rPr>
              <w:t>序号</w:t>
            </w:r>
          </w:p>
        </w:tc>
        <w:tc>
          <w:tcPr>
            <w:tcW w:w="1800" w:type="dxa"/>
            <w:tcBorders>
              <w:top w:val="double" w:color="auto" w:sz="4" w:space="0"/>
            </w:tcBorders>
            <w:vAlign w:val="center"/>
          </w:tcPr>
          <w:p w14:paraId="046C0E24">
            <w:pPr>
              <w:snapToGrid w:val="0"/>
              <w:jc w:val="center"/>
              <w:rPr>
                <w:rFonts w:ascii="宋体"/>
                <w:b/>
                <w:bCs/>
                <w:snapToGrid w:val="0"/>
                <w:color w:val="auto"/>
                <w:highlight w:val="none"/>
              </w:rPr>
            </w:pPr>
            <w:r>
              <w:rPr>
                <w:rFonts w:hint="eastAsia" w:ascii="宋体" w:hAnsi="宋体" w:cs="宋体"/>
                <w:b/>
                <w:bCs/>
                <w:snapToGrid w:val="0"/>
                <w:color w:val="auto"/>
                <w:highlight w:val="none"/>
              </w:rPr>
              <w:t>项目</w:t>
            </w:r>
          </w:p>
        </w:tc>
        <w:tc>
          <w:tcPr>
            <w:tcW w:w="6682" w:type="dxa"/>
            <w:tcBorders>
              <w:top w:val="double" w:color="auto" w:sz="4" w:space="0"/>
            </w:tcBorders>
            <w:vAlign w:val="center"/>
          </w:tcPr>
          <w:p w14:paraId="70793BCB">
            <w:pPr>
              <w:snapToGrid w:val="0"/>
              <w:jc w:val="center"/>
              <w:rPr>
                <w:rFonts w:ascii="宋体"/>
                <w:b/>
                <w:bCs/>
                <w:snapToGrid w:val="0"/>
                <w:color w:val="auto"/>
                <w:highlight w:val="none"/>
              </w:rPr>
            </w:pPr>
            <w:r>
              <w:rPr>
                <w:rFonts w:hint="eastAsia" w:ascii="宋体" w:hAnsi="宋体" w:cs="宋体"/>
                <w:b/>
                <w:bCs/>
                <w:snapToGrid w:val="0"/>
                <w:color w:val="auto"/>
                <w:highlight w:val="none"/>
              </w:rPr>
              <w:t>内容</w:t>
            </w:r>
          </w:p>
        </w:tc>
      </w:tr>
      <w:tr w14:paraId="2F018A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648" w:type="dxa"/>
            <w:vAlign w:val="center"/>
          </w:tcPr>
          <w:p w14:paraId="1EEA2684">
            <w:pPr>
              <w:snapToGrid w:val="0"/>
              <w:jc w:val="center"/>
              <w:rPr>
                <w:rFonts w:ascii="宋体"/>
                <w:snapToGrid w:val="0"/>
                <w:color w:val="auto"/>
                <w:highlight w:val="none"/>
              </w:rPr>
            </w:pPr>
            <w:r>
              <w:rPr>
                <w:rFonts w:ascii="宋体" w:hAnsi="宋体" w:cs="宋体"/>
                <w:snapToGrid w:val="0"/>
                <w:color w:val="auto"/>
                <w:highlight w:val="none"/>
              </w:rPr>
              <w:t>1</w:t>
            </w:r>
          </w:p>
        </w:tc>
        <w:tc>
          <w:tcPr>
            <w:tcW w:w="1800" w:type="dxa"/>
            <w:vAlign w:val="center"/>
          </w:tcPr>
          <w:p w14:paraId="30A5B062">
            <w:pPr>
              <w:snapToGrid w:val="0"/>
              <w:jc w:val="center"/>
              <w:rPr>
                <w:rFonts w:ascii="宋体"/>
                <w:snapToGrid w:val="0"/>
                <w:color w:val="auto"/>
                <w:highlight w:val="none"/>
              </w:rPr>
            </w:pPr>
            <w:r>
              <w:rPr>
                <w:rFonts w:hint="eastAsia" w:ascii="宋体" w:hAnsi="宋体" w:cs="宋体"/>
                <w:snapToGrid w:val="0"/>
                <w:color w:val="auto"/>
                <w:highlight w:val="none"/>
              </w:rPr>
              <w:t>项目名称</w:t>
            </w:r>
          </w:p>
        </w:tc>
        <w:tc>
          <w:tcPr>
            <w:tcW w:w="6682" w:type="dxa"/>
            <w:vAlign w:val="center"/>
          </w:tcPr>
          <w:p w14:paraId="62BD68B4">
            <w:pPr>
              <w:bidi w:val="0"/>
              <w:ind w:firstLine="400" w:firstLineChars="200"/>
              <w:jc w:val="left"/>
              <w:rPr>
                <w:rFonts w:ascii="宋体"/>
                <w:snapToGrid w:val="0"/>
                <w:color w:val="auto"/>
                <w:highlight w:val="none"/>
              </w:rPr>
            </w:pPr>
            <w:r>
              <w:rPr>
                <w:rFonts w:hint="eastAsia" w:ascii="宋体" w:hAnsi="宋体" w:cs="宋体"/>
                <w:snapToGrid w:val="0"/>
                <w:color w:val="auto"/>
                <w:highlight w:val="none"/>
                <w:lang w:val="en-US" w:eastAsia="zh-CN" w:bidi="ar-SA"/>
              </w:rPr>
              <w:t>绍兴市上虞区应急管理局2026年度食堂劳务外包服务项目</w:t>
            </w:r>
          </w:p>
        </w:tc>
      </w:tr>
      <w:tr w14:paraId="560C72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648" w:type="dxa"/>
            <w:vAlign w:val="center"/>
          </w:tcPr>
          <w:p w14:paraId="11662E78">
            <w:pPr>
              <w:snapToGrid w:val="0"/>
              <w:jc w:val="center"/>
              <w:rPr>
                <w:rFonts w:ascii="宋体"/>
                <w:snapToGrid w:val="0"/>
                <w:color w:val="auto"/>
                <w:highlight w:val="none"/>
              </w:rPr>
            </w:pPr>
            <w:r>
              <w:rPr>
                <w:rFonts w:ascii="宋体" w:hAnsi="宋体" w:cs="宋体"/>
                <w:snapToGrid w:val="0"/>
                <w:color w:val="auto"/>
                <w:highlight w:val="none"/>
              </w:rPr>
              <w:t>2</w:t>
            </w:r>
          </w:p>
        </w:tc>
        <w:tc>
          <w:tcPr>
            <w:tcW w:w="1800" w:type="dxa"/>
            <w:vAlign w:val="center"/>
          </w:tcPr>
          <w:p w14:paraId="265B01F3">
            <w:pPr>
              <w:snapToGrid w:val="0"/>
              <w:jc w:val="center"/>
              <w:rPr>
                <w:rFonts w:ascii="宋体"/>
                <w:snapToGrid w:val="0"/>
                <w:color w:val="auto"/>
                <w:highlight w:val="none"/>
              </w:rPr>
            </w:pPr>
            <w:r>
              <w:rPr>
                <w:rFonts w:hint="eastAsia" w:ascii="宋体" w:hAnsi="宋体" w:cs="宋体"/>
                <w:snapToGrid w:val="0"/>
                <w:color w:val="auto"/>
                <w:highlight w:val="none"/>
              </w:rPr>
              <w:t>项目实施时间</w:t>
            </w:r>
          </w:p>
        </w:tc>
        <w:tc>
          <w:tcPr>
            <w:tcW w:w="6682" w:type="dxa"/>
            <w:vAlign w:val="center"/>
          </w:tcPr>
          <w:p w14:paraId="3017459D">
            <w:pPr>
              <w:ind w:firstLine="402" w:firstLineChars="200"/>
              <w:rPr>
                <w:rFonts w:hint="default" w:ascii="宋体" w:eastAsia="宋体"/>
                <w:b/>
                <w:bCs/>
                <w:color w:val="auto"/>
                <w:highlight w:val="none"/>
                <w:lang w:val="en-US" w:eastAsia="zh-CN"/>
              </w:rPr>
            </w:pPr>
            <w:r>
              <w:rPr>
                <w:rFonts w:hint="eastAsia" w:ascii="宋体"/>
                <w:b/>
                <w:bCs/>
                <w:color w:val="auto"/>
                <w:highlight w:val="none"/>
                <w:lang w:val="en-US" w:eastAsia="zh-CN"/>
              </w:rPr>
              <w:t>合同签订之日起至履约完成。</w:t>
            </w:r>
          </w:p>
        </w:tc>
      </w:tr>
      <w:tr w14:paraId="40AF6A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648" w:type="dxa"/>
            <w:vAlign w:val="center"/>
          </w:tcPr>
          <w:p w14:paraId="74EEBF83">
            <w:pPr>
              <w:snapToGrid w:val="0"/>
              <w:jc w:val="center"/>
              <w:rPr>
                <w:rFonts w:ascii="宋体"/>
                <w:snapToGrid w:val="0"/>
                <w:color w:val="auto"/>
                <w:highlight w:val="none"/>
              </w:rPr>
            </w:pPr>
            <w:r>
              <w:rPr>
                <w:rFonts w:ascii="宋体" w:hAnsi="宋体" w:cs="宋体"/>
                <w:snapToGrid w:val="0"/>
                <w:color w:val="auto"/>
                <w:highlight w:val="none"/>
              </w:rPr>
              <w:t>3</w:t>
            </w:r>
          </w:p>
        </w:tc>
        <w:tc>
          <w:tcPr>
            <w:tcW w:w="1800" w:type="dxa"/>
            <w:vAlign w:val="center"/>
          </w:tcPr>
          <w:p w14:paraId="6A65621F">
            <w:pPr>
              <w:snapToGrid w:val="0"/>
              <w:jc w:val="center"/>
              <w:rPr>
                <w:rFonts w:ascii="宋体"/>
                <w:b/>
                <w:bCs/>
                <w:snapToGrid w:val="0"/>
                <w:color w:val="auto"/>
                <w:highlight w:val="none"/>
              </w:rPr>
            </w:pPr>
            <w:r>
              <w:rPr>
                <w:rFonts w:hint="eastAsia" w:ascii="宋体" w:hAnsi="宋体" w:cs="宋体"/>
                <w:b/>
                <w:bCs/>
                <w:snapToGrid w:val="0"/>
                <w:color w:val="auto"/>
                <w:highlight w:val="none"/>
              </w:rPr>
              <w:t>最高限价</w:t>
            </w:r>
          </w:p>
        </w:tc>
        <w:tc>
          <w:tcPr>
            <w:tcW w:w="6682" w:type="dxa"/>
            <w:vAlign w:val="center"/>
          </w:tcPr>
          <w:p w14:paraId="1458F941">
            <w:pPr>
              <w:snapToGrid w:val="0"/>
              <w:ind w:firstLine="400" w:firstLineChars="200"/>
              <w:rPr>
                <w:rFonts w:ascii="宋体"/>
                <w:b/>
                <w:bCs/>
                <w:snapToGrid w:val="0"/>
                <w:color w:val="auto"/>
                <w:highlight w:val="none"/>
              </w:rPr>
            </w:pPr>
            <w:r>
              <w:rPr>
                <w:rFonts w:hint="eastAsia" w:ascii="宋体" w:hAnsi="宋体" w:cs="宋体"/>
                <w:color w:val="auto"/>
                <w:highlight w:val="none"/>
              </w:rPr>
              <w:t>本项目最高限价人民币</w:t>
            </w:r>
            <w:r>
              <w:rPr>
                <w:rFonts w:hint="eastAsia" w:ascii="宋体" w:hAnsi="宋体" w:cs="宋体"/>
                <w:color w:val="auto"/>
                <w:highlight w:val="none"/>
                <w:u w:val="single"/>
                <w:lang w:val="en-US" w:eastAsia="zh-CN"/>
              </w:rPr>
              <w:t>36.4</w:t>
            </w:r>
            <w:r>
              <w:rPr>
                <w:rFonts w:hint="eastAsia" w:ascii="宋体" w:hAnsi="宋体" w:cs="宋体"/>
                <w:color w:val="auto"/>
                <w:highlight w:val="none"/>
                <w:u w:val="none"/>
                <w:lang w:val="en-US" w:eastAsia="zh-CN"/>
              </w:rPr>
              <w:t>万</w:t>
            </w:r>
            <w:r>
              <w:rPr>
                <w:rFonts w:hint="eastAsia" w:ascii="宋体" w:hAnsi="宋体" w:cs="宋体"/>
                <w:color w:val="auto"/>
                <w:highlight w:val="none"/>
                <w:lang w:val="en-US" w:eastAsia="zh-CN"/>
              </w:rPr>
              <w:t>元</w:t>
            </w:r>
            <w:r>
              <w:rPr>
                <w:rFonts w:hint="eastAsia" w:ascii="宋体" w:hAnsi="宋体" w:cs="宋体"/>
                <w:color w:val="auto"/>
                <w:highlight w:val="none"/>
              </w:rPr>
              <w:t xml:space="preserve">。 </w:t>
            </w:r>
          </w:p>
        </w:tc>
      </w:tr>
      <w:tr w14:paraId="5DC78E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vAlign w:val="center"/>
          </w:tcPr>
          <w:p w14:paraId="5C39168F">
            <w:pPr>
              <w:snapToGrid w:val="0"/>
              <w:jc w:val="center"/>
              <w:rPr>
                <w:rFonts w:ascii="宋体"/>
                <w:snapToGrid w:val="0"/>
                <w:color w:val="auto"/>
                <w:highlight w:val="none"/>
              </w:rPr>
            </w:pPr>
            <w:r>
              <w:rPr>
                <w:rFonts w:ascii="宋体" w:hAnsi="宋体" w:cs="宋体"/>
                <w:snapToGrid w:val="0"/>
                <w:color w:val="auto"/>
                <w:highlight w:val="none"/>
              </w:rPr>
              <w:t xml:space="preserve">                                                                                                   4</w:t>
            </w:r>
          </w:p>
        </w:tc>
        <w:tc>
          <w:tcPr>
            <w:tcW w:w="1800" w:type="dxa"/>
            <w:vAlign w:val="center"/>
          </w:tcPr>
          <w:p w14:paraId="4AD98D03">
            <w:pPr>
              <w:snapToGrid w:val="0"/>
              <w:jc w:val="center"/>
              <w:rPr>
                <w:rFonts w:ascii="宋体"/>
                <w:snapToGrid w:val="0"/>
                <w:color w:val="auto"/>
                <w:highlight w:val="none"/>
              </w:rPr>
            </w:pPr>
            <w:r>
              <w:rPr>
                <w:rFonts w:hint="eastAsia" w:ascii="宋体" w:hAnsi="宋体" w:cs="宋体"/>
                <w:snapToGrid w:val="0"/>
                <w:color w:val="auto"/>
                <w:highlight w:val="none"/>
              </w:rPr>
              <w:t>资格审查方式</w:t>
            </w:r>
          </w:p>
        </w:tc>
        <w:tc>
          <w:tcPr>
            <w:tcW w:w="6682" w:type="dxa"/>
            <w:vAlign w:val="center"/>
          </w:tcPr>
          <w:p w14:paraId="1AB23AB3">
            <w:pPr>
              <w:snapToGrid w:val="0"/>
              <w:ind w:firstLine="400" w:firstLineChars="200"/>
              <w:rPr>
                <w:rFonts w:ascii="宋体"/>
                <w:snapToGrid w:val="0"/>
                <w:color w:val="auto"/>
                <w:highlight w:val="none"/>
              </w:rPr>
            </w:pPr>
            <w:r>
              <w:rPr>
                <w:rFonts w:hint="eastAsia" w:ascii="宋体" w:hAnsi="宋体" w:cs="宋体"/>
                <w:snapToGrid w:val="0"/>
                <w:color w:val="auto"/>
                <w:highlight w:val="none"/>
              </w:rPr>
              <w:t>资格审查是指开标后，磋商小组将依据法律法规和磋商文件的规定对供应商的资格进行审查。</w:t>
            </w:r>
          </w:p>
        </w:tc>
      </w:tr>
      <w:tr w14:paraId="26FB5B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48" w:type="dxa"/>
            <w:vAlign w:val="center"/>
          </w:tcPr>
          <w:p w14:paraId="3C6EE71D">
            <w:pPr>
              <w:snapToGrid w:val="0"/>
              <w:jc w:val="center"/>
              <w:rPr>
                <w:rFonts w:ascii="宋体"/>
                <w:snapToGrid w:val="0"/>
                <w:color w:val="auto"/>
                <w:highlight w:val="none"/>
              </w:rPr>
            </w:pPr>
            <w:r>
              <w:rPr>
                <w:rFonts w:ascii="宋体" w:hAnsi="宋体" w:cs="宋体"/>
                <w:snapToGrid w:val="0"/>
                <w:color w:val="auto"/>
                <w:highlight w:val="none"/>
              </w:rPr>
              <w:t>5</w:t>
            </w:r>
          </w:p>
        </w:tc>
        <w:tc>
          <w:tcPr>
            <w:tcW w:w="1800" w:type="dxa"/>
            <w:vAlign w:val="center"/>
          </w:tcPr>
          <w:p w14:paraId="6AA8BCB4">
            <w:pPr>
              <w:snapToGrid w:val="0"/>
              <w:jc w:val="center"/>
              <w:rPr>
                <w:rFonts w:ascii="宋体"/>
                <w:snapToGrid w:val="0"/>
                <w:color w:val="auto"/>
                <w:highlight w:val="none"/>
              </w:rPr>
            </w:pPr>
            <w:r>
              <w:rPr>
                <w:rFonts w:hint="eastAsia" w:ascii="宋体" w:hAnsi="宋体" w:cs="宋体"/>
                <w:snapToGrid w:val="0"/>
                <w:color w:val="auto"/>
                <w:highlight w:val="none"/>
              </w:rPr>
              <w:t>踏勘现场</w:t>
            </w:r>
          </w:p>
        </w:tc>
        <w:tc>
          <w:tcPr>
            <w:tcW w:w="6682" w:type="dxa"/>
            <w:vAlign w:val="center"/>
          </w:tcPr>
          <w:p w14:paraId="5CA2254C">
            <w:pPr>
              <w:snapToGrid w:val="0"/>
              <w:ind w:firstLine="402" w:firstLineChars="200"/>
              <w:rPr>
                <w:rFonts w:ascii="宋体"/>
                <w:snapToGrid w:val="0"/>
                <w:color w:val="auto"/>
                <w:highlight w:val="none"/>
              </w:rPr>
            </w:pPr>
            <w:r>
              <w:rPr>
                <w:rFonts w:hint="eastAsia" w:ascii="宋体" w:hAnsi="宋体" w:cs="宋体"/>
                <w:b/>
                <w:bCs/>
                <w:snapToGrid w:val="0"/>
                <w:color w:val="auto"/>
                <w:highlight w:val="none"/>
              </w:rPr>
              <w:t>本项目不组织现场踏勘</w:t>
            </w:r>
          </w:p>
        </w:tc>
      </w:tr>
      <w:tr w14:paraId="61CC86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vAlign w:val="center"/>
          </w:tcPr>
          <w:p w14:paraId="12F25365">
            <w:pPr>
              <w:snapToGrid w:val="0"/>
              <w:jc w:val="center"/>
              <w:rPr>
                <w:rFonts w:ascii="宋体"/>
                <w:snapToGrid w:val="0"/>
                <w:color w:val="auto"/>
                <w:highlight w:val="none"/>
              </w:rPr>
            </w:pPr>
            <w:r>
              <w:rPr>
                <w:rFonts w:ascii="宋体" w:hAnsi="宋体" w:cs="宋体"/>
                <w:snapToGrid w:val="0"/>
                <w:color w:val="auto"/>
                <w:highlight w:val="none"/>
              </w:rPr>
              <w:t>6</w:t>
            </w:r>
          </w:p>
        </w:tc>
        <w:tc>
          <w:tcPr>
            <w:tcW w:w="1800" w:type="dxa"/>
            <w:vAlign w:val="center"/>
          </w:tcPr>
          <w:p w14:paraId="080D2685">
            <w:pPr>
              <w:snapToGrid w:val="0"/>
              <w:jc w:val="center"/>
              <w:rPr>
                <w:rFonts w:ascii="宋体"/>
                <w:snapToGrid w:val="0"/>
                <w:color w:val="auto"/>
                <w:highlight w:val="none"/>
              </w:rPr>
            </w:pPr>
            <w:r>
              <w:rPr>
                <w:rFonts w:hint="eastAsia" w:ascii="宋体" w:hAnsi="宋体" w:cs="宋体"/>
                <w:snapToGrid w:val="0"/>
                <w:color w:val="auto"/>
                <w:highlight w:val="none"/>
              </w:rPr>
              <w:t>询问</w:t>
            </w:r>
          </w:p>
        </w:tc>
        <w:tc>
          <w:tcPr>
            <w:tcW w:w="6682" w:type="dxa"/>
            <w:vAlign w:val="center"/>
          </w:tcPr>
          <w:p w14:paraId="6C4083DA">
            <w:pPr>
              <w:snapToGrid w:val="0"/>
              <w:ind w:firstLine="400" w:firstLineChars="200"/>
              <w:rPr>
                <w:rFonts w:ascii="宋体"/>
                <w:snapToGrid w:val="0"/>
                <w:color w:val="auto"/>
                <w:highlight w:val="none"/>
              </w:rPr>
            </w:pPr>
            <w:r>
              <w:rPr>
                <w:rFonts w:hint="eastAsia" w:ascii="宋体" w:hAnsi="宋体" w:cs="宋体"/>
                <w:snapToGrid w:val="0"/>
                <w:color w:val="auto"/>
                <w:highlight w:val="none"/>
              </w:rPr>
              <w:t>供应商对政府采购活动事项有疑问的，可以向采购机构提出询问，采购人或者招标代理机构应当在</w:t>
            </w:r>
            <w:r>
              <w:rPr>
                <w:rFonts w:ascii="宋体" w:hAnsi="宋体" w:cs="宋体"/>
                <w:snapToGrid w:val="0"/>
                <w:color w:val="auto"/>
                <w:highlight w:val="none"/>
              </w:rPr>
              <w:t>3</w:t>
            </w:r>
            <w:r>
              <w:rPr>
                <w:rFonts w:hint="eastAsia" w:ascii="宋体" w:hAnsi="宋体" w:cs="宋体"/>
                <w:snapToGrid w:val="0"/>
                <w:color w:val="auto"/>
                <w:highlight w:val="none"/>
              </w:rPr>
              <w:t>个工作日内对供应商依法提出的询问作出答复，但答复的内容不得涉及商业秘密。</w:t>
            </w:r>
          </w:p>
        </w:tc>
      </w:tr>
      <w:tr w14:paraId="0AD67D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vAlign w:val="center"/>
          </w:tcPr>
          <w:p w14:paraId="685E5E33">
            <w:pPr>
              <w:snapToGrid w:val="0"/>
              <w:jc w:val="center"/>
              <w:rPr>
                <w:rFonts w:ascii="宋体"/>
                <w:snapToGrid w:val="0"/>
                <w:color w:val="auto"/>
                <w:highlight w:val="none"/>
              </w:rPr>
            </w:pPr>
            <w:r>
              <w:rPr>
                <w:rFonts w:ascii="宋体" w:hAnsi="宋体" w:cs="宋体"/>
                <w:snapToGrid w:val="0"/>
                <w:color w:val="auto"/>
                <w:highlight w:val="none"/>
              </w:rPr>
              <w:t>7</w:t>
            </w:r>
          </w:p>
        </w:tc>
        <w:tc>
          <w:tcPr>
            <w:tcW w:w="1800" w:type="dxa"/>
            <w:vAlign w:val="center"/>
          </w:tcPr>
          <w:p w14:paraId="4240C9A8">
            <w:pPr>
              <w:snapToGrid w:val="0"/>
              <w:jc w:val="center"/>
              <w:rPr>
                <w:rFonts w:ascii="宋体"/>
                <w:snapToGrid w:val="0"/>
                <w:color w:val="auto"/>
                <w:highlight w:val="none"/>
              </w:rPr>
            </w:pPr>
            <w:r>
              <w:rPr>
                <w:rFonts w:hint="eastAsia" w:ascii="宋体" w:hAnsi="宋体" w:cs="宋体"/>
                <w:snapToGrid w:val="0"/>
                <w:color w:val="auto"/>
                <w:highlight w:val="none"/>
              </w:rPr>
              <w:t>磋商文件的澄清与修改</w:t>
            </w:r>
          </w:p>
        </w:tc>
        <w:tc>
          <w:tcPr>
            <w:tcW w:w="6682" w:type="dxa"/>
            <w:vAlign w:val="center"/>
          </w:tcPr>
          <w:p w14:paraId="6A8873A7">
            <w:pPr>
              <w:snapToGrid w:val="0"/>
              <w:ind w:firstLine="400" w:firstLineChars="200"/>
              <w:rPr>
                <w:rFonts w:ascii="宋体"/>
                <w:snapToGrid w:val="0"/>
                <w:color w:val="auto"/>
                <w:highlight w:val="none"/>
              </w:rPr>
            </w:pPr>
            <w:r>
              <w:rPr>
                <w:rFonts w:hint="eastAsia" w:ascii="宋体" w:hAnsi="宋体" w:cs="宋体"/>
                <w:snapToGrid w:val="0"/>
                <w:color w:val="auto"/>
                <w:highlight w:val="none"/>
              </w:rPr>
              <w:t>采购单位可以对已发出的磋商文件进行必要澄清或者修改，澄清或者修改的内容可能影响响应文件编制的，应当在提交首次响应文件</w:t>
            </w:r>
            <w:r>
              <w:rPr>
                <w:rFonts w:hint="eastAsia" w:ascii="宋体" w:hAnsi="宋体" w:cs="宋体"/>
                <w:snapToGrid w:val="0"/>
                <w:color w:val="auto"/>
                <w:highlight w:val="none"/>
                <w:lang w:val="en-US" w:eastAsia="zh-CN"/>
              </w:rPr>
              <w:t>截止</w:t>
            </w:r>
            <w:r>
              <w:rPr>
                <w:rFonts w:hint="eastAsia" w:ascii="宋体" w:hAnsi="宋体" w:cs="宋体"/>
                <w:snapToGrid w:val="0"/>
                <w:color w:val="auto"/>
                <w:highlight w:val="none"/>
              </w:rPr>
              <w:t>时间至少</w:t>
            </w:r>
            <w:r>
              <w:rPr>
                <w:rFonts w:ascii="宋体" w:hAnsi="宋体" w:cs="宋体"/>
                <w:snapToGrid w:val="0"/>
                <w:color w:val="auto"/>
                <w:highlight w:val="none"/>
              </w:rPr>
              <w:t>5</w:t>
            </w:r>
            <w:r>
              <w:rPr>
                <w:rFonts w:hint="eastAsia" w:ascii="宋体" w:hAnsi="宋体" w:cs="宋体"/>
                <w:snapToGrid w:val="0"/>
                <w:color w:val="auto"/>
                <w:highlight w:val="none"/>
              </w:rPr>
              <w:t>日前，在磋商公告发布的媒体上发布更正公告。本项目磋商文件和补充（答疑、澄清）、修改文件等请自行登录浙江政府采购网或绍兴市上虞区公共资源交易中心网站查看。</w:t>
            </w:r>
          </w:p>
        </w:tc>
      </w:tr>
      <w:tr w14:paraId="688725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vAlign w:val="center"/>
          </w:tcPr>
          <w:p w14:paraId="459A9203">
            <w:pPr>
              <w:snapToGrid w:val="0"/>
              <w:jc w:val="center"/>
              <w:rPr>
                <w:rFonts w:ascii="宋体"/>
                <w:snapToGrid w:val="0"/>
                <w:color w:val="auto"/>
                <w:highlight w:val="none"/>
              </w:rPr>
            </w:pPr>
            <w:r>
              <w:rPr>
                <w:rFonts w:ascii="宋体" w:hAnsi="宋体" w:cs="宋体"/>
                <w:snapToGrid w:val="0"/>
                <w:color w:val="auto"/>
                <w:highlight w:val="none"/>
              </w:rPr>
              <w:t>8</w:t>
            </w:r>
          </w:p>
        </w:tc>
        <w:tc>
          <w:tcPr>
            <w:tcW w:w="1800" w:type="dxa"/>
            <w:vAlign w:val="center"/>
          </w:tcPr>
          <w:p w14:paraId="141B58FB">
            <w:pPr>
              <w:snapToGrid w:val="0"/>
              <w:jc w:val="center"/>
              <w:rPr>
                <w:rFonts w:ascii="宋体"/>
                <w:snapToGrid w:val="0"/>
                <w:color w:val="auto"/>
                <w:highlight w:val="none"/>
              </w:rPr>
            </w:pPr>
            <w:r>
              <w:rPr>
                <w:rFonts w:hint="eastAsia" w:ascii="宋体" w:hAnsi="宋体" w:cs="宋体"/>
                <w:snapToGrid w:val="0"/>
                <w:color w:val="auto"/>
                <w:highlight w:val="none"/>
              </w:rPr>
              <w:t>磋商响应文件组成</w:t>
            </w:r>
          </w:p>
        </w:tc>
        <w:tc>
          <w:tcPr>
            <w:tcW w:w="6682" w:type="dxa"/>
            <w:vAlign w:val="center"/>
          </w:tcPr>
          <w:p w14:paraId="1F3CC6CF">
            <w:pPr>
              <w:snapToGrid w:val="0"/>
              <w:ind w:firstLine="400" w:firstLineChars="200"/>
              <w:rPr>
                <w:rFonts w:ascii="宋体"/>
                <w:snapToGrid w:val="0"/>
                <w:color w:val="auto"/>
                <w:highlight w:val="none"/>
              </w:rPr>
            </w:pPr>
            <w:r>
              <w:rPr>
                <w:rFonts w:hint="eastAsia" w:ascii="宋体" w:hAnsi="宋体" w:cs="宋体"/>
                <w:snapToGrid w:val="0"/>
                <w:color w:val="auto"/>
                <w:highlight w:val="none"/>
              </w:rPr>
              <w:t>供应商向采购人递交的响应文件由资格文件、商务技术文件、报价文件三部分组成。</w:t>
            </w:r>
          </w:p>
        </w:tc>
      </w:tr>
      <w:tr w14:paraId="5B6D8B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648" w:type="dxa"/>
            <w:vAlign w:val="center"/>
          </w:tcPr>
          <w:p w14:paraId="2CDEA7B9">
            <w:pPr>
              <w:snapToGrid w:val="0"/>
              <w:jc w:val="center"/>
              <w:rPr>
                <w:rFonts w:ascii="宋体"/>
                <w:snapToGrid w:val="0"/>
                <w:color w:val="auto"/>
                <w:highlight w:val="none"/>
              </w:rPr>
            </w:pPr>
            <w:r>
              <w:rPr>
                <w:rFonts w:ascii="宋体" w:hAnsi="宋体" w:cs="宋体"/>
                <w:snapToGrid w:val="0"/>
                <w:color w:val="auto"/>
                <w:highlight w:val="none"/>
              </w:rPr>
              <w:t>9</w:t>
            </w:r>
          </w:p>
        </w:tc>
        <w:tc>
          <w:tcPr>
            <w:tcW w:w="1800" w:type="dxa"/>
            <w:vAlign w:val="center"/>
          </w:tcPr>
          <w:p w14:paraId="4B1CB6FF">
            <w:pPr>
              <w:snapToGrid w:val="0"/>
              <w:jc w:val="center"/>
              <w:rPr>
                <w:rFonts w:ascii="宋体"/>
                <w:snapToGrid w:val="0"/>
                <w:color w:val="auto"/>
                <w:highlight w:val="none"/>
              </w:rPr>
            </w:pPr>
            <w:r>
              <w:rPr>
                <w:rFonts w:hint="eastAsia" w:ascii="宋体" w:hAnsi="宋体" w:cs="宋体"/>
                <w:snapToGrid w:val="0"/>
                <w:color w:val="auto"/>
                <w:highlight w:val="none"/>
              </w:rPr>
              <w:t>评标办法</w:t>
            </w:r>
          </w:p>
        </w:tc>
        <w:tc>
          <w:tcPr>
            <w:tcW w:w="6682" w:type="dxa"/>
            <w:vAlign w:val="center"/>
          </w:tcPr>
          <w:p w14:paraId="47FC60DE">
            <w:pPr>
              <w:snapToGrid w:val="0"/>
              <w:ind w:firstLine="400" w:firstLineChars="200"/>
              <w:rPr>
                <w:rFonts w:ascii="宋体"/>
                <w:snapToGrid w:val="0"/>
                <w:color w:val="auto"/>
                <w:highlight w:val="none"/>
              </w:rPr>
            </w:pPr>
            <w:r>
              <w:rPr>
                <w:rFonts w:hint="eastAsia" w:ascii="宋体" w:hAnsi="宋体" w:cs="宋体"/>
                <w:snapToGrid w:val="0"/>
                <w:color w:val="auto"/>
                <w:highlight w:val="none"/>
              </w:rPr>
              <w:t>综合评分法</w:t>
            </w:r>
          </w:p>
        </w:tc>
      </w:tr>
      <w:tr w14:paraId="2A3928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vAlign w:val="center"/>
          </w:tcPr>
          <w:p w14:paraId="39C85306">
            <w:pPr>
              <w:snapToGrid w:val="0"/>
              <w:jc w:val="center"/>
              <w:rPr>
                <w:rFonts w:ascii="宋体"/>
                <w:snapToGrid w:val="0"/>
                <w:color w:val="auto"/>
                <w:highlight w:val="none"/>
              </w:rPr>
            </w:pPr>
            <w:r>
              <w:rPr>
                <w:rFonts w:ascii="宋体" w:hAnsi="宋体" w:cs="宋体"/>
                <w:snapToGrid w:val="0"/>
                <w:color w:val="auto"/>
                <w:highlight w:val="none"/>
              </w:rPr>
              <w:t>10</w:t>
            </w:r>
          </w:p>
        </w:tc>
        <w:tc>
          <w:tcPr>
            <w:tcW w:w="1800" w:type="dxa"/>
            <w:vAlign w:val="center"/>
          </w:tcPr>
          <w:p w14:paraId="1842C316">
            <w:pPr>
              <w:snapToGrid w:val="0"/>
              <w:jc w:val="center"/>
              <w:rPr>
                <w:rFonts w:ascii="宋体"/>
                <w:snapToGrid w:val="0"/>
                <w:color w:val="auto"/>
                <w:highlight w:val="none"/>
              </w:rPr>
            </w:pPr>
            <w:r>
              <w:rPr>
                <w:rFonts w:hint="eastAsia" w:ascii="宋体" w:hAnsi="宋体" w:cs="宋体"/>
                <w:snapToGrid w:val="0"/>
                <w:color w:val="auto"/>
                <w:highlight w:val="none"/>
              </w:rPr>
              <w:t>磋商响应文件递交地址及截止时间</w:t>
            </w:r>
          </w:p>
        </w:tc>
        <w:tc>
          <w:tcPr>
            <w:tcW w:w="6682" w:type="dxa"/>
            <w:vAlign w:val="center"/>
          </w:tcPr>
          <w:p w14:paraId="3DA09F17">
            <w:pPr>
              <w:snapToGrid w:val="0"/>
              <w:ind w:firstLine="400" w:firstLineChars="200"/>
              <w:rPr>
                <w:rFonts w:ascii="宋体"/>
                <w:color w:val="auto"/>
                <w:highlight w:val="none"/>
              </w:rPr>
            </w:pPr>
            <w:r>
              <w:rPr>
                <w:rFonts w:hint="eastAsia" w:ascii="宋体" w:hAnsi="宋体" w:cs="宋体"/>
                <w:snapToGrid w:val="0"/>
                <w:color w:val="auto"/>
                <w:highlight w:val="none"/>
              </w:rPr>
              <w:t>详见磋商公告</w:t>
            </w:r>
          </w:p>
        </w:tc>
      </w:tr>
      <w:tr w14:paraId="6D9878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vAlign w:val="center"/>
          </w:tcPr>
          <w:p w14:paraId="7F3AE1C5">
            <w:pPr>
              <w:snapToGrid w:val="0"/>
              <w:jc w:val="center"/>
              <w:rPr>
                <w:rFonts w:ascii="宋体"/>
                <w:snapToGrid w:val="0"/>
                <w:color w:val="auto"/>
                <w:highlight w:val="none"/>
              </w:rPr>
            </w:pPr>
            <w:r>
              <w:rPr>
                <w:rFonts w:ascii="宋体" w:hAnsi="宋体" w:cs="宋体"/>
                <w:snapToGrid w:val="0"/>
                <w:color w:val="auto"/>
                <w:highlight w:val="none"/>
              </w:rPr>
              <w:t>11</w:t>
            </w:r>
          </w:p>
        </w:tc>
        <w:tc>
          <w:tcPr>
            <w:tcW w:w="1800" w:type="dxa"/>
            <w:vAlign w:val="center"/>
          </w:tcPr>
          <w:p w14:paraId="4B61B158">
            <w:pPr>
              <w:snapToGrid w:val="0"/>
              <w:jc w:val="center"/>
              <w:rPr>
                <w:rFonts w:ascii="宋体"/>
                <w:snapToGrid w:val="0"/>
                <w:color w:val="auto"/>
                <w:highlight w:val="none"/>
              </w:rPr>
            </w:pPr>
            <w:r>
              <w:rPr>
                <w:rFonts w:hint="eastAsia" w:ascii="宋体" w:hAnsi="宋体" w:cs="宋体"/>
                <w:snapToGrid w:val="0"/>
                <w:color w:val="auto"/>
                <w:highlight w:val="none"/>
              </w:rPr>
              <w:t>开标时间、地点</w:t>
            </w:r>
          </w:p>
        </w:tc>
        <w:tc>
          <w:tcPr>
            <w:tcW w:w="6682" w:type="dxa"/>
            <w:vAlign w:val="center"/>
          </w:tcPr>
          <w:p w14:paraId="0D0F8810">
            <w:pPr>
              <w:snapToGrid w:val="0"/>
              <w:ind w:firstLine="400" w:firstLineChars="200"/>
              <w:rPr>
                <w:rFonts w:ascii="宋体"/>
                <w:snapToGrid w:val="0"/>
                <w:color w:val="auto"/>
                <w:highlight w:val="none"/>
              </w:rPr>
            </w:pPr>
            <w:r>
              <w:rPr>
                <w:rFonts w:hint="eastAsia" w:ascii="宋体" w:hAnsi="宋体" w:cs="宋体"/>
                <w:snapToGrid w:val="0"/>
                <w:color w:val="auto"/>
                <w:highlight w:val="none"/>
              </w:rPr>
              <w:t>开标时间：</w:t>
            </w:r>
            <w:r>
              <w:rPr>
                <w:rFonts w:hint="eastAsia" w:ascii="宋体" w:hAnsi="宋体" w:cs="宋体"/>
                <w:color w:val="auto"/>
                <w:highlight w:val="none"/>
              </w:rPr>
              <w:t>详见磋商公告</w:t>
            </w:r>
          </w:p>
          <w:p w14:paraId="3D9DE605">
            <w:pPr>
              <w:snapToGrid w:val="0"/>
              <w:ind w:firstLine="400" w:firstLineChars="200"/>
              <w:rPr>
                <w:rFonts w:ascii="宋体"/>
                <w:color w:val="auto"/>
                <w:highlight w:val="none"/>
              </w:rPr>
            </w:pPr>
            <w:r>
              <w:rPr>
                <w:rFonts w:hint="eastAsia" w:ascii="宋体" w:hAnsi="宋体" w:cs="宋体"/>
                <w:snapToGrid w:val="0"/>
                <w:color w:val="auto"/>
                <w:highlight w:val="none"/>
              </w:rPr>
              <w:t>开标地点：</w:t>
            </w:r>
            <w:r>
              <w:rPr>
                <w:rFonts w:hint="eastAsia" w:ascii="宋体" w:hAnsi="宋体" w:cs="宋体"/>
                <w:color w:val="auto"/>
                <w:highlight w:val="none"/>
              </w:rPr>
              <w:t>详见磋商公告</w:t>
            </w:r>
          </w:p>
        </w:tc>
      </w:tr>
      <w:tr w14:paraId="215D05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48" w:type="dxa"/>
            <w:vAlign w:val="center"/>
          </w:tcPr>
          <w:p w14:paraId="015577F5">
            <w:pPr>
              <w:snapToGrid w:val="0"/>
              <w:jc w:val="center"/>
              <w:rPr>
                <w:rFonts w:ascii="宋体"/>
                <w:snapToGrid w:val="0"/>
                <w:color w:val="auto"/>
                <w:highlight w:val="none"/>
              </w:rPr>
            </w:pPr>
            <w:r>
              <w:rPr>
                <w:rFonts w:ascii="宋体" w:hAnsi="宋体" w:cs="宋体"/>
                <w:snapToGrid w:val="0"/>
                <w:color w:val="auto"/>
                <w:highlight w:val="none"/>
              </w:rPr>
              <w:t>12</w:t>
            </w:r>
          </w:p>
        </w:tc>
        <w:tc>
          <w:tcPr>
            <w:tcW w:w="1800" w:type="dxa"/>
            <w:vAlign w:val="center"/>
          </w:tcPr>
          <w:p w14:paraId="541ECC6B">
            <w:pPr>
              <w:snapToGrid w:val="0"/>
              <w:jc w:val="center"/>
              <w:rPr>
                <w:rFonts w:ascii="宋体"/>
                <w:snapToGrid w:val="0"/>
                <w:color w:val="auto"/>
                <w:highlight w:val="none"/>
              </w:rPr>
            </w:pPr>
            <w:r>
              <w:rPr>
                <w:rFonts w:hint="eastAsia" w:ascii="宋体" w:hAnsi="宋体" w:cs="宋体"/>
                <w:snapToGrid w:val="0"/>
                <w:color w:val="auto"/>
                <w:highlight w:val="none"/>
              </w:rPr>
              <w:t>磋商响应文件有效期</w:t>
            </w:r>
          </w:p>
        </w:tc>
        <w:tc>
          <w:tcPr>
            <w:tcW w:w="6682" w:type="dxa"/>
            <w:vAlign w:val="center"/>
          </w:tcPr>
          <w:p w14:paraId="1A62DABC">
            <w:pPr>
              <w:snapToGrid w:val="0"/>
              <w:ind w:firstLine="400" w:firstLineChars="200"/>
              <w:rPr>
                <w:rFonts w:ascii="宋体"/>
                <w:snapToGrid w:val="0"/>
                <w:color w:val="auto"/>
                <w:highlight w:val="none"/>
              </w:rPr>
            </w:pPr>
            <w:r>
              <w:rPr>
                <w:rFonts w:hint="eastAsia" w:ascii="宋体" w:hAnsi="宋体" w:cs="宋体"/>
                <w:snapToGrid w:val="0"/>
                <w:color w:val="auto"/>
                <w:highlight w:val="none"/>
              </w:rPr>
              <w:t>响应文件有效期为从提交响应文件的截止之日起</w:t>
            </w:r>
            <w:r>
              <w:rPr>
                <w:rFonts w:ascii="宋体" w:hAnsi="宋体" w:cs="宋体"/>
                <w:snapToGrid w:val="0"/>
                <w:color w:val="auto"/>
                <w:highlight w:val="none"/>
              </w:rPr>
              <w:t>90</w:t>
            </w:r>
            <w:r>
              <w:rPr>
                <w:rFonts w:hint="eastAsia" w:ascii="宋体" w:hAnsi="宋体" w:cs="宋体"/>
                <w:snapToGrid w:val="0"/>
                <w:color w:val="auto"/>
                <w:highlight w:val="none"/>
              </w:rPr>
              <w:t>天。供应商的响应文件中承诺的响应文件有效期少于磋商文件中载明的响应文件有效期的，磋商无效。</w:t>
            </w:r>
          </w:p>
        </w:tc>
      </w:tr>
      <w:tr w14:paraId="28134F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vAlign w:val="center"/>
          </w:tcPr>
          <w:p w14:paraId="1416C3B1">
            <w:pPr>
              <w:snapToGrid w:val="0"/>
              <w:jc w:val="center"/>
              <w:rPr>
                <w:rFonts w:ascii="宋体"/>
                <w:snapToGrid w:val="0"/>
                <w:color w:val="auto"/>
                <w:highlight w:val="none"/>
              </w:rPr>
            </w:pPr>
            <w:r>
              <w:rPr>
                <w:rFonts w:ascii="宋体" w:hAnsi="宋体" w:cs="宋体"/>
                <w:snapToGrid w:val="0"/>
                <w:color w:val="auto"/>
                <w:highlight w:val="none"/>
              </w:rPr>
              <w:t>13</w:t>
            </w:r>
          </w:p>
        </w:tc>
        <w:tc>
          <w:tcPr>
            <w:tcW w:w="1800" w:type="dxa"/>
            <w:vAlign w:val="center"/>
          </w:tcPr>
          <w:p w14:paraId="26FFD58F">
            <w:pPr>
              <w:snapToGrid w:val="0"/>
              <w:jc w:val="center"/>
              <w:rPr>
                <w:rFonts w:ascii="宋体"/>
                <w:snapToGrid w:val="0"/>
                <w:color w:val="auto"/>
                <w:highlight w:val="none"/>
              </w:rPr>
            </w:pPr>
            <w:r>
              <w:rPr>
                <w:rFonts w:hint="eastAsia" w:ascii="宋体" w:hAnsi="宋体" w:cs="宋体"/>
                <w:snapToGrid w:val="0"/>
                <w:color w:val="auto"/>
                <w:highlight w:val="none"/>
              </w:rPr>
              <w:t>履约保证金</w:t>
            </w:r>
          </w:p>
        </w:tc>
        <w:tc>
          <w:tcPr>
            <w:tcW w:w="6682" w:type="dxa"/>
            <w:vAlign w:val="center"/>
          </w:tcPr>
          <w:p w14:paraId="426413B1">
            <w:pPr>
              <w:pStyle w:val="15"/>
              <w:snapToGrid w:val="0"/>
              <w:ind w:firstLine="400" w:firstLineChars="200"/>
              <w:rPr>
                <w:rFonts w:hAnsi="宋体" w:cs="Times New Roman"/>
                <w:color w:val="auto"/>
                <w:highlight w:val="none"/>
              </w:rPr>
            </w:pPr>
            <w:r>
              <w:rPr>
                <w:rFonts w:hint="eastAsia" w:ascii="宋体" w:hAnsi="宋体" w:eastAsia="宋体" w:cs="宋体"/>
                <w:snapToGrid w:val="0"/>
                <w:color w:val="auto"/>
                <w:kern w:val="0"/>
                <w:szCs w:val="21"/>
                <w:highlight w:val="none"/>
              </w:rPr>
              <w:t>本项目不设置履约保证金</w:t>
            </w:r>
          </w:p>
        </w:tc>
      </w:tr>
      <w:tr w14:paraId="3B6462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vAlign w:val="center"/>
          </w:tcPr>
          <w:p w14:paraId="3C65B02A">
            <w:pPr>
              <w:snapToGrid w:val="0"/>
              <w:jc w:val="center"/>
              <w:rPr>
                <w:rFonts w:ascii="宋体"/>
                <w:snapToGrid w:val="0"/>
                <w:color w:val="auto"/>
                <w:highlight w:val="none"/>
              </w:rPr>
            </w:pPr>
            <w:r>
              <w:rPr>
                <w:rFonts w:ascii="宋体" w:hAnsi="宋体" w:cs="宋体"/>
                <w:snapToGrid w:val="0"/>
                <w:color w:val="auto"/>
                <w:highlight w:val="none"/>
              </w:rPr>
              <w:t>14</w:t>
            </w:r>
          </w:p>
        </w:tc>
        <w:tc>
          <w:tcPr>
            <w:tcW w:w="1800" w:type="dxa"/>
            <w:vAlign w:val="center"/>
          </w:tcPr>
          <w:p w14:paraId="0B662B04">
            <w:pPr>
              <w:snapToGrid w:val="0"/>
              <w:jc w:val="center"/>
              <w:rPr>
                <w:rFonts w:ascii="宋体"/>
                <w:snapToGrid w:val="0"/>
                <w:color w:val="auto"/>
                <w:highlight w:val="none"/>
              </w:rPr>
            </w:pPr>
            <w:r>
              <w:rPr>
                <w:rFonts w:hint="eastAsia" w:ascii="宋体" w:hAnsi="宋体" w:cs="宋体"/>
                <w:snapToGrid w:val="0"/>
                <w:color w:val="auto"/>
                <w:highlight w:val="none"/>
              </w:rPr>
              <w:t>磋商公告及成交结果公告发布媒体</w:t>
            </w:r>
          </w:p>
        </w:tc>
        <w:tc>
          <w:tcPr>
            <w:tcW w:w="6682" w:type="dxa"/>
            <w:vAlign w:val="center"/>
          </w:tcPr>
          <w:p w14:paraId="721B4D7A">
            <w:pPr>
              <w:pStyle w:val="15"/>
              <w:snapToGrid w:val="0"/>
              <w:ind w:firstLine="400" w:firstLineChars="200"/>
              <w:rPr>
                <w:rFonts w:hAnsi="宋体" w:cs="Times New Roman"/>
                <w:color w:val="auto"/>
                <w:highlight w:val="none"/>
              </w:rPr>
            </w:pPr>
            <w:r>
              <w:rPr>
                <w:rFonts w:hint="eastAsia" w:hAnsi="宋体"/>
                <w:color w:val="auto"/>
                <w:highlight w:val="none"/>
              </w:rPr>
              <w:t>浙江省政府采购网、</w:t>
            </w:r>
            <w:r>
              <w:rPr>
                <w:rFonts w:hAnsi="宋体"/>
                <w:color w:val="auto"/>
                <w:highlight w:val="none"/>
              </w:rPr>
              <w:t xml:space="preserve"> </w:t>
            </w:r>
            <w:r>
              <w:rPr>
                <w:rFonts w:hint="eastAsia" w:hAnsi="宋体"/>
                <w:color w:val="auto"/>
                <w:highlight w:val="none"/>
              </w:rPr>
              <w:t>绍兴市上虞区公共资源交易中心网站</w:t>
            </w:r>
          </w:p>
        </w:tc>
      </w:tr>
      <w:tr w14:paraId="39A739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vAlign w:val="center"/>
          </w:tcPr>
          <w:p w14:paraId="4E02303D">
            <w:pPr>
              <w:snapToGrid w:val="0"/>
              <w:jc w:val="center"/>
              <w:rPr>
                <w:rFonts w:ascii="宋体"/>
                <w:color w:val="auto"/>
                <w:highlight w:val="none"/>
              </w:rPr>
            </w:pPr>
            <w:r>
              <w:rPr>
                <w:rFonts w:ascii="宋体" w:hAnsi="宋体" w:cs="宋体"/>
                <w:color w:val="auto"/>
                <w:highlight w:val="none"/>
              </w:rPr>
              <w:t>15</w:t>
            </w:r>
          </w:p>
        </w:tc>
        <w:tc>
          <w:tcPr>
            <w:tcW w:w="1800" w:type="dxa"/>
            <w:vAlign w:val="center"/>
          </w:tcPr>
          <w:p w14:paraId="6DF7F274">
            <w:pPr>
              <w:snapToGrid w:val="0"/>
              <w:jc w:val="center"/>
              <w:rPr>
                <w:rFonts w:ascii="宋体"/>
                <w:snapToGrid w:val="0"/>
                <w:color w:val="auto"/>
                <w:highlight w:val="none"/>
              </w:rPr>
            </w:pPr>
            <w:r>
              <w:rPr>
                <w:rFonts w:hint="eastAsia" w:ascii="宋体" w:hAnsi="宋体" w:cs="宋体"/>
                <w:snapToGrid w:val="0"/>
                <w:color w:val="auto"/>
                <w:highlight w:val="none"/>
              </w:rPr>
              <w:t>质疑</w:t>
            </w:r>
          </w:p>
        </w:tc>
        <w:tc>
          <w:tcPr>
            <w:tcW w:w="6682" w:type="dxa"/>
            <w:vAlign w:val="center"/>
          </w:tcPr>
          <w:p w14:paraId="750DD7D7">
            <w:pPr>
              <w:ind w:firstLine="400" w:firstLineChars="200"/>
              <w:jc w:val="left"/>
              <w:rPr>
                <w:rFonts w:ascii="宋体"/>
                <w:color w:val="auto"/>
                <w:highlight w:val="none"/>
              </w:rPr>
            </w:pPr>
            <w:r>
              <w:rPr>
                <w:rFonts w:hint="eastAsia" w:ascii="宋体" w:hAnsi="宋体" w:cs="宋体"/>
                <w:color w:val="auto"/>
                <w:highlight w:val="none"/>
              </w:rPr>
              <w:t>根据《中华人民共和国政府采购法》第五十二条、《中华人民共和国政府采购法实施条例》第五十三条、《浙江省政府采购供应商质疑处理办法》的规定：</w:t>
            </w:r>
          </w:p>
          <w:p w14:paraId="3F4EEF99">
            <w:pPr>
              <w:ind w:firstLine="400" w:firstLineChars="200"/>
              <w:jc w:val="left"/>
              <w:rPr>
                <w:rFonts w:ascii="宋体"/>
                <w:color w:val="auto"/>
                <w:highlight w:val="none"/>
              </w:rPr>
            </w:pPr>
            <w:r>
              <w:rPr>
                <w:rFonts w:hint="eastAsia" w:ascii="宋体" w:hAnsi="宋体" w:cs="宋体"/>
                <w:color w:val="auto"/>
                <w:highlight w:val="none"/>
              </w:rPr>
              <w:t>供应商认为磋商文件使自己的权益受到损害的，可以在磋商文件公告期限届满之日起</w:t>
            </w:r>
            <w:r>
              <w:rPr>
                <w:rFonts w:ascii="宋体" w:hAnsi="宋体" w:cs="宋体"/>
                <w:color w:val="auto"/>
                <w:highlight w:val="none"/>
              </w:rPr>
              <w:t>7</w:t>
            </w:r>
            <w:r>
              <w:rPr>
                <w:rFonts w:hint="eastAsia" w:ascii="宋体" w:hAnsi="宋体" w:cs="宋体"/>
                <w:color w:val="auto"/>
                <w:highlight w:val="none"/>
              </w:rPr>
              <w:t>个工作日内，以书面形式向采购人和采购代理机构提出质疑。供应商在法定质疑期内应一次性提出针对同一采购程序环节的质疑。供应商如认为采购过程使自身的合法权益受到损害的，应于各采购程序环节结束之日起七个工作日内以书面形式向采购机构提出质疑；</w:t>
            </w:r>
          </w:p>
          <w:p w14:paraId="29AA66AD">
            <w:pPr>
              <w:snapToGrid w:val="0"/>
              <w:ind w:firstLine="400" w:firstLineChars="200"/>
              <w:jc w:val="left"/>
              <w:rPr>
                <w:rFonts w:ascii="宋体"/>
                <w:snapToGrid w:val="0"/>
                <w:color w:val="auto"/>
                <w:highlight w:val="none"/>
              </w:rPr>
            </w:pPr>
            <w:r>
              <w:rPr>
                <w:rFonts w:hint="eastAsia" w:ascii="宋体" w:hAnsi="宋体" w:cs="宋体"/>
                <w:color w:val="auto"/>
                <w:highlight w:val="none"/>
              </w:rPr>
              <w:t>供应商如认为中标结果使自身的合法权益受到损害的，应于中标或者成交结果公告期限届满之日起七个工作日内以书面形式向采购机构提出质疑</w:t>
            </w:r>
            <w:r>
              <w:rPr>
                <w:rFonts w:hint="eastAsia" w:ascii="宋体" w:hAnsi="宋体" w:cs="宋体"/>
                <w:snapToGrid w:val="0"/>
                <w:color w:val="auto"/>
                <w:highlight w:val="none"/>
              </w:rPr>
              <w:t>。</w:t>
            </w:r>
          </w:p>
        </w:tc>
      </w:tr>
      <w:tr w14:paraId="511ED2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vAlign w:val="center"/>
          </w:tcPr>
          <w:p w14:paraId="1DFB3B14">
            <w:pPr>
              <w:snapToGrid w:val="0"/>
              <w:jc w:val="center"/>
              <w:rPr>
                <w:rFonts w:ascii="宋体"/>
                <w:snapToGrid w:val="0"/>
                <w:color w:val="auto"/>
                <w:highlight w:val="none"/>
              </w:rPr>
            </w:pPr>
            <w:r>
              <w:rPr>
                <w:rFonts w:ascii="宋体" w:hAnsi="宋体" w:cs="宋体"/>
                <w:snapToGrid w:val="0"/>
                <w:color w:val="auto"/>
                <w:highlight w:val="none"/>
              </w:rPr>
              <w:t>16</w:t>
            </w:r>
          </w:p>
        </w:tc>
        <w:tc>
          <w:tcPr>
            <w:tcW w:w="1800" w:type="dxa"/>
            <w:vAlign w:val="center"/>
          </w:tcPr>
          <w:p w14:paraId="2CA74661">
            <w:pPr>
              <w:snapToGrid w:val="0"/>
              <w:jc w:val="center"/>
              <w:rPr>
                <w:rFonts w:ascii="宋体"/>
                <w:snapToGrid w:val="0"/>
                <w:color w:val="auto"/>
                <w:highlight w:val="none"/>
              </w:rPr>
            </w:pPr>
            <w:r>
              <w:rPr>
                <w:rFonts w:hint="eastAsia" w:ascii="宋体" w:hAnsi="宋体" w:cs="宋体"/>
                <w:snapToGrid w:val="0"/>
                <w:color w:val="auto"/>
                <w:highlight w:val="none"/>
              </w:rPr>
              <w:t>投诉</w:t>
            </w:r>
          </w:p>
        </w:tc>
        <w:tc>
          <w:tcPr>
            <w:tcW w:w="6682" w:type="dxa"/>
            <w:vAlign w:val="center"/>
          </w:tcPr>
          <w:p w14:paraId="272BA2D1">
            <w:pPr>
              <w:snapToGrid w:val="0"/>
              <w:ind w:firstLine="400" w:firstLineChars="200"/>
              <w:jc w:val="left"/>
              <w:rPr>
                <w:rFonts w:ascii="宋体"/>
                <w:snapToGrid w:val="0"/>
                <w:color w:val="auto"/>
                <w:highlight w:val="none"/>
              </w:rPr>
            </w:pPr>
            <w:r>
              <w:rPr>
                <w:rFonts w:hint="eastAsia" w:ascii="宋体" w:hAnsi="宋体" w:cs="宋体"/>
                <w:snapToGrid w:val="0"/>
                <w:color w:val="auto"/>
                <w:highlight w:val="none"/>
              </w:rPr>
              <w:t>根据《政府采购法》第五十五条的规定，质疑供应商对采购人、招标代理机构的答复不满意或者采购人、招标代理机构未在规定的时间内作出答复的，可以在答复期满后十五个工作日内向同级政府采购监督管理部门投诉。</w:t>
            </w:r>
          </w:p>
        </w:tc>
      </w:tr>
      <w:tr w14:paraId="580843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vAlign w:val="center"/>
          </w:tcPr>
          <w:p w14:paraId="15300929">
            <w:pPr>
              <w:snapToGrid w:val="0"/>
              <w:jc w:val="center"/>
              <w:rPr>
                <w:rFonts w:ascii="宋体"/>
                <w:snapToGrid w:val="0"/>
                <w:color w:val="auto"/>
                <w:highlight w:val="none"/>
              </w:rPr>
            </w:pPr>
            <w:r>
              <w:rPr>
                <w:rFonts w:ascii="宋体" w:hAnsi="宋体" w:cs="宋体"/>
                <w:snapToGrid w:val="0"/>
                <w:color w:val="auto"/>
                <w:highlight w:val="none"/>
              </w:rPr>
              <w:t>17</w:t>
            </w:r>
          </w:p>
        </w:tc>
        <w:tc>
          <w:tcPr>
            <w:tcW w:w="1800" w:type="dxa"/>
            <w:vAlign w:val="center"/>
          </w:tcPr>
          <w:p w14:paraId="055E93AD">
            <w:pPr>
              <w:snapToGrid w:val="0"/>
              <w:jc w:val="center"/>
              <w:rPr>
                <w:rFonts w:ascii="宋体"/>
                <w:snapToGrid w:val="0"/>
                <w:color w:val="auto"/>
                <w:highlight w:val="none"/>
              </w:rPr>
            </w:pPr>
            <w:r>
              <w:rPr>
                <w:rFonts w:hint="eastAsia" w:ascii="宋体" w:hAnsi="宋体" w:cs="宋体"/>
                <w:snapToGrid w:val="0"/>
                <w:color w:val="auto"/>
                <w:highlight w:val="none"/>
              </w:rPr>
              <w:t>特别说明</w:t>
            </w:r>
          </w:p>
        </w:tc>
        <w:tc>
          <w:tcPr>
            <w:tcW w:w="6682" w:type="dxa"/>
            <w:vAlign w:val="center"/>
          </w:tcPr>
          <w:p w14:paraId="2F9250C5">
            <w:pPr>
              <w:pStyle w:val="15"/>
              <w:snapToGrid w:val="0"/>
              <w:ind w:firstLine="400" w:firstLineChars="200"/>
              <w:rPr>
                <w:rFonts w:hAnsi="宋体" w:cs="Times New Roman"/>
                <w:color w:val="auto"/>
                <w:highlight w:val="none"/>
              </w:rPr>
            </w:pPr>
            <w:r>
              <w:rPr>
                <w:rFonts w:hint="eastAsia" w:hAnsi="宋体"/>
                <w:color w:val="auto"/>
                <w:highlight w:val="none"/>
              </w:rPr>
              <w:t>供应商应无条件的、认真仔细的阅读本磋商文件及其澄清答疑、修改答复的补充文件，严格按照磋商文件及补充文件的规定和要求编制响应文件。在编制响应文件过程中，应严格遵循实事求是、诚信投标的原则，针对磋商文件中的采购需求、合同条款等各项内容进行确认，如有偏离，应如实填写响应偏离表。</w:t>
            </w:r>
          </w:p>
          <w:p w14:paraId="10E9C680">
            <w:pPr>
              <w:pStyle w:val="15"/>
              <w:snapToGrid w:val="0"/>
              <w:ind w:firstLine="400" w:firstLineChars="200"/>
              <w:rPr>
                <w:rFonts w:hAnsi="宋体" w:cs="Times New Roman"/>
                <w:color w:val="auto"/>
                <w:highlight w:val="none"/>
              </w:rPr>
            </w:pPr>
            <w:r>
              <w:rPr>
                <w:rFonts w:hint="eastAsia" w:hAnsi="宋体"/>
                <w:color w:val="auto"/>
                <w:highlight w:val="none"/>
              </w:rPr>
              <w:t>该项目结果公告期间，供应商不得通过非正当途径、更不得通过非正当手段获取法律法规规定评标委员会（包括其他相关人员）应当保密的相关内容。即便由此获得资料并作为向采购人或招标代理机构或监督管理部门提出异（质）疑或投诉或法院起诉的理由，均属于非法索取的依据。</w:t>
            </w:r>
          </w:p>
          <w:p w14:paraId="5908E680">
            <w:pPr>
              <w:pStyle w:val="15"/>
              <w:snapToGrid w:val="0"/>
              <w:ind w:firstLine="400" w:firstLineChars="200"/>
              <w:rPr>
                <w:rFonts w:hAnsi="宋体" w:cs="Times New Roman"/>
                <w:color w:val="auto"/>
                <w:highlight w:val="none"/>
              </w:rPr>
            </w:pPr>
            <w:r>
              <w:rPr>
                <w:rFonts w:hint="eastAsia" w:hAnsi="宋体"/>
                <w:color w:val="auto"/>
                <w:highlight w:val="none"/>
              </w:rPr>
              <w:t>质疑、投诉人未按前列进行质疑、投诉（申诉），均属于扰乱政府采购市场不良行为。</w:t>
            </w:r>
          </w:p>
          <w:p w14:paraId="543DB76E">
            <w:pPr>
              <w:pStyle w:val="15"/>
              <w:snapToGrid w:val="0"/>
              <w:ind w:firstLine="400" w:firstLineChars="200"/>
              <w:rPr>
                <w:rFonts w:hAnsi="宋体" w:cs="Times New Roman"/>
                <w:b/>
                <w:bCs/>
                <w:color w:val="auto"/>
                <w:highlight w:val="none"/>
              </w:rPr>
            </w:pPr>
            <w:r>
              <w:rPr>
                <w:rFonts w:hint="eastAsia" w:hAnsi="宋体"/>
                <w:color w:val="auto"/>
                <w:highlight w:val="none"/>
              </w:rPr>
              <w:t>磋商文件中凡标注“★”的条款均为实质性要求，不响应的响应文件将作无效标处理。</w:t>
            </w:r>
          </w:p>
        </w:tc>
      </w:tr>
      <w:tr w14:paraId="712B0F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648" w:type="dxa"/>
            <w:vAlign w:val="center"/>
          </w:tcPr>
          <w:p w14:paraId="17826364">
            <w:pPr>
              <w:snapToGrid w:val="0"/>
              <w:jc w:val="center"/>
              <w:rPr>
                <w:rFonts w:ascii="宋体"/>
                <w:snapToGrid w:val="0"/>
                <w:color w:val="auto"/>
                <w:highlight w:val="none"/>
              </w:rPr>
            </w:pPr>
            <w:r>
              <w:rPr>
                <w:rFonts w:ascii="宋体" w:hAnsi="宋体" w:cs="宋体"/>
                <w:snapToGrid w:val="0"/>
                <w:color w:val="auto"/>
                <w:highlight w:val="none"/>
              </w:rPr>
              <w:t>1</w:t>
            </w:r>
            <w:r>
              <w:rPr>
                <w:rFonts w:hint="eastAsia" w:ascii="宋体" w:hAnsi="宋体" w:cs="宋体"/>
                <w:snapToGrid w:val="0"/>
                <w:color w:val="auto"/>
                <w:highlight w:val="none"/>
              </w:rPr>
              <w:t>8</w:t>
            </w:r>
          </w:p>
        </w:tc>
        <w:tc>
          <w:tcPr>
            <w:tcW w:w="1800" w:type="dxa"/>
            <w:vAlign w:val="center"/>
          </w:tcPr>
          <w:p w14:paraId="26F20B3D">
            <w:pPr>
              <w:snapToGrid w:val="0"/>
              <w:jc w:val="center"/>
              <w:rPr>
                <w:rFonts w:ascii="宋体"/>
                <w:color w:val="auto"/>
                <w:highlight w:val="none"/>
              </w:rPr>
            </w:pPr>
            <w:r>
              <w:rPr>
                <w:rFonts w:hint="eastAsia" w:ascii="宋体" w:hAnsi="宋体" w:cs="宋体"/>
                <w:color w:val="auto"/>
                <w:highlight w:val="none"/>
              </w:rPr>
              <w:t>支</w:t>
            </w:r>
          </w:p>
          <w:p w14:paraId="6ADEBD79">
            <w:pPr>
              <w:snapToGrid w:val="0"/>
              <w:jc w:val="center"/>
              <w:rPr>
                <w:rFonts w:ascii="宋体"/>
                <w:color w:val="auto"/>
                <w:highlight w:val="none"/>
              </w:rPr>
            </w:pPr>
            <w:r>
              <w:rPr>
                <w:rFonts w:hint="eastAsia" w:ascii="宋体" w:hAnsi="宋体" w:cs="宋体"/>
                <w:color w:val="auto"/>
                <w:highlight w:val="none"/>
              </w:rPr>
              <w:t>持</w:t>
            </w:r>
          </w:p>
          <w:p w14:paraId="2DEEAF51">
            <w:pPr>
              <w:snapToGrid w:val="0"/>
              <w:jc w:val="center"/>
              <w:rPr>
                <w:rFonts w:ascii="宋体"/>
                <w:color w:val="auto"/>
                <w:highlight w:val="none"/>
              </w:rPr>
            </w:pPr>
            <w:r>
              <w:rPr>
                <w:rFonts w:hint="eastAsia" w:ascii="宋体" w:hAnsi="宋体" w:cs="宋体"/>
                <w:color w:val="auto"/>
                <w:highlight w:val="none"/>
              </w:rPr>
              <w:t>中</w:t>
            </w:r>
          </w:p>
          <w:p w14:paraId="2BDFF14B">
            <w:pPr>
              <w:snapToGrid w:val="0"/>
              <w:jc w:val="center"/>
              <w:rPr>
                <w:rFonts w:ascii="宋体"/>
                <w:color w:val="auto"/>
                <w:highlight w:val="none"/>
              </w:rPr>
            </w:pPr>
            <w:r>
              <w:rPr>
                <w:rFonts w:hint="eastAsia" w:ascii="宋体" w:hAnsi="宋体" w:cs="宋体"/>
                <w:color w:val="auto"/>
                <w:highlight w:val="none"/>
              </w:rPr>
              <w:t>小</w:t>
            </w:r>
          </w:p>
          <w:p w14:paraId="5C0E6E88">
            <w:pPr>
              <w:snapToGrid w:val="0"/>
              <w:jc w:val="center"/>
              <w:rPr>
                <w:rFonts w:ascii="宋体"/>
                <w:color w:val="auto"/>
                <w:highlight w:val="none"/>
              </w:rPr>
            </w:pPr>
            <w:r>
              <w:rPr>
                <w:rFonts w:hint="eastAsia" w:ascii="宋体" w:hAnsi="宋体" w:cs="宋体"/>
                <w:color w:val="auto"/>
                <w:highlight w:val="none"/>
              </w:rPr>
              <w:t>企</w:t>
            </w:r>
          </w:p>
          <w:p w14:paraId="0C105286">
            <w:pPr>
              <w:snapToGrid w:val="0"/>
              <w:jc w:val="center"/>
              <w:rPr>
                <w:rFonts w:ascii="宋体"/>
                <w:color w:val="auto"/>
                <w:highlight w:val="none"/>
              </w:rPr>
            </w:pPr>
            <w:r>
              <w:rPr>
                <w:rFonts w:hint="eastAsia" w:ascii="宋体" w:hAnsi="宋体" w:cs="宋体"/>
                <w:color w:val="auto"/>
                <w:highlight w:val="none"/>
              </w:rPr>
              <w:t>业</w:t>
            </w:r>
          </w:p>
        </w:tc>
        <w:tc>
          <w:tcPr>
            <w:tcW w:w="6682" w:type="dxa"/>
            <w:vAlign w:val="center"/>
          </w:tcPr>
          <w:p w14:paraId="6375F533">
            <w:pPr>
              <w:ind w:firstLine="400" w:firstLineChars="200"/>
              <w:rPr>
                <w:rFonts w:ascii="宋体" w:hAnsi="宋体" w:cs="宋体"/>
                <w:color w:val="auto"/>
                <w:highlight w:val="none"/>
              </w:rPr>
            </w:pPr>
            <w:r>
              <w:rPr>
                <w:rFonts w:hint="eastAsia" w:ascii="宋体" w:hAnsi="宋体" w:cs="宋体"/>
                <w:color w:val="auto"/>
                <w:highlight w:val="none"/>
              </w:rPr>
              <w:t>小微企业是指在中华人民共和国境内依法设立，依据国务院批准的中小企业划分标准确定的小型企业和微型企业，但与大企业的负责人为同一人，或者与大企业存在直接控股、管理关系的除外。</w:t>
            </w:r>
          </w:p>
          <w:p w14:paraId="02197906">
            <w:pPr>
              <w:ind w:firstLine="400" w:firstLineChars="200"/>
              <w:rPr>
                <w:rFonts w:ascii="宋体" w:hAnsi="宋体" w:cs="宋体"/>
                <w:color w:val="auto"/>
                <w:highlight w:val="none"/>
              </w:rPr>
            </w:pPr>
            <w:r>
              <w:rPr>
                <w:rFonts w:hint="eastAsia" w:ascii="宋体" w:hAnsi="宋体" w:cs="宋体"/>
                <w:color w:val="auto"/>
                <w:highlight w:val="none"/>
              </w:rPr>
              <w:t>符合中小企业划分标准的个体工商户，在政府采购活动中视同中小企业。</w:t>
            </w:r>
          </w:p>
          <w:p w14:paraId="04DAADEA">
            <w:pPr>
              <w:bidi w:val="0"/>
              <w:spacing w:line="240" w:lineRule="auto"/>
              <w:ind w:firstLine="400" w:firstLineChars="200"/>
              <w:rPr>
                <w:color w:val="auto"/>
                <w:highlight w:val="none"/>
              </w:rPr>
            </w:pPr>
            <w:r>
              <w:rPr>
                <w:rFonts w:hint="eastAsia"/>
                <w:color w:val="auto"/>
                <w:highlight w:val="none"/>
              </w:rPr>
              <w:t>在货物采购项目中，货物由小微企业制造，即货物由小微企业生产且使用该小微企业商号或者注册商标。供应商提供的货物既有中小企业制造货物，也有大型企业制造货物的，不享受中小企业扶持政策。</w:t>
            </w:r>
          </w:p>
          <w:p w14:paraId="44691DAA">
            <w:pPr>
              <w:bidi w:val="0"/>
              <w:spacing w:line="240" w:lineRule="auto"/>
              <w:ind w:firstLine="400" w:firstLineChars="200"/>
              <w:rPr>
                <w:color w:val="auto"/>
                <w:highlight w:val="none"/>
              </w:rPr>
            </w:pPr>
            <w:r>
              <w:rPr>
                <w:color w:val="auto"/>
                <w:highlight w:val="none"/>
              </w:rPr>
              <w:t>在服务采购项目中，服务由小微企业承接，即提供服务的人员为小微企业依照《中华人民共和国劳动合同法》订立劳动合同的从业人员。</w:t>
            </w:r>
          </w:p>
          <w:p w14:paraId="4E795E71">
            <w:pPr>
              <w:bidi w:val="0"/>
              <w:ind w:firstLine="400" w:firstLineChars="200"/>
              <w:rPr>
                <w:color w:val="auto"/>
                <w:highlight w:val="none"/>
              </w:rPr>
            </w:pPr>
            <w:bookmarkStart w:id="21" w:name="_Toc16526"/>
            <w:r>
              <w:rPr>
                <w:rFonts w:hint="eastAsia"/>
                <w:color w:val="auto"/>
                <w:highlight w:val="none"/>
              </w:rPr>
              <w:t>联合体各方均为小型、微型企业的，联合体视同为小型、微型企业。</w:t>
            </w:r>
            <w:bookmarkEnd w:id="21"/>
          </w:p>
          <w:p w14:paraId="2E99382E">
            <w:pPr>
              <w:ind w:firstLine="400" w:firstLineChars="200"/>
              <w:rPr>
                <w:rFonts w:ascii="宋体" w:hAnsi="宋体" w:cs="宋体"/>
                <w:color w:val="auto"/>
                <w:highlight w:val="none"/>
              </w:rPr>
            </w:pPr>
            <w:r>
              <w:rPr>
                <w:rFonts w:hint="eastAsia" w:ascii="宋体" w:hAnsi="宋体" w:cs="宋体"/>
                <w:color w:val="auto"/>
                <w:highlight w:val="none"/>
              </w:rPr>
              <w:t>符合上述条件的中小微型企业应按照招标文件附件11的格式要求提供《中小企业声明函》。符合《关于促进残疾人就业政府采购政策的通知》（财库〔2017〕141号）规定的条件并提供《残疾人福利性单位声明函》（附件13）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31577504">
            <w:pPr>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根据</w:t>
            </w:r>
            <w:r>
              <w:rPr>
                <w:rFonts w:hint="eastAsia" w:ascii="宋体" w:hAnsi="宋体" w:eastAsia="宋体" w:cs="宋体"/>
                <w:color w:val="auto"/>
                <w:highlight w:val="none"/>
                <w:lang w:val="en-US" w:eastAsia="zh-CN"/>
              </w:rPr>
              <w:t>财政部</w:t>
            </w:r>
            <w:r>
              <w:rPr>
                <w:rFonts w:hint="eastAsia" w:ascii="宋体" w:hAnsi="宋体" w:eastAsia="宋体" w:cs="宋体"/>
                <w:color w:val="auto"/>
                <w:highlight w:val="none"/>
              </w:rPr>
              <w:t>的《关于进一步加大政府采购支持中小企业力度的通知》（</w:t>
            </w:r>
            <w:r>
              <w:rPr>
                <w:rFonts w:hint="eastAsia" w:ascii="宋体" w:hAnsi="宋体" w:eastAsia="宋体" w:cs="宋体"/>
                <w:color w:val="auto"/>
                <w:highlight w:val="none"/>
                <w:lang w:val="en-US" w:eastAsia="zh-CN"/>
              </w:rPr>
              <w:t>财库</w:t>
            </w:r>
            <w:r>
              <w:rPr>
                <w:rFonts w:hint="eastAsia" w:ascii="宋体" w:hAnsi="宋体" w:eastAsia="宋体" w:cs="宋体"/>
                <w:color w:val="auto"/>
                <w:highlight w:val="none"/>
              </w:rPr>
              <w:t>〔2022〕</w:t>
            </w: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rPr>
              <w:t>号）规定，货物和服务项目中未预留份额专门面向中小企业采购的，以及预留份额项目中的非预留部分采购包，采购单位、采购代理机构应结合项目实际，对符合规定的小微企业报价按</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给予扣除，用扣除后的价格参加评审；对于联合协议或者分包意向协议约定小微企业的合同份额占到合同总金额30%以上的，采购单位、采购代理机构应结合项目实际，对联合体或者大中型企业的报价按</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给予扣除，用扣除后的价格参加评审。</w:t>
            </w:r>
          </w:p>
          <w:p w14:paraId="6982DB6B">
            <w:pPr>
              <w:ind w:firstLine="400" w:firstLineChars="200"/>
              <w:rPr>
                <w:rFonts w:ascii="宋体"/>
                <w:color w:val="auto"/>
                <w:highlight w:val="none"/>
              </w:rPr>
            </w:pPr>
            <w:r>
              <w:rPr>
                <w:rFonts w:hint="eastAsia" w:ascii="宋体" w:hAnsi="宋体" w:eastAsia="宋体" w:cs="宋体"/>
                <w:color w:val="auto"/>
                <w:highlight w:val="none"/>
              </w:rPr>
              <w:t>组成联合体或者接受分包的小微企业与联合体内其他企业、分包企业之间存在直接控股、管理关系的，不享受价格扣除优惠政策。</w:t>
            </w:r>
          </w:p>
        </w:tc>
      </w:tr>
      <w:tr w14:paraId="1CDD36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648" w:type="dxa"/>
            <w:vAlign w:val="center"/>
          </w:tcPr>
          <w:p w14:paraId="639E599A">
            <w:pPr>
              <w:snapToGrid w:val="0"/>
              <w:jc w:val="center"/>
              <w:rPr>
                <w:rFonts w:hint="default" w:ascii="宋体" w:hAnsi="宋体" w:eastAsia="宋体" w:cs="宋体"/>
                <w:snapToGrid w:val="0"/>
                <w:color w:val="auto"/>
                <w:highlight w:val="none"/>
                <w:lang w:val="en-US" w:eastAsia="zh-CN"/>
              </w:rPr>
            </w:pPr>
            <w:r>
              <w:rPr>
                <w:rFonts w:hint="eastAsia" w:ascii="宋体" w:hAnsi="宋体" w:cs="宋体"/>
                <w:snapToGrid w:val="0"/>
                <w:color w:val="auto"/>
                <w:highlight w:val="none"/>
                <w:lang w:val="en-US" w:eastAsia="zh-CN"/>
              </w:rPr>
              <w:t>19</w:t>
            </w:r>
          </w:p>
        </w:tc>
        <w:tc>
          <w:tcPr>
            <w:tcW w:w="1800" w:type="dxa"/>
            <w:vAlign w:val="center"/>
          </w:tcPr>
          <w:p w14:paraId="761BB2A6">
            <w:pPr>
              <w:snapToGrid w:val="0"/>
              <w:jc w:val="center"/>
              <w:rPr>
                <w:rFonts w:hint="eastAsia" w:ascii="宋体" w:hAnsi="宋体" w:cs="宋体"/>
                <w:color w:val="auto"/>
                <w:highlight w:val="none"/>
              </w:rPr>
            </w:pPr>
            <w:r>
              <w:rPr>
                <w:rFonts w:hint="eastAsia" w:ascii="宋体" w:hAnsi="宋体" w:cs="宋体"/>
                <w:color w:val="auto"/>
                <w:highlight w:val="none"/>
              </w:rPr>
              <w:t>采购标的对应的中小企业划分标准所属行业</w:t>
            </w:r>
          </w:p>
        </w:tc>
        <w:tc>
          <w:tcPr>
            <w:tcW w:w="6682" w:type="dxa"/>
            <w:vAlign w:val="center"/>
          </w:tcPr>
          <w:p w14:paraId="5C014A0D">
            <w:pPr>
              <w:snapToGrid w:val="0"/>
              <w:ind w:firstLine="400" w:firstLineChars="200"/>
              <w:rPr>
                <w:rFonts w:hint="eastAsia" w:ascii="宋体" w:hAnsi="宋体" w:eastAsia="宋体" w:cs="宋体"/>
                <w:color w:val="auto"/>
                <w:highlight w:val="none"/>
                <w:lang w:eastAsia="zh-CN"/>
              </w:rPr>
            </w:pPr>
            <w:r>
              <w:rPr>
                <w:rFonts w:hint="eastAsia" w:ascii="宋体" w:hAnsi="宋体" w:cs="宋体"/>
                <w:color w:val="auto"/>
                <w:highlight w:val="none"/>
              </w:rPr>
              <w:t>标的：</w:t>
            </w:r>
            <w:r>
              <w:rPr>
                <w:rFonts w:hint="eastAsia" w:ascii="宋体" w:hAnsi="宋体" w:cs="宋体"/>
                <w:color w:val="auto"/>
                <w:highlight w:val="none"/>
                <w:u w:val="single"/>
                <w:lang w:val="en-US" w:eastAsia="zh-CN"/>
              </w:rPr>
              <w:t>绍兴市上虞区应急管理局2026年度食堂劳务外包服务项目</w:t>
            </w:r>
          </w:p>
          <w:p w14:paraId="79E1BE31">
            <w:pPr>
              <w:spacing w:line="340" w:lineRule="exact"/>
              <w:ind w:firstLine="400" w:firstLineChars="200"/>
              <w:rPr>
                <w:rFonts w:hint="eastAsia" w:ascii="宋体" w:hAnsi="宋体" w:cs="宋体"/>
                <w:snapToGrid w:val="0"/>
                <w:color w:val="auto"/>
                <w:highlight w:val="none"/>
              </w:rPr>
            </w:pPr>
            <w:r>
              <w:rPr>
                <w:rFonts w:hint="eastAsia" w:ascii="宋体" w:hAnsi="宋体" w:cs="宋体"/>
                <w:color w:val="auto"/>
                <w:highlight w:val="none"/>
              </w:rPr>
              <w:t>属于</w:t>
            </w:r>
            <w:r>
              <w:rPr>
                <w:rFonts w:hint="eastAsia" w:ascii="宋体" w:hAnsi="宋体" w:cs="宋体"/>
                <w:color w:val="auto"/>
                <w:highlight w:val="none"/>
                <w:lang w:eastAsia="zh-CN"/>
              </w:rPr>
              <w:t>：</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餐饮业</w:t>
            </w:r>
            <w:r>
              <w:rPr>
                <w:rFonts w:hint="eastAsia" w:ascii="宋体" w:hAnsi="宋体" w:cs="宋体"/>
                <w:color w:val="auto"/>
                <w:highlight w:val="none"/>
                <w:u w:val="single"/>
              </w:rPr>
              <w:t xml:space="preserve"> </w:t>
            </w:r>
            <w:r>
              <w:rPr>
                <w:rFonts w:hint="eastAsia" w:ascii="宋体" w:hAnsi="宋体" w:cs="宋体"/>
                <w:color w:val="auto"/>
                <w:highlight w:val="none"/>
                <w:u w:val="none"/>
              </w:rPr>
              <w:t>行业</w:t>
            </w:r>
          </w:p>
        </w:tc>
      </w:tr>
      <w:tr w14:paraId="01A732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648" w:type="dxa"/>
            <w:vAlign w:val="center"/>
          </w:tcPr>
          <w:p w14:paraId="0DA54F10">
            <w:pPr>
              <w:snapToGrid w:val="0"/>
              <w:jc w:val="center"/>
              <w:rPr>
                <w:rFonts w:hint="default" w:ascii="宋体" w:eastAsia="宋体"/>
                <w:snapToGrid w:val="0"/>
                <w:color w:val="auto"/>
                <w:highlight w:val="none"/>
                <w:lang w:val="en-US" w:eastAsia="zh-CN"/>
              </w:rPr>
            </w:pPr>
            <w:r>
              <w:rPr>
                <w:rFonts w:hint="eastAsia" w:ascii="宋体" w:hAnsi="宋体" w:cs="宋体"/>
                <w:snapToGrid w:val="0"/>
                <w:color w:val="auto"/>
                <w:highlight w:val="none"/>
                <w:lang w:val="en-US" w:eastAsia="zh-CN"/>
              </w:rPr>
              <w:t>20</w:t>
            </w:r>
          </w:p>
        </w:tc>
        <w:tc>
          <w:tcPr>
            <w:tcW w:w="1800" w:type="dxa"/>
            <w:vAlign w:val="center"/>
          </w:tcPr>
          <w:p w14:paraId="53C605C1">
            <w:pPr>
              <w:snapToGrid w:val="0"/>
              <w:jc w:val="center"/>
              <w:rPr>
                <w:rFonts w:ascii="宋体" w:hAnsi="宋体" w:cs="宋体"/>
                <w:color w:val="auto"/>
                <w:highlight w:val="none"/>
              </w:rPr>
            </w:pPr>
            <w:r>
              <w:rPr>
                <w:rFonts w:hint="eastAsia" w:ascii="宋体" w:hAnsi="宋体" w:cs="宋体"/>
                <w:color w:val="auto"/>
                <w:highlight w:val="none"/>
              </w:rPr>
              <w:t>招标代理服务费</w:t>
            </w:r>
          </w:p>
        </w:tc>
        <w:tc>
          <w:tcPr>
            <w:tcW w:w="6682" w:type="dxa"/>
            <w:vAlign w:val="center"/>
          </w:tcPr>
          <w:p w14:paraId="2D842376">
            <w:pPr>
              <w:autoSpaceDN w:val="0"/>
              <w:spacing w:line="340" w:lineRule="exact"/>
              <w:rPr>
                <w:rFonts w:ascii="宋体" w:hAnsi="宋体" w:cs="宋体"/>
                <w:snapToGrid w:val="0"/>
                <w:color w:val="auto"/>
                <w:highlight w:val="none"/>
              </w:rPr>
            </w:pPr>
            <w:r>
              <w:rPr>
                <w:rFonts w:hint="eastAsia" w:ascii="宋体" w:hAnsi="宋体" w:cs="宋体"/>
                <w:snapToGrid w:val="0"/>
                <w:color w:val="auto"/>
                <w:highlight w:val="none"/>
              </w:rPr>
              <w:t>招标代理服务费由成交供应商支付，按下列服务招标计算方式计取。</w:t>
            </w:r>
          </w:p>
          <w:tbl>
            <w:tblPr>
              <w:tblStyle w:val="28"/>
              <w:tblW w:w="6116"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117"/>
              <w:gridCol w:w="1010"/>
              <w:gridCol w:w="1010"/>
              <w:gridCol w:w="979"/>
            </w:tblGrid>
            <w:tr w14:paraId="16772D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jc w:val="center"/>
              </w:trPr>
              <w:tc>
                <w:tcPr>
                  <w:tcW w:w="3117" w:type="dxa"/>
                  <w:tcBorders>
                    <w:top w:val="outset" w:color="auto" w:sz="6" w:space="0"/>
                    <w:left w:val="outset" w:color="auto" w:sz="6" w:space="0"/>
                    <w:bottom w:val="outset" w:color="auto" w:sz="6" w:space="0"/>
                    <w:right w:val="outset" w:color="auto" w:sz="6" w:space="0"/>
                  </w:tcBorders>
                  <w:vAlign w:val="center"/>
                </w:tcPr>
                <w:p w14:paraId="74629A22">
                  <w:pPr>
                    <w:jc w:val="center"/>
                    <w:rPr>
                      <w:rFonts w:ascii="宋体" w:hAnsi="宋体" w:cs="宋体"/>
                      <w:color w:val="auto"/>
                      <w:highlight w:val="none"/>
                    </w:rPr>
                  </w:pPr>
                  <w:r>
                    <w:rPr>
                      <w:rFonts w:hint="eastAsia" w:ascii="宋体" w:hAnsi="宋体" w:cs="宋体"/>
                      <w:color w:val="auto"/>
                      <w:highlight w:val="none"/>
                    </w:rPr>
                    <w:t>服务类型 中标金额（万元）</w:t>
                  </w:r>
                </w:p>
              </w:tc>
              <w:tc>
                <w:tcPr>
                  <w:tcW w:w="1010" w:type="dxa"/>
                  <w:tcBorders>
                    <w:top w:val="outset" w:color="auto" w:sz="6" w:space="0"/>
                    <w:left w:val="outset" w:color="auto" w:sz="6" w:space="0"/>
                    <w:bottom w:val="outset" w:color="auto" w:sz="6" w:space="0"/>
                    <w:right w:val="outset" w:color="auto" w:sz="6" w:space="0"/>
                  </w:tcBorders>
                  <w:vAlign w:val="center"/>
                </w:tcPr>
                <w:p w14:paraId="649BF2C6">
                  <w:pPr>
                    <w:pStyle w:val="25"/>
                    <w:jc w:val="center"/>
                    <w:rPr>
                      <w:color w:val="auto"/>
                      <w:sz w:val="21"/>
                      <w:szCs w:val="21"/>
                      <w:highlight w:val="none"/>
                    </w:rPr>
                  </w:pPr>
                  <w:r>
                    <w:rPr>
                      <w:rFonts w:hint="eastAsia" w:ascii="宋体" w:hAnsi="宋体" w:eastAsia="宋体" w:cs="宋体"/>
                      <w:color w:val="auto"/>
                      <w:sz w:val="20"/>
                      <w:szCs w:val="20"/>
                      <w:highlight w:val="none"/>
                      <w:lang w:val="en-US" w:eastAsia="zh-CN" w:bidi="ar-SA"/>
                    </w:rPr>
                    <w:t>货物招标</w:t>
                  </w:r>
                </w:p>
              </w:tc>
              <w:tc>
                <w:tcPr>
                  <w:tcW w:w="1010" w:type="dxa"/>
                  <w:tcBorders>
                    <w:top w:val="outset" w:color="auto" w:sz="6" w:space="0"/>
                    <w:left w:val="outset" w:color="auto" w:sz="6" w:space="0"/>
                    <w:bottom w:val="outset" w:color="auto" w:sz="6" w:space="0"/>
                    <w:right w:val="outset" w:color="auto" w:sz="6" w:space="0"/>
                  </w:tcBorders>
                  <w:vAlign w:val="center"/>
                </w:tcPr>
                <w:p w14:paraId="39322AC3">
                  <w:pPr>
                    <w:jc w:val="center"/>
                    <w:rPr>
                      <w:rFonts w:ascii="宋体" w:hAnsi="宋体" w:cs="宋体"/>
                      <w:color w:val="auto"/>
                      <w:highlight w:val="none"/>
                    </w:rPr>
                  </w:pPr>
                  <w:r>
                    <w:rPr>
                      <w:rFonts w:hint="eastAsia" w:ascii="宋体" w:hAnsi="宋体" w:cs="宋体"/>
                      <w:color w:val="auto"/>
                      <w:highlight w:val="none"/>
                    </w:rPr>
                    <w:t>服务招标</w:t>
                  </w:r>
                </w:p>
              </w:tc>
              <w:tc>
                <w:tcPr>
                  <w:tcW w:w="979" w:type="dxa"/>
                  <w:tcBorders>
                    <w:top w:val="outset" w:color="auto" w:sz="6" w:space="0"/>
                    <w:left w:val="outset" w:color="auto" w:sz="6" w:space="0"/>
                    <w:bottom w:val="outset" w:color="auto" w:sz="6" w:space="0"/>
                    <w:right w:val="outset" w:color="auto" w:sz="6" w:space="0"/>
                  </w:tcBorders>
                  <w:vAlign w:val="center"/>
                </w:tcPr>
                <w:p w14:paraId="7ABF92AB">
                  <w:pPr>
                    <w:jc w:val="center"/>
                    <w:rPr>
                      <w:rFonts w:ascii="宋体" w:hAnsi="宋体" w:cs="宋体"/>
                      <w:color w:val="auto"/>
                      <w:highlight w:val="none"/>
                    </w:rPr>
                  </w:pPr>
                  <w:r>
                    <w:rPr>
                      <w:rFonts w:hint="eastAsia" w:ascii="宋体" w:hAnsi="宋体" w:cs="宋体"/>
                      <w:color w:val="auto"/>
                      <w:highlight w:val="none"/>
                    </w:rPr>
                    <w:t>工程招标</w:t>
                  </w:r>
                </w:p>
              </w:tc>
            </w:tr>
            <w:tr w14:paraId="4CC24F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117" w:type="dxa"/>
                  <w:tcBorders>
                    <w:top w:val="outset" w:color="auto" w:sz="6" w:space="0"/>
                    <w:left w:val="outset" w:color="auto" w:sz="6" w:space="0"/>
                    <w:bottom w:val="outset" w:color="auto" w:sz="6" w:space="0"/>
                    <w:right w:val="outset" w:color="auto" w:sz="6" w:space="0"/>
                  </w:tcBorders>
                  <w:vAlign w:val="center"/>
                </w:tcPr>
                <w:p w14:paraId="604BF1D5">
                  <w:pPr>
                    <w:jc w:val="center"/>
                    <w:rPr>
                      <w:rFonts w:ascii="宋体" w:hAnsi="宋体" w:cs="宋体"/>
                      <w:color w:val="auto"/>
                      <w:highlight w:val="none"/>
                    </w:rPr>
                  </w:pPr>
                  <w:r>
                    <w:rPr>
                      <w:rFonts w:hint="eastAsia" w:ascii="宋体" w:hAnsi="宋体" w:cs="宋体"/>
                      <w:color w:val="auto"/>
                      <w:highlight w:val="none"/>
                    </w:rPr>
                    <w:t>100以下</w:t>
                  </w:r>
                </w:p>
              </w:tc>
              <w:tc>
                <w:tcPr>
                  <w:tcW w:w="1010" w:type="dxa"/>
                  <w:tcBorders>
                    <w:top w:val="outset" w:color="auto" w:sz="6" w:space="0"/>
                    <w:left w:val="outset" w:color="auto" w:sz="6" w:space="0"/>
                    <w:bottom w:val="outset" w:color="auto" w:sz="6" w:space="0"/>
                    <w:right w:val="outset" w:color="auto" w:sz="6" w:space="0"/>
                  </w:tcBorders>
                  <w:vAlign w:val="center"/>
                </w:tcPr>
                <w:p w14:paraId="5810110C">
                  <w:pPr>
                    <w:jc w:val="center"/>
                    <w:rPr>
                      <w:rFonts w:ascii="宋体" w:hAnsi="宋体" w:cs="宋体"/>
                      <w:color w:val="auto"/>
                      <w:highlight w:val="none"/>
                    </w:rPr>
                  </w:pPr>
                  <w:r>
                    <w:rPr>
                      <w:rFonts w:hint="eastAsia" w:ascii="宋体" w:hAnsi="宋体" w:cs="宋体"/>
                      <w:color w:val="auto"/>
                      <w:highlight w:val="none"/>
                    </w:rPr>
                    <w:t>1.5％</w:t>
                  </w:r>
                </w:p>
              </w:tc>
              <w:tc>
                <w:tcPr>
                  <w:tcW w:w="1010" w:type="dxa"/>
                  <w:tcBorders>
                    <w:top w:val="outset" w:color="auto" w:sz="6" w:space="0"/>
                    <w:left w:val="outset" w:color="auto" w:sz="6" w:space="0"/>
                    <w:bottom w:val="outset" w:color="auto" w:sz="6" w:space="0"/>
                    <w:right w:val="outset" w:color="auto" w:sz="6" w:space="0"/>
                  </w:tcBorders>
                  <w:vAlign w:val="center"/>
                </w:tcPr>
                <w:p w14:paraId="03CB6121">
                  <w:pPr>
                    <w:jc w:val="center"/>
                    <w:rPr>
                      <w:rFonts w:ascii="宋体" w:hAnsi="宋体" w:cs="宋体"/>
                      <w:color w:val="auto"/>
                      <w:highlight w:val="none"/>
                    </w:rPr>
                  </w:pPr>
                  <w:r>
                    <w:rPr>
                      <w:rFonts w:hint="eastAsia" w:ascii="宋体" w:hAnsi="宋体" w:cs="宋体"/>
                      <w:color w:val="auto"/>
                      <w:highlight w:val="none"/>
                    </w:rPr>
                    <w:t>1.5％</w:t>
                  </w:r>
                </w:p>
              </w:tc>
              <w:tc>
                <w:tcPr>
                  <w:tcW w:w="979" w:type="dxa"/>
                  <w:tcBorders>
                    <w:top w:val="outset" w:color="auto" w:sz="6" w:space="0"/>
                    <w:left w:val="outset" w:color="auto" w:sz="6" w:space="0"/>
                    <w:bottom w:val="outset" w:color="auto" w:sz="6" w:space="0"/>
                    <w:right w:val="outset" w:color="auto" w:sz="6" w:space="0"/>
                  </w:tcBorders>
                  <w:vAlign w:val="center"/>
                </w:tcPr>
                <w:p w14:paraId="2A7A14F1">
                  <w:pPr>
                    <w:jc w:val="center"/>
                    <w:rPr>
                      <w:rFonts w:ascii="宋体" w:hAnsi="宋体" w:cs="宋体"/>
                      <w:color w:val="auto"/>
                      <w:highlight w:val="none"/>
                    </w:rPr>
                  </w:pPr>
                  <w:r>
                    <w:rPr>
                      <w:rFonts w:hint="eastAsia" w:ascii="宋体" w:hAnsi="宋体" w:cs="宋体"/>
                      <w:color w:val="auto"/>
                      <w:highlight w:val="none"/>
                    </w:rPr>
                    <w:t>1.0％</w:t>
                  </w:r>
                </w:p>
              </w:tc>
            </w:tr>
          </w:tbl>
          <w:p w14:paraId="24CBE895">
            <w:pPr>
              <w:spacing w:line="340" w:lineRule="exact"/>
              <w:ind w:firstLine="400" w:firstLineChars="200"/>
              <w:rPr>
                <w:rFonts w:ascii="宋体" w:hAnsi="宋体" w:cs="宋体"/>
                <w:snapToGrid w:val="0"/>
                <w:color w:val="auto"/>
                <w:highlight w:val="none"/>
              </w:rPr>
            </w:pPr>
            <w:r>
              <w:rPr>
                <w:rFonts w:hint="eastAsia" w:ascii="宋体" w:hAnsi="宋体" w:cs="宋体"/>
                <w:snapToGrid w:val="0"/>
                <w:color w:val="auto"/>
                <w:highlight w:val="none"/>
              </w:rPr>
              <w:t>结算方式及时间为：在领取</w:t>
            </w:r>
            <w:r>
              <w:rPr>
                <w:rFonts w:hint="eastAsia" w:ascii="宋体" w:hAnsi="宋体" w:cs="宋体"/>
                <w:snapToGrid w:val="0"/>
                <w:color w:val="auto"/>
                <w:highlight w:val="none"/>
                <w:lang w:eastAsia="zh-CN"/>
              </w:rPr>
              <w:t>成交</w:t>
            </w:r>
            <w:r>
              <w:rPr>
                <w:rFonts w:hint="eastAsia" w:ascii="宋体" w:hAnsi="宋体" w:cs="宋体"/>
                <w:snapToGrid w:val="0"/>
                <w:color w:val="auto"/>
                <w:highlight w:val="none"/>
              </w:rPr>
              <w:t>通知书前由成交供应商一次性向采购代理机构付清。</w:t>
            </w:r>
          </w:p>
        </w:tc>
      </w:tr>
      <w:tr w14:paraId="5A4485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648" w:type="dxa"/>
            <w:vAlign w:val="center"/>
          </w:tcPr>
          <w:p w14:paraId="7DA03B7B">
            <w:pPr>
              <w:snapToGrid w:val="0"/>
              <w:jc w:val="center"/>
              <w:rPr>
                <w:rFonts w:hint="default" w:ascii="宋体" w:hAnsi="宋体" w:eastAsia="宋体" w:cs="宋体"/>
                <w:snapToGrid w:val="0"/>
                <w:color w:val="auto"/>
                <w:highlight w:val="none"/>
                <w:lang w:val="en-US" w:eastAsia="zh-CN"/>
              </w:rPr>
            </w:pPr>
            <w:r>
              <w:rPr>
                <w:rFonts w:hint="eastAsia" w:ascii="宋体" w:hAnsi="宋体" w:cs="宋体"/>
                <w:snapToGrid w:val="0"/>
                <w:color w:val="auto"/>
                <w:highlight w:val="none"/>
                <w:lang w:val="en-US" w:eastAsia="zh-CN"/>
              </w:rPr>
              <w:t>21</w:t>
            </w:r>
          </w:p>
        </w:tc>
        <w:tc>
          <w:tcPr>
            <w:tcW w:w="1800" w:type="dxa"/>
            <w:vAlign w:val="center"/>
          </w:tcPr>
          <w:p w14:paraId="4ED8200D">
            <w:pPr>
              <w:snapToGrid w:val="0"/>
              <w:jc w:val="center"/>
              <w:rPr>
                <w:rFonts w:ascii="宋体"/>
                <w:color w:val="auto"/>
                <w:highlight w:val="none"/>
              </w:rPr>
            </w:pPr>
            <w:r>
              <w:rPr>
                <w:rFonts w:hint="eastAsia" w:ascii="宋体" w:hAnsi="宋体" w:cs="宋体"/>
                <w:color w:val="auto"/>
                <w:highlight w:val="none"/>
              </w:rPr>
              <w:t>是否允许分包</w:t>
            </w:r>
          </w:p>
        </w:tc>
        <w:tc>
          <w:tcPr>
            <w:tcW w:w="6682" w:type="dxa"/>
            <w:vAlign w:val="center"/>
          </w:tcPr>
          <w:p w14:paraId="65014572">
            <w:pPr>
              <w:ind w:firstLine="400" w:firstLineChars="200"/>
              <w:rPr>
                <w:rFonts w:ascii="宋体"/>
                <w:color w:val="auto"/>
                <w:highlight w:val="none"/>
              </w:rPr>
            </w:pPr>
            <w:r>
              <w:rPr>
                <w:rFonts w:hint="eastAsia" w:ascii="宋体" w:hAnsi="宋体" w:cs="宋体"/>
                <w:color w:val="auto"/>
                <w:highlight w:val="none"/>
              </w:rPr>
              <w:t>本项目</w:t>
            </w:r>
            <w:r>
              <w:rPr>
                <w:rFonts w:hint="eastAsia" w:ascii="宋体" w:hAnsi="宋体" w:cs="宋体"/>
                <w:color w:val="auto"/>
                <w:highlight w:val="none"/>
                <w:u w:val="single"/>
              </w:rPr>
              <w:t>不允许</w:t>
            </w:r>
            <w:r>
              <w:rPr>
                <w:rFonts w:hint="eastAsia" w:ascii="宋体" w:hAnsi="宋体" w:cs="宋体"/>
                <w:color w:val="auto"/>
                <w:highlight w:val="none"/>
              </w:rPr>
              <w:t>分包</w:t>
            </w:r>
          </w:p>
        </w:tc>
      </w:tr>
      <w:tr w14:paraId="3E1BFA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648" w:type="dxa"/>
            <w:vAlign w:val="center"/>
          </w:tcPr>
          <w:p w14:paraId="127B5C83">
            <w:pPr>
              <w:snapToGrid w:val="0"/>
              <w:jc w:val="center"/>
              <w:rPr>
                <w:rFonts w:hint="default" w:ascii="宋体" w:eastAsia="宋体"/>
                <w:snapToGrid w:val="0"/>
                <w:color w:val="auto"/>
                <w:highlight w:val="none"/>
                <w:lang w:val="en-US" w:eastAsia="zh-CN"/>
              </w:rPr>
            </w:pPr>
            <w:r>
              <w:rPr>
                <w:rFonts w:hint="eastAsia" w:ascii="宋体" w:hAnsi="宋体" w:cs="宋体"/>
                <w:snapToGrid w:val="0"/>
                <w:color w:val="auto"/>
                <w:highlight w:val="none"/>
                <w:lang w:val="en-US" w:eastAsia="zh-CN"/>
              </w:rPr>
              <w:t>22</w:t>
            </w:r>
          </w:p>
        </w:tc>
        <w:tc>
          <w:tcPr>
            <w:tcW w:w="1800" w:type="dxa"/>
            <w:tcBorders>
              <w:top w:val="single" w:color="auto" w:sz="4" w:space="0"/>
            </w:tcBorders>
            <w:vAlign w:val="center"/>
          </w:tcPr>
          <w:p w14:paraId="54974289">
            <w:pPr>
              <w:snapToGrid w:val="0"/>
              <w:jc w:val="center"/>
              <w:rPr>
                <w:rFonts w:ascii="宋体"/>
                <w:color w:val="auto"/>
                <w:highlight w:val="none"/>
              </w:rPr>
            </w:pPr>
            <w:r>
              <w:rPr>
                <w:rFonts w:hint="eastAsia" w:ascii="宋体" w:hAnsi="宋体" w:cs="宋体"/>
                <w:color w:val="auto"/>
                <w:highlight w:val="none"/>
              </w:rPr>
              <w:t>是否提供演示</w:t>
            </w:r>
          </w:p>
        </w:tc>
        <w:tc>
          <w:tcPr>
            <w:tcW w:w="6682" w:type="dxa"/>
            <w:tcBorders>
              <w:top w:val="single" w:color="auto" w:sz="4" w:space="0"/>
            </w:tcBorders>
            <w:vAlign w:val="center"/>
          </w:tcPr>
          <w:p w14:paraId="5176880B">
            <w:pPr>
              <w:ind w:firstLine="400" w:firstLineChars="200"/>
              <w:rPr>
                <w:rFonts w:ascii="宋体" w:hAnsi="宋体" w:cs="宋体"/>
                <w:b/>
                <w:bCs/>
                <w:color w:val="auto"/>
                <w:highlight w:val="none"/>
              </w:rPr>
            </w:pPr>
            <w:r>
              <w:rPr>
                <w:rFonts w:hint="eastAsia" w:ascii="宋体" w:hAnsi="宋体" w:cs="宋体"/>
                <w:color w:val="auto"/>
                <w:szCs w:val="21"/>
                <w:highlight w:val="none"/>
              </w:rPr>
              <w:t>本项目</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lang w:val="en-US" w:eastAsia="zh-CN"/>
              </w:rPr>
              <w:t>不</w:t>
            </w:r>
            <w:r>
              <w:rPr>
                <w:rFonts w:hint="eastAsia" w:ascii="宋体" w:hAnsi="宋体" w:cs="宋体"/>
                <w:b/>
                <w:bCs/>
                <w:color w:val="auto"/>
                <w:szCs w:val="21"/>
                <w:highlight w:val="none"/>
                <w:u w:val="single"/>
              </w:rPr>
              <w:t>需要</w:t>
            </w:r>
            <w:r>
              <w:rPr>
                <w:rFonts w:ascii="宋体" w:hAnsi="宋体" w:cs="宋体"/>
                <w:color w:val="auto"/>
                <w:szCs w:val="21"/>
                <w:highlight w:val="none"/>
                <w:u w:val="single"/>
              </w:rPr>
              <w:t xml:space="preserve"> </w:t>
            </w:r>
            <w:r>
              <w:rPr>
                <w:rFonts w:hint="eastAsia" w:ascii="宋体" w:hAnsi="宋体" w:cs="宋体"/>
                <w:color w:val="auto"/>
                <w:szCs w:val="21"/>
                <w:highlight w:val="none"/>
              </w:rPr>
              <w:t>提供演示。</w:t>
            </w:r>
          </w:p>
        </w:tc>
      </w:tr>
      <w:tr w14:paraId="7FC5C0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vAlign w:val="center"/>
          </w:tcPr>
          <w:p w14:paraId="1198BEF8">
            <w:pPr>
              <w:snapToGrid w:val="0"/>
              <w:jc w:val="center"/>
              <w:rPr>
                <w:rFonts w:hint="eastAsia" w:ascii="宋体" w:eastAsia="宋体"/>
                <w:snapToGrid w:val="0"/>
                <w:color w:val="auto"/>
                <w:highlight w:val="none"/>
                <w:lang w:eastAsia="zh-CN"/>
              </w:rPr>
            </w:pPr>
            <w:r>
              <w:rPr>
                <w:rFonts w:hint="eastAsia" w:ascii="宋体" w:hAnsi="宋体" w:cs="宋体"/>
                <w:snapToGrid w:val="0"/>
                <w:color w:val="auto"/>
                <w:highlight w:val="none"/>
              </w:rPr>
              <w:t>2</w:t>
            </w:r>
            <w:r>
              <w:rPr>
                <w:rFonts w:hint="eastAsia" w:ascii="宋体" w:hAnsi="宋体" w:cs="宋体"/>
                <w:snapToGrid w:val="0"/>
                <w:color w:val="auto"/>
                <w:highlight w:val="none"/>
                <w:lang w:val="en-US" w:eastAsia="zh-CN"/>
              </w:rPr>
              <w:t>3</w:t>
            </w:r>
          </w:p>
        </w:tc>
        <w:tc>
          <w:tcPr>
            <w:tcW w:w="1800" w:type="dxa"/>
            <w:vAlign w:val="center"/>
          </w:tcPr>
          <w:p w14:paraId="16AC6C7A">
            <w:pPr>
              <w:snapToGrid w:val="0"/>
              <w:jc w:val="center"/>
              <w:rPr>
                <w:rFonts w:ascii="宋体"/>
                <w:color w:val="auto"/>
                <w:highlight w:val="none"/>
              </w:rPr>
            </w:pPr>
            <w:r>
              <w:rPr>
                <w:rFonts w:hint="eastAsia" w:ascii="宋体" w:hAnsi="宋体" w:cs="宋体"/>
                <w:color w:val="auto"/>
                <w:highlight w:val="none"/>
              </w:rPr>
              <w:t>供应商信用信息查询渠道及截止时点、信用信息查询记录和证据留存的具体方式、信用信息的使用规则</w:t>
            </w:r>
          </w:p>
        </w:tc>
        <w:tc>
          <w:tcPr>
            <w:tcW w:w="6682" w:type="dxa"/>
            <w:vAlign w:val="center"/>
          </w:tcPr>
          <w:p w14:paraId="2296C2B9">
            <w:pPr>
              <w:ind w:firstLine="400" w:firstLineChars="200"/>
              <w:rPr>
                <w:rFonts w:ascii="宋体"/>
                <w:color w:val="auto"/>
                <w:highlight w:val="none"/>
              </w:rPr>
            </w:pPr>
            <w:r>
              <w:rPr>
                <w:rFonts w:ascii="宋体" w:hAnsi="宋体" w:cs="宋体"/>
                <w:color w:val="auto"/>
                <w:highlight w:val="none"/>
              </w:rPr>
              <w:t>1</w:t>
            </w:r>
            <w:r>
              <w:rPr>
                <w:rFonts w:hint="eastAsia" w:ascii="宋体" w:hAnsi="宋体" w:cs="宋体"/>
                <w:color w:val="auto"/>
                <w:highlight w:val="none"/>
              </w:rPr>
              <w:t>、查询渠道：信用中国（网址：</w:t>
            </w:r>
            <w:r>
              <w:rPr>
                <w:rFonts w:ascii="宋体" w:hAnsi="宋体" w:cs="宋体"/>
                <w:color w:val="auto"/>
                <w:highlight w:val="none"/>
              </w:rPr>
              <w:t>http://www.creditchina.gov.cn</w:t>
            </w:r>
            <w:r>
              <w:rPr>
                <w:rFonts w:hint="eastAsia" w:ascii="宋体" w:hAnsi="宋体" w:cs="宋体"/>
                <w:color w:val="auto"/>
                <w:highlight w:val="none"/>
              </w:rPr>
              <w:t>）、中国政府采购网</w:t>
            </w:r>
            <w:r>
              <w:rPr>
                <w:rFonts w:ascii="宋体" w:hAnsi="宋体" w:cs="宋体"/>
                <w:color w:val="auto"/>
                <w:highlight w:val="none"/>
              </w:rPr>
              <w:t>(</w:t>
            </w:r>
            <w:r>
              <w:rPr>
                <w:rFonts w:hint="eastAsia" w:ascii="宋体" w:hAnsi="宋体" w:cs="宋体"/>
                <w:color w:val="auto"/>
                <w:highlight w:val="none"/>
              </w:rPr>
              <w:t>网址：</w:t>
            </w:r>
            <w:r>
              <w:rPr>
                <w:rFonts w:ascii="宋体" w:hAnsi="宋体" w:cs="宋体"/>
                <w:color w:val="auto"/>
                <w:highlight w:val="none"/>
              </w:rPr>
              <w:t>http://www.ccgp.gov.cn</w:t>
            </w:r>
            <w:r>
              <w:rPr>
                <w:rFonts w:hint="eastAsia" w:ascii="宋体" w:hAnsi="宋体" w:cs="宋体"/>
                <w:color w:val="auto"/>
                <w:highlight w:val="none"/>
              </w:rPr>
              <w:t>）。</w:t>
            </w:r>
          </w:p>
          <w:p w14:paraId="2C0A6939">
            <w:pPr>
              <w:ind w:firstLine="400" w:firstLineChars="200"/>
              <w:rPr>
                <w:rFonts w:ascii="宋体"/>
                <w:color w:val="auto"/>
                <w:highlight w:val="none"/>
              </w:rPr>
            </w:pPr>
            <w:r>
              <w:rPr>
                <w:rFonts w:ascii="宋体" w:hAnsi="宋体" w:cs="宋体"/>
                <w:color w:val="auto"/>
                <w:highlight w:val="none"/>
              </w:rPr>
              <w:t>2</w:t>
            </w:r>
            <w:r>
              <w:rPr>
                <w:rFonts w:hint="eastAsia" w:ascii="宋体" w:hAnsi="宋体" w:cs="宋体"/>
                <w:color w:val="auto"/>
                <w:highlight w:val="none"/>
              </w:rPr>
              <w:t>、截止时点：开标后评标前。</w:t>
            </w:r>
          </w:p>
          <w:p w14:paraId="395A680E">
            <w:pPr>
              <w:ind w:firstLine="400" w:firstLineChars="200"/>
              <w:rPr>
                <w:rFonts w:ascii="宋体"/>
                <w:color w:val="auto"/>
                <w:highlight w:val="none"/>
              </w:rPr>
            </w:pPr>
            <w:r>
              <w:rPr>
                <w:rFonts w:ascii="宋体" w:hAnsi="宋体" w:cs="宋体"/>
                <w:color w:val="auto"/>
                <w:highlight w:val="none"/>
              </w:rPr>
              <w:t>3</w:t>
            </w:r>
            <w:r>
              <w:rPr>
                <w:rFonts w:hint="eastAsia" w:ascii="宋体" w:hAnsi="宋体" w:cs="宋体"/>
                <w:color w:val="auto"/>
                <w:highlight w:val="none"/>
              </w:rPr>
              <w:t>、信用信息查询记录和证据留存的具体方式：由采购组织机构在规定查询时间内打印信用信息查询记录并归入项目档案。</w:t>
            </w:r>
          </w:p>
          <w:p w14:paraId="1E4A20FA">
            <w:pPr>
              <w:ind w:firstLine="400" w:firstLineChars="200"/>
              <w:rPr>
                <w:rFonts w:ascii="宋体"/>
                <w:color w:val="auto"/>
                <w:highlight w:val="none"/>
              </w:rPr>
            </w:pPr>
            <w:r>
              <w:rPr>
                <w:rFonts w:ascii="宋体" w:hAnsi="宋体" w:cs="宋体"/>
                <w:color w:val="auto"/>
                <w:highlight w:val="none"/>
              </w:rPr>
              <w:t>4</w:t>
            </w:r>
            <w:r>
              <w:rPr>
                <w:rFonts w:hint="eastAsia" w:ascii="宋体" w:hAnsi="宋体" w:cs="宋体"/>
                <w:color w:val="auto"/>
                <w:highlight w:val="none"/>
              </w:rPr>
              <w:t>、使用规则：对列入失信被执行人、重大税收违法案件当事人名单、政府采购严重违法失信行为记录名单及其他不符合《中华人民共和国政府采购法》第二十二条规定条件的供应商，将被拒绝其参与政府采购活动。</w:t>
            </w:r>
          </w:p>
        </w:tc>
      </w:tr>
      <w:tr w14:paraId="6D78B5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vAlign w:val="center"/>
          </w:tcPr>
          <w:p w14:paraId="2E3FA2E5">
            <w:pPr>
              <w:snapToGrid w:val="0"/>
              <w:jc w:val="center"/>
              <w:rPr>
                <w:rFonts w:hint="eastAsia" w:ascii="宋体" w:eastAsia="宋体"/>
                <w:snapToGrid w:val="0"/>
                <w:color w:val="auto"/>
                <w:highlight w:val="none"/>
                <w:lang w:eastAsia="zh-CN"/>
              </w:rPr>
            </w:pPr>
            <w:r>
              <w:rPr>
                <w:rFonts w:hint="eastAsia" w:ascii="宋体" w:hAnsi="宋体" w:cs="宋体"/>
                <w:snapToGrid w:val="0"/>
                <w:color w:val="auto"/>
                <w:highlight w:val="none"/>
              </w:rPr>
              <w:t>2</w:t>
            </w:r>
            <w:r>
              <w:rPr>
                <w:rFonts w:hint="eastAsia" w:ascii="宋体" w:hAnsi="宋体" w:cs="宋体"/>
                <w:snapToGrid w:val="0"/>
                <w:color w:val="auto"/>
                <w:highlight w:val="none"/>
                <w:lang w:val="en-US" w:eastAsia="zh-CN"/>
              </w:rPr>
              <w:t>4</w:t>
            </w:r>
          </w:p>
        </w:tc>
        <w:tc>
          <w:tcPr>
            <w:tcW w:w="1800" w:type="dxa"/>
            <w:vAlign w:val="center"/>
          </w:tcPr>
          <w:p w14:paraId="1E6D76F8">
            <w:pPr>
              <w:snapToGrid w:val="0"/>
              <w:jc w:val="center"/>
              <w:rPr>
                <w:rFonts w:ascii="宋体"/>
                <w:color w:val="auto"/>
                <w:highlight w:val="none"/>
              </w:rPr>
            </w:pPr>
            <w:r>
              <w:rPr>
                <w:rFonts w:hint="eastAsia" w:ascii="宋体" w:hAnsi="宋体" w:cs="宋体"/>
                <w:color w:val="auto"/>
                <w:highlight w:val="none"/>
              </w:rPr>
              <w:t>金融支持</w:t>
            </w:r>
          </w:p>
        </w:tc>
        <w:tc>
          <w:tcPr>
            <w:tcW w:w="6682" w:type="dxa"/>
            <w:vAlign w:val="center"/>
          </w:tcPr>
          <w:p w14:paraId="66ACDAEC">
            <w:pPr>
              <w:ind w:firstLine="400" w:firstLineChars="200"/>
              <w:rPr>
                <w:rFonts w:ascii="宋体"/>
                <w:color w:val="auto"/>
                <w:highlight w:val="none"/>
              </w:rPr>
            </w:pPr>
            <w:r>
              <w:rPr>
                <w:rFonts w:hint="eastAsia" w:ascii="宋体" w:hAnsi="宋体" w:cs="宋体"/>
                <w:color w:val="auto"/>
                <w:highlight w:val="none"/>
              </w:rPr>
              <w:t>为支持和促进中小企业发展，进一步发挥政府采购政策功能，，企业若有融资意向，可登陆政采云平台融资服务（</w:t>
            </w:r>
            <w:r>
              <w:rPr>
                <w:rFonts w:ascii="宋体" w:hAnsi="宋体" w:cs="宋体"/>
                <w:color w:val="auto"/>
                <w:highlight w:val="none"/>
              </w:rPr>
              <w:t>https://jinrong.zcygov.cn/</w:t>
            </w:r>
            <w:r>
              <w:rPr>
                <w:rFonts w:hint="eastAsia" w:ascii="宋体" w:hAnsi="宋体" w:cs="宋体"/>
                <w:color w:val="auto"/>
                <w:highlight w:val="none"/>
              </w:rPr>
              <w:t>），查看相应融资政策文件及各相关银行服务方案。</w:t>
            </w:r>
          </w:p>
        </w:tc>
      </w:tr>
      <w:tr w14:paraId="31E231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vMerge w:val="restart"/>
            <w:vAlign w:val="center"/>
          </w:tcPr>
          <w:p w14:paraId="4BD93913">
            <w:pPr>
              <w:snapToGrid w:val="0"/>
              <w:jc w:val="center"/>
              <w:rPr>
                <w:rFonts w:hint="eastAsia" w:ascii="宋体" w:hAnsi="宋体" w:eastAsia="宋体" w:cs="宋体"/>
                <w:snapToGrid w:val="0"/>
                <w:color w:val="auto"/>
                <w:highlight w:val="none"/>
                <w:lang w:eastAsia="zh-CN"/>
              </w:rPr>
            </w:pPr>
            <w:r>
              <w:rPr>
                <w:rFonts w:hint="eastAsia" w:ascii="宋体" w:hAnsi="宋体" w:cs="宋体"/>
                <w:snapToGrid w:val="0"/>
                <w:color w:val="auto"/>
                <w:highlight w:val="none"/>
              </w:rPr>
              <w:t>2</w:t>
            </w:r>
            <w:r>
              <w:rPr>
                <w:rFonts w:hint="eastAsia" w:ascii="宋体" w:hAnsi="宋体" w:cs="宋体"/>
                <w:snapToGrid w:val="0"/>
                <w:color w:val="auto"/>
                <w:highlight w:val="none"/>
                <w:lang w:val="en-US" w:eastAsia="zh-CN"/>
              </w:rPr>
              <w:t>5</w:t>
            </w:r>
          </w:p>
        </w:tc>
        <w:tc>
          <w:tcPr>
            <w:tcW w:w="1800" w:type="dxa"/>
            <w:vMerge w:val="restart"/>
            <w:vAlign w:val="center"/>
          </w:tcPr>
          <w:p w14:paraId="78F83CAE">
            <w:pPr>
              <w:snapToGrid w:val="0"/>
              <w:jc w:val="center"/>
              <w:rPr>
                <w:rFonts w:hint="eastAsia" w:ascii="宋体" w:hAnsi="宋体" w:cs="宋体"/>
                <w:color w:val="auto"/>
                <w:highlight w:val="none"/>
              </w:rPr>
            </w:pPr>
            <w:r>
              <w:rPr>
                <w:rFonts w:hint="eastAsia" w:ascii="宋体" w:hAnsi="宋体" w:cs="宋体"/>
                <w:color w:val="auto"/>
                <w:highlight w:val="none"/>
              </w:rPr>
              <w:t>预付款</w:t>
            </w:r>
          </w:p>
        </w:tc>
        <w:tc>
          <w:tcPr>
            <w:tcW w:w="6682" w:type="dxa"/>
            <w:vAlign w:val="center"/>
          </w:tcPr>
          <w:p w14:paraId="35449506">
            <w:pPr>
              <w:ind w:firstLine="400" w:firstLineChars="200"/>
              <w:rPr>
                <w:rFonts w:hint="eastAsia" w:ascii="宋体" w:hAnsi="宋体" w:cs="宋体"/>
                <w:color w:val="auto"/>
                <w:highlight w:val="none"/>
              </w:rPr>
            </w:pPr>
            <w:r>
              <w:rPr>
                <w:rFonts w:hint="eastAsia" w:ascii="宋体" w:hAnsi="宋体" w:cs="宋体"/>
                <w:color w:val="auto"/>
                <w:highlight w:val="none"/>
                <w:lang w:val="en-US" w:eastAsia="zh-CN"/>
              </w:rPr>
              <w:t>本项目涉及预付款，预付款比例为</w:t>
            </w:r>
            <w:r>
              <w:rPr>
                <w:rFonts w:hint="eastAsia" w:ascii="宋体" w:hAnsi="宋体" w:cs="宋体"/>
                <w:color w:val="auto"/>
                <w:highlight w:val="none"/>
                <w:u w:val="single"/>
                <w:lang w:val="en-US" w:eastAsia="zh-CN"/>
              </w:rPr>
              <w:t xml:space="preserve"> 25%</w:t>
            </w:r>
          </w:p>
        </w:tc>
      </w:tr>
      <w:tr w14:paraId="01F445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vMerge w:val="continue"/>
            <w:vAlign w:val="center"/>
          </w:tcPr>
          <w:p w14:paraId="7B7A2A82">
            <w:pPr>
              <w:snapToGrid w:val="0"/>
              <w:jc w:val="center"/>
              <w:rPr>
                <w:rFonts w:hint="eastAsia" w:ascii="宋体" w:hAnsi="宋体" w:cs="宋体"/>
                <w:snapToGrid w:val="0"/>
                <w:color w:val="auto"/>
                <w:highlight w:val="none"/>
              </w:rPr>
            </w:pPr>
          </w:p>
        </w:tc>
        <w:tc>
          <w:tcPr>
            <w:tcW w:w="1800" w:type="dxa"/>
            <w:vMerge w:val="continue"/>
            <w:vAlign w:val="center"/>
          </w:tcPr>
          <w:p w14:paraId="68CE501D">
            <w:pPr>
              <w:snapToGrid w:val="0"/>
              <w:jc w:val="center"/>
              <w:rPr>
                <w:rFonts w:hint="eastAsia" w:ascii="宋体" w:hAnsi="宋体" w:cs="宋体"/>
                <w:color w:val="auto"/>
                <w:highlight w:val="none"/>
              </w:rPr>
            </w:pPr>
          </w:p>
        </w:tc>
        <w:tc>
          <w:tcPr>
            <w:tcW w:w="6682" w:type="dxa"/>
            <w:vAlign w:val="center"/>
          </w:tcPr>
          <w:p w14:paraId="01BBB71C">
            <w:pPr>
              <w:ind w:firstLine="400" w:firstLineChars="200"/>
              <w:rPr>
                <w:rFonts w:hint="eastAsia" w:ascii="宋体" w:hAnsi="宋体" w:cs="宋体"/>
                <w:color w:val="auto"/>
                <w:highlight w:val="none"/>
              </w:rPr>
            </w:pPr>
            <w:r>
              <w:rPr>
                <w:rFonts w:hint="eastAsia" w:ascii="宋体" w:hAnsi="宋体" w:cs="宋体"/>
                <w:color w:val="auto"/>
                <w:highlight w:val="none"/>
              </w:rPr>
              <w:t>根据《浙江省财政厅关于进一步发挥政府采购政策功能全力推动经济稳进提质的通知》[浙财采监〔2022）3号]文件第二条第五点关于“进一步提高政府采购预付款比例”的规定：</w:t>
            </w:r>
          </w:p>
          <w:p w14:paraId="2A010E38">
            <w:pPr>
              <w:ind w:firstLine="400" w:firstLineChars="200"/>
              <w:rPr>
                <w:rFonts w:hint="eastAsia" w:ascii="宋体" w:hAnsi="宋体" w:eastAsia="宋体" w:cs="宋体"/>
                <w:color w:val="auto"/>
                <w:highlight w:val="none"/>
                <w:lang w:eastAsia="zh-CN"/>
              </w:rPr>
            </w:pPr>
            <w:r>
              <w:rPr>
                <w:rFonts w:hint="eastAsia" w:ascii="宋体" w:hAnsi="宋体" w:cs="宋体"/>
                <w:color w:val="auto"/>
                <w:highlight w:val="none"/>
              </w:rPr>
              <w:t>1、采购单位应当在政府采购合同中约定预付款</w:t>
            </w:r>
            <w:r>
              <w:rPr>
                <w:rFonts w:hint="eastAsia" w:ascii="宋体" w:hAnsi="宋体" w:cs="宋体"/>
                <w:color w:val="auto"/>
                <w:highlight w:val="none"/>
                <w:lang w:eastAsia="zh-CN"/>
              </w:rPr>
              <w:t>。</w:t>
            </w:r>
          </w:p>
          <w:p w14:paraId="599105B1">
            <w:pPr>
              <w:ind w:firstLine="400" w:firstLineChars="200"/>
              <w:rPr>
                <w:rFonts w:hint="eastAsia" w:ascii="宋体" w:hAnsi="宋体" w:cs="宋体"/>
                <w:color w:val="auto"/>
                <w:highlight w:val="none"/>
              </w:rPr>
            </w:pPr>
            <w:r>
              <w:rPr>
                <w:rFonts w:hint="eastAsia" w:ascii="宋体" w:hAnsi="宋体" w:cs="宋体"/>
                <w:color w:val="auto"/>
                <w:highlight w:val="none"/>
              </w:rPr>
              <w:t>2、项目涉及中小企业合同预付款的，合同签订后，采购人可以根据项目特点、供应商诚信等因素要求中标人提交银行、保险公司等金融机构出具的预付款保函或其他担保措施，采购人在合同生效以及具备实施条件后7个工作日内向中标人支付40%-70%的合同款作为预付款（项目为分年安排预算的，预付款按年度计划支付资金额的上述比例执行）；项目如以人工投入为主，采购人在合同生效以及具备实施条件后7个工作日内向中标人支付20%-70%的合同款作为预付款。</w:t>
            </w:r>
          </w:p>
          <w:p w14:paraId="44577EFB">
            <w:pPr>
              <w:ind w:firstLine="400" w:firstLineChars="200"/>
              <w:rPr>
                <w:rFonts w:hint="eastAsia" w:ascii="宋体" w:hAnsi="宋体" w:cs="宋体"/>
                <w:color w:val="auto"/>
                <w:highlight w:val="none"/>
              </w:rPr>
            </w:pPr>
            <w:r>
              <w:rPr>
                <w:rFonts w:hint="eastAsia" w:ascii="宋体" w:hAnsi="宋体" w:cs="宋体"/>
                <w:color w:val="auto"/>
                <w:highlight w:val="none"/>
              </w:rPr>
              <w:t>3、本项目涉及投标人为大型企业，或者以人工投入为主且实行按月定期结算支付款项的，预付款可低于上述比例或者不约定预付款（相应字样应在合同中体现）。</w:t>
            </w:r>
          </w:p>
          <w:p w14:paraId="3A3D6381">
            <w:pPr>
              <w:ind w:firstLine="400" w:firstLineChars="200"/>
              <w:rPr>
                <w:rFonts w:hint="eastAsia" w:ascii="宋体" w:hAnsi="宋体" w:cs="宋体"/>
                <w:color w:val="auto"/>
                <w:highlight w:val="none"/>
              </w:rPr>
            </w:pPr>
            <w:r>
              <w:rPr>
                <w:rFonts w:hint="eastAsia" w:ascii="宋体" w:hAnsi="宋体" w:cs="宋体"/>
                <w:color w:val="auto"/>
                <w:highlight w:val="none"/>
              </w:rPr>
              <w:t>4、在签订合同时，中标人明确表示无需预付款或者主动要求降低预付款比例的，应提交相应申请函经采购人确认后，可不适用前述规定。</w:t>
            </w:r>
          </w:p>
        </w:tc>
      </w:tr>
      <w:tr w14:paraId="4F6055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tcBorders>
              <w:bottom w:val="double" w:color="auto" w:sz="4" w:space="0"/>
            </w:tcBorders>
            <w:vAlign w:val="center"/>
          </w:tcPr>
          <w:p w14:paraId="5C38338E">
            <w:pPr>
              <w:snapToGrid w:val="0"/>
              <w:jc w:val="center"/>
              <w:rPr>
                <w:rFonts w:hint="default" w:ascii="宋体" w:hAnsi="宋体" w:eastAsia="宋体" w:cs="宋体"/>
                <w:snapToGrid w:val="0"/>
                <w:color w:val="auto"/>
                <w:highlight w:val="none"/>
                <w:lang w:val="en-US" w:eastAsia="zh-CN"/>
              </w:rPr>
            </w:pPr>
            <w:r>
              <w:rPr>
                <w:rFonts w:hint="eastAsia" w:ascii="宋体" w:hAnsi="宋体" w:cs="宋体"/>
                <w:snapToGrid w:val="0"/>
                <w:color w:val="auto"/>
                <w:highlight w:val="none"/>
                <w:lang w:val="en-US" w:eastAsia="zh-CN"/>
              </w:rPr>
              <w:t>26</w:t>
            </w:r>
          </w:p>
        </w:tc>
        <w:tc>
          <w:tcPr>
            <w:tcW w:w="1800" w:type="dxa"/>
            <w:tcBorders>
              <w:bottom w:val="double" w:color="auto" w:sz="4" w:space="0"/>
            </w:tcBorders>
            <w:vAlign w:val="center"/>
          </w:tcPr>
          <w:p w14:paraId="0A02B81C">
            <w:pPr>
              <w:snapToGrid w:val="0"/>
              <w:jc w:val="center"/>
              <w:rPr>
                <w:rFonts w:hint="eastAsia" w:ascii="宋体" w:hAnsi="宋体" w:cs="宋体"/>
                <w:color w:val="auto"/>
                <w:highlight w:val="none"/>
              </w:rPr>
            </w:pPr>
            <w:r>
              <w:rPr>
                <w:rFonts w:hint="eastAsia" w:ascii="宋体" w:hAnsi="宋体" w:cs="宋体"/>
                <w:color w:val="auto"/>
                <w:highlight w:val="none"/>
              </w:rPr>
              <w:t>投标与开标注意事项</w:t>
            </w:r>
          </w:p>
        </w:tc>
        <w:tc>
          <w:tcPr>
            <w:tcW w:w="6682" w:type="dxa"/>
            <w:tcBorders>
              <w:bottom w:val="double" w:color="auto" w:sz="4" w:space="0"/>
            </w:tcBorders>
            <w:vAlign w:val="center"/>
          </w:tcPr>
          <w:p w14:paraId="16D0E40F">
            <w:pPr>
              <w:ind w:firstLine="40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1、本项目实行网上投标，采用电子投标文件。若供应商参与投标，自行承担投标一切费用。</w:t>
            </w:r>
          </w:p>
          <w:p w14:paraId="6415F35E">
            <w:pPr>
              <w:ind w:firstLine="40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标前准备：各供应商应在开标前完成CA数字证书办理。供应商将政采云电子交易客户端下载、安装完成后，可通过账号密码或CA登录客户端进行投标文件制作。在使用政采云投标客户端时，建议使用WIN7及以上操作系统。</w:t>
            </w:r>
          </w:p>
          <w:p w14:paraId="760F5EAB">
            <w:pPr>
              <w:ind w:firstLine="40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注：供应商CA相关操作可参考政采云平台https://www.zcygov.cn/《CA申领操作指南》和《CA管理操作指南》。完成CA数字证书办理在资料齐全的情况下预计7个工作日左右，建议供应商获取招标文件后立即办理。</w:t>
            </w:r>
          </w:p>
          <w:p w14:paraId="72BD833C">
            <w:pPr>
              <w:ind w:firstLine="40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3、投标文件制作、递交、解密：</w:t>
            </w:r>
          </w:p>
          <w:p w14:paraId="6698CF38">
            <w:pPr>
              <w:ind w:firstLine="40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3.1应按照本项目招标文件和政采云平台的要求编制、加密传输投标文件。供应商在使用系统进行投标的过程中遇到涉及平台使用的任何问题，可致电政采云平台技术支持热线咨询，联系方式：95763。</w:t>
            </w:r>
          </w:p>
          <w:p w14:paraId="62B0155F">
            <w:pPr>
              <w:ind w:firstLine="40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3.2投标人通过“政采云”平台制作电子投标文件，投标文件制作详见“供应商-政府采购项目电子交易操作指南。</w:t>
            </w:r>
          </w:p>
          <w:p w14:paraId="46952BC5">
            <w:pPr>
              <w:ind w:firstLine="400" w:firstLineChars="200"/>
              <w:rPr>
                <w:rFonts w:hint="eastAsia"/>
                <w:color w:val="auto"/>
                <w:highlight w:val="none"/>
                <w:lang w:val="en-US" w:eastAsia="zh-CN"/>
              </w:rPr>
            </w:pPr>
            <w:r>
              <w:rPr>
                <w:rFonts w:hint="eastAsia" w:ascii="宋体" w:hAnsi="宋体" w:cs="宋体"/>
                <w:color w:val="auto"/>
                <w:highlight w:val="none"/>
                <w:lang w:val="en-US" w:eastAsia="zh-CN"/>
              </w:rPr>
              <w:t>3.3开标时间后30分钟内供应商可以登录“政采云”平台，用“项目采购-开标评标”功能进行解密投标文件。若供应商未按时解密的，视为投标文件撤回。</w:t>
            </w:r>
          </w:p>
        </w:tc>
      </w:tr>
      <w:tr w14:paraId="7A9405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tcBorders>
              <w:bottom w:val="double" w:color="auto" w:sz="4" w:space="0"/>
            </w:tcBorders>
            <w:vAlign w:val="center"/>
          </w:tcPr>
          <w:p w14:paraId="13FCD3DB">
            <w:pPr>
              <w:snapToGrid w:val="0"/>
              <w:jc w:val="center"/>
              <w:rPr>
                <w:rFonts w:hint="eastAsia" w:ascii="宋体" w:eastAsia="宋体"/>
                <w:snapToGrid w:val="0"/>
                <w:color w:val="auto"/>
                <w:highlight w:val="none"/>
                <w:lang w:eastAsia="zh-CN"/>
              </w:rPr>
            </w:pPr>
            <w:r>
              <w:rPr>
                <w:rFonts w:ascii="宋体" w:hAnsi="宋体" w:cs="宋体"/>
                <w:snapToGrid w:val="0"/>
                <w:color w:val="auto"/>
                <w:highlight w:val="none"/>
              </w:rPr>
              <w:t>2</w:t>
            </w:r>
            <w:r>
              <w:rPr>
                <w:rFonts w:hint="eastAsia" w:ascii="宋体" w:hAnsi="宋体" w:cs="宋体"/>
                <w:snapToGrid w:val="0"/>
                <w:color w:val="auto"/>
                <w:highlight w:val="none"/>
                <w:lang w:val="en-US" w:eastAsia="zh-CN"/>
              </w:rPr>
              <w:t>7</w:t>
            </w:r>
          </w:p>
        </w:tc>
        <w:tc>
          <w:tcPr>
            <w:tcW w:w="1800" w:type="dxa"/>
            <w:tcBorders>
              <w:bottom w:val="double" w:color="auto" w:sz="4" w:space="0"/>
            </w:tcBorders>
            <w:vAlign w:val="center"/>
          </w:tcPr>
          <w:p w14:paraId="64D0AE10">
            <w:pPr>
              <w:snapToGrid w:val="0"/>
              <w:jc w:val="center"/>
              <w:rPr>
                <w:rFonts w:ascii="宋体"/>
                <w:color w:val="auto"/>
                <w:highlight w:val="none"/>
              </w:rPr>
            </w:pPr>
            <w:r>
              <w:rPr>
                <w:rFonts w:hint="eastAsia" w:ascii="宋体" w:hAnsi="宋体" w:cs="宋体"/>
                <w:color w:val="auto"/>
                <w:highlight w:val="none"/>
              </w:rPr>
              <w:t>其他</w:t>
            </w:r>
          </w:p>
        </w:tc>
        <w:tc>
          <w:tcPr>
            <w:tcW w:w="6682" w:type="dxa"/>
            <w:tcBorders>
              <w:bottom w:val="double" w:color="auto" w:sz="4" w:space="0"/>
            </w:tcBorders>
            <w:vAlign w:val="center"/>
          </w:tcPr>
          <w:p w14:paraId="42142E8A">
            <w:pPr>
              <w:ind w:firstLine="400" w:firstLineChars="200"/>
              <w:rPr>
                <w:rFonts w:hint="eastAsia"/>
                <w:color w:val="auto"/>
                <w:highlight w:val="none"/>
              </w:rPr>
            </w:pPr>
            <w:r>
              <w:rPr>
                <w:rFonts w:hint="eastAsia"/>
                <w:color w:val="auto"/>
                <w:highlight w:val="none"/>
                <w:lang w:val="en-US" w:eastAsia="zh-CN"/>
              </w:rPr>
              <w:t>1、</w:t>
            </w:r>
            <w:r>
              <w:rPr>
                <w:rFonts w:hint="eastAsia"/>
                <w:color w:val="auto"/>
                <w:highlight w:val="none"/>
              </w:rPr>
              <w:t>本磋商文件要求提供的身份证复印件皆需提供正反面，否则按不提供处理。</w:t>
            </w:r>
          </w:p>
          <w:p w14:paraId="76716DB5">
            <w:pPr>
              <w:ind w:firstLine="402"/>
              <w:rPr>
                <w:rFonts w:hint="eastAsia"/>
                <w:b/>
                <w:bCs/>
                <w:color w:val="auto"/>
                <w:highlight w:val="none"/>
              </w:rPr>
            </w:pPr>
            <w:r>
              <w:rPr>
                <w:rFonts w:hint="eastAsia"/>
                <w:color w:val="auto"/>
                <w:highlight w:val="none"/>
                <w:lang w:val="en-US" w:eastAsia="zh-CN"/>
              </w:rPr>
              <w:t>2、本项目货物如涉及柴油动力移动源，柴油动力移动源应当符合低排放要求。</w:t>
            </w:r>
          </w:p>
        </w:tc>
      </w:tr>
    </w:tbl>
    <w:p w14:paraId="31C52ABB">
      <w:pPr>
        <w:pStyle w:val="4"/>
        <w:spacing w:line="360" w:lineRule="auto"/>
        <w:rPr>
          <w:rFonts w:ascii="宋体"/>
          <w:color w:val="auto"/>
          <w:highlight w:val="none"/>
        </w:rPr>
        <w:sectPr>
          <w:footerReference r:id="rId5" w:type="default"/>
          <w:pgSz w:w="11906" w:h="16838"/>
          <w:pgMar w:top="1440" w:right="1800" w:bottom="1440" w:left="1800" w:header="851" w:footer="992" w:gutter="0"/>
          <w:pgNumType w:fmt="decimal"/>
          <w:cols w:space="425" w:num="1"/>
          <w:docGrid w:type="lines" w:linePitch="312" w:charSpace="0"/>
        </w:sectPr>
      </w:pPr>
      <w:r>
        <w:rPr>
          <w:rFonts w:hint="eastAsia" w:ascii="宋体" w:hAnsi="宋体" w:cs="宋体"/>
          <w:color w:val="auto"/>
          <w:sz w:val="24"/>
          <w:szCs w:val="24"/>
          <w:highlight w:val="none"/>
        </w:rPr>
        <w:t>注：以上内容如有变化将另行通知。如通知其中某一内容发生变化，其余未提及的将不作变动。</w:t>
      </w:r>
    </w:p>
    <w:p w14:paraId="23FDC7C2">
      <w:pPr>
        <w:pStyle w:val="3"/>
        <w:numPr>
          <w:ilvl w:val="0"/>
          <w:numId w:val="7"/>
        </w:numPr>
        <w:jc w:val="center"/>
        <w:rPr>
          <w:rFonts w:hAnsi="宋体" w:cs="Times New Roman"/>
          <w:color w:val="auto"/>
          <w:highlight w:val="none"/>
        </w:rPr>
      </w:pPr>
      <w:r>
        <w:rPr>
          <w:rFonts w:hAnsi="宋体"/>
          <w:color w:val="auto"/>
          <w:highlight w:val="none"/>
        </w:rPr>
        <w:t xml:space="preserve"> </w:t>
      </w:r>
      <w:bookmarkStart w:id="22" w:name="_Toc22276"/>
      <w:bookmarkStart w:id="23" w:name="_Toc24554"/>
      <w:bookmarkStart w:id="24" w:name="_Toc25187"/>
      <w:bookmarkStart w:id="25" w:name="_Toc9040"/>
      <w:bookmarkStart w:id="26" w:name="_Toc12516"/>
      <w:r>
        <w:rPr>
          <w:rFonts w:hint="eastAsia" w:hAnsi="宋体"/>
          <w:color w:val="auto"/>
          <w:highlight w:val="none"/>
        </w:rPr>
        <w:t>总则</w:t>
      </w:r>
      <w:bookmarkEnd w:id="22"/>
      <w:bookmarkEnd w:id="23"/>
      <w:bookmarkEnd w:id="24"/>
      <w:bookmarkEnd w:id="25"/>
      <w:bookmarkEnd w:id="26"/>
    </w:p>
    <w:p w14:paraId="2D6CBC56">
      <w:pPr>
        <w:spacing w:line="360" w:lineRule="auto"/>
        <w:ind w:firstLine="480" w:firstLineChars="200"/>
        <w:rPr>
          <w:color w:val="auto"/>
          <w:sz w:val="24"/>
          <w:szCs w:val="24"/>
          <w:highlight w:val="none"/>
        </w:rPr>
      </w:pPr>
      <w:r>
        <w:rPr>
          <w:rFonts w:hint="eastAsia" w:cs="宋体"/>
          <w:color w:val="auto"/>
          <w:sz w:val="24"/>
          <w:szCs w:val="24"/>
          <w:highlight w:val="none"/>
        </w:rPr>
        <w:t>本次招标工作是按照《中华人民共和国政府采购法》、《中华人民共和国政府采购法实施条例》《政府采购竞争性磋商采购方式管理暂行办法》等相关法律、组织和实施，并由政府采购管理部门指导和监督。</w:t>
      </w:r>
    </w:p>
    <w:p w14:paraId="62CF2A58">
      <w:pPr>
        <w:spacing w:line="360" w:lineRule="auto"/>
        <w:ind w:firstLine="482" w:firstLineChars="200"/>
        <w:rPr>
          <w:rFonts w:ascii="宋体"/>
          <w:b/>
          <w:bCs/>
          <w:color w:val="auto"/>
          <w:sz w:val="24"/>
          <w:szCs w:val="24"/>
          <w:highlight w:val="none"/>
        </w:rPr>
      </w:pPr>
      <w:r>
        <w:rPr>
          <w:rFonts w:ascii="宋体" w:hAnsi="宋体" w:cs="宋体"/>
          <w:b/>
          <w:bCs/>
          <w:color w:val="auto"/>
          <w:sz w:val="24"/>
          <w:szCs w:val="24"/>
          <w:highlight w:val="none"/>
        </w:rPr>
        <w:t>1</w:t>
      </w:r>
      <w:r>
        <w:rPr>
          <w:rFonts w:hint="eastAsia" w:ascii="宋体" w:hAnsi="宋体" w:cs="宋体"/>
          <w:b/>
          <w:bCs/>
          <w:color w:val="auto"/>
          <w:sz w:val="24"/>
          <w:szCs w:val="24"/>
          <w:highlight w:val="none"/>
        </w:rPr>
        <w:t>、适用范围</w:t>
      </w:r>
    </w:p>
    <w:p w14:paraId="79790034">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1.1</w:t>
      </w:r>
      <w:r>
        <w:rPr>
          <w:rFonts w:hint="eastAsia" w:ascii="宋体" w:hAnsi="宋体" w:cs="宋体"/>
          <w:color w:val="auto"/>
          <w:sz w:val="24"/>
          <w:szCs w:val="24"/>
          <w:highlight w:val="none"/>
        </w:rPr>
        <w:t>本次磋商工作仅适用于</w:t>
      </w:r>
      <w:r>
        <w:rPr>
          <w:rFonts w:hint="eastAsia" w:ascii="宋体" w:hAnsi="宋体" w:cs="宋体"/>
          <w:color w:val="auto"/>
          <w:sz w:val="24"/>
          <w:szCs w:val="24"/>
          <w:highlight w:val="none"/>
          <w:u w:val="single"/>
          <w:lang w:val="en-US" w:eastAsia="zh-CN"/>
        </w:rPr>
        <w:t>绍兴市上虞区应急管理局2026年度食堂劳务外包服务项目</w:t>
      </w:r>
      <w:r>
        <w:rPr>
          <w:rFonts w:hint="eastAsia" w:ascii="宋体" w:hAnsi="宋体" w:cs="宋体"/>
          <w:color w:val="auto"/>
          <w:sz w:val="24"/>
          <w:szCs w:val="24"/>
          <w:highlight w:val="none"/>
          <w:u w:val="single"/>
        </w:rPr>
        <w:t>。</w:t>
      </w:r>
    </w:p>
    <w:p w14:paraId="72878256">
      <w:pPr>
        <w:pStyle w:val="11"/>
        <w:spacing w:line="360" w:lineRule="auto"/>
        <w:ind w:firstLine="480" w:firstLineChars="200"/>
        <w:rPr>
          <w:color w:val="auto"/>
          <w:sz w:val="24"/>
          <w:szCs w:val="24"/>
          <w:highlight w:val="none"/>
        </w:rPr>
      </w:pPr>
      <w:r>
        <w:rPr>
          <w:rFonts w:ascii="宋体" w:hAnsi="宋体" w:cs="宋体"/>
          <w:color w:val="auto"/>
          <w:sz w:val="24"/>
          <w:szCs w:val="24"/>
          <w:highlight w:val="none"/>
        </w:rPr>
        <w:t>1.2</w:t>
      </w:r>
      <w:r>
        <w:rPr>
          <w:rFonts w:hint="eastAsia" w:ascii="宋体" w:hAnsi="宋体" w:cs="宋体"/>
          <w:color w:val="auto"/>
          <w:sz w:val="24"/>
          <w:szCs w:val="24"/>
          <w:highlight w:val="none"/>
        </w:rPr>
        <w:t>本项目采购方式采用竞争性磋商方式。</w:t>
      </w:r>
    </w:p>
    <w:p w14:paraId="365327B0">
      <w:pPr>
        <w:spacing w:line="360" w:lineRule="auto"/>
        <w:ind w:firstLine="482" w:firstLineChars="200"/>
        <w:rPr>
          <w:rFonts w:ascii="宋体"/>
          <w:b/>
          <w:bCs/>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、定义</w:t>
      </w:r>
    </w:p>
    <w:p w14:paraId="56101929">
      <w:pPr>
        <w:spacing w:line="360" w:lineRule="auto"/>
        <w:ind w:firstLine="480" w:firstLineChars="200"/>
        <w:rPr>
          <w:rFonts w:ascii="宋体"/>
          <w:color w:val="auto"/>
          <w:sz w:val="24"/>
          <w:szCs w:val="24"/>
          <w:highlight w:val="none"/>
          <w:u w:val="single"/>
        </w:rPr>
      </w:pPr>
      <w:r>
        <w:rPr>
          <w:rFonts w:ascii="宋体" w:hAnsi="宋体" w:cs="宋体"/>
          <w:color w:val="auto"/>
          <w:sz w:val="24"/>
          <w:szCs w:val="24"/>
          <w:highlight w:val="none"/>
        </w:rPr>
        <w:t>2.1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采购人”系指</w:t>
      </w:r>
      <w:r>
        <w:rPr>
          <w:rFonts w:ascii="宋体" w:hAnsi="宋体" w:cs="宋体"/>
          <w:color w:val="auto"/>
          <w:sz w:val="24"/>
          <w:szCs w:val="24"/>
          <w:highlight w:val="none"/>
          <w:u w:val="single"/>
        </w:rPr>
        <w:t xml:space="preserve"> </w:t>
      </w:r>
      <w:r>
        <w:rPr>
          <w:rFonts w:hint="eastAsia" w:ascii="宋体" w:hAnsi="宋体" w:cs="宋体"/>
          <w:color w:val="auto"/>
          <w:sz w:val="24"/>
          <w:szCs w:val="32"/>
          <w:highlight w:val="none"/>
          <w:u w:val="single"/>
          <w:lang w:eastAsia="zh-CN"/>
        </w:rPr>
        <w:t>绍兴市上虞区应急管理局</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。采购人委托</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绍兴成言工程咨询管理有限公司</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为本项目采购代理机构。</w:t>
      </w:r>
    </w:p>
    <w:p w14:paraId="6136624C">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2.2</w:t>
      </w:r>
      <w:r>
        <w:rPr>
          <w:rFonts w:hint="eastAsia" w:ascii="宋体" w:hAnsi="宋体" w:cs="宋体"/>
          <w:color w:val="auto"/>
          <w:sz w:val="24"/>
          <w:szCs w:val="24"/>
          <w:highlight w:val="none"/>
        </w:rPr>
        <w:t>“磋商供应商”系指响应本次采购，参加本次竞争性磋商的供应商。</w:t>
      </w:r>
    </w:p>
    <w:p w14:paraId="09A81EF4">
      <w:pPr>
        <w:spacing w:line="360" w:lineRule="auto"/>
        <w:ind w:firstLine="480" w:firstLineChars="200"/>
        <w:rPr>
          <w:rFonts w:ascii="宋体"/>
          <w:color w:val="auto"/>
          <w:sz w:val="24"/>
          <w:szCs w:val="24"/>
          <w:highlight w:val="none"/>
          <w:lang w:val="zh-CN"/>
        </w:rPr>
      </w:pPr>
      <w:r>
        <w:rPr>
          <w:rFonts w:ascii="宋体" w:hAnsi="宋体" w:cs="宋体"/>
          <w:color w:val="auto"/>
          <w:sz w:val="24"/>
          <w:szCs w:val="24"/>
          <w:highlight w:val="none"/>
        </w:rPr>
        <w:t>2.3</w:t>
      </w:r>
      <w:r>
        <w:rPr>
          <w:rFonts w:hint="eastAsia" w:ascii="宋体" w:hAnsi="宋体" w:cs="宋体"/>
          <w:color w:val="auto"/>
          <w:sz w:val="24"/>
          <w:szCs w:val="24"/>
          <w:highlight w:val="none"/>
          <w:lang w:val="zh-CN"/>
        </w:rPr>
        <w:t>“服务”系指</w:t>
      </w:r>
      <w:r>
        <w:rPr>
          <w:rFonts w:hint="eastAsia" w:ascii="宋体" w:hAnsi="宋体" w:cs="宋体"/>
          <w:color w:val="auto"/>
          <w:sz w:val="24"/>
          <w:szCs w:val="24"/>
          <w:highlight w:val="none"/>
        </w:rPr>
        <w:t>磋商供应商按合同规定，须承担的服务的义务</w:t>
      </w:r>
      <w:r>
        <w:rPr>
          <w:rFonts w:hint="eastAsia" w:ascii="宋体" w:hAnsi="宋体" w:cs="宋体"/>
          <w:color w:val="auto"/>
          <w:sz w:val="24"/>
          <w:szCs w:val="24"/>
          <w:highlight w:val="none"/>
          <w:lang w:val="zh-CN"/>
        </w:rPr>
        <w:t>。</w:t>
      </w:r>
    </w:p>
    <w:p w14:paraId="5E37BAAB">
      <w:pPr>
        <w:spacing w:line="360" w:lineRule="auto"/>
        <w:ind w:firstLine="482" w:firstLineChars="200"/>
        <w:rPr>
          <w:rFonts w:ascii="宋体"/>
          <w:b/>
          <w:bCs/>
          <w:color w:val="auto"/>
          <w:sz w:val="24"/>
          <w:szCs w:val="24"/>
          <w:highlight w:val="none"/>
        </w:rPr>
      </w:pPr>
      <w:r>
        <w:rPr>
          <w:rFonts w:ascii="宋体" w:hAnsi="宋体" w:cs="宋体"/>
          <w:b/>
          <w:bCs/>
          <w:color w:val="auto"/>
          <w:sz w:val="24"/>
          <w:szCs w:val="24"/>
          <w:highlight w:val="none"/>
        </w:rPr>
        <w:t>3</w:t>
      </w:r>
      <w:r>
        <w:rPr>
          <w:rFonts w:hint="eastAsia" w:ascii="宋体" w:hAnsi="宋体" w:cs="宋体"/>
          <w:b/>
          <w:bCs/>
          <w:color w:val="auto"/>
          <w:sz w:val="24"/>
          <w:szCs w:val="24"/>
          <w:highlight w:val="none"/>
        </w:rPr>
        <w:t>、采购项目概况</w:t>
      </w:r>
      <w:r>
        <w:rPr>
          <w:rFonts w:ascii="宋体"/>
          <w:b/>
          <w:bCs/>
          <w:color w:val="auto"/>
          <w:sz w:val="24"/>
          <w:szCs w:val="24"/>
          <w:highlight w:val="none"/>
        </w:rPr>
        <w:tab/>
      </w:r>
      <w:r>
        <w:rPr>
          <w:rFonts w:ascii="宋体"/>
          <w:b/>
          <w:bCs/>
          <w:color w:val="auto"/>
          <w:sz w:val="24"/>
          <w:szCs w:val="24"/>
          <w:highlight w:val="none"/>
        </w:rPr>
        <w:tab/>
      </w:r>
    </w:p>
    <w:p w14:paraId="2371ED9B">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详见竞争性磋商公告相关内容，主要要求参见本文件第</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三</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部分。</w:t>
      </w:r>
    </w:p>
    <w:p w14:paraId="1F3DADF7">
      <w:pPr>
        <w:adjustRightInd w:val="0"/>
        <w:spacing w:line="360" w:lineRule="auto"/>
        <w:ind w:firstLine="482" w:firstLineChars="200"/>
        <w:rPr>
          <w:rFonts w:ascii="宋体"/>
          <w:b/>
          <w:bCs/>
          <w:color w:val="auto"/>
          <w:sz w:val="24"/>
          <w:szCs w:val="24"/>
          <w:highlight w:val="none"/>
        </w:rPr>
      </w:pPr>
      <w:r>
        <w:rPr>
          <w:rFonts w:ascii="宋体" w:hAnsi="宋体" w:cs="宋体"/>
          <w:b/>
          <w:bCs/>
          <w:color w:val="auto"/>
          <w:sz w:val="24"/>
          <w:szCs w:val="24"/>
          <w:highlight w:val="none"/>
        </w:rPr>
        <w:t>4</w:t>
      </w:r>
      <w:r>
        <w:rPr>
          <w:rFonts w:hint="eastAsia" w:ascii="宋体" w:hAnsi="宋体" w:cs="宋体"/>
          <w:b/>
          <w:bCs/>
          <w:color w:val="auto"/>
          <w:sz w:val="24"/>
          <w:szCs w:val="24"/>
          <w:highlight w:val="none"/>
        </w:rPr>
        <w:t>、合格的磋商供应商</w:t>
      </w:r>
    </w:p>
    <w:p w14:paraId="52C873CE">
      <w:pPr>
        <w:spacing w:line="360" w:lineRule="auto"/>
        <w:ind w:firstLine="480" w:firstLineChars="200"/>
        <w:rPr>
          <w:rFonts w:ascii="宋体"/>
          <w:color w:val="auto"/>
          <w:sz w:val="24"/>
          <w:szCs w:val="24"/>
          <w:highlight w:val="none"/>
        </w:rPr>
      </w:pPr>
      <w:bookmarkStart w:id="27" w:name="_Toc208913145"/>
      <w:bookmarkStart w:id="28" w:name="_Toc209435242"/>
      <w:bookmarkStart w:id="29" w:name="_Toc207946571"/>
      <w:bookmarkStart w:id="30" w:name="_Toc197163261"/>
      <w:bookmarkStart w:id="31" w:name="_Toc209520993"/>
      <w:bookmarkStart w:id="32" w:name="_Toc209504018"/>
      <w:bookmarkStart w:id="33" w:name="_Toc197156227"/>
      <w:bookmarkStart w:id="34" w:name="_Toc204683265"/>
      <w:bookmarkStart w:id="35" w:name="_Toc197657950"/>
      <w:bookmarkStart w:id="36" w:name="_Toc211412066"/>
      <w:bookmarkStart w:id="37" w:name="_Toc197053926"/>
      <w:bookmarkStart w:id="38" w:name="_Toc193523219"/>
      <w:bookmarkStart w:id="39" w:name="_Toc208287611"/>
      <w:bookmarkStart w:id="40" w:name="_Toc193538208"/>
      <w:r>
        <w:rPr>
          <w:rFonts w:hint="eastAsia" w:ascii="宋体" w:hAnsi="宋体" w:cs="宋体"/>
          <w:color w:val="auto"/>
          <w:sz w:val="24"/>
          <w:szCs w:val="24"/>
          <w:highlight w:val="none"/>
        </w:rPr>
        <w:t>详见竞争性磋商采购公告磋商供应商的资格要求规定。</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22684068">
      <w:pPr>
        <w:spacing w:line="360" w:lineRule="auto"/>
        <w:ind w:firstLine="482" w:firstLineChars="200"/>
        <w:rPr>
          <w:rFonts w:ascii="宋体"/>
          <w:b/>
          <w:bCs/>
          <w:color w:val="auto"/>
          <w:sz w:val="24"/>
          <w:szCs w:val="24"/>
          <w:highlight w:val="none"/>
        </w:rPr>
      </w:pPr>
      <w:r>
        <w:rPr>
          <w:rFonts w:ascii="宋体" w:hAnsi="宋体" w:cs="宋体"/>
          <w:b/>
          <w:bCs/>
          <w:color w:val="auto"/>
          <w:sz w:val="24"/>
          <w:szCs w:val="24"/>
          <w:highlight w:val="none"/>
        </w:rPr>
        <w:t>5</w:t>
      </w:r>
      <w:r>
        <w:rPr>
          <w:rFonts w:hint="eastAsia" w:ascii="宋体" w:hAnsi="宋体" w:cs="宋体"/>
          <w:b/>
          <w:bCs/>
          <w:color w:val="auto"/>
          <w:sz w:val="24"/>
          <w:szCs w:val="24"/>
          <w:highlight w:val="none"/>
        </w:rPr>
        <w:t>、采购项目需要落实的政府采购政策</w:t>
      </w:r>
    </w:p>
    <w:p w14:paraId="06A22AF2">
      <w:pPr>
        <w:spacing w:line="360" w:lineRule="auto"/>
        <w:ind w:firstLine="480" w:firstLineChars="200"/>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并严格执行《关于在政府采购中实施本国产品标准及相关政策的通知》（国办发〔2025〕34 号）要求。</w:t>
      </w:r>
    </w:p>
    <w:p w14:paraId="6321EE7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支持绿色发展</w:t>
      </w:r>
    </w:p>
    <w:p w14:paraId="1192521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14:paraId="1EF25FBD">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5.2.2采购人拟采购的产品属于政府强制采购的节能产品品目清单范围的，投标人未按招标文件要求提供国家确定的认证机构出具的、处于有效期之内的节能产品认证证书，投标无效。</w:t>
      </w:r>
    </w:p>
    <w:p w14:paraId="68529DC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 纳入政府采购管理的修缮、装修类项目采购建材的，采购单位应将绿色建材性能、指标等作为实质性条件纳入采购文件和合同，具体性能指标要求按照相关绿色建材政府采购需求标准执行。</w:t>
      </w:r>
    </w:p>
    <w:p w14:paraId="06ECF4D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5.2.4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6C7551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5.2.5根据《绍兴市柴油动力移动源排气污染防治办法》第九条、第十三条的规定，使用的柴油动力移动源（柴油货车、非道路移动机械）必须符合低排放要求并已向生态环境部门申领绿色编码，在进入作业现场前须如实向采购人登记报备绿色编码，未申领绿色编码的柴油动力移动源不得进入作业现场施工。</w:t>
      </w:r>
    </w:p>
    <w:p w14:paraId="2030A99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w:t>
      </w:r>
      <w:r>
        <w:rPr>
          <w:rFonts w:hint="eastAsia" w:ascii="宋体" w:hAnsi="宋体" w:eastAsia="宋体" w:cs="宋体"/>
          <w:bCs/>
          <w:color w:val="auto"/>
          <w:sz w:val="24"/>
          <w:szCs w:val="24"/>
          <w:highlight w:val="none"/>
        </w:rPr>
        <w:t>小微</w:t>
      </w:r>
      <w:r>
        <w:rPr>
          <w:rFonts w:hint="eastAsia" w:ascii="宋体" w:hAnsi="宋体" w:eastAsia="宋体" w:cs="宋体"/>
          <w:color w:val="auto"/>
          <w:sz w:val="24"/>
          <w:szCs w:val="24"/>
          <w:highlight w:val="none"/>
        </w:rPr>
        <w:t>企业价格扣除（按财库〔2022〕19号文件规定执行）</w:t>
      </w:r>
    </w:p>
    <w:p w14:paraId="40A431E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5.3.1小微企业是指</w:t>
      </w:r>
      <w:r>
        <w:rPr>
          <w:rFonts w:hint="eastAsia" w:ascii="宋体" w:hAnsi="宋体" w:eastAsia="宋体" w:cs="宋体"/>
          <w:bCs/>
          <w:color w:val="auto"/>
          <w:sz w:val="24"/>
          <w:szCs w:val="24"/>
          <w:highlight w:val="none"/>
        </w:rPr>
        <w:t>在中华人民共和国境内依法设立，依据国务院批准的中小企业划分标准确定的小型企业和微型企业，但与大企业的负责人为同一人，或者与大企业存在直接控股、管理关系的除外。</w:t>
      </w:r>
    </w:p>
    <w:p w14:paraId="3FDE9C42">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符合中小企业划分标准的个体工商户，在政府采购活动中视同中小企业。</w:t>
      </w:r>
    </w:p>
    <w:p w14:paraId="0960E90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5.3.2在货物采购项目中，货物由小微企业制造，即货物由小微企业生产且使用该小微企业商号或者注册商标。</w:t>
      </w:r>
      <w:r>
        <w:rPr>
          <w:rFonts w:hint="eastAsia" w:ascii="宋体" w:hAnsi="宋体" w:eastAsia="宋体" w:cs="宋体"/>
          <w:b/>
          <w:bCs/>
          <w:color w:val="auto"/>
          <w:sz w:val="24"/>
          <w:szCs w:val="24"/>
          <w:highlight w:val="none"/>
        </w:rPr>
        <w:t>供应商提供的货物既有中小企业制造货物，也有大型企业制造货物的，不享受中小企业扶持政策。</w:t>
      </w:r>
    </w:p>
    <w:p w14:paraId="7F4EE0AC">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5.3.3在服务采购项目中，服务由小微企业承接，即提供服务的人员为小微企业依照《中华人民共和国劳动合同法》订立劳动合同的从业人员。</w:t>
      </w:r>
    </w:p>
    <w:p w14:paraId="3A1DDEE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5.3.4小微企业应按照招标文件格式要求提供《中小企业声明函》。</w:t>
      </w:r>
    </w:p>
    <w:p w14:paraId="65A25BE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5.3.5对于经主管预算单位统筹后未预留份额专门面向中小企业采购的采购项目，以及预留份额项目中的非预留部分采购包，采购人、采购代理机构将对符合规定的小微企业报价给予10%的扣除，用扣除后的价格参加评审。</w:t>
      </w:r>
    </w:p>
    <w:p w14:paraId="19CF463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5.3.6接受大中型企业与小微企业组成联合体或者允许大中型企业向一家或者多家小微企业分包的采购项目，对于联合协议或者分包意向协议约定小微企业的合同份额占到合同总金额30%以上的，采购人、采购代理机构将对联合体或者大中型企业的报价给予4%的扣除，用扣除后的价格参加评审。组成联合体或者接受分包的小微企业与联合体内其他企业、分包企业之间存在直接控股、管理关系的，不享受价格扣除优惠政策。</w:t>
      </w:r>
    </w:p>
    <w:p w14:paraId="69FD5D82">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以联合体形式参加政府采购活动，联合体各方均为中小企业的，联合体视同中小企业。其中，联合体各方均为小微企业的，联合体视同小微企业。</w:t>
      </w:r>
    </w:p>
    <w:p w14:paraId="5AFC2A8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5.3.7符合《关于促进残疾人就业政府采购政策的通知》（财库〔2017〕141号）规定的条件并提供《残疾人福利性单位声明函》的残疾人福利性单位视同小微企业；</w:t>
      </w:r>
    </w:p>
    <w:p w14:paraId="7E7FC5B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5.3.8符合《关于政府采购支持监狱企业发展有关问题的通知》（财库[2014]68号）规定的监狱企业并提供由省级以上监狱管理局、戒毒管理局（含新疆生产建设兵团）出具的属于监狱企业证明文件的，视同为小微企业。</w:t>
      </w:r>
    </w:p>
    <w:p w14:paraId="2C38898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5.4支持科技创新发展</w:t>
      </w:r>
    </w:p>
    <w:p w14:paraId="76D1D5E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对省级以上主管部门认定的首台套产品，自纳入《省推广应用指导目录》起三年内参加政府采购活动，视同已具备相应销售业绩，业绩分为满分。</w:t>
      </w:r>
    </w:p>
    <w:p w14:paraId="1689C4B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5.5平等对待内外资企业和符合条件的破产重整企业</w:t>
      </w:r>
    </w:p>
    <w:p w14:paraId="239651A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平等对待内外资企业和符合条件的破产重整企业，切实保障企业公平竞争，平等维护企业的合法利益。</w:t>
      </w:r>
    </w:p>
    <w:p w14:paraId="413DFAB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5.6本国产品的支持政策</w:t>
      </w:r>
    </w:p>
    <w:p w14:paraId="1B72847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247982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5.6.2根据国务院办公厅关于在政府采购中实施本国产品标准及相关政策的通知（国办发〔2025〕34号）要求，政府采购活动中</w:t>
      </w:r>
      <w:r>
        <w:rPr>
          <w:rFonts w:hint="eastAsia" w:ascii="宋体" w:hAnsi="宋体" w:eastAsia="宋体" w:cs="宋体"/>
          <w:b/>
          <w:bCs/>
          <w:color w:val="auto"/>
          <w:sz w:val="24"/>
          <w:szCs w:val="24"/>
          <w:highlight w:val="none"/>
        </w:rPr>
        <w:t>既有本国产品又有非本国产品</w:t>
      </w:r>
      <w:r>
        <w:rPr>
          <w:rFonts w:hint="eastAsia" w:ascii="宋体" w:hAnsi="宋体" w:eastAsia="宋体" w:cs="宋体"/>
          <w:color w:val="auto"/>
          <w:sz w:val="24"/>
          <w:szCs w:val="24"/>
          <w:highlight w:val="none"/>
        </w:rPr>
        <w:t>参与竞争的，依法对本国产品给予价格评审优惠，对本国产品的报价给予20%的价格扣除，用扣除后的价格参与评审。</w:t>
      </w:r>
    </w:p>
    <w:p w14:paraId="7740962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5860D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5.6.3产品在中国境内生产的组件成本核算规则。产品在中国境内生产的组件成本，按照《中国境内生产的组件成本核算基本规则》计算。</w:t>
      </w:r>
    </w:p>
    <w:p w14:paraId="0CEA217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5.6.4供应商对其提供的产品出具《关于符合本国产品标准的声明函》或财政部会同有关部门规定的有关证明文件，《声明函》或有关证明文件符合要求的，该产品视为本国产品。</w:t>
      </w:r>
    </w:p>
    <w:p w14:paraId="281A3F7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当采购项目或者采购包中含有多种产品，供应商为该采购项目或者采购包提供的符合本国产品标准的产品成本之和占该供应商提供的全部产品成本之和的比例达到80%以上时，供应商还应出具成本占比达到80%以上</w:t>
      </w:r>
      <w:r>
        <w:rPr>
          <w:rFonts w:hint="eastAsia" w:ascii="宋体" w:hAnsi="宋体" w:eastAsia="宋体" w:cs="宋体"/>
          <w:b/>
          <w:bCs/>
          <w:color w:val="auto"/>
          <w:sz w:val="24"/>
          <w:szCs w:val="24"/>
          <w:highlight w:val="none"/>
        </w:rPr>
        <w:t>承诺函</w:t>
      </w:r>
      <w:r>
        <w:rPr>
          <w:rFonts w:hint="eastAsia" w:ascii="宋体" w:hAnsi="宋体" w:eastAsia="宋体" w:cs="宋体"/>
          <w:color w:val="auto"/>
          <w:sz w:val="24"/>
          <w:szCs w:val="24"/>
          <w:highlight w:val="none"/>
        </w:rPr>
        <w:t>。</w:t>
      </w:r>
    </w:p>
    <w:p w14:paraId="27538C6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5.6.5供应商提供虚假《声明函》、虚假证明文件谋取中标、成交的，依照《中华人民共和国政府采购法》等法律法规规定追究相应责任。</w:t>
      </w:r>
    </w:p>
    <w:p w14:paraId="71F7F2D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5.6.6</w:t>
      </w:r>
      <w:r>
        <w:rPr>
          <w:rFonts w:hint="eastAsia" w:ascii="宋体" w:hAnsi="宋体" w:eastAsia="宋体" w:cs="宋体"/>
          <w:b/>
          <w:bCs/>
          <w:color w:val="auto"/>
          <w:sz w:val="24"/>
          <w:szCs w:val="24"/>
          <w:highlight w:val="none"/>
        </w:rPr>
        <w:t>采购人、采购代理机构按规定随中标、成交结果同时公告中标、成交供应商提供的《声明函》或有关证明文件、承诺函。</w:t>
      </w:r>
    </w:p>
    <w:p w14:paraId="04AA38CE">
      <w:pPr>
        <w:spacing w:line="360" w:lineRule="auto"/>
        <w:ind w:firstLine="480" w:firstLineChars="200"/>
        <w:rPr>
          <w:color w:val="auto"/>
          <w:highlight w:val="none"/>
        </w:rPr>
      </w:pPr>
      <w:r>
        <w:rPr>
          <w:rFonts w:hint="eastAsia" w:ascii="宋体" w:hAnsi="宋体" w:eastAsia="宋体" w:cs="宋体"/>
          <w:color w:val="auto"/>
          <w:sz w:val="24"/>
          <w:szCs w:val="24"/>
          <w:highlight w:val="none"/>
        </w:rPr>
        <w:t>5.7本国产品价格扣除与小微企业价格扣除叠加。具体计算公式为：参加评审价格=产品报价-产品报价*（小微企业价格扣除率+本国产品价格扣除率）。</w:t>
      </w:r>
    </w:p>
    <w:p w14:paraId="4A1D9A47">
      <w:pPr>
        <w:pStyle w:val="3"/>
        <w:numPr>
          <w:ilvl w:val="0"/>
          <w:numId w:val="7"/>
        </w:numPr>
        <w:spacing w:line="360" w:lineRule="auto"/>
        <w:jc w:val="center"/>
        <w:rPr>
          <w:rFonts w:cs="Times New Roman"/>
          <w:color w:val="auto"/>
          <w:highlight w:val="none"/>
        </w:rPr>
      </w:pPr>
      <w:bookmarkStart w:id="41" w:name="_Toc32689"/>
      <w:bookmarkStart w:id="42" w:name="_Toc416992151"/>
      <w:bookmarkStart w:id="43" w:name="_Toc25923"/>
      <w:r>
        <w:rPr>
          <w:color w:val="auto"/>
          <w:highlight w:val="none"/>
        </w:rPr>
        <w:t xml:space="preserve"> </w:t>
      </w:r>
      <w:bookmarkStart w:id="44" w:name="_Toc11814"/>
      <w:bookmarkStart w:id="45" w:name="_Toc6135"/>
      <w:bookmarkStart w:id="46" w:name="_Toc31889"/>
      <w:bookmarkStart w:id="47" w:name="_Toc187"/>
      <w:bookmarkStart w:id="48" w:name="_Toc19364"/>
      <w:r>
        <w:rPr>
          <w:rFonts w:hint="eastAsia"/>
          <w:color w:val="auto"/>
          <w:highlight w:val="none"/>
        </w:rPr>
        <w:t>竞争性磋商文件</w:t>
      </w:r>
      <w:bookmarkEnd w:id="41"/>
      <w:bookmarkEnd w:id="42"/>
      <w:bookmarkEnd w:id="43"/>
      <w:bookmarkEnd w:id="44"/>
      <w:bookmarkEnd w:id="45"/>
      <w:bookmarkEnd w:id="46"/>
      <w:bookmarkEnd w:id="47"/>
      <w:bookmarkEnd w:id="48"/>
    </w:p>
    <w:p w14:paraId="30D8F154">
      <w:pPr>
        <w:adjustRightInd w:val="0"/>
        <w:spacing w:line="360" w:lineRule="auto"/>
        <w:ind w:firstLine="482" w:firstLineChars="200"/>
        <w:rPr>
          <w:rFonts w:ascii="宋体"/>
          <w:b/>
          <w:bCs/>
          <w:color w:val="auto"/>
          <w:sz w:val="24"/>
          <w:szCs w:val="24"/>
          <w:highlight w:val="none"/>
        </w:rPr>
      </w:pPr>
      <w:r>
        <w:rPr>
          <w:rFonts w:ascii="宋体" w:hAnsi="宋体" w:cs="宋体"/>
          <w:b/>
          <w:bCs/>
          <w:color w:val="auto"/>
          <w:sz w:val="24"/>
          <w:szCs w:val="24"/>
          <w:highlight w:val="none"/>
        </w:rPr>
        <w:t>6</w:t>
      </w:r>
      <w:r>
        <w:rPr>
          <w:rFonts w:hint="eastAsia" w:ascii="宋体" w:hAnsi="宋体" w:cs="宋体"/>
          <w:b/>
          <w:bCs/>
          <w:color w:val="auto"/>
          <w:sz w:val="24"/>
          <w:szCs w:val="24"/>
          <w:highlight w:val="none"/>
        </w:rPr>
        <w:t>、磋商文件的组成</w:t>
      </w:r>
    </w:p>
    <w:p w14:paraId="5170CB1C">
      <w:pPr>
        <w:adjustRightInd w:val="0"/>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6.1</w:t>
      </w:r>
      <w:r>
        <w:rPr>
          <w:rFonts w:hint="eastAsia" w:ascii="宋体" w:hAnsi="宋体" w:cs="宋体"/>
          <w:color w:val="auto"/>
          <w:sz w:val="24"/>
          <w:szCs w:val="24"/>
          <w:highlight w:val="none"/>
        </w:rPr>
        <w:t>本磋商文件包括目录所示内容及所有按本须知发出的补充资料（如果有）。</w:t>
      </w:r>
    </w:p>
    <w:p w14:paraId="6D439361">
      <w:pPr>
        <w:adjustRightInd w:val="0"/>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6.2</w:t>
      </w:r>
      <w:r>
        <w:rPr>
          <w:rFonts w:hint="eastAsia" w:ascii="宋体" w:hAnsi="宋体" w:cs="宋体"/>
          <w:color w:val="auto"/>
          <w:sz w:val="24"/>
          <w:szCs w:val="24"/>
          <w:highlight w:val="none"/>
        </w:rPr>
        <w:t>除上述所列内容外，采购人及采购代理机构的任何工作人员对磋商供应商所作的任何口头解释、介绍、答复，只能供磋商供应商参考，对采购人和磋商供应商无任何约束力。</w:t>
      </w:r>
    </w:p>
    <w:p w14:paraId="5884B3A3">
      <w:pPr>
        <w:adjustRightInd w:val="0"/>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6.3</w:t>
      </w:r>
      <w:r>
        <w:rPr>
          <w:rFonts w:hint="eastAsia" w:ascii="宋体" w:hAnsi="宋体" w:cs="宋体"/>
          <w:color w:val="auto"/>
          <w:sz w:val="24"/>
          <w:szCs w:val="24"/>
          <w:highlight w:val="none"/>
        </w:rPr>
        <w:t>磋商供应商应仔细阅读磋商文件的所有内容，按照文件要求提交响应文件，并保证所提交的全部资料的真实性。不按磋商文件的要求提供的响应文件和资料，可能导致磋商被拒绝。</w:t>
      </w:r>
    </w:p>
    <w:p w14:paraId="3C7D962A">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6.4</w:t>
      </w:r>
      <w:r>
        <w:rPr>
          <w:rFonts w:hint="eastAsia" w:ascii="宋体" w:hAnsi="宋体" w:cs="宋体"/>
          <w:color w:val="auto"/>
          <w:sz w:val="24"/>
          <w:szCs w:val="24"/>
          <w:highlight w:val="none"/>
        </w:rPr>
        <w:t>磋商文件是磋商过程进行的有效依据，也是成交后签订合同的依据，对双方均具有约束力，凡不遵守磋商文件规定或对磋商文件的实质性内容不响应的报价，将可能被拒绝或以无效标处理。本磋商文件由采购人或采购代理机构进行解释。</w:t>
      </w:r>
    </w:p>
    <w:p w14:paraId="161CDCE1">
      <w:pPr>
        <w:adjustRightInd w:val="0"/>
        <w:spacing w:line="360" w:lineRule="auto"/>
        <w:ind w:firstLine="472" w:firstLineChars="196"/>
        <w:rPr>
          <w:rFonts w:ascii="宋体"/>
          <w:b/>
          <w:bCs/>
          <w:color w:val="auto"/>
          <w:sz w:val="24"/>
          <w:szCs w:val="24"/>
          <w:highlight w:val="none"/>
        </w:rPr>
      </w:pPr>
      <w:r>
        <w:rPr>
          <w:rFonts w:ascii="宋体" w:hAnsi="宋体" w:cs="宋体"/>
          <w:b/>
          <w:bCs/>
          <w:color w:val="auto"/>
          <w:sz w:val="24"/>
          <w:szCs w:val="24"/>
          <w:highlight w:val="none"/>
        </w:rPr>
        <w:t>7</w:t>
      </w:r>
      <w:r>
        <w:rPr>
          <w:rFonts w:hint="eastAsia" w:ascii="宋体" w:hAnsi="宋体" w:cs="宋体"/>
          <w:b/>
          <w:bCs/>
          <w:color w:val="auto"/>
          <w:sz w:val="24"/>
          <w:szCs w:val="24"/>
          <w:highlight w:val="none"/>
        </w:rPr>
        <w:t>、磋商文件的澄清与修改</w:t>
      </w:r>
    </w:p>
    <w:p w14:paraId="4EC8E16B">
      <w:pPr>
        <w:pStyle w:val="13"/>
        <w:spacing w:line="360" w:lineRule="auto"/>
        <w:ind w:firstLine="480" w:firstLineChars="200"/>
        <w:rPr>
          <w:rFonts w:cs="Times New Roman"/>
          <w:color w:val="auto"/>
          <w:highlight w:val="none"/>
        </w:rPr>
      </w:pPr>
      <w:r>
        <w:rPr>
          <w:color w:val="auto"/>
          <w:highlight w:val="none"/>
        </w:rPr>
        <w:t>7.1</w:t>
      </w:r>
      <w:r>
        <w:rPr>
          <w:rFonts w:hint="eastAsia"/>
          <w:color w:val="auto"/>
          <w:highlight w:val="none"/>
        </w:rPr>
        <w:t>磋商供应商在收到竞争性磋商文件后，若有问题需要澄清或认为有必要与采购人进行技术交流，应于前附表规定时间前，将问题按前附表要求发至指定邮箱里。（电子邮件只作方便工作之用，与书面文件有不一致的，以书面文件为准）。截止期后的疑问将不予受理、答复。</w:t>
      </w:r>
    </w:p>
    <w:p w14:paraId="5DD775C3">
      <w:pPr>
        <w:pStyle w:val="13"/>
        <w:spacing w:line="360" w:lineRule="auto"/>
        <w:ind w:right="-240" w:rightChars="-120" w:firstLine="480" w:firstLineChars="200"/>
        <w:rPr>
          <w:rFonts w:cs="Times New Roman"/>
          <w:color w:val="auto"/>
          <w:highlight w:val="none"/>
        </w:rPr>
      </w:pPr>
      <w:r>
        <w:rPr>
          <w:color w:val="auto"/>
          <w:highlight w:val="none"/>
        </w:rPr>
        <w:t>7.2</w:t>
      </w:r>
      <w:r>
        <w:rPr>
          <w:rFonts w:hint="eastAsia"/>
          <w:color w:val="auto"/>
          <w:highlight w:val="none"/>
        </w:rPr>
        <w:t>磋商供应商要求解释或澄清的问题应以书面形式，并加盖公章、写明日期。</w:t>
      </w:r>
    </w:p>
    <w:p w14:paraId="7F973259">
      <w:pPr>
        <w:adjustRightInd w:val="0"/>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7.3</w:t>
      </w:r>
      <w:r>
        <w:rPr>
          <w:rFonts w:hint="eastAsia" w:ascii="宋体" w:hAnsi="宋体" w:cs="宋体"/>
          <w:color w:val="auto"/>
          <w:sz w:val="24"/>
          <w:szCs w:val="24"/>
          <w:highlight w:val="none"/>
        </w:rPr>
        <w:t>提交响应文件截止之日前，采购人、采购代理机构或者磋商小组可以对已发出的磋商文件进行必要的澄清或者修改，澄清或者修改的内容作为磋商文件的组成部分。</w:t>
      </w:r>
    </w:p>
    <w:p w14:paraId="095FFA6D">
      <w:pPr>
        <w:adjustRightInd w:val="0"/>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7.4</w:t>
      </w:r>
      <w:r>
        <w:rPr>
          <w:rFonts w:hint="eastAsia" w:ascii="宋体" w:hAnsi="宋体" w:cs="宋体"/>
          <w:color w:val="auto"/>
          <w:sz w:val="24"/>
          <w:szCs w:val="24"/>
          <w:highlight w:val="none"/>
        </w:rPr>
        <w:t>竞争性磋商文件的澄清修改文件及更正补充公告，请自行登录浙江政府采购网或绍兴市上虞区公共资源交易中心网站，在采购公告页面中下载。</w:t>
      </w:r>
    </w:p>
    <w:p w14:paraId="79886B33">
      <w:pPr>
        <w:adjustRightInd w:val="0"/>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7.5</w:t>
      </w:r>
      <w:r>
        <w:rPr>
          <w:rFonts w:hint="eastAsia" w:ascii="宋体" w:hAnsi="宋体" w:cs="宋体"/>
          <w:color w:val="auto"/>
          <w:sz w:val="24"/>
          <w:szCs w:val="24"/>
          <w:highlight w:val="none"/>
        </w:rPr>
        <w:t>澄清或者修改的内容可能影响响应文件编制的，采购人、采购代理机构将在提交响应文件截止时间至少</w:t>
      </w:r>
      <w:r>
        <w:rPr>
          <w:rFonts w:ascii="宋体" w:hAnsi="宋体" w:cs="宋体"/>
          <w:color w:val="auto"/>
          <w:sz w:val="24"/>
          <w:szCs w:val="24"/>
          <w:highlight w:val="none"/>
        </w:rPr>
        <w:t>5</w:t>
      </w:r>
      <w:r>
        <w:rPr>
          <w:rFonts w:hint="eastAsia" w:ascii="宋体" w:hAnsi="宋体" w:cs="宋体"/>
          <w:color w:val="auto"/>
          <w:sz w:val="24"/>
          <w:szCs w:val="24"/>
          <w:highlight w:val="none"/>
        </w:rPr>
        <w:t>日前，以公告形式通知所有获取磋商文件的供应商；不足</w:t>
      </w:r>
      <w:r>
        <w:rPr>
          <w:rFonts w:ascii="宋体" w:hAnsi="宋体" w:cs="宋体"/>
          <w:color w:val="auto"/>
          <w:sz w:val="24"/>
          <w:szCs w:val="24"/>
          <w:highlight w:val="none"/>
        </w:rPr>
        <w:t>5</w:t>
      </w:r>
      <w:r>
        <w:rPr>
          <w:rFonts w:hint="eastAsia" w:ascii="宋体" w:hAnsi="宋体" w:cs="宋体"/>
          <w:color w:val="auto"/>
          <w:sz w:val="24"/>
          <w:szCs w:val="24"/>
          <w:highlight w:val="none"/>
        </w:rPr>
        <w:t>日的，采购人、采购代理机构可能会顺延提交首次响应文件截止时间。澄清或者修改的内容未对原磋商文件作出重大修改或不会影响响应文件编制的，递交首次响应文件截止时间不变。</w:t>
      </w:r>
    </w:p>
    <w:p w14:paraId="058DE49F">
      <w:pPr>
        <w:adjustRightInd w:val="0"/>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7.6</w:t>
      </w:r>
      <w:r>
        <w:rPr>
          <w:rFonts w:hint="eastAsia" w:ascii="宋体" w:hAnsi="宋体" w:cs="宋体"/>
          <w:color w:val="auto"/>
          <w:sz w:val="24"/>
          <w:szCs w:val="24"/>
          <w:highlight w:val="none"/>
        </w:rPr>
        <w:t>竞争性磋商文件澄清、答复、修改、补充的内容为竞争性磋商文件的组成部分。</w:t>
      </w:r>
    </w:p>
    <w:p w14:paraId="4B9C87D2">
      <w:pPr>
        <w:pStyle w:val="4"/>
        <w:spacing w:line="360" w:lineRule="auto"/>
        <w:rPr>
          <w:rFonts w:hint="eastAsia" w:ascii="宋体" w:hAnsi="宋体" w:cs="宋体"/>
          <w:color w:val="auto"/>
          <w:sz w:val="24"/>
          <w:szCs w:val="24"/>
          <w:highlight w:val="none"/>
        </w:rPr>
      </w:pPr>
      <w:r>
        <w:rPr>
          <w:rFonts w:ascii="宋体" w:hAnsi="宋体" w:cs="宋体"/>
          <w:color w:val="auto"/>
          <w:sz w:val="24"/>
          <w:szCs w:val="24"/>
          <w:highlight w:val="none"/>
        </w:rPr>
        <w:t>7.7</w:t>
      </w:r>
      <w:r>
        <w:rPr>
          <w:rFonts w:hint="eastAsia" w:ascii="宋体" w:hAnsi="宋体" w:cs="宋体"/>
          <w:color w:val="auto"/>
          <w:sz w:val="24"/>
          <w:szCs w:val="24"/>
          <w:highlight w:val="none"/>
        </w:rPr>
        <w:t>磋商文件发售截止日后，经采购人同意后购买磋商文件的磋商供应商不得对磋商文件和补充文件提出答疑或质疑。</w:t>
      </w:r>
    </w:p>
    <w:p w14:paraId="020693D7">
      <w:pPr>
        <w:pStyle w:val="13"/>
        <w:spacing w:line="360" w:lineRule="auto"/>
        <w:rPr>
          <w:color w:val="auto"/>
          <w:highlight w:val="none"/>
        </w:rPr>
      </w:pPr>
    </w:p>
    <w:p w14:paraId="5BD3A38A">
      <w:pPr>
        <w:pStyle w:val="3"/>
        <w:numPr>
          <w:ilvl w:val="0"/>
          <w:numId w:val="7"/>
        </w:numPr>
        <w:spacing w:line="360" w:lineRule="auto"/>
        <w:jc w:val="center"/>
        <w:rPr>
          <w:rFonts w:cs="Times New Roman"/>
          <w:color w:val="auto"/>
          <w:highlight w:val="none"/>
        </w:rPr>
      </w:pPr>
      <w:bookmarkStart w:id="49" w:name="_Toc11669"/>
      <w:bookmarkStart w:id="50" w:name="_Toc6457"/>
      <w:bookmarkStart w:id="51" w:name="_Toc26027"/>
      <w:bookmarkStart w:id="52" w:name="_Toc1828"/>
      <w:bookmarkStart w:id="53" w:name="_Toc10669"/>
      <w:bookmarkStart w:id="54" w:name="_Toc11692"/>
      <w:bookmarkStart w:id="55" w:name="_Toc8860"/>
      <w:bookmarkStart w:id="56" w:name="_Toc6079"/>
      <w:bookmarkStart w:id="57" w:name="_Toc1202"/>
      <w:bookmarkStart w:id="58" w:name="_Toc7126"/>
      <w:bookmarkStart w:id="59" w:name="_Toc23135"/>
      <w:bookmarkStart w:id="60" w:name="_Toc31748"/>
      <w:bookmarkStart w:id="61" w:name="_Toc6273"/>
      <w:bookmarkStart w:id="62" w:name="_Toc1729"/>
      <w:bookmarkStart w:id="63" w:name="_Toc26603"/>
      <w:bookmarkStart w:id="64" w:name="_Toc14650"/>
      <w:bookmarkStart w:id="65" w:name="_Toc10810"/>
      <w:bookmarkStart w:id="66" w:name="_Toc391298957"/>
      <w:bookmarkStart w:id="67" w:name="_Toc23975"/>
      <w:bookmarkStart w:id="68" w:name="_Toc24622"/>
      <w:bookmarkStart w:id="69" w:name="_Toc11093"/>
      <w:bookmarkStart w:id="70" w:name="_Toc18702"/>
      <w:r>
        <w:rPr>
          <w:color w:val="auto"/>
          <w:highlight w:val="none"/>
        </w:rPr>
        <w:t xml:space="preserve"> </w:t>
      </w:r>
      <w:bookmarkStart w:id="71" w:name="_Toc27018"/>
      <w:bookmarkStart w:id="72" w:name="_Toc11515"/>
      <w:r>
        <w:rPr>
          <w:color w:val="auto"/>
          <w:highlight w:val="none"/>
        </w:rPr>
        <w:tab/>
      </w:r>
      <w:bookmarkStart w:id="73" w:name="_Toc18105"/>
      <w:bookmarkStart w:id="74" w:name="_Toc5996"/>
      <w:bookmarkStart w:id="75" w:name="_Toc18076"/>
      <w:r>
        <w:rPr>
          <w:rFonts w:hint="eastAsia"/>
          <w:color w:val="auto"/>
          <w:highlight w:val="none"/>
        </w:rPr>
        <w:t>竞争性磋商响应文件的编写</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49E27F96">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8</w:t>
      </w:r>
      <w:r>
        <w:rPr>
          <w:rFonts w:hint="eastAsia" w:ascii="宋体" w:hAnsi="宋体" w:cs="宋体"/>
          <w:color w:val="auto"/>
          <w:sz w:val="24"/>
          <w:szCs w:val="24"/>
          <w:highlight w:val="none"/>
        </w:rPr>
        <w:t>、要求</w:t>
      </w:r>
    </w:p>
    <w:p w14:paraId="7C5E293C">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8.1</w:t>
      </w:r>
      <w:r>
        <w:rPr>
          <w:rFonts w:hint="eastAsia" w:ascii="宋体" w:hAnsi="宋体" w:cs="宋体"/>
          <w:color w:val="auto"/>
          <w:sz w:val="24"/>
          <w:szCs w:val="24"/>
          <w:highlight w:val="none"/>
        </w:rPr>
        <w:t>供应商应仔细阅读竞争性磋商文件的所有内容，按照竞争性磋商文件的要求提交竞争性磋商响应文件。竞争性磋商响应文件应对竞争性磋商文件的要求做出实质性响应，并保证所提供的全部资料的真实性，否则视其为虚假响应，其响应将被否决。</w:t>
      </w:r>
    </w:p>
    <w:p w14:paraId="71F58843">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8.2</w:t>
      </w:r>
      <w:r>
        <w:rPr>
          <w:rFonts w:hint="eastAsia" w:ascii="宋体" w:hAnsi="宋体" w:cs="宋体"/>
          <w:color w:val="auto"/>
          <w:sz w:val="24"/>
          <w:szCs w:val="24"/>
          <w:highlight w:val="none"/>
        </w:rPr>
        <w:t>报价</w:t>
      </w:r>
    </w:p>
    <w:p w14:paraId="2D8AE981">
      <w:pPr>
        <w:spacing w:line="360" w:lineRule="auto"/>
        <w:ind w:firstLine="480" w:firstLineChars="200"/>
        <w:rPr>
          <w:rFonts w:ascii="宋体"/>
          <w:b/>
          <w:bCs/>
          <w:color w:val="auto"/>
          <w:sz w:val="24"/>
          <w:szCs w:val="24"/>
          <w:highlight w:val="none"/>
          <w:shd w:val="clear" w:color="FFFFFF" w:fill="D9D9D9"/>
        </w:rPr>
      </w:pPr>
      <w:r>
        <w:rPr>
          <w:rFonts w:ascii="宋体" w:hAnsi="宋体" w:cs="宋体"/>
          <w:color w:val="auto"/>
          <w:sz w:val="24"/>
          <w:szCs w:val="24"/>
          <w:highlight w:val="none"/>
        </w:rPr>
        <w:t>8.2.1</w:t>
      </w:r>
      <w:r>
        <w:rPr>
          <w:rFonts w:hint="eastAsia" w:ascii="宋体" w:hAnsi="宋体" w:cs="宋体"/>
          <w:color w:val="auto"/>
          <w:sz w:val="24"/>
          <w:szCs w:val="24"/>
          <w:highlight w:val="none"/>
        </w:rPr>
        <w:t>本次报价非一次性报价，报价币种为人民币。在磋商后根据磋商情况（包括细化采购方案和要求，增补部分采购内容等），供应商须二次报价（最终报价），</w:t>
      </w:r>
      <w:r>
        <w:rPr>
          <w:rFonts w:hint="eastAsia" w:ascii="宋体" w:hAnsi="宋体" w:cs="宋体"/>
          <w:b/>
          <w:bCs/>
          <w:color w:val="auto"/>
          <w:sz w:val="24"/>
          <w:szCs w:val="24"/>
          <w:highlight w:val="none"/>
        </w:rPr>
        <w:t>如果供应商在规定时间</w:t>
      </w:r>
      <w:r>
        <w:rPr>
          <w:rFonts w:ascii="宋体" w:hAnsi="宋体" w:cs="宋体"/>
          <w:b/>
          <w:bCs/>
          <w:color w:val="auto"/>
          <w:sz w:val="24"/>
          <w:szCs w:val="24"/>
          <w:highlight w:val="none"/>
        </w:rPr>
        <w:t>30</w:t>
      </w:r>
      <w:r>
        <w:rPr>
          <w:rFonts w:hint="eastAsia" w:ascii="宋体" w:hAnsi="宋体" w:cs="宋体"/>
          <w:b/>
          <w:bCs/>
          <w:color w:val="auto"/>
          <w:sz w:val="24"/>
          <w:szCs w:val="24"/>
          <w:highlight w:val="none"/>
        </w:rPr>
        <w:t>分钟内未提交第二次报价，视该供应商放弃本次投标，作无效标处理</w:t>
      </w:r>
      <w:r>
        <w:rPr>
          <w:rFonts w:hint="eastAsia" w:ascii="宋体" w:hAnsi="宋体" w:cs="宋体"/>
          <w:color w:val="auto"/>
          <w:sz w:val="24"/>
          <w:szCs w:val="24"/>
          <w:highlight w:val="none"/>
        </w:rPr>
        <w:t>。</w:t>
      </w:r>
    </w:p>
    <w:p w14:paraId="2B0BF86F">
      <w:pPr>
        <w:pStyle w:val="61"/>
        <w:tabs>
          <w:tab w:val="left" w:pos="0"/>
        </w:tabs>
        <w:spacing w:before="0" w:line="360" w:lineRule="auto"/>
        <w:ind w:firstLine="480"/>
        <w:rPr>
          <w:rFonts w:ascii="宋体"/>
          <w:color w:val="auto"/>
          <w:highlight w:val="none"/>
          <w:u w:val="single"/>
        </w:rPr>
      </w:pPr>
      <w:r>
        <w:rPr>
          <w:rFonts w:ascii="宋体" w:hAnsi="宋体" w:cs="宋体"/>
          <w:color w:val="auto"/>
          <w:highlight w:val="none"/>
          <w:u w:val="none"/>
        </w:rPr>
        <w:t>8.2.2</w:t>
      </w:r>
      <w:r>
        <w:rPr>
          <w:rFonts w:hint="eastAsia" w:hAnsi="宋体" w:cs="Times New Roman"/>
          <w:b/>
          <w:bCs/>
          <w:color w:val="auto"/>
          <w:sz w:val="24"/>
          <w:szCs w:val="24"/>
          <w:highlight w:val="none"/>
        </w:rPr>
        <w:t>本次报价应包含项目所需全部服务，不得缺漏，是履行合同的最终价格（包括但不限于本次采购项目所需的人员工资、福利、员工服装费、利润、税金、保险</w:t>
      </w:r>
      <w:r>
        <w:rPr>
          <w:rFonts w:hint="eastAsia" w:hAnsi="宋体" w:cs="Times New Roman"/>
          <w:b/>
          <w:bCs/>
          <w:color w:val="auto"/>
          <w:sz w:val="24"/>
          <w:szCs w:val="24"/>
          <w:highlight w:val="none"/>
          <w:lang w:eastAsia="zh-CN"/>
        </w:rPr>
        <w:t>、</w:t>
      </w:r>
      <w:r>
        <w:rPr>
          <w:rFonts w:hint="eastAsia" w:hAnsi="宋体" w:cs="Times New Roman"/>
          <w:b/>
          <w:bCs/>
          <w:color w:val="auto"/>
          <w:sz w:val="24"/>
          <w:szCs w:val="24"/>
          <w:highlight w:val="none"/>
          <w:lang w:val="en-US" w:eastAsia="zh-CN"/>
        </w:rPr>
        <w:t>招标代理费</w:t>
      </w:r>
      <w:r>
        <w:rPr>
          <w:rFonts w:hint="eastAsia" w:hAnsi="宋体" w:cs="Times New Roman"/>
          <w:b/>
          <w:bCs/>
          <w:color w:val="auto"/>
          <w:sz w:val="24"/>
          <w:szCs w:val="24"/>
          <w:highlight w:val="none"/>
        </w:rPr>
        <w:t>及不可预见费用（如突击工作费，防台、抗旱、抗雪、抗暴风雨等措施费，人工增加费及其它等）等一切费用）。</w:t>
      </w:r>
      <w:r>
        <w:rPr>
          <w:rFonts w:hint="eastAsia" w:cs="宋体"/>
          <w:color w:val="auto"/>
          <w:highlight w:val="none"/>
        </w:rPr>
        <w:t>投标报价为供应商所能承受的最低、最终报价，供应商不得再要求追加任何费用。</w:t>
      </w:r>
    </w:p>
    <w:p w14:paraId="5CC088A7">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投标报价固定是指供应商所填写的投标报价在合同实施期间不因市场因素而变动，供应商在计算报价时可考虑一定的风险系数（由供应商自行考虑）。</w:t>
      </w:r>
    </w:p>
    <w:p w14:paraId="291DCDA3">
      <w:pPr>
        <w:spacing w:line="360" w:lineRule="auto"/>
        <w:ind w:firstLine="480" w:firstLineChars="200"/>
        <w:rPr>
          <w:rFonts w:ascii="宋体"/>
          <w:color w:val="auto"/>
          <w:highlight w:val="none"/>
        </w:rPr>
      </w:pPr>
      <w:r>
        <w:rPr>
          <w:rFonts w:ascii="宋体" w:hAnsi="宋体" w:cs="宋体"/>
          <w:color w:val="auto"/>
          <w:sz w:val="24"/>
          <w:szCs w:val="24"/>
          <w:highlight w:val="none"/>
        </w:rPr>
        <w:t>8.2.3</w:t>
      </w:r>
      <w:r>
        <w:rPr>
          <w:rFonts w:hint="eastAsia" w:ascii="宋体" w:hAnsi="宋体" w:cs="宋体"/>
          <w:color w:val="auto"/>
          <w:sz w:val="24"/>
          <w:szCs w:val="24"/>
          <w:highlight w:val="none"/>
        </w:rPr>
        <w:t>供应商的报价作为供应商计算单价或总价的依据，应是完成技术文件中的所有要求，不得以任何理由予以重复，供应商对报价若有说明应在报价一览表备注处注明。任何有选择的报价方案及价格将不予接受。</w:t>
      </w:r>
    </w:p>
    <w:p w14:paraId="17E9BED6">
      <w:pPr>
        <w:pStyle w:val="15"/>
        <w:spacing w:line="360" w:lineRule="auto"/>
        <w:ind w:firstLine="482" w:firstLineChars="200"/>
        <w:rPr>
          <w:rFonts w:hAnsi="宋体" w:cs="Times New Roman"/>
          <w:b/>
          <w:bCs/>
          <w:color w:val="auto"/>
          <w:sz w:val="24"/>
          <w:szCs w:val="24"/>
          <w:highlight w:val="none"/>
          <w:u w:val="single"/>
        </w:rPr>
      </w:pPr>
      <w:r>
        <w:rPr>
          <w:rFonts w:hAnsi="宋体"/>
          <w:b/>
          <w:bCs/>
          <w:color w:val="auto"/>
          <w:sz w:val="24"/>
          <w:szCs w:val="24"/>
          <w:highlight w:val="none"/>
        </w:rPr>
        <w:t>9</w:t>
      </w:r>
      <w:r>
        <w:rPr>
          <w:rFonts w:hint="eastAsia" w:hAnsi="宋体"/>
          <w:b/>
          <w:bCs/>
          <w:color w:val="auto"/>
          <w:sz w:val="24"/>
          <w:szCs w:val="24"/>
          <w:highlight w:val="none"/>
        </w:rPr>
        <w:t>、响应文件的组成</w:t>
      </w:r>
      <w:r>
        <w:rPr>
          <w:rFonts w:hint="eastAsia" w:hAnsi="宋体"/>
          <w:b/>
          <w:bCs/>
          <w:color w:val="auto"/>
          <w:sz w:val="24"/>
          <w:szCs w:val="24"/>
          <w:highlight w:val="none"/>
          <w:u w:val="single"/>
        </w:rPr>
        <w:t>（供应商应根据采购文件的要求提供相应的内容且设置关联定位，供应商可查看《供应商</w:t>
      </w:r>
      <w:r>
        <w:rPr>
          <w:rFonts w:hAnsi="宋体"/>
          <w:b/>
          <w:bCs/>
          <w:color w:val="auto"/>
          <w:sz w:val="24"/>
          <w:szCs w:val="24"/>
          <w:highlight w:val="none"/>
          <w:u w:val="single"/>
        </w:rPr>
        <w:t>-</w:t>
      </w:r>
      <w:r>
        <w:rPr>
          <w:rFonts w:hint="eastAsia" w:hAnsi="宋体"/>
          <w:b/>
          <w:bCs/>
          <w:color w:val="auto"/>
          <w:sz w:val="24"/>
          <w:szCs w:val="24"/>
          <w:highlight w:val="none"/>
          <w:u w:val="single"/>
        </w:rPr>
        <w:t>政府采购项目电子交易操作指南》进行操作：</w:t>
      </w:r>
      <w:r>
        <w:rPr>
          <w:rFonts w:hAnsi="宋体"/>
          <w:b/>
          <w:bCs/>
          <w:color w:val="auto"/>
          <w:sz w:val="24"/>
          <w:szCs w:val="24"/>
          <w:highlight w:val="none"/>
          <w:u w:val="single"/>
        </w:rPr>
        <w:t>https://help.zcygov.cn/web/site_2/2018/12-28/2573.html</w:t>
      </w:r>
      <w:r>
        <w:rPr>
          <w:rFonts w:hint="eastAsia" w:hAnsi="宋体"/>
          <w:b/>
          <w:bCs/>
          <w:color w:val="auto"/>
          <w:sz w:val="24"/>
          <w:szCs w:val="24"/>
          <w:highlight w:val="none"/>
          <w:u w:val="single"/>
        </w:rPr>
        <w:t>）</w:t>
      </w:r>
    </w:p>
    <w:p w14:paraId="3D348999">
      <w:pPr>
        <w:pStyle w:val="61"/>
        <w:tabs>
          <w:tab w:val="left" w:pos="0"/>
        </w:tabs>
        <w:spacing w:before="0" w:line="360" w:lineRule="auto"/>
        <w:ind w:firstLine="480"/>
        <w:rPr>
          <w:rFonts w:ascii="宋体"/>
          <w:color w:val="auto"/>
          <w:highlight w:val="none"/>
        </w:rPr>
      </w:pPr>
      <w:r>
        <w:rPr>
          <w:rFonts w:hint="eastAsia" w:ascii="宋体" w:hAnsi="宋体" w:cs="宋体"/>
          <w:color w:val="auto"/>
          <w:highlight w:val="none"/>
        </w:rPr>
        <w:t>响应文件应当包括以下主要内容：资格文件、商务技术文件、报价文件。</w:t>
      </w:r>
    </w:p>
    <w:p w14:paraId="5C5DE9B0">
      <w:pPr>
        <w:pStyle w:val="61"/>
        <w:numPr>
          <w:ilvl w:val="0"/>
          <w:numId w:val="8"/>
        </w:numPr>
        <w:spacing w:before="0" w:line="360" w:lineRule="auto"/>
        <w:ind w:firstLine="480"/>
        <w:rPr>
          <w:rFonts w:ascii="宋体"/>
          <w:color w:val="auto"/>
          <w:highlight w:val="none"/>
        </w:rPr>
      </w:pPr>
      <w:r>
        <w:rPr>
          <w:rFonts w:hint="eastAsia" w:ascii="宋体" w:hAnsi="宋体" w:cs="宋体"/>
          <w:color w:val="auto"/>
          <w:highlight w:val="none"/>
        </w:rPr>
        <w:t>资格文件包括以下内容：</w:t>
      </w:r>
    </w:p>
    <w:p w14:paraId="4EFC8655">
      <w:pPr>
        <w:pStyle w:val="61"/>
        <w:numPr>
          <w:ilvl w:val="0"/>
          <w:numId w:val="9"/>
        </w:numPr>
        <w:spacing w:before="0" w:line="360" w:lineRule="auto"/>
        <w:ind w:firstLine="480"/>
        <w:rPr>
          <w:rFonts w:ascii="宋体"/>
          <w:color w:val="auto"/>
          <w:highlight w:val="none"/>
        </w:rPr>
      </w:pPr>
      <w:r>
        <w:rPr>
          <w:rFonts w:hint="eastAsia" w:ascii="宋体" w:hAnsi="宋体" w:cs="宋体"/>
          <w:color w:val="auto"/>
          <w:highlight w:val="none"/>
        </w:rPr>
        <w:t>法定代表人身份证明书（法定代表人参加）或法定代表人授权书（被授权人参加）（格式见附件）</w:t>
      </w:r>
      <w:r>
        <w:rPr>
          <w:rFonts w:hint="eastAsia" w:ascii="宋体" w:hAnsi="宋体" w:cs="宋体"/>
          <w:color w:val="auto"/>
          <w:highlight w:val="none"/>
          <w:lang w:eastAsia="zh-CN"/>
        </w:rPr>
        <w:t>；</w:t>
      </w:r>
    </w:p>
    <w:p w14:paraId="49B65B9F">
      <w:pPr>
        <w:pStyle w:val="61"/>
        <w:numPr>
          <w:ilvl w:val="0"/>
          <w:numId w:val="9"/>
        </w:numPr>
        <w:spacing w:before="0" w:line="360" w:lineRule="auto"/>
        <w:ind w:firstLine="480"/>
        <w:rPr>
          <w:rFonts w:ascii="宋体"/>
          <w:color w:val="auto"/>
          <w:highlight w:val="none"/>
        </w:rPr>
      </w:pPr>
      <w:r>
        <w:rPr>
          <w:rFonts w:hint="eastAsia" w:ascii="宋体" w:hAnsi="宋体" w:cs="宋体"/>
          <w:color w:val="auto"/>
          <w:highlight w:val="none"/>
        </w:rPr>
        <w:t>营业执照</w:t>
      </w:r>
      <w:r>
        <w:rPr>
          <w:rFonts w:ascii="宋体" w:hAnsi="宋体" w:cs="宋体"/>
          <w:color w:val="auto"/>
          <w:highlight w:val="none"/>
        </w:rPr>
        <w:t>(</w:t>
      </w:r>
      <w:r>
        <w:rPr>
          <w:rFonts w:hint="eastAsia" w:ascii="宋体" w:hAnsi="宋体" w:cs="宋体"/>
          <w:color w:val="auto"/>
          <w:highlight w:val="none"/>
        </w:rPr>
        <w:t>或事业法人登记证或其他工商等登记证明材料</w:t>
      </w:r>
      <w:r>
        <w:rPr>
          <w:rFonts w:ascii="宋体" w:hAnsi="宋体" w:cs="宋体"/>
          <w:color w:val="auto"/>
          <w:highlight w:val="none"/>
        </w:rPr>
        <w:t>)</w:t>
      </w:r>
      <w:r>
        <w:rPr>
          <w:rFonts w:hint="eastAsia" w:ascii="宋体" w:hAnsi="宋体" w:cs="宋体"/>
          <w:color w:val="auto"/>
          <w:highlight w:val="none"/>
        </w:rPr>
        <w:t>复印件、税务登记证</w:t>
      </w:r>
      <w:r>
        <w:rPr>
          <w:rFonts w:ascii="宋体" w:hAnsi="宋体" w:cs="宋体"/>
          <w:color w:val="auto"/>
          <w:highlight w:val="none"/>
        </w:rPr>
        <w:t>(</w:t>
      </w:r>
      <w:r>
        <w:rPr>
          <w:rFonts w:hint="eastAsia" w:ascii="宋体" w:hAnsi="宋体" w:cs="宋体"/>
          <w:color w:val="auto"/>
          <w:highlight w:val="none"/>
        </w:rPr>
        <w:t>或其它缴纳证明材料</w:t>
      </w:r>
      <w:r>
        <w:rPr>
          <w:rFonts w:ascii="宋体" w:hAnsi="宋体" w:cs="宋体"/>
          <w:color w:val="auto"/>
          <w:highlight w:val="none"/>
        </w:rPr>
        <w:t>)</w:t>
      </w:r>
      <w:r>
        <w:rPr>
          <w:rFonts w:hint="eastAsia" w:ascii="宋体" w:hAnsi="宋体" w:cs="宋体"/>
          <w:color w:val="auto"/>
          <w:highlight w:val="none"/>
        </w:rPr>
        <w:t>复印件、社保登记证（或其它缴纳证明材料）复印件；实施“五证合一、一照一码”登记制度改革的，只需提供改革后取得的营业执照复印件；事业单位的，则提供有效的《事业单位法人证书》副本复印件并加盖单位公章；</w:t>
      </w:r>
    </w:p>
    <w:p w14:paraId="710FF7DD">
      <w:pPr>
        <w:pStyle w:val="61"/>
        <w:spacing w:before="0" w:line="360" w:lineRule="auto"/>
        <w:ind w:firstLine="480"/>
        <w:rPr>
          <w:rFonts w:ascii="宋体"/>
          <w:color w:val="auto"/>
          <w:highlight w:val="none"/>
        </w:rPr>
      </w:pPr>
      <w:r>
        <w:rPr>
          <w:rFonts w:hint="eastAsia" w:ascii="宋体" w:hAnsi="宋体" w:cs="宋体"/>
          <w:color w:val="auto"/>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响应文件中提供相关材料），证明其具备实际承担责任的能力和法定的缔结合同能力，可以独立参加政府采购活动，由单位负责人签署相关文件材料；</w:t>
      </w:r>
    </w:p>
    <w:p w14:paraId="53978FE4">
      <w:pPr>
        <w:pStyle w:val="61"/>
        <w:numPr>
          <w:ilvl w:val="0"/>
          <w:numId w:val="9"/>
        </w:numPr>
        <w:spacing w:before="0" w:line="360" w:lineRule="auto"/>
        <w:ind w:firstLine="480"/>
        <w:rPr>
          <w:rFonts w:ascii="宋体"/>
          <w:color w:val="auto"/>
          <w:highlight w:val="none"/>
        </w:rPr>
      </w:pPr>
      <w:r>
        <w:rPr>
          <w:rFonts w:hint="eastAsia" w:ascii="宋体" w:hAnsi="宋体" w:cs="宋体"/>
          <w:color w:val="auto"/>
          <w:highlight w:val="none"/>
        </w:rPr>
        <w:t>具有履行合同所必需的产品和专业技术能力的承诺函</w:t>
      </w:r>
      <w:r>
        <w:rPr>
          <w:rFonts w:hint="eastAsia" w:ascii="宋体" w:hAnsi="宋体" w:cs="宋体"/>
          <w:color w:val="auto"/>
          <w:highlight w:val="none"/>
          <w:lang w:eastAsia="zh-CN"/>
        </w:rPr>
        <w:t>（格式自拟）</w:t>
      </w:r>
      <w:r>
        <w:rPr>
          <w:rFonts w:hint="eastAsia" w:ascii="宋体" w:hAnsi="宋体" w:cs="宋体"/>
          <w:color w:val="auto"/>
          <w:highlight w:val="none"/>
        </w:rPr>
        <w:t>；</w:t>
      </w:r>
    </w:p>
    <w:p w14:paraId="5AFE2D2C">
      <w:pPr>
        <w:pStyle w:val="61"/>
        <w:numPr>
          <w:ilvl w:val="0"/>
          <w:numId w:val="9"/>
        </w:numPr>
        <w:spacing w:before="0" w:line="360" w:lineRule="auto"/>
        <w:ind w:firstLine="480"/>
        <w:rPr>
          <w:rFonts w:hint="eastAsia" w:ascii="宋体" w:hAnsi="宋体" w:cs="宋体"/>
          <w:color w:val="auto"/>
          <w:highlight w:val="none"/>
        </w:rPr>
      </w:pPr>
      <w:r>
        <w:rPr>
          <w:rFonts w:hint="eastAsia" w:ascii="宋体" w:hAnsi="宋体" w:cs="宋体"/>
          <w:color w:val="auto"/>
          <w:highlight w:val="none"/>
        </w:rPr>
        <w:t>投标人承诺函（格式见附件）；</w:t>
      </w:r>
    </w:p>
    <w:p w14:paraId="3E1DD1A8">
      <w:pPr>
        <w:pStyle w:val="61"/>
        <w:numPr>
          <w:ilvl w:val="0"/>
          <w:numId w:val="9"/>
        </w:numPr>
        <w:spacing w:before="0" w:line="360" w:lineRule="auto"/>
        <w:ind w:firstLine="480"/>
        <w:rPr>
          <w:rFonts w:hint="eastAsia" w:ascii="宋体" w:hAnsi="宋体" w:cs="宋体"/>
          <w:color w:val="auto"/>
          <w:highlight w:val="none"/>
        </w:rPr>
      </w:pPr>
      <w:r>
        <w:rPr>
          <w:rFonts w:hint="eastAsia" w:ascii="宋体" w:hAnsi="宋体" w:cs="宋体"/>
          <w:color w:val="auto"/>
          <w:highlight w:val="none"/>
        </w:rPr>
        <w:t>中小企业声明函（格式见附件）；</w:t>
      </w:r>
    </w:p>
    <w:p w14:paraId="4E277345">
      <w:pPr>
        <w:pStyle w:val="61"/>
        <w:numPr>
          <w:ilvl w:val="0"/>
          <w:numId w:val="9"/>
        </w:numPr>
        <w:spacing w:before="0" w:line="360" w:lineRule="auto"/>
        <w:ind w:firstLine="480"/>
        <w:rPr>
          <w:rFonts w:hint="eastAsia" w:ascii="宋体" w:hAnsi="宋体" w:cs="宋体"/>
          <w:color w:val="auto"/>
          <w:highlight w:val="none"/>
        </w:rPr>
      </w:pPr>
      <w:r>
        <w:rPr>
          <w:rFonts w:hint="eastAsia" w:ascii="宋体" w:hAnsi="宋体" w:cs="宋体"/>
          <w:color w:val="auto"/>
          <w:highlight w:val="none"/>
        </w:rPr>
        <w:t>残疾人福利性单位声明函(如有)（格式见附件）；</w:t>
      </w:r>
    </w:p>
    <w:p w14:paraId="0E530D6A">
      <w:pPr>
        <w:pStyle w:val="61"/>
        <w:numPr>
          <w:ilvl w:val="0"/>
          <w:numId w:val="9"/>
        </w:numPr>
        <w:spacing w:before="0" w:line="360" w:lineRule="auto"/>
        <w:ind w:firstLine="480"/>
        <w:rPr>
          <w:rFonts w:hint="eastAsia" w:ascii="宋体" w:hAnsi="宋体" w:cs="宋体"/>
          <w:color w:val="auto"/>
          <w:highlight w:val="none"/>
        </w:rPr>
      </w:pPr>
      <w:r>
        <w:rPr>
          <w:rFonts w:hint="eastAsia" w:ascii="宋体" w:hAnsi="宋体" w:cs="宋体"/>
          <w:color w:val="auto"/>
          <w:highlight w:val="none"/>
        </w:rPr>
        <w:t>监狱企业证明文件(如有)（格式见附件）</w:t>
      </w:r>
      <w:r>
        <w:rPr>
          <w:rFonts w:hint="eastAsia" w:ascii="宋体" w:hAnsi="宋体" w:cs="宋体"/>
          <w:color w:val="auto"/>
          <w:highlight w:val="none"/>
          <w:lang w:eastAsia="zh-CN"/>
        </w:rPr>
        <w:t>。</w:t>
      </w:r>
    </w:p>
    <w:p w14:paraId="544AB409">
      <w:pPr>
        <w:pStyle w:val="61"/>
        <w:numPr>
          <w:ilvl w:val="0"/>
          <w:numId w:val="8"/>
        </w:numPr>
        <w:spacing w:before="0" w:line="360" w:lineRule="auto"/>
        <w:ind w:firstLine="480"/>
        <w:rPr>
          <w:rFonts w:ascii="宋体"/>
          <w:color w:val="auto"/>
          <w:highlight w:val="none"/>
        </w:rPr>
      </w:pPr>
      <w:r>
        <w:rPr>
          <w:rFonts w:hint="eastAsia" w:ascii="宋体" w:hAnsi="宋体" w:cs="宋体"/>
          <w:color w:val="auto"/>
          <w:highlight w:val="none"/>
        </w:rPr>
        <w:t>商务技术文件，本次磋商需要供应商提供以下项所列的技术文件：</w:t>
      </w:r>
    </w:p>
    <w:p w14:paraId="6E8817D8">
      <w:pPr>
        <w:pStyle w:val="61"/>
        <w:numPr>
          <w:ilvl w:val="0"/>
          <w:numId w:val="10"/>
        </w:numPr>
        <w:spacing w:before="0" w:line="360" w:lineRule="auto"/>
        <w:ind w:firstLine="480"/>
        <w:rPr>
          <w:rFonts w:ascii="宋体"/>
          <w:color w:val="auto"/>
          <w:highlight w:val="none"/>
        </w:rPr>
      </w:pPr>
      <w:r>
        <w:rPr>
          <w:rFonts w:hint="eastAsia" w:ascii="宋体" w:hAnsi="宋体" w:cs="宋体"/>
          <w:color w:val="auto"/>
          <w:highlight w:val="none"/>
        </w:rPr>
        <w:t>评分对应表（格式见附件，主要用于评委对应评分内容）</w:t>
      </w:r>
      <w:r>
        <w:rPr>
          <w:rFonts w:hint="eastAsia" w:ascii="宋体" w:hAnsi="宋体" w:cs="宋体"/>
          <w:color w:val="auto"/>
          <w:highlight w:val="none"/>
          <w:lang w:eastAsia="zh-CN"/>
        </w:rPr>
        <w:t>；</w:t>
      </w:r>
    </w:p>
    <w:p w14:paraId="66B0ADFA">
      <w:pPr>
        <w:pStyle w:val="61"/>
        <w:numPr>
          <w:ilvl w:val="0"/>
          <w:numId w:val="10"/>
        </w:numPr>
        <w:spacing w:before="0" w:line="360" w:lineRule="auto"/>
        <w:ind w:firstLine="480"/>
        <w:rPr>
          <w:rFonts w:ascii="宋体"/>
          <w:color w:val="auto"/>
          <w:highlight w:val="none"/>
        </w:rPr>
      </w:pPr>
      <w:r>
        <w:rPr>
          <w:rFonts w:hint="eastAsia" w:ascii="宋体" w:hAnsi="宋体" w:cs="宋体"/>
          <w:color w:val="auto"/>
          <w:highlight w:val="none"/>
        </w:rPr>
        <w:t>供应商商务技术文件中资信分自评表（格式见附件）；</w:t>
      </w:r>
    </w:p>
    <w:p w14:paraId="74FE142E">
      <w:pPr>
        <w:pStyle w:val="61"/>
        <w:numPr>
          <w:ilvl w:val="0"/>
          <w:numId w:val="10"/>
        </w:numPr>
        <w:spacing w:before="0" w:line="360" w:lineRule="auto"/>
        <w:ind w:firstLine="480"/>
        <w:rPr>
          <w:rFonts w:ascii="宋体"/>
          <w:color w:val="auto"/>
          <w:highlight w:val="none"/>
        </w:rPr>
      </w:pPr>
      <w:r>
        <w:rPr>
          <w:rFonts w:hint="eastAsia" w:ascii="宋体" w:hAnsi="宋体" w:cs="宋体"/>
          <w:color w:val="auto"/>
          <w:highlight w:val="none"/>
        </w:rPr>
        <w:t>磋商项目明细清单（格式见附件）；</w:t>
      </w:r>
    </w:p>
    <w:p w14:paraId="1A64026E">
      <w:pPr>
        <w:pStyle w:val="61"/>
        <w:numPr>
          <w:ilvl w:val="0"/>
          <w:numId w:val="10"/>
        </w:numPr>
        <w:spacing w:before="0" w:line="360" w:lineRule="auto"/>
        <w:ind w:firstLine="480"/>
        <w:rPr>
          <w:rFonts w:hint="eastAsia" w:ascii="宋体" w:hAnsi="宋体" w:cs="宋体"/>
          <w:color w:val="auto"/>
          <w:highlight w:val="none"/>
        </w:rPr>
      </w:pPr>
      <w:r>
        <w:rPr>
          <w:rFonts w:hint="eastAsia" w:ascii="宋体" w:hAnsi="宋体" w:cs="宋体"/>
          <w:color w:val="auto"/>
          <w:highlight w:val="none"/>
        </w:rPr>
        <w:t>技术响应及建议表（格式见附件）；</w:t>
      </w:r>
    </w:p>
    <w:p w14:paraId="4C28FAB2">
      <w:pPr>
        <w:pStyle w:val="61"/>
        <w:numPr>
          <w:ilvl w:val="0"/>
          <w:numId w:val="10"/>
        </w:numPr>
        <w:spacing w:before="0" w:line="360" w:lineRule="auto"/>
        <w:ind w:firstLine="480"/>
        <w:rPr>
          <w:rFonts w:hint="eastAsia" w:ascii="宋体" w:hAnsi="宋体" w:cs="宋体"/>
          <w:color w:val="auto"/>
          <w:sz w:val="24"/>
          <w:highlight w:val="none"/>
        </w:rPr>
      </w:pPr>
      <w:r>
        <w:rPr>
          <w:rFonts w:hint="eastAsia" w:ascii="宋体" w:hAnsi="宋体" w:cs="宋体"/>
          <w:color w:val="auto"/>
          <w:highlight w:val="none"/>
        </w:rPr>
        <w:t>商务响应表（格式见附件）；</w:t>
      </w:r>
    </w:p>
    <w:p w14:paraId="722492FD">
      <w:pPr>
        <w:pStyle w:val="61"/>
        <w:numPr>
          <w:ilvl w:val="0"/>
          <w:numId w:val="10"/>
        </w:numPr>
        <w:spacing w:before="0"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项目投入人员承诺函</w:t>
      </w:r>
      <w:r>
        <w:rPr>
          <w:rFonts w:hint="eastAsia" w:ascii="宋体" w:hAnsi="宋体" w:cs="宋体"/>
          <w:color w:val="auto"/>
          <w:highlight w:val="none"/>
        </w:rPr>
        <w:t>（格式</w:t>
      </w:r>
      <w:r>
        <w:rPr>
          <w:rFonts w:hint="eastAsia" w:ascii="宋体" w:hAnsi="宋体" w:cs="宋体"/>
          <w:color w:val="auto"/>
          <w:highlight w:val="none"/>
          <w:lang w:eastAsia="zh-CN"/>
        </w:rPr>
        <w:t>自拟</w:t>
      </w:r>
      <w:r>
        <w:rPr>
          <w:rFonts w:hint="eastAsia" w:ascii="宋体" w:hAnsi="宋体" w:cs="宋体"/>
          <w:color w:val="auto"/>
          <w:highlight w:val="none"/>
        </w:rPr>
        <w:t>）；</w:t>
      </w:r>
    </w:p>
    <w:p w14:paraId="114BC1C5">
      <w:pPr>
        <w:pStyle w:val="61"/>
        <w:numPr>
          <w:ilvl w:val="0"/>
          <w:numId w:val="10"/>
        </w:numPr>
        <w:spacing w:before="0"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项目了解</w:t>
      </w:r>
      <w:r>
        <w:rPr>
          <w:rFonts w:hint="eastAsia" w:ascii="宋体" w:hAnsi="宋体" w:cs="宋体"/>
          <w:color w:val="auto"/>
          <w:sz w:val="24"/>
          <w:highlight w:val="none"/>
          <w:lang w:eastAsia="zh-CN"/>
        </w:rPr>
        <w:t>；</w:t>
      </w:r>
    </w:p>
    <w:p w14:paraId="5B14283F">
      <w:pPr>
        <w:pStyle w:val="61"/>
        <w:numPr>
          <w:ilvl w:val="0"/>
          <w:numId w:val="10"/>
        </w:numPr>
        <w:spacing w:before="0"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食堂服务方案</w:t>
      </w:r>
      <w:r>
        <w:rPr>
          <w:rFonts w:hint="eastAsia" w:ascii="宋体" w:hAnsi="宋体" w:cs="宋体"/>
          <w:color w:val="auto"/>
          <w:sz w:val="24"/>
          <w:highlight w:val="none"/>
          <w:lang w:eastAsia="zh-CN"/>
        </w:rPr>
        <w:t>；</w:t>
      </w:r>
    </w:p>
    <w:p w14:paraId="085335FA">
      <w:pPr>
        <w:pStyle w:val="61"/>
        <w:numPr>
          <w:ilvl w:val="0"/>
          <w:numId w:val="10"/>
        </w:numPr>
        <w:spacing w:before="0"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菜品方案</w:t>
      </w:r>
      <w:r>
        <w:rPr>
          <w:rFonts w:hint="eastAsia" w:ascii="宋体" w:hAnsi="宋体" w:cs="宋体"/>
          <w:color w:val="auto"/>
          <w:sz w:val="24"/>
          <w:highlight w:val="none"/>
          <w:lang w:eastAsia="zh-CN"/>
        </w:rPr>
        <w:t>；</w:t>
      </w:r>
    </w:p>
    <w:p w14:paraId="2A6E836E">
      <w:pPr>
        <w:pStyle w:val="61"/>
        <w:numPr>
          <w:ilvl w:val="0"/>
          <w:numId w:val="10"/>
        </w:numPr>
        <w:spacing w:before="0"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管理制度</w:t>
      </w:r>
      <w:r>
        <w:rPr>
          <w:rFonts w:hint="eastAsia" w:ascii="宋体" w:hAnsi="宋体" w:cs="宋体"/>
          <w:color w:val="auto"/>
          <w:sz w:val="24"/>
          <w:highlight w:val="none"/>
          <w:lang w:eastAsia="zh-CN"/>
        </w:rPr>
        <w:t>；</w:t>
      </w:r>
    </w:p>
    <w:p w14:paraId="23143056">
      <w:pPr>
        <w:pStyle w:val="61"/>
        <w:numPr>
          <w:ilvl w:val="0"/>
          <w:numId w:val="10"/>
        </w:numPr>
        <w:spacing w:before="0"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食品安全制度</w:t>
      </w:r>
      <w:r>
        <w:rPr>
          <w:rFonts w:hint="eastAsia" w:ascii="宋体" w:hAnsi="宋体" w:cs="宋体"/>
          <w:color w:val="auto"/>
          <w:sz w:val="24"/>
          <w:highlight w:val="none"/>
          <w:lang w:eastAsia="zh-CN"/>
        </w:rPr>
        <w:t>；</w:t>
      </w:r>
    </w:p>
    <w:p w14:paraId="7F841423">
      <w:pPr>
        <w:pStyle w:val="61"/>
        <w:numPr>
          <w:ilvl w:val="0"/>
          <w:numId w:val="10"/>
        </w:numPr>
        <w:spacing w:before="0"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安全方案</w:t>
      </w:r>
      <w:r>
        <w:rPr>
          <w:rFonts w:hint="eastAsia" w:ascii="宋体" w:hAnsi="宋体" w:cs="宋体"/>
          <w:color w:val="auto"/>
          <w:sz w:val="24"/>
          <w:highlight w:val="none"/>
          <w:lang w:eastAsia="zh-CN"/>
        </w:rPr>
        <w:t>；</w:t>
      </w:r>
    </w:p>
    <w:p w14:paraId="363FEEA4">
      <w:pPr>
        <w:pStyle w:val="61"/>
        <w:numPr>
          <w:ilvl w:val="0"/>
          <w:numId w:val="10"/>
        </w:numPr>
        <w:spacing w:before="0"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卫生保障措施</w:t>
      </w:r>
      <w:r>
        <w:rPr>
          <w:rFonts w:hint="eastAsia" w:ascii="宋体" w:hAnsi="宋体" w:cs="宋体"/>
          <w:color w:val="auto"/>
          <w:sz w:val="24"/>
          <w:highlight w:val="none"/>
          <w:lang w:eastAsia="zh-CN"/>
        </w:rPr>
        <w:t>；</w:t>
      </w:r>
    </w:p>
    <w:p w14:paraId="51EF3A7A">
      <w:pPr>
        <w:pStyle w:val="61"/>
        <w:numPr>
          <w:ilvl w:val="0"/>
          <w:numId w:val="10"/>
        </w:numPr>
        <w:spacing w:before="0"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岗位制度</w:t>
      </w:r>
      <w:r>
        <w:rPr>
          <w:rFonts w:hint="eastAsia" w:ascii="宋体" w:hAnsi="宋体" w:cs="宋体"/>
          <w:color w:val="auto"/>
          <w:sz w:val="24"/>
          <w:highlight w:val="none"/>
          <w:lang w:eastAsia="zh-CN"/>
        </w:rPr>
        <w:t>；</w:t>
      </w:r>
    </w:p>
    <w:p w14:paraId="65745EF9">
      <w:pPr>
        <w:pStyle w:val="61"/>
        <w:numPr>
          <w:ilvl w:val="0"/>
          <w:numId w:val="10"/>
        </w:numPr>
        <w:spacing w:before="0"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培训方案</w:t>
      </w:r>
      <w:r>
        <w:rPr>
          <w:rFonts w:hint="eastAsia" w:ascii="宋体" w:hAnsi="宋体" w:cs="宋体"/>
          <w:color w:val="auto"/>
          <w:sz w:val="24"/>
          <w:highlight w:val="none"/>
          <w:lang w:eastAsia="zh-CN"/>
        </w:rPr>
        <w:t>；</w:t>
      </w:r>
    </w:p>
    <w:p w14:paraId="50AC85EA">
      <w:pPr>
        <w:pStyle w:val="61"/>
        <w:numPr>
          <w:ilvl w:val="0"/>
          <w:numId w:val="10"/>
        </w:numPr>
        <w:spacing w:before="0"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应急预案</w:t>
      </w:r>
      <w:r>
        <w:rPr>
          <w:rFonts w:hint="eastAsia" w:ascii="宋体" w:hAnsi="宋体" w:cs="宋体"/>
          <w:color w:val="auto"/>
          <w:sz w:val="24"/>
          <w:highlight w:val="none"/>
          <w:lang w:eastAsia="zh-CN"/>
        </w:rPr>
        <w:t>；</w:t>
      </w:r>
    </w:p>
    <w:p w14:paraId="11A9961F">
      <w:pPr>
        <w:pStyle w:val="61"/>
        <w:numPr>
          <w:ilvl w:val="0"/>
          <w:numId w:val="10"/>
        </w:numPr>
        <w:spacing w:before="0" w:line="360" w:lineRule="auto"/>
        <w:ind w:firstLine="480"/>
        <w:rPr>
          <w:rFonts w:hint="eastAsia" w:ascii="宋体" w:hAnsi="宋体" w:cs="宋体"/>
          <w:color w:val="auto"/>
          <w:sz w:val="24"/>
          <w:highlight w:val="none"/>
        </w:rPr>
      </w:pPr>
      <w:r>
        <w:rPr>
          <w:rFonts w:hint="eastAsia" w:ascii="宋体" w:hAnsi="宋体" w:cs="宋体"/>
          <w:color w:val="auto"/>
          <w:sz w:val="24"/>
          <w:highlight w:val="none"/>
          <w:lang w:val="en-US" w:eastAsia="zh-CN"/>
        </w:rPr>
        <w:t>人员证书；</w:t>
      </w:r>
    </w:p>
    <w:p w14:paraId="3974DAA6">
      <w:pPr>
        <w:pStyle w:val="61"/>
        <w:numPr>
          <w:ilvl w:val="0"/>
          <w:numId w:val="10"/>
        </w:numPr>
        <w:spacing w:before="0" w:line="360" w:lineRule="auto"/>
        <w:ind w:firstLine="480"/>
        <w:rPr>
          <w:rFonts w:ascii="宋体"/>
          <w:color w:val="auto"/>
          <w:highlight w:val="none"/>
        </w:rPr>
      </w:pPr>
      <w:r>
        <w:rPr>
          <w:rFonts w:hint="eastAsia" w:ascii="宋体" w:hAnsi="宋体" w:cs="宋体"/>
          <w:color w:val="auto"/>
          <w:highlight w:val="none"/>
        </w:rPr>
        <w:t>供应商认为需要的其他文件资料</w:t>
      </w:r>
      <w:r>
        <w:rPr>
          <w:rFonts w:hint="eastAsia" w:ascii="宋体" w:hAnsi="宋体" w:cs="宋体"/>
          <w:color w:val="auto"/>
          <w:highlight w:val="none"/>
          <w:lang w:eastAsia="zh-CN"/>
        </w:rPr>
        <w:t>；</w:t>
      </w:r>
    </w:p>
    <w:p w14:paraId="4CB94806">
      <w:pPr>
        <w:pStyle w:val="61"/>
        <w:numPr>
          <w:ilvl w:val="0"/>
          <w:numId w:val="10"/>
        </w:numPr>
        <w:spacing w:before="0" w:line="360" w:lineRule="auto"/>
        <w:ind w:firstLine="480"/>
        <w:rPr>
          <w:rFonts w:ascii="宋体"/>
          <w:color w:val="auto"/>
          <w:highlight w:val="none"/>
        </w:rPr>
      </w:pPr>
      <w:r>
        <w:rPr>
          <w:rFonts w:hint="eastAsia" w:ascii="宋体" w:hAnsi="宋体" w:cs="宋体"/>
          <w:color w:val="auto"/>
          <w:highlight w:val="none"/>
        </w:rPr>
        <w:t>注：以上内容应与评标办法中内容具有一致性。</w:t>
      </w:r>
    </w:p>
    <w:p w14:paraId="06FD91B7">
      <w:pPr>
        <w:pStyle w:val="61"/>
        <w:tabs>
          <w:tab w:val="left" w:pos="0"/>
        </w:tabs>
        <w:spacing w:before="0" w:line="360" w:lineRule="auto"/>
        <w:ind w:firstLine="480"/>
        <w:rPr>
          <w:rFonts w:ascii="宋体"/>
          <w:color w:val="auto"/>
          <w:highlight w:val="none"/>
        </w:rPr>
      </w:pPr>
      <w:r>
        <w:rPr>
          <w:rFonts w:hint="eastAsia" w:ascii="宋体" w:hAnsi="宋体" w:cs="宋体"/>
          <w:color w:val="auto"/>
          <w:highlight w:val="none"/>
        </w:rPr>
        <w:t>如果本项目涉及软件采购，还需提供相关完整配置方案（软件名称、品牌、规格型号、数量、主要技术参数等），提供主要磋商产品的技术参数证明材料（如官网截图、产品彩页、技术说明等），明确表示该项指标所涉及的软件是标准配置还是选择配置。</w:t>
      </w:r>
    </w:p>
    <w:p w14:paraId="5A529867">
      <w:pPr>
        <w:pStyle w:val="61"/>
        <w:tabs>
          <w:tab w:val="left" w:pos="0"/>
        </w:tabs>
        <w:spacing w:before="0" w:line="360" w:lineRule="auto"/>
        <w:ind w:firstLine="480"/>
        <w:rPr>
          <w:rFonts w:ascii="宋体"/>
          <w:color w:val="auto"/>
          <w:highlight w:val="none"/>
        </w:rPr>
      </w:pPr>
      <w:r>
        <w:rPr>
          <w:rFonts w:hint="eastAsia" w:ascii="宋体" w:hAnsi="宋体" w:cs="宋体"/>
          <w:color w:val="auto"/>
          <w:highlight w:val="none"/>
        </w:rPr>
        <w:t>供应商在响应文件中应对项目技术规范和服务要求中所提出各项要求进行答复、说明和解释。如果供应商在技术偏离表中注明无偏离，评标结束后、签订采购合同前又认为其实际产品与响应技术需求不一致的，视为供应商在磋商响应文件有效期内对其响应文件进行了实质性修改，其磋商将被追认为无效磋商。</w:t>
      </w:r>
      <w:r>
        <w:rPr>
          <w:rFonts w:hint="eastAsia" w:ascii="宋体" w:hAnsi="宋体" w:cs="宋体"/>
          <w:b/>
          <w:bCs/>
          <w:color w:val="auto"/>
          <w:highlight w:val="none"/>
        </w:rPr>
        <w:t>采购代理机构将把这一情况报送采购监管部门。实质性指标、关键性指标和重要指标需提供证明材料，如技术偏离表中仅复制粘贴而未说明或提供证明材料的，其产生的影响直至被认定为未实质性响应的后果将由供应商自行承担。</w:t>
      </w:r>
    </w:p>
    <w:p w14:paraId="07BD0CBC">
      <w:pPr>
        <w:pStyle w:val="61"/>
        <w:numPr>
          <w:ilvl w:val="0"/>
          <w:numId w:val="8"/>
        </w:numPr>
        <w:spacing w:before="0" w:line="360" w:lineRule="auto"/>
        <w:ind w:firstLine="480"/>
        <w:rPr>
          <w:rFonts w:ascii="宋体"/>
          <w:color w:val="auto"/>
          <w:highlight w:val="none"/>
        </w:rPr>
      </w:pPr>
      <w:r>
        <w:rPr>
          <w:rFonts w:hint="eastAsia" w:ascii="宋体" w:hAnsi="宋体" w:cs="宋体"/>
          <w:color w:val="auto"/>
          <w:highlight w:val="none"/>
        </w:rPr>
        <w:t>报价文件包括以下内容：</w:t>
      </w:r>
    </w:p>
    <w:p w14:paraId="66C6817F">
      <w:pPr>
        <w:pStyle w:val="61"/>
        <w:numPr>
          <w:ilvl w:val="0"/>
          <w:numId w:val="11"/>
        </w:numPr>
        <w:spacing w:before="0" w:line="360" w:lineRule="auto"/>
        <w:ind w:firstLine="480"/>
        <w:rPr>
          <w:rFonts w:ascii="宋体"/>
          <w:color w:val="auto"/>
          <w:highlight w:val="none"/>
        </w:rPr>
      </w:pPr>
      <w:r>
        <w:rPr>
          <w:rFonts w:hint="eastAsia" w:ascii="宋体" w:hAnsi="宋体" w:cs="宋体"/>
          <w:color w:val="auto"/>
          <w:highlight w:val="none"/>
        </w:rPr>
        <w:t>磋商函（格式见附件）；</w:t>
      </w:r>
    </w:p>
    <w:p w14:paraId="2775F9F3">
      <w:pPr>
        <w:pStyle w:val="61"/>
        <w:numPr>
          <w:ilvl w:val="0"/>
          <w:numId w:val="11"/>
        </w:numPr>
        <w:spacing w:before="0" w:line="360" w:lineRule="auto"/>
        <w:ind w:firstLine="480"/>
        <w:rPr>
          <w:rFonts w:ascii="宋体"/>
          <w:color w:val="auto"/>
          <w:highlight w:val="none"/>
        </w:rPr>
      </w:pPr>
      <w:r>
        <w:rPr>
          <w:rFonts w:hint="eastAsia" w:ascii="宋体" w:hAnsi="宋体" w:cs="宋体"/>
          <w:color w:val="auto"/>
          <w:highlight w:val="none"/>
        </w:rPr>
        <w:t>报价一览表（格式见附件）；</w:t>
      </w:r>
    </w:p>
    <w:p w14:paraId="7E1FA664">
      <w:pPr>
        <w:pStyle w:val="61"/>
        <w:numPr>
          <w:ilvl w:val="0"/>
          <w:numId w:val="11"/>
        </w:numPr>
        <w:spacing w:before="0" w:line="360" w:lineRule="auto"/>
        <w:ind w:firstLine="480"/>
        <w:rPr>
          <w:rFonts w:ascii="宋体"/>
          <w:color w:val="auto"/>
          <w:highlight w:val="none"/>
        </w:rPr>
      </w:pPr>
      <w:r>
        <w:rPr>
          <w:rFonts w:hint="eastAsia" w:ascii="宋体" w:hAnsi="宋体" w:cs="宋体"/>
          <w:color w:val="auto"/>
          <w:highlight w:val="none"/>
        </w:rPr>
        <w:t>磋商报价明细表（格式见附件）。</w:t>
      </w:r>
    </w:p>
    <w:p w14:paraId="6C5337E7">
      <w:pPr>
        <w:pStyle w:val="61"/>
        <w:spacing w:before="0" w:line="360" w:lineRule="auto"/>
        <w:ind w:firstLine="241" w:firstLineChars="100"/>
        <w:rPr>
          <w:rFonts w:ascii="宋体"/>
          <w:b/>
          <w:bCs/>
          <w:color w:val="auto"/>
          <w:highlight w:val="none"/>
          <w:u w:val="single"/>
        </w:rPr>
      </w:pPr>
      <w:r>
        <w:rPr>
          <w:rFonts w:hint="eastAsia" w:ascii="宋体" w:hAnsi="宋体" w:cs="宋体"/>
          <w:b/>
          <w:bCs/>
          <w:color w:val="auto"/>
          <w:highlight w:val="none"/>
          <w:u w:val="single"/>
        </w:rPr>
        <w:t>注：“资格文件”、“商务技术文件”、“报价文件”须分</w:t>
      </w:r>
      <w:r>
        <w:rPr>
          <w:rFonts w:ascii="宋体" w:hAnsi="宋体" w:cs="宋体"/>
          <w:b/>
          <w:bCs/>
          <w:color w:val="auto"/>
          <w:highlight w:val="none"/>
          <w:u w:val="single"/>
        </w:rPr>
        <w:t>3</w:t>
      </w:r>
      <w:r>
        <w:rPr>
          <w:rFonts w:hint="eastAsia" w:ascii="宋体" w:hAnsi="宋体" w:cs="宋体"/>
          <w:b/>
          <w:bCs/>
          <w:color w:val="auto"/>
          <w:highlight w:val="none"/>
          <w:u w:val="single"/>
        </w:rPr>
        <w:t>个</w:t>
      </w:r>
      <w:r>
        <w:rPr>
          <w:rFonts w:ascii="宋体" w:hAnsi="宋体" w:cs="宋体"/>
          <w:b/>
          <w:bCs/>
          <w:color w:val="auto"/>
          <w:highlight w:val="none"/>
          <w:u w:val="single"/>
        </w:rPr>
        <w:t>PDF</w:t>
      </w:r>
      <w:r>
        <w:rPr>
          <w:rFonts w:hint="eastAsia" w:ascii="宋体" w:hAnsi="宋体" w:cs="宋体"/>
          <w:b/>
          <w:bCs/>
          <w:color w:val="auto"/>
          <w:highlight w:val="none"/>
          <w:u w:val="single"/>
        </w:rPr>
        <w:t>格式分别导入。</w:t>
      </w:r>
    </w:p>
    <w:p w14:paraId="7094B816">
      <w:pPr>
        <w:pStyle w:val="61"/>
        <w:spacing w:before="0" w:line="360" w:lineRule="auto"/>
        <w:ind w:left="400" w:leftChars="200" w:firstLine="0" w:firstLineChars="0"/>
        <w:rPr>
          <w:rFonts w:ascii="宋体"/>
          <w:b/>
          <w:bCs/>
          <w:color w:val="auto"/>
          <w:highlight w:val="none"/>
        </w:rPr>
      </w:pPr>
      <w:r>
        <w:rPr>
          <w:rFonts w:ascii="宋体" w:hAnsi="宋体" w:cs="宋体"/>
          <w:b/>
          <w:bCs/>
          <w:color w:val="auto"/>
          <w:highlight w:val="none"/>
        </w:rPr>
        <w:t>10</w:t>
      </w:r>
      <w:r>
        <w:rPr>
          <w:rFonts w:hint="eastAsia" w:ascii="宋体" w:hAnsi="宋体" w:cs="宋体"/>
          <w:b/>
          <w:bCs/>
          <w:color w:val="auto"/>
          <w:highlight w:val="none"/>
          <w:lang w:eastAsia="zh-CN"/>
        </w:rPr>
        <w:t>、</w:t>
      </w:r>
      <w:r>
        <w:rPr>
          <w:rFonts w:hint="eastAsia" w:ascii="宋体" w:hAnsi="宋体" w:cs="宋体"/>
          <w:b/>
          <w:bCs/>
          <w:color w:val="auto"/>
          <w:highlight w:val="none"/>
        </w:rPr>
        <w:t>响应文件有效期</w:t>
      </w:r>
    </w:p>
    <w:p w14:paraId="08A5DF6D">
      <w:pPr>
        <w:pStyle w:val="61"/>
        <w:spacing w:before="0" w:line="360" w:lineRule="auto"/>
        <w:ind w:left="400" w:leftChars="200" w:firstLine="0" w:firstLineChars="0"/>
        <w:rPr>
          <w:rFonts w:ascii="宋体"/>
          <w:color w:val="auto"/>
          <w:highlight w:val="none"/>
        </w:rPr>
      </w:pPr>
      <w:r>
        <w:rPr>
          <w:rFonts w:ascii="宋体" w:hAnsi="宋体" w:cs="宋体"/>
          <w:color w:val="auto"/>
          <w:highlight w:val="none"/>
        </w:rPr>
        <w:t xml:space="preserve">10.1 </w:t>
      </w:r>
      <w:r>
        <w:rPr>
          <w:rFonts w:hint="eastAsia" w:ascii="宋体" w:hAnsi="宋体" w:cs="宋体"/>
          <w:color w:val="auto"/>
          <w:highlight w:val="none"/>
        </w:rPr>
        <w:t>响应文件未在磋商响应截止时间前完成传输的或者未按时解密的，视为放弃磋商；响应文件解密失败后未提供备份文件或者备份文件也出现异常情况无法进行评审的，亦视为放弃磋商。</w:t>
      </w:r>
    </w:p>
    <w:p w14:paraId="1A5E9951">
      <w:pPr>
        <w:pStyle w:val="61"/>
        <w:spacing w:before="0" w:line="360" w:lineRule="auto"/>
        <w:ind w:left="400" w:leftChars="200" w:firstLine="0" w:firstLineChars="0"/>
        <w:rPr>
          <w:rFonts w:ascii="宋体"/>
          <w:color w:val="auto"/>
          <w:highlight w:val="none"/>
        </w:rPr>
      </w:pPr>
      <w:r>
        <w:rPr>
          <w:rFonts w:ascii="宋体" w:hAnsi="宋体" w:cs="宋体"/>
          <w:color w:val="auto"/>
          <w:highlight w:val="none"/>
        </w:rPr>
        <w:t xml:space="preserve">10.2 </w:t>
      </w:r>
      <w:r>
        <w:rPr>
          <w:rFonts w:hint="eastAsia" w:ascii="宋体" w:hAnsi="宋体" w:cs="宋体"/>
          <w:color w:val="auto"/>
          <w:highlight w:val="none"/>
        </w:rPr>
        <w:t>响应文件上传后，自磋商响应截止日期起，在前附表所列的磋商响应文件有效期内有效。</w:t>
      </w:r>
    </w:p>
    <w:p w14:paraId="4EFC8C16">
      <w:pPr>
        <w:pStyle w:val="61"/>
        <w:spacing w:before="0" w:line="360" w:lineRule="auto"/>
        <w:ind w:left="400" w:leftChars="200" w:firstLine="0" w:firstLineChars="0"/>
        <w:rPr>
          <w:rFonts w:ascii="宋体"/>
          <w:color w:val="auto"/>
          <w:highlight w:val="none"/>
        </w:rPr>
      </w:pPr>
      <w:r>
        <w:rPr>
          <w:rFonts w:ascii="宋体" w:hAnsi="宋体" w:cs="宋体"/>
          <w:color w:val="auto"/>
          <w:highlight w:val="none"/>
        </w:rPr>
        <w:t xml:space="preserve">10.3 </w:t>
      </w:r>
      <w:r>
        <w:rPr>
          <w:rFonts w:hint="eastAsia" w:ascii="宋体" w:hAnsi="宋体" w:cs="宋体"/>
          <w:color w:val="auto"/>
          <w:highlight w:val="none"/>
        </w:rPr>
        <w:t>在原定有效期满之前，如果出现特殊情况，采购代理机构可以以书面形式向磋商供应商提出延长磋商有效期的要求，磋商供应商对此须以书面形式予以答复。</w:t>
      </w:r>
    </w:p>
    <w:p w14:paraId="37BED359">
      <w:pPr>
        <w:pStyle w:val="61"/>
        <w:spacing w:before="0" w:line="360" w:lineRule="auto"/>
        <w:ind w:left="400" w:leftChars="200" w:firstLine="0" w:firstLineChars="0"/>
        <w:rPr>
          <w:rFonts w:ascii="宋体"/>
          <w:b/>
          <w:bCs/>
          <w:color w:val="auto"/>
          <w:highlight w:val="none"/>
        </w:rPr>
      </w:pPr>
      <w:r>
        <w:rPr>
          <w:rFonts w:ascii="宋体" w:hAnsi="宋体" w:cs="宋体"/>
          <w:b/>
          <w:bCs/>
          <w:color w:val="auto"/>
          <w:highlight w:val="none"/>
        </w:rPr>
        <w:t>11</w:t>
      </w:r>
      <w:r>
        <w:rPr>
          <w:rFonts w:hint="eastAsia" w:ascii="宋体" w:hAnsi="宋体" w:cs="宋体"/>
          <w:b/>
          <w:bCs/>
          <w:color w:val="auto"/>
          <w:highlight w:val="none"/>
          <w:lang w:eastAsia="zh-CN"/>
        </w:rPr>
        <w:t>、</w:t>
      </w:r>
      <w:r>
        <w:rPr>
          <w:rFonts w:hint="eastAsia" w:ascii="宋体" w:hAnsi="宋体" w:cs="宋体"/>
          <w:b/>
          <w:bCs/>
          <w:color w:val="auto"/>
          <w:highlight w:val="none"/>
        </w:rPr>
        <w:t>供应商如有下列情况之一者列入不良行为记录：</w:t>
      </w:r>
    </w:p>
    <w:p w14:paraId="612E9271">
      <w:pPr>
        <w:pStyle w:val="61"/>
        <w:spacing w:before="0" w:line="360" w:lineRule="auto"/>
        <w:ind w:left="400" w:leftChars="200" w:firstLine="0" w:firstLineChars="0"/>
        <w:rPr>
          <w:rFonts w:ascii="宋体"/>
          <w:color w:val="auto"/>
          <w:highlight w:val="none"/>
        </w:rPr>
      </w:pPr>
      <w:r>
        <w:rPr>
          <w:rFonts w:ascii="宋体" w:hAnsi="宋体" w:cs="宋体"/>
          <w:color w:val="auto"/>
          <w:highlight w:val="none"/>
        </w:rPr>
        <w:t xml:space="preserve">11.1 </w:t>
      </w:r>
      <w:r>
        <w:rPr>
          <w:rFonts w:hint="eastAsia" w:ascii="宋体" w:hAnsi="宋体" w:cs="宋体"/>
          <w:color w:val="auto"/>
          <w:highlight w:val="none"/>
        </w:rPr>
        <w:t>供应商在磋商响应文件有效期内撤回投标的；</w:t>
      </w:r>
    </w:p>
    <w:p w14:paraId="0A2F3A92">
      <w:pPr>
        <w:pStyle w:val="61"/>
        <w:spacing w:before="0" w:line="360" w:lineRule="auto"/>
        <w:ind w:left="400" w:leftChars="200" w:firstLine="0" w:firstLineChars="0"/>
        <w:rPr>
          <w:rFonts w:ascii="宋体"/>
          <w:color w:val="auto"/>
          <w:highlight w:val="none"/>
        </w:rPr>
      </w:pPr>
      <w:r>
        <w:rPr>
          <w:rFonts w:ascii="宋体" w:hAnsi="宋体" w:cs="宋体"/>
          <w:color w:val="auto"/>
          <w:highlight w:val="none"/>
        </w:rPr>
        <w:t xml:space="preserve">11.2 </w:t>
      </w:r>
      <w:r>
        <w:rPr>
          <w:rFonts w:hint="eastAsia" w:ascii="宋体" w:hAnsi="宋体" w:cs="宋体"/>
          <w:color w:val="auto"/>
          <w:highlight w:val="none"/>
        </w:rPr>
        <w:t>供应商或中标候选人放弃中标或中标候选人资格的；</w:t>
      </w:r>
    </w:p>
    <w:p w14:paraId="42A8A065">
      <w:pPr>
        <w:pStyle w:val="61"/>
        <w:spacing w:before="0" w:line="360" w:lineRule="auto"/>
        <w:ind w:left="400" w:leftChars="200" w:firstLine="0" w:firstLineChars="0"/>
        <w:rPr>
          <w:rFonts w:ascii="宋体"/>
          <w:color w:val="auto"/>
          <w:highlight w:val="none"/>
        </w:rPr>
      </w:pPr>
      <w:r>
        <w:rPr>
          <w:rFonts w:ascii="宋体" w:hAnsi="宋体" w:cs="宋体"/>
          <w:color w:val="auto"/>
          <w:highlight w:val="none"/>
        </w:rPr>
        <w:t xml:space="preserve">11.3 </w:t>
      </w:r>
      <w:r>
        <w:rPr>
          <w:rFonts w:hint="eastAsia" w:ascii="宋体" w:hAnsi="宋体" w:cs="宋体"/>
          <w:color w:val="auto"/>
          <w:highlight w:val="none"/>
        </w:rPr>
        <w:t>擅自修改或拒绝接受已经确认的条款；</w:t>
      </w:r>
    </w:p>
    <w:p w14:paraId="5E94A38D">
      <w:pPr>
        <w:pStyle w:val="61"/>
        <w:spacing w:before="0" w:line="360" w:lineRule="auto"/>
        <w:ind w:left="400" w:leftChars="200" w:firstLine="0" w:firstLineChars="0"/>
        <w:rPr>
          <w:rFonts w:ascii="宋体"/>
          <w:color w:val="auto"/>
          <w:highlight w:val="none"/>
        </w:rPr>
      </w:pPr>
      <w:r>
        <w:rPr>
          <w:rFonts w:ascii="宋体" w:hAnsi="宋体" w:cs="宋体"/>
          <w:color w:val="auto"/>
          <w:highlight w:val="none"/>
        </w:rPr>
        <w:t xml:space="preserve">11.4 </w:t>
      </w:r>
      <w:r>
        <w:rPr>
          <w:rFonts w:hint="eastAsia" w:ascii="宋体" w:hAnsi="宋体" w:cs="宋体"/>
          <w:color w:val="auto"/>
          <w:highlight w:val="none"/>
        </w:rPr>
        <w:t>成交供应商未按规定与采购人签订合同；</w:t>
      </w:r>
    </w:p>
    <w:p w14:paraId="2041A62E">
      <w:pPr>
        <w:pStyle w:val="61"/>
        <w:spacing w:before="0" w:line="360" w:lineRule="auto"/>
        <w:ind w:left="400" w:leftChars="200" w:firstLine="0" w:firstLineChars="0"/>
        <w:rPr>
          <w:rFonts w:ascii="宋体"/>
          <w:color w:val="auto"/>
          <w:highlight w:val="none"/>
        </w:rPr>
      </w:pPr>
      <w:r>
        <w:rPr>
          <w:rFonts w:ascii="宋体" w:hAnsi="宋体" w:cs="宋体"/>
          <w:color w:val="auto"/>
          <w:highlight w:val="none"/>
        </w:rPr>
        <w:t>11.</w:t>
      </w:r>
      <w:r>
        <w:rPr>
          <w:rFonts w:hint="eastAsia" w:ascii="宋体" w:hAnsi="宋体" w:cs="宋体"/>
          <w:color w:val="auto"/>
          <w:highlight w:val="none"/>
        </w:rPr>
        <w:t>5</w:t>
      </w:r>
      <w:r>
        <w:rPr>
          <w:rFonts w:ascii="宋体" w:hAnsi="宋体" w:cs="宋体"/>
          <w:color w:val="auto"/>
          <w:highlight w:val="none"/>
        </w:rPr>
        <w:t xml:space="preserve"> </w:t>
      </w:r>
      <w:r>
        <w:rPr>
          <w:rFonts w:hint="eastAsia" w:ascii="宋体" w:hAnsi="宋体" w:cs="宋体"/>
          <w:color w:val="auto"/>
          <w:highlight w:val="none"/>
        </w:rPr>
        <w:t>供应商采取提供虚假资料等不正当手段的；</w:t>
      </w:r>
    </w:p>
    <w:p w14:paraId="3CC28314">
      <w:pPr>
        <w:pStyle w:val="61"/>
        <w:spacing w:before="0" w:line="360" w:lineRule="auto"/>
        <w:ind w:left="400" w:leftChars="200" w:firstLine="0" w:firstLineChars="0"/>
        <w:rPr>
          <w:rFonts w:ascii="宋体"/>
          <w:color w:val="auto"/>
          <w:highlight w:val="none"/>
        </w:rPr>
      </w:pPr>
      <w:r>
        <w:rPr>
          <w:rFonts w:ascii="宋体" w:hAnsi="宋体" w:cs="宋体"/>
          <w:color w:val="auto"/>
          <w:highlight w:val="none"/>
        </w:rPr>
        <w:t>11.</w:t>
      </w:r>
      <w:r>
        <w:rPr>
          <w:rFonts w:hint="eastAsia" w:ascii="宋体" w:hAnsi="宋体" w:cs="宋体"/>
          <w:color w:val="auto"/>
          <w:highlight w:val="none"/>
        </w:rPr>
        <w:t>6</w:t>
      </w:r>
      <w:r>
        <w:rPr>
          <w:rFonts w:ascii="宋体" w:hAnsi="宋体" w:cs="宋体"/>
          <w:color w:val="auto"/>
          <w:highlight w:val="none"/>
        </w:rPr>
        <w:t xml:space="preserve"> </w:t>
      </w:r>
      <w:r>
        <w:rPr>
          <w:rFonts w:hint="eastAsia" w:ascii="宋体" w:hAnsi="宋体" w:cs="宋体"/>
          <w:color w:val="auto"/>
          <w:highlight w:val="none"/>
        </w:rPr>
        <w:t>供应商在投标过程中串通投标的。</w:t>
      </w:r>
    </w:p>
    <w:p w14:paraId="397C87E3">
      <w:pPr>
        <w:pStyle w:val="61"/>
        <w:spacing w:before="0" w:line="360" w:lineRule="auto"/>
        <w:ind w:left="400" w:leftChars="200" w:firstLine="0" w:firstLineChars="0"/>
        <w:rPr>
          <w:rFonts w:ascii="宋体"/>
          <w:b/>
          <w:bCs/>
          <w:color w:val="auto"/>
          <w:highlight w:val="none"/>
        </w:rPr>
      </w:pPr>
      <w:r>
        <w:rPr>
          <w:rFonts w:ascii="宋体" w:hAnsi="宋体" w:cs="宋体"/>
          <w:b/>
          <w:bCs/>
          <w:color w:val="auto"/>
          <w:highlight w:val="none"/>
        </w:rPr>
        <w:t>12</w:t>
      </w:r>
      <w:r>
        <w:rPr>
          <w:rFonts w:hint="eastAsia" w:ascii="宋体" w:hAnsi="宋体" w:cs="宋体"/>
          <w:b/>
          <w:bCs/>
          <w:color w:val="auto"/>
          <w:highlight w:val="none"/>
          <w:lang w:eastAsia="zh-CN"/>
        </w:rPr>
        <w:t>、</w:t>
      </w:r>
      <w:r>
        <w:rPr>
          <w:rFonts w:hint="eastAsia" w:ascii="宋体" w:hAnsi="宋体" w:cs="宋体"/>
          <w:b/>
          <w:bCs/>
          <w:color w:val="auto"/>
          <w:highlight w:val="none"/>
        </w:rPr>
        <w:t>响应文件的编制和签署</w:t>
      </w:r>
    </w:p>
    <w:p w14:paraId="690D8931">
      <w:pPr>
        <w:pStyle w:val="61"/>
        <w:spacing w:before="0" w:line="360" w:lineRule="auto"/>
        <w:ind w:left="400" w:leftChars="200" w:firstLine="0" w:firstLineChars="0"/>
        <w:rPr>
          <w:rFonts w:ascii="宋体"/>
          <w:color w:val="auto"/>
          <w:highlight w:val="none"/>
        </w:rPr>
      </w:pPr>
      <w:r>
        <w:rPr>
          <w:rFonts w:ascii="宋体" w:hAnsi="宋体" w:cs="宋体"/>
          <w:color w:val="auto"/>
          <w:highlight w:val="none"/>
        </w:rPr>
        <w:t xml:space="preserve">12.1 </w:t>
      </w:r>
      <w:r>
        <w:rPr>
          <w:rFonts w:hint="eastAsia" w:ascii="宋体" w:hAnsi="宋体" w:cs="宋体"/>
          <w:color w:val="auto"/>
          <w:highlight w:val="none"/>
        </w:rPr>
        <w:t>按磋商文件</w:t>
      </w:r>
      <w:r>
        <w:rPr>
          <w:rFonts w:ascii="宋体" w:hAnsi="宋体" w:cs="宋体"/>
          <w:color w:val="auto"/>
          <w:highlight w:val="none"/>
        </w:rPr>
        <w:t>9.1</w:t>
      </w:r>
      <w:r>
        <w:rPr>
          <w:rFonts w:hint="eastAsia" w:ascii="宋体" w:hAnsi="宋体" w:cs="宋体"/>
          <w:color w:val="auto"/>
          <w:highlight w:val="none"/>
        </w:rPr>
        <w:t>条、</w:t>
      </w:r>
      <w:r>
        <w:rPr>
          <w:rFonts w:ascii="宋体" w:hAnsi="宋体" w:cs="宋体"/>
          <w:color w:val="auto"/>
          <w:highlight w:val="none"/>
        </w:rPr>
        <w:t>9.2</w:t>
      </w:r>
      <w:r>
        <w:rPr>
          <w:rFonts w:hint="eastAsia" w:ascii="宋体" w:hAnsi="宋体" w:cs="宋体"/>
          <w:color w:val="auto"/>
          <w:highlight w:val="none"/>
        </w:rPr>
        <w:t>条、</w:t>
      </w:r>
      <w:r>
        <w:rPr>
          <w:rFonts w:ascii="宋体" w:hAnsi="宋体" w:cs="宋体"/>
          <w:color w:val="auto"/>
          <w:highlight w:val="none"/>
        </w:rPr>
        <w:t>9.3</w:t>
      </w:r>
      <w:r>
        <w:rPr>
          <w:rFonts w:hint="eastAsia" w:ascii="宋体" w:hAnsi="宋体" w:cs="宋体"/>
          <w:color w:val="auto"/>
          <w:highlight w:val="none"/>
        </w:rPr>
        <w:t>条要求提供的各种文件，响应文件分为资格文件、商务技术文件和报价文件三部分。</w:t>
      </w:r>
    </w:p>
    <w:p w14:paraId="4A6099B5">
      <w:pPr>
        <w:pStyle w:val="61"/>
        <w:spacing w:before="0" w:line="360" w:lineRule="auto"/>
        <w:ind w:left="400" w:leftChars="200" w:firstLine="0" w:firstLineChars="0"/>
        <w:rPr>
          <w:rFonts w:ascii="宋体"/>
          <w:color w:val="auto"/>
          <w:highlight w:val="none"/>
        </w:rPr>
      </w:pPr>
      <w:r>
        <w:rPr>
          <w:rFonts w:ascii="宋体" w:hAnsi="宋体" w:cs="宋体"/>
          <w:color w:val="auto"/>
          <w:highlight w:val="none"/>
        </w:rPr>
        <w:t xml:space="preserve">12.2 </w:t>
      </w:r>
      <w:r>
        <w:rPr>
          <w:rFonts w:hint="eastAsia" w:ascii="宋体" w:hAnsi="宋体" w:cs="宋体"/>
          <w:color w:val="auto"/>
          <w:highlight w:val="none"/>
        </w:rPr>
        <w:t>响应文件须按附件格式要求进行电子签章，供应商应写全称。（电子磋商响应文件中所须加盖公章部分均应采用电子签章）</w:t>
      </w:r>
    </w:p>
    <w:p w14:paraId="1ACC5943">
      <w:pPr>
        <w:pStyle w:val="61"/>
        <w:spacing w:before="0" w:line="360" w:lineRule="auto"/>
        <w:ind w:left="400" w:leftChars="200" w:firstLine="0" w:firstLineChars="0"/>
        <w:rPr>
          <w:rFonts w:ascii="宋体"/>
          <w:color w:val="auto"/>
          <w:highlight w:val="none"/>
        </w:rPr>
      </w:pPr>
      <w:r>
        <w:rPr>
          <w:rFonts w:ascii="宋体" w:hAnsi="宋体" w:cs="宋体"/>
          <w:color w:val="auto"/>
          <w:highlight w:val="none"/>
        </w:rPr>
        <w:t xml:space="preserve">12.3 </w:t>
      </w:r>
      <w:r>
        <w:rPr>
          <w:rFonts w:hint="eastAsia" w:ascii="宋体" w:hAnsi="宋体" w:cs="宋体"/>
          <w:color w:val="auto"/>
          <w:highlight w:val="none"/>
        </w:rPr>
        <w:t>全套响应文件应无涂改和行间插字，除非这些删改是根据采购代理机构要求进行，或者是供应商造成的必须修改的错误。所修改处应由法定代表人或其授权代表签字盖章予以确认。</w:t>
      </w:r>
    </w:p>
    <w:p w14:paraId="4D77523C">
      <w:pPr>
        <w:pStyle w:val="61"/>
        <w:spacing w:before="0" w:line="360" w:lineRule="auto"/>
        <w:ind w:left="400" w:leftChars="200" w:firstLine="0" w:firstLineChars="0"/>
        <w:rPr>
          <w:rFonts w:ascii="宋体"/>
          <w:color w:val="auto"/>
          <w:highlight w:val="none"/>
        </w:rPr>
      </w:pPr>
      <w:r>
        <w:rPr>
          <w:rFonts w:ascii="宋体" w:hAnsi="宋体" w:cs="宋体"/>
          <w:color w:val="auto"/>
          <w:highlight w:val="none"/>
        </w:rPr>
        <w:t xml:space="preserve">12.4 </w:t>
      </w:r>
      <w:r>
        <w:rPr>
          <w:rFonts w:hint="eastAsia" w:ascii="宋体" w:hAnsi="宋体" w:cs="宋体"/>
          <w:color w:val="auto"/>
          <w:highlight w:val="none"/>
        </w:rPr>
        <w:t>由于字迹模糊或表达不清引起的后果由供应商负责。</w:t>
      </w:r>
    </w:p>
    <w:p w14:paraId="2539A4FD">
      <w:pPr>
        <w:pStyle w:val="61"/>
        <w:spacing w:before="0" w:line="360" w:lineRule="auto"/>
        <w:ind w:left="400" w:leftChars="200" w:firstLine="0" w:firstLineChars="0"/>
        <w:rPr>
          <w:rFonts w:ascii="宋体"/>
          <w:b/>
          <w:bCs/>
          <w:color w:val="auto"/>
          <w:highlight w:val="none"/>
        </w:rPr>
      </w:pPr>
      <w:r>
        <w:rPr>
          <w:rFonts w:ascii="宋体" w:hAnsi="宋体" w:cs="宋体"/>
          <w:b/>
          <w:bCs/>
          <w:color w:val="auto"/>
          <w:highlight w:val="none"/>
        </w:rPr>
        <w:t>13</w:t>
      </w:r>
      <w:r>
        <w:rPr>
          <w:rFonts w:hint="eastAsia" w:ascii="宋体" w:hAnsi="宋体" w:cs="宋体"/>
          <w:b/>
          <w:bCs/>
          <w:color w:val="auto"/>
          <w:highlight w:val="none"/>
          <w:lang w:eastAsia="zh-CN"/>
        </w:rPr>
        <w:t>、</w:t>
      </w:r>
      <w:r>
        <w:rPr>
          <w:rFonts w:hint="eastAsia" w:ascii="宋体" w:hAnsi="宋体" w:cs="宋体"/>
          <w:b/>
          <w:bCs/>
          <w:color w:val="auto"/>
          <w:highlight w:val="none"/>
        </w:rPr>
        <w:t>响应文件的形式</w:t>
      </w:r>
    </w:p>
    <w:p w14:paraId="0D7EF8AC">
      <w:pPr>
        <w:pStyle w:val="61"/>
        <w:spacing w:before="0" w:line="360" w:lineRule="auto"/>
        <w:ind w:left="400" w:leftChars="200" w:firstLine="0" w:firstLineChars="0"/>
        <w:rPr>
          <w:rFonts w:hint="eastAsia" w:ascii="宋体" w:hAnsi="宋体" w:cs="宋体"/>
          <w:color w:val="auto"/>
          <w:highlight w:val="none"/>
        </w:rPr>
      </w:pPr>
      <w:r>
        <w:rPr>
          <w:rFonts w:hint="eastAsia" w:ascii="宋体" w:hAnsi="宋体" w:cs="宋体"/>
          <w:color w:val="auto"/>
          <w:highlight w:val="none"/>
        </w:rPr>
        <w:t>响应文件为电子磋商响应文件，电子磋商响应文件按“政采云供应商项目采购</w:t>
      </w:r>
      <w:r>
        <w:rPr>
          <w:rFonts w:ascii="宋体" w:cs="宋体"/>
          <w:color w:val="auto"/>
          <w:highlight w:val="none"/>
        </w:rPr>
        <w:t>-</w:t>
      </w:r>
      <w:r>
        <w:rPr>
          <w:rFonts w:hint="eastAsia" w:ascii="宋体" w:hAnsi="宋体" w:cs="宋体"/>
          <w:color w:val="auto"/>
          <w:highlight w:val="none"/>
        </w:rPr>
        <w:t>电子招投标操作指南”及本磋商文件要求制作、加密传输。</w:t>
      </w:r>
    </w:p>
    <w:p w14:paraId="7E9EDEFE">
      <w:pPr>
        <w:pStyle w:val="61"/>
        <w:spacing w:before="0" w:line="360" w:lineRule="auto"/>
        <w:ind w:left="400" w:leftChars="200" w:firstLine="0" w:firstLineChars="0"/>
        <w:rPr>
          <w:rFonts w:hint="eastAsia" w:ascii="宋体" w:hAnsi="宋体" w:cs="宋体"/>
          <w:color w:val="auto"/>
          <w:highlight w:val="none"/>
        </w:rPr>
      </w:pPr>
    </w:p>
    <w:p w14:paraId="19963CB9">
      <w:pPr>
        <w:pStyle w:val="3"/>
        <w:numPr>
          <w:ilvl w:val="0"/>
          <w:numId w:val="7"/>
        </w:numPr>
        <w:spacing w:line="360" w:lineRule="auto"/>
        <w:jc w:val="center"/>
        <w:rPr>
          <w:rFonts w:cs="Times New Roman"/>
          <w:color w:val="auto"/>
          <w:highlight w:val="none"/>
        </w:rPr>
      </w:pPr>
      <w:bookmarkStart w:id="76" w:name="_Toc1420"/>
      <w:r>
        <w:rPr>
          <w:color w:val="auto"/>
          <w:highlight w:val="none"/>
        </w:rPr>
        <w:t xml:space="preserve"> </w:t>
      </w:r>
      <w:bookmarkStart w:id="77" w:name="_Toc1903"/>
      <w:bookmarkStart w:id="78" w:name="_Toc21266"/>
      <w:bookmarkStart w:id="79" w:name="_Toc7952"/>
      <w:bookmarkStart w:id="80" w:name="_Toc19973"/>
      <w:bookmarkStart w:id="81" w:name="_Toc32523"/>
      <w:r>
        <w:rPr>
          <w:rFonts w:hint="eastAsia"/>
          <w:color w:val="auto"/>
          <w:highlight w:val="none"/>
        </w:rPr>
        <w:t>响应文件的递交</w:t>
      </w:r>
      <w:bookmarkEnd w:id="76"/>
      <w:bookmarkEnd w:id="77"/>
      <w:bookmarkEnd w:id="78"/>
      <w:bookmarkEnd w:id="79"/>
      <w:bookmarkEnd w:id="80"/>
      <w:bookmarkEnd w:id="81"/>
    </w:p>
    <w:p w14:paraId="16E8344C">
      <w:pPr>
        <w:pStyle w:val="15"/>
        <w:spacing w:line="360" w:lineRule="auto"/>
        <w:ind w:left="400" w:leftChars="200"/>
        <w:rPr>
          <w:rFonts w:hAnsi="宋体" w:cs="Times New Roman"/>
          <w:b/>
          <w:bCs/>
          <w:color w:val="auto"/>
          <w:sz w:val="24"/>
          <w:szCs w:val="24"/>
          <w:highlight w:val="none"/>
        </w:rPr>
      </w:pPr>
      <w:r>
        <w:rPr>
          <w:rFonts w:hAnsi="宋体"/>
          <w:b/>
          <w:bCs/>
          <w:color w:val="auto"/>
          <w:sz w:val="24"/>
          <w:szCs w:val="24"/>
          <w:highlight w:val="none"/>
        </w:rPr>
        <w:t>14</w:t>
      </w:r>
      <w:r>
        <w:rPr>
          <w:rFonts w:hint="eastAsia" w:hAnsi="宋体"/>
          <w:b/>
          <w:bCs/>
          <w:color w:val="auto"/>
          <w:sz w:val="24"/>
          <w:szCs w:val="24"/>
          <w:highlight w:val="none"/>
        </w:rPr>
        <w:t>、磋商响应截止期</w:t>
      </w:r>
    </w:p>
    <w:p w14:paraId="7E51126D">
      <w:pPr>
        <w:pStyle w:val="61"/>
        <w:numPr>
          <w:ilvl w:val="0"/>
          <w:numId w:val="12"/>
        </w:numPr>
        <w:spacing w:before="0" w:line="360" w:lineRule="auto"/>
        <w:ind w:firstLine="480"/>
        <w:rPr>
          <w:rFonts w:ascii="宋体"/>
          <w:color w:val="auto"/>
          <w:highlight w:val="none"/>
        </w:rPr>
      </w:pPr>
      <w:r>
        <w:rPr>
          <w:rFonts w:hint="eastAsia" w:ascii="宋体" w:hAnsi="宋体" w:cs="宋体"/>
          <w:color w:val="auto"/>
          <w:highlight w:val="none"/>
        </w:rPr>
        <w:t>响应文件必须在规定的磋商响应截止时间前在政采云系统内完成传输，以纸质、电报、电话、传真形式的投标概不接受。为应对响应文件解密失败等异常情况，供应商可指派授权代表在磋商响应截止时间之前到达开标地点提交备份文件。</w:t>
      </w:r>
    </w:p>
    <w:p w14:paraId="73EE1C66">
      <w:pPr>
        <w:pStyle w:val="61"/>
        <w:numPr>
          <w:ilvl w:val="0"/>
          <w:numId w:val="12"/>
        </w:numPr>
        <w:spacing w:before="0" w:line="360" w:lineRule="auto"/>
        <w:ind w:firstLine="480"/>
        <w:rPr>
          <w:rFonts w:ascii="宋体"/>
          <w:color w:val="auto"/>
          <w:highlight w:val="none"/>
        </w:rPr>
      </w:pPr>
      <w:r>
        <w:rPr>
          <w:rFonts w:hint="eastAsia" w:ascii="宋体" w:hAnsi="宋体" w:cs="宋体"/>
          <w:color w:val="auto"/>
          <w:highlight w:val="none"/>
        </w:rPr>
        <w:t>采购人因故推迟磋商响应截止时间，将以公告形式通知。在这种情况下，采购人和供应商的权利和义务将受到新的截止时间的约束。</w:t>
      </w:r>
    </w:p>
    <w:p w14:paraId="4518AA63">
      <w:pPr>
        <w:pStyle w:val="15"/>
        <w:spacing w:line="360" w:lineRule="auto"/>
        <w:ind w:left="400" w:leftChars="200"/>
        <w:rPr>
          <w:rFonts w:hAnsi="宋体" w:cs="Times New Roman"/>
          <w:b/>
          <w:bCs/>
          <w:color w:val="auto"/>
          <w:sz w:val="24"/>
          <w:szCs w:val="24"/>
          <w:highlight w:val="none"/>
        </w:rPr>
      </w:pPr>
      <w:r>
        <w:rPr>
          <w:rFonts w:hAnsi="宋体"/>
          <w:b/>
          <w:bCs/>
          <w:color w:val="auto"/>
          <w:sz w:val="24"/>
          <w:szCs w:val="24"/>
          <w:highlight w:val="none"/>
        </w:rPr>
        <w:t>15</w:t>
      </w:r>
      <w:r>
        <w:rPr>
          <w:rFonts w:hint="eastAsia" w:hAnsi="宋体"/>
          <w:b/>
          <w:bCs/>
          <w:color w:val="auto"/>
          <w:sz w:val="24"/>
          <w:szCs w:val="24"/>
          <w:highlight w:val="none"/>
        </w:rPr>
        <w:t>、响应文件的修改、撤销</w:t>
      </w:r>
    </w:p>
    <w:p w14:paraId="75E03206">
      <w:pPr>
        <w:pStyle w:val="15"/>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供应商应当在磋商响应截止时间前完成电子交易文件的传输递交，磋商响应截止时间前可以补充、修改或者撤回电子交易文件。补充或者修改电子交易文件的，应当先行撤回原文件，补充、修改后重新传输递交。磋商响应截止时间前未完成传输的，视为响应文件撤回。</w:t>
      </w:r>
    </w:p>
    <w:p w14:paraId="2249B444">
      <w:pPr>
        <w:spacing w:line="360" w:lineRule="auto"/>
        <w:rPr>
          <w:color w:val="auto"/>
          <w:highlight w:val="none"/>
        </w:rPr>
      </w:pPr>
    </w:p>
    <w:p w14:paraId="021BBFB6">
      <w:pPr>
        <w:pStyle w:val="3"/>
        <w:numPr>
          <w:ilvl w:val="0"/>
          <w:numId w:val="7"/>
        </w:numPr>
        <w:spacing w:line="360" w:lineRule="auto"/>
        <w:jc w:val="center"/>
        <w:rPr>
          <w:rFonts w:hAnsi="宋体" w:cs="Times New Roman"/>
          <w:color w:val="auto"/>
          <w:highlight w:val="none"/>
        </w:rPr>
      </w:pPr>
      <w:r>
        <w:rPr>
          <w:color w:val="auto"/>
          <w:highlight w:val="none"/>
        </w:rPr>
        <w:t xml:space="preserve"> </w:t>
      </w:r>
      <w:bookmarkStart w:id="82" w:name="_Toc13219"/>
      <w:bookmarkStart w:id="83" w:name="_Toc31149"/>
      <w:bookmarkStart w:id="84" w:name="_Toc4704"/>
      <w:bookmarkStart w:id="85" w:name="_Toc20296"/>
      <w:bookmarkStart w:id="86" w:name="_Toc24120"/>
      <w:r>
        <w:rPr>
          <w:rFonts w:hint="eastAsia"/>
          <w:color w:val="auto"/>
          <w:highlight w:val="none"/>
        </w:rPr>
        <w:t>磋商无效的情形</w:t>
      </w:r>
      <w:bookmarkEnd w:id="82"/>
      <w:bookmarkEnd w:id="83"/>
      <w:bookmarkEnd w:id="84"/>
      <w:bookmarkEnd w:id="85"/>
      <w:bookmarkEnd w:id="86"/>
    </w:p>
    <w:p w14:paraId="72ADF019">
      <w:pPr>
        <w:pStyle w:val="15"/>
        <w:snapToGrid w:val="0"/>
        <w:spacing w:line="360" w:lineRule="auto"/>
        <w:ind w:firstLine="482" w:firstLineChars="200"/>
        <w:rPr>
          <w:rFonts w:hAnsi="宋体" w:cs="Times New Roman"/>
          <w:b/>
          <w:bCs/>
          <w:color w:val="auto"/>
          <w:sz w:val="24"/>
          <w:szCs w:val="24"/>
          <w:highlight w:val="none"/>
        </w:rPr>
      </w:pPr>
      <w:r>
        <w:rPr>
          <w:rFonts w:hAnsi="宋体"/>
          <w:b/>
          <w:bCs/>
          <w:color w:val="auto"/>
          <w:sz w:val="24"/>
          <w:szCs w:val="24"/>
          <w:highlight w:val="none"/>
        </w:rPr>
        <w:t>16</w:t>
      </w:r>
      <w:r>
        <w:rPr>
          <w:rFonts w:hint="eastAsia" w:hAnsi="宋体"/>
          <w:b/>
          <w:bCs/>
          <w:color w:val="auto"/>
          <w:sz w:val="24"/>
          <w:szCs w:val="24"/>
          <w:highlight w:val="none"/>
        </w:rPr>
        <w:t>、无效响应</w:t>
      </w:r>
    </w:p>
    <w:p w14:paraId="0856B263">
      <w:pPr>
        <w:pStyle w:val="15"/>
        <w:snapToGrid w:val="0"/>
        <w:spacing w:line="360" w:lineRule="auto"/>
        <w:ind w:firstLine="480" w:firstLineChars="200"/>
        <w:rPr>
          <w:rFonts w:hAnsi="宋体" w:cs="Times New Roman"/>
          <w:color w:val="auto"/>
          <w:sz w:val="24"/>
          <w:szCs w:val="24"/>
          <w:highlight w:val="none"/>
        </w:rPr>
      </w:pPr>
      <w:r>
        <w:rPr>
          <w:rFonts w:hint="eastAsia" w:hAnsi="宋体"/>
          <w:color w:val="auto"/>
          <w:sz w:val="24"/>
          <w:szCs w:val="24"/>
          <w:highlight w:val="none"/>
        </w:rPr>
        <w:t>经过审查，凡不符合有关规定，不响应磋商文件的实质性条款，存在以下重大偏离之一的，经磋商小组认定，并由采购人报采购办备案，将因未通过资格性或符合性审查而被作为无效响应处理：</w:t>
      </w:r>
    </w:p>
    <w:p w14:paraId="32E352D0">
      <w:pPr>
        <w:tabs>
          <w:tab w:val="left" w:pos="3870"/>
          <w:tab w:val="left" w:pos="4085"/>
        </w:tabs>
        <w:snapToGrid w:val="0"/>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16.</w:t>
      </w:r>
      <w:r>
        <w:rPr>
          <w:rFonts w:hint="eastAsia" w:ascii="宋体" w:hAnsi="宋体" w:cs="宋体"/>
          <w:b/>
          <w:bCs/>
          <w:color w:val="auto"/>
          <w:sz w:val="24"/>
          <w:szCs w:val="24"/>
          <w:highlight w:val="none"/>
        </w:rPr>
        <w:t>1未按照</w:t>
      </w:r>
      <w:r>
        <w:rPr>
          <w:rFonts w:hint="eastAsia" w:ascii="宋体" w:hAnsi="宋体" w:cs="宋体"/>
          <w:b/>
          <w:bCs/>
          <w:color w:val="auto"/>
          <w:sz w:val="24"/>
          <w:szCs w:val="24"/>
          <w:highlight w:val="none"/>
          <w:lang w:eastAsia="zh-CN"/>
        </w:rPr>
        <w:t>磋商文件</w:t>
      </w:r>
      <w:r>
        <w:rPr>
          <w:rFonts w:hint="eastAsia" w:ascii="宋体" w:hAnsi="宋体" w:cs="宋体"/>
          <w:b/>
          <w:bCs/>
          <w:color w:val="auto"/>
          <w:sz w:val="24"/>
          <w:szCs w:val="24"/>
          <w:highlight w:val="none"/>
        </w:rPr>
        <w:t>规定要求电子签章、签字或盖章的；</w:t>
      </w:r>
    </w:p>
    <w:p w14:paraId="7DE1F725">
      <w:pPr>
        <w:tabs>
          <w:tab w:val="left" w:pos="3870"/>
          <w:tab w:val="left" w:pos="4085"/>
        </w:tabs>
        <w:snapToGrid w:val="0"/>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16.</w:t>
      </w:r>
      <w:r>
        <w:rPr>
          <w:rFonts w:hint="eastAsia" w:ascii="宋体" w:hAnsi="宋体" w:cs="宋体"/>
          <w:b/>
          <w:bCs/>
          <w:color w:val="auto"/>
          <w:sz w:val="24"/>
          <w:szCs w:val="24"/>
          <w:highlight w:val="none"/>
        </w:rPr>
        <w:t>2单位负责人为同一人或者存在直接控股、管理关系的不同供应商参加同一合同项下的政府采购活动的（均无效）；</w:t>
      </w:r>
    </w:p>
    <w:p w14:paraId="025BBC7B">
      <w:pPr>
        <w:tabs>
          <w:tab w:val="left" w:pos="3870"/>
          <w:tab w:val="left" w:pos="4085"/>
        </w:tabs>
        <w:snapToGrid w:val="0"/>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16.</w:t>
      </w:r>
      <w:r>
        <w:rPr>
          <w:rFonts w:hint="eastAsia" w:ascii="宋体" w:hAnsi="宋体" w:cs="宋体"/>
          <w:b/>
          <w:bCs/>
          <w:color w:val="auto"/>
          <w:sz w:val="24"/>
          <w:szCs w:val="24"/>
          <w:highlight w:val="none"/>
        </w:rPr>
        <w:t>3为采购项目提供整体设计、规范编制或者项目管理、监理、检测等服务的供应商参加该采购项目的其他采购活动的；</w:t>
      </w:r>
    </w:p>
    <w:p w14:paraId="4210C38C">
      <w:pPr>
        <w:tabs>
          <w:tab w:val="left" w:pos="3870"/>
          <w:tab w:val="left" w:pos="4085"/>
        </w:tabs>
        <w:snapToGrid w:val="0"/>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16.</w:t>
      </w:r>
      <w:r>
        <w:rPr>
          <w:rFonts w:hint="eastAsia" w:ascii="宋体" w:hAnsi="宋体" w:cs="宋体"/>
          <w:b/>
          <w:bCs/>
          <w:color w:val="auto"/>
          <w:sz w:val="24"/>
          <w:szCs w:val="24"/>
          <w:highlight w:val="none"/>
        </w:rPr>
        <w:t>4</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未提供</w:t>
      </w:r>
      <w:r>
        <w:rPr>
          <w:rFonts w:hint="eastAsia" w:ascii="宋体" w:hAnsi="宋体" w:cs="宋体"/>
          <w:b/>
          <w:bCs/>
          <w:color w:val="auto"/>
          <w:sz w:val="24"/>
          <w:szCs w:val="24"/>
          <w:highlight w:val="none"/>
          <w:lang w:eastAsia="zh-CN"/>
        </w:rPr>
        <w:t>磋商文件</w:t>
      </w:r>
      <w:r>
        <w:rPr>
          <w:rFonts w:hint="eastAsia" w:ascii="宋体" w:hAnsi="宋体" w:cs="宋体"/>
          <w:b/>
          <w:bCs/>
          <w:color w:val="auto"/>
          <w:sz w:val="24"/>
          <w:szCs w:val="24"/>
          <w:highlight w:val="none"/>
        </w:rPr>
        <w:t>中规定的基本资格条件书面承诺函的，或</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未提供有效的特定资格证明文件的，视为</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不具备</w:t>
      </w:r>
      <w:r>
        <w:rPr>
          <w:rFonts w:hint="eastAsia" w:ascii="宋体" w:hAnsi="宋体" w:cs="宋体"/>
          <w:b/>
          <w:bCs/>
          <w:color w:val="auto"/>
          <w:sz w:val="24"/>
          <w:szCs w:val="24"/>
          <w:highlight w:val="none"/>
          <w:lang w:eastAsia="zh-CN"/>
        </w:rPr>
        <w:t>磋商文件</w:t>
      </w:r>
      <w:r>
        <w:rPr>
          <w:rFonts w:hint="eastAsia" w:ascii="宋体" w:hAnsi="宋体" w:cs="宋体"/>
          <w:b/>
          <w:bCs/>
          <w:color w:val="auto"/>
          <w:sz w:val="24"/>
          <w:szCs w:val="24"/>
          <w:highlight w:val="none"/>
        </w:rPr>
        <w:t>中规定的资格要求；</w:t>
      </w:r>
    </w:p>
    <w:p w14:paraId="6FA7D416">
      <w:pPr>
        <w:tabs>
          <w:tab w:val="left" w:pos="3870"/>
          <w:tab w:val="left" w:pos="4085"/>
        </w:tabs>
        <w:snapToGrid w:val="0"/>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16.</w:t>
      </w:r>
      <w:r>
        <w:rPr>
          <w:rFonts w:hint="eastAsia" w:ascii="宋体" w:hAnsi="宋体" w:cs="宋体"/>
          <w:b/>
          <w:bCs/>
          <w:color w:val="auto"/>
          <w:sz w:val="24"/>
          <w:szCs w:val="24"/>
          <w:highlight w:val="none"/>
        </w:rPr>
        <w:t>5《法定代表人身份证明书》与提供的身份证扫描件信息不符的；《法定代表人授权委托书》与提供的身份证扫描件信息不符的；</w:t>
      </w:r>
    </w:p>
    <w:p w14:paraId="7008A1DB">
      <w:pPr>
        <w:tabs>
          <w:tab w:val="left" w:pos="3870"/>
          <w:tab w:val="left" w:pos="4085"/>
        </w:tabs>
        <w:snapToGrid w:val="0"/>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16.</w:t>
      </w:r>
      <w:r>
        <w:rPr>
          <w:rFonts w:hint="eastAsia" w:ascii="宋体" w:hAnsi="宋体" w:cs="宋体"/>
          <w:b/>
          <w:bCs/>
          <w:color w:val="auto"/>
          <w:sz w:val="24"/>
          <w:szCs w:val="24"/>
          <w:highlight w:val="none"/>
        </w:rPr>
        <w:t>6《法定代表人授权委托书》或《法定代表人身份证明书》填写不全、错误、未电子签章(《法定代表人授权委托书》要求“电子签章”和“签字或盖章”缺一不可）的；</w:t>
      </w:r>
    </w:p>
    <w:p w14:paraId="20A14224">
      <w:pPr>
        <w:tabs>
          <w:tab w:val="left" w:pos="3870"/>
          <w:tab w:val="left" w:pos="4085"/>
        </w:tabs>
        <w:snapToGrid w:val="0"/>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16.</w:t>
      </w:r>
      <w:r>
        <w:rPr>
          <w:rFonts w:hint="eastAsia" w:ascii="宋体" w:hAnsi="宋体" w:cs="宋体"/>
          <w:b/>
          <w:bCs/>
          <w:color w:val="auto"/>
          <w:sz w:val="24"/>
          <w:szCs w:val="24"/>
          <w:highlight w:val="none"/>
        </w:rPr>
        <w:t>7授权代表非投标单位正式职工的（以社保证明为准，如授权代表为离退休返聘人员的，需提供退休证明及单位聘用证明；如由第三方代理社保事项的，则需提供加盖</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公章的委托代理协议扫描件），法定代表人及个体工商户除外；</w:t>
      </w:r>
    </w:p>
    <w:p w14:paraId="2ECDF4DF">
      <w:pPr>
        <w:tabs>
          <w:tab w:val="left" w:pos="3870"/>
          <w:tab w:val="left" w:pos="4085"/>
        </w:tabs>
        <w:snapToGrid w:val="0"/>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16.</w:t>
      </w:r>
      <w:r>
        <w:rPr>
          <w:rFonts w:hint="eastAsia" w:ascii="宋体" w:hAnsi="宋体" w:cs="宋体"/>
          <w:b/>
          <w:bCs/>
          <w:color w:val="auto"/>
          <w:sz w:val="24"/>
          <w:szCs w:val="24"/>
          <w:highlight w:val="none"/>
        </w:rPr>
        <w:t>8报价一经涂改，未在涂改处加盖投标单位公章或者未经法定代表人或其授权代表签字或盖章的；</w:t>
      </w:r>
    </w:p>
    <w:p w14:paraId="3F0CD672">
      <w:pPr>
        <w:tabs>
          <w:tab w:val="left" w:pos="3870"/>
          <w:tab w:val="left" w:pos="4085"/>
        </w:tabs>
        <w:snapToGrid w:val="0"/>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16.</w:t>
      </w:r>
      <w:r>
        <w:rPr>
          <w:rFonts w:hint="eastAsia" w:ascii="宋体" w:hAnsi="宋体" w:cs="宋体"/>
          <w:b/>
          <w:bCs/>
          <w:color w:val="auto"/>
          <w:sz w:val="24"/>
          <w:szCs w:val="24"/>
          <w:highlight w:val="none"/>
          <w:lang w:val="en-US" w:eastAsia="zh-CN"/>
        </w:rPr>
        <w:t>9</w:t>
      </w:r>
      <w:r>
        <w:rPr>
          <w:rFonts w:hint="eastAsia" w:ascii="宋体" w:hAnsi="宋体" w:cs="宋体"/>
          <w:b/>
          <w:bCs/>
          <w:color w:val="auto"/>
          <w:sz w:val="24"/>
          <w:szCs w:val="24"/>
          <w:highlight w:val="none"/>
        </w:rPr>
        <w:t>未按</w:t>
      </w:r>
      <w:r>
        <w:rPr>
          <w:rFonts w:hint="eastAsia" w:ascii="宋体" w:hAnsi="宋体" w:cs="宋体"/>
          <w:b/>
          <w:bCs/>
          <w:color w:val="auto"/>
          <w:sz w:val="24"/>
          <w:szCs w:val="24"/>
          <w:highlight w:val="none"/>
          <w:lang w:eastAsia="zh-CN"/>
        </w:rPr>
        <w:t>磋商文件</w:t>
      </w:r>
      <w:r>
        <w:rPr>
          <w:rFonts w:hint="eastAsia" w:ascii="宋体" w:hAnsi="宋体" w:cs="宋体"/>
          <w:b/>
          <w:bCs/>
          <w:color w:val="auto"/>
          <w:sz w:val="24"/>
          <w:szCs w:val="24"/>
          <w:highlight w:val="none"/>
        </w:rPr>
        <w:t>规定的格式填写，或对服务或技术等要求未详细应答或应答内容不全、有缺失的</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经</w:t>
      </w:r>
      <w:r>
        <w:rPr>
          <w:rFonts w:hint="eastAsia" w:ascii="宋体" w:hAnsi="宋体" w:cs="宋体"/>
          <w:b/>
          <w:bCs/>
          <w:color w:val="auto"/>
          <w:sz w:val="24"/>
          <w:szCs w:val="24"/>
          <w:highlight w:val="none"/>
          <w:lang w:eastAsia="zh-CN"/>
        </w:rPr>
        <w:t>磋商小组</w:t>
      </w:r>
      <w:r>
        <w:rPr>
          <w:rFonts w:hint="eastAsia" w:ascii="宋体" w:hAnsi="宋体" w:cs="宋体"/>
          <w:b/>
          <w:bCs/>
          <w:color w:val="auto"/>
          <w:sz w:val="24"/>
          <w:szCs w:val="24"/>
          <w:highlight w:val="none"/>
        </w:rPr>
        <w:t>认定为无法评审的；</w:t>
      </w:r>
    </w:p>
    <w:p w14:paraId="25EFF60A">
      <w:pPr>
        <w:tabs>
          <w:tab w:val="left" w:pos="3870"/>
          <w:tab w:val="left" w:pos="4085"/>
        </w:tabs>
        <w:snapToGrid w:val="0"/>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16.</w:t>
      </w: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0</w:t>
      </w:r>
      <w:r>
        <w:rPr>
          <w:rFonts w:hint="eastAsia" w:ascii="宋体" w:hAnsi="宋体" w:cs="宋体"/>
          <w:b/>
          <w:bCs/>
          <w:color w:val="auto"/>
          <w:sz w:val="24"/>
          <w:szCs w:val="24"/>
          <w:highlight w:val="none"/>
        </w:rPr>
        <w:t>出现同一标的物或本次服务内的主要产品(重要组成部分)出现商务技术文件、报价文件资料描述不一致或前后描述不一致，经</w:t>
      </w:r>
      <w:r>
        <w:rPr>
          <w:rFonts w:hint="eastAsia" w:ascii="宋体" w:hAnsi="宋体" w:cs="宋体"/>
          <w:b/>
          <w:bCs/>
          <w:color w:val="auto"/>
          <w:sz w:val="24"/>
          <w:szCs w:val="24"/>
          <w:highlight w:val="none"/>
          <w:lang w:eastAsia="zh-CN"/>
        </w:rPr>
        <w:t>磋商小组</w:t>
      </w:r>
      <w:r>
        <w:rPr>
          <w:rFonts w:hint="eastAsia" w:ascii="宋体" w:hAnsi="宋体" w:cs="宋体"/>
          <w:b/>
          <w:bCs/>
          <w:color w:val="auto"/>
          <w:sz w:val="24"/>
          <w:szCs w:val="24"/>
          <w:highlight w:val="none"/>
        </w:rPr>
        <w:t>认定后为无法评审的；</w:t>
      </w:r>
    </w:p>
    <w:p w14:paraId="1A72CFB0">
      <w:pPr>
        <w:tabs>
          <w:tab w:val="left" w:pos="3870"/>
          <w:tab w:val="left" w:pos="4085"/>
        </w:tabs>
        <w:snapToGrid w:val="0"/>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16.</w:t>
      </w: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lang w:eastAsia="zh-CN"/>
        </w:rPr>
        <w:t>响应文件</w:t>
      </w:r>
      <w:r>
        <w:rPr>
          <w:rFonts w:hint="eastAsia" w:ascii="宋体" w:hAnsi="宋体" w:cs="宋体"/>
          <w:b/>
          <w:bCs/>
          <w:color w:val="auto"/>
          <w:sz w:val="24"/>
          <w:szCs w:val="24"/>
          <w:highlight w:val="none"/>
        </w:rPr>
        <w:t>含有采购人不能接受的附加条件；</w:t>
      </w:r>
    </w:p>
    <w:p w14:paraId="1151DD1C">
      <w:pPr>
        <w:tabs>
          <w:tab w:val="left" w:pos="3870"/>
          <w:tab w:val="left" w:pos="4085"/>
        </w:tabs>
        <w:snapToGrid w:val="0"/>
        <w:spacing w:line="360" w:lineRule="auto"/>
        <w:ind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16.</w:t>
      </w: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lang w:eastAsia="zh-CN"/>
        </w:rPr>
        <w:t>磋商小组</w:t>
      </w:r>
      <w:r>
        <w:rPr>
          <w:rFonts w:hint="eastAsia" w:ascii="宋体" w:hAnsi="宋体" w:cs="宋体"/>
          <w:b/>
          <w:bCs/>
          <w:color w:val="auto"/>
          <w:sz w:val="24"/>
          <w:szCs w:val="24"/>
          <w:highlight w:val="none"/>
        </w:rPr>
        <w:t>认为</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的报价明显低于其他通过符合性审查</w:t>
      </w:r>
      <w:r>
        <w:rPr>
          <w:rFonts w:hint="eastAsia" w:ascii="宋体" w:hAnsi="宋体" w:cs="宋体"/>
          <w:b/>
          <w:bCs/>
          <w:color w:val="auto"/>
          <w:sz w:val="24"/>
          <w:szCs w:val="24"/>
          <w:highlight w:val="none"/>
          <w:lang w:val="en-US" w:eastAsia="zh-CN"/>
        </w:rPr>
        <w:t>供应商</w:t>
      </w:r>
      <w:r>
        <w:rPr>
          <w:rFonts w:hint="eastAsia" w:ascii="宋体" w:hAnsi="宋体" w:cs="宋体"/>
          <w:b/>
          <w:bCs/>
          <w:color w:val="auto"/>
          <w:sz w:val="24"/>
          <w:szCs w:val="24"/>
          <w:highlight w:val="none"/>
        </w:rPr>
        <w:t>的报价，有可能影响产品质量或者不能诚信履约的，未能按要求提供书面说明或者提交相关证明材料证明其报价合理性的</w:t>
      </w:r>
      <w:r>
        <w:rPr>
          <w:rFonts w:hint="eastAsia" w:ascii="宋体" w:hAnsi="宋体" w:cs="宋体"/>
          <w:b/>
          <w:bCs/>
          <w:color w:val="auto"/>
          <w:sz w:val="24"/>
          <w:szCs w:val="24"/>
          <w:highlight w:val="none"/>
          <w:lang w:eastAsia="zh-CN"/>
        </w:rPr>
        <w:t>；</w:t>
      </w:r>
    </w:p>
    <w:p w14:paraId="52B1649A">
      <w:pPr>
        <w:tabs>
          <w:tab w:val="left" w:pos="3870"/>
          <w:tab w:val="left" w:pos="4085"/>
        </w:tabs>
        <w:snapToGrid w:val="0"/>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16.</w:t>
      </w: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rPr>
        <w:t>报价超过</w:t>
      </w:r>
      <w:r>
        <w:rPr>
          <w:rFonts w:hint="eastAsia" w:ascii="宋体" w:hAnsi="宋体" w:cs="宋体"/>
          <w:b/>
          <w:bCs/>
          <w:color w:val="auto"/>
          <w:sz w:val="24"/>
          <w:szCs w:val="24"/>
          <w:highlight w:val="none"/>
          <w:lang w:eastAsia="zh-CN"/>
        </w:rPr>
        <w:t>磋商文件</w:t>
      </w:r>
      <w:r>
        <w:rPr>
          <w:rFonts w:hint="eastAsia" w:ascii="宋体" w:hAnsi="宋体" w:cs="宋体"/>
          <w:b/>
          <w:bCs/>
          <w:color w:val="auto"/>
          <w:sz w:val="24"/>
          <w:szCs w:val="24"/>
          <w:highlight w:val="none"/>
        </w:rPr>
        <w:t>中规定的预算金额或最高限价的；</w:t>
      </w:r>
    </w:p>
    <w:p w14:paraId="0468F86D">
      <w:pPr>
        <w:tabs>
          <w:tab w:val="left" w:pos="3870"/>
          <w:tab w:val="left" w:pos="4085"/>
        </w:tabs>
        <w:snapToGrid w:val="0"/>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16.</w:t>
      </w: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lang w:eastAsia="zh-CN"/>
        </w:rPr>
        <w:t>响应文件“</w:t>
      </w:r>
      <w:r>
        <w:rPr>
          <w:rFonts w:hint="eastAsia" w:ascii="宋体" w:hAnsi="宋体" w:cs="宋体"/>
          <w:b/>
          <w:bCs/>
          <w:color w:val="auto"/>
          <w:sz w:val="24"/>
          <w:szCs w:val="24"/>
          <w:highlight w:val="none"/>
          <w:lang w:val="en-US" w:eastAsia="zh-CN"/>
        </w:rPr>
        <w:t>资格文件</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“商务技术文件”部分中出现《报价一览表》相关内容的；</w:t>
      </w:r>
    </w:p>
    <w:p w14:paraId="21EED33B">
      <w:pPr>
        <w:tabs>
          <w:tab w:val="left" w:pos="3870"/>
          <w:tab w:val="left" w:pos="4085"/>
        </w:tabs>
        <w:snapToGrid w:val="0"/>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16.</w:t>
      </w: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《报价一览表》填写不完整或字迹不能辨认或有漏项的，经</w:t>
      </w:r>
      <w:r>
        <w:rPr>
          <w:rFonts w:hint="eastAsia" w:ascii="宋体" w:hAnsi="宋体" w:cs="宋体"/>
          <w:b/>
          <w:bCs/>
          <w:color w:val="auto"/>
          <w:sz w:val="24"/>
          <w:szCs w:val="24"/>
          <w:highlight w:val="none"/>
          <w:lang w:eastAsia="zh-CN"/>
        </w:rPr>
        <w:t>磋商小组</w:t>
      </w:r>
      <w:r>
        <w:rPr>
          <w:rFonts w:hint="eastAsia" w:ascii="宋体" w:hAnsi="宋体" w:cs="宋体"/>
          <w:b/>
          <w:bCs/>
          <w:color w:val="auto"/>
          <w:sz w:val="24"/>
          <w:szCs w:val="24"/>
          <w:highlight w:val="none"/>
        </w:rPr>
        <w:t>认定属于重大偏差的；</w:t>
      </w:r>
    </w:p>
    <w:p w14:paraId="3EFA12D0">
      <w:pPr>
        <w:tabs>
          <w:tab w:val="left" w:pos="3870"/>
          <w:tab w:val="left" w:pos="4085"/>
        </w:tabs>
        <w:snapToGrid w:val="0"/>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16.</w:t>
      </w: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对根据修正原则修正后的报价不确认的；</w:t>
      </w:r>
    </w:p>
    <w:p w14:paraId="4B50835D">
      <w:pPr>
        <w:tabs>
          <w:tab w:val="left" w:pos="3870"/>
          <w:tab w:val="left" w:pos="4085"/>
        </w:tabs>
        <w:snapToGrid w:val="0"/>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16.</w:t>
      </w:r>
      <w:r>
        <w:rPr>
          <w:rFonts w:hint="eastAsia" w:ascii="宋体" w:hAnsi="宋体" w:cs="宋体"/>
          <w:b/>
          <w:bCs/>
          <w:color w:val="auto"/>
          <w:sz w:val="24"/>
          <w:szCs w:val="24"/>
          <w:highlight w:val="none"/>
          <w:lang w:val="en-US" w:eastAsia="zh-CN"/>
        </w:rPr>
        <w:t>17</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提供虚假材料投标的（包括但不限于以下情节）；</w:t>
      </w:r>
    </w:p>
    <w:p w14:paraId="3032DA99">
      <w:pPr>
        <w:tabs>
          <w:tab w:val="left" w:pos="3870"/>
          <w:tab w:val="left" w:pos="4085"/>
        </w:tabs>
        <w:snapToGrid w:val="0"/>
        <w:spacing w:line="360" w:lineRule="auto"/>
        <w:ind w:firstLine="480" w:firstLineChars="20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16.1</w:t>
      </w:r>
      <w:r>
        <w:rPr>
          <w:rFonts w:hint="eastAsia" w:ascii="宋体" w:hAnsi="宋体" w:cs="宋体"/>
          <w:b w:val="0"/>
          <w:bCs w:val="0"/>
          <w:color w:val="auto"/>
          <w:sz w:val="24"/>
          <w:szCs w:val="24"/>
          <w:highlight w:val="none"/>
          <w:lang w:val="en-US" w:eastAsia="zh-CN"/>
        </w:rPr>
        <w:t>7</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1使用伪造、变造的许可证件；</w:t>
      </w:r>
    </w:p>
    <w:p w14:paraId="7B1B78D5">
      <w:pPr>
        <w:tabs>
          <w:tab w:val="left" w:pos="3870"/>
          <w:tab w:val="left" w:pos="4085"/>
        </w:tabs>
        <w:snapToGrid w:val="0"/>
        <w:spacing w:line="360" w:lineRule="auto"/>
        <w:ind w:firstLine="480" w:firstLineChars="20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16.1</w:t>
      </w:r>
      <w:r>
        <w:rPr>
          <w:rFonts w:hint="eastAsia" w:ascii="宋体" w:hAnsi="宋体" w:cs="宋体"/>
          <w:b w:val="0"/>
          <w:bCs w:val="0"/>
          <w:color w:val="auto"/>
          <w:sz w:val="24"/>
          <w:szCs w:val="24"/>
          <w:highlight w:val="none"/>
          <w:lang w:val="en-US" w:eastAsia="zh-CN"/>
        </w:rPr>
        <w:t>7</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2提供虚假的财务状况或者业绩；</w:t>
      </w:r>
    </w:p>
    <w:p w14:paraId="4DB39AB3">
      <w:pPr>
        <w:tabs>
          <w:tab w:val="left" w:pos="3870"/>
          <w:tab w:val="left" w:pos="4085"/>
        </w:tabs>
        <w:snapToGrid w:val="0"/>
        <w:spacing w:line="360" w:lineRule="auto"/>
        <w:ind w:firstLine="480" w:firstLineChars="20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16.1</w:t>
      </w:r>
      <w:r>
        <w:rPr>
          <w:rFonts w:hint="eastAsia" w:ascii="宋体" w:hAnsi="宋体" w:cs="宋体"/>
          <w:b w:val="0"/>
          <w:bCs w:val="0"/>
          <w:color w:val="auto"/>
          <w:sz w:val="24"/>
          <w:szCs w:val="24"/>
          <w:highlight w:val="none"/>
          <w:lang w:val="en-US" w:eastAsia="zh-CN"/>
        </w:rPr>
        <w:t>7</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3提供虚假的项目负责人或者主要技术人员简历、劳动关系证明；</w:t>
      </w:r>
    </w:p>
    <w:p w14:paraId="4F7DB634">
      <w:pPr>
        <w:tabs>
          <w:tab w:val="left" w:pos="3870"/>
          <w:tab w:val="left" w:pos="4085"/>
        </w:tabs>
        <w:snapToGrid w:val="0"/>
        <w:spacing w:line="360" w:lineRule="auto"/>
        <w:ind w:firstLine="480" w:firstLineChars="20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16.1</w:t>
      </w:r>
      <w:r>
        <w:rPr>
          <w:rFonts w:hint="eastAsia" w:ascii="宋体" w:hAnsi="宋体" w:cs="宋体"/>
          <w:b w:val="0"/>
          <w:bCs w:val="0"/>
          <w:color w:val="auto"/>
          <w:sz w:val="24"/>
          <w:szCs w:val="24"/>
          <w:highlight w:val="none"/>
          <w:lang w:val="en-US" w:eastAsia="zh-CN"/>
        </w:rPr>
        <w:t>7</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4提供虚假的信用状况；</w:t>
      </w:r>
    </w:p>
    <w:p w14:paraId="5BE25EDB">
      <w:pPr>
        <w:tabs>
          <w:tab w:val="left" w:pos="3870"/>
          <w:tab w:val="left" w:pos="4085"/>
        </w:tabs>
        <w:snapToGrid w:val="0"/>
        <w:spacing w:line="360" w:lineRule="auto"/>
        <w:ind w:firstLine="480" w:firstLineChars="20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16.1</w:t>
      </w:r>
      <w:r>
        <w:rPr>
          <w:rFonts w:hint="eastAsia" w:ascii="宋体" w:hAnsi="宋体" w:cs="宋体"/>
          <w:b w:val="0"/>
          <w:bCs w:val="0"/>
          <w:color w:val="auto"/>
          <w:sz w:val="24"/>
          <w:szCs w:val="24"/>
          <w:highlight w:val="none"/>
          <w:lang w:val="en-US" w:eastAsia="zh-CN"/>
        </w:rPr>
        <w:t>7</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5其他弄虚作假的行为。</w:t>
      </w:r>
    </w:p>
    <w:p w14:paraId="47E46BC3">
      <w:pPr>
        <w:tabs>
          <w:tab w:val="left" w:pos="3870"/>
          <w:tab w:val="left" w:pos="4085"/>
        </w:tabs>
        <w:snapToGrid w:val="0"/>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16.</w:t>
      </w:r>
      <w:r>
        <w:rPr>
          <w:rFonts w:hint="eastAsia" w:ascii="宋体" w:hAnsi="宋体" w:cs="宋体"/>
          <w:b/>
          <w:bCs/>
          <w:color w:val="auto"/>
          <w:sz w:val="24"/>
          <w:szCs w:val="24"/>
          <w:highlight w:val="none"/>
          <w:lang w:val="en-US" w:eastAsia="zh-CN"/>
        </w:rPr>
        <w:t>18</w:t>
      </w:r>
      <w:r>
        <w:rPr>
          <w:rFonts w:hint="eastAsia" w:ascii="宋体" w:hAnsi="宋体" w:cs="宋体"/>
          <w:b/>
          <w:bCs/>
          <w:color w:val="auto"/>
          <w:sz w:val="24"/>
          <w:szCs w:val="24"/>
          <w:highlight w:val="none"/>
        </w:rPr>
        <w:t>下列情形之一的，视为</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串通投标，其投标无效：</w:t>
      </w:r>
    </w:p>
    <w:p w14:paraId="3954C3C8">
      <w:pPr>
        <w:tabs>
          <w:tab w:val="left" w:pos="3870"/>
          <w:tab w:val="left" w:pos="4085"/>
        </w:tabs>
        <w:snapToGrid w:val="0"/>
        <w:spacing w:line="360" w:lineRule="auto"/>
        <w:ind w:firstLine="480" w:firstLineChars="200"/>
        <w:jc w:val="left"/>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16.</w:t>
      </w:r>
      <w:r>
        <w:rPr>
          <w:rFonts w:hint="eastAsia" w:ascii="宋体" w:hAnsi="宋体" w:cs="宋体"/>
          <w:b w:val="0"/>
          <w:bCs w:val="0"/>
          <w:color w:val="auto"/>
          <w:sz w:val="24"/>
          <w:szCs w:val="24"/>
          <w:highlight w:val="none"/>
          <w:lang w:val="en-US" w:eastAsia="zh-CN"/>
        </w:rPr>
        <w:t>18</w:t>
      </w:r>
      <w:r>
        <w:rPr>
          <w:rFonts w:hint="eastAsia" w:ascii="宋体" w:hAnsi="宋体" w:cs="宋体"/>
          <w:b w:val="0"/>
          <w:bCs w:val="0"/>
          <w:color w:val="auto"/>
          <w:sz w:val="24"/>
          <w:szCs w:val="24"/>
          <w:highlight w:val="none"/>
          <w:lang w:eastAsia="zh-CN"/>
        </w:rPr>
        <w:t>.1不同供应商的响应文件由同一单位或者个人编制；</w:t>
      </w:r>
    </w:p>
    <w:p w14:paraId="0BF68B9F">
      <w:pPr>
        <w:tabs>
          <w:tab w:val="left" w:pos="3870"/>
          <w:tab w:val="left" w:pos="4085"/>
        </w:tabs>
        <w:snapToGrid w:val="0"/>
        <w:spacing w:line="360" w:lineRule="auto"/>
        <w:ind w:firstLine="480" w:firstLineChars="200"/>
        <w:jc w:val="left"/>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16.</w:t>
      </w:r>
      <w:r>
        <w:rPr>
          <w:rFonts w:hint="eastAsia" w:ascii="宋体" w:hAnsi="宋体" w:cs="宋体"/>
          <w:b w:val="0"/>
          <w:bCs w:val="0"/>
          <w:color w:val="auto"/>
          <w:sz w:val="24"/>
          <w:szCs w:val="24"/>
          <w:highlight w:val="none"/>
          <w:lang w:val="en-US" w:eastAsia="zh-CN"/>
        </w:rPr>
        <w:t>18</w:t>
      </w:r>
      <w:r>
        <w:rPr>
          <w:rFonts w:hint="eastAsia" w:ascii="宋体" w:hAnsi="宋体" w:cs="宋体"/>
          <w:b w:val="0"/>
          <w:bCs w:val="0"/>
          <w:color w:val="auto"/>
          <w:sz w:val="24"/>
          <w:szCs w:val="24"/>
          <w:highlight w:val="none"/>
          <w:lang w:eastAsia="zh-CN"/>
        </w:rPr>
        <w:t>.2不同供应商委托同一单位或者个人办理投标事宜；</w:t>
      </w:r>
    </w:p>
    <w:p w14:paraId="2555E4B9">
      <w:pPr>
        <w:tabs>
          <w:tab w:val="left" w:pos="3870"/>
          <w:tab w:val="left" w:pos="4085"/>
        </w:tabs>
        <w:snapToGrid w:val="0"/>
        <w:spacing w:line="360" w:lineRule="auto"/>
        <w:ind w:firstLine="480" w:firstLineChars="200"/>
        <w:jc w:val="left"/>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16.</w:t>
      </w:r>
      <w:r>
        <w:rPr>
          <w:rFonts w:hint="eastAsia" w:ascii="宋体" w:hAnsi="宋体" w:cs="宋体"/>
          <w:b w:val="0"/>
          <w:bCs w:val="0"/>
          <w:color w:val="auto"/>
          <w:sz w:val="24"/>
          <w:szCs w:val="24"/>
          <w:highlight w:val="none"/>
          <w:lang w:val="en-US" w:eastAsia="zh-CN"/>
        </w:rPr>
        <w:t>18</w:t>
      </w:r>
      <w:r>
        <w:rPr>
          <w:rFonts w:hint="eastAsia" w:ascii="宋体" w:hAnsi="宋体" w:cs="宋体"/>
          <w:b w:val="0"/>
          <w:bCs w:val="0"/>
          <w:color w:val="auto"/>
          <w:sz w:val="24"/>
          <w:szCs w:val="24"/>
          <w:highlight w:val="none"/>
          <w:lang w:eastAsia="zh-CN"/>
        </w:rPr>
        <w:t>.3不同供应商的响应文件载明的项目管理成员或者联系人员为同一人；</w:t>
      </w:r>
    </w:p>
    <w:p w14:paraId="444F137E">
      <w:pPr>
        <w:tabs>
          <w:tab w:val="left" w:pos="3870"/>
          <w:tab w:val="left" w:pos="4085"/>
        </w:tabs>
        <w:snapToGrid w:val="0"/>
        <w:spacing w:line="360" w:lineRule="auto"/>
        <w:ind w:firstLine="480" w:firstLineChars="200"/>
        <w:jc w:val="left"/>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16.</w:t>
      </w:r>
      <w:r>
        <w:rPr>
          <w:rFonts w:hint="eastAsia" w:ascii="宋体" w:hAnsi="宋体" w:cs="宋体"/>
          <w:b w:val="0"/>
          <w:bCs w:val="0"/>
          <w:color w:val="auto"/>
          <w:sz w:val="24"/>
          <w:szCs w:val="24"/>
          <w:highlight w:val="none"/>
          <w:lang w:val="en-US" w:eastAsia="zh-CN"/>
        </w:rPr>
        <w:t>18</w:t>
      </w:r>
      <w:r>
        <w:rPr>
          <w:rFonts w:hint="eastAsia" w:ascii="宋体" w:hAnsi="宋体" w:cs="宋体"/>
          <w:b w:val="0"/>
          <w:bCs w:val="0"/>
          <w:color w:val="auto"/>
          <w:sz w:val="24"/>
          <w:szCs w:val="24"/>
          <w:highlight w:val="none"/>
          <w:lang w:eastAsia="zh-CN"/>
        </w:rPr>
        <w:t>.4不同供应商的响应文件异常一致或者投标报价呈规律性差异；</w:t>
      </w:r>
    </w:p>
    <w:p w14:paraId="4D7F93A1">
      <w:pPr>
        <w:tabs>
          <w:tab w:val="left" w:pos="3870"/>
          <w:tab w:val="left" w:pos="4085"/>
        </w:tabs>
        <w:snapToGrid w:val="0"/>
        <w:spacing w:line="360" w:lineRule="auto"/>
        <w:ind w:firstLine="480" w:firstLineChars="200"/>
        <w:jc w:val="left"/>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16.</w:t>
      </w:r>
      <w:r>
        <w:rPr>
          <w:rFonts w:hint="eastAsia" w:ascii="宋体" w:hAnsi="宋体" w:cs="宋体"/>
          <w:b w:val="0"/>
          <w:bCs w:val="0"/>
          <w:color w:val="auto"/>
          <w:sz w:val="24"/>
          <w:szCs w:val="24"/>
          <w:highlight w:val="none"/>
          <w:lang w:val="en-US" w:eastAsia="zh-CN"/>
        </w:rPr>
        <w:t>18</w:t>
      </w:r>
      <w:r>
        <w:rPr>
          <w:rFonts w:hint="eastAsia" w:ascii="宋体" w:hAnsi="宋体" w:cs="宋体"/>
          <w:b w:val="0"/>
          <w:bCs w:val="0"/>
          <w:color w:val="auto"/>
          <w:sz w:val="24"/>
          <w:szCs w:val="24"/>
          <w:highlight w:val="none"/>
          <w:lang w:eastAsia="zh-CN"/>
        </w:rPr>
        <w:t>.5不同供应商的响应文件相互混装；</w:t>
      </w:r>
    </w:p>
    <w:p w14:paraId="0ABFABD8">
      <w:pPr>
        <w:tabs>
          <w:tab w:val="left" w:pos="3870"/>
          <w:tab w:val="left" w:pos="4085"/>
        </w:tabs>
        <w:snapToGrid w:val="0"/>
        <w:spacing w:line="360" w:lineRule="auto"/>
        <w:ind w:firstLine="480" w:firstLineChars="200"/>
        <w:jc w:val="left"/>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16.</w:t>
      </w:r>
      <w:r>
        <w:rPr>
          <w:rFonts w:hint="eastAsia" w:ascii="宋体" w:hAnsi="宋体" w:cs="宋体"/>
          <w:b w:val="0"/>
          <w:bCs w:val="0"/>
          <w:color w:val="auto"/>
          <w:sz w:val="24"/>
          <w:szCs w:val="24"/>
          <w:highlight w:val="none"/>
          <w:lang w:val="en-US" w:eastAsia="zh-CN"/>
        </w:rPr>
        <w:t>18</w:t>
      </w:r>
      <w:r>
        <w:rPr>
          <w:rFonts w:hint="eastAsia" w:ascii="宋体" w:hAnsi="宋体" w:cs="宋体"/>
          <w:b w:val="0"/>
          <w:bCs w:val="0"/>
          <w:color w:val="auto"/>
          <w:sz w:val="24"/>
          <w:szCs w:val="24"/>
          <w:highlight w:val="none"/>
          <w:lang w:eastAsia="zh-CN"/>
        </w:rPr>
        <w:t>.6有二份及二份以上响应文件的相互之间有特别相同或相似之处，且经询标澄清供应商无令人信服的理由和可靠证据证明其合理性的，经磋商小组半数以上成员确认有串通投标嫌疑的；</w:t>
      </w:r>
    </w:p>
    <w:p w14:paraId="356A7DEF">
      <w:pPr>
        <w:tabs>
          <w:tab w:val="left" w:pos="3870"/>
          <w:tab w:val="left" w:pos="4085"/>
        </w:tabs>
        <w:snapToGrid w:val="0"/>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16.</w:t>
      </w:r>
      <w:r>
        <w:rPr>
          <w:rFonts w:hint="eastAsia" w:ascii="宋体" w:hAnsi="宋体" w:cs="宋体"/>
          <w:b/>
          <w:bCs/>
          <w:color w:val="auto"/>
          <w:sz w:val="24"/>
          <w:szCs w:val="24"/>
          <w:highlight w:val="none"/>
          <w:lang w:val="en-US" w:eastAsia="zh-CN"/>
        </w:rPr>
        <w:t>19</w:t>
      </w:r>
      <w:r>
        <w:rPr>
          <w:rFonts w:hint="eastAsia" w:ascii="宋体" w:hAnsi="宋体" w:cs="宋体"/>
          <w:b/>
          <w:bCs/>
          <w:color w:val="auto"/>
          <w:sz w:val="24"/>
          <w:szCs w:val="24"/>
          <w:highlight w:val="none"/>
        </w:rPr>
        <w:t>有下列情形之一的，属于恶意串通，其投标无效：</w:t>
      </w:r>
    </w:p>
    <w:p w14:paraId="22BF636B">
      <w:pPr>
        <w:tabs>
          <w:tab w:val="left" w:pos="3870"/>
          <w:tab w:val="left" w:pos="4085"/>
        </w:tabs>
        <w:snapToGrid w:val="0"/>
        <w:spacing w:line="360" w:lineRule="auto"/>
        <w:ind w:firstLine="480" w:firstLineChars="200"/>
        <w:jc w:val="left"/>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16.</w:t>
      </w:r>
      <w:r>
        <w:rPr>
          <w:rFonts w:hint="eastAsia" w:ascii="宋体" w:hAnsi="宋体" w:cs="宋体"/>
          <w:b w:val="0"/>
          <w:bCs w:val="0"/>
          <w:color w:val="auto"/>
          <w:sz w:val="24"/>
          <w:szCs w:val="24"/>
          <w:highlight w:val="none"/>
          <w:lang w:val="en-US" w:eastAsia="zh-CN"/>
        </w:rPr>
        <w:t>19</w:t>
      </w:r>
      <w:r>
        <w:rPr>
          <w:rFonts w:hint="eastAsia" w:ascii="宋体" w:hAnsi="宋体" w:cs="宋体"/>
          <w:b w:val="0"/>
          <w:bCs w:val="0"/>
          <w:color w:val="auto"/>
          <w:sz w:val="24"/>
          <w:szCs w:val="24"/>
          <w:highlight w:val="none"/>
          <w:lang w:eastAsia="zh-CN"/>
        </w:rPr>
        <w:t>.1供应商直接或者间接从采购人或者采购机构处获得其他供应商的相关情况并修改其响应文件或者响应文件；</w:t>
      </w:r>
    </w:p>
    <w:p w14:paraId="57D59740">
      <w:pPr>
        <w:tabs>
          <w:tab w:val="left" w:pos="3870"/>
          <w:tab w:val="left" w:pos="4085"/>
        </w:tabs>
        <w:snapToGrid w:val="0"/>
        <w:spacing w:line="360" w:lineRule="auto"/>
        <w:ind w:firstLine="480" w:firstLineChars="200"/>
        <w:jc w:val="left"/>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16.</w:t>
      </w:r>
      <w:r>
        <w:rPr>
          <w:rFonts w:hint="eastAsia" w:ascii="宋体" w:hAnsi="宋体" w:cs="宋体"/>
          <w:b w:val="0"/>
          <w:bCs w:val="0"/>
          <w:color w:val="auto"/>
          <w:sz w:val="24"/>
          <w:szCs w:val="24"/>
          <w:highlight w:val="none"/>
          <w:lang w:val="en-US" w:eastAsia="zh-CN"/>
        </w:rPr>
        <w:t>19</w:t>
      </w:r>
      <w:r>
        <w:rPr>
          <w:rFonts w:hint="eastAsia" w:ascii="宋体" w:hAnsi="宋体" w:cs="宋体"/>
          <w:b w:val="0"/>
          <w:bCs w:val="0"/>
          <w:color w:val="auto"/>
          <w:sz w:val="24"/>
          <w:szCs w:val="24"/>
          <w:highlight w:val="none"/>
          <w:lang w:eastAsia="zh-CN"/>
        </w:rPr>
        <w:t>.2供应商按照采购人或者采购机构的授意撤换、修改响应文件或者响应文件；</w:t>
      </w:r>
    </w:p>
    <w:p w14:paraId="35665987">
      <w:pPr>
        <w:tabs>
          <w:tab w:val="left" w:pos="3870"/>
          <w:tab w:val="left" w:pos="4085"/>
        </w:tabs>
        <w:snapToGrid w:val="0"/>
        <w:spacing w:line="360" w:lineRule="auto"/>
        <w:ind w:firstLine="480" w:firstLineChars="200"/>
        <w:jc w:val="left"/>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16.</w:t>
      </w:r>
      <w:r>
        <w:rPr>
          <w:rFonts w:hint="eastAsia" w:ascii="宋体" w:hAnsi="宋体" w:cs="宋体"/>
          <w:b w:val="0"/>
          <w:bCs w:val="0"/>
          <w:color w:val="auto"/>
          <w:sz w:val="24"/>
          <w:szCs w:val="24"/>
          <w:highlight w:val="none"/>
          <w:lang w:val="en-US" w:eastAsia="zh-CN"/>
        </w:rPr>
        <w:t>19</w:t>
      </w:r>
      <w:r>
        <w:rPr>
          <w:rFonts w:hint="eastAsia" w:ascii="宋体" w:hAnsi="宋体" w:cs="宋体"/>
          <w:b w:val="0"/>
          <w:bCs w:val="0"/>
          <w:color w:val="auto"/>
          <w:sz w:val="24"/>
          <w:szCs w:val="24"/>
          <w:highlight w:val="none"/>
          <w:lang w:eastAsia="zh-CN"/>
        </w:rPr>
        <w:t>.3供应商之间协商报价、技术方案等响应文件或者响应文件的实质性内容；</w:t>
      </w:r>
    </w:p>
    <w:p w14:paraId="2BEDFEB0">
      <w:pPr>
        <w:tabs>
          <w:tab w:val="left" w:pos="3870"/>
          <w:tab w:val="left" w:pos="4085"/>
        </w:tabs>
        <w:snapToGrid w:val="0"/>
        <w:spacing w:line="360" w:lineRule="auto"/>
        <w:ind w:firstLine="480" w:firstLineChars="200"/>
        <w:jc w:val="left"/>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16.</w:t>
      </w:r>
      <w:r>
        <w:rPr>
          <w:rFonts w:hint="eastAsia" w:ascii="宋体" w:hAnsi="宋体" w:cs="宋体"/>
          <w:b w:val="0"/>
          <w:bCs w:val="0"/>
          <w:color w:val="auto"/>
          <w:sz w:val="24"/>
          <w:szCs w:val="24"/>
          <w:highlight w:val="none"/>
          <w:lang w:val="en-US" w:eastAsia="zh-CN"/>
        </w:rPr>
        <w:t>19</w:t>
      </w:r>
      <w:r>
        <w:rPr>
          <w:rFonts w:hint="eastAsia" w:ascii="宋体" w:hAnsi="宋体" w:cs="宋体"/>
          <w:b w:val="0"/>
          <w:bCs w:val="0"/>
          <w:color w:val="auto"/>
          <w:sz w:val="24"/>
          <w:szCs w:val="24"/>
          <w:highlight w:val="none"/>
          <w:lang w:eastAsia="zh-CN"/>
        </w:rPr>
        <w:t>.4属于同一集团、协会、商会等组织成员的供应商按照该组织要求协同参加政府采购活动；</w:t>
      </w:r>
    </w:p>
    <w:p w14:paraId="62EE25BB">
      <w:pPr>
        <w:tabs>
          <w:tab w:val="left" w:pos="3870"/>
          <w:tab w:val="left" w:pos="4085"/>
        </w:tabs>
        <w:snapToGrid w:val="0"/>
        <w:spacing w:line="360" w:lineRule="auto"/>
        <w:ind w:firstLine="480" w:firstLineChars="200"/>
        <w:jc w:val="left"/>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16.</w:t>
      </w:r>
      <w:r>
        <w:rPr>
          <w:rFonts w:hint="eastAsia" w:ascii="宋体" w:hAnsi="宋体" w:cs="宋体"/>
          <w:b w:val="0"/>
          <w:bCs w:val="0"/>
          <w:color w:val="auto"/>
          <w:sz w:val="24"/>
          <w:szCs w:val="24"/>
          <w:highlight w:val="none"/>
          <w:lang w:val="en-US" w:eastAsia="zh-CN"/>
        </w:rPr>
        <w:t>19</w:t>
      </w:r>
      <w:r>
        <w:rPr>
          <w:rFonts w:hint="eastAsia" w:ascii="宋体" w:hAnsi="宋体" w:cs="宋体"/>
          <w:b w:val="0"/>
          <w:bCs w:val="0"/>
          <w:color w:val="auto"/>
          <w:sz w:val="24"/>
          <w:szCs w:val="24"/>
          <w:highlight w:val="none"/>
          <w:lang w:eastAsia="zh-CN"/>
        </w:rPr>
        <w:t>.5供应商之间事先约定由某一特定供应商中标、成交；</w:t>
      </w:r>
    </w:p>
    <w:p w14:paraId="011C7ABA">
      <w:pPr>
        <w:tabs>
          <w:tab w:val="left" w:pos="3870"/>
          <w:tab w:val="left" w:pos="4085"/>
        </w:tabs>
        <w:snapToGrid w:val="0"/>
        <w:spacing w:line="360" w:lineRule="auto"/>
        <w:ind w:firstLine="480" w:firstLineChars="200"/>
        <w:jc w:val="left"/>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16.</w:t>
      </w:r>
      <w:r>
        <w:rPr>
          <w:rFonts w:hint="eastAsia" w:ascii="宋体" w:hAnsi="宋体" w:cs="宋体"/>
          <w:b w:val="0"/>
          <w:bCs w:val="0"/>
          <w:color w:val="auto"/>
          <w:sz w:val="24"/>
          <w:szCs w:val="24"/>
          <w:highlight w:val="none"/>
          <w:lang w:val="en-US" w:eastAsia="zh-CN"/>
        </w:rPr>
        <w:t>19</w:t>
      </w:r>
      <w:r>
        <w:rPr>
          <w:rFonts w:hint="eastAsia" w:ascii="宋体" w:hAnsi="宋体" w:cs="宋体"/>
          <w:b w:val="0"/>
          <w:bCs w:val="0"/>
          <w:color w:val="auto"/>
          <w:sz w:val="24"/>
          <w:szCs w:val="24"/>
          <w:highlight w:val="none"/>
          <w:lang w:eastAsia="zh-CN"/>
        </w:rPr>
        <w:t>.6供应商之间商定部分供应商放弃参加政府采购活动或者放弃中标、成交；</w:t>
      </w:r>
    </w:p>
    <w:p w14:paraId="76D0D646">
      <w:pPr>
        <w:tabs>
          <w:tab w:val="left" w:pos="3870"/>
          <w:tab w:val="left" w:pos="4085"/>
        </w:tabs>
        <w:snapToGrid w:val="0"/>
        <w:spacing w:line="360" w:lineRule="auto"/>
        <w:ind w:firstLine="480" w:firstLineChars="200"/>
        <w:jc w:val="left"/>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16.</w:t>
      </w:r>
      <w:r>
        <w:rPr>
          <w:rFonts w:hint="eastAsia" w:ascii="宋体" w:hAnsi="宋体" w:cs="宋体"/>
          <w:b w:val="0"/>
          <w:bCs w:val="0"/>
          <w:color w:val="auto"/>
          <w:sz w:val="24"/>
          <w:szCs w:val="24"/>
          <w:highlight w:val="none"/>
          <w:lang w:val="en-US" w:eastAsia="zh-CN"/>
        </w:rPr>
        <w:t>19</w:t>
      </w:r>
      <w:r>
        <w:rPr>
          <w:rFonts w:hint="eastAsia" w:ascii="宋体" w:hAnsi="宋体" w:cs="宋体"/>
          <w:b w:val="0"/>
          <w:bCs w:val="0"/>
          <w:color w:val="auto"/>
          <w:sz w:val="24"/>
          <w:szCs w:val="24"/>
          <w:highlight w:val="none"/>
          <w:lang w:eastAsia="zh-CN"/>
        </w:rPr>
        <w:t>.7供应商与采购人或者采购机构之间、供应商相互之间，为谋求特定供应商中标、成交或者排斥其他供应商的其他串通行为。</w:t>
      </w:r>
    </w:p>
    <w:p w14:paraId="636EA6A5">
      <w:pPr>
        <w:tabs>
          <w:tab w:val="left" w:pos="3870"/>
          <w:tab w:val="left" w:pos="4085"/>
        </w:tabs>
        <w:snapToGrid w:val="0"/>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16.</w:t>
      </w: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0</w:t>
      </w:r>
      <w:r>
        <w:rPr>
          <w:rFonts w:hint="eastAsia" w:ascii="宋体" w:hAnsi="宋体" w:cs="宋体"/>
          <w:b/>
          <w:bCs/>
          <w:color w:val="auto"/>
          <w:sz w:val="24"/>
          <w:szCs w:val="24"/>
          <w:highlight w:val="none"/>
          <w:lang w:eastAsia="zh-CN"/>
        </w:rPr>
        <w:t>磋商小组</w:t>
      </w:r>
      <w:r>
        <w:rPr>
          <w:rFonts w:hint="eastAsia" w:ascii="宋体" w:hAnsi="宋体" w:cs="宋体"/>
          <w:b/>
          <w:bCs/>
          <w:color w:val="auto"/>
          <w:sz w:val="24"/>
          <w:szCs w:val="24"/>
          <w:highlight w:val="none"/>
        </w:rPr>
        <w:t>认定有重大偏差或实质性不响应</w:t>
      </w:r>
      <w:r>
        <w:rPr>
          <w:rFonts w:hint="eastAsia" w:ascii="宋体" w:hAnsi="宋体" w:cs="宋体"/>
          <w:b/>
          <w:bCs/>
          <w:color w:val="auto"/>
          <w:sz w:val="24"/>
          <w:szCs w:val="24"/>
          <w:highlight w:val="none"/>
          <w:lang w:eastAsia="zh-CN"/>
        </w:rPr>
        <w:t>磋商文件</w:t>
      </w:r>
      <w:r>
        <w:rPr>
          <w:rFonts w:hint="eastAsia" w:ascii="宋体" w:hAnsi="宋体" w:cs="宋体"/>
          <w:b/>
          <w:bCs/>
          <w:color w:val="auto"/>
          <w:sz w:val="24"/>
          <w:szCs w:val="24"/>
          <w:highlight w:val="none"/>
        </w:rPr>
        <w:t>要求的；</w:t>
      </w:r>
    </w:p>
    <w:p w14:paraId="477FB658">
      <w:pPr>
        <w:tabs>
          <w:tab w:val="left" w:pos="3870"/>
          <w:tab w:val="left" w:pos="4085"/>
        </w:tabs>
        <w:snapToGrid w:val="0"/>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16.</w:t>
      </w: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lang w:eastAsia="zh-CN"/>
        </w:rPr>
        <w:t>响应文件</w:t>
      </w:r>
      <w:r>
        <w:rPr>
          <w:rFonts w:hint="eastAsia" w:ascii="宋体" w:hAnsi="宋体" w:cs="宋体"/>
          <w:b/>
          <w:bCs/>
          <w:color w:val="auto"/>
          <w:sz w:val="24"/>
          <w:szCs w:val="24"/>
          <w:highlight w:val="none"/>
        </w:rPr>
        <w:t>出现不是唯一的、有选择性投标报价的；</w:t>
      </w:r>
    </w:p>
    <w:p w14:paraId="4A7AAB3E">
      <w:pPr>
        <w:tabs>
          <w:tab w:val="left" w:pos="3870"/>
          <w:tab w:val="left" w:pos="4085"/>
        </w:tabs>
        <w:snapToGrid w:val="0"/>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16.</w:t>
      </w: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参与同一个采购包(标段)的供应商存在下列情形之一的其投标(响应)文件无效:</w:t>
      </w:r>
    </w:p>
    <w:p w14:paraId="0FEF01C1">
      <w:pPr>
        <w:tabs>
          <w:tab w:val="left" w:pos="3870"/>
          <w:tab w:val="left" w:pos="4085"/>
        </w:tabs>
        <w:snapToGrid w:val="0"/>
        <w:spacing w:line="360" w:lineRule="auto"/>
        <w:ind w:firstLine="480" w:firstLineChars="200"/>
        <w:jc w:val="left"/>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16.2</w:t>
      </w:r>
      <w:r>
        <w:rPr>
          <w:rFonts w:hint="eastAsia" w:ascii="宋体" w:hAnsi="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eastAsia="zh-CN"/>
        </w:rPr>
        <w:t>.1不同供应商的电子投标(响应)文件上传计算机的网卡MAC地址、CPU序列号和硬盘序列号等硬件信息相同的；</w:t>
      </w:r>
    </w:p>
    <w:p w14:paraId="26336267">
      <w:pPr>
        <w:tabs>
          <w:tab w:val="left" w:pos="3870"/>
          <w:tab w:val="left" w:pos="4085"/>
        </w:tabs>
        <w:snapToGrid w:val="0"/>
        <w:spacing w:line="360" w:lineRule="auto"/>
        <w:ind w:firstLine="480" w:firstLineChars="200"/>
        <w:jc w:val="left"/>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16.2</w:t>
      </w:r>
      <w:r>
        <w:rPr>
          <w:rFonts w:hint="eastAsia" w:ascii="宋体" w:hAnsi="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eastAsia="zh-CN"/>
        </w:rPr>
        <w:t>.2上传的电子投标(响应)文件若出现使用本项目其他投标(响应)供应商的数字证书加密的，或者加盖本项目其他投标(响应)供应商的电子印章的；</w:t>
      </w:r>
    </w:p>
    <w:p w14:paraId="11571C61">
      <w:pPr>
        <w:tabs>
          <w:tab w:val="left" w:pos="3870"/>
          <w:tab w:val="left" w:pos="4085"/>
        </w:tabs>
        <w:snapToGrid w:val="0"/>
        <w:spacing w:line="360" w:lineRule="auto"/>
        <w:ind w:firstLine="480" w:firstLineChars="200"/>
        <w:jc w:val="left"/>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16.2</w:t>
      </w:r>
      <w:r>
        <w:rPr>
          <w:rFonts w:hint="eastAsia" w:ascii="宋体" w:hAnsi="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eastAsia="zh-CN"/>
        </w:rPr>
        <w:t>.3不同供应商的投标(响应)文件的内容存在三处(含)以上错误一致，且无法合理解释的；</w:t>
      </w:r>
    </w:p>
    <w:p w14:paraId="6F29AB08">
      <w:pPr>
        <w:tabs>
          <w:tab w:val="left" w:pos="3870"/>
          <w:tab w:val="left" w:pos="4085"/>
        </w:tabs>
        <w:snapToGrid w:val="0"/>
        <w:spacing w:line="360" w:lineRule="auto"/>
        <w:ind w:firstLine="480" w:firstLineChars="200"/>
        <w:jc w:val="left"/>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16.2</w:t>
      </w:r>
      <w:r>
        <w:rPr>
          <w:rFonts w:hint="eastAsia" w:ascii="宋体" w:hAnsi="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eastAsia="zh-CN"/>
        </w:rPr>
        <w:t>.4不同供应商联系人为同一人或不同联系人的联系电话一致，且无法合理解释的。</w:t>
      </w:r>
    </w:p>
    <w:p w14:paraId="1B21619A">
      <w:pPr>
        <w:tabs>
          <w:tab w:val="left" w:pos="3870"/>
          <w:tab w:val="left" w:pos="4085"/>
        </w:tabs>
        <w:snapToGrid w:val="0"/>
        <w:spacing w:line="360" w:lineRule="auto"/>
        <w:ind w:firstLine="482" w:firstLineChars="200"/>
        <w:jc w:val="lef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eastAsia="zh-CN"/>
        </w:rPr>
        <w:t>16.</w:t>
      </w: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3供应商在规定时间30分钟内未提交第二次报价的；</w:t>
      </w:r>
    </w:p>
    <w:p w14:paraId="70113956">
      <w:pPr>
        <w:tabs>
          <w:tab w:val="left" w:pos="3870"/>
          <w:tab w:val="left" w:pos="4085"/>
        </w:tabs>
        <w:snapToGrid w:val="0"/>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lang w:eastAsia="zh-CN"/>
        </w:rPr>
        <w:t>16.</w:t>
      </w: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rPr>
        <w:t>其他违反法律、法规的情形。</w:t>
      </w:r>
    </w:p>
    <w:p w14:paraId="7410E3BA">
      <w:pPr>
        <w:pStyle w:val="3"/>
        <w:spacing w:line="360" w:lineRule="auto"/>
        <w:rPr>
          <w:rFonts w:hint="eastAsia"/>
          <w:color w:val="auto"/>
          <w:highlight w:val="none"/>
        </w:rPr>
      </w:pPr>
    </w:p>
    <w:p w14:paraId="61BD59CF">
      <w:pPr>
        <w:pStyle w:val="3"/>
        <w:numPr>
          <w:ilvl w:val="0"/>
          <w:numId w:val="7"/>
        </w:numPr>
        <w:spacing w:line="360" w:lineRule="auto"/>
        <w:jc w:val="center"/>
        <w:rPr>
          <w:rFonts w:cs="Times New Roman"/>
          <w:color w:val="auto"/>
          <w:highlight w:val="none"/>
        </w:rPr>
      </w:pPr>
      <w:r>
        <w:rPr>
          <w:color w:val="auto"/>
          <w:highlight w:val="none"/>
        </w:rPr>
        <w:t xml:space="preserve"> </w:t>
      </w:r>
      <w:bookmarkStart w:id="87" w:name="_Toc6023"/>
      <w:bookmarkStart w:id="88" w:name="_Toc7592"/>
      <w:bookmarkStart w:id="89" w:name="_Toc6004"/>
      <w:bookmarkStart w:id="90" w:name="_Toc21752"/>
      <w:bookmarkStart w:id="91" w:name="_Toc21503"/>
      <w:r>
        <w:rPr>
          <w:rFonts w:hint="eastAsia"/>
          <w:color w:val="auto"/>
          <w:highlight w:val="none"/>
        </w:rPr>
        <w:t>采购中止的情形</w:t>
      </w:r>
      <w:bookmarkEnd w:id="87"/>
      <w:bookmarkEnd w:id="88"/>
      <w:bookmarkEnd w:id="89"/>
      <w:bookmarkEnd w:id="90"/>
      <w:bookmarkEnd w:id="91"/>
    </w:p>
    <w:p w14:paraId="3467C114">
      <w:pPr>
        <w:pStyle w:val="15"/>
        <w:spacing w:line="360" w:lineRule="auto"/>
        <w:ind w:left="400" w:leftChars="200"/>
        <w:rPr>
          <w:rFonts w:hAnsi="宋体" w:cs="Times New Roman"/>
          <w:b/>
          <w:bCs/>
          <w:color w:val="auto"/>
          <w:sz w:val="24"/>
          <w:szCs w:val="24"/>
          <w:highlight w:val="none"/>
        </w:rPr>
      </w:pPr>
      <w:r>
        <w:rPr>
          <w:rFonts w:hAnsi="宋体"/>
          <w:b/>
          <w:bCs/>
          <w:color w:val="auto"/>
          <w:sz w:val="24"/>
          <w:szCs w:val="24"/>
          <w:highlight w:val="none"/>
        </w:rPr>
        <w:t>17</w:t>
      </w:r>
      <w:r>
        <w:rPr>
          <w:rFonts w:hint="eastAsia" w:hAnsi="宋体"/>
          <w:b/>
          <w:bCs/>
          <w:color w:val="auto"/>
          <w:sz w:val="24"/>
          <w:szCs w:val="24"/>
          <w:highlight w:val="none"/>
        </w:rPr>
        <w:t>、</w:t>
      </w:r>
      <w:r>
        <w:rPr>
          <w:rFonts w:hint="eastAsia" w:hAnsi="宋体"/>
          <w:b/>
          <w:bCs/>
          <w:color w:val="auto"/>
          <w:sz w:val="24"/>
          <w:szCs w:val="24"/>
          <w:highlight w:val="none"/>
          <w:lang w:val="zh-CN"/>
        </w:rPr>
        <w:t>中止电子交易活动和</w:t>
      </w:r>
      <w:r>
        <w:rPr>
          <w:rFonts w:hint="eastAsia" w:hAnsi="宋体"/>
          <w:b/>
          <w:bCs/>
          <w:color w:val="auto"/>
          <w:sz w:val="24"/>
          <w:szCs w:val="24"/>
          <w:highlight w:val="none"/>
        </w:rPr>
        <w:t>重新组织采购</w:t>
      </w:r>
    </w:p>
    <w:p w14:paraId="7F2BC38F">
      <w:pPr>
        <w:pStyle w:val="61"/>
        <w:tabs>
          <w:tab w:val="left" w:pos="0"/>
        </w:tabs>
        <w:spacing w:before="0" w:line="360" w:lineRule="auto"/>
        <w:ind w:left="400" w:leftChars="200" w:firstLine="0" w:firstLineChars="0"/>
        <w:rPr>
          <w:rFonts w:ascii="宋体"/>
          <w:color w:val="auto"/>
          <w:highlight w:val="none"/>
          <w:lang w:val="zh-CN"/>
        </w:rPr>
      </w:pPr>
      <w:r>
        <w:rPr>
          <w:rFonts w:ascii="宋体" w:hAnsi="宋体" w:cs="宋体"/>
          <w:color w:val="auto"/>
          <w:highlight w:val="none"/>
        </w:rPr>
        <w:t>17.1</w:t>
      </w:r>
      <w:r>
        <w:rPr>
          <w:rFonts w:hint="eastAsia" w:ascii="宋体" w:hAnsi="宋体" w:cs="宋体"/>
          <w:color w:val="auto"/>
          <w:highlight w:val="none"/>
          <w:lang w:val="zh-CN"/>
        </w:rPr>
        <w:t>采购过程中出现以下情形，导致电子交易平台无法正常运行，或者无法保证电子交易的公平、公正和安全时，采购组织机构可中止电子交易活动：</w:t>
      </w:r>
    </w:p>
    <w:p w14:paraId="77421D32">
      <w:pPr>
        <w:numPr>
          <w:ilvl w:val="0"/>
          <w:numId w:val="13"/>
        </w:numPr>
        <w:tabs>
          <w:tab w:val="left" w:pos="0"/>
        </w:tabs>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电子交易平台发生故障而无法登录访问的；</w:t>
      </w:r>
      <w:r>
        <w:rPr>
          <w:rFonts w:ascii="宋体" w:hAnsi="宋体" w:cs="宋体"/>
          <w:color w:val="auto"/>
          <w:sz w:val="24"/>
          <w:szCs w:val="24"/>
          <w:highlight w:val="none"/>
        </w:rPr>
        <w:t xml:space="preserve"> </w:t>
      </w:r>
    </w:p>
    <w:p w14:paraId="09339529">
      <w:pPr>
        <w:numPr>
          <w:ilvl w:val="0"/>
          <w:numId w:val="13"/>
        </w:numPr>
        <w:tabs>
          <w:tab w:val="left" w:pos="0"/>
        </w:tabs>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电子交易平台应用或数据库出现错误，不能进行正常操作的；</w:t>
      </w:r>
    </w:p>
    <w:p w14:paraId="68E90D69">
      <w:pPr>
        <w:numPr>
          <w:ilvl w:val="0"/>
          <w:numId w:val="13"/>
        </w:numPr>
        <w:tabs>
          <w:tab w:val="left" w:pos="0"/>
        </w:tabs>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电子交易平台发现严重安全漏洞，有潜在泄密危险的；</w:t>
      </w:r>
    </w:p>
    <w:p w14:paraId="6138F95F">
      <w:pPr>
        <w:numPr>
          <w:ilvl w:val="0"/>
          <w:numId w:val="13"/>
        </w:numPr>
        <w:tabs>
          <w:tab w:val="left" w:pos="0"/>
        </w:tabs>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病毒发作导致不能进行正常操作的；</w:t>
      </w:r>
      <w:r>
        <w:rPr>
          <w:rFonts w:ascii="宋体" w:hAnsi="宋体" w:cs="宋体"/>
          <w:color w:val="auto"/>
          <w:sz w:val="24"/>
          <w:szCs w:val="24"/>
          <w:highlight w:val="none"/>
        </w:rPr>
        <w:t xml:space="preserve"> </w:t>
      </w:r>
    </w:p>
    <w:p w14:paraId="378F44F6">
      <w:pPr>
        <w:numPr>
          <w:ilvl w:val="0"/>
          <w:numId w:val="13"/>
        </w:numPr>
        <w:tabs>
          <w:tab w:val="left" w:pos="0"/>
        </w:tabs>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其他无法保证电子交易的公平、公正和安全的情况。</w:t>
      </w:r>
    </w:p>
    <w:p w14:paraId="6F289489">
      <w:pPr>
        <w:pStyle w:val="61"/>
        <w:tabs>
          <w:tab w:val="left" w:pos="0"/>
        </w:tabs>
        <w:spacing w:before="0" w:line="360" w:lineRule="auto"/>
        <w:ind w:firstLine="480"/>
        <w:rPr>
          <w:rFonts w:hint="eastAsia" w:ascii="宋体" w:hAnsi="宋体" w:cs="宋体"/>
          <w:color w:val="auto"/>
          <w:highlight w:val="none"/>
        </w:rPr>
      </w:pPr>
      <w:r>
        <w:rPr>
          <w:rFonts w:ascii="宋体" w:hAnsi="宋体" w:cs="宋体"/>
          <w:color w:val="auto"/>
          <w:highlight w:val="none"/>
        </w:rPr>
        <w:t>17.2</w:t>
      </w:r>
      <w:r>
        <w:rPr>
          <w:rFonts w:hint="eastAsia" w:ascii="宋体" w:hAnsi="宋体" w:cs="宋体"/>
          <w:color w:val="auto"/>
          <w:highlight w:val="none"/>
        </w:rPr>
        <w:t>磋商小组发现磋商文件存在歧义、重大缺陷导致评标工作无法进行，或者磋商文件内容违反国家有关强制性规定的，将停止评标工作，并与采购人、采购代理机构沟通并作书面记录。采购人、采购代理机构确认后，将修改磋商文件，重新组织采购活动。</w:t>
      </w:r>
    </w:p>
    <w:p w14:paraId="544B4606">
      <w:pPr>
        <w:pStyle w:val="61"/>
        <w:tabs>
          <w:tab w:val="left" w:pos="0"/>
        </w:tabs>
        <w:spacing w:before="0" w:line="360" w:lineRule="auto"/>
        <w:ind w:firstLine="480"/>
        <w:rPr>
          <w:rFonts w:hint="eastAsia" w:ascii="宋体" w:hAnsi="宋体" w:cs="宋体"/>
          <w:color w:val="auto"/>
          <w:highlight w:val="none"/>
        </w:rPr>
      </w:pPr>
    </w:p>
    <w:p w14:paraId="35996DF7">
      <w:pPr>
        <w:pStyle w:val="3"/>
        <w:numPr>
          <w:ilvl w:val="0"/>
          <w:numId w:val="7"/>
        </w:numPr>
        <w:spacing w:line="360" w:lineRule="auto"/>
        <w:jc w:val="center"/>
        <w:rPr>
          <w:color w:val="auto"/>
          <w:highlight w:val="none"/>
        </w:rPr>
      </w:pPr>
      <w:bookmarkStart w:id="92" w:name="_Toc18364"/>
      <w:bookmarkStart w:id="93" w:name="_Toc22630"/>
      <w:bookmarkStart w:id="94" w:name="_Toc21421"/>
      <w:bookmarkStart w:id="95" w:name="_Toc14366"/>
      <w:r>
        <w:rPr>
          <w:rFonts w:hint="eastAsia"/>
          <w:color w:val="auto"/>
          <w:highlight w:val="none"/>
        </w:rPr>
        <w:t>询问、质疑与投诉</w:t>
      </w:r>
      <w:bookmarkEnd w:id="92"/>
      <w:bookmarkEnd w:id="93"/>
      <w:bookmarkEnd w:id="94"/>
      <w:bookmarkEnd w:id="95"/>
    </w:p>
    <w:p w14:paraId="24600706">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在线询问、质疑、投诉</w:t>
      </w:r>
    </w:p>
    <w:p w14:paraId="18F6FA11">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根据《浙江省政府采购询问和质疑实施办法》（浙财采监〔2025〕11 号）文件要求，供应商可以通过电子交易平台向采购人、采购代理机构提出询问和质疑。鼓励供应商在线提起询问，路径为：政采云-项目采购-询问质疑投诉-询问列表，鼓励供应商在线提起质疑，路径为：政采云-项目采购-询问质疑投诉-质疑列表。根据《浙江省政府采购行政裁决工作规程》的通知（浙财采监〔2025〕7号）文件关于“健全行政裁决机制”要求，质疑供应商对在线质疑答复不满意的，可在线提起投诉，路径为：政采云-项目采购-询问质疑投诉-投诉列表或浙江政务服务网-政府采购投诉处理-在线办理。</w:t>
      </w:r>
    </w:p>
    <w:p w14:paraId="69507345">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供应商询问</w:t>
      </w:r>
    </w:p>
    <w:p w14:paraId="36C6F196">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政府采购活动事项有疑问的，可以提出询问，采购人或者采购代理机构应当在3个工作日内对供应商依法提出的询问作出答复，但答复的内容不得提供有差别的项目信息、错误解释说明、不作明确解释说明、不得涉及商业秘密或影响采购公平、公正的其他行为。供应商提出的询问超出采购人对采购代理机构委托授权范围的，采购代理机构应当告知供应商向采购人提出。供应商通过电话、现场提出询问的，采购人、采购代理机构可通过电话、现场直接答复。询问答复实质上改变了采购文件内容且影响或者可能影响供应商编制投标（响应）文件的，采购人或者采购代理机构应对采购文件进行必要的澄清或者修改，并按规定公告以及通知相关当事人。</w:t>
      </w:r>
    </w:p>
    <w:p w14:paraId="2D8654D1">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供应商质疑</w:t>
      </w:r>
    </w:p>
    <w:p w14:paraId="709C630A">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.1质疑提出时效</w:t>
      </w:r>
    </w:p>
    <w:p w14:paraId="6B9D291C">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.1.1提出质疑的供应商应当是参与所质疑项目采购活动的供应商。潜在供应商已依法获取其可质疑的采购文件的，可以对该文件提出质疑。</w:t>
      </w:r>
    </w:p>
    <w:p w14:paraId="221E6C7D">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1.2供应商认为采购文件、采购过程和成交结果使自己的权益受到损害的，可以在知道或者应知其权益受到损害之日起七个工作日内，鼓励用在线或以书面形式向采购人或者采购代理机构提出质疑，否则，采购人或者采购代理机构不予受理：</w:t>
      </w:r>
    </w:p>
    <w:p w14:paraId="290046E3">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.1.2.1对采购文件提出质疑的，质疑期限为供应商获得采购文件之日或者采购文件公告期限届满之日起计算，采购文件在获取截止之日后获得的，应当自采购文件公告期限届满之日起计算。</w:t>
      </w:r>
    </w:p>
    <w:p w14:paraId="70EF1C36">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.1.2.2对采购过程提出质疑的，质疑期限为各采购程序环节结束之日起计算。</w:t>
      </w:r>
    </w:p>
    <w:p w14:paraId="68F16387">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.1.2.3对采购结果提出质疑的，质疑期限自采购结果公告期限届满之日起计算。</w:t>
      </w:r>
    </w:p>
    <w:p w14:paraId="699CD82F">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.1.2.4对同一采购程序环节的质疑，供应商须一次性提出。</w:t>
      </w:r>
    </w:p>
    <w:p w14:paraId="521033E3">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.1.2.5采购文件、采购过程、中标或者成交结果发生澄清、修改、更正的，对经澄清、修改、更正的部分内容提出质疑的，为通知送达供应商之日或者澄清公告、更正公告发布之日。</w:t>
      </w:r>
    </w:p>
    <w:p w14:paraId="7CA81063">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.1.2.6项目设立、项目预算、采购方式、组织形式、进口产品核准、采购需求调查过程、专门面向中小企业采购、合同履约等不属于可质疑事项。</w:t>
      </w:r>
    </w:p>
    <w:p w14:paraId="1710D7DA">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.2质疑函</w:t>
      </w:r>
    </w:p>
    <w:p w14:paraId="1730A78E">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.2.1供应商提出质疑应当提交质疑函和必要的证明材料。质疑函应当包括下列内容：</w:t>
      </w:r>
    </w:p>
    <w:p w14:paraId="2EE836F9">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供应商的姓名或者名称、地址、邮编、联系人及联系电话；</w:t>
      </w:r>
    </w:p>
    <w:p w14:paraId="5F1B6AF8">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质疑项目的名称、编号；</w:t>
      </w:r>
    </w:p>
    <w:p w14:paraId="7B494C9A">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具体、明确的质疑事项和与质疑事项相关的请求；</w:t>
      </w:r>
    </w:p>
    <w:p w14:paraId="0A0C3529">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p>
    <w:p w14:paraId="74DD56D0">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必要的法律依据；</w:t>
      </w:r>
    </w:p>
    <w:p w14:paraId="01ADADDF">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提出质疑的日期。</w:t>
      </w:r>
    </w:p>
    <w:p w14:paraId="6AE87FFB">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供应商提交的质疑函需一式三份。供应商为自然人的，应当由本人签字；供应商为法人或者其他组织的，应当由法定代表人、主要负责人，或者其授权代表签字或者盖章，并加盖公章。</w:t>
      </w:r>
    </w:p>
    <w:p w14:paraId="16D1A182">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供应商通过电子交易平台提交质疑函的，提出质疑日期为质疑函在电子交易平台提交当日。质疑供应商通过邮寄提交质疑函的，质疑供应商应在质疑期内交邮，并承担邮寄费用。质疑供应商现场递交质疑函的，采购人、采购代理机构应向质疑供应商出具签收回执，注明接收日期。</w:t>
      </w:r>
    </w:p>
    <w:p w14:paraId="152F6C01">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供应商不得通过提出质疑、撤回质疑等方式谋取不正当利益，实施敲诈勒索、强迫交易的，依法承担法律责任。</w:t>
      </w:r>
    </w:p>
    <w:p w14:paraId="363449A8">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供应商投诉</w:t>
      </w:r>
    </w:p>
    <w:p w14:paraId="4C8DEA92">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.1质疑供应商对采购人或采购代理机构的答复不满意或者采购人、采购代理机构未在规定的时间内作出答复的，可以在答复期满后十五个工作日内向同级政府采购监督管理部门提出投诉。</w:t>
      </w:r>
    </w:p>
    <w:p w14:paraId="57406307">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.2供应商投诉的事项不得超出已质疑事项的范围，基于质疑答复内容提出的投诉事项除外。</w:t>
      </w:r>
    </w:p>
    <w:p w14:paraId="3370B1A5">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.3供应商投诉应当有明确的请求和必要的证明材料。</w:t>
      </w:r>
    </w:p>
    <w:p w14:paraId="5386B288">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.4以联合体形式参加政府采购活动的，其投诉应当由组成联合体的所有供应商共同提出。</w:t>
      </w:r>
    </w:p>
    <w:p w14:paraId="6DAA04BD">
      <w:pPr>
        <w:pStyle w:val="61"/>
        <w:tabs>
          <w:tab w:val="left" w:pos="0"/>
        </w:tabs>
        <w:spacing w:before="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.5供应商在全国范围12个月内三次以上质疑不成立提起投诉查无实据的，由财政部门列入不良行为记录名单。</w:t>
      </w:r>
    </w:p>
    <w:p w14:paraId="01DB1116">
      <w:pPr>
        <w:pStyle w:val="61"/>
        <w:tabs>
          <w:tab w:val="left" w:pos="0"/>
        </w:tabs>
        <w:spacing w:before="0" w:line="360" w:lineRule="auto"/>
        <w:ind w:firstLine="480"/>
        <w:rPr>
          <w:rFonts w:hint="eastAsia" w:ascii="宋体" w:hAnsi="宋体" w:eastAsia="宋体" w:cs="宋体"/>
          <w:color w:val="auto"/>
          <w:sz w:val="24"/>
          <w:szCs w:val="24"/>
          <w:highlight w:val="none"/>
        </w:rPr>
      </w:pPr>
    </w:p>
    <w:p w14:paraId="38C14109">
      <w:pPr>
        <w:pStyle w:val="3"/>
        <w:numPr>
          <w:ilvl w:val="0"/>
          <w:numId w:val="7"/>
        </w:numPr>
        <w:spacing w:line="360" w:lineRule="auto"/>
        <w:jc w:val="center"/>
        <w:rPr>
          <w:rFonts w:cs="Times New Roman"/>
          <w:color w:val="auto"/>
          <w:highlight w:val="none"/>
        </w:rPr>
      </w:pPr>
      <w:r>
        <w:rPr>
          <w:color w:val="auto"/>
          <w:highlight w:val="none"/>
        </w:rPr>
        <w:t xml:space="preserve"> </w:t>
      </w:r>
      <w:bookmarkStart w:id="96" w:name="_Toc5935"/>
      <w:bookmarkStart w:id="97" w:name="_Toc8011"/>
      <w:bookmarkStart w:id="98" w:name="_Toc14029"/>
      <w:bookmarkStart w:id="99" w:name="_Toc21666"/>
      <w:bookmarkStart w:id="100" w:name="_Toc12267"/>
      <w:r>
        <w:rPr>
          <w:rFonts w:hint="eastAsia"/>
          <w:color w:val="auto"/>
          <w:highlight w:val="none"/>
        </w:rPr>
        <w:t>确定成交供应商与签订合同</w:t>
      </w:r>
      <w:bookmarkEnd w:id="96"/>
      <w:bookmarkEnd w:id="97"/>
      <w:bookmarkEnd w:id="98"/>
      <w:bookmarkEnd w:id="99"/>
      <w:bookmarkEnd w:id="100"/>
    </w:p>
    <w:p w14:paraId="3F8ABB46">
      <w:pPr>
        <w:snapToGrid w:val="0"/>
        <w:spacing w:line="360" w:lineRule="auto"/>
        <w:ind w:firstLine="482" w:firstLineChars="200"/>
        <w:rPr>
          <w:rFonts w:ascii="宋体"/>
          <w:b/>
          <w:bCs/>
          <w:color w:val="auto"/>
          <w:sz w:val="24"/>
          <w:szCs w:val="24"/>
          <w:highlight w:val="none"/>
        </w:rPr>
      </w:pPr>
      <w:r>
        <w:rPr>
          <w:rFonts w:hint="eastAsia" w:ascii="宋体" w:hAnsi="宋体" w:cs="宋体"/>
          <w:b/>
          <w:bCs/>
          <w:color w:val="auto"/>
          <w:sz w:val="24"/>
          <w:szCs w:val="24"/>
          <w:highlight w:val="none"/>
          <w:lang w:val="en-US" w:eastAsia="zh-CN"/>
        </w:rPr>
        <w:t>22</w:t>
      </w:r>
      <w:r>
        <w:rPr>
          <w:rFonts w:hint="eastAsia" w:ascii="宋体" w:hAnsi="宋体" w:cs="宋体"/>
          <w:b/>
          <w:bCs/>
          <w:color w:val="auto"/>
          <w:sz w:val="24"/>
          <w:szCs w:val="24"/>
          <w:highlight w:val="none"/>
        </w:rPr>
        <w:t>、推荐成交候选供应商</w:t>
      </w:r>
    </w:p>
    <w:p w14:paraId="460B16A9">
      <w:pPr>
        <w:snapToGrid w:val="0"/>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lang w:val="en-US" w:eastAsia="zh-CN"/>
        </w:rPr>
        <w:t>22</w:t>
      </w:r>
      <w:r>
        <w:rPr>
          <w:rFonts w:ascii="宋体" w:hAnsi="宋体" w:cs="宋体"/>
          <w:color w:val="auto"/>
          <w:sz w:val="24"/>
          <w:szCs w:val="24"/>
          <w:highlight w:val="none"/>
        </w:rPr>
        <w:t xml:space="preserve">.1 </w:t>
      </w:r>
      <w:r>
        <w:rPr>
          <w:rFonts w:hint="eastAsia" w:ascii="宋体" w:hAnsi="宋体" w:cs="宋体"/>
          <w:color w:val="auto"/>
          <w:sz w:val="24"/>
          <w:szCs w:val="24"/>
          <w:highlight w:val="none"/>
        </w:rPr>
        <w:t>磋商小组应当根据综合评分情况，按照评审得分由高到低顺序推荐</w:t>
      </w:r>
      <w:r>
        <w:rPr>
          <w:rFonts w:ascii="宋体" w:hAnsi="宋体" w:cs="宋体"/>
          <w:color w:val="auto"/>
          <w:sz w:val="24"/>
          <w:szCs w:val="24"/>
          <w:highlight w:val="none"/>
        </w:rPr>
        <w:t>1</w:t>
      </w:r>
      <w:r>
        <w:rPr>
          <w:rFonts w:hint="eastAsia" w:ascii="宋体" w:hAnsi="宋体" w:cs="宋体"/>
          <w:color w:val="auto"/>
          <w:sz w:val="24"/>
          <w:szCs w:val="24"/>
          <w:highlight w:val="none"/>
        </w:rPr>
        <w:t>名或以上成交候选供应商，并编写评审报告。评审得分相同的，按照最后报价由低到高的顺序推荐。评审得分且最后报价相同的，按照技术指标优劣顺序推荐。</w:t>
      </w:r>
    </w:p>
    <w:p w14:paraId="5218F052">
      <w:pPr>
        <w:snapToGrid w:val="0"/>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lang w:val="en-US" w:eastAsia="zh-CN"/>
        </w:rPr>
        <w:t>22</w:t>
      </w:r>
      <w:r>
        <w:rPr>
          <w:rFonts w:ascii="宋体" w:hAnsi="宋体" w:cs="宋体"/>
          <w:color w:val="auto"/>
          <w:sz w:val="24"/>
          <w:szCs w:val="24"/>
          <w:highlight w:val="none"/>
        </w:rPr>
        <w:t xml:space="preserve">.2 </w:t>
      </w:r>
      <w:r>
        <w:rPr>
          <w:rFonts w:hint="eastAsia" w:ascii="宋体" w:hAnsi="宋体" w:cs="宋体"/>
          <w:color w:val="auto"/>
          <w:sz w:val="24"/>
          <w:szCs w:val="24"/>
          <w:highlight w:val="none"/>
        </w:rPr>
        <w:t>采购代理机构应当在评审结束后</w:t>
      </w:r>
      <w:r>
        <w:rPr>
          <w:rFonts w:ascii="宋体" w:hAnsi="宋体" w:cs="宋体"/>
          <w:color w:val="auto"/>
          <w:sz w:val="24"/>
          <w:szCs w:val="24"/>
          <w:highlight w:val="none"/>
        </w:rPr>
        <w:t>2</w:t>
      </w:r>
      <w:r>
        <w:rPr>
          <w:rFonts w:hint="eastAsia" w:ascii="宋体" w:hAnsi="宋体" w:cs="宋体"/>
          <w:color w:val="auto"/>
          <w:sz w:val="24"/>
          <w:szCs w:val="24"/>
          <w:highlight w:val="none"/>
        </w:rPr>
        <w:t>个工作日内将评审报告送采购人确认。</w:t>
      </w:r>
    </w:p>
    <w:p w14:paraId="271BD27A">
      <w:pPr>
        <w:snapToGrid w:val="0"/>
        <w:spacing w:line="360" w:lineRule="auto"/>
        <w:ind w:firstLine="482" w:firstLineChars="200"/>
        <w:rPr>
          <w:rFonts w:ascii="宋体"/>
          <w:b/>
          <w:bCs/>
          <w:color w:val="auto"/>
          <w:sz w:val="24"/>
          <w:szCs w:val="24"/>
          <w:highlight w:val="none"/>
        </w:rPr>
      </w:pPr>
      <w:r>
        <w:rPr>
          <w:rFonts w:hint="eastAsia" w:ascii="宋体" w:hAnsi="宋体" w:cs="宋体"/>
          <w:b/>
          <w:bCs/>
          <w:color w:val="auto"/>
          <w:sz w:val="24"/>
          <w:szCs w:val="24"/>
          <w:highlight w:val="none"/>
          <w:lang w:val="en-US" w:eastAsia="zh-CN"/>
        </w:rPr>
        <w:t>23</w:t>
      </w:r>
      <w:r>
        <w:rPr>
          <w:rFonts w:hint="eastAsia" w:ascii="宋体" w:hAnsi="宋体" w:cs="宋体"/>
          <w:b/>
          <w:bCs/>
          <w:color w:val="auto"/>
          <w:sz w:val="24"/>
          <w:szCs w:val="24"/>
          <w:highlight w:val="none"/>
        </w:rPr>
        <w:t>、确定成交供应商</w:t>
      </w:r>
    </w:p>
    <w:p w14:paraId="29BCE496">
      <w:pPr>
        <w:adjustRightInd w:val="0"/>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lang w:val="en-US" w:eastAsia="zh-CN"/>
        </w:rPr>
        <w:t>23</w:t>
      </w:r>
      <w:r>
        <w:rPr>
          <w:rFonts w:ascii="宋体" w:hAnsi="宋体" w:cs="宋体"/>
          <w:color w:val="auto"/>
          <w:sz w:val="24"/>
          <w:szCs w:val="24"/>
          <w:highlight w:val="none"/>
        </w:rPr>
        <w:t>.1</w:t>
      </w:r>
      <w:r>
        <w:rPr>
          <w:rFonts w:hint="eastAsia" w:ascii="宋体" w:hAnsi="宋体" w:cs="宋体"/>
          <w:color w:val="auto"/>
          <w:sz w:val="24"/>
          <w:szCs w:val="24"/>
          <w:highlight w:val="none"/>
        </w:rPr>
        <w:t>采购人应当在收到评审报告后</w:t>
      </w:r>
      <w:r>
        <w:rPr>
          <w:rFonts w:ascii="宋体" w:hAnsi="宋体" w:cs="宋体"/>
          <w:color w:val="auto"/>
          <w:sz w:val="24"/>
          <w:szCs w:val="24"/>
          <w:highlight w:val="none"/>
        </w:rPr>
        <w:t>5</w:t>
      </w:r>
      <w:r>
        <w:rPr>
          <w:rFonts w:hint="eastAsia" w:ascii="宋体" w:hAnsi="宋体" w:cs="宋体"/>
          <w:color w:val="auto"/>
          <w:sz w:val="24"/>
          <w:szCs w:val="24"/>
          <w:highlight w:val="none"/>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AAD2720">
      <w:pPr>
        <w:adjustRightInd w:val="0"/>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lang w:val="en-US" w:eastAsia="zh-CN"/>
        </w:rPr>
        <w:t>23</w:t>
      </w:r>
      <w:r>
        <w:rPr>
          <w:rFonts w:ascii="宋体" w:hAnsi="宋体" w:cs="宋体"/>
          <w:color w:val="auto"/>
          <w:sz w:val="24"/>
          <w:szCs w:val="24"/>
          <w:highlight w:val="none"/>
        </w:rPr>
        <w:t>.2</w:t>
      </w:r>
      <w:r>
        <w:rPr>
          <w:rFonts w:hint="eastAsia" w:ascii="宋体" w:hAnsi="宋体" w:cs="宋体"/>
          <w:color w:val="auto"/>
          <w:sz w:val="24"/>
          <w:szCs w:val="24"/>
          <w:highlight w:val="none"/>
        </w:rPr>
        <w:t>采购人或者采购代理机构应当在成交供应商确定后</w:t>
      </w:r>
      <w:r>
        <w:rPr>
          <w:rFonts w:ascii="宋体" w:hAnsi="宋体" w:cs="宋体"/>
          <w:color w:val="auto"/>
          <w:sz w:val="24"/>
          <w:szCs w:val="24"/>
          <w:highlight w:val="none"/>
        </w:rPr>
        <w:t>2</w:t>
      </w:r>
      <w:r>
        <w:rPr>
          <w:rFonts w:hint="eastAsia" w:ascii="宋体" w:hAnsi="宋体" w:cs="宋体"/>
          <w:color w:val="auto"/>
          <w:sz w:val="24"/>
          <w:szCs w:val="24"/>
          <w:highlight w:val="none"/>
        </w:rPr>
        <w:t>个工作日内，在省级以上财政部门指定的政府采购信息发布媒体上公告成交结果，同时向成交供应商发出成交通知书。</w:t>
      </w:r>
    </w:p>
    <w:p w14:paraId="1995DC41">
      <w:pPr>
        <w:adjustRightInd w:val="0"/>
        <w:spacing w:line="360" w:lineRule="auto"/>
        <w:ind w:firstLine="482" w:firstLineChars="200"/>
        <w:rPr>
          <w:rFonts w:ascii="宋体"/>
          <w:b/>
          <w:bCs/>
          <w:color w:val="auto"/>
          <w:sz w:val="24"/>
          <w:szCs w:val="24"/>
          <w:highlight w:val="none"/>
        </w:rPr>
      </w:pPr>
      <w:r>
        <w:rPr>
          <w:rFonts w:hint="eastAsia" w:ascii="宋体" w:hAnsi="宋体" w:cs="宋体"/>
          <w:b/>
          <w:bCs/>
          <w:color w:val="auto"/>
          <w:sz w:val="24"/>
          <w:szCs w:val="24"/>
          <w:highlight w:val="none"/>
          <w:lang w:val="en-US" w:eastAsia="zh-CN"/>
        </w:rPr>
        <w:t>24</w:t>
      </w:r>
      <w:r>
        <w:rPr>
          <w:rFonts w:hint="eastAsia" w:ascii="宋体" w:hAnsi="宋体" w:cs="宋体"/>
          <w:b/>
          <w:bCs/>
          <w:color w:val="auto"/>
          <w:sz w:val="24"/>
          <w:szCs w:val="24"/>
          <w:highlight w:val="none"/>
        </w:rPr>
        <w:t>、签订合同</w:t>
      </w:r>
    </w:p>
    <w:p w14:paraId="1A1E354E">
      <w:pPr>
        <w:pStyle w:val="61"/>
        <w:snapToGrid w:val="0"/>
        <w:spacing w:before="0" w:line="360" w:lineRule="auto"/>
        <w:ind w:firstLine="480"/>
        <w:rPr>
          <w:rFonts w:ascii="宋体"/>
          <w:color w:val="auto"/>
          <w:highlight w:val="none"/>
        </w:rPr>
      </w:pPr>
      <w:r>
        <w:rPr>
          <w:rFonts w:ascii="宋体" w:hAnsi="宋体" w:cs="宋体"/>
          <w:color w:val="auto"/>
          <w:highlight w:val="none"/>
        </w:rPr>
        <w:t>2</w:t>
      </w:r>
      <w:r>
        <w:rPr>
          <w:rFonts w:hint="eastAsia" w:ascii="宋体" w:hAnsi="宋体" w:cs="宋体"/>
          <w:color w:val="auto"/>
          <w:highlight w:val="none"/>
          <w:lang w:val="en-US" w:eastAsia="zh-CN"/>
        </w:rPr>
        <w:t>4</w:t>
      </w:r>
      <w:r>
        <w:rPr>
          <w:rFonts w:ascii="宋体" w:hAnsi="宋体" w:cs="宋体"/>
          <w:color w:val="auto"/>
          <w:highlight w:val="none"/>
        </w:rPr>
        <w:t xml:space="preserve">.1. </w:t>
      </w:r>
      <w:r>
        <w:rPr>
          <w:rFonts w:hint="eastAsia" w:ascii="宋体" w:hAnsi="宋体" w:cs="宋体"/>
          <w:color w:val="auto"/>
          <w:highlight w:val="none"/>
        </w:rPr>
        <w:t>采购人与成交供应商应当在成交通知书发出之日起</w:t>
      </w:r>
      <w:r>
        <w:rPr>
          <w:rFonts w:ascii="宋体" w:hAnsi="宋体" w:cs="宋体"/>
          <w:color w:val="auto"/>
          <w:highlight w:val="none"/>
        </w:rPr>
        <w:t>30</w:t>
      </w:r>
      <w:r>
        <w:rPr>
          <w:rFonts w:hint="eastAsia" w:ascii="宋体" w:hAnsi="宋体" w:cs="宋体"/>
          <w:color w:val="auto"/>
          <w:highlight w:val="none"/>
        </w:rPr>
        <w:t>日内，按照磋商文件确定的合同文本以及采购标的、规格型号、采购金额、采购数量、技术和服务要求等事项签订政府采购合同。</w:t>
      </w:r>
    </w:p>
    <w:p w14:paraId="685AE283">
      <w:pPr>
        <w:pStyle w:val="61"/>
        <w:snapToGrid w:val="0"/>
        <w:spacing w:before="0" w:line="360" w:lineRule="auto"/>
        <w:ind w:firstLine="480"/>
        <w:rPr>
          <w:rFonts w:ascii="宋体"/>
          <w:color w:val="auto"/>
          <w:highlight w:val="none"/>
        </w:rPr>
      </w:pPr>
      <w:r>
        <w:rPr>
          <w:rFonts w:hint="eastAsia" w:ascii="宋体" w:hAnsi="宋体" w:cs="宋体"/>
          <w:color w:val="auto"/>
          <w:highlight w:val="none"/>
          <w:lang w:val="en-US" w:eastAsia="zh-CN"/>
        </w:rPr>
        <w:t>24</w:t>
      </w:r>
      <w:r>
        <w:rPr>
          <w:rFonts w:ascii="宋体" w:hAnsi="宋体" w:cs="宋体"/>
          <w:color w:val="auto"/>
          <w:highlight w:val="none"/>
        </w:rPr>
        <w:t xml:space="preserve">.2. </w:t>
      </w:r>
      <w:r>
        <w:rPr>
          <w:rFonts w:hint="eastAsia" w:ascii="宋体" w:hAnsi="宋体" w:cs="宋体"/>
          <w:color w:val="auto"/>
          <w:highlight w:val="none"/>
        </w:rPr>
        <w:t>成交供应商拒绝签订政府采购合同的，采购人可以按照《政府采购竞争性磋商采购方式管理暂行办法》（财库〔</w:t>
      </w:r>
      <w:r>
        <w:rPr>
          <w:rFonts w:ascii="宋体" w:hAnsi="宋体" w:cs="宋体"/>
          <w:color w:val="auto"/>
          <w:highlight w:val="none"/>
        </w:rPr>
        <w:t>2014</w:t>
      </w:r>
      <w:r>
        <w:rPr>
          <w:rFonts w:hint="eastAsia" w:ascii="宋体" w:hAnsi="宋体" w:cs="宋体"/>
          <w:color w:val="auto"/>
          <w:highlight w:val="none"/>
        </w:rPr>
        <w:t>〕</w:t>
      </w:r>
      <w:r>
        <w:rPr>
          <w:rFonts w:ascii="宋体" w:hAnsi="宋体" w:cs="宋体"/>
          <w:color w:val="auto"/>
          <w:highlight w:val="none"/>
        </w:rPr>
        <w:t>214</w:t>
      </w:r>
      <w:r>
        <w:rPr>
          <w:rFonts w:hint="eastAsia" w:ascii="宋体" w:hAnsi="宋体" w:cs="宋体"/>
          <w:color w:val="auto"/>
          <w:highlight w:val="none"/>
        </w:rPr>
        <w:t>号）第二十八条第二款规定的原则确定其他供应商作为成交供应商并签订政府采购合同，也可以重新开展采购活动。拒绝签订政府采购合同的成交供应商不得参加对该项目重新开展的采购活动。</w:t>
      </w:r>
    </w:p>
    <w:p w14:paraId="4EB756B7">
      <w:pPr>
        <w:adjustRightInd w:val="0"/>
        <w:snapToGrid w:val="0"/>
        <w:spacing w:line="360" w:lineRule="auto"/>
        <w:ind w:firstLine="482" w:firstLineChars="200"/>
        <w:rPr>
          <w:rFonts w:ascii="宋体"/>
          <w:b/>
          <w:bCs/>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、解释权</w:t>
      </w:r>
    </w:p>
    <w:p w14:paraId="323933F8">
      <w:pPr>
        <w:adjustRightInd w:val="0"/>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磋商文件的解释权均属于</w:t>
      </w:r>
      <w:r>
        <w:rPr>
          <w:rFonts w:hint="eastAsia" w:ascii="宋体" w:hAnsi="宋体" w:cs="宋体"/>
          <w:color w:val="auto"/>
          <w:sz w:val="24"/>
          <w:highlight w:val="none"/>
          <w:u w:val="single"/>
          <w:lang w:eastAsia="zh-CN"/>
        </w:rPr>
        <w:t>绍兴市上虞区应急管理局</w:t>
      </w:r>
      <w:r>
        <w:rPr>
          <w:rFonts w:hint="eastAsia" w:ascii="宋体" w:hAnsi="宋体" w:cs="宋体"/>
          <w:color w:val="auto"/>
          <w:sz w:val="24"/>
          <w:szCs w:val="24"/>
          <w:highlight w:val="none"/>
        </w:rPr>
        <w:t>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绍兴成言工程咨询管理有限公司</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314EF429">
      <w:pPr>
        <w:pStyle w:val="2"/>
        <w:jc w:val="center"/>
        <w:rPr>
          <w:rFonts w:cs="Times New Roman"/>
          <w:color w:val="auto"/>
          <w:sz w:val="36"/>
          <w:szCs w:val="36"/>
          <w:highlight w:val="none"/>
        </w:rPr>
      </w:pPr>
      <w:r>
        <w:rPr>
          <w:color w:val="auto"/>
          <w:sz w:val="36"/>
          <w:szCs w:val="36"/>
          <w:highlight w:val="none"/>
        </w:rPr>
        <w:br w:type="page"/>
      </w:r>
      <w:bookmarkStart w:id="101" w:name="_Toc17731"/>
      <w:bookmarkStart w:id="102" w:name="_Toc32714"/>
      <w:bookmarkStart w:id="103" w:name="_Toc157"/>
      <w:bookmarkStart w:id="104" w:name="_Toc21248"/>
      <w:bookmarkStart w:id="105" w:name="_Toc11044"/>
      <w:r>
        <w:rPr>
          <w:rFonts w:hint="eastAsia"/>
          <w:color w:val="auto"/>
          <w:sz w:val="36"/>
          <w:szCs w:val="36"/>
          <w:highlight w:val="none"/>
        </w:rPr>
        <w:t xml:space="preserve">第三部分 </w:t>
      </w:r>
      <w:r>
        <w:rPr>
          <w:rFonts w:hint="eastAsia" w:cs="宋体"/>
          <w:color w:val="auto"/>
          <w:sz w:val="36"/>
          <w:szCs w:val="36"/>
          <w:highlight w:val="none"/>
        </w:rPr>
        <w:t>采购内容及要求</w:t>
      </w:r>
      <w:bookmarkEnd w:id="101"/>
      <w:bookmarkEnd w:id="102"/>
      <w:bookmarkEnd w:id="103"/>
      <w:bookmarkEnd w:id="104"/>
      <w:bookmarkEnd w:id="105"/>
    </w:p>
    <w:p w14:paraId="33430860">
      <w:pPr>
        <w:pStyle w:val="3"/>
        <w:spacing w:line="360" w:lineRule="auto"/>
        <w:jc w:val="center"/>
        <w:rPr>
          <w:rFonts w:hint="default" w:hAnsi="宋体" w:cs="宋体"/>
          <w:color w:val="auto"/>
          <w:szCs w:val="28"/>
          <w:highlight w:val="none"/>
          <w:lang w:val="en-US" w:eastAsia="zh-CN"/>
        </w:rPr>
      </w:pPr>
      <w:bookmarkStart w:id="106" w:name="_Toc283"/>
      <w:bookmarkStart w:id="107" w:name="_Toc10506"/>
      <w:bookmarkStart w:id="108" w:name="_Toc23537"/>
      <w:bookmarkStart w:id="109" w:name="_Toc10807"/>
      <w:bookmarkStart w:id="110" w:name="_Toc26349"/>
      <w:bookmarkStart w:id="111" w:name="_Toc2068"/>
      <w:bookmarkStart w:id="112" w:name="_Toc11501"/>
      <w:bookmarkStart w:id="113" w:name="_Toc18895"/>
      <w:bookmarkStart w:id="114" w:name="_Toc15284"/>
      <w:r>
        <w:rPr>
          <w:rFonts w:hint="eastAsia" w:hAnsi="宋体" w:cs="宋体"/>
          <w:color w:val="auto"/>
          <w:szCs w:val="28"/>
          <w:highlight w:val="none"/>
          <w:lang w:val="en-US" w:eastAsia="zh-CN"/>
        </w:rPr>
        <w:t>第一章 总体要求</w:t>
      </w:r>
      <w:bookmarkEnd w:id="106"/>
      <w:bookmarkEnd w:id="107"/>
      <w:bookmarkEnd w:id="108"/>
      <w:bookmarkEnd w:id="109"/>
    </w:p>
    <w:p w14:paraId="5C291C94">
      <w:pPr>
        <w:keepNext w:val="0"/>
        <w:keepLines w:val="0"/>
        <w:pageBreakBefore w:val="0"/>
        <w:widowControl w:val="0"/>
        <w:numPr>
          <w:ilvl w:val="0"/>
          <w:numId w:val="14"/>
        </w:numPr>
        <w:kinsoku/>
        <w:wordWrap/>
        <w:overflowPunct/>
        <w:topLinePunct w:val="0"/>
        <w:autoSpaceDE/>
        <w:autoSpaceDN/>
        <w:bidi w:val="0"/>
        <w:adjustRightInd/>
        <w:snapToGrid/>
        <w:spacing w:line="48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项目概况</w:t>
      </w:r>
    </w:p>
    <w:p w14:paraId="2F9EF8E6">
      <w:pPr>
        <w:spacing w:line="360" w:lineRule="auto"/>
        <w:ind w:firstLine="480" w:firstLineChars="200"/>
        <w:rPr>
          <w:rFonts w:hint="eastAsia" w:ascii="宋体" w:hAnsi="宋体" w:eastAsia="宋体" w:cs="宋体"/>
          <w:color w:val="auto"/>
          <w:sz w:val="24"/>
          <w:szCs w:val="21"/>
          <w:lang w:eastAsia="zh-CN"/>
        </w:rPr>
      </w:pPr>
      <w:r>
        <w:rPr>
          <w:rFonts w:hint="eastAsia" w:ascii="宋体" w:hAnsi="宋体" w:eastAsia="宋体" w:cs="宋体"/>
          <w:color w:val="auto"/>
          <w:sz w:val="24"/>
          <w:szCs w:val="21"/>
          <w:lang w:eastAsia="zh-CN"/>
        </w:rPr>
        <w:t>上虞区应急管理局为保障全体干部职工就餐的实际情况，将委托专业餐饮公司</w:t>
      </w:r>
      <w:r>
        <w:rPr>
          <w:rFonts w:hint="eastAsia" w:ascii="宋体" w:hAnsi="宋体" w:eastAsia="宋体" w:cs="宋体"/>
          <w:color w:val="auto"/>
          <w:sz w:val="24"/>
          <w:szCs w:val="21"/>
          <w:lang w:val="en-US" w:eastAsia="zh-CN"/>
        </w:rPr>
        <w:t>指派专业团队</w:t>
      </w:r>
      <w:r>
        <w:rPr>
          <w:rFonts w:hint="eastAsia" w:ascii="宋体" w:hAnsi="宋体" w:eastAsia="宋体" w:cs="宋体"/>
          <w:color w:val="auto"/>
          <w:sz w:val="24"/>
          <w:szCs w:val="21"/>
          <w:lang w:eastAsia="zh-CN"/>
        </w:rPr>
        <w:t>提供膳食服务。</w:t>
      </w:r>
    </w:p>
    <w:p w14:paraId="6CD1C561">
      <w:pPr>
        <w:spacing w:line="360" w:lineRule="auto"/>
        <w:ind w:firstLine="480" w:firstLineChars="200"/>
        <w:rPr>
          <w:rFonts w:hint="eastAsia" w:ascii="宋体" w:hAnsi="宋体" w:eastAsia="宋体" w:cs="宋体"/>
          <w:color w:val="auto"/>
          <w:sz w:val="24"/>
          <w:szCs w:val="21"/>
          <w:lang w:eastAsia="zh-CN"/>
        </w:rPr>
      </w:pPr>
      <w:r>
        <w:rPr>
          <w:rFonts w:hint="eastAsia" w:ascii="宋体" w:hAnsi="宋体" w:cs="宋体"/>
          <w:color w:val="auto"/>
          <w:sz w:val="24"/>
          <w:szCs w:val="21"/>
          <w:lang w:val="en-US" w:eastAsia="zh-CN"/>
        </w:rPr>
        <w:t>供应商</w:t>
      </w:r>
      <w:r>
        <w:rPr>
          <w:rFonts w:hint="eastAsia" w:ascii="宋体" w:hAnsi="宋体" w:eastAsia="宋体" w:cs="宋体"/>
          <w:color w:val="auto"/>
          <w:sz w:val="24"/>
          <w:szCs w:val="21"/>
          <w:lang w:val="en-US" w:eastAsia="zh-CN"/>
        </w:rPr>
        <w:t>需</w:t>
      </w:r>
      <w:r>
        <w:rPr>
          <w:rFonts w:hint="eastAsia" w:ascii="宋体" w:hAnsi="宋体" w:eastAsia="宋体" w:cs="宋体"/>
          <w:color w:val="auto"/>
          <w:sz w:val="24"/>
          <w:szCs w:val="21"/>
          <w:lang w:eastAsia="zh-CN"/>
        </w:rPr>
        <w:t>按标准为全局干部职工提供包括工作日的早中晚餐、周末</w:t>
      </w:r>
      <w:r>
        <w:rPr>
          <w:rFonts w:hint="eastAsia" w:ascii="宋体" w:hAnsi="宋体" w:eastAsia="宋体" w:cs="宋体"/>
          <w:color w:val="auto"/>
          <w:sz w:val="24"/>
          <w:szCs w:val="21"/>
          <w:lang w:val="en-US" w:eastAsia="zh-CN"/>
        </w:rPr>
        <w:t>及</w:t>
      </w:r>
      <w:r>
        <w:rPr>
          <w:rFonts w:hint="eastAsia" w:ascii="宋体" w:hAnsi="宋体" w:eastAsia="宋体" w:cs="宋体"/>
          <w:color w:val="auto"/>
          <w:sz w:val="24"/>
          <w:szCs w:val="21"/>
          <w:lang w:eastAsia="zh-CN"/>
        </w:rPr>
        <w:t>节假日的厨师烹饪、帮工洗切、食堂区域保洁、周末和节假日送餐服务等，食堂菜肴配制</w:t>
      </w:r>
      <w:r>
        <w:rPr>
          <w:rFonts w:hint="eastAsia" w:ascii="宋体" w:hAnsi="宋体" w:eastAsia="宋体" w:cs="宋体"/>
          <w:color w:val="auto"/>
          <w:sz w:val="24"/>
          <w:szCs w:val="21"/>
          <w:lang w:val="en-US" w:eastAsia="zh-CN"/>
        </w:rPr>
        <w:t>应当严格符合本合同附件《上虞区应急管理局食堂管理服务考核办法》规定的食品卫生、品种数量、口感要求，做到新鲜、卫生。</w:t>
      </w:r>
    </w:p>
    <w:p w14:paraId="64E39241">
      <w:pPr>
        <w:keepNext w:val="0"/>
        <w:keepLines w:val="0"/>
        <w:pageBreakBefore w:val="0"/>
        <w:widowControl w:val="0"/>
        <w:numPr>
          <w:ilvl w:val="0"/>
          <w:numId w:val="14"/>
        </w:numPr>
        <w:kinsoku/>
        <w:wordWrap/>
        <w:overflowPunct/>
        <w:topLinePunct w:val="0"/>
        <w:autoSpaceDE/>
        <w:autoSpaceDN/>
        <w:bidi w:val="0"/>
        <w:adjustRightInd/>
        <w:snapToGrid/>
        <w:spacing w:line="48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服务期限</w:t>
      </w:r>
    </w:p>
    <w:p w14:paraId="56BC156F">
      <w:pPr>
        <w:spacing w:line="360" w:lineRule="auto"/>
        <w:ind w:firstLine="480" w:firstLineChars="200"/>
        <w:rPr>
          <w:rFonts w:hint="eastAsia"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本次招标服务期限为一年（具体起止时间在合同签订时协商确定）。</w:t>
      </w:r>
    </w:p>
    <w:p w14:paraId="2DB0DEB1">
      <w:pPr>
        <w:keepNext w:val="0"/>
        <w:keepLines w:val="0"/>
        <w:pageBreakBefore w:val="0"/>
        <w:widowControl w:val="0"/>
        <w:numPr>
          <w:ilvl w:val="0"/>
          <w:numId w:val="14"/>
        </w:numPr>
        <w:kinsoku/>
        <w:wordWrap/>
        <w:overflowPunct/>
        <w:topLinePunct w:val="0"/>
        <w:autoSpaceDE/>
        <w:autoSpaceDN/>
        <w:bidi w:val="0"/>
        <w:adjustRightInd/>
        <w:snapToGrid/>
        <w:spacing w:line="48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人员配置要求</w:t>
      </w:r>
    </w:p>
    <w:p w14:paraId="3B384B75">
      <w:pPr>
        <w:numPr>
          <w:ilvl w:val="0"/>
          <w:numId w:val="0"/>
        </w:numPr>
        <w:spacing w:line="360" w:lineRule="auto"/>
        <w:ind w:firstLine="480" w:firstLineChars="200"/>
        <w:rPr>
          <w:rFonts w:hint="default" w:ascii="宋体" w:hAnsi="宋体" w:eastAsia="宋体" w:cs="宋体"/>
          <w:color w:val="auto"/>
          <w:sz w:val="24"/>
          <w:szCs w:val="21"/>
          <w:lang w:val="en-US" w:eastAsia="zh-CN"/>
        </w:rPr>
      </w:pPr>
      <w:r>
        <w:rPr>
          <w:rFonts w:hint="eastAsia" w:cs="宋体"/>
          <w:color w:val="auto"/>
          <w:sz w:val="24"/>
          <w:szCs w:val="21"/>
          <w:lang w:val="en-US" w:eastAsia="zh-CN"/>
        </w:rPr>
        <w:t>采购人</w:t>
      </w:r>
      <w:r>
        <w:rPr>
          <w:rFonts w:hint="eastAsia" w:ascii="宋体" w:hAnsi="宋体" w:eastAsia="宋体" w:cs="宋体"/>
          <w:color w:val="auto"/>
          <w:sz w:val="24"/>
          <w:szCs w:val="21"/>
          <w:lang w:eastAsia="zh-CN"/>
        </w:rPr>
        <w:t>指定工作人员联系食堂工作，协助</w:t>
      </w:r>
      <w:r>
        <w:rPr>
          <w:rFonts w:hint="eastAsia" w:ascii="宋体" w:hAnsi="宋体" w:cs="宋体"/>
          <w:color w:val="auto"/>
          <w:sz w:val="24"/>
          <w:szCs w:val="21"/>
          <w:lang w:val="en-US" w:eastAsia="zh-CN"/>
        </w:rPr>
        <w:t>供应商</w:t>
      </w:r>
      <w:r>
        <w:rPr>
          <w:rFonts w:hint="eastAsia" w:ascii="宋体" w:hAnsi="宋体" w:eastAsia="宋体" w:cs="宋体"/>
          <w:color w:val="auto"/>
          <w:sz w:val="24"/>
          <w:szCs w:val="21"/>
          <w:lang w:eastAsia="zh-CN"/>
        </w:rPr>
        <w:t>做好协调沟通工作，</w:t>
      </w:r>
      <w:r>
        <w:rPr>
          <w:rFonts w:hint="eastAsia" w:ascii="宋体" w:hAnsi="宋体" w:cs="宋体"/>
          <w:color w:val="auto"/>
          <w:sz w:val="24"/>
          <w:szCs w:val="21"/>
          <w:lang w:val="en-US" w:eastAsia="zh-CN"/>
        </w:rPr>
        <w:t>供应商</w:t>
      </w:r>
      <w:r>
        <w:rPr>
          <w:rFonts w:hint="eastAsia" w:ascii="宋体" w:hAnsi="宋体" w:eastAsia="宋体" w:cs="宋体"/>
          <w:color w:val="auto"/>
          <w:sz w:val="24"/>
          <w:szCs w:val="21"/>
          <w:lang w:eastAsia="zh-CN"/>
        </w:rPr>
        <w:t>必须配备食堂管理服务必需的食堂厨师和服务人员。食堂厨师和服务人员要求具备健康证，相应资格证书，五官端正，有良好的身体素质，思想素质，组织纪律和服务技能，胜任食堂服务工作，</w:t>
      </w:r>
      <w:r>
        <w:rPr>
          <w:rFonts w:hint="eastAsia" w:ascii="宋体" w:hAnsi="宋体" w:eastAsia="宋体" w:cs="宋体"/>
          <w:color w:val="auto"/>
          <w:sz w:val="24"/>
          <w:szCs w:val="21"/>
          <w:lang w:val="en-US" w:eastAsia="zh-CN"/>
        </w:rPr>
        <w:t>具体如下：</w:t>
      </w:r>
    </w:p>
    <w:tbl>
      <w:tblPr>
        <w:tblStyle w:val="28"/>
        <w:tblW w:w="939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8"/>
        <w:gridCol w:w="2362"/>
        <w:gridCol w:w="6039"/>
      </w:tblGrid>
      <w:tr w14:paraId="16D639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3D277BE9">
            <w:pPr>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序号</w:t>
            </w:r>
          </w:p>
        </w:tc>
        <w:tc>
          <w:tcPr>
            <w:tcW w:w="2362" w:type="dxa"/>
            <w:noWrap w:val="0"/>
            <w:vAlign w:val="center"/>
          </w:tcPr>
          <w:p w14:paraId="647FFEB4">
            <w:pPr>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岗位</w:t>
            </w:r>
            <w:r>
              <w:rPr>
                <w:rFonts w:hint="eastAsia" w:ascii="宋体" w:hAnsi="宋体" w:eastAsia="宋体" w:cs="宋体"/>
                <w:b/>
                <w:color w:val="auto"/>
                <w:sz w:val="24"/>
                <w:szCs w:val="24"/>
                <w:highlight w:val="none"/>
                <w:lang w:val="en-US" w:eastAsia="zh-CN"/>
              </w:rPr>
              <w:t>需求</w:t>
            </w:r>
          </w:p>
        </w:tc>
        <w:tc>
          <w:tcPr>
            <w:tcW w:w="6039" w:type="dxa"/>
            <w:noWrap w:val="0"/>
            <w:vAlign w:val="center"/>
          </w:tcPr>
          <w:p w14:paraId="59E4D875">
            <w:pPr>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岗位</w:t>
            </w:r>
            <w:r>
              <w:rPr>
                <w:rFonts w:hint="eastAsia" w:ascii="宋体" w:hAnsi="宋体" w:eastAsia="宋体" w:cs="宋体"/>
                <w:b/>
                <w:color w:val="auto"/>
                <w:sz w:val="24"/>
                <w:szCs w:val="24"/>
                <w:highlight w:val="none"/>
                <w:lang w:eastAsia="zh-CN"/>
              </w:rPr>
              <w:t>职责</w:t>
            </w:r>
            <w:r>
              <w:rPr>
                <w:rFonts w:hint="eastAsia" w:ascii="宋体" w:hAnsi="宋体" w:eastAsia="宋体" w:cs="宋体"/>
                <w:b/>
                <w:color w:val="auto"/>
                <w:sz w:val="24"/>
                <w:szCs w:val="24"/>
                <w:highlight w:val="none"/>
                <w:lang w:val="en-US" w:eastAsia="zh-CN"/>
              </w:rPr>
              <w:t>要求</w:t>
            </w:r>
          </w:p>
        </w:tc>
      </w:tr>
      <w:tr w14:paraId="554FB7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6EA4622C">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w:t>
            </w:r>
          </w:p>
        </w:tc>
        <w:tc>
          <w:tcPr>
            <w:tcW w:w="2362" w:type="dxa"/>
            <w:noWrap w:val="0"/>
            <w:vAlign w:val="center"/>
          </w:tcPr>
          <w:p w14:paraId="3F52F210">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vertAlign w:val="baseline"/>
                <w:lang w:val="en-US" w:eastAsia="zh-CN"/>
              </w:rPr>
              <w:t>管理岗</w:t>
            </w:r>
          </w:p>
        </w:tc>
        <w:tc>
          <w:tcPr>
            <w:tcW w:w="6039" w:type="dxa"/>
            <w:noWrap w:val="0"/>
            <w:vAlign w:val="top"/>
          </w:tcPr>
          <w:p w14:paraId="5D34EE56">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负责餐厅的日常管理工作，</w:t>
            </w:r>
            <w:r>
              <w:rPr>
                <w:rFonts w:hint="eastAsia" w:ascii="宋体" w:hAnsi="宋体" w:cs="宋体"/>
                <w:color w:val="auto"/>
                <w:sz w:val="24"/>
                <w:szCs w:val="24"/>
                <w:highlight w:val="none"/>
                <w:lang w:val="en-US" w:eastAsia="zh-CN"/>
              </w:rPr>
              <w:t>具有</w:t>
            </w:r>
            <w:r>
              <w:rPr>
                <w:rFonts w:hint="eastAsia" w:ascii="宋体" w:hAnsi="宋体" w:eastAsia="宋体" w:cs="宋体"/>
                <w:color w:val="auto"/>
                <w:sz w:val="24"/>
                <w:szCs w:val="24"/>
                <w:highlight w:val="none"/>
                <w:lang w:val="en-US" w:eastAsia="zh-CN"/>
              </w:rPr>
              <w:t>多年餐厅</w:t>
            </w:r>
            <w:r>
              <w:rPr>
                <w:rFonts w:hint="eastAsia" w:ascii="宋体" w:hAnsi="宋体" w:cs="宋体"/>
                <w:color w:val="auto"/>
                <w:sz w:val="24"/>
                <w:szCs w:val="24"/>
                <w:highlight w:val="none"/>
                <w:lang w:val="en-US" w:eastAsia="zh-CN"/>
              </w:rPr>
              <w:t>管理</w:t>
            </w:r>
            <w:r>
              <w:rPr>
                <w:rFonts w:hint="eastAsia" w:ascii="宋体" w:hAnsi="宋体" w:eastAsia="宋体" w:cs="宋体"/>
                <w:color w:val="auto"/>
                <w:sz w:val="24"/>
                <w:szCs w:val="24"/>
                <w:highlight w:val="none"/>
                <w:lang w:val="en-US" w:eastAsia="zh-CN"/>
              </w:rPr>
              <w:t>工作经验，责任心强，具备较高的业务水准</w:t>
            </w:r>
            <w:r>
              <w:rPr>
                <w:rFonts w:hint="eastAsia" w:ascii="宋体" w:hAnsi="宋体" w:cs="宋体"/>
                <w:color w:val="auto"/>
                <w:sz w:val="24"/>
                <w:szCs w:val="24"/>
                <w:highlight w:val="none"/>
                <w:lang w:val="en-US" w:eastAsia="zh-CN"/>
              </w:rPr>
              <w:t>。</w:t>
            </w:r>
          </w:p>
        </w:tc>
      </w:tr>
      <w:tr w14:paraId="451F75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5B36672C">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w:t>
            </w:r>
          </w:p>
        </w:tc>
        <w:tc>
          <w:tcPr>
            <w:tcW w:w="2362" w:type="dxa"/>
            <w:noWrap w:val="0"/>
            <w:vAlign w:val="center"/>
          </w:tcPr>
          <w:p w14:paraId="46F1DDC7">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vertAlign w:val="baseline"/>
              </w:rPr>
              <w:t>食堂厨师</w:t>
            </w:r>
          </w:p>
        </w:tc>
        <w:tc>
          <w:tcPr>
            <w:tcW w:w="6039" w:type="dxa"/>
            <w:noWrap w:val="0"/>
            <w:vAlign w:val="center"/>
          </w:tcPr>
          <w:p w14:paraId="2C9344A7">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级及以上厨师执业资格证和厨房各岗位（烹饪、切配、白案、冷菜等）操作能力，熟悉厨房各岗位的操作规范和流程。</w:t>
            </w:r>
          </w:p>
        </w:tc>
      </w:tr>
      <w:tr w14:paraId="0B09DE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522990DA">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w:t>
            </w:r>
          </w:p>
        </w:tc>
        <w:tc>
          <w:tcPr>
            <w:tcW w:w="2362" w:type="dxa"/>
            <w:noWrap w:val="0"/>
            <w:vAlign w:val="center"/>
          </w:tcPr>
          <w:p w14:paraId="218CB83C">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面点岗</w:t>
            </w:r>
          </w:p>
        </w:tc>
        <w:tc>
          <w:tcPr>
            <w:tcW w:w="6039" w:type="dxa"/>
            <w:noWrap w:val="0"/>
            <w:vAlign w:val="center"/>
          </w:tcPr>
          <w:p w14:paraId="1988BE6C">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持有政府相关部门颁发职业证书，责任心强，具备较高的业务水准。</w:t>
            </w:r>
          </w:p>
        </w:tc>
      </w:tr>
      <w:tr w14:paraId="54DF5F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36CE35F7">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w:t>
            </w:r>
          </w:p>
        </w:tc>
        <w:tc>
          <w:tcPr>
            <w:tcW w:w="2362" w:type="dxa"/>
            <w:noWrap w:val="0"/>
            <w:vAlign w:val="center"/>
          </w:tcPr>
          <w:p w14:paraId="019F771F">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食堂窗口服务岗</w:t>
            </w:r>
          </w:p>
        </w:tc>
        <w:tc>
          <w:tcPr>
            <w:tcW w:w="6039" w:type="dxa"/>
            <w:noWrap w:val="0"/>
            <w:vAlign w:val="top"/>
          </w:tcPr>
          <w:p w14:paraId="0FFFE541">
            <w:pPr>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能胜任食堂及大桌处服务工作</w:t>
            </w:r>
            <w:r>
              <w:rPr>
                <w:rFonts w:hint="eastAsia" w:ascii="宋体" w:hAnsi="宋体" w:eastAsia="宋体" w:cs="宋体"/>
                <w:color w:val="auto"/>
                <w:sz w:val="24"/>
                <w:szCs w:val="24"/>
                <w:highlight w:val="none"/>
                <w:lang w:val="en-US" w:eastAsia="zh-CN"/>
              </w:rPr>
              <w:t>，普通话标准熟悉餐厅服务的规范和流程。</w:t>
            </w:r>
          </w:p>
        </w:tc>
      </w:tr>
      <w:tr w14:paraId="09A976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45D6D113">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2362" w:type="dxa"/>
            <w:noWrap w:val="0"/>
            <w:vAlign w:val="center"/>
          </w:tcPr>
          <w:p w14:paraId="6880961F">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vertAlign w:val="baseline"/>
                <w:lang w:val="en-US" w:eastAsia="zh-CN"/>
              </w:rPr>
              <w:t>服务员岗</w:t>
            </w:r>
          </w:p>
        </w:tc>
        <w:tc>
          <w:tcPr>
            <w:tcW w:w="6039" w:type="dxa"/>
            <w:noWrap w:val="0"/>
            <w:vAlign w:val="top"/>
          </w:tcPr>
          <w:p w14:paraId="086AB043">
            <w:pPr>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能胜任食堂及大桌处服务工作</w:t>
            </w:r>
            <w:r>
              <w:rPr>
                <w:rFonts w:hint="eastAsia" w:ascii="宋体" w:hAnsi="宋体" w:eastAsia="宋体" w:cs="宋体"/>
                <w:color w:val="auto"/>
                <w:sz w:val="24"/>
                <w:szCs w:val="24"/>
                <w:highlight w:val="none"/>
                <w:lang w:val="en-US" w:eastAsia="zh-CN"/>
              </w:rPr>
              <w:t>，普通话标准，熟悉餐厅服务的规范和流程。</w:t>
            </w:r>
          </w:p>
        </w:tc>
      </w:tr>
      <w:tr w14:paraId="4994A9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715A3839">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6</w:t>
            </w:r>
          </w:p>
        </w:tc>
        <w:tc>
          <w:tcPr>
            <w:tcW w:w="2362" w:type="dxa"/>
            <w:noWrap w:val="0"/>
            <w:vAlign w:val="center"/>
          </w:tcPr>
          <w:p w14:paraId="2D6E91F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洗菜帮工一号岗</w:t>
            </w:r>
          </w:p>
        </w:tc>
        <w:tc>
          <w:tcPr>
            <w:tcW w:w="6039" w:type="dxa"/>
            <w:noWrap w:val="0"/>
            <w:vAlign w:val="top"/>
          </w:tcPr>
          <w:p w14:paraId="508E5F2C">
            <w:pPr>
              <w:jc w:val="both"/>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听从</w:t>
            </w:r>
            <w:r>
              <w:rPr>
                <w:rFonts w:hint="eastAsia" w:ascii="宋体" w:hAnsi="宋体" w:cs="宋体"/>
                <w:color w:val="auto"/>
                <w:sz w:val="24"/>
                <w:szCs w:val="24"/>
                <w:highlight w:val="none"/>
                <w:lang w:val="en-US" w:eastAsia="zh-CN"/>
              </w:rPr>
              <w:t>厨师</w:t>
            </w:r>
            <w:r>
              <w:rPr>
                <w:rFonts w:hint="eastAsia" w:ascii="宋体" w:hAnsi="宋体" w:eastAsia="宋体" w:cs="宋体"/>
                <w:color w:val="auto"/>
                <w:sz w:val="24"/>
                <w:szCs w:val="24"/>
                <w:highlight w:val="none"/>
                <w:lang w:val="en-US" w:eastAsia="zh-CN"/>
              </w:rPr>
              <w:t>安排</w:t>
            </w:r>
            <w:r>
              <w:rPr>
                <w:rFonts w:hint="eastAsia" w:ascii="宋体" w:hAnsi="宋体" w:cs="宋体"/>
                <w:color w:val="auto"/>
                <w:sz w:val="24"/>
                <w:szCs w:val="24"/>
                <w:highlight w:val="none"/>
                <w:lang w:val="en-US" w:eastAsia="zh-CN"/>
              </w:rPr>
              <w:t>并同时负责就餐服务工作</w:t>
            </w:r>
            <w:r>
              <w:rPr>
                <w:rFonts w:hint="eastAsia" w:ascii="宋体" w:hAnsi="宋体" w:eastAsia="宋体" w:cs="宋体"/>
                <w:color w:val="auto"/>
                <w:sz w:val="24"/>
                <w:szCs w:val="24"/>
                <w:highlight w:val="none"/>
                <w:lang w:val="en-US" w:eastAsia="zh-CN"/>
              </w:rPr>
              <w:t>，服务态度良好，工作认真，有良好的身体素质、思想素质、组织纪律和服务技能，年龄在</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0周岁以下</w:t>
            </w:r>
            <w:r>
              <w:rPr>
                <w:rFonts w:hint="eastAsia" w:ascii="宋体" w:hAnsi="宋体" w:cs="宋体"/>
                <w:color w:val="auto"/>
                <w:sz w:val="24"/>
                <w:szCs w:val="24"/>
                <w:highlight w:val="none"/>
                <w:lang w:val="en-US" w:eastAsia="zh-CN"/>
              </w:rPr>
              <w:t>。</w:t>
            </w:r>
          </w:p>
        </w:tc>
      </w:tr>
      <w:tr w14:paraId="2D7A0E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4F724A23">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2362" w:type="dxa"/>
            <w:noWrap w:val="0"/>
            <w:vAlign w:val="center"/>
          </w:tcPr>
          <w:p w14:paraId="61279C63">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洗菜帮工二号岗</w:t>
            </w:r>
          </w:p>
        </w:tc>
        <w:tc>
          <w:tcPr>
            <w:tcW w:w="6039" w:type="dxa"/>
            <w:noWrap w:val="0"/>
            <w:vAlign w:val="top"/>
          </w:tcPr>
          <w:p w14:paraId="131007DC">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听从</w:t>
            </w:r>
            <w:r>
              <w:rPr>
                <w:rFonts w:hint="eastAsia" w:ascii="宋体" w:hAnsi="宋体" w:cs="宋体"/>
                <w:color w:val="auto"/>
                <w:sz w:val="24"/>
                <w:szCs w:val="24"/>
                <w:highlight w:val="none"/>
                <w:lang w:val="en-US" w:eastAsia="zh-CN"/>
              </w:rPr>
              <w:t>厨师</w:t>
            </w:r>
            <w:r>
              <w:rPr>
                <w:rFonts w:hint="eastAsia" w:ascii="宋体" w:hAnsi="宋体" w:eastAsia="宋体" w:cs="宋体"/>
                <w:color w:val="auto"/>
                <w:sz w:val="24"/>
                <w:szCs w:val="24"/>
                <w:highlight w:val="none"/>
                <w:lang w:val="en-US" w:eastAsia="zh-CN"/>
              </w:rPr>
              <w:t>安排</w:t>
            </w:r>
            <w:r>
              <w:rPr>
                <w:rFonts w:hint="eastAsia" w:ascii="宋体" w:hAnsi="宋体" w:cs="宋体"/>
                <w:color w:val="auto"/>
                <w:sz w:val="24"/>
                <w:szCs w:val="24"/>
                <w:highlight w:val="none"/>
                <w:lang w:val="en-US" w:eastAsia="zh-CN"/>
              </w:rPr>
              <w:t>并同时负责就餐服务工作</w:t>
            </w:r>
            <w:r>
              <w:rPr>
                <w:rFonts w:hint="eastAsia" w:ascii="宋体" w:hAnsi="宋体" w:eastAsia="宋体" w:cs="宋体"/>
                <w:color w:val="auto"/>
                <w:sz w:val="24"/>
                <w:szCs w:val="24"/>
                <w:highlight w:val="none"/>
                <w:lang w:val="en-US" w:eastAsia="zh-CN"/>
              </w:rPr>
              <w:t>，服务态度良好，工作认真，有良好的身体素质、思想素质、组织纪律和服务技能，年龄在</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0周岁以下</w:t>
            </w:r>
            <w:r>
              <w:rPr>
                <w:rFonts w:hint="eastAsia" w:ascii="宋体" w:hAnsi="宋体" w:cs="宋体"/>
                <w:color w:val="auto"/>
                <w:sz w:val="24"/>
                <w:szCs w:val="24"/>
                <w:highlight w:val="none"/>
                <w:lang w:val="en-US" w:eastAsia="zh-CN"/>
              </w:rPr>
              <w:t>。</w:t>
            </w:r>
          </w:p>
        </w:tc>
      </w:tr>
      <w:tr w14:paraId="0D757D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59DC7AEC">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2362" w:type="dxa"/>
            <w:noWrap w:val="0"/>
            <w:vAlign w:val="center"/>
          </w:tcPr>
          <w:p w14:paraId="1DC05688">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洗菜帮工三号岗</w:t>
            </w:r>
          </w:p>
        </w:tc>
        <w:tc>
          <w:tcPr>
            <w:tcW w:w="6039" w:type="dxa"/>
            <w:noWrap w:val="0"/>
            <w:vAlign w:val="top"/>
          </w:tcPr>
          <w:p w14:paraId="23EF8B71">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听从</w:t>
            </w:r>
            <w:r>
              <w:rPr>
                <w:rFonts w:hint="eastAsia" w:ascii="宋体" w:hAnsi="宋体" w:cs="宋体"/>
                <w:color w:val="auto"/>
                <w:sz w:val="24"/>
                <w:szCs w:val="24"/>
                <w:highlight w:val="none"/>
                <w:lang w:val="en-US" w:eastAsia="zh-CN"/>
              </w:rPr>
              <w:t>厨师</w:t>
            </w:r>
            <w:r>
              <w:rPr>
                <w:rFonts w:hint="eastAsia" w:ascii="宋体" w:hAnsi="宋体" w:eastAsia="宋体" w:cs="宋体"/>
                <w:color w:val="auto"/>
                <w:sz w:val="24"/>
                <w:szCs w:val="24"/>
                <w:highlight w:val="none"/>
                <w:lang w:val="en-US" w:eastAsia="zh-CN"/>
              </w:rPr>
              <w:t>安排</w:t>
            </w:r>
            <w:r>
              <w:rPr>
                <w:rFonts w:hint="eastAsia" w:ascii="宋体" w:hAnsi="宋体" w:cs="宋体"/>
                <w:color w:val="auto"/>
                <w:sz w:val="24"/>
                <w:szCs w:val="24"/>
                <w:highlight w:val="none"/>
                <w:lang w:val="en-US" w:eastAsia="zh-CN"/>
              </w:rPr>
              <w:t>并同时负责就餐服务工作</w:t>
            </w:r>
            <w:r>
              <w:rPr>
                <w:rFonts w:hint="eastAsia" w:ascii="宋体" w:hAnsi="宋体" w:eastAsia="宋体" w:cs="宋体"/>
                <w:color w:val="auto"/>
                <w:sz w:val="24"/>
                <w:szCs w:val="24"/>
                <w:highlight w:val="none"/>
                <w:lang w:val="en-US" w:eastAsia="zh-CN"/>
              </w:rPr>
              <w:t>，服务态度良好，工作认真，有良好的身体素质、思想素质、组织纪律和服务技能，年龄在</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0周岁以下</w:t>
            </w:r>
            <w:r>
              <w:rPr>
                <w:rFonts w:hint="eastAsia" w:ascii="宋体" w:hAnsi="宋体" w:cs="宋体"/>
                <w:color w:val="auto"/>
                <w:sz w:val="24"/>
                <w:szCs w:val="24"/>
                <w:highlight w:val="none"/>
                <w:lang w:val="en-US" w:eastAsia="zh-CN"/>
              </w:rPr>
              <w:t>。</w:t>
            </w:r>
          </w:p>
        </w:tc>
      </w:tr>
    </w:tbl>
    <w:p w14:paraId="02CCE3FE">
      <w:pPr>
        <w:numPr>
          <w:ilvl w:val="0"/>
          <w:numId w:val="0"/>
        </w:numPr>
        <w:spacing w:line="360" w:lineRule="auto"/>
        <w:rPr>
          <w:rFonts w:hint="default" w:ascii="宋体" w:hAnsi="宋体" w:eastAsia="宋体" w:cs="宋体"/>
          <w:color w:val="auto"/>
          <w:sz w:val="24"/>
          <w:szCs w:val="21"/>
          <w:lang w:val="en-US" w:eastAsia="zh-CN"/>
        </w:rPr>
      </w:pPr>
    </w:p>
    <w:p w14:paraId="6617DDC9">
      <w:pPr>
        <w:keepNext w:val="0"/>
        <w:keepLines w:val="0"/>
        <w:pageBreakBefore w:val="0"/>
        <w:widowControl w:val="0"/>
        <w:numPr>
          <w:ilvl w:val="0"/>
          <w:numId w:val="14"/>
        </w:numPr>
        <w:kinsoku/>
        <w:wordWrap/>
        <w:overflowPunct/>
        <w:topLinePunct w:val="0"/>
        <w:autoSpaceDE/>
        <w:autoSpaceDN/>
        <w:bidi w:val="0"/>
        <w:adjustRightInd/>
        <w:snapToGrid/>
        <w:spacing w:line="48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服务要求</w:t>
      </w:r>
    </w:p>
    <w:p w14:paraId="7B09304E">
      <w:pPr>
        <w:numPr>
          <w:ilvl w:val="0"/>
          <w:numId w:val="15"/>
        </w:numPr>
        <w:spacing w:line="360" w:lineRule="auto"/>
        <w:ind w:left="0" w:leftChars="0" w:firstLine="480" w:firstLineChars="200"/>
        <w:rPr>
          <w:rFonts w:hint="eastAsia" w:ascii="宋体" w:hAnsi="宋体" w:eastAsia="宋体" w:cs="宋体"/>
          <w:color w:val="auto"/>
          <w:sz w:val="24"/>
          <w:szCs w:val="21"/>
          <w:lang w:eastAsia="zh-CN"/>
        </w:rPr>
      </w:pPr>
      <w:r>
        <w:rPr>
          <w:rFonts w:hint="eastAsia" w:ascii="宋体" w:hAnsi="宋体" w:cs="宋体"/>
          <w:color w:val="auto"/>
          <w:sz w:val="24"/>
          <w:szCs w:val="21"/>
          <w:lang w:val="en-US" w:eastAsia="zh-CN"/>
        </w:rPr>
        <w:t>供应商</w:t>
      </w:r>
      <w:r>
        <w:rPr>
          <w:rFonts w:hint="eastAsia" w:ascii="宋体" w:hAnsi="宋体" w:eastAsia="宋体" w:cs="宋体"/>
          <w:color w:val="auto"/>
          <w:sz w:val="24"/>
          <w:szCs w:val="21"/>
          <w:lang w:val="en-US" w:eastAsia="zh-CN"/>
        </w:rPr>
        <w:t xml:space="preserve">每日供应早中晚三餐工作餐，工作日早餐为自助模式，供应菜品不少于6种以上；工作日中餐供应菜品不少于4荤4素一汤一水果一酸奶；工作日晚餐供应菜品不少于3荤3素一汤一水果。节假日值班餐参照工作日正餐标准确定。 </w:t>
      </w:r>
    </w:p>
    <w:p w14:paraId="6CC9279F">
      <w:pPr>
        <w:numPr>
          <w:ilvl w:val="0"/>
          <w:numId w:val="15"/>
        </w:numPr>
        <w:spacing w:line="360" w:lineRule="auto"/>
        <w:ind w:left="0" w:leftChars="0" w:firstLine="480" w:firstLineChars="200"/>
        <w:rPr>
          <w:rFonts w:hint="eastAsia" w:ascii="宋体" w:hAnsi="宋体" w:eastAsia="宋体" w:cs="宋体"/>
          <w:color w:val="auto"/>
          <w:sz w:val="24"/>
          <w:szCs w:val="21"/>
          <w:lang w:eastAsia="zh-CN"/>
        </w:rPr>
      </w:pPr>
      <w:r>
        <w:rPr>
          <w:rFonts w:hint="eastAsia" w:ascii="宋体" w:hAnsi="宋体" w:cs="宋体"/>
          <w:color w:val="auto"/>
          <w:sz w:val="24"/>
          <w:szCs w:val="21"/>
          <w:lang w:val="en-US" w:eastAsia="zh-CN"/>
        </w:rPr>
        <w:t>供应商</w:t>
      </w:r>
      <w:r>
        <w:rPr>
          <w:rFonts w:hint="eastAsia" w:ascii="宋体" w:hAnsi="宋体" w:eastAsia="宋体" w:cs="宋体"/>
          <w:color w:val="auto"/>
          <w:sz w:val="24"/>
          <w:szCs w:val="21"/>
          <w:lang w:eastAsia="zh-CN"/>
        </w:rPr>
        <w:t>需每日清扫厨房、餐厅等，保证垃圾不过夜、台面无油污，餐具每天每顿全面消毒，遇特殊情况</w:t>
      </w:r>
      <w:r>
        <w:rPr>
          <w:rFonts w:hint="eastAsia" w:ascii="宋体" w:hAnsi="宋体" w:eastAsia="宋体" w:cs="宋体"/>
          <w:color w:val="auto"/>
          <w:sz w:val="24"/>
          <w:szCs w:val="21"/>
          <w:lang w:val="en-US" w:eastAsia="zh-CN"/>
        </w:rPr>
        <w:t>需</w:t>
      </w:r>
      <w:r>
        <w:rPr>
          <w:rFonts w:hint="eastAsia" w:ascii="宋体" w:hAnsi="宋体" w:eastAsia="宋体" w:cs="宋体"/>
          <w:color w:val="auto"/>
          <w:sz w:val="24"/>
          <w:szCs w:val="21"/>
          <w:lang w:eastAsia="zh-CN"/>
        </w:rPr>
        <w:t>服从采购人安排，</w:t>
      </w:r>
      <w:r>
        <w:rPr>
          <w:rFonts w:hint="eastAsia" w:ascii="宋体" w:hAnsi="宋体" w:eastAsia="宋体" w:cs="宋体"/>
          <w:color w:val="auto"/>
          <w:sz w:val="24"/>
          <w:szCs w:val="21"/>
          <w:lang w:val="en-US" w:eastAsia="zh-CN"/>
        </w:rPr>
        <w:t>及时</w:t>
      </w:r>
      <w:r>
        <w:rPr>
          <w:rFonts w:hint="eastAsia" w:ascii="宋体" w:hAnsi="宋体" w:eastAsia="宋体" w:cs="宋体"/>
          <w:color w:val="auto"/>
          <w:sz w:val="24"/>
          <w:szCs w:val="21"/>
          <w:lang w:eastAsia="zh-CN"/>
        </w:rPr>
        <w:t>做好其它清扫保洁工作任务。</w:t>
      </w:r>
    </w:p>
    <w:p w14:paraId="33F71C52">
      <w:pPr>
        <w:numPr>
          <w:ilvl w:val="0"/>
          <w:numId w:val="15"/>
        </w:numPr>
        <w:spacing w:line="360" w:lineRule="auto"/>
        <w:ind w:left="0" w:leftChars="0" w:firstLine="480" w:firstLineChars="200"/>
        <w:rPr>
          <w:rFonts w:hint="eastAsia" w:ascii="宋体" w:hAnsi="宋体" w:eastAsia="宋体" w:cs="宋体"/>
          <w:color w:val="auto"/>
          <w:sz w:val="24"/>
          <w:szCs w:val="21"/>
          <w:lang w:eastAsia="zh-CN"/>
        </w:rPr>
      </w:pPr>
      <w:r>
        <w:rPr>
          <w:rFonts w:hint="eastAsia" w:ascii="宋体" w:hAnsi="宋体" w:eastAsia="宋体" w:cs="宋体"/>
          <w:color w:val="auto"/>
          <w:sz w:val="24"/>
          <w:szCs w:val="21"/>
          <w:lang w:eastAsia="zh-CN"/>
        </w:rPr>
        <w:t>厨房工作人员和管理人员需经专业培训，避免不必要浪费，降低成本，并提高效益。</w:t>
      </w:r>
    </w:p>
    <w:p w14:paraId="43BA5ABB">
      <w:pPr>
        <w:numPr>
          <w:ilvl w:val="0"/>
          <w:numId w:val="15"/>
        </w:numPr>
        <w:spacing w:line="360" w:lineRule="auto"/>
        <w:ind w:left="0" w:leftChars="0" w:firstLine="480" w:firstLineChars="200"/>
        <w:rPr>
          <w:rFonts w:hint="eastAsia" w:ascii="宋体" w:hAnsi="宋体" w:eastAsia="宋体" w:cs="宋体"/>
          <w:color w:val="auto"/>
          <w:sz w:val="24"/>
          <w:szCs w:val="21"/>
          <w:lang w:eastAsia="zh-CN"/>
        </w:rPr>
      </w:pPr>
      <w:r>
        <w:rPr>
          <w:rFonts w:hint="eastAsia" w:ascii="宋体" w:hAnsi="宋体" w:eastAsia="宋体" w:cs="宋体"/>
          <w:color w:val="auto"/>
          <w:sz w:val="24"/>
          <w:szCs w:val="21"/>
          <w:lang w:eastAsia="zh-CN"/>
        </w:rPr>
        <w:t>提升烹调技艺，开发适销对路的菜品，销售过程中控制每单位菜品的质量，加强预估核算，减少剩菜浪费。</w:t>
      </w:r>
    </w:p>
    <w:p w14:paraId="6A697C4A">
      <w:pPr>
        <w:keepNext w:val="0"/>
        <w:keepLines w:val="0"/>
        <w:pageBreakBefore w:val="0"/>
        <w:widowControl w:val="0"/>
        <w:numPr>
          <w:ilvl w:val="0"/>
          <w:numId w:val="14"/>
        </w:numPr>
        <w:kinsoku/>
        <w:wordWrap/>
        <w:overflowPunct/>
        <w:topLinePunct w:val="0"/>
        <w:autoSpaceDE/>
        <w:autoSpaceDN/>
        <w:bidi w:val="0"/>
        <w:adjustRightInd/>
        <w:snapToGrid/>
        <w:spacing w:line="48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设施设备</w:t>
      </w:r>
    </w:p>
    <w:p w14:paraId="4B296F1B">
      <w:pPr>
        <w:numPr>
          <w:ilvl w:val="0"/>
          <w:numId w:val="16"/>
        </w:numPr>
        <w:spacing w:line="360" w:lineRule="auto"/>
        <w:ind w:left="0" w:leftChars="0" w:firstLine="480" w:firstLineChars="200"/>
        <w:rPr>
          <w:rFonts w:hint="eastAsia" w:ascii="宋体" w:hAnsi="宋体" w:eastAsia="宋体" w:cs="宋体"/>
          <w:color w:val="auto"/>
          <w:sz w:val="24"/>
          <w:szCs w:val="21"/>
          <w:lang w:val="en-US" w:eastAsia="zh-CN"/>
        </w:rPr>
      </w:pPr>
      <w:r>
        <w:rPr>
          <w:rFonts w:hint="eastAsia" w:ascii="宋体" w:hAnsi="宋体" w:cs="宋体"/>
          <w:color w:val="auto"/>
          <w:sz w:val="24"/>
          <w:szCs w:val="21"/>
          <w:lang w:val="en-US" w:eastAsia="zh-CN"/>
        </w:rPr>
        <w:t>采购人</w:t>
      </w:r>
      <w:r>
        <w:rPr>
          <w:rFonts w:hint="eastAsia" w:ascii="宋体" w:hAnsi="宋体" w:eastAsia="宋体" w:cs="宋体"/>
          <w:color w:val="auto"/>
          <w:sz w:val="24"/>
          <w:szCs w:val="21"/>
          <w:lang w:eastAsia="zh-CN"/>
        </w:rPr>
        <w:t>将食堂及现有设备无偿提供给</w:t>
      </w:r>
      <w:r>
        <w:rPr>
          <w:rFonts w:hint="eastAsia" w:cs="宋体"/>
          <w:color w:val="auto"/>
          <w:sz w:val="24"/>
          <w:szCs w:val="21"/>
          <w:lang w:eastAsia="zh-CN"/>
        </w:rPr>
        <w:t>乙方</w:t>
      </w:r>
      <w:r>
        <w:rPr>
          <w:rFonts w:hint="eastAsia" w:ascii="宋体" w:hAnsi="宋体" w:eastAsia="宋体" w:cs="宋体"/>
          <w:color w:val="auto"/>
          <w:sz w:val="24"/>
          <w:szCs w:val="21"/>
          <w:lang w:eastAsia="zh-CN"/>
        </w:rPr>
        <w:t>使用，包括场地、厨具、餐桌椅、餐具、水、电、煤气、</w:t>
      </w:r>
      <w:r>
        <w:rPr>
          <w:rFonts w:hint="eastAsia" w:ascii="宋体" w:hAnsi="宋体" w:eastAsia="宋体" w:cs="宋体"/>
          <w:color w:val="auto"/>
          <w:sz w:val="24"/>
          <w:szCs w:val="21"/>
          <w:lang w:val="en-US" w:eastAsia="zh-CN"/>
        </w:rPr>
        <w:t>空调</w:t>
      </w:r>
      <w:r>
        <w:rPr>
          <w:rFonts w:hint="eastAsia" w:ascii="宋体" w:hAnsi="宋体" w:eastAsia="宋体" w:cs="宋体"/>
          <w:color w:val="auto"/>
          <w:sz w:val="24"/>
          <w:szCs w:val="21"/>
          <w:lang w:eastAsia="zh-CN"/>
        </w:rPr>
        <w:t>等，</w:t>
      </w:r>
      <w:r>
        <w:rPr>
          <w:rFonts w:hint="eastAsia" w:ascii="宋体" w:hAnsi="宋体" w:cs="宋体"/>
          <w:color w:val="auto"/>
          <w:sz w:val="24"/>
          <w:szCs w:val="21"/>
          <w:lang w:val="en-US" w:eastAsia="zh-CN"/>
        </w:rPr>
        <w:t>供应商</w:t>
      </w:r>
      <w:r>
        <w:rPr>
          <w:rFonts w:hint="eastAsia" w:ascii="宋体" w:hAnsi="宋体" w:eastAsia="宋体" w:cs="宋体"/>
          <w:color w:val="auto"/>
          <w:sz w:val="24"/>
          <w:szCs w:val="21"/>
          <w:lang w:eastAsia="zh-CN"/>
        </w:rPr>
        <w:t>在承包期间要自觉维护好厨房设施，使用过程中损坏的要及时维修，有关费用</w:t>
      </w:r>
      <w:r>
        <w:rPr>
          <w:rFonts w:hint="eastAsia" w:ascii="宋体" w:hAnsi="宋体" w:eastAsia="宋体" w:cs="宋体"/>
          <w:color w:val="auto"/>
          <w:sz w:val="24"/>
          <w:szCs w:val="21"/>
          <w:lang w:val="en-US" w:eastAsia="zh-CN"/>
        </w:rPr>
        <w:t>由</w:t>
      </w:r>
      <w:r>
        <w:rPr>
          <w:rFonts w:hint="eastAsia" w:ascii="宋体" w:hAnsi="宋体" w:cs="宋体"/>
          <w:color w:val="auto"/>
          <w:sz w:val="24"/>
          <w:szCs w:val="21"/>
          <w:lang w:val="en-US" w:eastAsia="zh-CN"/>
        </w:rPr>
        <w:t>供应商</w:t>
      </w:r>
      <w:r>
        <w:rPr>
          <w:rFonts w:hint="eastAsia" w:ascii="宋体" w:hAnsi="宋体" w:eastAsia="宋体" w:cs="宋体"/>
          <w:color w:val="auto"/>
          <w:sz w:val="24"/>
          <w:szCs w:val="21"/>
          <w:lang w:eastAsia="zh-CN"/>
        </w:rPr>
        <w:t>自行承担。易损品（如餐具等）损坏要及时报</w:t>
      </w:r>
      <w:r>
        <w:rPr>
          <w:rFonts w:hint="eastAsia" w:ascii="宋体" w:hAnsi="宋体" w:eastAsia="宋体" w:cs="宋体"/>
          <w:color w:val="auto"/>
          <w:sz w:val="24"/>
          <w:szCs w:val="21"/>
          <w:lang w:val="en-US" w:eastAsia="zh-CN"/>
        </w:rPr>
        <w:t>采购人</w:t>
      </w:r>
      <w:r>
        <w:rPr>
          <w:rFonts w:hint="eastAsia" w:ascii="宋体" w:hAnsi="宋体" w:eastAsia="宋体" w:cs="宋体"/>
          <w:color w:val="auto"/>
          <w:sz w:val="24"/>
          <w:szCs w:val="21"/>
          <w:lang w:eastAsia="zh-CN"/>
        </w:rPr>
        <w:t>核实，</w:t>
      </w:r>
      <w:r>
        <w:rPr>
          <w:rFonts w:hint="eastAsia" w:ascii="宋体" w:hAnsi="宋体" w:cs="宋体"/>
          <w:color w:val="auto"/>
          <w:sz w:val="24"/>
          <w:szCs w:val="21"/>
          <w:lang w:val="en-US" w:eastAsia="zh-CN"/>
        </w:rPr>
        <w:t>采购人</w:t>
      </w:r>
      <w:r>
        <w:rPr>
          <w:rFonts w:hint="eastAsia" w:ascii="宋体" w:hAnsi="宋体" w:eastAsia="宋体" w:cs="宋体"/>
          <w:color w:val="auto"/>
          <w:sz w:val="24"/>
          <w:szCs w:val="21"/>
          <w:lang w:eastAsia="zh-CN"/>
        </w:rPr>
        <w:t>视情况核销和增补。承包到期后，</w:t>
      </w:r>
      <w:r>
        <w:rPr>
          <w:rFonts w:hint="eastAsia" w:ascii="宋体" w:hAnsi="宋体" w:cs="宋体"/>
          <w:color w:val="auto"/>
          <w:sz w:val="24"/>
          <w:szCs w:val="21"/>
          <w:lang w:val="en-US" w:eastAsia="zh-CN"/>
        </w:rPr>
        <w:t>供应商</w:t>
      </w:r>
      <w:r>
        <w:rPr>
          <w:rFonts w:hint="eastAsia" w:ascii="宋体" w:hAnsi="宋体" w:eastAsia="宋体" w:cs="宋体"/>
          <w:color w:val="auto"/>
          <w:sz w:val="24"/>
          <w:szCs w:val="21"/>
          <w:lang w:eastAsia="zh-CN"/>
        </w:rPr>
        <w:t>应如数归还</w:t>
      </w:r>
      <w:r>
        <w:rPr>
          <w:rFonts w:hint="eastAsia" w:ascii="宋体" w:hAnsi="宋体" w:eastAsia="宋体" w:cs="宋体"/>
          <w:color w:val="auto"/>
          <w:sz w:val="24"/>
          <w:szCs w:val="21"/>
          <w:lang w:val="en-US" w:eastAsia="zh-CN"/>
        </w:rPr>
        <w:t>采购人</w:t>
      </w:r>
      <w:r>
        <w:rPr>
          <w:rFonts w:hint="eastAsia" w:ascii="宋体" w:hAnsi="宋体" w:eastAsia="宋体" w:cs="宋体"/>
          <w:color w:val="auto"/>
          <w:sz w:val="24"/>
          <w:szCs w:val="21"/>
          <w:lang w:eastAsia="zh-CN"/>
        </w:rPr>
        <w:t>提供的基本硬件设施（经同意核销的除外），损坏的应作价赔偿；</w:t>
      </w:r>
    </w:p>
    <w:p w14:paraId="42B6839A">
      <w:pPr>
        <w:numPr>
          <w:ilvl w:val="0"/>
          <w:numId w:val="16"/>
        </w:numPr>
        <w:spacing w:line="360" w:lineRule="auto"/>
        <w:ind w:left="0" w:leftChars="0" w:firstLine="480" w:firstLineChars="200"/>
        <w:rPr>
          <w:rFonts w:hint="eastAsia" w:ascii="宋体" w:hAnsi="宋体" w:eastAsia="宋体" w:cs="宋体"/>
          <w:color w:val="auto"/>
          <w:sz w:val="24"/>
          <w:szCs w:val="21"/>
          <w:lang w:val="en-US" w:eastAsia="zh-CN"/>
        </w:rPr>
      </w:pPr>
      <w:r>
        <w:rPr>
          <w:rFonts w:hint="eastAsia" w:ascii="宋体" w:hAnsi="宋体" w:eastAsia="宋体" w:cs="宋体"/>
          <w:color w:val="auto"/>
          <w:sz w:val="24"/>
          <w:szCs w:val="21"/>
          <w:lang w:eastAsia="zh-CN"/>
        </w:rPr>
        <w:t>按照目前食堂的设备，设施进行检验、登记，中标人需负责管理、保养和使用，并接受</w:t>
      </w:r>
      <w:r>
        <w:rPr>
          <w:rFonts w:hint="eastAsia" w:ascii="宋体" w:hAnsi="宋体" w:cs="宋体"/>
          <w:color w:val="auto"/>
          <w:sz w:val="24"/>
          <w:szCs w:val="21"/>
          <w:lang w:val="en-US" w:eastAsia="zh-CN"/>
        </w:rPr>
        <w:t>采购人</w:t>
      </w:r>
      <w:r>
        <w:rPr>
          <w:rFonts w:hint="eastAsia" w:ascii="宋体" w:hAnsi="宋体" w:eastAsia="宋体" w:cs="宋体"/>
          <w:color w:val="auto"/>
          <w:sz w:val="24"/>
          <w:szCs w:val="21"/>
          <w:lang w:eastAsia="zh-CN"/>
        </w:rPr>
        <w:t>对其经营运行的监督检查。使用过程中如发现食堂设备有需要维修，更新添置新设备，须按相关程序开展审批，同意后再进行购置。</w:t>
      </w:r>
    </w:p>
    <w:p w14:paraId="1C6D38C2">
      <w:pPr>
        <w:keepNext w:val="0"/>
        <w:keepLines w:val="0"/>
        <w:pageBreakBefore w:val="0"/>
        <w:widowControl w:val="0"/>
        <w:numPr>
          <w:ilvl w:val="0"/>
          <w:numId w:val="14"/>
        </w:numPr>
        <w:kinsoku/>
        <w:wordWrap/>
        <w:overflowPunct/>
        <w:topLinePunct w:val="0"/>
        <w:autoSpaceDE/>
        <w:autoSpaceDN/>
        <w:bidi w:val="0"/>
        <w:adjustRightInd/>
        <w:snapToGrid/>
        <w:spacing w:line="48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安全、卫生及责任</w:t>
      </w:r>
    </w:p>
    <w:p w14:paraId="2DEB6EA4">
      <w:pPr>
        <w:numPr>
          <w:ilvl w:val="0"/>
          <w:numId w:val="17"/>
        </w:numPr>
        <w:spacing w:line="360" w:lineRule="auto"/>
        <w:ind w:left="0" w:leftChars="0" w:firstLine="480" w:firstLineChars="200"/>
        <w:rPr>
          <w:rFonts w:hint="eastAsia" w:ascii="宋体" w:hAnsi="宋体" w:eastAsia="宋体" w:cs="宋体"/>
          <w:color w:val="auto"/>
          <w:sz w:val="24"/>
          <w:szCs w:val="21"/>
          <w:lang w:eastAsia="zh-CN"/>
        </w:rPr>
      </w:pPr>
      <w:r>
        <w:rPr>
          <w:rFonts w:hint="eastAsia" w:ascii="宋体" w:hAnsi="宋体" w:cs="宋体"/>
          <w:color w:val="auto"/>
          <w:sz w:val="24"/>
          <w:szCs w:val="21"/>
          <w:lang w:val="en-US" w:eastAsia="zh-CN"/>
        </w:rPr>
        <w:t>采购人</w:t>
      </w:r>
      <w:r>
        <w:rPr>
          <w:rFonts w:hint="eastAsia" w:ascii="宋体" w:hAnsi="宋体" w:eastAsia="宋体" w:cs="宋体"/>
          <w:color w:val="auto"/>
          <w:sz w:val="24"/>
          <w:szCs w:val="21"/>
          <w:lang w:eastAsia="zh-CN"/>
        </w:rPr>
        <w:t>负责对食堂的监督管理，定期和不定期对菜肴质量、品种、价格、服务、卫生、安全等进行监督检查，提出整改意见并告知</w:t>
      </w:r>
      <w:r>
        <w:rPr>
          <w:rFonts w:hint="eastAsia" w:ascii="宋体" w:hAnsi="宋体" w:cs="宋体"/>
          <w:color w:val="auto"/>
          <w:sz w:val="24"/>
          <w:szCs w:val="21"/>
          <w:lang w:val="en-US" w:eastAsia="zh-CN"/>
        </w:rPr>
        <w:t>供应商</w:t>
      </w:r>
      <w:r>
        <w:rPr>
          <w:rFonts w:hint="eastAsia" w:ascii="宋体" w:hAnsi="宋体" w:eastAsia="宋体" w:cs="宋体"/>
          <w:color w:val="auto"/>
          <w:sz w:val="24"/>
          <w:szCs w:val="21"/>
          <w:lang w:eastAsia="zh-CN"/>
        </w:rPr>
        <w:t>，对检查过程中发现的问题有权要求</w:t>
      </w:r>
      <w:r>
        <w:rPr>
          <w:rFonts w:hint="eastAsia" w:ascii="宋体" w:hAnsi="宋体" w:cs="宋体"/>
          <w:color w:val="auto"/>
          <w:sz w:val="24"/>
          <w:szCs w:val="21"/>
          <w:lang w:val="en-US" w:eastAsia="zh-CN"/>
        </w:rPr>
        <w:t>供应商</w:t>
      </w:r>
      <w:r>
        <w:rPr>
          <w:rFonts w:hint="eastAsia" w:ascii="宋体" w:hAnsi="宋体" w:eastAsia="宋体" w:cs="宋体"/>
          <w:color w:val="auto"/>
          <w:sz w:val="24"/>
          <w:szCs w:val="21"/>
          <w:lang w:eastAsia="zh-CN"/>
        </w:rPr>
        <w:t>及时采取措施予以改进；</w:t>
      </w:r>
    </w:p>
    <w:p w14:paraId="672C20A5">
      <w:pPr>
        <w:numPr>
          <w:ilvl w:val="0"/>
          <w:numId w:val="17"/>
        </w:numPr>
        <w:spacing w:line="360" w:lineRule="auto"/>
        <w:ind w:left="0" w:leftChars="0" w:firstLine="480" w:firstLineChars="200"/>
        <w:rPr>
          <w:rFonts w:hint="eastAsia" w:ascii="宋体" w:hAnsi="宋体" w:eastAsia="宋体" w:cs="宋体"/>
          <w:color w:val="auto"/>
          <w:sz w:val="24"/>
          <w:szCs w:val="21"/>
          <w:lang w:eastAsia="zh-CN"/>
        </w:rPr>
      </w:pPr>
      <w:r>
        <w:rPr>
          <w:rFonts w:hint="eastAsia" w:ascii="宋体" w:hAnsi="宋体" w:cs="宋体"/>
          <w:color w:val="auto"/>
          <w:sz w:val="24"/>
          <w:szCs w:val="21"/>
          <w:lang w:val="en-US" w:eastAsia="zh-CN"/>
        </w:rPr>
        <w:t>供应商</w:t>
      </w:r>
      <w:r>
        <w:rPr>
          <w:rFonts w:hint="eastAsia" w:ascii="宋体" w:hAnsi="宋体" w:eastAsia="宋体" w:cs="宋体"/>
          <w:color w:val="auto"/>
          <w:sz w:val="24"/>
          <w:szCs w:val="21"/>
          <w:lang w:eastAsia="zh-CN"/>
        </w:rPr>
        <w:t>应加强食堂管理，不断丰富菜肴品种，改进就餐质量，菜肴配制上尽量做好品种多样，口味上佳，求新鲜，求卫生，要求向</w:t>
      </w:r>
      <w:r>
        <w:rPr>
          <w:rFonts w:hint="eastAsia" w:ascii="宋体" w:hAnsi="宋体" w:cs="宋体"/>
          <w:color w:val="auto"/>
          <w:sz w:val="24"/>
          <w:szCs w:val="21"/>
          <w:lang w:val="en-US" w:eastAsia="zh-CN"/>
        </w:rPr>
        <w:t>采购人</w:t>
      </w:r>
      <w:r>
        <w:rPr>
          <w:rFonts w:hint="eastAsia" w:ascii="宋体" w:hAnsi="宋体" w:eastAsia="宋体" w:cs="宋体"/>
          <w:color w:val="auto"/>
          <w:sz w:val="24"/>
          <w:szCs w:val="21"/>
          <w:lang w:eastAsia="zh-CN"/>
        </w:rPr>
        <w:t>提前报送一周菜谱，每天须上墙公布当日菜单。同时，</w:t>
      </w:r>
      <w:r>
        <w:rPr>
          <w:rFonts w:hint="eastAsia" w:ascii="宋体" w:hAnsi="宋体" w:cs="宋体"/>
          <w:color w:val="auto"/>
          <w:sz w:val="24"/>
          <w:szCs w:val="21"/>
          <w:lang w:val="en-US" w:eastAsia="zh-CN"/>
        </w:rPr>
        <w:t>采购人</w:t>
      </w:r>
      <w:r>
        <w:rPr>
          <w:rFonts w:hint="eastAsia" w:ascii="宋体" w:hAnsi="宋体" w:eastAsia="宋体" w:cs="宋体"/>
          <w:color w:val="auto"/>
          <w:sz w:val="24"/>
          <w:szCs w:val="21"/>
          <w:lang w:val="en-US" w:eastAsia="zh-CN"/>
        </w:rPr>
        <w:t>需</w:t>
      </w:r>
      <w:r>
        <w:rPr>
          <w:rFonts w:hint="eastAsia" w:ascii="宋体" w:hAnsi="宋体" w:eastAsia="宋体" w:cs="宋体"/>
          <w:color w:val="auto"/>
          <w:sz w:val="24"/>
          <w:szCs w:val="21"/>
          <w:lang w:eastAsia="zh-CN"/>
        </w:rPr>
        <w:t>将食堂改进情况，每月进行一次公开评价。</w:t>
      </w:r>
    </w:p>
    <w:p w14:paraId="6CD5F1CD">
      <w:pPr>
        <w:numPr>
          <w:ilvl w:val="0"/>
          <w:numId w:val="17"/>
        </w:numPr>
        <w:spacing w:line="360" w:lineRule="auto"/>
        <w:ind w:left="0" w:leftChars="0" w:firstLine="480" w:firstLineChars="200"/>
        <w:rPr>
          <w:rFonts w:hint="eastAsia" w:ascii="宋体" w:hAnsi="宋体" w:eastAsia="宋体" w:cs="宋体"/>
          <w:color w:val="auto"/>
          <w:sz w:val="24"/>
          <w:szCs w:val="21"/>
          <w:lang w:eastAsia="zh-CN"/>
        </w:rPr>
      </w:pPr>
      <w:r>
        <w:rPr>
          <w:rFonts w:hint="eastAsia" w:cs="宋体"/>
          <w:color w:val="auto"/>
          <w:sz w:val="24"/>
          <w:szCs w:val="21"/>
          <w:lang w:val="en-US" w:eastAsia="zh-CN"/>
        </w:rPr>
        <w:t>供应商</w:t>
      </w:r>
      <w:r>
        <w:rPr>
          <w:rFonts w:hint="eastAsia" w:ascii="宋体" w:hAnsi="宋体" w:eastAsia="宋体" w:cs="宋体"/>
          <w:color w:val="auto"/>
          <w:sz w:val="24"/>
          <w:szCs w:val="21"/>
          <w:lang w:eastAsia="zh-CN"/>
        </w:rPr>
        <w:t>应严格按照《中华人民共和国食品安全法》的有关要求，规范操作，统一着装，严把食品卫生关，做好灭蝇、灭蟑、</w:t>
      </w:r>
      <w:r>
        <w:rPr>
          <w:rFonts w:hint="eastAsia" w:ascii="宋体" w:hAnsi="宋体" w:eastAsia="宋体" w:cs="宋体"/>
          <w:color w:val="auto"/>
          <w:sz w:val="24"/>
          <w:szCs w:val="21"/>
          <w:lang w:val="en-US" w:eastAsia="zh-CN"/>
        </w:rPr>
        <w:t>灭蜂、</w:t>
      </w:r>
      <w:r>
        <w:rPr>
          <w:rFonts w:hint="eastAsia" w:ascii="宋体" w:hAnsi="宋体" w:eastAsia="宋体" w:cs="宋体"/>
          <w:color w:val="auto"/>
          <w:sz w:val="24"/>
          <w:szCs w:val="21"/>
          <w:lang w:eastAsia="zh-CN"/>
        </w:rPr>
        <w:t>灭鼠工作，谨防食物中毒和肠道传染病的发生。发生疑似食物中毒事件</w:t>
      </w:r>
      <w:r>
        <w:rPr>
          <w:rFonts w:hint="eastAsia" w:ascii="宋体" w:hAnsi="宋体" w:cs="宋体"/>
          <w:color w:val="auto"/>
          <w:sz w:val="24"/>
          <w:szCs w:val="21"/>
          <w:lang w:val="en-US" w:eastAsia="zh-CN"/>
        </w:rPr>
        <w:t>的</w:t>
      </w:r>
      <w:r>
        <w:rPr>
          <w:rFonts w:hint="eastAsia" w:ascii="宋体" w:hAnsi="宋体" w:eastAsia="宋体" w:cs="宋体"/>
          <w:color w:val="auto"/>
          <w:sz w:val="24"/>
          <w:szCs w:val="21"/>
          <w:lang w:eastAsia="zh-CN"/>
        </w:rPr>
        <w:t>，</w:t>
      </w:r>
      <w:r>
        <w:rPr>
          <w:rFonts w:hint="eastAsia" w:cs="宋体"/>
          <w:color w:val="auto"/>
          <w:sz w:val="24"/>
          <w:szCs w:val="21"/>
          <w:lang w:val="en-US" w:eastAsia="zh-CN"/>
        </w:rPr>
        <w:t>供应商</w:t>
      </w:r>
      <w:r>
        <w:rPr>
          <w:rFonts w:hint="eastAsia" w:ascii="宋体" w:hAnsi="宋体" w:cs="宋体"/>
          <w:color w:val="auto"/>
          <w:sz w:val="24"/>
          <w:szCs w:val="21"/>
          <w:lang w:eastAsia="zh-CN"/>
        </w:rPr>
        <w:t>应立即配合</w:t>
      </w:r>
      <w:r>
        <w:rPr>
          <w:rFonts w:hint="eastAsia" w:ascii="宋体" w:hAnsi="宋体" w:eastAsia="宋体" w:cs="宋体"/>
          <w:color w:val="auto"/>
          <w:sz w:val="24"/>
          <w:szCs w:val="21"/>
          <w:lang w:eastAsia="zh-CN"/>
        </w:rPr>
        <w:t>封</w:t>
      </w:r>
      <w:r>
        <w:rPr>
          <w:rFonts w:hint="eastAsia" w:ascii="宋体" w:hAnsi="宋体" w:cs="宋体"/>
          <w:color w:val="auto"/>
          <w:sz w:val="24"/>
          <w:szCs w:val="21"/>
          <w:lang w:eastAsia="zh-CN"/>
        </w:rPr>
        <w:t>存</w:t>
      </w:r>
      <w:r>
        <w:rPr>
          <w:rFonts w:hint="eastAsia" w:ascii="宋体" w:hAnsi="宋体" w:eastAsia="宋体" w:cs="宋体"/>
          <w:color w:val="auto"/>
          <w:sz w:val="24"/>
          <w:szCs w:val="21"/>
          <w:lang w:eastAsia="zh-CN"/>
        </w:rPr>
        <w:t>样</w:t>
      </w:r>
      <w:r>
        <w:rPr>
          <w:rFonts w:hint="eastAsia" w:ascii="宋体" w:hAnsi="宋体" w:cs="宋体"/>
          <w:color w:val="auto"/>
          <w:sz w:val="24"/>
          <w:szCs w:val="21"/>
          <w:lang w:eastAsia="zh-CN"/>
        </w:rPr>
        <w:t>品送</w:t>
      </w:r>
      <w:r>
        <w:rPr>
          <w:rFonts w:hint="eastAsia" w:ascii="宋体" w:hAnsi="宋体" w:eastAsia="宋体" w:cs="宋体"/>
          <w:color w:val="auto"/>
          <w:sz w:val="24"/>
          <w:szCs w:val="21"/>
          <w:lang w:eastAsia="zh-CN"/>
        </w:rPr>
        <w:t>检，经</w:t>
      </w:r>
      <w:r>
        <w:rPr>
          <w:rFonts w:hint="eastAsia" w:ascii="宋体" w:hAnsi="宋体" w:cs="宋体"/>
          <w:color w:val="auto"/>
          <w:sz w:val="24"/>
          <w:szCs w:val="21"/>
          <w:lang w:eastAsia="zh-CN"/>
        </w:rPr>
        <w:t>检验确属</w:t>
      </w:r>
      <w:r>
        <w:rPr>
          <w:rFonts w:hint="eastAsia" w:cs="宋体"/>
          <w:color w:val="auto"/>
          <w:sz w:val="24"/>
          <w:szCs w:val="21"/>
          <w:lang w:val="en-US" w:eastAsia="zh-CN"/>
        </w:rPr>
        <w:t>供应商</w:t>
      </w:r>
      <w:r>
        <w:rPr>
          <w:rFonts w:hint="eastAsia" w:ascii="宋体" w:hAnsi="宋体" w:cs="宋体"/>
          <w:color w:val="auto"/>
          <w:sz w:val="24"/>
          <w:szCs w:val="21"/>
          <w:lang w:eastAsia="zh-CN"/>
        </w:rPr>
        <w:t>提供食品不符合安全标准导致的</w:t>
      </w:r>
      <w:r>
        <w:rPr>
          <w:rFonts w:hint="eastAsia" w:ascii="宋体" w:hAnsi="宋体" w:eastAsia="宋体" w:cs="宋体"/>
          <w:color w:val="auto"/>
          <w:sz w:val="24"/>
          <w:szCs w:val="21"/>
          <w:lang w:eastAsia="zh-CN"/>
        </w:rPr>
        <w:t>，</w:t>
      </w:r>
      <w:r>
        <w:rPr>
          <w:rFonts w:hint="eastAsia" w:ascii="宋体" w:hAnsi="宋体" w:cs="宋体"/>
          <w:color w:val="auto"/>
          <w:sz w:val="24"/>
          <w:szCs w:val="21"/>
          <w:lang w:eastAsia="zh-CN"/>
        </w:rPr>
        <w:t>由</w:t>
      </w:r>
      <w:r>
        <w:rPr>
          <w:rFonts w:hint="eastAsia" w:cs="宋体"/>
          <w:color w:val="auto"/>
          <w:sz w:val="24"/>
          <w:szCs w:val="21"/>
          <w:lang w:val="en-US" w:eastAsia="zh-CN"/>
        </w:rPr>
        <w:t>供应商</w:t>
      </w:r>
      <w:r>
        <w:rPr>
          <w:rFonts w:hint="eastAsia" w:ascii="宋体" w:hAnsi="宋体" w:cs="宋体"/>
          <w:color w:val="auto"/>
          <w:sz w:val="24"/>
          <w:szCs w:val="21"/>
          <w:lang w:eastAsia="zh-CN"/>
        </w:rPr>
        <w:t>承担全部相关</w:t>
      </w:r>
      <w:r>
        <w:rPr>
          <w:rFonts w:hint="eastAsia" w:ascii="宋体" w:hAnsi="宋体" w:eastAsia="宋体" w:cs="宋体"/>
          <w:color w:val="auto"/>
          <w:sz w:val="24"/>
          <w:szCs w:val="21"/>
          <w:lang w:eastAsia="zh-CN"/>
        </w:rPr>
        <w:t>责任。</w:t>
      </w:r>
    </w:p>
    <w:p w14:paraId="64A01A8D">
      <w:pPr>
        <w:numPr>
          <w:ilvl w:val="0"/>
          <w:numId w:val="17"/>
        </w:numPr>
        <w:spacing w:line="360" w:lineRule="auto"/>
        <w:ind w:left="0" w:leftChars="0" w:firstLine="480" w:firstLineChars="200"/>
        <w:rPr>
          <w:rFonts w:hint="eastAsia" w:ascii="宋体" w:hAnsi="宋体" w:eastAsia="宋体" w:cs="宋体"/>
          <w:color w:val="auto"/>
          <w:sz w:val="24"/>
          <w:szCs w:val="21"/>
          <w:lang w:eastAsia="zh-CN"/>
        </w:rPr>
      </w:pPr>
      <w:r>
        <w:rPr>
          <w:rFonts w:hint="eastAsia" w:ascii="宋体" w:hAnsi="宋体" w:eastAsia="宋体" w:cs="宋体"/>
          <w:color w:val="auto"/>
          <w:sz w:val="24"/>
          <w:szCs w:val="21"/>
          <w:lang w:eastAsia="zh-CN"/>
        </w:rPr>
        <w:t>工作人员应遵守国家的法律、法规及相关安全、消防综合治理等有关制度规定，严防失窃、烫伤等意外事故发生，每天下班前关好炉灶、门窗，切断电、气源，防止各种事故发生。</w:t>
      </w:r>
    </w:p>
    <w:p w14:paraId="77063DEC">
      <w:pPr>
        <w:numPr>
          <w:ilvl w:val="0"/>
          <w:numId w:val="17"/>
        </w:numPr>
        <w:spacing w:line="360" w:lineRule="auto"/>
        <w:ind w:left="0" w:leftChars="0" w:firstLine="480" w:firstLineChars="200"/>
        <w:rPr>
          <w:rFonts w:hint="eastAsia" w:ascii="宋体" w:hAnsi="宋体" w:eastAsia="宋体" w:cs="宋体"/>
          <w:color w:val="auto"/>
          <w:sz w:val="24"/>
          <w:szCs w:val="21"/>
          <w:lang w:eastAsia="zh-CN"/>
        </w:rPr>
      </w:pPr>
      <w:r>
        <w:rPr>
          <w:rFonts w:hint="eastAsia" w:cs="宋体"/>
          <w:color w:val="auto"/>
          <w:sz w:val="24"/>
          <w:szCs w:val="21"/>
          <w:lang w:val="en-US" w:eastAsia="zh-CN"/>
        </w:rPr>
        <w:t>供应商</w:t>
      </w:r>
      <w:r>
        <w:rPr>
          <w:rFonts w:hint="eastAsia" w:ascii="宋体" w:hAnsi="宋体" w:eastAsia="宋体" w:cs="宋体"/>
          <w:color w:val="auto"/>
          <w:sz w:val="24"/>
          <w:szCs w:val="21"/>
          <w:lang w:eastAsia="zh-CN"/>
        </w:rPr>
        <w:t>应加强环境卫生管理，做好食堂设施、设备的保养清洁工作，同时做好食堂垃圾处置工作。</w:t>
      </w:r>
    </w:p>
    <w:p w14:paraId="4EB98A5D">
      <w:pPr>
        <w:keepNext w:val="0"/>
        <w:keepLines w:val="0"/>
        <w:pageBreakBefore w:val="0"/>
        <w:widowControl w:val="0"/>
        <w:numPr>
          <w:ilvl w:val="0"/>
          <w:numId w:val="14"/>
        </w:numPr>
        <w:kinsoku/>
        <w:wordWrap/>
        <w:overflowPunct/>
        <w:topLinePunct w:val="0"/>
        <w:autoSpaceDE/>
        <w:autoSpaceDN/>
        <w:bidi w:val="0"/>
        <w:adjustRightInd/>
        <w:snapToGrid/>
        <w:spacing w:line="48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日常事务管理</w:t>
      </w:r>
    </w:p>
    <w:p w14:paraId="14D39251">
      <w:pPr>
        <w:numPr>
          <w:ilvl w:val="0"/>
          <w:numId w:val="18"/>
        </w:numPr>
        <w:spacing w:line="360" w:lineRule="auto"/>
        <w:ind w:left="0" w:leftChars="0" w:firstLine="480" w:firstLineChars="200"/>
        <w:rPr>
          <w:rFonts w:hint="eastAsia" w:ascii="宋体" w:hAnsi="宋体" w:eastAsia="宋体" w:cs="宋体"/>
          <w:color w:val="auto"/>
          <w:sz w:val="24"/>
          <w:szCs w:val="21"/>
          <w:lang w:eastAsia="zh-CN"/>
        </w:rPr>
      </w:pPr>
      <w:r>
        <w:rPr>
          <w:rFonts w:hint="eastAsia" w:cs="宋体"/>
          <w:color w:val="auto"/>
          <w:sz w:val="24"/>
          <w:szCs w:val="21"/>
          <w:lang w:val="en-US" w:eastAsia="zh-CN"/>
        </w:rPr>
        <w:t>供应商</w:t>
      </w:r>
      <w:r>
        <w:rPr>
          <w:rFonts w:hint="eastAsia" w:ascii="宋体" w:hAnsi="宋体" w:eastAsia="宋体" w:cs="宋体"/>
          <w:color w:val="auto"/>
          <w:sz w:val="24"/>
          <w:szCs w:val="21"/>
          <w:lang w:eastAsia="zh-CN"/>
        </w:rPr>
        <w:t>要按“五常法”要求负责做好食品索证、消毒、留样等工作，认真做好记录。并加强对员工的培训。</w:t>
      </w:r>
    </w:p>
    <w:p w14:paraId="4FB2A2FD">
      <w:pPr>
        <w:numPr>
          <w:ilvl w:val="0"/>
          <w:numId w:val="18"/>
        </w:numPr>
        <w:spacing w:line="360" w:lineRule="auto"/>
        <w:ind w:left="0" w:leftChars="0" w:firstLine="480" w:firstLineChars="200"/>
        <w:rPr>
          <w:rFonts w:hint="eastAsia" w:ascii="宋体" w:hAnsi="宋体" w:eastAsia="宋体" w:cs="宋体"/>
          <w:color w:val="auto"/>
          <w:sz w:val="24"/>
          <w:szCs w:val="21"/>
          <w:lang w:eastAsia="zh-CN"/>
        </w:rPr>
      </w:pPr>
      <w:r>
        <w:rPr>
          <w:rFonts w:hint="eastAsia" w:cs="宋体"/>
          <w:color w:val="auto"/>
          <w:sz w:val="24"/>
          <w:szCs w:val="21"/>
          <w:lang w:val="en-US" w:eastAsia="zh-CN"/>
        </w:rPr>
        <w:t>供应商</w:t>
      </w:r>
      <w:r>
        <w:rPr>
          <w:rFonts w:hint="eastAsia" w:ascii="宋体" w:hAnsi="宋体" w:eastAsia="宋体" w:cs="宋体"/>
          <w:color w:val="auto"/>
          <w:sz w:val="24"/>
          <w:szCs w:val="21"/>
          <w:lang w:eastAsia="zh-CN"/>
        </w:rPr>
        <w:t>根据营养分配及要求，提前制定每周参考菜谱，内容应清楚说明品名、数量、质量、规格，经</w:t>
      </w:r>
      <w:r>
        <w:rPr>
          <w:rFonts w:hint="eastAsia" w:cs="宋体"/>
          <w:color w:val="auto"/>
          <w:sz w:val="24"/>
          <w:szCs w:val="21"/>
          <w:lang w:val="en-US" w:eastAsia="zh-CN"/>
        </w:rPr>
        <w:t>采购人</w:t>
      </w:r>
      <w:r>
        <w:rPr>
          <w:rFonts w:hint="eastAsia" w:ascii="宋体" w:hAnsi="宋体" w:eastAsia="宋体" w:cs="宋体"/>
          <w:color w:val="auto"/>
          <w:sz w:val="24"/>
          <w:szCs w:val="21"/>
          <w:lang w:eastAsia="zh-CN"/>
        </w:rPr>
        <w:t>办公室负责人审核后实施。</w:t>
      </w:r>
    </w:p>
    <w:p w14:paraId="29F5F4F3">
      <w:pPr>
        <w:numPr>
          <w:ilvl w:val="0"/>
          <w:numId w:val="18"/>
        </w:numPr>
        <w:spacing w:line="360" w:lineRule="auto"/>
        <w:ind w:left="0" w:leftChars="0" w:firstLine="480" w:firstLineChars="200"/>
        <w:rPr>
          <w:rFonts w:hint="eastAsia" w:ascii="宋体" w:hAnsi="宋体" w:eastAsia="宋体" w:cs="宋体"/>
          <w:color w:val="auto"/>
          <w:sz w:val="24"/>
          <w:szCs w:val="21"/>
          <w:lang w:eastAsia="zh-CN"/>
        </w:rPr>
      </w:pPr>
      <w:r>
        <w:rPr>
          <w:rFonts w:hint="eastAsia" w:ascii="宋体" w:hAnsi="宋体" w:eastAsia="宋体" w:cs="宋体"/>
          <w:color w:val="auto"/>
          <w:sz w:val="24"/>
          <w:szCs w:val="21"/>
          <w:lang w:eastAsia="zh-CN"/>
        </w:rPr>
        <w:t>为加强食堂管理，</w:t>
      </w:r>
      <w:r>
        <w:rPr>
          <w:rFonts w:hint="eastAsia" w:cs="宋体"/>
          <w:color w:val="auto"/>
          <w:sz w:val="24"/>
          <w:szCs w:val="21"/>
          <w:lang w:val="en-US" w:eastAsia="zh-CN"/>
        </w:rPr>
        <w:t>采购人</w:t>
      </w:r>
      <w:r>
        <w:rPr>
          <w:rFonts w:hint="eastAsia" w:ascii="宋体" w:hAnsi="宋体" w:eastAsia="宋体" w:cs="宋体"/>
          <w:color w:val="auto"/>
          <w:sz w:val="24"/>
          <w:szCs w:val="21"/>
          <w:lang w:eastAsia="zh-CN"/>
        </w:rPr>
        <w:t>指定专人每月听取干部职工对食堂工作意见和建议，并反馈给食堂工作人员，相互沟通，重大事件由双方领导协商解决。</w:t>
      </w:r>
    </w:p>
    <w:p w14:paraId="4FEFED87">
      <w:pPr>
        <w:numPr>
          <w:ilvl w:val="0"/>
          <w:numId w:val="18"/>
        </w:numPr>
        <w:spacing w:line="360" w:lineRule="auto"/>
        <w:ind w:left="0" w:leftChars="0" w:firstLine="480" w:firstLineChars="200"/>
        <w:rPr>
          <w:rFonts w:hint="eastAsia" w:ascii="宋体" w:hAnsi="宋体" w:eastAsia="宋体" w:cs="宋体"/>
          <w:color w:val="auto"/>
          <w:sz w:val="24"/>
          <w:szCs w:val="21"/>
          <w:lang w:eastAsia="zh-CN"/>
        </w:rPr>
      </w:pPr>
      <w:r>
        <w:rPr>
          <w:rFonts w:hint="eastAsia" w:ascii="宋体" w:hAnsi="宋体" w:eastAsia="宋体" w:cs="宋体"/>
          <w:color w:val="auto"/>
          <w:sz w:val="24"/>
          <w:szCs w:val="21"/>
          <w:lang w:eastAsia="zh-CN"/>
        </w:rPr>
        <w:t>检查食堂日常工作，发现工作人员不遵守食堂规章制度，服务不规范，及时纠正，屡教不改，有权向</w:t>
      </w:r>
      <w:r>
        <w:rPr>
          <w:rFonts w:hint="eastAsia" w:cs="宋体"/>
          <w:color w:val="auto"/>
          <w:sz w:val="24"/>
          <w:szCs w:val="21"/>
          <w:lang w:eastAsia="zh-CN"/>
        </w:rPr>
        <w:t>中标人</w:t>
      </w:r>
      <w:r>
        <w:rPr>
          <w:rFonts w:hint="eastAsia" w:ascii="宋体" w:hAnsi="宋体" w:eastAsia="宋体" w:cs="宋体"/>
          <w:color w:val="auto"/>
          <w:sz w:val="24"/>
          <w:szCs w:val="21"/>
          <w:lang w:eastAsia="zh-CN"/>
        </w:rPr>
        <w:t>提出辞退。</w:t>
      </w:r>
    </w:p>
    <w:p w14:paraId="0F646799">
      <w:pPr>
        <w:numPr>
          <w:ilvl w:val="0"/>
          <w:numId w:val="18"/>
        </w:numPr>
        <w:spacing w:line="360" w:lineRule="auto"/>
        <w:ind w:left="0" w:leftChars="0" w:firstLine="480" w:firstLineChars="200"/>
        <w:rPr>
          <w:rFonts w:hint="eastAsia" w:ascii="宋体" w:hAnsi="宋体" w:eastAsia="宋体" w:cs="宋体"/>
          <w:color w:val="auto"/>
          <w:sz w:val="24"/>
          <w:szCs w:val="21"/>
          <w:lang w:eastAsia="zh-CN"/>
        </w:rPr>
      </w:pPr>
      <w:r>
        <w:rPr>
          <w:rFonts w:hint="eastAsia" w:cs="宋体"/>
          <w:color w:val="auto"/>
          <w:sz w:val="24"/>
          <w:szCs w:val="21"/>
          <w:lang w:val="en-US" w:eastAsia="zh-CN"/>
        </w:rPr>
        <w:t>采购人</w:t>
      </w:r>
      <w:r>
        <w:rPr>
          <w:rFonts w:hint="eastAsia" w:ascii="宋体" w:hAnsi="宋体" w:eastAsia="宋体" w:cs="宋体"/>
          <w:color w:val="auto"/>
          <w:sz w:val="24"/>
          <w:szCs w:val="21"/>
          <w:lang w:eastAsia="zh-CN"/>
        </w:rPr>
        <w:t>有权对</w:t>
      </w:r>
      <w:r>
        <w:rPr>
          <w:rFonts w:hint="eastAsia" w:cs="宋体"/>
          <w:color w:val="auto"/>
          <w:sz w:val="24"/>
          <w:szCs w:val="21"/>
          <w:lang w:eastAsia="zh-CN"/>
        </w:rPr>
        <w:t>乙方</w:t>
      </w:r>
      <w:r>
        <w:rPr>
          <w:rFonts w:hint="eastAsia" w:ascii="宋体" w:hAnsi="宋体" w:eastAsia="宋体" w:cs="宋体"/>
          <w:color w:val="auto"/>
          <w:sz w:val="24"/>
          <w:szCs w:val="21"/>
          <w:lang w:eastAsia="zh-CN"/>
        </w:rPr>
        <w:t xml:space="preserve">供餐的制作环境、餐具、服务质量、食堂卫生等进行定期或不定期检查，并提出建议和要求，必要时可请政府卫生监督部门进行检查。 </w:t>
      </w:r>
    </w:p>
    <w:p w14:paraId="773ED442">
      <w:pPr>
        <w:numPr>
          <w:ilvl w:val="0"/>
          <w:numId w:val="18"/>
        </w:numPr>
        <w:spacing w:line="360" w:lineRule="auto"/>
        <w:ind w:left="0" w:leftChars="0" w:firstLine="480" w:firstLineChars="200"/>
        <w:rPr>
          <w:rFonts w:hint="eastAsia" w:ascii="宋体" w:hAnsi="宋体" w:eastAsia="宋体" w:cs="宋体"/>
          <w:color w:val="auto"/>
          <w:sz w:val="24"/>
          <w:szCs w:val="21"/>
          <w:lang w:eastAsia="zh-CN"/>
        </w:rPr>
      </w:pPr>
      <w:r>
        <w:rPr>
          <w:rFonts w:hint="eastAsia" w:cs="宋体"/>
          <w:color w:val="auto"/>
          <w:sz w:val="24"/>
          <w:szCs w:val="21"/>
          <w:lang w:val="en-US" w:eastAsia="zh-CN"/>
        </w:rPr>
        <w:t>采购人</w:t>
      </w:r>
      <w:r>
        <w:rPr>
          <w:rFonts w:hint="eastAsia" w:ascii="宋体" w:hAnsi="宋体" w:eastAsia="宋体" w:cs="宋体"/>
          <w:color w:val="auto"/>
          <w:sz w:val="24"/>
          <w:szCs w:val="21"/>
          <w:lang w:eastAsia="zh-CN"/>
        </w:rPr>
        <w:t>有权对饭菜质量、数量、卫生服务等情况进行监督检查，如</w:t>
      </w:r>
      <w:r>
        <w:rPr>
          <w:rFonts w:hint="eastAsia" w:cs="宋体"/>
          <w:color w:val="auto"/>
          <w:sz w:val="24"/>
          <w:szCs w:val="21"/>
          <w:lang w:val="en-US" w:eastAsia="zh-CN"/>
        </w:rPr>
        <w:t>供应商</w:t>
      </w:r>
      <w:r>
        <w:rPr>
          <w:rFonts w:hint="eastAsia" w:ascii="宋体" w:hAnsi="宋体" w:eastAsia="宋体" w:cs="宋体"/>
          <w:color w:val="auto"/>
          <w:sz w:val="24"/>
          <w:szCs w:val="21"/>
          <w:lang w:eastAsia="zh-CN"/>
        </w:rPr>
        <w:t>未达到要求，</w:t>
      </w:r>
      <w:r>
        <w:rPr>
          <w:rFonts w:hint="eastAsia" w:cs="宋体"/>
          <w:color w:val="auto"/>
          <w:sz w:val="24"/>
          <w:szCs w:val="21"/>
          <w:lang w:val="en-US" w:eastAsia="zh-CN"/>
        </w:rPr>
        <w:t>采购人</w:t>
      </w:r>
      <w:r>
        <w:rPr>
          <w:rFonts w:hint="eastAsia" w:ascii="宋体" w:hAnsi="宋体" w:eastAsia="宋体" w:cs="宋体"/>
          <w:color w:val="auto"/>
          <w:sz w:val="24"/>
          <w:szCs w:val="21"/>
          <w:lang w:eastAsia="zh-CN"/>
        </w:rPr>
        <w:t>有权要求进行适当赔偿或终止本合同。</w:t>
      </w:r>
    </w:p>
    <w:p w14:paraId="6E636B02">
      <w:pPr>
        <w:numPr>
          <w:ilvl w:val="0"/>
          <w:numId w:val="18"/>
        </w:numPr>
        <w:spacing w:line="360" w:lineRule="auto"/>
        <w:ind w:left="0" w:leftChars="0" w:firstLine="480" w:firstLineChars="200"/>
        <w:rPr>
          <w:rFonts w:hint="eastAsia" w:ascii="宋体" w:hAnsi="宋体" w:eastAsia="宋体" w:cs="宋体"/>
          <w:color w:val="auto"/>
          <w:sz w:val="24"/>
          <w:szCs w:val="21"/>
          <w:lang w:eastAsia="zh-CN"/>
        </w:rPr>
      </w:pPr>
      <w:r>
        <w:rPr>
          <w:rFonts w:hint="eastAsia" w:cs="宋体"/>
          <w:color w:val="auto"/>
          <w:sz w:val="24"/>
          <w:szCs w:val="21"/>
          <w:lang w:val="en-US" w:eastAsia="zh-CN"/>
        </w:rPr>
        <w:t>供应商</w:t>
      </w:r>
      <w:r>
        <w:rPr>
          <w:rFonts w:hint="eastAsia" w:ascii="宋体" w:hAnsi="宋体" w:eastAsia="宋体" w:cs="宋体"/>
          <w:color w:val="auto"/>
          <w:sz w:val="24"/>
          <w:szCs w:val="21"/>
          <w:lang w:eastAsia="zh-CN"/>
        </w:rPr>
        <w:t>必须按照</w:t>
      </w:r>
      <w:r>
        <w:rPr>
          <w:rFonts w:hint="eastAsia" w:cs="宋体"/>
          <w:color w:val="auto"/>
          <w:sz w:val="24"/>
          <w:szCs w:val="21"/>
          <w:lang w:val="en-US" w:eastAsia="zh-CN"/>
        </w:rPr>
        <w:t>采购人</w:t>
      </w:r>
      <w:r>
        <w:rPr>
          <w:rFonts w:hint="eastAsia" w:ascii="宋体" w:hAnsi="宋体" w:eastAsia="宋体" w:cs="宋体"/>
          <w:color w:val="auto"/>
          <w:sz w:val="24"/>
          <w:szCs w:val="21"/>
          <w:lang w:eastAsia="zh-CN"/>
        </w:rPr>
        <w:t>规定时间准时开餐，如外单位来接洽工作需提供接待餐的，由</w:t>
      </w:r>
      <w:r>
        <w:rPr>
          <w:rFonts w:hint="eastAsia" w:cs="宋体"/>
          <w:color w:val="auto"/>
          <w:sz w:val="24"/>
          <w:szCs w:val="21"/>
          <w:lang w:val="en-US" w:eastAsia="zh-CN"/>
        </w:rPr>
        <w:t>采购人</w:t>
      </w:r>
      <w:r>
        <w:rPr>
          <w:rFonts w:hint="eastAsia" w:ascii="宋体" w:hAnsi="宋体" w:eastAsia="宋体" w:cs="宋体"/>
          <w:color w:val="auto"/>
          <w:sz w:val="24"/>
          <w:szCs w:val="21"/>
          <w:lang w:eastAsia="zh-CN"/>
        </w:rPr>
        <w:t>提前告知</w:t>
      </w:r>
      <w:r>
        <w:rPr>
          <w:rFonts w:hint="eastAsia" w:cs="宋体"/>
          <w:color w:val="auto"/>
          <w:sz w:val="24"/>
          <w:szCs w:val="21"/>
          <w:lang w:val="en-US" w:eastAsia="zh-CN"/>
        </w:rPr>
        <w:t>供应商</w:t>
      </w:r>
      <w:r>
        <w:rPr>
          <w:rFonts w:hint="eastAsia" w:ascii="宋体" w:hAnsi="宋体" w:eastAsia="宋体" w:cs="宋体"/>
          <w:color w:val="auto"/>
          <w:sz w:val="24"/>
          <w:szCs w:val="21"/>
          <w:lang w:eastAsia="zh-CN"/>
        </w:rPr>
        <w:t>接待人员数量,</w:t>
      </w:r>
      <w:r>
        <w:rPr>
          <w:rFonts w:hint="eastAsia" w:cs="宋体"/>
          <w:color w:val="auto"/>
          <w:sz w:val="24"/>
          <w:szCs w:val="21"/>
          <w:lang w:val="en-US" w:eastAsia="zh-CN"/>
        </w:rPr>
        <w:t>供应商</w:t>
      </w:r>
      <w:r>
        <w:rPr>
          <w:rFonts w:hint="eastAsia" w:ascii="宋体" w:hAnsi="宋体" w:eastAsia="宋体" w:cs="宋体"/>
          <w:color w:val="auto"/>
          <w:sz w:val="24"/>
          <w:szCs w:val="21"/>
          <w:lang w:eastAsia="zh-CN"/>
        </w:rPr>
        <w:t>及时做好准备工作。</w:t>
      </w:r>
    </w:p>
    <w:p w14:paraId="110122EE">
      <w:pPr>
        <w:numPr>
          <w:ilvl w:val="0"/>
          <w:numId w:val="18"/>
        </w:numPr>
        <w:spacing w:line="360" w:lineRule="auto"/>
        <w:ind w:left="0" w:leftChars="0" w:firstLine="480" w:firstLineChars="200"/>
        <w:rPr>
          <w:rFonts w:hint="eastAsia" w:ascii="宋体" w:hAnsi="宋体" w:eastAsia="宋体" w:cs="宋体"/>
          <w:color w:val="auto"/>
          <w:sz w:val="24"/>
          <w:szCs w:val="21"/>
          <w:lang w:eastAsia="zh-CN"/>
        </w:rPr>
      </w:pPr>
      <w:r>
        <w:rPr>
          <w:rFonts w:hint="eastAsia" w:cs="宋体"/>
          <w:color w:val="auto"/>
          <w:sz w:val="24"/>
          <w:szCs w:val="21"/>
          <w:lang w:val="en-US" w:eastAsia="zh-CN"/>
        </w:rPr>
        <w:t>供应商</w:t>
      </w:r>
      <w:r>
        <w:rPr>
          <w:rFonts w:hint="eastAsia" w:ascii="宋体" w:hAnsi="宋体" w:eastAsia="宋体" w:cs="宋体"/>
          <w:color w:val="auto"/>
          <w:sz w:val="24"/>
          <w:szCs w:val="21"/>
          <w:lang w:eastAsia="zh-CN"/>
        </w:rPr>
        <w:t>菜肴口味达不到</w:t>
      </w:r>
      <w:r>
        <w:rPr>
          <w:rFonts w:hint="eastAsia" w:cs="宋体"/>
          <w:color w:val="auto"/>
          <w:sz w:val="24"/>
          <w:szCs w:val="21"/>
          <w:lang w:eastAsia="zh-CN"/>
        </w:rPr>
        <w:t>采购人</w:t>
      </w:r>
      <w:r>
        <w:rPr>
          <w:rFonts w:hint="eastAsia" w:ascii="宋体" w:hAnsi="宋体" w:eastAsia="宋体" w:cs="宋体"/>
          <w:color w:val="auto"/>
          <w:sz w:val="24"/>
          <w:szCs w:val="21"/>
          <w:lang w:eastAsia="zh-CN"/>
        </w:rPr>
        <w:t>要求的，</w:t>
      </w:r>
      <w:r>
        <w:rPr>
          <w:rFonts w:hint="eastAsia" w:cs="宋体"/>
          <w:color w:val="auto"/>
          <w:sz w:val="24"/>
          <w:szCs w:val="21"/>
          <w:lang w:val="en-US" w:eastAsia="zh-CN"/>
        </w:rPr>
        <w:t>供应商</w:t>
      </w:r>
      <w:r>
        <w:rPr>
          <w:rFonts w:hint="eastAsia" w:ascii="宋体" w:hAnsi="宋体" w:eastAsia="宋体" w:cs="宋体"/>
          <w:color w:val="auto"/>
          <w:sz w:val="24"/>
          <w:szCs w:val="21"/>
          <w:lang w:eastAsia="zh-CN"/>
        </w:rPr>
        <w:t>必须按要求更换厨师。</w:t>
      </w:r>
    </w:p>
    <w:p w14:paraId="2C04EA1B">
      <w:pPr>
        <w:numPr>
          <w:ilvl w:val="0"/>
          <w:numId w:val="18"/>
        </w:numPr>
        <w:spacing w:line="360" w:lineRule="auto"/>
        <w:ind w:left="0" w:leftChars="0" w:firstLine="480" w:firstLineChars="200"/>
        <w:rPr>
          <w:rFonts w:hint="eastAsia" w:ascii="宋体" w:hAnsi="宋体" w:eastAsia="宋体" w:cs="宋体"/>
          <w:color w:val="auto"/>
          <w:sz w:val="24"/>
          <w:szCs w:val="21"/>
          <w:lang w:eastAsia="zh-CN"/>
        </w:rPr>
      </w:pPr>
      <w:r>
        <w:rPr>
          <w:rFonts w:hint="eastAsia" w:cs="宋体"/>
          <w:color w:val="auto"/>
          <w:sz w:val="24"/>
          <w:szCs w:val="21"/>
          <w:lang w:val="en-US" w:eastAsia="zh-CN"/>
        </w:rPr>
        <w:t>供应商</w:t>
      </w:r>
      <w:r>
        <w:rPr>
          <w:rFonts w:hint="eastAsia" w:ascii="宋体" w:hAnsi="宋体" w:eastAsia="宋体" w:cs="宋体"/>
          <w:color w:val="auto"/>
          <w:sz w:val="24"/>
          <w:szCs w:val="21"/>
          <w:lang w:eastAsia="zh-CN"/>
        </w:rPr>
        <w:t>在被委托期间，发生人员伤亡由</w:t>
      </w:r>
      <w:r>
        <w:rPr>
          <w:rFonts w:hint="eastAsia" w:cs="宋体"/>
          <w:color w:val="auto"/>
          <w:sz w:val="24"/>
          <w:szCs w:val="21"/>
          <w:lang w:val="en-US" w:eastAsia="zh-CN"/>
        </w:rPr>
        <w:t>供应商</w:t>
      </w:r>
      <w:r>
        <w:rPr>
          <w:rFonts w:hint="eastAsia" w:ascii="宋体" w:hAnsi="宋体" w:eastAsia="宋体" w:cs="宋体"/>
          <w:color w:val="auto"/>
          <w:sz w:val="24"/>
          <w:szCs w:val="21"/>
          <w:lang w:eastAsia="zh-CN"/>
        </w:rPr>
        <w:t>承担一切费用，</w:t>
      </w:r>
      <w:r>
        <w:rPr>
          <w:rFonts w:hint="eastAsia" w:cs="宋体"/>
          <w:color w:val="auto"/>
          <w:sz w:val="24"/>
          <w:szCs w:val="21"/>
          <w:lang w:val="en-US" w:eastAsia="zh-CN"/>
        </w:rPr>
        <w:t>采购人</w:t>
      </w:r>
      <w:r>
        <w:rPr>
          <w:rFonts w:hint="eastAsia" w:ascii="宋体" w:hAnsi="宋体" w:eastAsia="宋体" w:cs="宋体"/>
          <w:color w:val="auto"/>
          <w:sz w:val="24"/>
          <w:szCs w:val="21"/>
          <w:lang w:eastAsia="zh-CN"/>
        </w:rPr>
        <w:t>概不承担任何责任。</w:t>
      </w:r>
      <w:r>
        <w:rPr>
          <w:rFonts w:hint="eastAsia" w:cs="宋体"/>
          <w:color w:val="auto"/>
          <w:sz w:val="24"/>
          <w:szCs w:val="21"/>
          <w:lang w:val="en-US" w:eastAsia="zh-CN"/>
        </w:rPr>
        <w:t>供应商</w:t>
      </w:r>
      <w:r>
        <w:rPr>
          <w:rFonts w:hint="eastAsia" w:ascii="宋体" w:hAnsi="宋体" w:eastAsia="宋体" w:cs="宋体"/>
          <w:color w:val="auto"/>
          <w:sz w:val="24"/>
          <w:szCs w:val="21"/>
          <w:lang w:eastAsia="zh-CN"/>
        </w:rPr>
        <w:t>用工应签订劳动协议，并办理各种用工手续，如因用工不当，给</w:t>
      </w:r>
      <w:r>
        <w:rPr>
          <w:rFonts w:hint="eastAsia" w:cs="宋体"/>
          <w:color w:val="auto"/>
          <w:sz w:val="24"/>
          <w:szCs w:val="21"/>
          <w:lang w:val="en-US" w:eastAsia="zh-CN"/>
        </w:rPr>
        <w:t>采购人</w:t>
      </w:r>
      <w:r>
        <w:rPr>
          <w:rFonts w:hint="eastAsia" w:ascii="宋体" w:hAnsi="宋体" w:eastAsia="宋体" w:cs="宋体"/>
          <w:color w:val="auto"/>
          <w:sz w:val="24"/>
          <w:szCs w:val="21"/>
          <w:lang w:eastAsia="zh-CN"/>
        </w:rPr>
        <w:t>造成损失由</w:t>
      </w:r>
      <w:r>
        <w:rPr>
          <w:rFonts w:hint="eastAsia" w:cs="宋体"/>
          <w:color w:val="auto"/>
          <w:sz w:val="24"/>
          <w:szCs w:val="21"/>
          <w:lang w:val="en-US" w:eastAsia="zh-CN"/>
        </w:rPr>
        <w:t>供应商</w:t>
      </w:r>
      <w:r>
        <w:rPr>
          <w:rFonts w:hint="eastAsia" w:ascii="宋体" w:hAnsi="宋体" w:eastAsia="宋体" w:cs="宋体"/>
          <w:color w:val="auto"/>
          <w:sz w:val="24"/>
          <w:szCs w:val="21"/>
          <w:lang w:eastAsia="zh-CN"/>
        </w:rPr>
        <w:t>承担一切责任。</w:t>
      </w:r>
    </w:p>
    <w:p w14:paraId="54793BDE">
      <w:pPr>
        <w:numPr>
          <w:ilvl w:val="0"/>
          <w:numId w:val="18"/>
        </w:numPr>
        <w:spacing w:line="360" w:lineRule="auto"/>
        <w:ind w:left="0" w:leftChars="0" w:firstLine="480" w:firstLineChars="200"/>
        <w:rPr>
          <w:rFonts w:hint="eastAsia" w:ascii="宋体" w:hAnsi="宋体" w:eastAsia="宋体" w:cs="宋体"/>
          <w:color w:val="auto"/>
          <w:sz w:val="24"/>
          <w:szCs w:val="21"/>
          <w:lang w:eastAsia="zh-CN"/>
        </w:rPr>
      </w:pPr>
      <w:r>
        <w:rPr>
          <w:rFonts w:hint="eastAsia" w:ascii="宋体" w:hAnsi="宋体" w:eastAsia="宋体" w:cs="宋体"/>
          <w:color w:val="auto"/>
          <w:sz w:val="24"/>
          <w:szCs w:val="21"/>
          <w:lang w:eastAsia="zh-CN"/>
        </w:rPr>
        <w:t>遇突发事件或安全检查时，</w:t>
      </w:r>
      <w:r>
        <w:rPr>
          <w:rFonts w:hint="eastAsia" w:cs="宋体"/>
          <w:color w:val="auto"/>
          <w:sz w:val="24"/>
          <w:szCs w:val="21"/>
          <w:lang w:val="en-US" w:eastAsia="zh-CN"/>
        </w:rPr>
        <w:t>供应商</w:t>
      </w:r>
      <w:r>
        <w:rPr>
          <w:rFonts w:hint="eastAsia" w:ascii="宋体" w:hAnsi="宋体" w:eastAsia="宋体" w:cs="宋体"/>
          <w:color w:val="auto"/>
          <w:sz w:val="24"/>
          <w:szCs w:val="21"/>
          <w:lang w:eastAsia="zh-CN"/>
        </w:rPr>
        <w:t>必须配合有关部门执行任务（包括双休日及法定节假日），并指定专职人员协助工作，直至完成。</w:t>
      </w:r>
    </w:p>
    <w:p w14:paraId="0669FE46">
      <w:pPr>
        <w:spacing w:line="360" w:lineRule="auto"/>
        <w:ind w:firstLine="480" w:firstLineChars="200"/>
        <w:rPr>
          <w:rFonts w:hint="eastAsia" w:ascii="宋体" w:hAnsi="宋体" w:eastAsia="宋体" w:cs="宋体"/>
          <w:color w:val="auto"/>
          <w:sz w:val="24"/>
          <w:szCs w:val="21"/>
          <w:lang w:eastAsia="zh-CN"/>
        </w:rPr>
      </w:pPr>
      <w:r>
        <w:rPr>
          <w:rFonts w:hint="eastAsia" w:cs="宋体"/>
          <w:color w:val="auto"/>
          <w:sz w:val="24"/>
          <w:szCs w:val="21"/>
          <w:lang w:val="en-US" w:eastAsia="zh-CN"/>
        </w:rPr>
        <w:t>供应商</w:t>
      </w:r>
      <w:r>
        <w:rPr>
          <w:rFonts w:hint="eastAsia" w:ascii="宋体" w:hAnsi="宋体" w:eastAsia="宋体" w:cs="宋体"/>
          <w:color w:val="auto"/>
          <w:sz w:val="24"/>
          <w:szCs w:val="21"/>
          <w:lang w:eastAsia="zh-CN"/>
        </w:rPr>
        <w:t>服务从业人员就餐按照</w:t>
      </w:r>
      <w:r>
        <w:rPr>
          <w:rFonts w:hint="eastAsia" w:cs="宋体"/>
          <w:color w:val="auto"/>
          <w:sz w:val="24"/>
          <w:szCs w:val="21"/>
          <w:lang w:eastAsia="zh-CN"/>
        </w:rPr>
        <w:t>采购人</w:t>
      </w:r>
      <w:r>
        <w:rPr>
          <w:rFonts w:hint="eastAsia" w:ascii="宋体" w:hAnsi="宋体" w:eastAsia="宋体" w:cs="宋体"/>
          <w:color w:val="auto"/>
          <w:sz w:val="24"/>
          <w:szCs w:val="21"/>
          <w:lang w:eastAsia="zh-CN"/>
        </w:rPr>
        <w:t>餐标执行，不得开小灶等行为。</w:t>
      </w:r>
    </w:p>
    <w:p w14:paraId="03F35859">
      <w:pPr>
        <w:keepNext w:val="0"/>
        <w:keepLines w:val="0"/>
        <w:pageBreakBefore w:val="0"/>
        <w:widowControl w:val="0"/>
        <w:numPr>
          <w:ilvl w:val="0"/>
          <w:numId w:val="14"/>
        </w:numPr>
        <w:kinsoku/>
        <w:wordWrap/>
        <w:overflowPunct/>
        <w:topLinePunct w:val="0"/>
        <w:autoSpaceDE/>
        <w:autoSpaceDN/>
        <w:bidi w:val="0"/>
        <w:adjustRightInd/>
        <w:snapToGrid/>
        <w:spacing w:line="480" w:lineRule="auto"/>
        <w:ind w:left="0" w:leftChars="0" w:firstLine="480" w:firstLineChars="200"/>
        <w:textAlignment w:val="auto"/>
        <w:rPr>
          <w:rFonts w:hint="default" w:ascii="宋体" w:hAnsi="宋体" w:eastAsia="宋体" w:cs="宋体"/>
          <w:b/>
          <w:bCs/>
          <w:color w:val="auto"/>
          <w:sz w:val="24"/>
          <w:szCs w:val="24"/>
          <w:highlight w:val="none"/>
          <w:lang w:val="en-US" w:eastAsia="zh-CN"/>
        </w:rPr>
      </w:pPr>
      <w:r>
        <w:rPr>
          <w:rFonts w:hint="eastAsia" w:cs="宋体"/>
          <w:color w:val="auto"/>
          <w:sz w:val="24"/>
          <w:szCs w:val="21"/>
          <w:lang w:val="en-US" w:eastAsia="zh-CN"/>
        </w:rPr>
        <w:t>采购人</w:t>
      </w:r>
      <w:r>
        <w:rPr>
          <w:rFonts w:hint="eastAsia" w:ascii="宋体" w:hAnsi="宋体" w:eastAsia="宋体" w:cs="宋体"/>
          <w:b/>
          <w:bCs/>
          <w:color w:val="auto"/>
          <w:sz w:val="24"/>
          <w:szCs w:val="24"/>
          <w:highlight w:val="none"/>
          <w:lang w:val="en-US" w:eastAsia="zh-CN"/>
        </w:rPr>
        <w:t>考核</w:t>
      </w:r>
    </w:p>
    <w:p w14:paraId="1930A0C3">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w:t>
      </w:r>
      <w:r>
        <w:rPr>
          <w:rFonts w:hint="eastAsia" w:cs="宋体"/>
          <w:color w:val="auto"/>
          <w:sz w:val="24"/>
          <w:szCs w:val="21"/>
          <w:lang w:val="en-US" w:eastAsia="zh-CN"/>
        </w:rPr>
        <w:t>采购人</w:t>
      </w:r>
      <w:r>
        <w:rPr>
          <w:rFonts w:hint="eastAsia" w:ascii="宋体" w:hAnsi="宋体"/>
          <w:color w:val="auto"/>
          <w:sz w:val="24"/>
          <w:szCs w:val="24"/>
          <w:highlight w:val="none"/>
        </w:rPr>
        <w:t>对</w:t>
      </w:r>
      <w:r>
        <w:rPr>
          <w:rFonts w:hint="eastAsia" w:ascii="宋体" w:hAnsi="宋体" w:cs="宋体"/>
          <w:b/>
          <w:bCs/>
          <w:color w:val="auto"/>
          <w:sz w:val="24"/>
          <w:szCs w:val="24"/>
          <w:highlight w:val="none"/>
          <w:lang w:val="en-US" w:eastAsia="zh-CN"/>
        </w:rPr>
        <w:t>供应商</w:t>
      </w:r>
      <w:r>
        <w:rPr>
          <w:rFonts w:hint="eastAsia" w:ascii="宋体" w:hAnsi="宋体"/>
          <w:color w:val="auto"/>
          <w:sz w:val="24"/>
          <w:szCs w:val="24"/>
          <w:highlight w:val="none"/>
        </w:rPr>
        <w:t>实行监督考核，餐务涉及的所有区域和操作过程都属于监管范围。</w:t>
      </w:r>
    </w:p>
    <w:p w14:paraId="3300B6D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s="宋体"/>
          <w:b/>
          <w:bCs/>
          <w:color w:val="auto"/>
          <w:sz w:val="24"/>
          <w:szCs w:val="24"/>
          <w:highlight w:val="none"/>
          <w:lang w:val="en-US" w:eastAsia="zh-CN"/>
        </w:rPr>
        <w:t>供应商</w:t>
      </w:r>
      <w:r>
        <w:rPr>
          <w:rFonts w:hint="eastAsia" w:ascii="宋体" w:hAnsi="宋体"/>
          <w:color w:val="auto"/>
          <w:sz w:val="24"/>
          <w:szCs w:val="24"/>
          <w:highlight w:val="none"/>
        </w:rPr>
        <w:t>须根据行业规范抓好日常管理，确保</w:t>
      </w:r>
      <w:r>
        <w:rPr>
          <w:rFonts w:hint="eastAsia" w:cs="宋体"/>
          <w:color w:val="auto"/>
          <w:sz w:val="24"/>
          <w:szCs w:val="21"/>
          <w:lang w:val="en-US" w:eastAsia="zh-CN"/>
        </w:rPr>
        <w:t>采购人</w:t>
      </w:r>
      <w:r>
        <w:rPr>
          <w:rFonts w:hint="eastAsia" w:ascii="宋体" w:hAnsi="宋体"/>
          <w:color w:val="auto"/>
          <w:sz w:val="24"/>
          <w:szCs w:val="24"/>
          <w:highlight w:val="none"/>
        </w:rPr>
        <w:t>食堂原有荣誉续存，争创行业新荣誉。</w:t>
      </w:r>
    </w:p>
    <w:p w14:paraId="5ACE524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s="宋体"/>
          <w:b/>
          <w:bCs/>
          <w:color w:val="auto"/>
          <w:sz w:val="24"/>
          <w:szCs w:val="24"/>
          <w:highlight w:val="none"/>
          <w:lang w:val="en-US" w:eastAsia="zh-CN"/>
        </w:rPr>
        <w:t>供应商</w:t>
      </w:r>
      <w:r>
        <w:rPr>
          <w:rFonts w:hint="eastAsia" w:ascii="宋体" w:hAnsi="宋体"/>
          <w:color w:val="auto"/>
          <w:sz w:val="24"/>
          <w:szCs w:val="24"/>
          <w:highlight w:val="none"/>
        </w:rPr>
        <w:t>不得以任何形式转租、转让、抵押承包区域，在承包区域只从事</w:t>
      </w:r>
      <w:r>
        <w:rPr>
          <w:rFonts w:hint="eastAsia" w:cs="宋体"/>
          <w:color w:val="auto"/>
          <w:sz w:val="24"/>
          <w:szCs w:val="21"/>
          <w:lang w:val="en-US" w:eastAsia="zh-CN"/>
        </w:rPr>
        <w:t>采购人</w:t>
      </w:r>
      <w:r>
        <w:rPr>
          <w:rFonts w:hint="eastAsia" w:ascii="宋体" w:hAnsi="宋体"/>
          <w:color w:val="auto"/>
          <w:sz w:val="24"/>
          <w:szCs w:val="24"/>
          <w:highlight w:val="none"/>
        </w:rPr>
        <w:t>认可的服务工作。在承包期间，</w:t>
      </w:r>
      <w:r>
        <w:rPr>
          <w:rFonts w:hint="eastAsia" w:ascii="宋体" w:hAnsi="宋体" w:cs="宋体"/>
          <w:b/>
          <w:bCs/>
          <w:color w:val="auto"/>
          <w:sz w:val="24"/>
          <w:szCs w:val="24"/>
          <w:highlight w:val="none"/>
          <w:lang w:val="en-US" w:eastAsia="zh-CN"/>
        </w:rPr>
        <w:t>供应商</w:t>
      </w:r>
      <w:r>
        <w:rPr>
          <w:rFonts w:hint="eastAsia" w:ascii="宋体" w:hAnsi="宋体"/>
          <w:color w:val="auto"/>
          <w:sz w:val="24"/>
          <w:szCs w:val="24"/>
          <w:highlight w:val="none"/>
        </w:rPr>
        <w:t>的任何股份配置变动应通知</w:t>
      </w:r>
      <w:r>
        <w:rPr>
          <w:rFonts w:hint="eastAsia" w:cs="宋体"/>
          <w:color w:val="auto"/>
          <w:sz w:val="24"/>
          <w:szCs w:val="21"/>
          <w:lang w:val="en-US" w:eastAsia="zh-CN"/>
        </w:rPr>
        <w:t>采购人</w:t>
      </w:r>
      <w:r>
        <w:rPr>
          <w:rFonts w:hint="eastAsia" w:ascii="宋体" w:hAnsi="宋体"/>
          <w:color w:val="auto"/>
          <w:sz w:val="24"/>
          <w:szCs w:val="24"/>
          <w:highlight w:val="none"/>
        </w:rPr>
        <w:t>。未经</w:t>
      </w:r>
      <w:r>
        <w:rPr>
          <w:rFonts w:hint="eastAsia" w:cs="宋体"/>
          <w:color w:val="auto"/>
          <w:sz w:val="24"/>
          <w:szCs w:val="21"/>
          <w:lang w:val="en-US" w:eastAsia="zh-CN"/>
        </w:rPr>
        <w:t>采购人</w:t>
      </w:r>
      <w:r>
        <w:rPr>
          <w:rFonts w:hint="eastAsia" w:ascii="宋体" w:hAnsi="宋体"/>
          <w:color w:val="auto"/>
          <w:sz w:val="24"/>
          <w:szCs w:val="24"/>
          <w:highlight w:val="none"/>
        </w:rPr>
        <w:t>书面批准，任何占有支配地位的股份转让者将视为</w:t>
      </w: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出租、转让的行为。一经发现，</w:t>
      </w:r>
      <w:r>
        <w:rPr>
          <w:rFonts w:hint="eastAsia" w:cs="宋体"/>
          <w:color w:val="auto"/>
          <w:sz w:val="24"/>
          <w:szCs w:val="21"/>
          <w:lang w:val="en-US" w:eastAsia="zh-CN"/>
        </w:rPr>
        <w:t>采购人</w:t>
      </w:r>
      <w:r>
        <w:rPr>
          <w:rFonts w:hint="eastAsia" w:ascii="宋体" w:hAnsi="宋体"/>
          <w:color w:val="auto"/>
          <w:sz w:val="24"/>
          <w:szCs w:val="24"/>
          <w:highlight w:val="none"/>
        </w:rPr>
        <w:t>有权取消其受托资格，并给予经济处罚或诉讼法律。</w:t>
      </w:r>
    </w:p>
    <w:p w14:paraId="0551381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s="宋体"/>
          <w:b/>
          <w:bCs/>
          <w:color w:val="auto"/>
          <w:sz w:val="24"/>
          <w:szCs w:val="24"/>
          <w:highlight w:val="none"/>
          <w:lang w:val="en-US" w:eastAsia="zh-CN"/>
        </w:rPr>
        <w:t>供应商</w:t>
      </w:r>
      <w:r>
        <w:rPr>
          <w:rFonts w:hint="eastAsia" w:ascii="宋体" w:hAnsi="宋体"/>
          <w:color w:val="auto"/>
          <w:sz w:val="24"/>
          <w:szCs w:val="24"/>
          <w:highlight w:val="none"/>
        </w:rPr>
        <w:t>不得经营餐饮之外的任何业务，如果超范围经营，需经双方协商。</w:t>
      </w:r>
    </w:p>
    <w:p w14:paraId="60A959B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考核(具体见上虞区应急管理局食堂管理服务考核办法)：</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采购单位实行考核，对</w:t>
      </w:r>
      <w:r>
        <w:rPr>
          <w:rFonts w:hint="eastAsia" w:ascii="宋体" w:hAnsi="宋体" w:cs="宋体"/>
          <w:color w:val="auto"/>
          <w:sz w:val="24"/>
          <w:szCs w:val="24"/>
          <w:highlight w:val="none"/>
          <w:lang w:eastAsia="zh-CN"/>
        </w:rPr>
        <w:t>食品卫生、环境卫生、食品供应及口感、、劳动纪律和日常管理</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进行监督考核，当期食堂管理服务费根据考核结果发放。</w:t>
      </w:r>
    </w:p>
    <w:p w14:paraId="774755D4">
      <w:pPr>
        <w:keepNext w:val="0"/>
        <w:keepLines w:val="0"/>
        <w:pageBreakBefore w:val="0"/>
        <w:widowControl w:val="0"/>
        <w:numPr>
          <w:ilvl w:val="0"/>
          <w:numId w:val="14"/>
        </w:numPr>
        <w:kinsoku/>
        <w:wordWrap/>
        <w:overflowPunct/>
        <w:topLinePunct w:val="0"/>
        <w:autoSpaceDE/>
        <w:autoSpaceDN/>
        <w:bidi w:val="0"/>
        <w:adjustRightInd/>
        <w:snapToGrid/>
        <w:spacing w:line="48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en-US" w:eastAsia="zh-CN"/>
        </w:rPr>
        <w:t>工作须知</w:t>
      </w:r>
    </w:p>
    <w:p w14:paraId="6FE5FF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b/>
          <w:bCs/>
          <w:color w:val="auto"/>
          <w:sz w:val="24"/>
          <w:szCs w:val="24"/>
          <w:highlight w:val="none"/>
          <w:lang w:val="en-US" w:eastAsia="zh-CN"/>
        </w:rPr>
        <w:t>供应商</w:t>
      </w:r>
      <w:r>
        <w:rPr>
          <w:rFonts w:hint="eastAsia" w:ascii="宋体" w:hAnsi="宋体" w:eastAsia="宋体" w:cs="宋体"/>
          <w:color w:val="auto"/>
          <w:kern w:val="2"/>
          <w:sz w:val="24"/>
          <w:szCs w:val="24"/>
          <w:highlight w:val="none"/>
          <w:lang w:val="en-US" w:eastAsia="zh-CN" w:bidi="ar-SA"/>
        </w:rPr>
        <w:t>要树立“绿色、健康、安全”和“厉行节约、制止浪费”工作的理念，根据不同季节科学制订菜单，定期推出特色菜或新菜（主打菜每天有变化），早、晚菜单区分开制，保持菜肴新鲜。</w:t>
      </w:r>
    </w:p>
    <w:p w14:paraId="72B0B670">
      <w:pPr>
        <w:keepNext w:val="0"/>
        <w:keepLines w:val="0"/>
        <w:pageBreakBefore w:val="0"/>
        <w:widowControl w:val="0"/>
        <w:tabs>
          <w:tab w:val="left" w:pos="2838"/>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b/>
          <w:bCs/>
          <w:color w:val="auto"/>
          <w:sz w:val="24"/>
          <w:szCs w:val="24"/>
          <w:highlight w:val="none"/>
          <w:lang w:val="en-US" w:eastAsia="zh-CN"/>
        </w:rPr>
        <w:t>供应商</w:t>
      </w:r>
      <w:r>
        <w:rPr>
          <w:rFonts w:hint="eastAsia" w:ascii="宋体" w:hAnsi="宋体" w:eastAsia="宋体" w:cs="宋体"/>
          <w:color w:val="auto"/>
          <w:kern w:val="2"/>
          <w:sz w:val="24"/>
          <w:szCs w:val="24"/>
          <w:highlight w:val="none"/>
          <w:lang w:val="en-US" w:eastAsia="zh-CN" w:bidi="ar-SA"/>
        </w:rPr>
        <w:t>需提供每周菜单</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日</w:t>
      </w:r>
      <w:r>
        <w:rPr>
          <w:rFonts w:hint="eastAsia" w:ascii="宋体" w:hAnsi="宋体" w:cs="宋体"/>
          <w:color w:val="auto"/>
          <w:kern w:val="2"/>
          <w:sz w:val="24"/>
          <w:szCs w:val="24"/>
          <w:highlight w:val="none"/>
          <w:lang w:val="en-US" w:eastAsia="zh-CN" w:bidi="ar-SA"/>
        </w:rPr>
        <w:t>菜品食材及其他相关食堂用品</w:t>
      </w:r>
      <w:r>
        <w:rPr>
          <w:rFonts w:hint="eastAsia" w:ascii="宋体" w:hAnsi="宋体" w:eastAsia="宋体" w:cs="宋体"/>
          <w:color w:val="auto"/>
          <w:kern w:val="2"/>
          <w:sz w:val="24"/>
          <w:szCs w:val="24"/>
          <w:highlight w:val="none"/>
          <w:lang w:val="en-US" w:eastAsia="zh-CN" w:bidi="ar-SA"/>
        </w:rPr>
        <w:t>申购清单，</w:t>
      </w:r>
      <w:r>
        <w:rPr>
          <w:rFonts w:hint="eastAsia" w:ascii="宋体" w:hAnsi="宋体" w:eastAsia="宋体" w:cs="宋体"/>
          <w:b/>
          <w:bCs/>
          <w:color w:val="auto"/>
          <w:kern w:val="2"/>
          <w:sz w:val="24"/>
          <w:szCs w:val="24"/>
          <w:highlight w:val="none"/>
          <w:lang w:val="en-US" w:eastAsia="zh-CN" w:bidi="ar-SA"/>
        </w:rPr>
        <w:t>经采购方审核同意后，</w:t>
      </w:r>
      <w:r>
        <w:rPr>
          <w:rFonts w:hint="eastAsia" w:ascii="宋体" w:hAnsi="宋体" w:cs="宋体"/>
          <w:b/>
          <w:bCs/>
          <w:color w:val="auto"/>
          <w:kern w:val="2"/>
          <w:sz w:val="24"/>
          <w:szCs w:val="24"/>
          <w:highlight w:val="none"/>
          <w:lang w:val="en-US" w:eastAsia="zh-CN" w:bidi="ar-SA"/>
        </w:rPr>
        <w:t>食材及其他相关食堂用品均由采购方负责</w:t>
      </w:r>
      <w:r>
        <w:rPr>
          <w:rFonts w:hint="eastAsia" w:ascii="宋体" w:hAnsi="宋体" w:eastAsia="宋体" w:cs="宋体"/>
          <w:b/>
          <w:bCs/>
          <w:color w:val="auto"/>
          <w:kern w:val="2"/>
          <w:sz w:val="24"/>
          <w:szCs w:val="24"/>
          <w:highlight w:val="none"/>
          <w:lang w:val="en-US" w:eastAsia="zh-CN" w:bidi="ar-SA"/>
        </w:rPr>
        <w:t>。</w:t>
      </w:r>
    </w:p>
    <w:p w14:paraId="1C59217D">
      <w:pPr>
        <w:keepNext w:val="0"/>
        <w:keepLines w:val="0"/>
        <w:pageBreakBefore w:val="0"/>
        <w:widowControl w:val="0"/>
        <w:tabs>
          <w:tab w:val="left" w:pos="2838"/>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r>
        <w:rPr>
          <w:rFonts w:hint="eastAsia" w:ascii="宋体" w:hAnsi="宋体" w:cs="宋体"/>
          <w:b/>
          <w:bCs/>
          <w:color w:val="auto"/>
          <w:sz w:val="24"/>
          <w:szCs w:val="24"/>
          <w:highlight w:val="none"/>
          <w:lang w:val="en-US" w:eastAsia="zh-CN"/>
        </w:rPr>
        <w:t>供应商</w:t>
      </w:r>
      <w:r>
        <w:rPr>
          <w:rFonts w:hint="eastAsia" w:ascii="宋体" w:hAnsi="宋体" w:eastAsia="宋体" w:cs="宋体"/>
          <w:color w:val="auto"/>
          <w:kern w:val="2"/>
          <w:sz w:val="24"/>
          <w:szCs w:val="24"/>
          <w:highlight w:val="none"/>
          <w:lang w:val="en-US" w:eastAsia="zh-CN" w:bidi="ar-SA"/>
        </w:rPr>
        <w:t>要做好成本控制工作，提供食堂当日用料、就餐人数等有关数据，协助做好成本核算工作。</w:t>
      </w:r>
    </w:p>
    <w:p w14:paraId="0132AA72">
      <w:pPr>
        <w:keepNext w:val="0"/>
        <w:keepLines w:val="0"/>
        <w:pageBreakBefore w:val="0"/>
        <w:widowControl w:val="0"/>
        <w:tabs>
          <w:tab w:val="left" w:pos="2838"/>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r>
        <w:rPr>
          <w:rFonts w:hint="eastAsia" w:ascii="宋体" w:hAnsi="宋体" w:cs="宋体"/>
          <w:b/>
          <w:bCs/>
          <w:color w:val="auto"/>
          <w:sz w:val="24"/>
          <w:szCs w:val="24"/>
          <w:highlight w:val="none"/>
          <w:lang w:val="en-US" w:eastAsia="zh-CN"/>
        </w:rPr>
        <w:t>供应商</w:t>
      </w:r>
      <w:r>
        <w:rPr>
          <w:rFonts w:hint="eastAsia" w:ascii="宋体" w:hAnsi="宋体" w:eastAsia="宋体" w:cs="宋体"/>
          <w:color w:val="auto"/>
          <w:kern w:val="2"/>
          <w:sz w:val="24"/>
          <w:szCs w:val="24"/>
          <w:highlight w:val="none"/>
          <w:lang w:val="en-US" w:eastAsia="zh-CN" w:bidi="ar-SA"/>
        </w:rPr>
        <w:t>应根据采购方要求做好特殊情况下供餐保障工作，如重大公务活动、突发性事件应急处置、</w:t>
      </w:r>
      <w:r>
        <w:rPr>
          <w:rFonts w:hint="eastAsia" w:ascii="宋体" w:hAnsi="宋体" w:cs="宋体"/>
          <w:color w:val="auto"/>
          <w:kern w:val="2"/>
          <w:sz w:val="24"/>
          <w:szCs w:val="24"/>
          <w:highlight w:val="none"/>
          <w:lang w:val="en-US" w:eastAsia="zh-CN" w:bidi="ar-SA"/>
        </w:rPr>
        <w:t>自然灾害响应</w:t>
      </w:r>
      <w:r>
        <w:rPr>
          <w:rFonts w:hint="eastAsia" w:ascii="宋体" w:hAnsi="宋体" w:eastAsia="宋体" w:cs="宋体"/>
          <w:color w:val="auto"/>
          <w:kern w:val="2"/>
          <w:sz w:val="24"/>
          <w:szCs w:val="24"/>
          <w:highlight w:val="none"/>
          <w:lang w:val="en-US" w:eastAsia="zh-CN" w:bidi="ar-SA"/>
        </w:rPr>
        <w:t>等。</w:t>
      </w:r>
    </w:p>
    <w:p w14:paraId="24342FDB">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eastAsia="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（5）如遇到特殊情况，需要</w:t>
      </w:r>
      <w:r>
        <w:rPr>
          <w:rFonts w:hint="eastAsia"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提供快餐配送服务，</w:t>
      </w:r>
      <w:r>
        <w:rPr>
          <w:rFonts w:hint="eastAsia" w:ascii="宋体" w:hAnsi="宋体" w:eastAsia="宋体" w:cs="宋体"/>
          <w:color w:val="auto"/>
          <w:sz w:val="24"/>
          <w:szCs w:val="24"/>
          <w:highlight w:val="none"/>
          <w:lang w:eastAsia="zh-CN"/>
        </w:rPr>
        <w:t>配送地址和时间</w:t>
      </w:r>
      <w:r>
        <w:rPr>
          <w:rFonts w:hint="eastAsia" w:ascii="宋体" w:hAnsi="宋体" w:eastAsia="宋体" w:cs="宋体"/>
          <w:color w:val="auto"/>
          <w:sz w:val="24"/>
          <w:szCs w:val="24"/>
          <w:highlight w:val="none"/>
        </w:rPr>
        <w:t>按照采购方规定实行</w:t>
      </w:r>
      <w:r>
        <w:rPr>
          <w:rFonts w:hint="eastAsia" w:ascii="宋体" w:hAnsi="宋体" w:eastAsia="宋体" w:cs="宋体"/>
          <w:color w:val="auto"/>
          <w:sz w:val="24"/>
          <w:szCs w:val="24"/>
          <w:highlight w:val="none"/>
          <w:lang w:eastAsia="zh-CN"/>
        </w:rPr>
        <w:t>。</w:t>
      </w:r>
    </w:p>
    <w:p w14:paraId="2BA595AB">
      <w:pPr>
        <w:keepNext w:val="0"/>
        <w:keepLines w:val="0"/>
        <w:pageBreakBefore w:val="0"/>
        <w:widowControl w:val="0"/>
        <w:tabs>
          <w:tab w:val="left" w:pos="2838"/>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r>
        <w:rPr>
          <w:rFonts w:hint="eastAsia" w:ascii="宋体" w:hAnsi="宋体" w:cs="宋体"/>
          <w:b/>
          <w:bCs/>
          <w:color w:val="auto"/>
          <w:sz w:val="24"/>
          <w:szCs w:val="24"/>
          <w:highlight w:val="none"/>
          <w:lang w:val="en-US" w:eastAsia="zh-CN"/>
        </w:rPr>
        <w:t>供应商</w:t>
      </w:r>
      <w:r>
        <w:rPr>
          <w:rFonts w:hint="eastAsia" w:ascii="宋体" w:hAnsi="宋体" w:eastAsia="宋体" w:cs="宋体"/>
          <w:color w:val="auto"/>
          <w:kern w:val="2"/>
          <w:sz w:val="24"/>
          <w:szCs w:val="24"/>
          <w:highlight w:val="none"/>
          <w:lang w:val="en-US" w:eastAsia="zh-CN" w:bidi="ar-SA"/>
        </w:rPr>
        <w:t>应做好食堂垃圾分类、投放、登记及垃圾处理工作（厨余垃圾处理机操作）。</w:t>
      </w:r>
    </w:p>
    <w:p w14:paraId="0040BE3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lang w:val="en-US" w:eastAsia="zh-CN"/>
        </w:rPr>
        <w:t>验收要求</w:t>
      </w:r>
    </w:p>
    <w:p w14:paraId="4C7058B5">
      <w:pPr>
        <w:keepNext w:val="0"/>
        <w:keepLines w:val="0"/>
        <w:pageBreakBefore w:val="0"/>
        <w:widowControl w:val="0"/>
        <w:tabs>
          <w:tab w:val="left" w:pos="2838"/>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1.验收以采购文件和技术文件、投标文件、合同及安装技术要求为依据。</w:t>
      </w:r>
    </w:p>
    <w:p w14:paraId="499ED2F9">
      <w:pPr>
        <w:keepNext w:val="0"/>
        <w:keepLines w:val="0"/>
        <w:pageBreakBefore w:val="0"/>
        <w:widowControl w:val="0"/>
        <w:tabs>
          <w:tab w:val="left" w:pos="2838"/>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2.验收必须符合国家、地方有关规范、标准要求。</w:t>
      </w:r>
    </w:p>
    <w:p w14:paraId="47F47CF9">
      <w:pPr>
        <w:keepNext w:val="0"/>
        <w:keepLines w:val="0"/>
        <w:pageBreakBefore w:val="0"/>
        <w:widowControl w:val="0"/>
        <w:tabs>
          <w:tab w:val="left" w:pos="2838"/>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3.符合验收条件的，由</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组织有关部门按照国家、地方有关规范、标准及要求进行验收。验收后中标</w:t>
      </w:r>
      <w:r>
        <w:rPr>
          <w:rFonts w:hint="eastAsia" w:ascii="宋体" w:hAnsi="宋体" w:cs="宋体"/>
          <w:color w:val="auto"/>
          <w:kern w:val="2"/>
          <w:sz w:val="24"/>
          <w:szCs w:val="24"/>
          <w:highlight w:val="none"/>
          <w:lang w:val="en-US" w:eastAsia="zh-CN" w:bidi="ar-SA"/>
        </w:rPr>
        <w:t>中标方</w:t>
      </w:r>
      <w:r>
        <w:rPr>
          <w:rFonts w:hint="eastAsia" w:ascii="宋体" w:hAnsi="宋体" w:eastAsia="宋体" w:cs="宋体"/>
          <w:color w:val="auto"/>
          <w:kern w:val="2"/>
          <w:sz w:val="24"/>
          <w:szCs w:val="24"/>
          <w:highlight w:val="none"/>
          <w:lang w:val="en-US" w:eastAsia="zh-CN" w:bidi="ar-SA"/>
        </w:rPr>
        <w:t>应按照验收中提出的意见整改。</w:t>
      </w:r>
    </w:p>
    <w:p w14:paraId="399AD688">
      <w:pPr>
        <w:keepNext w:val="0"/>
        <w:keepLines w:val="0"/>
        <w:pageBreakBefore w:val="0"/>
        <w:widowControl w:val="0"/>
        <w:tabs>
          <w:tab w:val="left" w:pos="2838"/>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4.整改完毕且复验合格</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完成日期以通过复验日期为准。</w:t>
      </w:r>
    </w:p>
    <w:p w14:paraId="0F3A9B46">
      <w:pPr>
        <w:keepNext w:val="0"/>
        <w:keepLines w:val="0"/>
        <w:pageBreakBefore w:val="0"/>
        <w:widowControl w:val="0"/>
        <w:tabs>
          <w:tab w:val="left" w:pos="2838"/>
        </w:tabs>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eastAsia" w:ascii="宋体" w:hAnsi="宋体" w:eastAsia="宋体" w:cs="宋体"/>
          <w:color w:val="auto"/>
          <w:kern w:val="2"/>
          <w:sz w:val="24"/>
          <w:szCs w:val="24"/>
          <w:highlight w:val="none"/>
          <w:lang w:val="en-US" w:eastAsia="zh-CN" w:bidi="ar-SA"/>
        </w:rPr>
        <w:t>5.</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对中标</w:t>
      </w:r>
      <w:r>
        <w:rPr>
          <w:rFonts w:hint="eastAsia" w:ascii="宋体" w:hAnsi="宋体" w:cs="宋体"/>
          <w:color w:val="auto"/>
          <w:kern w:val="2"/>
          <w:sz w:val="24"/>
          <w:szCs w:val="24"/>
          <w:highlight w:val="none"/>
          <w:lang w:val="en-US" w:eastAsia="zh-CN" w:bidi="ar-SA"/>
        </w:rPr>
        <w:t>中标方</w:t>
      </w:r>
      <w:r>
        <w:rPr>
          <w:rFonts w:hint="eastAsia" w:ascii="宋体" w:hAnsi="宋体" w:eastAsia="宋体" w:cs="宋体"/>
          <w:color w:val="auto"/>
          <w:kern w:val="2"/>
          <w:sz w:val="24"/>
          <w:szCs w:val="24"/>
          <w:highlight w:val="none"/>
          <w:lang w:val="en-US" w:eastAsia="zh-CN" w:bidi="ar-SA"/>
        </w:rPr>
        <w:t>服务进行检查验收，如果发现服务不足等问题，中标</w:t>
      </w:r>
      <w:r>
        <w:rPr>
          <w:rFonts w:hint="eastAsia" w:ascii="宋体" w:hAnsi="宋体" w:cs="宋体"/>
          <w:color w:val="auto"/>
          <w:kern w:val="2"/>
          <w:sz w:val="24"/>
          <w:szCs w:val="24"/>
          <w:highlight w:val="none"/>
          <w:lang w:val="en-US" w:eastAsia="zh-CN" w:bidi="ar-SA"/>
        </w:rPr>
        <w:t>中标方</w:t>
      </w:r>
      <w:r>
        <w:rPr>
          <w:rFonts w:hint="eastAsia" w:ascii="宋体" w:hAnsi="宋体" w:eastAsia="宋体" w:cs="宋体"/>
          <w:color w:val="auto"/>
          <w:kern w:val="2"/>
          <w:sz w:val="24"/>
          <w:szCs w:val="24"/>
          <w:highlight w:val="none"/>
          <w:lang w:val="en-US" w:eastAsia="zh-CN" w:bidi="ar-SA"/>
        </w:rPr>
        <w:t>应负责根据合同及</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的要求采取补足或更换等处理措施，并承担由此发生的一切损失和费用。验收合格后，</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在验收单上签字并加盖单位公章。</w:t>
      </w:r>
    </w:p>
    <w:p w14:paraId="64BE27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Calibri" w:eastAsia="宋体"/>
          <w:b/>
          <w:bCs/>
          <w:color w:val="auto"/>
          <w:sz w:val="28"/>
          <w:lang w:val="en-US" w:eastAsia="zh-CN"/>
        </w:rPr>
      </w:pPr>
    </w:p>
    <w:p w14:paraId="370DB1A2">
      <w:pPr>
        <w:pStyle w:val="3"/>
        <w:spacing w:line="360" w:lineRule="auto"/>
        <w:jc w:val="center"/>
        <w:rPr>
          <w:rFonts w:hint="eastAsia" w:hAnsi="宋体" w:cs="宋体"/>
          <w:color w:val="auto"/>
          <w:szCs w:val="28"/>
          <w:highlight w:val="none"/>
          <w:lang w:val="en-US" w:eastAsia="zh-CN"/>
        </w:rPr>
      </w:pPr>
      <w:bookmarkStart w:id="115" w:name="_Toc758"/>
      <w:bookmarkStart w:id="116" w:name="_Toc23120"/>
      <w:bookmarkStart w:id="117" w:name="_Toc32502"/>
      <w:r>
        <w:rPr>
          <w:rFonts w:hint="eastAsia" w:hAnsi="宋体" w:cs="宋体"/>
          <w:color w:val="auto"/>
          <w:szCs w:val="28"/>
          <w:highlight w:val="none"/>
          <w:lang w:val="en-US" w:eastAsia="zh-CN"/>
        </w:rPr>
        <w:t>第二章 付款方式及要求</w:t>
      </w:r>
      <w:bookmarkEnd w:id="115"/>
      <w:bookmarkEnd w:id="116"/>
      <w:bookmarkEnd w:id="117"/>
    </w:p>
    <w:p w14:paraId="7AC41985">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付款方式</w:t>
      </w:r>
    </w:p>
    <w:p w14:paraId="367FADFB">
      <w:pPr>
        <w:numPr>
          <w:ilvl w:val="0"/>
          <w:numId w:val="0"/>
        </w:numPr>
        <w:tabs>
          <w:tab w:val="left" w:pos="3570"/>
        </w:tabs>
        <w:spacing w:line="360" w:lineRule="auto"/>
        <w:ind w:firstLine="480" w:firstLineChars="200"/>
        <w:rPr>
          <w:rFonts w:hint="default" w:ascii="宋体" w:hAnsi="宋体" w:eastAsia="宋体" w:cs="宋体"/>
          <w:b/>
          <w:color w:val="auto"/>
          <w:sz w:val="24"/>
          <w:highlight w:val="none"/>
          <w:lang w:val="en-US" w:eastAsia="zh-CN"/>
        </w:rPr>
      </w:pPr>
      <w:r>
        <w:rPr>
          <w:rFonts w:hint="eastAsia" w:ascii="宋体" w:hAnsi="宋体" w:eastAsia="宋体" w:cs="Times New Roman"/>
          <w:color w:val="auto"/>
          <w:kern w:val="0"/>
          <w:sz w:val="24"/>
          <w:highlight w:val="none"/>
        </w:rPr>
        <w:t>合同生效以及具备实施条件</w:t>
      </w:r>
      <w:r>
        <w:rPr>
          <w:rFonts w:hint="eastAsia" w:ascii="宋体" w:hAnsi="宋体" w:cs="Times New Roman"/>
          <w:color w:val="auto"/>
          <w:kern w:val="0"/>
          <w:sz w:val="24"/>
          <w:highlight w:val="none"/>
          <w:lang w:val="en-US" w:eastAsia="zh-CN"/>
        </w:rPr>
        <w:t>并收到中标</w:t>
      </w:r>
      <w:r>
        <w:rPr>
          <w:rFonts w:hint="eastAsia" w:ascii="宋体" w:hAnsi="宋体" w:eastAsia="宋体" w:cs="宋体"/>
          <w:color w:val="auto"/>
          <w:sz w:val="24"/>
          <w:lang w:val="en-US" w:eastAsia="zh-CN"/>
        </w:rPr>
        <w:t>人</w:t>
      </w:r>
      <w:r>
        <w:rPr>
          <w:rFonts w:hint="eastAsia" w:ascii="宋体" w:hAnsi="宋体" w:cs="Times New Roman"/>
          <w:color w:val="auto"/>
          <w:kern w:val="0"/>
          <w:sz w:val="24"/>
          <w:highlight w:val="none"/>
          <w:lang w:val="en-US" w:eastAsia="zh-CN"/>
        </w:rPr>
        <w:t>发票</w:t>
      </w:r>
      <w:r>
        <w:rPr>
          <w:rFonts w:hint="eastAsia" w:ascii="宋体" w:hAnsi="宋体" w:eastAsia="宋体" w:cs="Times New Roman"/>
          <w:color w:val="auto"/>
          <w:kern w:val="0"/>
          <w:sz w:val="24"/>
          <w:highlight w:val="none"/>
        </w:rPr>
        <w:t>后</w:t>
      </w:r>
      <w:r>
        <w:rPr>
          <w:rFonts w:hint="eastAsia" w:ascii="宋体" w:hAnsi="宋体" w:cs="Times New Roman"/>
          <w:color w:val="auto"/>
          <w:kern w:val="0"/>
          <w:sz w:val="24"/>
          <w:highlight w:val="none"/>
          <w:lang w:val="en-US" w:eastAsia="zh-CN"/>
        </w:rPr>
        <w:t>7</w:t>
      </w:r>
      <w:r>
        <w:rPr>
          <w:rFonts w:hint="eastAsia" w:ascii="宋体" w:hAnsi="宋体" w:eastAsia="宋体" w:cs="Times New Roman"/>
          <w:color w:val="auto"/>
          <w:kern w:val="0"/>
          <w:sz w:val="24"/>
          <w:highlight w:val="none"/>
        </w:rPr>
        <w:t>个工作日</w:t>
      </w:r>
      <w:r>
        <w:rPr>
          <w:rFonts w:hint="eastAsia" w:ascii="宋体" w:hAnsi="宋体" w:cs="Times New Roman"/>
          <w:color w:val="auto"/>
          <w:kern w:val="0"/>
          <w:sz w:val="24"/>
          <w:highlight w:val="none"/>
          <w:lang w:val="en-US" w:eastAsia="zh-CN"/>
        </w:rPr>
        <w:t>采购人</w:t>
      </w:r>
      <w:r>
        <w:rPr>
          <w:rFonts w:hint="eastAsia" w:ascii="宋体" w:hAnsi="宋体" w:eastAsia="宋体" w:cs="Times New Roman"/>
          <w:color w:val="auto"/>
          <w:kern w:val="0"/>
          <w:sz w:val="24"/>
          <w:highlight w:val="none"/>
        </w:rPr>
        <w:t>向</w:t>
      </w:r>
      <w:r>
        <w:rPr>
          <w:rFonts w:hint="eastAsia" w:ascii="宋体" w:hAnsi="宋体" w:cs="Times New Roman"/>
          <w:color w:val="auto"/>
          <w:kern w:val="0"/>
          <w:sz w:val="24"/>
          <w:highlight w:val="none"/>
          <w:lang w:val="en-US" w:eastAsia="zh-CN"/>
        </w:rPr>
        <w:t>中标</w:t>
      </w:r>
      <w:r>
        <w:rPr>
          <w:rFonts w:hint="eastAsia" w:ascii="宋体" w:hAnsi="宋体" w:eastAsia="宋体" w:cs="宋体"/>
          <w:color w:val="auto"/>
          <w:sz w:val="24"/>
          <w:lang w:val="en-US" w:eastAsia="zh-CN"/>
        </w:rPr>
        <w:t>人</w:t>
      </w:r>
      <w:r>
        <w:rPr>
          <w:rFonts w:hint="eastAsia" w:ascii="宋体" w:hAnsi="宋体" w:eastAsia="宋体" w:cs="Times New Roman"/>
          <w:color w:val="auto"/>
          <w:kern w:val="0"/>
          <w:sz w:val="24"/>
          <w:highlight w:val="none"/>
        </w:rPr>
        <w:t>支付合同总价的</w:t>
      </w:r>
      <w:r>
        <w:rPr>
          <w:rFonts w:hint="eastAsia" w:ascii="宋体" w:hAnsi="宋体" w:cs="Times New Roman"/>
          <w:color w:val="auto"/>
          <w:kern w:val="0"/>
          <w:sz w:val="24"/>
          <w:highlight w:val="none"/>
          <w:lang w:val="en-US" w:eastAsia="zh-CN"/>
        </w:rPr>
        <w:t>25</w:t>
      </w:r>
      <w:r>
        <w:rPr>
          <w:rFonts w:hint="eastAsia" w:ascii="宋体" w:hAnsi="宋体" w:eastAsia="宋体" w:cs="Times New Roman"/>
          <w:color w:val="auto"/>
          <w:kern w:val="0"/>
          <w:sz w:val="24"/>
          <w:highlight w:val="none"/>
        </w:rPr>
        <w:t>%作为预付款，</w:t>
      </w:r>
      <w:r>
        <w:rPr>
          <w:rFonts w:hint="eastAsia" w:ascii="宋体" w:hAnsi="宋体" w:cs="Times New Roman"/>
          <w:color w:val="auto"/>
          <w:kern w:val="0"/>
          <w:sz w:val="24"/>
          <w:highlight w:val="none"/>
          <w:lang w:eastAsia="zh-CN"/>
        </w:rPr>
        <w:t>半年后支付合同总价的</w:t>
      </w:r>
      <w:r>
        <w:rPr>
          <w:rFonts w:hint="eastAsia" w:ascii="宋体" w:hAnsi="宋体" w:cs="Times New Roman"/>
          <w:color w:val="auto"/>
          <w:kern w:val="0"/>
          <w:sz w:val="24"/>
          <w:highlight w:val="none"/>
          <w:lang w:val="en-US" w:eastAsia="zh-CN"/>
        </w:rPr>
        <w:t>35%，合同结束后经验收合格且双方确认所有考核扣款、违约金、损害赔偿款均已足额抵扣后支付剩余的款项，月度考核在当期食堂管理服务费中体现。</w:t>
      </w:r>
    </w:p>
    <w:p w14:paraId="3F2FBDBC">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付款要求</w:t>
      </w:r>
    </w:p>
    <w:p w14:paraId="689B4B03">
      <w:pPr>
        <w:keepNext w:val="0"/>
        <w:keepLines w:val="0"/>
        <w:pageBreakBefore w:val="0"/>
        <w:widowControl w:val="0"/>
        <w:kinsoku/>
        <w:overflowPunct/>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中标人</w:t>
      </w:r>
      <w:r>
        <w:rPr>
          <w:rFonts w:hint="eastAsia" w:ascii="宋体" w:hAnsi="宋体" w:eastAsia="宋体" w:cs="宋体"/>
          <w:color w:val="auto"/>
          <w:sz w:val="24"/>
        </w:rPr>
        <w:t>应向</w:t>
      </w:r>
      <w:r>
        <w:rPr>
          <w:rFonts w:hint="eastAsia" w:ascii="宋体" w:hAnsi="宋体" w:eastAsia="宋体" w:cs="宋体"/>
          <w:color w:val="auto"/>
          <w:sz w:val="24"/>
          <w:lang w:val="en-US" w:eastAsia="zh-CN"/>
        </w:rPr>
        <w:t>采购人</w:t>
      </w:r>
      <w:r>
        <w:rPr>
          <w:rFonts w:hint="eastAsia" w:ascii="宋体" w:hAnsi="宋体" w:eastAsia="宋体" w:cs="宋体"/>
          <w:color w:val="auto"/>
          <w:sz w:val="24"/>
        </w:rPr>
        <w:t>提供等额、合法、有效的</w:t>
      </w:r>
      <w:r>
        <w:rPr>
          <w:rFonts w:hint="eastAsia" w:ascii="宋体" w:hAnsi="宋体" w:eastAsia="宋体" w:cs="宋体"/>
          <w:color w:val="auto"/>
          <w:sz w:val="24"/>
          <w:lang w:eastAsia="zh-CN"/>
        </w:rPr>
        <w:t>发票</w:t>
      </w:r>
      <w:r>
        <w:rPr>
          <w:rFonts w:hint="eastAsia" w:ascii="宋体" w:hAnsi="宋体" w:eastAsia="宋体" w:cs="宋体"/>
          <w:color w:val="auto"/>
          <w:sz w:val="24"/>
        </w:rPr>
        <w:t>，</w:t>
      </w:r>
      <w:r>
        <w:rPr>
          <w:rFonts w:hint="eastAsia" w:ascii="宋体" w:hAnsi="宋体" w:eastAsia="宋体" w:cs="宋体"/>
          <w:color w:val="auto"/>
          <w:sz w:val="24"/>
          <w:lang w:val="en-US" w:eastAsia="zh-CN"/>
        </w:rPr>
        <w:t>采购人</w:t>
      </w:r>
      <w:r>
        <w:rPr>
          <w:rFonts w:hint="eastAsia" w:ascii="宋体" w:hAnsi="宋体" w:eastAsia="宋体" w:cs="宋体"/>
          <w:color w:val="auto"/>
          <w:sz w:val="24"/>
        </w:rPr>
        <w:t>凭发票付款。如中标人未按约定提供</w:t>
      </w:r>
      <w:r>
        <w:rPr>
          <w:rFonts w:hint="eastAsia" w:ascii="宋体" w:hAnsi="宋体" w:eastAsia="宋体" w:cs="宋体"/>
          <w:color w:val="auto"/>
          <w:sz w:val="24"/>
          <w:lang w:eastAsia="zh-CN"/>
        </w:rPr>
        <w:t>发票</w:t>
      </w:r>
      <w:r>
        <w:rPr>
          <w:rFonts w:hint="eastAsia" w:ascii="宋体" w:hAnsi="宋体" w:eastAsia="宋体" w:cs="宋体"/>
          <w:color w:val="auto"/>
          <w:sz w:val="24"/>
        </w:rPr>
        <w:t>的，采购人有权拒绝付款，直至收到中标人提交的相应</w:t>
      </w:r>
      <w:r>
        <w:rPr>
          <w:rFonts w:hint="eastAsia" w:ascii="宋体" w:hAnsi="宋体" w:eastAsia="宋体" w:cs="宋体"/>
          <w:color w:val="auto"/>
          <w:sz w:val="24"/>
          <w:lang w:eastAsia="zh-CN"/>
        </w:rPr>
        <w:t>发票</w:t>
      </w:r>
      <w:r>
        <w:rPr>
          <w:rFonts w:hint="eastAsia" w:ascii="宋体" w:hAnsi="宋体" w:eastAsia="宋体" w:cs="宋体"/>
          <w:color w:val="auto"/>
          <w:sz w:val="24"/>
        </w:rPr>
        <w:t>为止，在此情况下，采购人不承担逾期付款违约责任。</w:t>
      </w:r>
    </w:p>
    <w:p w14:paraId="1A3CEF1A">
      <w:pPr>
        <w:pStyle w:val="12"/>
        <w:rPr>
          <w:rFonts w:hint="default"/>
          <w:color w:val="auto"/>
          <w:highlight w:val="none"/>
          <w:lang w:val="en-US" w:eastAsia="zh-CN"/>
        </w:rPr>
      </w:pPr>
    </w:p>
    <w:p w14:paraId="0B71E6F4">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default" w:ascii="宋体" w:hAnsi="宋体" w:eastAsia="宋体" w:cs="宋体"/>
          <w:b/>
          <w:bCs/>
          <w:color w:val="auto"/>
          <w:sz w:val="24"/>
          <w:szCs w:val="24"/>
          <w:highlight w:val="none"/>
          <w:lang w:val="en-US" w:eastAsia="zh-CN"/>
        </w:rPr>
      </w:pPr>
    </w:p>
    <w:p w14:paraId="06BE0555">
      <w:pPr>
        <w:pStyle w:val="3"/>
        <w:spacing w:line="360" w:lineRule="auto"/>
        <w:jc w:val="center"/>
        <w:rPr>
          <w:rFonts w:hint="eastAsia" w:hAnsi="宋体" w:cs="宋体"/>
          <w:color w:val="auto"/>
          <w:szCs w:val="28"/>
          <w:highlight w:val="none"/>
          <w:lang w:val="en-US" w:eastAsia="zh-CN"/>
        </w:rPr>
      </w:pPr>
      <w:bookmarkStart w:id="118" w:name="_Toc6279"/>
      <w:bookmarkStart w:id="119" w:name="_Toc7572"/>
      <w:bookmarkStart w:id="120" w:name="_Toc338"/>
      <w:r>
        <w:rPr>
          <w:rFonts w:hint="eastAsia" w:hAnsi="宋体" w:cs="宋体"/>
          <w:color w:val="auto"/>
          <w:szCs w:val="28"/>
          <w:highlight w:val="none"/>
          <w:lang w:val="en-US" w:eastAsia="zh-CN"/>
        </w:rPr>
        <w:t>第三章 考核</w:t>
      </w:r>
      <w:bookmarkEnd w:id="118"/>
      <w:bookmarkEnd w:id="119"/>
      <w:bookmarkEnd w:id="120"/>
    </w:p>
    <w:p w14:paraId="02FB1E8F">
      <w:pPr>
        <w:bidi w:val="0"/>
        <w:jc w:val="center"/>
        <w:rPr>
          <w:rFonts w:hint="eastAsia"/>
          <w:b/>
          <w:bCs/>
          <w:sz w:val="24"/>
          <w:szCs w:val="24"/>
        </w:rPr>
      </w:pPr>
      <w:r>
        <w:rPr>
          <w:rFonts w:hint="eastAsia"/>
          <w:b/>
          <w:bCs/>
          <w:sz w:val="24"/>
          <w:szCs w:val="24"/>
          <w:lang w:eastAsia="zh-CN"/>
        </w:rPr>
        <w:t>上虞区应急管理局食堂管理服务</w:t>
      </w:r>
      <w:r>
        <w:rPr>
          <w:rFonts w:hint="eastAsia"/>
          <w:b/>
          <w:bCs/>
          <w:sz w:val="24"/>
          <w:szCs w:val="24"/>
        </w:rPr>
        <w:t>考核办法</w:t>
      </w:r>
    </w:p>
    <w:p w14:paraId="1C98BE12">
      <w:pPr>
        <w:spacing w:line="360" w:lineRule="auto"/>
        <w:ind w:right="-300" w:rightChars="-150" w:firstLine="482" w:firstLineChars="200"/>
        <w:rPr>
          <w:b/>
          <w:bCs/>
          <w:color w:val="auto"/>
          <w:sz w:val="24"/>
          <w:highlight w:val="none"/>
        </w:rPr>
      </w:pPr>
      <w:r>
        <w:rPr>
          <w:rFonts w:hint="eastAsia"/>
          <w:b/>
          <w:bCs/>
          <w:color w:val="auto"/>
          <w:sz w:val="24"/>
          <w:highlight w:val="none"/>
        </w:rPr>
        <w:t>一、考核内容：</w:t>
      </w:r>
    </w:p>
    <w:p w14:paraId="2A77C276">
      <w:pPr>
        <w:spacing w:line="360" w:lineRule="auto"/>
        <w:ind w:right="-300" w:rightChars="-150" w:firstLine="480" w:firstLineChars="200"/>
        <w:rPr>
          <w:rFonts w:hint="eastAsia"/>
          <w:color w:val="auto"/>
          <w:sz w:val="24"/>
          <w:highlight w:val="none"/>
        </w:rPr>
      </w:pPr>
      <w:r>
        <w:rPr>
          <w:rFonts w:hint="eastAsia"/>
          <w:color w:val="auto"/>
          <w:sz w:val="24"/>
          <w:highlight w:val="none"/>
        </w:rPr>
        <w:t>为了实现</w:t>
      </w:r>
      <w:r>
        <w:rPr>
          <w:rFonts w:hint="eastAsia"/>
          <w:color w:val="auto"/>
          <w:sz w:val="24"/>
          <w:highlight w:val="none"/>
          <w:lang w:eastAsia="zh-CN"/>
        </w:rPr>
        <w:t>上虞区应急管理局食堂</w:t>
      </w:r>
      <w:r>
        <w:rPr>
          <w:rFonts w:hint="eastAsia"/>
          <w:color w:val="auto"/>
          <w:sz w:val="24"/>
          <w:highlight w:val="none"/>
        </w:rPr>
        <w:t>管理</w:t>
      </w:r>
      <w:r>
        <w:rPr>
          <w:rFonts w:hint="eastAsia"/>
          <w:color w:val="auto"/>
          <w:sz w:val="24"/>
          <w:highlight w:val="none"/>
          <w:lang w:eastAsia="zh-CN"/>
        </w:rPr>
        <w:t>服务</w:t>
      </w:r>
      <w:r>
        <w:rPr>
          <w:rFonts w:hint="eastAsia"/>
          <w:color w:val="auto"/>
          <w:sz w:val="24"/>
          <w:highlight w:val="none"/>
        </w:rPr>
        <w:t>的标准化、制度化、规范化、科学化,确保食堂高效、安全、有序运行，圆满完成年度各项食堂服务工作目标。结合食堂服务特点，特制订本考核办法。</w:t>
      </w:r>
    </w:p>
    <w:p w14:paraId="7EE8F4D6">
      <w:pPr>
        <w:spacing w:line="360" w:lineRule="auto"/>
        <w:ind w:right="-300" w:rightChars="-150" w:firstLine="482" w:firstLineChars="200"/>
        <w:rPr>
          <w:b/>
          <w:bCs/>
          <w:color w:val="auto"/>
          <w:sz w:val="24"/>
          <w:highlight w:val="none"/>
        </w:rPr>
      </w:pPr>
      <w:r>
        <w:rPr>
          <w:rFonts w:hint="eastAsia"/>
          <w:b/>
          <w:bCs/>
          <w:color w:val="auto"/>
          <w:sz w:val="24"/>
          <w:highlight w:val="none"/>
        </w:rPr>
        <w:t>二、考核办法：</w:t>
      </w:r>
    </w:p>
    <w:p w14:paraId="4C0E9ED7">
      <w:pPr>
        <w:spacing w:line="360" w:lineRule="auto"/>
        <w:ind w:right="-300" w:rightChars="-150" w:firstLine="480" w:firstLineChars="200"/>
        <w:rPr>
          <w:color w:val="auto"/>
          <w:sz w:val="24"/>
          <w:highlight w:val="none"/>
        </w:rPr>
      </w:pPr>
      <w:r>
        <w:rPr>
          <w:rFonts w:hint="eastAsia"/>
          <w:color w:val="auto"/>
          <w:sz w:val="24"/>
          <w:highlight w:val="none"/>
        </w:rPr>
        <w:t>考核以平时巡查考核和</w:t>
      </w:r>
      <w:r>
        <w:rPr>
          <w:rFonts w:hint="eastAsia"/>
          <w:color w:val="auto"/>
          <w:sz w:val="24"/>
          <w:highlight w:val="none"/>
          <w:lang w:eastAsia="zh-CN"/>
        </w:rPr>
        <w:t>月</w:t>
      </w:r>
      <w:r>
        <w:rPr>
          <w:rFonts w:hint="eastAsia"/>
          <w:color w:val="auto"/>
          <w:sz w:val="24"/>
          <w:highlight w:val="none"/>
        </w:rPr>
        <w:t>度考核相结合的方式进行。平时巡查考核，由</w:t>
      </w:r>
      <w:r>
        <w:rPr>
          <w:rFonts w:hint="eastAsia"/>
          <w:color w:val="auto"/>
          <w:sz w:val="24"/>
          <w:highlight w:val="none"/>
          <w:lang w:eastAsia="zh-CN"/>
        </w:rPr>
        <w:t>业务科室</w:t>
      </w:r>
      <w:r>
        <w:rPr>
          <w:rFonts w:hint="eastAsia"/>
          <w:color w:val="auto"/>
          <w:sz w:val="24"/>
          <w:highlight w:val="none"/>
        </w:rPr>
        <w:t>采取不定时抽查的方式进行，考核结果记入月度考核中。</w:t>
      </w:r>
      <w:r>
        <w:rPr>
          <w:rFonts w:hint="eastAsia"/>
          <w:color w:val="auto"/>
          <w:sz w:val="24"/>
          <w:highlight w:val="none"/>
          <w:lang w:eastAsia="zh-CN"/>
        </w:rPr>
        <w:t>月</w:t>
      </w:r>
      <w:r>
        <w:rPr>
          <w:rFonts w:hint="eastAsia"/>
          <w:color w:val="auto"/>
          <w:sz w:val="24"/>
          <w:highlight w:val="none"/>
        </w:rPr>
        <w:t>度考核由</w:t>
      </w:r>
      <w:r>
        <w:rPr>
          <w:rFonts w:hint="eastAsia"/>
          <w:color w:val="auto"/>
          <w:sz w:val="24"/>
          <w:highlight w:val="none"/>
          <w:lang w:eastAsia="zh-CN"/>
        </w:rPr>
        <w:t>业务科室</w:t>
      </w:r>
      <w:r>
        <w:rPr>
          <w:rFonts w:hint="eastAsia"/>
          <w:color w:val="auto"/>
          <w:sz w:val="24"/>
          <w:highlight w:val="none"/>
        </w:rPr>
        <w:t>组织相关人员进行现场检查</w:t>
      </w:r>
      <w:r>
        <w:rPr>
          <w:rFonts w:hint="eastAsia"/>
          <w:color w:val="auto"/>
          <w:sz w:val="24"/>
          <w:highlight w:val="none"/>
          <w:lang w:eastAsia="zh-CN"/>
        </w:rPr>
        <w:t>。每季度开展服务对象满意度测评，</w:t>
      </w:r>
      <w:r>
        <w:rPr>
          <w:rFonts w:hint="eastAsia"/>
          <w:color w:val="auto"/>
          <w:sz w:val="24"/>
          <w:highlight w:val="none"/>
        </w:rPr>
        <w:t>并按照考核标准、评分细则，实行分级分类考核，考核基准分为100分</w:t>
      </w:r>
      <w:r>
        <w:rPr>
          <w:rFonts w:hint="eastAsia"/>
          <w:color w:val="auto"/>
          <w:sz w:val="24"/>
          <w:highlight w:val="none"/>
          <w:lang w:eastAsia="zh-CN"/>
        </w:rPr>
        <w:t>（以</w:t>
      </w:r>
      <w:r>
        <w:rPr>
          <w:rFonts w:hint="eastAsia"/>
          <w:color w:val="auto"/>
          <w:sz w:val="24"/>
          <w:highlight w:val="none"/>
          <w:lang w:val="en-US" w:eastAsia="zh-CN"/>
        </w:rPr>
        <w:t>100分为限</w:t>
      </w:r>
      <w:r>
        <w:rPr>
          <w:rFonts w:hint="eastAsia"/>
          <w:color w:val="auto"/>
          <w:sz w:val="24"/>
          <w:highlight w:val="none"/>
          <w:lang w:eastAsia="zh-CN"/>
        </w:rPr>
        <w:t>）</w:t>
      </w:r>
      <w:r>
        <w:rPr>
          <w:rFonts w:hint="eastAsia"/>
          <w:color w:val="auto"/>
          <w:sz w:val="24"/>
          <w:highlight w:val="none"/>
        </w:rPr>
        <w:t>，实行倒扣分制。考核成绩将作为</w:t>
      </w:r>
      <w:r>
        <w:rPr>
          <w:rFonts w:hint="eastAsia"/>
          <w:color w:val="auto"/>
          <w:sz w:val="24"/>
          <w:highlight w:val="none"/>
          <w:lang w:eastAsia="zh-CN"/>
        </w:rPr>
        <w:t>当期</w:t>
      </w:r>
      <w:r>
        <w:rPr>
          <w:rFonts w:hint="eastAsia"/>
          <w:color w:val="auto"/>
          <w:sz w:val="24"/>
          <w:highlight w:val="none"/>
          <w:lang w:val="en-US" w:eastAsia="zh-CN"/>
        </w:rPr>
        <w:t>食堂</w:t>
      </w:r>
      <w:r>
        <w:rPr>
          <w:rFonts w:hint="eastAsia"/>
          <w:color w:val="auto"/>
          <w:sz w:val="24"/>
          <w:highlight w:val="none"/>
        </w:rPr>
        <w:t>服务费付款依据。</w:t>
      </w:r>
    </w:p>
    <w:p w14:paraId="28AB539C">
      <w:pPr>
        <w:spacing w:line="360" w:lineRule="auto"/>
        <w:ind w:right="-300" w:rightChars="-150" w:firstLine="482" w:firstLineChars="200"/>
        <w:rPr>
          <w:b/>
          <w:bCs/>
          <w:color w:val="auto"/>
          <w:sz w:val="24"/>
          <w:highlight w:val="none"/>
        </w:rPr>
      </w:pPr>
      <w:r>
        <w:rPr>
          <w:rFonts w:hint="eastAsia"/>
          <w:b/>
          <w:bCs/>
          <w:color w:val="auto"/>
          <w:sz w:val="24"/>
          <w:highlight w:val="none"/>
        </w:rPr>
        <w:t>三、考核奖惩：</w:t>
      </w:r>
    </w:p>
    <w:p w14:paraId="6C4C90DE">
      <w:pPr>
        <w:spacing w:line="440" w:lineRule="exact"/>
        <w:ind w:firstLine="480" w:firstLineChars="200"/>
        <w:rPr>
          <w:rFonts w:hint="eastAsia"/>
          <w:color w:val="auto"/>
          <w:sz w:val="24"/>
          <w:highlight w:val="none"/>
        </w:rPr>
      </w:pPr>
      <w:r>
        <w:rPr>
          <w:rFonts w:hint="eastAsia"/>
          <w:color w:val="auto"/>
          <w:sz w:val="24"/>
          <w:highlight w:val="none"/>
        </w:rPr>
        <w:t>（一）本考核采用百分制，每月考核一次，并按以下原则评定考核等级：</w:t>
      </w:r>
    </w:p>
    <w:p w14:paraId="0631A43B">
      <w:pPr>
        <w:spacing w:line="440" w:lineRule="exact"/>
        <w:ind w:firstLine="480" w:firstLineChars="200"/>
        <w:rPr>
          <w:rFonts w:hint="eastAsia"/>
          <w:color w:val="auto"/>
          <w:sz w:val="24"/>
          <w:highlight w:val="none"/>
        </w:rPr>
      </w:pPr>
      <w:r>
        <w:rPr>
          <w:rFonts w:hint="eastAsia"/>
          <w:color w:val="auto"/>
          <w:sz w:val="24"/>
          <w:highlight w:val="none"/>
        </w:rPr>
        <w:t>1.考核分高于90分(含)视为优秀，全额拨付当期</w:t>
      </w:r>
      <w:r>
        <w:rPr>
          <w:rFonts w:hint="eastAsia"/>
          <w:color w:val="auto"/>
          <w:sz w:val="24"/>
          <w:highlight w:val="none"/>
          <w:lang w:val="en-US" w:eastAsia="zh-CN"/>
        </w:rPr>
        <w:t>食堂</w:t>
      </w:r>
      <w:r>
        <w:rPr>
          <w:rFonts w:hint="eastAsia"/>
          <w:color w:val="auto"/>
          <w:sz w:val="24"/>
          <w:highlight w:val="none"/>
        </w:rPr>
        <w:t>管理服务费用。</w:t>
      </w:r>
    </w:p>
    <w:p w14:paraId="232665D6">
      <w:pPr>
        <w:spacing w:line="440" w:lineRule="exact"/>
        <w:ind w:firstLine="480" w:firstLineChars="200"/>
        <w:rPr>
          <w:rFonts w:hint="eastAsia"/>
          <w:color w:val="auto"/>
          <w:sz w:val="24"/>
          <w:highlight w:val="none"/>
        </w:rPr>
      </w:pPr>
      <w:r>
        <w:rPr>
          <w:rFonts w:hint="eastAsia"/>
          <w:color w:val="auto"/>
          <w:sz w:val="24"/>
          <w:highlight w:val="none"/>
        </w:rPr>
        <w:t>2.考核分高于</w:t>
      </w:r>
      <w:r>
        <w:rPr>
          <w:rFonts w:hint="eastAsia"/>
          <w:color w:val="auto"/>
          <w:sz w:val="24"/>
          <w:highlight w:val="none"/>
          <w:lang w:val="en-US" w:eastAsia="zh-CN"/>
        </w:rPr>
        <w:t>85</w:t>
      </w:r>
      <w:r>
        <w:rPr>
          <w:rFonts w:hint="eastAsia"/>
          <w:color w:val="auto"/>
          <w:sz w:val="24"/>
          <w:highlight w:val="none"/>
        </w:rPr>
        <w:t>分(含)但低于90分(不含)视为良好，扣除当期</w:t>
      </w:r>
      <w:r>
        <w:rPr>
          <w:rFonts w:hint="eastAsia"/>
          <w:color w:val="auto"/>
          <w:sz w:val="24"/>
          <w:highlight w:val="none"/>
          <w:lang w:eastAsia="zh-CN"/>
        </w:rPr>
        <w:t>食堂</w:t>
      </w:r>
      <w:r>
        <w:rPr>
          <w:rFonts w:hint="eastAsia"/>
          <w:color w:val="auto"/>
          <w:sz w:val="24"/>
          <w:highlight w:val="none"/>
        </w:rPr>
        <w:t>管理服务费用的2%。</w:t>
      </w:r>
    </w:p>
    <w:p w14:paraId="58E45538">
      <w:pPr>
        <w:spacing w:line="440" w:lineRule="exact"/>
        <w:ind w:firstLine="480" w:firstLineChars="200"/>
        <w:rPr>
          <w:rFonts w:hint="eastAsia"/>
          <w:color w:val="auto"/>
          <w:sz w:val="24"/>
          <w:highlight w:val="none"/>
        </w:rPr>
      </w:pPr>
      <w:r>
        <w:rPr>
          <w:rFonts w:hint="eastAsia"/>
          <w:color w:val="auto"/>
          <w:sz w:val="24"/>
          <w:highlight w:val="none"/>
        </w:rPr>
        <w:t>3.考核分高于</w:t>
      </w:r>
      <w:r>
        <w:rPr>
          <w:rFonts w:hint="eastAsia"/>
          <w:color w:val="auto"/>
          <w:sz w:val="24"/>
          <w:highlight w:val="none"/>
          <w:lang w:val="en-US" w:eastAsia="zh-CN"/>
        </w:rPr>
        <w:t>80</w:t>
      </w:r>
      <w:r>
        <w:rPr>
          <w:rFonts w:hint="eastAsia"/>
          <w:color w:val="auto"/>
          <w:sz w:val="24"/>
          <w:highlight w:val="none"/>
        </w:rPr>
        <w:t>分(含)但低于</w:t>
      </w:r>
      <w:r>
        <w:rPr>
          <w:rFonts w:hint="eastAsia"/>
          <w:color w:val="auto"/>
          <w:sz w:val="24"/>
          <w:highlight w:val="none"/>
          <w:lang w:val="en-US" w:eastAsia="zh-CN"/>
        </w:rPr>
        <w:t>85</w:t>
      </w:r>
      <w:r>
        <w:rPr>
          <w:rFonts w:hint="eastAsia"/>
          <w:color w:val="auto"/>
          <w:sz w:val="24"/>
          <w:highlight w:val="none"/>
        </w:rPr>
        <w:t>分(不含)视为合格，扣除当期</w:t>
      </w:r>
      <w:r>
        <w:rPr>
          <w:rFonts w:hint="eastAsia"/>
          <w:color w:val="auto"/>
          <w:sz w:val="24"/>
          <w:highlight w:val="none"/>
          <w:lang w:eastAsia="zh-CN"/>
        </w:rPr>
        <w:t>食堂</w:t>
      </w:r>
      <w:r>
        <w:rPr>
          <w:rFonts w:hint="eastAsia"/>
          <w:color w:val="auto"/>
          <w:sz w:val="24"/>
          <w:highlight w:val="none"/>
        </w:rPr>
        <w:t>管理服务费用的5%。</w:t>
      </w:r>
    </w:p>
    <w:p w14:paraId="6E408554">
      <w:pPr>
        <w:spacing w:line="360" w:lineRule="auto"/>
        <w:ind w:right="-300" w:rightChars="-150" w:firstLine="480" w:firstLineChars="200"/>
        <w:rPr>
          <w:rFonts w:hint="eastAsia"/>
          <w:color w:val="auto"/>
          <w:sz w:val="24"/>
          <w:highlight w:val="none"/>
        </w:rPr>
      </w:pPr>
      <w:r>
        <w:rPr>
          <w:rFonts w:hint="eastAsia"/>
          <w:color w:val="auto"/>
          <w:sz w:val="24"/>
          <w:highlight w:val="none"/>
        </w:rPr>
        <w:t>4.考核分低于80分(不含)视为不合格，扣除当期</w:t>
      </w:r>
      <w:r>
        <w:rPr>
          <w:rFonts w:hint="eastAsia"/>
          <w:color w:val="auto"/>
          <w:sz w:val="24"/>
          <w:highlight w:val="none"/>
          <w:lang w:eastAsia="zh-CN"/>
        </w:rPr>
        <w:t>食堂</w:t>
      </w:r>
      <w:r>
        <w:rPr>
          <w:rFonts w:hint="eastAsia"/>
          <w:color w:val="auto"/>
          <w:sz w:val="24"/>
          <w:highlight w:val="none"/>
        </w:rPr>
        <w:t>管理服务费用的10%。连续两个月低于80分，根据合同相关条款，采购人有权单方面与服务单位终止服务合同。</w:t>
      </w:r>
    </w:p>
    <w:p w14:paraId="4FE9BA9D">
      <w:pPr>
        <w:spacing w:line="360" w:lineRule="auto"/>
        <w:ind w:right="-300" w:rightChars="-150" w:firstLine="480" w:firstLineChars="200"/>
        <w:rPr>
          <w:rFonts w:hint="eastAsia"/>
          <w:color w:val="auto"/>
          <w:sz w:val="24"/>
          <w:highlight w:val="none"/>
        </w:rPr>
      </w:pPr>
      <w:r>
        <w:rPr>
          <w:rFonts w:hint="eastAsia"/>
          <w:color w:val="auto"/>
          <w:sz w:val="24"/>
          <w:highlight w:val="none"/>
        </w:rPr>
        <w:t>（二）中标单位如有以下情形之一的，当月考核直接认定为不合格：</w:t>
      </w:r>
    </w:p>
    <w:p w14:paraId="33246FC1">
      <w:pPr>
        <w:spacing w:line="360" w:lineRule="auto"/>
        <w:ind w:right="-300" w:rightChars="-150" w:firstLine="480" w:firstLineChars="200"/>
        <w:rPr>
          <w:rFonts w:hint="eastAsia"/>
          <w:color w:val="auto"/>
          <w:sz w:val="24"/>
          <w:highlight w:val="none"/>
        </w:rPr>
      </w:pPr>
      <w:r>
        <w:rPr>
          <w:rFonts w:hint="eastAsia"/>
          <w:color w:val="auto"/>
          <w:sz w:val="24"/>
          <w:highlight w:val="none"/>
        </w:rPr>
        <w:t>1、中标单位无正当理由未按规定配足工作人员，经采购人督促后，一周内仍未按照标准配备到位的。</w:t>
      </w:r>
    </w:p>
    <w:p w14:paraId="567648B9">
      <w:pPr>
        <w:spacing w:line="360" w:lineRule="auto"/>
        <w:ind w:right="-300" w:rightChars="-150" w:firstLine="480" w:firstLineChars="200"/>
        <w:rPr>
          <w:color w:val="auto"/>
          <w:sz w:val="24"/>
          <w:highlight w:val="none"/>
        </w:rPr>
      </w:pPr>
      <w:r>
        <w:rPr>
          <w:rFonts w:hint="eastAsia"/>
          <w:color w:val="auto"/>
          <w:sz w:val="24"/>
          <w:highlight w:val="none"/>
        </w:rPr>
        <w:t>2、中标单位工作人员因故缺岗，应及时安排补缺，当月被发现工作人员缺岗2次以上的。</w:t>
      </w:r>
    </w:p>
    <w:p w14:paraId="6E65ABAD">
      <w:pPr>
        <w:spacing w:line="360" w:lineRule="auto"/>
        <w:ind w:right="-300" w:rightChars="-150" w:firstLine="480" w:firstLineChars="200"/>
        <w:rPr>
          <w:rFonts w:hint="eastAsia"/>
          <w:color w:val="auto"/>
          <w:sz w:val="24"/>
          <w:highlight w:val="none"/>
        </w:rPr>
      </w:pPr>
      <w:r>
        <w:rPr>
          <w:rFonts w:hint="eastAsia"/>
          <w:color w:val="auto"/>
          <w:sz w:val="24"/>
          <w:highlight w:val="none"/>
        </w:rPr>
        <w:t>3、在上级部门或外单位相关部门的明察暗访中，中标单位的工作人员因主观原因有被查实相关问题，影响</w:t>
      </w:r>
      <w:r>
        <w:rPr>
          <w:rFonts w:hint="eastAsia"/>
          <w:color w:val="auto"/>
          <w:sz w:val="24"/>
          <w:highlight w:val="none"/>
          <w:lang w:eastAsia="zh-CN"/>
        </w:rPr>
        <w:t>本单位</w:t>
      </w:r>
      <w:r>
        <w:rPr>
          <w:rFonts w:hint="eastAsia"/>
          <w:color w:val="auto"/>
          <w:sz w:val="24"/>
          <w:highlight w:val="none"/>
        </w:rPr>
        <w:t>形象的。</w:t>
      </w:r>
    </w:p>
    <w:p w14:paraId="016F2019">
      <w:pPr>
        <w:spacing w:line="360" w:lineRule="auto"/>
        <w:ind w:right="-300" w:rightChars="-150" w:firstLine="480" w:firstLineChars="200"/>
        <w:rPr>
          <w:color w:val="auto"/>
          <w:sz w:val="24"/>
          <w:highlight w:val="none"/>
        </w:rPr>
      </w:pPr>
      <w:r>
        <w:rPr>
          <w:rFonts w:hint="eastAsia"/>
          <w:color w:val="auto"/>
          <w:sz w:val="24"/>
          <w:highlight w:val="none"/>
        </w:rPr>
        <w:t>4、因中标单位</w:t>
      </w:r>
      <w:r>
        <w:rPr>
          <w:rFonts w:hint="eastAsia"/>
          <w:color w:val="auto"/>
          <w:sz w:val="24"/>
          <w:highlight w:val="none"/>
          <w:lang w:eastAsia="zh-CN"/>
        </w:rPr>
        <w:t>或其</w:t>
      </w:r>
      <w:r>
        <w:rPr>
          <w:rFonts w:hint="eastAsia"/>
          <w:color w:val="auto"/>
          <w:sz w:val="24"/>
          <w:highlight w:val="none"/>
        </w:rPr>
        <w:t>工作人员</w:t>
      </w:r>
      <w:r>
        <w:rPr>
          <w:rFonts w:hint="eastAsia"/>
          <w:color w:val="auto"/>
          <w:sz w:val="24"/>
          <w:highlight w:val="none"/>
          <w:lang w:eastAsia="zh-CN"/>
        </w:rPr>
        <w:t>故意或重大过失</w:t>
      </w:r>
      <w:r>
        <w:rPr>
          <w:rFonts w:hint="eastAsia"/>
          <w:color w:val="auto"/>
          <w:sz w:val="24"/>
          <w:highlight w:val="none"/>
          <w:lang w:val="en-US" w:eastAsia="zh-CN"/>
        </w:rPr>
        <w:t>行为的</w:t>
      </w:r>
      <w:r>
        <w:rPr>
          <w:rFonts w:hint="eastAsia"/>
          <w:color w:val="auto"/>
          <w:sz w:val="24"/>
          <w:highlight w:val="none"/>
        </w:rPr>
        <w:t>，</w:t>
      </w:r>
      <w:r>
        <w:rPr>
          <w:rFonts w:hint="eastAsia"/>
          <w:color w:val="auto"/>
          <w:sz w:val="24"/>
          <w:highlight w:val="none"/>
          <w:lang w:eastAsia="zh-CN"/>
        </w:rPr>
        <w:t>导致发生食品安全事件、安全生产事故、群体性投诉或给甲方声誉</w:t>
      </w:r>
      <w:r>
        <w:rPr>
          <w:rFonts w:hint="eastAsia"/>
          <w:color w:val="auto"/>
          <w:sz w:val="24"/>
          <w:highlight w:val="none"/>
        </w:rPr>
        <w:t>造成</w:t>
      </w:r>
      <w:r>
        <w:rPr>
          <w:rFonts w:hint="eastAsia"/>
          <w:color w:val="auto"/>
          <w:sz w:val="24"/>
          <w:highlight w:val="none"/>
          <w:lang w:val="en-US" w:eastAsia="zh-CN"/>
        </w:rPr>
        <w:t>严重负面影响</w:t>
      </w:r>
      <w:r>
        <w:rPr>
          <w:rFonts w:hint="eastAsia"/>
          <w:color w:val="auto"/>
          <w:sz w:val="24"/>
          <w:highlight w:val="none"/>
          <w:lang w:eastAsia="zh-CN"/>
        </w:rPr>
        <w:t>，</w:t>
      </w:r>
      <w:r>
        <w:rPr>
          <w:rFonts w:hint="default"/>
          <w:color w:val="auto"/>
          <w:sz w:val="24"/>
          <w:highlight w:val="none"/>
          <w:lang w:eastAsia="zh-CN"/>
        </w:rPr>
        <w:t>影响恶劣的</w:t>
      </w:r>
      <w:r>
        <w:rPr>
          <w:rFonts w:hint="eastAsia"/>
          <w:color w:val="auto"/>
          <w:sz w:val="24"/>
          <w:highlight w:val="none"/>
        </w:rPr>
        <w:t>。</w:t>
      </w:r>
    </w:p>
    <w:p w14:paraId="60511F1B">
      <w:pPr>
        <w:pStyle w:val="13"/>
        <w:rPr>
          <w:rFonts w:hint="eastAsia" w:eastAsia="宋体"/>
          <w:b/>
          <w:bCs/>
          <w:color w:val="auto"/>
          <w:highlight w:val="none"/>
          <w:lang w:val="en-US" w:eastAsia="zh-CN"/>
        </w:rPr>
      </w:pPr>
      <w:r>
        <w:rPr>
          <w:rFonts w:hint="eastAsia"/>
          <w:b/>
          <w:bCs/>
          <w:color w:val="auto"/>
          <w:sz w:val="24"/>
          <w:highlight w:val="none"/>
        </w:rPr>
        <w:t>四、考核细则：</w:t>
      </w:r>
      <w:r>
        <w:rPr>
          <w:rFonts w:hint="eastAsia"/>
          <w:b/>
          <w:bCs/>
          <w:color w:val="auto"/>
          <w:sz w:val="24"/>
          <w:highlight w:val="none"/>
          <w:lang w:eastAsia="zh-CN"/>
        </w:rPr>
        <w:t>（在管理过程中，为更好的推进工作，经双方协商一致，可对考核内容按需进行调整）</w:t>
      </w:r>
    </w:p>
    <w:p w14:paraId="0683D241">
      <w:pPr>
        <w:numPr>
          <w:ilvl w:val="0"/>
          <w:numId w:val="0"/>
        </w:numPr>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（一）上虞区应急管理局食堂管理服务</w:t>
      </w:r>
      <w:r>
        <w:rPr>
          <w:rFonts w:hint="eastAsia" w:ascii="宋体" w:hAnsi="宋体" w:eastAsia="宋体" w:cs="宋体"/>
          <w:color w:val="auto"/>
          <w:kern w:val="2"/>
          <w:sz w:val="24"/>
          <w:szCs w:val="24"/>
          <w:highlight w:val="none"/>
          <w:lang w:val="en-US" w:eastAsia="zh-CN" w:bidi="ar-SA"/>
        </w:rPr>
        <w:t>考核</w:t>
      </w:r>
    </w:p>
    <w:tbl>
      <w:tblPr>
        <w:tblStyle w:val="29"/>
        <w:tblW w:w="892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6241"/>
        <w:gridCol w:w="1965"/>
      </w:tblGrid>
      <w:tr w14:paraId="745EEF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noWrap w:val="0"/>
            <w:vAlign w:val="center"/>
          </w:tcPr>
          <w:p w14:paraId="16845D20">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rPr>
              <w:t>项目</w:t>
            </w:r>
          </w:p>
        </w:tc>
        <w:tc>
          <w:tcPr>
            <w:tcW w:w="6241" w:type="dxa"/>
            <w:noWrap w:val="0"/>
            <w:vAlign w:val="center"/>
          </w:tcPr>
          <w:p w14:paraId="6C76B3A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color w:val="auto"/>
                <w:sz w:val="22"/>
                <w:szCs w:val="22"/>
                <w:highlight w:val="none"/>
              </w:rPr>
            </w:pPr>
            <w:r>
              <w:rPr>
                <w:rFonts w:hint="eastAsia" w:ascii="宋体" w:hAnsi="宋体"/>
                <w:color w:val="auto"/>
                <w:sz w:val="22"/>
                <w:szCs w:val="22"/>
                <w:highlight w:val="none"/>
              </w:rPr>
              <w:t>考  评  内  容</w:t>
            </w:r>
          </w:p>
        </w:tc>
        <w:tc>
          <w:tcPr>
            <w:tcW w:w="1965" w:type="dxa"/>
            <w:noWrap w:val="0"/>
            <w:vAlign w:val="center"/>
          </w:tcPr>
          <w:p w14:paraId="1D37098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rPr>
              <w:t>扣</w:t>
            </w:r>
            <w:r>
              <w:rPr>
                <w:rFonts w:hint="eastAsia" w:ascii="宋体" w:hAnsi="宋体"/>
                <w:color w:val="auto"/>
                <w:sz w:val="22"/>
                <w:szCs w:val="22"/>
                <w:highlight w:val="none"/>
                <w:lang w:val="en-US" w:eastAsia="zh-CN"/>
              </w:rPr>
              <w:t>分标准</w:t>
            </w:r>
          </w:p>
        </w:tc>
      </w:tr>
      <w:tr w14:paraId="17885E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restart"/>
            <w:noWrap w:val="0"/>
            <w:vAlign w:val="center"/>
          </w:tcPr>
          <w:p w14:paraId="2AD54B55">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rPr>
              <w:t>一、食品</w:t>
            </w:r>
          </w:p>
          <w:p w14:paraId="4DA762B1">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rPr>
              <w:t>卫生</w:t>
            </w:r>
          </w:p>
        </w:tc>
        <w:tc>
          <w:tcPr>
            <w:tcW w:w="6241" w:type="dxa"/>
            <w:noWrap w:val="0"/>
            <w:vAlign w:val="center"/>
          </w:tcPr>
          <w:p w14:paraId="37E70A04">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rPr>
              <w:t>1.把馊的、变味的、不熟的食物供应的</w:t>
            </w:r>
          </w:p>
        </w:tc>
        <w:tc>
          <w:tcPr>
            <w:tcW w:w="1965" w:type="dxa"/>
            <w:noWrap w:val="0"/>
            <w:vAlign w:val="center"/>
          </w:tcPr>
          <w:p w14:paraId="475AB6EA">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cs="仿宋"/>
                <w:color w:val="auto"/>
                <w:highlight w:val="none"/>
              </w:rPr>
              <w:t>发现一次扣1分</w:t>
            </w:r>
          </w:p>
        </w:tc>
      </w:tr>
      <w:tr w14:paraId="4AFFC8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3856DD33">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p>
        </w:tc>
        <w:tc>
          <w:tcPr>
            <w:tcW w:w="6241" w:type="dxa"/>
            <w:noWrap w:val="0"/>
            <w:vAlign w:val="center"/>
          </w:tcPr>
          <w:p w14:paraId="338291FA">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rPr>
              <w:t>2.隔夜</w:t>
            </w:r>
            <w:r>
              <w:rPr>
                <w:rFonts w:hint="eastAsia" w:ascii="宋体" w:hAnsi="宋体"/>
                <w:color w:val="auto"/>
                <w:sz w:val="22"/>
                <w:szCs w:val="22"/>
                <w:highlight w:val="none"/>
                <w:lang w:val="en-US" w:eastAsia="zh-CN"/>
              </w:rPr>
              <w:t>后不宜再食用的</w:t>
            </w:r>
            <w:r>
              <w:rPr>
                <w:rFonts w:hint="eastAsia" w:ascii="宋体" w:hAnsi="宋体"/>
                <w:color w:val="auto"/>
                <w:sz w:val="22"/>
                <w:szCs w:val="22"/>
                <w:highlight w:val="none"/>
              </w:rPr>
              <w:t>饭菜供应的</w:t>
            </w:r>
          </w:p>
        </w:tc>
        <w:tc>
          <w:tcPr>
            <w:tcW w:w="1965" w:type="dxa"/>
            <w:noWrap w:val="0"/>
            <w:vAlign w:val="center"/>
          </w:tcPr>
          <w:p w14:paraId="6D6A97E9">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cs="仿宋"/>
                <w:color w:val="auto"/>
                <w:highlight w:val="none"/>
              </w:rPr>
              <w:t>发现一次扣1分</w:t>
            </w:r>
          </w:p>
        </w:tc>
      </w:tr>
      <w:tr w14:paraId="479C23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312EC29B">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p>
        </w:tc>
        <w:tc>
          <w:tcPr>
            <w:tcW w:w="6241" w:type="dxa"/>
            <w:noWrap w:val="0"/>
            <w:vAlign w:val="center"/>
          </w:tcPr>
          <w:p w14:paraId="4F6AE452">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rPr>
              <w:t>3.去皮的、切分的原材料放在地上而未及时放入干净框内的</w:t>
            </w:r>
          </w:p>
        </w:tc>
        <w:tc>
          <w:tcPr>
            <w:tcW w:w="1965" w:type="dxa"/>
            <w:noWrap w:val="0"/>
            <w:vAlign w:val="center"/>
          </w:tcPr>
          <w:p w14:paraId="1F21F771">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cs="仿宋"/>
                <w:color w:val="auto"/>
                <w:highlight w:val="none"/>
              </w:rPr>
              <w:t>发现一次扣</w:t>
            </w:r>
            <w:r>
              <w:rPr>
                <w:rFonts w:hint="eastAsia" w:cs="仿宋"/>
                <w:color w:val="auto"/>
                <w:highlight w:val="none"/>
                <w:lang w:val="en-US" w:eastAsia="zh-CN"/>
              </w:rPr>
              <w:t>0.5</w:t>
            </w:r>
            <w:r>
              <w:rPr>
                <w:rFonts w:hint="eastAsia" w:cs="仿宋"/>
                <w:color w:val="auto"/>
                <w:highlight w:val="none"/>
              </w:rPr>
              <w:t>分</w:t>
            </w:r>
          </w:p>
        </w:tc>
      </w:tr>
      <w:tr w14:paraId="55A214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5DAB0B9B">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p>
        </w:tc>
        <w:tc>
          <w:tcPr>
            <w:tcW w:w="6241" w:type="dxa"/>
            <w:noWrap w:val="0"/>
            <w:vAlign w:val="center"/>
          </w:tcPr>
          <w:p w14:paraId="6F0489AB">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rPr>
              <w:t>4.菜肴等食品中发现虫、蝇、清洁球、毛发等杂物的</w:t>
            </w:r>
          </w:p>
        </w:tc>
        <w:tc>
          <w:tcPr>
            <w:tcW w:w="1965" w:type="dxa"/>
            <w:noWrap w:val="0"/>
            <w:vAlign w:val="center"/>
          </w:tcPr>
          <w:p w14:paraId="18C0F2A7">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cs="仿宋"/>
                <w:color w:val="auto"/>
                <w:highlight w:val="none"/>
              </w:rPr>
              <w:t>发现一</w:t>
            </w:r>
            <w:r>
              <w:rPr>
                <w:rFonts w:hint="eastAsia" w:cs="仿宋"/>
                <w:color w:val="auto"/>
                <w:highlight w:val="none"/>
                <w:lang w:val="en-US" w:eastAsia="zh-CN"/>
              </w:rPr>
              <w:t>样</w:t>
            </w:r>
            <w:r>
              <w:rPr>
                <w:rFonts w:hint="eastAsia" w:cs="仿宋"/>
                <w:color w:val="auto"/>
                <w:highlight w:val="none"/>
              </w:rPr>
              <w:t>扣</w:t>
            </w:r>
            <w:r>
              <w:rPr>
                <w:rFonts w:hint="eastAsia" w:cs="仿宋"/>
                <w:color w:val="auto"/>
                <w:highlight w:val="none"/>
                <w:lang w:val="en-US" w:eastAsia="zh-CN"/>
              </w:rPr>
              <w:t>2</w:t>
            </w:r>
            <w:r>
              <w:rPr>
                <w:rFonts w:hint="eastAsia" w:cs="仿宋"/>
                <w:color w:val="auto"/>
                <w:highlight w:val="none"/>
              </w:rPr>
              <w:t>分</w:t>
            </w:r>
          </w:p>
        </w:tc>
      </w:tr>
      <w:tr w14:paraId="2C385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5844C0EB">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p>
        </w:tc>
        <w:tc>
          <w:tcPr>
            <w:tcW w:w="6241" w:type="dxa"/>
            <w:noWrap w:val="0"/>
            <w:vAlign w:val="center"/>
          </w:tcPr>
          <w:p w14:paraId="70393356">
            <w:pPr>
              <w:keepNext w:val="0"/>
              <w:keepLines w:val="0"/>
              <w:pageBreakBefore w:val="0"/>
              <w:widowControl w:val="0"/>
              <w:kinsoku/>
              <w:wordWrap/>
              <w:overflowPunct/>
              <w:topLinePunct w:val="0"/>
              <w:autoSpaceDE w:val="0"/>
              <w:autoSpaceDN w:val="0"/>
              <w:bidi w:val="0"/>
              <w:adjustRightInd w:val="0"/>
              <w:snapToGrid/>
              <w:spacing w:line="240" w:lineRule="auto"/>
              <w:ind w:left="315" w:hanging="330" w:hangingChars="150"/>
              <w:textAlignment w:val="auto"/>
              <w:rPr>
                <w:rFonts w:hint="eastAsia" w:ascii="宋体" w:hAnsi="宋体"/>
                <w:color w:val="auto"/>
                <w:sz w:val="22"/>
                <w:szCs w:val="22"/>
                <w:highlight w:val="none"/>
              </w:rPr>
            </w:pPr>
            <w:r>
              <w:rPr>
                <w:rFonts w:hint="eastAsia" w:ascii="宋体" w:hAnsi="宋体"/>
                <w:color w:val="auto"/>
                <w:sz w:val="22"/>
                <w:szCs w:val="22"/>
                <w:highlight w:val="none"/>
              </w:rPr>
              <w:t>5.加工结束、餐后及下班前不做好相关工作，不及时冷藏、处理剩余半成品、成品食品的</w:t>
            </w:r>
          </w:p>
        </w:tc>
        <w:tc>
          <w:tcPr>
            <w:tcW w:w="1965" w:type="dxa"/>
            <w:noWrap w:val="0"/>
            <w:vAlign w:val="center"/>
          </w:tcPr>
          <w:p w14:paraId="3C303F6B">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cs="仿宋"/>
                <w:color w:val="auto"/>
                <w:highlight w:val="none"/>
              </w:rPr>
              <w:t>发现一次扣1分</w:t>
            </w:r>
          </w:p>
        </w:tc>
      </w:tr>
      <w:tr w14:paraId="26FBD9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3BCF3DC9">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p>
        </w:tc>
        <w:tc>
          <w:tcPr>
            <w:tcW w:w="6241" w:type="dxa"/>
            <w:noWrap w:val="0"/>
            <w:vAlign w:val="center"/>
          </w:tcPr>
          <w:p w14:paraId="23A57CB0">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rPr>
              <w:t>6.未按规定做好成品留样登记工作的</w:t>
            </w:r>
          </w:p>
        </w:tc>
        <w:tc>
          <w:tcPr>
            <w:tcW w:w="1965" w:type="dxa"/>
            <w:noWrap w:val="0"/>
            <w:vAlign w:val="center"/>
          </w:tcPr>
          <w:p w14:paraId="65EBFDE3">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cs="仿宋"/>
                <w:color w:val="auto"/>
                <w:highlight w:val="none"/>
              </w:rPr>
              <w:t>发现一次扣1分</w:t>
            </w:r>
          </w:p>
        </w:tc>
      </w:tr>
      <w:tr w14:paraId="3BF297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265A8A60">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p>
        </w:tc>
        <w:tc>
          <w:tcPr>
            <w:tcW w:w="6241" w:type="dxa"/>
            <w:noWrap w:val="0"/>
            <w:vAlign w:val="center"/>
          </w:tcPr>
          <w:p w14:paraId="283F1377">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rPr>
              <w:t>7.经调查核实，因操作不当，发现食物中毒的</w:t>
            </w:r>
          </w:p>
        </w:tc>
        <w:tc>
          <w:tcPr>
            <w:tcW w:w="1965" w:type="dxa"/>
            <w:noWrap w:val="0"/>
            <w:vAlign w:val="center"/>
          </w:tcPr>
          <w:p w14:paraId="4BA80280">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olor w:val="auto"/>
                <w:sz w:val="22"/>
                <w:szCs w:val="22"/>
                <w:highlight w:val="none"/>
                <w:lang w:eastAsia="zh-CN"/>
              </w:rPr>
            </w:pPr>
            <w:r>
              <w:rPr>
                <w:rFonts w:hint="eastAsia" w:cs="仿宋"/>
                <w:color w:val="auto"/>
                <w:highlight w:val="none"/>
                <w:lang w:eastAsia="zh-CN"/>
              </w:rPr>
              <w:t>依法追究法律责任</w:t>
            </w:r>
          </w:p>
        </w:tc>
      </w:tr>
      <w:tr w14:paraId="4C4F5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restart"/>
            <w:noWrap w:val="0"/>
            <w:vAlign w:val="center"/>
          </w:tcPr>
          <w:p w14:paraId="46ED3008">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rPr>
              <w:t>二、</w:t>
            </w:r>
            <w:r>
              <w:rPr>
                <w:rFonts w:hint="eastAsia" w:ascii="宋体" w:hAnsi="宋体"/>
                <w:color w:val="auto"/>
                <w:sz w:val="22"/>
                <w:szCs w:val="22"/>
                <w:highlight w:val="none"/>
                <w:lang w:val="en-US" w:eastAsia="zh-CN"/>
              </w:rPr>
              <w:t>食堂</w:t>
            </w:r>
            <w:r>
              <w:rPr>
                <w:rFonts w:hint="eastAsia" w:ascii="宋体" w:hAnsi="宋体"/>
                <w:color w:val="auto"/>
                <w:sz w:val="22"/>
                <w:szCs w:val="22"/>
                <w:highlight w:val="none"/>
              </w:rPr>
              <w:t>环境</w:t>
            </w:r>
          </w:p>
          <w:p w14:paraId="61AE5581">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rPr>
              <w:t>卫生</w:t>
            </w:r>
          </w:p>
        </w:tc>
        <w:tc>
          <w:tcPr>
            <w:tcW w:w="6241" w:type="dxa"/>
            <w:noWrap w:val="0"/>
            <w:vAlign w:val="center"/>
          </w:tcPr>
          <w:p w14:paraId="70AB7C61">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lang w:val="en-US" w:eastAsia="zh-CN"/>
              </w:rPr>
              <w:t>1</w:t>
            </w:r>
            <w:r>
              <w:rPr>
                <w:rFonts w:hint="eastAsia" w:ascii="宋体" w:hAnsi="宋体"/>
                <w:color w:val="auto"/>
                <w:sz w:val="22"/>
                <w:szCs w:val="22"/>
                <w:highlight w:val="none"/>
              </w:rPr>
              <w:t>.厨师</w:t>
            </w:r>
            <w:r>
              <w:rPr>
                <w:rFonts w:hint="eastAsia" w:ascii="宋体" w:hAnsi="宋体"/>
                <w:color w:val="auto"/>
                <w:sz w:val="22"/>
                <w:szCs w:val="22"/>
                <w:highlight w:val="none"/>
                <w:lang w:eastAsia="zh-CN"/>
              </w:rPr>
              <w:t>等工作人员</w:t>
            </w:r>
            <w:r>
              <w:rPr>
                <w:rFonts w:hint="eastAsia" w:ascii="宋体" w:hAnsi="宋体"/>
                <w:color w:val="auto"/>
                <w:sz w:val="22"/>
                <w:szCs w:val="22"/>
                <w:highlight w:val="none"/>
              </w:rPr>
              <w:t>在操作间有吸烟、两手不洁、对着食品打喷嚏等现象的</w:t>
            </w:r>
          </w:p>
        </w:tc>
        <w:tc>
          <w:tcPr>
            <w:tcW w:w="1965" w:type="dxa"/>
            <w:noWrap w:val="0"/>
            <w:vAlign w:val="center"/>
          </w:tcPr>
          <w:p w14:paraId="6E0DA689">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cs="仿宋"/>
                <w:color w:val="auto"/>
                <w:highlight w:val="none"/>
              </w:rPr>
              <w:t>发现一次扣</w:t>
            </w:r>
            <w:r>
              <w:rPr>
                <w:rFonts w:hint="eastAsia" w:cs="仿宋"/>
                <w:color w:val="auto"/>
                <w:highlight w:val="none"/>
                <w:lang w:val="en-US" w:eastAsia="zh-CN"/>
              </w:rPr>
              <w:t>2</w:t>
            </w:r>
            <w:r>
              <w:rPr>
                <w:rFonts w:hint="eastAsia" w:cs="仿宋"/>
                <w:color w:val="auto"/>
                <w:highlight w:val="none"/>
              </w:rPr>
              <w:t>分</w:t>
            </w:r>
          </w:p>
        </w:tc>
      </w:tr>
      <w:tr w14:paraId="5AC8D5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113AB661">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p>
        </w:tc>
        <w:tc>
          <w:tcPr>
            <w:tcW w:w="6241" w:type="dxa"/>
            <w:noWrap w:val="0"/>
            <w:vAlign w:val="center"/>
          </w:tcPr>
          <w:p w14:paraId="3290D7DC">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lang w:val="en-US" w:eastAsia="zh-CN"/>
              </w:rPr>
              <w:t>2</w:t>
            </w:r>
            <w:r>
              <w:rPr>
                <w:rFonts w:hint="eastAsia" w:ascii="宋体" w:hAnsi="宋体"/>
                <w:color w:val="auto"/>
                <w:sz w:val="22"/>
                <w:szCs w:val="22"/>
                <w:highlight w:val="none"/>
              </w:rPr>
              <w:t>.餐具、炊具未按程序清洗、消毒、存放的</w:t>
            </w:r>
          </w:p>
        </w:tc>
        <w:tc>
          <w:tcPr>
            <w:tcW w:w="1965" w:type="dxa"/>
            <w:noWrap w:val="0"/>
            <w:vAlign w:val="center"/>
          </w:tcPr>
          <w:p w14:paraId="2425E032">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cs="仿宋"/>
                <w:color w:val="auto"/>
                <w:highlight w:val="none"/>
              </w:rPr>
              <w:t>发现一次扣1分</w:t>
            </w:r>
          </w:p>
        </w:tc>
      </w:tr>
      <w:tr w14:paraId="756BBC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6E172255">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p>
        </w:tc>
        <w:tc>
          <w:tcPr>
            <w:tcW w:w="6241" w:type="dxa"/>
            <w:noWrap w:val="0"/>
            <w:vAlign w:val="center"/>
          </w:tcPr>
          <w:p w14:paraId="0AC9BB19">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.清洗后的餐具仍残留</w:t>
            </w:r>
            <w:r>
              <w:rPr>
                <w:rFonts w:ascii="宋体" w:hAnsi="宋体"/>
                <w:color w:val="auto"/>
                <w:sz w:val="22"/>
                <w:szCs w:val="22"/>
                <w:highlight w:val="none"/>
              </w:rPr>
              <w:t>食物残渣</w:t>
            </w:r>
            <w:r>
              <w:rPr>
                <w:rFonts w:hint="eastAsia" w:ascii="宋体" w:hAnsi="宋体"/>
                <w:color w:val="auto"/>
                <w:sz w:val="22"/>
                <w:szCs w:val="22"/>
                <w:highlight w:val="none"/>
              </w:rPr>
              <w:t>，碗筷勺盘等</w:t>
            </w:r>
            <w:r>
              <w:rPr>
                <w:rFonts w:ascii="宋体" w:hAnsi="宋体"/>
                <w:color w:val="auto"/>
                <w:sz w:val="22"/>
                <w:szCs w:val="22"/>
                <w:highlight w:val="none"/>
              </w:rPr>
              <w:t>留有油腻、黑点</w:t>
            </w:r>
            <w:r>
              <w:rPr>
                <w:rFonts w:hint="eastAsia" w:ascii="宋体" w:hAnsi="宋体"/>
                <w:color w:val="auto"/>
                <w:sz w:val="22"/>
                <w:szCs w:val="22"/>
                <w:highlight w:val="none"/>
              </w:rPr>
              <w:t>的</w:t>
            </w:r>
          </w:p>
        </w:tc>
        <w:tc>
          <w:tcPr>
            <w:tcW w:w="1965" w:type="dxa"/>
            <w:noWrap w:val="0"/>
            <w:vAlign w:val="center"/>
          </w:tcPr>
          <w:p w14:paraId="355156A7">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cs="仿宋"/>
                <w:color w:val="auto"/>
                <w:highlight w:val="none"/>
              </w:rPr>
              <w:t>发现一</w:t>
            </w:r>
            <w:r>
              <w:rPr>
                <w:rFonts w:hint="eastAsia" w:cs="仿宋"/>
                <w:color w:val="auto"/>
                <w:highlight w:val="none"/>
                <w:lang w:val="en-US" w:eastAsia="zh-CN"/>
              </w:rPr>
              <w:t>样</w:t>
            </w:r>
            <w:r>
              <w:rPr>
                <w:rFonts w:hint="eastAsia" w:cs="仿宋"/>
                <w:color w:val="auto"/>
                <w:highlight w:val="none"/>
              </w:rPr>
              <w:t>扣</w:t>
            </w:r>
            <w:r>
              <w:rPr>
                <w:rFonts w:hint="eastAsia" w:cs="仿宋"/>
                <w:color w:val="auto"/>
                <w:highlight w:val="none"/>
                <w:lang w:val="en-US" w:eastAsia="zh-CN"/>
              </w:rPr>
              <w:t>1</w:t>
            </w:r>
            <w:r>
              <w:rPr>
                <w:rFonts w:hint="eastAsia" w:cs="仿宋"/>
                <w:color w:val="auto"/>
                <w:highlight w:val="none"/>
              </w:rPr>
              <w:t>分</w:t>
            </w:r>
          </w:p>
        </w:tc>
      </w:tr>
      <w:tr w14:paraId="665FB2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2EA2D5A1">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p>
        </w:tc>
        <w:tc>
          <w:tcPr>
            <w:tcW w:w="6241" w:type="dxa"/>
            <w:noWrap w:val="0"/>
            <w:vAlign w:val="center"/>
          </w:tcPr>
          <w:p w14:paraId="4003F694">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lang w:val="en-US" w:eastAsia="zh-CN"/>
              </w:rPr>
              <w:t>4</w:t>
            </w:r>
            <w:r>
              <w:rPr>
                <w:rFonts w:hint="eastAsia" w:ascii="宋体" w:hAnsi="宋体"/>
                <w:color w:val="auto"/>
                <w:sz w:val="22"/>
                <w:szCs w:val="22"/>
                <w:highlight w:val="none"/>
              </w:rPr>
              <w:t>.餐厅地面不干净、桌椅有油污的，不及时清理餐桌、窗口供菜台的</w:t>
            </w:r>
          </w:p>
        </w:tc>
        <w:tc>
          <w:tcPr>
            <w:tcW w:w="1965" w:type="dxa"/>
            <w:noWrap w:val="0"/>
            <w:vAlign w:val="center"/>
          </w:tcPr>
          <w:p w14:paraId="5932BEBB">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cs="仿宋"/>
                <w:color w:val="auto"/>
                <w:highlight w:val="none"/>
              </w:rPr>
              <w:t>发现一次扣</w:t>
            </w:r>
            <w:r>
              <w:rPr>
                <w:rFonts w:hint="eastAsia" w:cs="仿宋"/>
                <w:color w:val="auto"/>
                <w:highlight w:val="none"/>
                <w:lang w:val="en-US" w:eastAsia="zh-CN"/>
              </w:rPr>
              <w:t>1</w:t>
            </w:r>
            <w:r>
              <w:rPr>
                <w:rFonts w:hint="eastAsia" w:cs="仿宋"/>
                <w:color w:val="auto"/>
                <w:highlight w:val="none"/>
              </w:rPr>
              <w:t>分</w:t>
            </w:r>
          </w:p>
        </w:tc>
      </w:tr>
      <w:tr w14:paraId="12A047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66D0B7A2">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p>
        </w:tc>
        <w:tc>
          <w:tcPr>
            <w:tcW w:w="6241" w:type="dxa"/>
            <w:noWrap w:val="0"/>
            <w:vAlign w:val="center"/>
          </w:tcPr>
          <w:p w14:paraId="4ABAAC91">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.工作间地面不干净、有积水和杂物，操作台及灶台未及时清理、打扫的</w:t>
            </w:r>
          </w:p>
        </w:tc>
        <w:tc>
          <w:tcPr>
            <w:tcW w:w="1965" w:type="dxa"/>
            <w:noWrap w:val="0"/>
            <w:vAlign w:val="center"/>
          </w:tcPr>
          <w:p w14:paraId="481A9C3A">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cs="仿宋"/>
                <w:color w:val="auto"/>
                <w:highlight w:val="none"/>
              </w:rPr>
              <w:t>发现一次扣</w:t>
            </w:r>
            <w:r>
              <w:rPr>
                <w:rFonts w:hint="eastAsia" w:cs="仿宋"/>
                <w:color w:val="auto"/>
                <w:highlight w:val="none"/>
                <w:lang w:val="en-US" w:eastAsia="zh-CN"/>
              </w:rPr>
              <w:t>1</w:t>
            </w:r>
            <w:r>
              <w:rPr>
                <w:rFonts w:hint="eastAsia" w:cs="仿宋"/>
                <w:color w:val="auto"/>
                <w:highlight w:val="none"/>
              </w:rPr>
              <w:t>分</w:t>
            </w:r>
          </w:p>
        </w:tc>
      </w:tr>
      <w:tr w14:paraId="034753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73DD2B41">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p>
        </w:tc>
        <w:tc>
          <w:tcPr>
            <w:tcW w:w="6241" w:type="dxa"/>
            <w:noWrap w:val="0"/>
            <w:vAlign w:val="center"/>
          </w:tcPr>
          <w:p w14:paraId="2C5475F3">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olor w:val="auto"/>
                <w:sz w:val="22"/>
                <w:szCs w:val="22"/>
                <w:highlight w:val="none"/>
                <w:lang w:eastAsia="zh-CN"/>
              </w:rPr>
            </w:pPr>
            <w:r>
              <w:rPr>
                <w:rFonts w:hint="eastAsia" w:ascii="宋体" w:hAnsi="宋体"/>
                <w:color w:val="auto"/>
                <w:sz w:val="22"/>
                <w:szCs w:val="22"/>
                <w:highlight w:val="none"/>
                <w:lang w:val="en-US" w:eastAsia="zh-CN"/>
              </w:rPr>
              <w:t>6</w:t>
            </w:r>
            <w:r>
              <w:rPr>
                <w:rFonts w:hint="eastAsia" w:ascii="宋体" w:hAnsi="宋体"/>
                <w:color w:val="auto"/>
                <w:sz w:val="22"/>
                <w:szCs w:val="22"/>
                <w:highlight w:val="none"/>
              </w:rPr>
              <w:t>.原辅料（调料）、厨餐具、工具及个人茶杯等物</w:t>
            </w:r>
            <w:r>
              <w:rPr>
                <w:rFonts w:hint="eastAsia" w:ascii="宋体" w:hAnsi="宋体"/>
                <w:color w:val="auto"/>
                <w:sz w:val="22"/>
                <w:szCs w:val="22"/>
                <w:highlight w:val="none"/>
                <w:lang w:eastAsia="zh-CN"/>
              </w:rPr>
              <w:t>放置杂乱</w:t>
            </w:r>
          </w:p>
        </w:tc>
        <w:tc>
          <w:tcPr>
            <w:tcW w:w="1965" w:type="dxa"/>
            <w:noWrap w:val="0"/>
            <w:vAlign w:val="center"/>
          </w:tcPr>
          <w:p w14:paraId="29EB9584">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cs="仿宋"/>
                <w:color w:val="auto"/>
                <w:highlight w:val="none"/>
              </w:rPr>
              <w:t>发现一次扣</w:t>
            </w:r>
            <w:r>
              <w:rPr>
                <w:rFonts w:hint="eastAsia" w:cs="仿宋"/>
                <w:color w:val="auto"/>
                <w:highlight w:val="none"/>
                <w:lang w:val="en-US" w:eastAsia="zh-CN"/>
              </w:rPr>
              <w:t>2</w:t>
            </w:r>
            <w:r>
              <w:rPr>
                <w:rFonts w:hint="eastAsia" w:cs="仿宋"/>
                <w:color w:val="auto"/>
                <w:highlight w:val="none"/>
              </w:rPr>
              <w:t>分</w:t>
            </w:r>
          </w:p>
        </w:tc>
      </w:tr>
      <w:tr w14:paraId="730F8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501EE579">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p>
        </w:tc>
        <w:tc>
          <w:tcPr>
            <w:tcW w:w="6241" w:type="dxa"/>
            <w:noWrap w:val="0"/>
            <w:vAlign w:val="center"/>
          </w:tcPr>
          <w:p w14:paraId="4E67C5C4">
            <w:pPr>
              <w:keepNext w:val="0"/>
              <w:keepLines w:val="0"/>
              <w:pageBreakBefore w:val="0"/>
              <w:widowControl w:val="0"/>
              <w:kinsoku/>
              <w:wordWrap/>
              <w:overflowPunct/>
              <w:topLinePunct w:val="0"/>
              <w:autoSpaceDE w:val="0"/>
              <w:autoSpaceDN w:val="0"/>
              <w:bidi w:val="0"/>
              <w:adjustRightInd w:val="0"/>
              <w:snapToGrid/>
              <w:spacing w:line="240" w:lineRule="auto"/>
              <w:ind w:left="420" w:hanging="440" w:hangingChars="200"/>
              <w:textAlignment w:val="auto"/>
              <w:rPr>
                <w:rFonts w:hint="eastAsia" w:ascii="宋体" w:hAnsi="宋体" w:eastAsia="宋体"/>
                <w:color w:val="auto"/>
                <w:sz w:val="22"/>
                <w:szCs w:val="22"/>
                <w:highlight w:val="none"/>
                <w:lang w:eastAsia="zh-CN"/>
              </w:rPr>
            </w:pPr>
            <w:r>
              <w:rPr>
                <w:rFonts w:hint="eastAsia" w:ascii="宋体" w:hAnsi="宋体"/>
                <w:color w:val="auto"/>
                <w:sz w:val="22"/>
                <w:szCs w:val="22"/>
                <w:highlight w:val="none"/>
                <w:lang w:val="en-US" w:eastAsia="zh-CN"/>
              </w:rPr>
              <w:t>7</w:t>
            </w:r>
            <w:r>
              <w:rPr>
                <w:rFonts w:hint="eastAsia" w:ascii="宋体" w:hAnsi="宋体"/>
                <w:color w:val="auto"/>
                <w:sz w:val="22"/>
                <w:szCs w:val="22"/>
                <w:highlight w:val="none"/>
              </w:rPr>
              <w:t>.</w:t>
            </w:r>
            <w:r>
              <w:rPr>
                <w:rFonts w:hint="eastAsia" w:ascii="宋体" w:hAnsi="宋体"/>
                <w:color w:val="auto"/>
                <w:sz w:val="22"/>
                <w:szCs w:val="22"/>
                <w:highlight w:val="none"/>
                <w:lang w:eastAsia="zh-CN"/>
              </w:rPr>
              <w:t>包厢餐具未及时清洗</w:t>
            </w:r>
          </w:p>
        </w:tc>
        <w:tc>
          <w:tcPr>
            <w:tcW w:w="1965" w:type="dxa"/>
            <w:noWrap w:val="0"/>
            <w:vAlign w:val="center"/>
          </w:tcPr>
          <w:p w14:paraId="7CD4C15C">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cs="仿宋"/>
                <w:color w:val="auto"/>
                <w:highlight w:val="none"/>
              </w:rPr>
              <w:t>发现一次扣</w:t>
            </w:r>
            <w:r>
              <w:rPr>
                <w:rFonts w:hint="eastAsia" w:cs="仿宋"/>
                <w:color w:val="auto"/>
                <w:highlight w:val="none"/>
                <w:lang w:val="en-US" w:eastAsia="zh-CN"/>
              </w:rPr>
              <w:t>2</w:t>
            </w:r>
            <w:r>
              <w:rPr>
                <w:rFonts w:hint="eastAsia" w:cs="仿宋"/>
                <w:color w:val="auto"/>
                <w:highlight w:val="none"/>
              </w:rPr>
              <w:t>分</w:t>
            </w:r>
          </w:p>
        </w:tc>
      </w:tr>
      <w:tr w14:paraId="115D74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2162BC2E">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p>
        </w:tc>
        <w:tc>
          <w:tcPr>
            <w:tcW w:w="6241" w:type="dxa"/>
            <w:noWrap w:val="0"/>
            <w:vAlign w:val="center"/>
          </w:tcPr>
          <w:p w14:paraId="27D09AC3">
            <w:pPr>
              <w:keepNext w:val="0"/>
              <w:keepLines w:val="0"/>
              <w:pageBreakBefore w:val="0"/>
              <w:widowControl w:val="0"/>
              <w:kinsoku/>
              <w:wordWrap/>
              <w:overflowPunct/>
              <w:topLinePunct w:val="0"/>
              <w:autoSpaceDE w:val="0"/>
              <w:autoSpaceDN w:val="0"/>
              <w:bidi w:val="0"/>
              <w:adjustRightInd w:val="0"/>
              <w:snapToGrid/>
              <w:spacing w:line="240" w:lineRule="auto"/>
              <w:ind w:left="420" w:hanging="440" w:hangingChars="200"/>
              <w:textAlignment w:val="auto"/>
              <w:rPr>
                <w:rFonts w:hint="default" w:ascii="宋体" w:hAnsi="宋体"/>
                <w:color w:val="auto"/>
                <w:sz w:val="22"/>
                <w:szCs w:val="22"/>
                <w:highlight w:val="none"/>
                <w:lang w:val="en-US" w:eastAsia="zh-CN"/>
              </w:rPr>
            </w:pPr>
            <w:r>
              <w:rPr>
                <w:rFonts w:hint="eastAsia" w:ascii="宋体" w:hAnsi="宋体"/>
                <w:color w:val="auto"/>
                <w:sz w:val="22"/>
                <w:szCs w:val="22"/>
                <w:highlight w:val="none"/>
                <w:lang w:val="en-US" w:eastAsia="zh-CN"/>
              </w:rPr>
              <w:t>8.包厢地面、卫生间在用餐前2小时未打扫完毕</w:t>
            </w:r>
          </w:p>
        </w:tc>
        <w:tc>
          <w:tcPr>
            <w:tcW w:w="1965" w:type="dxa"/>
            <w:noWrap w:val="0"/>
            <w:vAlign w:val="center"/>
          </w:tcPr>
          <w:p w14:paraId="461C8765">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eastAsia="宋体" w:cs="仿宋"/>
                <w:color w:val="auto"/>
                <w:highlight w:val="none"/>
                <w:lang w:val="en-US" w:eastAsia="zh-CN"/>
              </w:rPr>
            </w:pPr>
            <w:r>
              <w:rPr>
                <w:rFonts w:hint="eastAsia" w:cs="仿宋"/>
                <w:color w:val="auto"/>
                <w:highlight w:val="none"/>
                <w:lang w:eastAsia="zh-CN"/>
              </w:rPr>
              <w:t>发现一次扣</w:t>
            </w:r>
            <w:r>
              <w:rPr>
                <w:rFonts w:hint="eastAsia" w:cs="仿宋"/>
                <w:color w:val="auto"/>
                <w:highlight w:val="none"/>
                <w:lang w:val="en-US" w:eastAsia="zh-CN"/>
              </w:rPr>
              <w:t>2分</w:t>
            </w:r>
          </w:p>
        </w:tc>
      </w:tr>
      <w:tr w14:paraId="3CDAB0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restart"/>
            <w:noWrap w:val="0"/>
            <w:vAlign w:val="center"/>
          </w:tcPr>
          <w:p w14:paraId="53B8AAA1">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lang w:val="en-US" w:eastAsia="zh-CN"/>
              </w:rPr>
              <w:t>三</w:t>
            </w:r>
            <w:r>
              <w:rPr>
                <w:rFonts w:hint="eastAsia" w:ascii="宋体" w:hAnsi="宋体"/>
                <w:color w:val="auto"/>
                <w:sz w:val="22"/>
                <w:szCs w:val="22"/>
                <w:highlight w:val="none"/>
              </w:rPr>
              <w:t>、食品</w:t>
            </w:r>
          </w:p>
          <w:p w14:paraId="26DDB44E">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宋体" w:hAnsi="宋体"/>
                <w:color w:val="auto"/>
                <w:sz w:val="22"/>
                <w:szCs w:val="22"/>
                <w:highlight w:val="none"/>
              </w:rPr>
            </w:pPr>
            <w:r>
              <w:rPr>
                <w:rFonts w:hint="eastAsia" w:ascii="宋体" w:hAnsi="宋体"/>
                <w:color w:val="auto"/>
                <w:sz w:val="22"/>
                <w:szCs w:val="22"/>
                <w:highlight w:val="none"/>
              </w:rPr>
              <w:t>供应</w:t>
            </w:r>
            <w:r>
              <w:rPr>
                <w:rFonts w:hint="default" w:ascii="宋体" w:hAnsi="宋体"/>
                <w:color w:val="auto"/>
                <w:sz w:val="22"/>
                <w:szCs w:val="22"/>
                <w:highlight w:val="none"/>
              </w:rPr>
              <w:t>及口感</w:t>
            </w:r>
          </w:p>
        </w:tc>
        <w:tc>
          <w:tcPr>
            <w:tcW w:w="6241" w:type="dxa"/>
            <w:noWrap w:val="0"/>
            <w:vAlign w:val="center"/>
          </w:tcPr>
          <w:p w14:paraId="7210EF9C">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lang w:val="en-US" w:eastAsia="zh-CN"/>
              </w:rPr>
              <w:t>1</w:t>
            </w: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早、中、晚餐及接待餐未能及时供应的，等待时间较长的（超过十分钟）</w:t>
            </w:r>
            <w:r>
              <w:rPr>
                <w:rFonts w:hint="eastAsia" w:ascii="宋体" w:hAnsi="宋体"/>
                <w:color w:val="auto"/>
                <w:sz w:val="22"/>
                <w:szCs w:val="22"/>
                <w:highlight w:val="none"/>
              </w:rPr>
              <w:t>；</w:t>
            </w:r>
          </w:p>
        </w:tc>
        <w:tc>
          <w:tcPr>
            <w:tcW w:w="1965" w:type="dxa"/>
            <w:noWrap w:val="0"/>
            <w:vAlign w:val="center"/>
          </w:tcPr>
          <w:p w14:paraId="5DE8D78E">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cs="仿宋"/>
                <w:color w:val="auto"/>
                <w:highlight w:val="none"/>
              </w:rPr>
              <w:t>发现一次扣</w:t>
            </w:r>
            <w:r>
              <w:rPr>
                <w:rFonts w:hint="eastAsia" w:cs="仿宋"/>
                <w:color w:val="auto"/>
                <w:highlight w:val="none"/>
                <w:lang w:val="en-US" w:eastAsia="zh-CN"/>
              </w:rPr>
              <w:t>1</w:t>
            </w:r>
            <w:r>
              <w:rPr>
                <w:rFonts w:hint="eastAsia" w:cs="仿宋"/>
                <w:color w:val="auto"/>
                <w:highlight w:val="none"/>
              </w:rPr>
              <w:t>分</w:t>
            </w:r>
          </w:p>
        </w:tc>
      </w:tr>
      <w:tr w14:paraId="15EB5B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21736B46">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p>
        </w:tc>
        <w:tc>
          <w:tcPr>
            <w:tcW w:w="6241" w:type="dxa"/>
            <w:noWrap w:val="0"/>
            <w:vAlign w:val="center"/>
          </w:tcPr>
          <w:p w14:paraId="09ACD696">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2</w:t>
            </w:r>
            <w:r>
              <w:rPr>
                <w:rFonts w:hint="eastAsia" w:ascii="宋体" w:hAnsi="宋体"/>
                <w:color w:val="auto"/>
                <w:sz w:val="22"/>
                <w:szCs w:val="22"/>
                <w:highlight w:val="none"/>
              </w:rPr>
              <w:t>.剩余</w:t>
            </w:r>
            <w:r>
              <w:rPr>
                <w:rFonts w:hint="eastAsia" w:ascii="宋体" w:hAnsi="宋体"/>
                <w:color w:val="auto"/>
                <w:sz w:val="22"/>
                <w:szCs w:val="22"/>
                <w:highlight w:val="none"/>
                <w:lang w:val="en-US" w:eastAsia="zh-CN"/>
              </w:rPr>
              <w:t>菜品、原材料</w:t>
            </w:r>
            <w:r>
              <w:rPr>
                <w:rFonts w:hint="eastAsia" w:ascii="宋体" w:hAnsi="宋体"/>
                <w:color w:val="auto"/>
                <w:sz w:val="22"/>
                <w:szCs w:val="22"/>
                <w:highlight w:val="none"/>
              </w:rPr>
              <w:t>未经相关管理人员同意擅自倒掉的</w:t>
            </w:r>
            <w:r>
              <w:rPr>
                <w:rFonts w:hint="eastAsia" w:ascii="宋体" w:hAnsi="宋体"/>
                <w:color w:val="auto"/>
                <w:sz w:val="22"/>
                <w:szCs w:val="22"/>
                <w:highlight w:val="none"/>
                <w:lang w:val="en-US" w:eastAsia="zh-CN"/>
              </w:rPr>
              <w:t>或者私自处理的；</w:t>
            </w:r>
          </w:p>
        </w:tc>
        <w:tc>
          <w:tcPr>
            <w:tcW w:w="1965" w:type="dxa"/>
            <w:noWrap w:val="0"/>
            <w:vAlign w:val="center"/>
          </w:tcPr>
          <w:p w14:paraId="35D84137">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cs="仿宋"/>
                <w:color w:val="auto"/>
                <w:highlight w:val="none"/>
              </w:rPr>
              <w:t>发现一次扣</w:t>
            </w:r>
            <w:r>
              <w:rPr>
                <w:rFonts w:hint="eastAsia" w:cs="仿宋"/>
                <w:color w:val="auto"/>
                <w:highlight w:val="none"/>
                <w:lang w:val="en-US" w:eastAsia="zh-CN"/>
              </w:rPr>
              <w:t>5</w:t>
            </w:r>
            <w:r>
              <w:rPr>
                <w:rFonts w:hint="eastAsia" w:cs="仿宋"/>
                <w:color w:val="auto"/>
                <w:highlight w:val="none"/>
              </w:rPr>
              <w:t>分</w:t>
            </w:r>
          </w:p>
        </w:tc>
      </w:tr>
      <w:tr w14:paraId="14D374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20D75F23">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p>
        </w:tc>
        <w:tc>
          <w:tcPr>
            <w:tcW w:w="6241" w:type="dxa"/>
            <w:noWrap w:val="0"/>
            <w:vAlign w:val="center"/>
          </w:tcPr>
          <w:p w14:paraId="4741659A">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宋体" w:hAnsi="宋体" w:eastAsia="宋体"/>
                <w:color w:val="auto"/>
                <w:sz w:val="22"/>
                <w:szCs w:val="22"/>
                <w:highlight w:val="none"/>
                <w:lang w:eastAsia="zh-CN"/>
              </w:rPr>
            </w:pP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未能准确预估供应量，导致供应不足或者铺张浪费的，经督促整改后仍未落实到位的</w:t>
            </w:r>
            <w:r>
              <w:rPr>
                <w:rFonts w:hint="default" w:ascii="宋体" w:hAnsi="宋体"/>
                <w:color w:val="auto"/>
                <w:sz w:val="22"/>
                <w:szCs w:val="22"/>
                <w:highlight w:val="none"/>
                <w:lang w:eastAsia="zh-CN"/>
              </w:rPr>
              <w:t xml:space="preserve"> </w:t>
            </w:r>
          </w:p>
        </w:tc>
        <w:tc>
          <w:tcPr>
            <w:tcW w:w="1965" w:type="dxa"/>
            <w:noWrap w:val="0"/>
            <w:vAlign w:val="center"/>
          </w:tcPr>
          <w:p w14:paraId="1ADFBDC6">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宋体" w:hAnsi="宋体" w:eastAsia="宋体"/>
                <w:color w:val="auto"/>
                <w:sz w:val="22"/>
                <w:szCs w:val="22"/>
                <w:highlight w:val="none"/>
                <w:lang w:val="en-US" w:eastAsia="zh-CN"/>
              </w:rPr>
            </w:pPr>
            <w:r>
              <w:rPr>
                <w:rFonts w:hint="eastAsia" w:cs="仿宋"/>
                <w:color w:val="auto"/>
                <w:highlight w:val="none"/>
                <w:lang w:val="en-US" w:eastAsia="zh-CN"/>
              </w:rPr>
              <w:t>酌情扣除2-5分</w:t>
            </w:r>
          </w:p>
        </w:tc>
      </w:tr>
      <w:tr w14:paraId="7293CE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3BF022D7">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p>
        </w:tc>
        <w:tc>
          <w:tcPr>
            <w:tcW w:w="6241" w:type="dxa"/>
            <w:noWrap w:val="0"/>
            <w:vAlign w:val="center"/>
          </w:tcPr>
          <w:p w14:paraId="40D0B96E">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lang w:val="en-US" w:eastAsia="zh-CN"/>
              </w:rPr>
            </w:pPr>
            <w:r>
              <w:rPr>
                <w:rFonts w:hint="default" w:ascii="宋体" w:hAnsi="宋体"/>
                <w:color w:val="auto"/>
                <w:sz w:val="22"/>
                <w:szCs w:val="22"/>
                <w:highlight w:val="none"/>
                <w:lang w:eastAsia="zh-CN"/>
              </w:rPr>
              <w:t>4.食品种类单一，</w:t>
            </w:r>
            <w:r>
              <w:rPr>
                <w:rFonts w:hint="eastAsia" w:ascii="宋体" w:hAnsi="宋体"/>
                <w:color w:val="auto"/>
                <w:sz w:val="22"/>
                <w:szCs w:val="22"/>
                <w:highlight w:val="none"/>
                <w:lang w:eastAsia="zh-CN"/>
              </w:rPr>
              <w:t>更新频率不够，经</w:t>
            </w:r>
            <w:r>
              <w:rPr>
                <w:rFonts w:hint="default" w:ascii="宋体" w:hAnsi="宋体"/>
                <w:color w:val="auto"/>
                <w:sz w:val="22"/>
                <w:szCs w:val="22"/>
                <w:highlight w:val="none"/>
                <w:lang w:eastAsia="zh-CN"/>
              </w:rPr>
              <w:t>反映后</w:t>
            </w:r>
            <w:r>
              <w:rPr>
                <w:rFonts w:hint="eastAsia" w:ascii="宋体" w:hAnsi="宋体"/>
                <w:color w:val="auto"/>
                <w:sz w:val="22"/>
                <w:szCs w:val="22"/>
                <w:highlight w:val="none"/>
                <w:lang w:eastAsia="zh-CN"/>
              </w:rPr>
              <w:t>仍</w:t>
            </w:r>
            <w:r>
              <w:rPr>
                <w:rFonts w:hint="default" w:ascii="宋体" w:hAnsi="宋体"/>
                <w:color w:val="auto"/>
                <w:sz w:val="22"/>
                <w:szCs w:val="22"/>
                <w:highlight w:val="none"/>
                <w:lang w:eastAsia="zh-CN"/>
              </w:rPr>
              <w:t>未及时调整。</w:t>
            </w:r>
          </w:p>
        </w:tc>
        <w:tc>
          <w:tcPr>
            <w:tcW w:w="1965" w:type="dxa"/>
            <w:noWrap w:val="0"/>
            <w:vAlign w:val="center"/>
          </w:tcPr>
          <w:p w14:paraId="1B10728F">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cs="仿宋"/>
                <w:color w:val="auto"/>
                <w:highlight w:val="none"/>
                <w:lang w:val="en-US" w:eastAsia="zh-CN"/>
              </w:rPr>
            </w:pPr>
            <w:r>
              <w:rPr>
                <w:rFonts w:hint="eastAsia" w:cs="仿宋"/>
                <w:color w:val="auto"/>
                <w:highlight w:val="none"/>
                <w:lang w:val="en-US" w:eastAsia="zh-CN"/>
              </w:rPr>
              <w:t>酌情扣除2-5分</w:t>
            </w:r>
          </w:p>
        </w:tc>
      </w:tr>
      <w:tr w14:paraId="3882C4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5B0B19DE">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p>
        </w:tc>
        <w:tc>
          <w:tcPr>
            <w:tcW w:w="6241" w:type="dxa"/>
            <w:noWrap w:val="0"/>
            <w:vAlign w:val="center"/>
          </w:tcPr>
          <w:p w14:paraId="7027B609">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lang w:val="en-US" w:eastAsia="zh-CN"/>
              </w:rPr>
            </w:pPr>
            <w:r>
              <w:rPr>
                <w:rFonts w:hint="default" w:ascii="宋体" w:hAnsi="宋体"/>
                <w:color w:val="auto"/>
                <w:sz w:val="22"/>
                <w:szCs w:val="22"/>
                <w:highlight w:val="none"/>
                <w:lang w:eastAsia="zh-CN"/>
              </w:rPr>
              <w:t>5.食品口味不佳，经提醒要求改进仍未改善的。</w:t>
            </w:r>
          </w:p>
        </w:tc>
        <w:tc>
          <w:tcPr>
            <w:tcW w:w="1965" w:type="dxa"/>
            <w:noWrap w:val="0"/>
            <w:vAlign w:val="center"/>
          </w:tcPr>
          <w:p w14:paraId="2564C41A">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cs="仿宋"/>
                <w:color w:val="auto"/>
                <w:highlight w:val="none"/>
                <w:lang w:val="en-US" w:eastAsia="zh-CN"/>
              </w:rPr>
            </w:pPr>
            <w:r>
              <w:rPr>
                <w:rFonts w:hint="eastAsia" w:cs="仿宋"/>
                <w:color w:val="auto"/>
                <w:highlight w:val="none"/>
                <w:lang w:val="en-US" w:eastAsia="zh-CN"/>
              </w:rPr>
              <w:t>酌情扣除2-5分</w:t>
            </w:r>
          </w:p>
        </w:tc>
      </w:tr>
      <w:tr w14:paraId="1F92FF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restart"/>
            <w:noWrap w:val="0"/>
            <w:vAlign w:val="center"/>
          </w:tcPr>
          <w:p w14:paraId="59B3A82F">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lang w:val="en-US" w:eastAsia="zh-CN"/>
              </w:rPr>
              <w:t>四</w:t>
            </w:r>
            <w:r>
              <w:rPr>
                <w:rFonts w:hint="eastAsia" w:ascii="宋体" w:hAnsi="宋体"/>
                <w:color w:val="auto"/>
                <w:sz w:val="22"/>
                <w:szCs w:val="22"/>
                <w:highlight w:val="none"/>
              </w:rPr>
              <w:t>、劳动</w:t>
            </w:r>
          </w:p>
          <w:p w14:paraId="76A95A35">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rPr>
              <w:t>纪律</w:t>
            </w:r>
          </w:p>
        </w:tc>
        <w:tc>
          <w:tcPr>
            <w:tcW w:w="6241" w:type="dxa"/>
            <w:noWrap w:val="0"/>
            <w:vAlign w:val="center"/>
          </w:tcPr>
          <w:p w14:paraId="2118852A">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lang w:val="en-US" w:eastAsia="zh-CN"/>
              </w:rPr>
              <w:t>1</w:t>
            </w:r>
            <w:r>
              <w:rPr>
                <w:rFonts w:hint="eastAsia" w:ascii="宋体" w:hAnsi="宋体"/>
                <w:color w:val="auto"/>
                <w:sz w:val="22"/>
                <w:szCs w:val="22"/>
                <w:highlight w:val="none"/>
              </w:rPr>
              <w:t>.未按规定上班或上班（值班）时间擅自离岗、串岗、玩手机、干私活、外出等</w:t>
            </w:r>
          </w:p>
        </w:tc>
        <w:tc>
          <w:tcPr>
            <w:tcW w:w="1965" w:type="dxa"/>
            <w:noWrap w:val="0"/>
            <w:vAlign w:val="center"/>
          </w:tcPr>
          <w:p w14:paraId="0D443B99">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发现一次扣2分</w:t>
            </w:r>
          </w:p>
        </w:tc>
      </w:tr>
      <w:tr w14:paraId="0BD500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75927144">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p>
        </w:tc>
        <w:tc>
          <w:tcPr>
            <w:tcW w:w="6241" w:type="dxa"/>
            <w:noWrap w:val="0"/>
            <w:vAlign w:val="center"/>
          </w:tcPr>
          <w:p w14:paraId="20CD3491">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lang w:val="en-US" w:eastAsia="zh-CN"/>
              </w:rPr>
              <w:t>2</w:t>
            </w:r>
            <w:r>
              <w:rPr>
                <w:rFonts w:hint="eastAsia" w:ascii="宋体" w:hAnsi="宋体"/>
                <w:color w:val="auto"/>
                <w:sz w:val="22"/>
                <w:szCs w:val="22"/>
                <w:highlight w:val="none"/>
              </w:rPr>
              <w:t>.不服管理人员监督管理且无理顶撞的，或只表面应付不及时整改的</w:t>
            </w:r>
          </w:p>
        </w:tc>
        <w:tc>
          <w:tcPr>
            <w:tcW w:w="1965" w:type="dxa"/>
            <w:noWrap w:val="0"/>
            <w:vAlign w:val="center"/>
          </w:tcPr>
          <w:p w14:paraId="242E5EE6">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cs="仿宋"/>
                <w:color w:val="auto"/>
                <w:highlight w:val="none"/>
              </w:rPr>
              <w:t>发现一次扣</w:t>
            </w:r>
            <w:r>
              <w:rPr>
                <w:rFonts w:hint="eastAsia" w:cs="仿宋"/>
                <w:color w:val="auto"/>
                <w:highlight w:val="none"/>
                <w:lang w:val="en-US" w:eastAsia="zh-CN"/>
              </w:rPr>
              <w:t>2</w:t>
            </w:r>
            <w:r>
              <w:rPr>
                <w:rFonts w:hint="eastAsia" w:cs="仿宋"/>
                <w:color w:val="auto"/>
                <w:highlight w:val="none"/>
              </w:rPr>
              <w:t>分</w:t>
            </w:r>
          </w:p>
        </w:tc>
      </w:tr>
      <w:tr w14:paraId="3275EA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3B7F32D4">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p>
        </w:tc>
        <w:tc>
          <w:tcPr>
            <w:tcW w:w="6241" w:type="dxa"/>
            <w:noWrap w:val="0"/>
            <w:vAlign w:val="center"/>
          </w:tcPr>
          <w:p w14:paraId="6698D008">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.员工之间搬弄是非、制造矛盾、影响团结或与就餐人员发生争吵的</w:t>
            </w:r>
          </w:p>
        </w:tc>
        <w:tc>
          <w:tcPr>
            <w:tcW w:w="1965" w:type="dxa"/>
            <w:noWrap w:val="0"/>
            <w:vAlign w:val="center"/>
          </w:tcPr>
          <w:p w14:paraId="52D19B52">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cs="仿宋"/>
                <w:color w:val="auto"/>
                <w:highlight w:val="none"/>
              </w:rPr>
              <w:t>发现一次扣</w:t>
            </w:r>
            <w:r>
              <w:rPr>
                <w:rFonts w:hint="eastAsia" w:cs="仿宋"/>
                <w:color w:val="auto"/>
                <w:highlight w:val="none"/>
                <w:lang w:val="en-US" w:eastAsia="zh-CN"/>
              </w:rPr>
              <w:t>2</w:t>
            </w:r>
            <w:r>
              <w:rPr>
                <w:rFonts w:hint="eastAsia" w:cs="仿宋"/>
                <w:color w:val="auto"/>
                <w:highlight w:val="none"/>
              </w:rPr>
              <w:t>分</w:t>
            </w:r>
          </w:p>
        </w:tc>
      </w:tr>
      <w:tr w14:paraId="093DF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001914D8">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p>
        </w:tc>
        <w:tc>
          <w:tcPr>
            <w:tcW w:w="6241" w:type="dxa"/>
            <w:noWrap w:val="0"/>
            <w:vAlign w:val="center"/>
          </w:tcPr>
          <w:p w14:paraId="384202A2">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lang w:val="en-US" w:eastAsia="zh-CN"/>
              </w:rPr>
              <w:t>4</w:t>
            </w:r>
            <w:r>
              <w:rPr>
                <w:rFonts w:hint="eastAsia" w:ascii="宋体" w:hAnsi="宋体"/>
                <w:color w:val="auto"/>
                <w:sz w:val="22"/>
                <w:szCs w:val="22"/>
                <w:highlight w:val="none"/>
              </w:rPr>
              <w:t>.未按规定持有健康证或健康证过期的</w:t>
            </w:r>
          </w:p>
        </w:tc>
        <w:tc>
          <w:tcPr>
            <w:tcW w:w="1965" w:type="dxa"/>
            <w:noWrap w:val="0"/>
            <w:vAlign w:val="center"/>
          </w:tcPr>
          <w:p w14:paraId="3D86C121">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cs="仿宋"/>
                <w:color w:val="auto"/>
                <w:highlight w:val="none"/>
              </w:rPr>
              <w:t>发现一次扣</w:t>
            </w:r>
            <w:r>
              <w:rPr>
                <w:rFonts w:hint="eastAsia" w:cs="仿宋"/>
                <w:color w:val="auto"/>
                <w:highlight w:val="none"/>
                <w:lang w:val="en-US" w:eastAsia="zh-CN"/>
              </w:rPr>
              <w:t>2</w:t>
            </w:r>
            <w:r>
              <w:rPr>
                <w:rFonts w:hint="eastAsia" w:cs="仿宋"/>
                <w:color w:val="auto"/>
                <w:highlight w:val="none"/>
              </w:rPr>
              <w:t>分</w:t>
            </w:r>
          </w:p>
        </w:tc>
      </w:tr>
      <w:tr w14:paraId="7E1B8C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3D2267A5">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p>
        </w:tc>
        <w:tc>
          <w:tcPr>
            <w:tcW w:w="6241" w:type="dxa"/>
            <w:noWrap w:val="0"/>
            <w:vAlign w:val="center"/>
          </w:tcPr>
          <w:p w14:paraId="587E41B9">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olor w:val="auto"/>
                <w:sz w:val="22"/>
                <w:szCs w:val="22"/>
                <w:highlight w:val="none"/>
                <w:lang w:eastAsia="zh-CN"/>
              </w:rPr>
            </w:pP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.未按规定着装上岗，</w:t>
            </w:r>
            <w:r>
              <w:rPr>
                <w:rFonts w:hint="eastAsia" w:ascii="宋体" w:hAnsi="宋体"/>
                <w:color w:val="auto"/>
                <w:sz w:val="22"/>
                <w:szCs w:val="22"/>
                <w:highlight w:val="none"/>
                <w:lang w:eastAsia="zh-CN"/>
              </w:rPr>
              <w:t>窗口</w:t>
            </w:r>
            <w:r>
              <w:rPr>
                <w:rFonts w:hint="eastAsia" w:ascii="宋体" w:hAnsi="宋体"/>
                <w:color w:val="auto"/>
                <w:sz w:val="22"/>
                <w:szCs w:val="22"/>
                <w:highlight w:val="none"/>
              </w:rPr>
              <w:t>不戴口罩</w:t>
            </w:r>
            <w:r>
              <w:rPr>
                <w:rFonts w:hint="eastAsia" w:ascii="宋体" w:hAnsi="宋体"/>
                <w:color w:val="auto"/>
                <w:sz w:val="22"/>
                <w:szCs w:val="22"/>
                <w:highlight w:val="none"/>
                <w:lang w:eastAsia="zh-CN"/>
              </w:rPr>
              <w:t>、帽子，</w:t>
            </w:r>
            <w:r>
              <w:rPr>
                <w:rFonts w:hint="eastAsia" w:ascii="宋体" w:hAnsi="宋体"/>
                <w:color w:val="auto"/>
                <w:sz w:val="22"/>
                <w:szCs w:val="22"/>
                <w:highlight w:val="none"/>
              </w:rPr>
              <w:t>工作服不洁</w:t>
            </w:r>
            <w:r>
              <w:rPr>
                <w:rFonts w:hint="eastAsia" w:ascii="宋体" w:hAnsi="宋体"/>
                <w:color w:val="auto"/>
                <w:sz w:val="22"/>
                <w:szCs w:val="22"/>
                <w:highlight w:val="none"/>
                <w:lang w:eastAsia="zh-CN"/>
              </w:rPr>
              <w:t>等</w:t>
            </w:r>
          </w:p>
        </w:tc>
        <w:tc>
          <w:tcPr>
            <w:tcW w:w="1965" w:type="dxa"/>
            <w:noWrap w:val="0"/>
            <w:vAlign w:val="center"/>
          </w:tcPr>
          <w:p w14:paraId="146A3D61">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cs="仿宋"/>
                <w:color w:val="auto"/>
                <w:highlight w:val="none"/>
              </w:rPr>
              <w:t>发现一次扣</w:t>
            </w:r>
            <w:r>
              <w:rPr>
                <w:rFonts w:hint="eastAsia" w:cs="仿宋"/>
                <w:color w:val="auto"/>
                <w:highlight w:val="none"/>
                <w:lang w:val="en-US" w:eastAsia="zh-CN"/>
              </w:rPr>
              <w:t>1</w:t>
            </w:r>
            <w:r>
              <w:rPr>
                <w:rFonts w:hint="eastAsia" w:cs="仿宋"/>
                <w:color w:val="auto"/>
                <w:highlight w:val="none"/>
              </w:rPr>
              <w:t>分</w:t>
            </w:r>
          </w:p>
        </w:tc>
      </w:tr>
      <w:tr w14:paraId="1D65C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6B1043A4">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p>
        </w:tc>
        <w:tc>
          <w:tcPr>
            <w:tcW w:w="6241" w:type="dxa"/>
            <w:noWrap w:val="0"/>
            <w:vAlign w:val="center"/>
          </w:tcPr>
          <w:p w14:paraId="7C42D75A">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lang w:val="en-US" w:eastAsia="zh-CN"/>
              </w:rPr>
              <w:t>6</w:t>
            </w:r>
            <w:r>
              <w:rPr>
                <w:rFonts w:hint="eastAsia" w:ascii="宋体" w:hAnsi="宋体"/>
                <w:color w:val="auto"/>
                <w:sz w:val="22"/>
                <w:szCs w:val="22"/>
                <w:highlight w:val="none"/>
              </w:rPr>
              <w:t>.就餐时间食堂工作人员在食堂内边工作边吃饭的</w:t>
            </w:r>
          </w:p>
        </w:tc>
        <w:tc>
          <w:tcPr>
            <w:tcW w:w="1965" w:type="dxa"/>
            <w:noWrap w:val="0"/>
            <w:vAlign w:val="center"/>
          </w:tcPr>
          <w:p w14:paraId="04D7416B">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cs="仿宋"/>
                <w:color w:val="auto"/>
                <w:highlight w:val="none"/>
              </w:rPr>
              <w:t>发现一次扣</w:t>
            </w:r>
            <w:r>
              <w:rPr>
                <w:rFonts w:hint="eastAsia" w:cs="仿宋"/>
                <w:color w:val="auto"/>
                <w:highlight w:val="none"/>
                <w:lang w:val="en-US" w:eastAsia="zh-CN"/>
              </w:rPr>
              <w:t>1</w:t>
            </w:r>
            <w:r>
              <w:rPr>
                <w:rFonts w:hint="eastAsia" w:cs="仿宋"/>
                <w:color w:val="auto"/>
                <w:highlight w:val="none"/>
              </w:rPr>
              <w:t>分</w:t>
            </w:r>
          </w:p>
        </w:tc>
      </w:tr>
      <w:tr w14:paraId="5BA56B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30987CB1">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p>
        </w:tc>
        <w:tc>
          <w:tcPr>
            <w:tcW w:w="6241" w:type="dxa"/>
            <w:noWrap w:val="0"/>
            <w:vAlign w:val="center"/>
          </w:tcPr>
          <w:p w14:paraId="0D5CF78A">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lang w:val="en-US" w:eastAsia="zh-CN"/>
              </w:rPr>
              <w:t>7</w:t>
            </w:r>
            <w:r>
              <w:rPr>
                <w:rFonts w:hint="eastAsia" w:ascii="宋体" w:hAnsi="宋体"/>
                <w:color w:val="auto"/>
                <w:sz w:val="22"/>
                <w:szCs w:val="22"/>
                <w:highlight w:val="none"/>
              </w:rPr>
              <w:t>.食堂工作人员擅开小灶，工作餐喝酒的</w:t>
            </w:r>
          </w:p>
        </w:tc>
        <w:tc>
          <w:tcPr>
            <w:tcW w:w="1965" w:type="dxa"/>
            <w:noWrap w:val="0"/>
            <w:vAlign w:val="center"/>
          </w:tcPr>
          <w:p w14:paraId="1B4A4DC7">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cs="仿宋"/>
                <w:color w:val="auto"/>
                <w:highlight w:val="none"/>
              </w:rPr>
              <w:t>发现一次扣</w:t>
            </w:r>
            <w:r>
              <w:rPr>
                <w:rFonts w:hint="eastAsia" w:cs="仿宋"/>
                <w:color w:val="auto"/>
                <w:highlight w:val="none"/>
                <w:lang w:val="en-US" w:eastAsia="zh-CN"/>
              </w:rPr>
              <w:t>3</w:t>
            </w:r>
            <w:r>
              <w:rPr>
                <w:rFonts w:hint="eastAsia" w:cs="仿宋"/>
                <w:color w:val="auto"/>
                <w:highlight w:val="none"/>
              </w:rPr>
              <w:t>分</w:t>
            </w:r>
          </w:p>
        </w:tc>
      </w:tr>
      <w:tr w14:paraId="7CA7F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4C3BC0C5">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p>
        </w:tc>
        <w:tc>
          <w:tcPr>
            <w:tcW w:w="6241" w:type="dxa"/>
            <w:noWrap w:val="0"/>
            <w:vAlign w:val="center"/>
          </w:tcPr>
          <w:p w14:paraId="0AE03AEB">
            <w:pPr>
              <w:keepNext w:val="0"/>
              <w:keepLines w:val="0"/>
              <w:pageBreakBefore w:val="0"/>
              <w:widowControl w:val="0"/>
              <w:kinsoku/>
              <w:wordWrap/>
              <w:overflowPunct/>
              <w:topLinePunct w:val="0"/>
              <w:autoSpaceDE w:val="0"/>
              <w:autoSpaceDN w:val="0"/>
              <w:bidi w:val="0"/>
              <w:adjustRightInd w:val="0"/>
              <w:snapToGrid/>
              <w:spacing w:line="240" w:lineRule="auto"/>
              <w:ind w:left="420" w:hanging="440" w:hangingChars="200"/>
              <w:textAlignment w:val="auto"/>
              <w:rPr>
                <w:rFonts w:hint="eastAsia" w:ascii="宋体" w:hAnsi="宋体"/>
                <w:color w:val="auto"/>
                <w:sz w:val="22"/>
                <w:szCs w:val="22"/>
                <w:highlight w:val="none"/>
              </w:rPr>
            </w:pPr>
            <w:r>
              <w:rPr>
                <w:rFonts w:hint="eastAsia" w:ascii="宋体" w:hAnsi="宋体"/>
                <w:color w:val="auto"/>
                <w:sz w:val="22"/>
                <w:szCs w:val="22"/>
                <w:highlight w:val="none"/>
                <w:lang w:val="en-US" w:eastAsia="zh-CN"/>
              </w:rPr>
              <w:t>8</w:t>
            </w:r>
            <w:r>
              <w:rPr>
                <w:rFonts w:hint="eastAsia" w:ascii="宋体" w:hAnsi="宋体"/>
                <w:color w:val="auto"/>
                <w:sz w:val="22"/>
                <w:szCs w:val="22"/>
                <w:highlight w:val="none"/>
              </w:rPr>
              <w:t>.未及时关闭水龙头、天然气、空调、电灯、电子屏等开关，</w:t>
            </w:r>
          </w:p>
          <w:p w14:paraId="2DCE00F8">
            <w:pPr>
              <w:keepNext w:val="0"/>
              <w:keepLines w:val="0"/>
              <w:pageBreakBefore w:val="0"/>
              <w:widowControl w:val="0"/>
              <w:kinsoku/>
              <w:wordWrap/>
              <w:overflowPunct/>
              <w:topLinePunct w:val="0"/>
              <w:autoSpaceDE w:val="0"/>
              <w:autoSpaceDN w:val="0"/>
              <w:bidi w:val="0"/>
              <w:adjustRightInd w:val="0"/>
              <w:snapToGrid/>
              <w:spacing w:line="240" w:lineRule="auto"/>
              <w:ind w:left="420" w:hanging="440" w:hangingChars="200"/>
              <w:textAlignment w:val="auto"/>
              <w:rPr>
                <w:rFonts w:hint="eastAsia" w:ascii="宋体" w:hAnsi="宋体"/>
                <w:color w:val="auto"/>
                <w:sz w:val="22"/>
                <w:szCs w:val="22"/>
                <w:highlight w:val="none"/>
              </w:rPr>
            </w:pPr>
            <w:r>
              <w:rPr>
                <w:rFonts w:hint="eastAsia" w:ascii="宋体" w:hAnsi="宋体"/>
                <w:color w:val="auto"/>
                <w:sz w:val="22"/>
                <w:szCs w:val="22"/>
                <w:highlight w:val="none"/>
              </w:rPr>
              <w:t>下班后未关好食堂门窗的</w:t>
            </w:r>
          </w:p>
        </w:tc>
        <w:tc>
          <w:tcPr>
            <w:tcW w:w="1965" w:type="dxa"/>
            <w:noWrap w:val="0"/>
            <w:vAlign w:val="center"/>
          </w:tcPr>
          <w:p w14:paraId="5D291A3D">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cs="仿宋"/>
                <w:color w:val="auto"/>
                <w:highlight w:val="none"/>
              </w:rPr>
              <w:t>发现一次扣</w:t>
            </w:r>
            <w:r>
              <w:rPr>
                <w:rFonts w:hint="eastAsia" w:cs="仿宋"/>
                <w:color w:val="auto"/>
                <w:highlight w:val="none"/>
                <w:lang w:val="en-US" w:eastAsia="zh-CN"/>
              </w:rPr>
              <w:t>3</w:t>
            </w:r>
            <w:r>
              <w:rPr>
                <w:rFonts w:hint="eastAsia" w:cs="仿宋"/>
                <w:color w:val="auto"/>
                <w:highlight w:val="none"/>
              </w:rPr>
              <w:t>分</w:t>
            </w:r>
          </w:p>
        </w:tc>
      </w:tr>
      <w:tr w14:paraId="4819AA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2BF4ED96">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p>
        </w:tc>
        <w:tc>
          <w:tcPr>
            <w:tcW w:w="6241" w:type="dxa"/>
            <w:noWrap w:val="0"/>
            <w:vAlign w:val="center"/>
          </w:tcPr>
          <w:p w14:paraId="34DD24DA">
            <w:pPr>
              <w:keepNext w:val="0"/>
              <w:keepLines w:val="0"/>
              <w:pageBreakBefore w:val="0"/>
              <w:widowControl w:val="0"/>
              <w:kinsoku/>
              <w:wordWrap/>
              <w:overflowPunct/>
              <w:topLinePunct w:val="0"/>
              <w:autoSpaceDE w:val="0"/>
              <w:autoSpaceDN w:val="0"/>
              <w:bidi w:val="0"/>
              <w:adjustRightInd w:val="0"/>
              <w:snapToGrid/>
              <w:spacing w:line="240" w:lineRule="auto"/>
              <w:ind w:left="420" w:hanging="440" w:hangingChars="200"/>
              <w:textAlignment w:val="auto"/>
              <w:rPr>
                <w:rFonts w:hint="eastAsia" w:ascii="宋体" w:hAnsi="宋体"/>
                <w:color w:val="auto"/>
                <w:sz w:val="22"/>
                <w:szCs w:val="22"/>
                <w:highlight w:val="none"/>
              </w:rPr>
            </w:pPr>
            <w:r>
              <w:rPr>
                <w:rFonts w:hint="eastAsia" w:ascii="宋体" w:hAnsi="宋体"/>
                <w:color w:val="auto"/>
                <w:sz w:val="22"/>
                <w:szCs w:val="22"/>
                <w:highlight w:val="none"/>
                <w:lang w:val="en-US" w:eastAsia="zh-CN"/>
              </w:rPr>
              <w:t>9</w:t>
            </w:r>
            <w:r>
              <w:rPr>
                <w:rFonts w:hint="eastAsia" w:ascii="宋体" w:hAnsi="宋体"/>
                <w:color w:val="auto"/>
                <w:sz w:val="22"/>
                <w:szCs w:val="22"/>
                <w:highlight w:val="none"/>
              </w:rPr>
              <w:t>.擅自带家属、朋友等到餐厅免费就餐的</w:t>
            </w:r>
          </w:p>
        </w:tc>
        <w:tc>
          <w:tcPr>
            <w:tcW w:w="1965" w:type="dxa"/>
            <w:noWrap w:val="0"/>
            <w:vAlign w:val="center"/>
          </w:tcPr>
          <w:p w14:paraId="0DB27DD3">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cs="仿宋"/>
                <w:color w:val="auto"/>
                <w:highlight w:val="none"/>
              </w:rPr>
              <w:t>发现一次扣</w:t>
            </w:r>
            <w:r>
              <w:rPr>
                <w:rFonts w:hint="eastAsia" w:cs="仿宋"/>
                <w:color w:val="auto"/>
                <w:highlight w:val="none"/>
                <w:lang w:val="en-US" w:eastAsia="zh-CN"/>
              </w:rPr>
              <w:t>2</w:t>
            </w:r>
            <w:r>
              <w:rPr>
                <w:rFonts w:hint="eastAsia" w:cs="仿宋"/>
                <w:color w:val="auto"/>
                <w:highlight w:val="none"/>
              </w:rPr>
              <w:t>分</w:t>
            </w:r>
          </w:p>
        </w:tc>
      </w:tr>
      <w:tr w14:paraId="14C182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08BCFA87">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p>
        </w:tc>
        <w:tc>
          <w:tcPr>
            <w:tcW w:w="6241" w:type="dxa"/>
            <w:noWrap w:val="0"/>
            <w:vAlign w:val="center"/>
          </w:tcPr>
          <w:p w14:paraId="413F47A2">
            <w:pPr>
              <w:keepNext w:val="0"/>
              <w:keepLines w:val="0"/>
              <w:pageBreakBefore w:val="0"/>
              <w:widowControl w:val="0"/>
              <w:kinsoku/>
              <w:wordWrap/>
              <w:overflowPunct/>
              <w:topLinePunct w:val="0"/>
              <w:autoSpaceDE w:val="0"/>
              <w:autoSpaceDN w:val="0"/>
              <w:bidi w:val="0"/>
              <w:adjustRightInd w:val="0"/>
              <w:snapToGrid/>
              <w:spacing w:line="240" w:lineRule="auto"/>
              <w:ind w:left="420" w:hanging="440" w:hangingChars="200"/>
              <w:textAlignment w:val="auto"/>
              <w:rPr>
                <w:rFonts w:hint="eastAsia" w:ascii="宋体" w:hAnsi="宋体"/>
                <w:color w:val="auto"/>
                <w:sz w:val="22"/>
                <w:szCs w:val="22"/>
                <w:highlight w:val="none"/>
              </w:rPr>
            </w:pPr>
            <w:r>
              <w:rPr>
                <w:rFonts w:hint="eastAsia" w:ascii="宋体" w:hAnsi="宋体"/>
                <w:color w:val="auto"/>
                <w:sz w:val="22"/>
                <w:szCs w:val="22"/>
                <w:highlight w:val="none"/>
                <w:lang w:val="en-US" w:eastAsia="zh-CN"/>
              </w:rPr>
              <w:t>10</w:t>
            </w:r>
            <w:r>
              <w:rPr>
                <w:rFonts w:hint="eastAsia" w:ascii="宋体" w:hAnsi="宋体"/>
                <w:color w:val="auto"/>
                <w:sz w:val="22"/>
                <w:szCs w:val="22"/>
                <w:highlight w:val="none"/>
              </w:rPr>
              <w:t>.操作中捞吃水果、点心、熟食等食品（厨师烹饪品味除外）；</w:t>
            </w:r>
          </w:p>
          <w:p w14:paraId="217E5134">
            <w:pPr>
              <w:keepNext w:val="0"/>
              <w:keepLines w:val="0"/>
              <w:pageBreakBefore w:val="0"/>
              <w:widowControl w:val="0"/>
              <w:kinsoku/>
              <w:wordWrap/>
              <w:overflowPunct/>
              <w:topLinePunct w:val="0"/>
              <w:autoSpaceDE w:val="0"/>
              <w:autoSpaceDN w:val="0"/>
              <w:bidi w:val="0"/>
              <w:adjustRightInd w:val="0"/>
              <w:snapToGrid/>
              <w:spacing w:line="240" w:lineRule="auto"/>
              <w:ind w:left="420" w:hanging="440" w:hangingChars="200"/>
              <w:textAlignment w:val="auto"/>
              <w:rPr>
                <w:rFonts w:hint="eastAsia" w:ascii="宋体" w:hAnsi="宋体"/>
                <w:color w:val="auto"/>
                <w:sz w:val="22"/>
                <w:szCs w:val="22"/>
                <w:highlight w:val="none"/>
              </w:rPr>
            </w:pPr>
            <w:r>
              <w:rPr>
                <w:rFonts w:hint="eastAsia" w:ascii="宋体" w:hAnsi="宋体"/>
                <w:color w:val="auto"/>
                <w:sz w:val="22"/>
                <w:szCs w:val="22"/>
                <w:highlight w:val="none"/>
              </w:rPr>
              <w:t>未经统一安排，擅自捞吃餐后剩余水果食品的</w:t>
            </w:r>
          </w:p>
        </w:tc>
        <w:tc>
          <w:tcPr>
            <w:tcW w:w="1965" w:type="dxa"/>
            <w:noWrap w:val="0"/>
            <w:vAlign w:val="center"/>
          </w:tcPr>
          <w:p w14:paraId="22FC02CE">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cs="仿宋"/>
                <w:color w:val="auto"/>
                <w:highlight w:val="none"/>
              </w:rPr>
              <w:t>发现一次扣</w:t>
            </w:r>
            <w:r>
              <w:rPr>
                <w:rFonts w:hint="eastAsia" w:cs="仿宋"/>
                <w:color w:val="auto"/>
                <w:highlight w:val="none"/>
                <w:lang w:val="en-US" w:eastAsia="zh-CN"/>
              </w:rPr>
              <w:t>1</w:t>
            </w:r>
            <w:r>
              <w:rPr>
                <w:rFonts w:hint="eastAsia" w:cs="仿宋"/>
                <w:color w:val="auto"/>
                <w:highlight w:val="none"/>
              </w:rPr>
              <w:t>分</w:t>
            </w:r>
          </w:p>
        </w:tc>
      </w:tr>
      <w:tr w14:paraId="045AAE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restart"/>
            <w:noWrap w:val="0"/>
            <w:vAlign w:val="center"/>
          </w:tcPr>
          <w:p w14:paraId="7937719F">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rPr>
              <w:t>五、日常</w:t>
            </w:r>
          </w:p>
          <w:p w14:paraId="6DB4B3F6">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rPr>
              <w:t>管理</w:t>
            </w:r>
          </w:p>
        </w:tc>
        <w:tc>
          <w:tcPr>
            <w:tcW w:w="6241" w:type="dxa"/>
            <w:noWrap w:val="0"/>
            <w:vAlign w:val="center"/>
          </w:tcPr>
          <w:p w14:paraId="0B6886C8">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lang w:val="en-US" w:eastAsia="zh-CN"/>
              </w:rPr>
              <w:t>1</w:t>
            </w:r>
            <w:r>
              <w:rPr>
                <w:rFonts w:hint="eastAsia" w:ascii="宋体" w:hAnsi="宋体"/>
                <w:color w:val="auto"/>
                <w:sz w:val="22"/>
                <w:szCs w:val="22"/>
                <w:highlight w:val="none"/>
              </w:rPr>
              <w:t>.食堂打卡处无人值守</w:t>
            </w:r>
            <w:r>
              <w:rPr>
                <w:rFonts w:hint="eastAsia" w:ascii="宋体" w:hAnsi="宋体"/>
                <w:color w:val="auto"/>
                <w:sz w:val="22"/>
                <w:szCs w:val="22"/>
                <w:highlight w:val="none"/>
                <w:lang w:eastAsia="zh-CN"/>
              </w:rPr>
              <w:t>，</w:t>
            </w:r>
            <w:r>
              <w:rPr>
                <w:rFonts w:hint="eastAsia" w:ascii="宋体" w:hAnsi="宋体"/>
                <w:color w:val="auto"/>
                <w:sz w:val="22"/>
                <w:szCs w:val="22"/>
                <w:highlight w:val="none"/>
              </w:rPr>
              <w:t>随意放入未打卡或未交餐券者的</w:t>
            </w:r>
          </w:p>
        </w:tc>
        <w:tc>
          <w:tcPr>
            <w:tcW w:w="1965" w:type="dxa"/>
            <w:noWrap w:val="0"/>
            <w:vAlign w:val="center"/>
          </w:tcPr>
          <w:p w14:paraId="008933CF">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cs="仿宋"/>
                <w:color w:val="auto"/>
                <w:highlight w:val="none"/>
              </w:rPr>
              <w:t>发现一次扣</w:t>
            </w:r>
            <w:r>
              <w:rPr>
                <w:rFonts w:hint="eastAsia" w:cs="仿宋"/>
                <w:color w:val="auto"/>
                <w:highlight w:val="none"/>
                <w:lang w:val="en-US" w:eastAsia="zh-CN"/>
              </w:rPr>
              <w:t>1</w:t>
            </w:r>
            <w:r>
              <w:rPr>
                <w:rFonts w:hint="eastAsia" w:cs="仿宋"/>
                <w:color w:val="auto"/>
                <w:highlight w:val="none"/>
              </w:rPr>
              <w:t>分</w:t>
            </w:r>
          </w:p>
        </w:tc>
      </w:tr>
      <w:tr w14:paraId="7A3708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28826EC9">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p>
        </w:tc>
        <w:tc>
          <w:tcPr>
            <w:tcW w:w="6241" w:type="dxa"/>
            <w:noWrap w:val="0"/>
            <w:vAlign w:val="center"/>
          </w:tcPr>
          <w:p w14:paraId="756EE2F4">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lang w:val="en-US" w:eastAsia="zh-CN"/>
              </w:rPr>
              <w:t>2</w:t>
            </w:r>
            <w:r>
              <w:rPr>
                <w:rFonts w:hint="eastAsia" w:ascii="宋体" w:hAnsi="宋体"/>
                <w:color w:val="auto"/>
                <w:sz w:val="22"/>
                <w:szCs w:val="22"/>
                <w:highlight w:val="none"/>
              </w:rPr>
              <w:t>.故意损坏食堂公物的</w:t>
            </w:r>
          </w:p>
        </w:tc>
        <w:tc>
          <w:tcPr>
            <w:tcW w:w="1965" w:type="dxa"/>
            <w:noWrap w:val="0"/>
            <w:vAlign w:val="center"/>
          </w:tcPr>
          <w:p w14:paraId="6AC9F8E8">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olor w:val="auto"/>
                <w:sz w:val="22"/>
                <w:szCs w:val="22"/>
                <w:highlight w:val="none"/>
                <w:lang w:eastAsia="zh-CN"/>
              </w:rPr>
            </w:pPr>
            <w:r>
              <w:rPr>
                <w:rFonts w:hint="eastAsia" w:cs="仿宋"/>
                <w:color w:val="auto"/>
                <w:highlight w:val="none"/>
                <w:lang w:eastAsia="zh-CN"/>
              </w:rPr>
              <w:t>照价赔偿</w:t>
            </w:r>
          </w:p>
        </w:tc>
      </w:tr>
      <w:tr w14:paraId="79F9D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001B4AD7">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p>
        </w:tc>
        <w:tc>
          <w:tcPr>
            <w:tcW w:w="6241" w:type="dxa"/>
            <w:noWrap w:val="0"/>
            <w:vAlign w:val="center"/>
          </w:tcPr>
          <w:p w14:paraId="0F0E06A7">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.私藏、留存或拿走</w:t>
            </w:r>
            <w:r>
              <w:rPr>
                <w:rFonts w:hint="eastAsia" w:ascii="宋体" w:hAnsi="宋体"/>
                <w:color w:val="auto"/>
                <w:sz w:val="22"/>
                <w:szCs w:val="22"/>
                <w:highlight w:val="none"/>
                <w:lang w:eastAsia="zh-CN"/>
              </w:rPr>
              <w:t>原材料、</w:t>
            </w:r>
            <w:r>
              <w:rPr>
                <w:rFonts w:hint="eastAsia" w:ascii="宋体" w:hAnsi="宋体"/>
                <w:color w:val="auto"/>
                <w:sz w:val="22"/>
                <w:szCs w:val="22"/>
                <w:highlight w:val="none"/>
              </w:rPr>
              <w:t>菜肴、水果、糕点等食品（物资）或就餐人员的遗留物品的</w:t>
            </w:r>
          </w:p>
        </w:tc>
        <w:tc>
          <w:tcPr>
            <w:tcW w:w="1965" w:type="dxa"/>
            <w:noWrap w:val="0"/>
            <w:vAlign w:val="center"/>
          </w:tcPr>
          <w:p w14:paraId="251AE194">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cs="仿宋"/>
                <w:color w:val="auto"/>
                <w:highlight w:val="none"/>
              </w:rPr>
              <w:t>发现一次扣</w:t>
            </w:r>
            <w:r>
              <w:rPr>
                <w:rFonts w:hint="eastAsia" w:cs="仿宋"/>
                <w:color w:val="auto"/>
                <w:highlight w:val="none"/>
                <w:lang w:val="en-US" w:eastAsia="zh-CN"/>
              </w:rPr>
              <w:t>10</w:t>
            </w:r>
            <w:r>
              <w:rPr>
                <w:rFonts w:hint="eastAsia" w:cs="仿宋"/>
                <w:color w:val="auto"/>
                <w:highlight w:val="none"/>
              </w:rPr>
              <w:t>分</w:t>
            </w:r>
          </w:p>
        </w:tc>
      </w:tr>
      <w:tr w14:paraId="53097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28FB7B15">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p>
        </w:tc>
        <w:tc>
          <w:tcPr>
            <w:tcW w:w="6241" w:type="dxa"/>
            <w:noWrap w:val="0"/>
            <w:vAlign w:val="center"/>
          </w:tcPr>
          <w:p w14:paraId="0C6F80AB">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olor w:val="auto"/>
                <w:sz w:val="22"/>
                <w:szCs w:val="22"/>
                <w:highlight w:val="none"/>
                <w:lang w:eastAsia="zh-CN"/>
              </w:rPr>
            </w:pPr>
            <w:r>
              <w:rPr>
                <w:rFonts w:hint="eastAsia" w:ascii="宋体" w:hAnsi="宋体"/>
                <w:color w:val="auto"/>
                <w:sz w:val="22"/>
                <w:szCs w:val="22"/>
                <w:highlight w:val="none"/>
                <w:lang w:val="en-US" w:eastAsia="zh-CN"/>
              </w:rPr>
              <w:t>4</w:t>
            </w:r>
            <w:r>
              <w:rPr>
                <w:rFonts w:hint="eastAsia" w:ascii="宋体" w:hAnsi="宋体"/>
                <w:color w:val="auto"/>
                <w:sz w:val="22"/>
                <w:szCs w:val="22"/>
                <w:highlight w:val="none"/>
              </w:rPr>
              <w:t>.</w:t>
            </w:r>
            <w:r>
              <w:rPr>
                <w:rFonts w:hint="eastAsia" w:ascii="宋体" w:hAnsi="宋体"/>
                <w:color w:val="auto"/>
                <w:sz w:val="22"/>
                <w:szCs w:val="22"/>
                <w:highlight w:val="none"/>
                <w:lang w:eastAsia="zh-CN"/>
              </w:rPr>
              <w:t>未按规定建立及完成相关台账</w:t>
            </w:r>
          </w:p>
        </w:tc>
        <w:tc>
          <w:tcPr>
            <w:tcW w:w="1965" w:type="dxa"/>
            <w:noWrap w:val="0"/>
            <w:vAlign w:val="center"/>
          </w:tcPr>
          <w:p w14:paraId="4BB84D5A">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cs="仿宋"/>
                <w:color w:val="auto"/>
                <w:highlight w:val="none"/>
              </w:rPr>
              <w:t>发现一次扣</w:t>
            </w:r>
            <w:r>
              <w:rPr>
                <w:rFonts w:hint="eastAsia" w:cs="仿宋"/>
                <w:color w:val="auto"/>
                <w:highlight w:val="none"/>
                <w:lang w:val="en-US" w:eastAsia="zh-CN"/>
              </w:rPr>
              <w:t>2</w:t>
            </w:r>
            <w:r>
              <w:rPr>
                <w:rFonts w:hint="eastAsia" w:cs="仿宋"/>
                <w:color w:val="auto"/>
                <w:highlight w:val="none"/>
              </w:rPr>
              <w:t>分</w:t>
            </w:r>
          </w:p>
        </w:tc>
      </w:tr>
      <w:tr w14:paraId="20CC74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67500367">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p>
        </w:tc>
        <w:tc>
          <w:tcPr>
            <w:tcW w:w="6241" w:type="dxa"/>
            <w:noWrap w:val="0"/>
            <w:vAlign w:val="center"/>
          </w:tcPr>
          <w:p w14:paraId="3B3F6748">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olor w:val="auto"/>
                <w:sz w:val="22"/>
                <w:szCs w:val="22"/>
                <w:highlight w:val="none"/>
                <w:lang w:eastAsia="zh-CN"/>
              </w:rPr>
            </w:pP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w:t>
            </w:r>
            <w:r>
              <w:rPr>
                <w:rFonts w:hint="eastAsia" w:ascii="宋体" w:hAnsi="宋体"/>
                <w:color w:val="auto"/>
                <w:sz w:val="22"/>
                <w:szCs w:val="22"/>
                <w:highlight w:val="none"/>
                <w:lang w:eastAsia="zh-CN"/>
              </w:rPr>
              <w:t>反食品浪费工作不到位</w:t>
            </w:r>
          </w:p>
        </w:tc>
        <w:tc>
          <w:tcPr>
            <w:tcW w:w="1965" w:type="dxa"/>
            <w:noWrap w:val="0"/>
            <w:vAlign w:val="center"/>
          </w:tcPr>
          <w:p w14:paraId="115C0936">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宋体" w:hAnsi="宋体" w:eastAsia="宋体"/>
                <w:color w:val="auto"/>
                <w:sz w:val="22"/>
                <w:szCs w:val="22"/>
                <w:highlight w:val="none"/>
                <w:lang w:val="en-US" w:eastAsia="zh-CN"/>
              </w:rPr>
            </w:pPr>
            <w:r>
              <w:rPr>
                <w:rFonts w:hint="eastAsia" w:cs="仿宋"/>
                <w:color w:val="auto"/>
                <w:highlight w:val="none"/>
                <w:lang w:eastAsia="zh-CN"/>
              </w:rPr>
              <w:t>酌情扣除</w:t>
            </w:r>
            <w:r>
              <w:rPr>
                <w:rFonts w:hint="eastAsia" w:cs="仿宋"/>
                <w:color w:val="auto"/>
                <w:highlight w:val="none"/>
                <w:lang w:val="en-US" w:eastAsia="zh-CN"/>
              </w:rPr>
              <w:t>2-5分</w:t>
            </w:r>
          </w:p>
        </w:tc>
      </w:tr>
      <w:tr w14:paraId="761BB2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31A43195">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p>
        </w:tc>
        <w:tc>
          <w:tcPr>
            <w:tcW w:w="6241" w:type="dxa"/>
            <w:noWrap w:val="0"/>
            <w:vAlign w:val="center"/>
          </w:tcPr>
          <w:p w14:paraId="41C093AE">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lang w:val="en-US" w:eastAsia="zh-CN"/>
              </w:rPr>
              <w:t>6</w:t>
            </w:r>
            <w:r>
              <w:rPr>
                <w:rFonts w:hint="eastAsia" w:ascii="宋体" w:hAnsi="宋体"/>
                <w:color w:val="auto"/>
                <w:sz w:val="22"/>
                <w:szCs w:val="22"/>
                <w:highlight w:val="none"/>
              </w:rPr>
              <w:t>.被就餐人员投诉（经核实确有过错并造成影响）的</w:t>
            </w:r>
          </w:p>
        </w:tc>
        <w:tc>
          <w:tcPr>
            <w:tcW w:w="1965" w:type="dxa"/>
            <w:noWrap w:val="0"/>
            <w:vAlign w:val="center"/>
          </w:tcPr>
          <w:p w14:paraId="324175F2">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发现一次扣2分</w:t>
            </w:r>
          </w:p>
        </w:tc>
      </w:tr>
      <w:tr w14:paraId="090D18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333BA743">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p>
        </w:tc>
        <w:tc>
          <w:tcPr>
            <w:tcW w:w="6241" w:type="dxa"/>
            <w:noWrap w:val="0"/>
            <w:vAlign w:val="center"/>
          </w:tcPr>
          <w:p w14:paraId="7BEF4FB0">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7</w:t>
            </w:r>
            <w:r>
              <w:rPr>
                <w:rFonts w:hint="eastAsia" w:ascii="宋体" w:hAnsi="宋体"/>
                <w:color w:val="auto"/>
                <w:sz w:val="22"/>
                <w:szCs w:val="22"/>
                <w:highlight w:val="none"/>
              </w:rPr>
              <w:t>.相关管理人员未及时参与验菜的</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或者未及时对不良菜品提出意见的</w:t>
            </w:r>
          </w:p>
        </w:tc>
        <w:tc>
          <w:tcPr>
            <w:tcW w:w="1965" w:type="dxa"/>
            <w:noWrap w:val="0"/>
            <w:vAlign w:val="center"/>
          </w:tcPr>
          <w:p w14:paraId="3A70CB92">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cs="仿宋"/>
                <w:color w:val="auto"/>
                <w:highlight w:val="none"/>
              </w:rPr>
              <w:t>发现一次扣</w:t>
            </w:r>
            <w:r>
              <w:rPr>
                <w:rFonts w:hint="eastAsia" w:cs="仿宋"/>
                <w:color w:val="auto"/>
                <w:highlight w:val="none"/>
                <w:lang w:val="en-US" w:eastAsia="zh-CN"/>
              </w:rPr>
              <w:t>3</w:t>
            </w:r>
            <w:r>
              <w:rPr>
                <w:rFonts w:hint="eastAsia" w:cs="仿宋"/>
                <w:color w:val="auto"/>
                <w:highlight w:val="none"/>
              </w:rPr>
              <w:t>分</w:t>
            </w:r>
          </w:p>
        </w:tc>
      </w:tr>
      <w:tr w14:paraId="0BA9E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739F5041">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p>
        </w:tc>
        <w:tc>
          <w:tcPr>
            <w:tcW w:w="6241" w:type="dxa"/>
            <w:noWrap w:val="0"/>
            <w:vAlign w:val="center"/>
          </w:tcPr>
          <w:p w14:paraId="4CB72FB5">
            <w:pPr>
              <w:pStyle w:val="11"/>
              <w:keepNext w:val="0"/>
              <w:keepLines w:val="0"/>
              <w:pageBreakBefore w:val="0"/>
              <w:widowControl w:val="0"/>
              <w:tabs>
                <w:tab w:val="left" w:pos="1275"/>
              </w:tabs>
              <w:kinsoku/>
              <w:wordWrap/>
              <w:overflowPunct/>
              <w:topLinePunct w:val="0"/>
              <w:autoSpaceDE w:val="0"/>
              <w:autoSpaceDN w:val="0"/>
              <w:bidi w:val="0"/>
              <w:adjustRightInd w:val="0"/>
              <w:snapToGrid/>
              <w:spacing w:line="240" w:lineRule="auto"/>
              <w:ind w:left="0" w:leftChars="0" w:firstLine="0" w:firstLineChars="0"/>
              <w:textAlignment w:val="auto"/>
              <w:rPr>
                <w:rFonts w:hint="eastAsia" w:ascii="宋体" w:hAnsi="宋体"/>
                <w:color w:val="auto"/>
                <w:sz w:val="22"/>
                <w:szCs w:val="22"/>
                <w:highlight w:val="none"/>
                <w:lang w:val="en-US" w:eastAsia="zh-CN"/>
              </w:rPr>
            </w:pPr>
            <w:r>
              <w:rPr>
                <w:rFonts w:hint="eastAsia"/>
                <w:color w:val="auto"/>
                <w:highlight w:val="none"/>
                <w:lang w:val="en-US" w:eastAsia="zh-CN"/>
              </w:rPr>
              <w:t>8</w:t>
            </w:r>
            <w:r>
              <w:rPr>
                <w:rFonts w:hint="default"/>
                <w:color w:val="auto"/>
                <w:highlight w:val="none"/>
              </w:rPr>
              <w:t>.多次反映的问题未及时整改落实</w:t>
            </w:r>
          </w:p>
        </w:tc>
        <w:tc>
          <w:tcPr>
            <w:tcW w:w="1965" w:type="dxa"/>
            <w:noWrap w:val="0"/>
            <w:vAlign w:val="center"/>
          </w:tcPr>
          <w:p w14:paraId="0D9F747E">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酌情扣除2-5分</w:t>
            </w:r>
          </w:p>
        </w:tc>
      </w:tr>
      <w:tr w14:paraId="44E889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2E5DF392">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p>
        </w:tc>
        <w:tc>
          <w:tcPr>
            <w:tcW w:w="6241" w:type="dxa"/>
            <w:noWrap w:val="0"/>
            <w:vAlign w:val="center"/>
          </w:tcPr>
          <w:p w14:paraId="6175BE59">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宋体" w:hAnsi="宋体"/>
                <w:color w:val="auto"/>
                <w:sz w:val="22"/>
                <w:szCs w:val="22"/>
                <w:highlight w:val="none"/>
              </w:rPr>
            </w:pPr>
            <w:r>
              <w:rPr>
                <w:rFonts w:hint="eastAsia" w:ascii="宋体" w:hAnsi="宋体"/>
                <w:color w:val="auto"/>
                <w:sz w:val="22"/>
                <w:szCs w:val="22"/>
                <w:highlight w:val="none"/>
                <w:lang w:val="en-US" w:eastAsia="zh-CN"/>
              </w:rPr>
              <w:t>9</w:t>
            </w:r>
            <w:r>
              <w:rPr>
                <w:rFonts w:hint="eastAsia" w:ascii="宋体" w:hAnsi="宋体"/>
                <w:color w:val="auto"/>
                <w:sz w:val="22"/>
                <w:szCs w:val="22"/>
                <w:highlight w:val="none"/>
              </w:rPr>
              <w:t>.其他违反</w:t>
            </w:r>
            <w:r>
              <w:rPr>
                <w:rFonts w:hint="eastAsia" w:ascii="宋体" w:hAnsi="宋体"/>
                <w:color w:val="auto"/>
                <w:sz w:val="22"/>
                <w:szCs w:val="22"/>
                <w:highlight w:val="none"/>
                <w:lang w:eastAsia="zh-CN"/>
              </w:rPr>
              <w:t>本局</w:t>
            </w:r>
            <w:r>
              <w:rPr>
                <w:rFonts w:hint="eastAsia" w:ascii="宋体" w:hAnsi="宋体"/>
                <w:color w:val="auto"/>
                <w:sz w:val="22"/>
                <w:szCs w:val="22"/>
                <w:highlight w:val="none"/>
              </w:rPr>
              <w:t>相关规定的</w:t>
            </w:r>
            <w:r>
              <w:rPr>
                <w:rFonts w:hint="default" w:ascii="宋体" w:hAnsi="宋体"/>
                <w:color w:val="auto"/>
                <w:sz w:val="22"/>
                <w:szCs w:val="22"/>
                <w:highlight w:val="none"/>
              </w:rPr>
              <w:t xml:space="preserve">    </w:t>
            </w:r>
          </w:p>
        </w:tc>
        <w:tc>
          <w:tcPr>
            <w:tcW w:w="1965" w:type="dxa"/>
            <w:noWrap w:val="0"/>
            <w:vAlign w:val="center"/>
          </w:tcPr>
          <w:p w14:paraId="308D193B">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olor w:val="auto"/>
                <w:sz w:val="22"/>
                <w:szCs w:val="22"/>
                <w:highlight w:val="none"/>
                <w:lang w:val="en-US" w:eastAsia="zh-CN"/>
              </w:rPr>
            </w:pPr>
            <w:r>
              <w:rPr>
                <w:rFonts w:hint="eastAsia" w:ascii="宋体" w:hAnsi="宋体"/>
                <w:color w:val="auto"/>
                <w:sz w:val="22"/>
                <w:szCs w:val="22"/>
                <w:highlight w:val="none"/>
              </w:rPr>
              <w:t>酌情扣</w:t>
            </w:r>
            <w:r>
              <w:rPr>
                <w:rFonts w:hint="eastAsia" w:ascii="宋体" w:hAnsi="宋体"/>
                <w:color w:val="auto"/>
                <w:sz w:val="22"/>
                <w:szCs w:val="22"/>
                <w:highlight w:val="none"/>
                <w:lang w:val="en-US" w:eastAsia="zh-CN"/>
              </w:rPr>
              <w:t>2-10分</w:t>
            </w:r>
          </w:p>
        </w:tc>
      </w:tr>
      <w:tr w14:paraId="1462D7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29DC3649">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p>
        </w:tc>
        <w:tc>
          <w:tcPr>
            <w:tcW w:w="6241" w:type="dxa"/>
            <w:noWrap w:val="0"/>
            <w:vAlign w:val="center"/>
          </w:tcPr>
          <w:p w14:paraId="4BD1AB55">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宋体" w:hAnsi="宋体"/>
                <w:color w:val="auto"/>
                <w:sz w:val="22"/>
                <w:szCs w:val="22"/>
                <w:highlight w:val="none"/>
                <w:lang w:val="en-US" w:eastAsia="zh-CN"/>
              </w:rPr>
            </w:pPr>
            <w:r>
              <w:rPr>
                <w:rFonts w:hint="eastAsia" w:ascii="宋体" w:hAnsi="宋体"/>
                <w:color w:val="auto"/>
                <w:sz w:val="22"/>
                <w:szCs w:val="22"/>
                <w:highlight w:val="none"/>
                <w:lang w:val="en-US" w:eastAsia="zh-CN"/>
              </w:rPr>
              <w:t>10.在满意度测评中平均满意度低于85%的，扣5分；低于80%的扣10分，低于75%的扣15分。</w:t>
            </w:r>
          </w:p>
        </w:tc>
        <w:tc>
          <w:tcPr>
            <w:tcW w:w="1965" w:type="dxa"/>
            <w:noWrap w:val="0"/>
            <w:vAlign w:val="center"/>
          </w:tcPr>
          <w:p w14:paraId="565EB0BF">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olor w:val="auto"/>
                <w:sz w:val="22"/>
                <w:szCs w:val="22"/>
                <w:highlight w:val="none"/>
                <w:lang w:eastAsia="zh-CN"/>
              </w:rPr>
            </w:pPr>
            <w:r>
              <w:rPr>
                <w:rFonts w:hint="eastAsia" w:ascii="宋体" w:hAnsi="宋体"/>
                <w:color w:val="auto"/>
                <w:sz w:val="22"/>
                <w:szCs w:val="22"/>
                <w:highlight w:val="none"/>
                <w:lang w:eastAsia="zh-CN"/>
              </w:rPr>
              <w:t>按测评情况扣分</w:t>
            </w:r>
          </w:p>
        </w:tc>
      </w:tr>
      <w:tr w14:paraId="6C3843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restart"/>
            <w:noWrap w:val="0"/>
            <w:vAlign w:val="center"/>
          </w:tcPr>
          <w:p w14:paraId="4FD6EDC0">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olor w:val="auto"/>
                <w:sz w:val="22"/>
                <w:szCs w:val="22"/>
                <w:highlight w:val="none"/>
                <w:lang w:eastAsia="zh-CN"/>
              </w:rPr>
            </w:pPr>
            <w:r>
              <w:rPr>
                <w:rFonts w:hint="eastAsia" w:ascii="宋体" w:hAnsi="宋体"/>
                <w:color w:val="auto"/>
                <w:sz w:val="22"/>
                <w:szCs w:val="22"/>
                <w:highlight w:val="none"/>
                <w:lang w:eastAsia="zh-CN"/>
              </w:rPr>
              <w:t>六、加分项</w:t>
            </w:r>
          </w:p>
        </w:tc>
        <w:tc>
          <w:tcPr>
            <w:tcW w:w="6241" w:type="dxa"/>
            <w:noWrap w:val="0"/>
            <w:vAlign w:val="center"/>
          </w:tcPr>
          <w:p w14:paraId="5BBCCF8B">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宋体" w:hAnsi="宋体"/>
                <w:color w:val="auto"/>
                <w:sz w:val="22"/>
                <w:szCs w:val="22"/>
                <w:highlight w:val="none"/>
                <w:lang w:val="en-US" w:eastAsia="zh-CN"/>
              </w:rPr>
            </w:pPr>
            <w:r>
              <w:rPr>
                <w:rFonts w:hint="eastAsia" w:ascii="宋体" w:hAnsi="宋体"/>
                <w:color w:val="auto"/>
                <w:sz w:val="22"/>
                <w:szCs w:val="22"/>
                <w:highlight w:val="none"/>
                <w:lang w:val="en-US" w:eastAsia="zh-CN"/>
              </w:rPr>
              <w:t>1、提供合理化建议而被采纳的</w:t>
            </w:r>
          </w:p>
        </w:tc>
        <w:tc>
          <w:tcPr>
            <w:tcW w:w="1965" w:type="dxa"/>
            <w:noWrap w:val="0"/>
            <w:vAlign w:val="center"/>
          </w:tcPr>
          <w:p w14:paraId="0729B5A0">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lang w:eastAsia="zh-CN"/>
              </w:rPr>
              <w:t>酌情加</w:t>
            </w:r>
            <w:r>
              <w:rPr>
                <w:rFonts w:hint="eastAsia" w:ascii="宋体" w:hAnsi="宋体"/>
                <w:color w:val="auto"/>
                <w:sz w:val="22"/>
                <w:szCs w:val="22"/>
                <w:highlight w:val="none"/>
                <w:lang w:val="en-US" w:eastAsia="zh-CN"/>
              </w:rPr>
              <w:t>1-2分</w:t>
            </w:r>
          </w:p>
        </w:tc>
      </w:tr>
      <w:tr w14:paraId="28960E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3A18BD25">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lang w:eastAsia="zh-CN"/>
              </w:rPr>
            </w:pPr>
          </w:p>
        </w:tc>
        <w:tc>
          <w:tcPr>
            <w:tcW w:w="6241" w:type="dxa"/>
            <w:noWrap w:val="0"/>
            <w:vAlign w:val="center"/>
          </w:tcPr>
          <w:p w14:paraId="5042F5E8">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宋体" w:hAnsi="宋体"/>
                <w:color w:val="auto"/>
                <w:sz w:val="22"/>
                <w:szCs w:val="22"/>
                <w:highlight w:val="none"/>
                <w:lang w:val="en-US" w:eastAsia="zh-CN"/>
              </w:rPr>
            </w:pPr>
            <w:r>
              <w:rPr>
                <w:rFonts w:hint="eastAsia" w:ascii="宋体" w:hAnsi="宋体"/>
                <w:color w:val="auto"/>
                <w:sz w:val="22"/>
                <w:szCs w:val="22"/>
                <w:highlight w:val="none"/>
                <w:lang w:val="en-US" w:eastAsia="zh-CN"/>
              </w:rPr>
              <w:t>2、创新菜品，并获得就餐人员好评的</w:t>
            </w:r>
          </w:p>
        </w:tc>
        <w:tc>
          <w:tcPr>
            <w:tcW w:w="1965" w:type="dxa"/>
            <w:noWrap w:val="0"/>
            <w:vAlign w:val="center"/>
          </w:tcPr>
          <w:p w14:paraId="2AF93281">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lang w:eastAsia="zh-CN"/>
              </w:rPr>
              <w:t>酌情加</w:t>
            </w:r>
            <w:r>
              <w:rPr>
                <w:rFonts w:hint="eastAsia" w:ascii="宋体" w:hAnsi="宋体"/>
                <w:color w:val="auto"/>
                <w:sz w:val="22"/>
                <w:szCs w:val="22"/>
                <w:highlight w:val="none"/>
                <w:lang w:val="en-US" w:eastAsia="zh-CN"/>
              </w:rPr>
              <w:t>1-2分</w:t>
            </w:r>
          </w:p>
        </w:tc>
      </w:tr>
      <w:tr w14:paraId="1ED49C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249F232E">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lang w:eastAsia="zh-CN"/>
              </w:rPr>
            </w:pPr>
          </w:p>
        </w:tc>
        <w:tc>
          <w:tcPr>
            <w:tcW w:w="6241" w:type="dxa"/>
            <w:noWrap w:val="0"/>
            <w:vAlign w:val="center"/>
          </w:tcPr>
          <w:p w14:paraId="08C37ACE">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宋体" w:hAnsi="宋体"/>
                <w:color w:val="auto"/>
                <w:sz w:val="22"/>
                <w:szCs w:val="22"/>
                <w:highlight w:val="none"/>
                <w:lang w:val="en-US" w:eastAsia="zh-CN"/>
              </w:rPr>
            </w:pPr>
            <w:r>
              <w:rPr>
                <w:rFonts w:hint="eastAsia" w:ascii="宋体" w:hAnsi="宋体"/>
                <w:color w:val="auto"/>
                <w:sz w:val="22"/>
                <w:szCs w:val="22"/>
                <w:highlight w:val="none"/>
                <w:lang w:val="en-US" w:eastAsia="zh-CN"/>
              </w:rPr>
              <w:t>3、接待餐制作，获得领导好评的</w:t>
            </w:r>
          </w:p>
        </w:tc>
        <w:tc>
          <w:tcPr>
            <w:tcW w:w="1965" w:type="dxa"/>
            <w:noWrap w:val="0"/>
            <w:vAlign w:val="center"/>
          </w:tcPr>
          <w:p w14:paraId="6A81BE19">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lang w:eastAsia="zh-CN"/>
              </w:rPr>
              <w:t>酌情加</w:t>
            </w:r>
            <w:r>
              <w:rPr>
                <w:rFonts w:hint="eastAsia" w:ascii="宋体" w:hAnsi="宋体"/>
                <w:color w:val="auto"/>
                <w:sz w:val="22"/>
                <w:szCs w:val="22"/>
                <w:highlight w:val="none"/>
                <w:lang w:val="en-US" w:eastAsia="zh-CN"/>
              </w:rPr>
              <w:t>1-2分</w:t>
            </w:r>
          </w:p>
        </w:tc>
      </w:tr>
    </w:tbl>
    <w:p w14:paraId="60C53D07">
      <w:pPr>
        <w:pStyle w:val="19"/>
        <w:rPr>
          <w:rFonts w:hint="eastAsia" w:ascii="宋体" w:hAnsi="宋体" w:cs="宋体"/>
          <w:color w:val="auto"/>
          <w:highlight w:val="none"/>
        </w:rPr>
      </w:pPr>
    </w:p>
    <w:bookmarkEnd w:id="110"/>
    <w:bookmarkEnd w:id="111"/>
    <w:bookmarkEnd w:id="112"/>
    <w:p w14:paraId="2C6AC42C">
      <w:pPr>
        <w:rPr>
          <w:rFonts w:hint="eastAsia" w:cs="宋体"/>
          <w:color w:val="auto"/>
          <w:sz w:val="36"/>
          <w:szCs w:val="36"/>
          <w:highlight w:val="none"/>
        </w:rPr>
      </w:pPr>
      <w:r>
        <w:rPr>
          <w:rFonts w:hint="eastAsia" w:cs="宋体"/>
          <w:color w:val="auto"/>
          <w:sz w:val="36"/>
          <w:szCs w:val="36"/>
          <w:highlight w:val="none"/>
        </w:rPr>
        <w:br w:type="page"/>
      </w:r>
    </w:p>
    <w:p w14:paraId="64158385">
      <w:pPr>
        <w:pStyle w:val="2"/>
        <w:spacing w:line="360" w:lineRule="auto"/>
        <w:jc w:val="center"/>
        <w:rPr>
          <w:rFonts w:cs="Times New Roman"/>
          <w:color w:val="auto"/>
          <w:sz w:val="36"/>
          <w:szCs w:val="36"/>
          <w:highlight w:val="none"/>
        </w:rPr>
      </w:pPr>
      <w:bookmarkStart w:id="121" w:name="_Toc6229"/>
      <w:bookmarkStart w:id="122" w:name="_Toc12028"/>
      <w:bookmarkStart w:id="123" w:name="_Toc22691"/>
      <w:r>
        <w:rPr>
          <w:rFonts w:hint="eastAsia" w:cs="宋体"/>
          <w:color w:val="auto"/>
          <w:sz w:val="36"/>
          <w:szCs w:val="36"/>
          <w:highlight w:val="none"/>
        </w:rPr>
        <w:t>第四部分 磋商原则及磋商方法</w:t>
      </w:r>
      <w:bookmarkEnd w:id="113"/>
      <w:bookmarkEnd w:id="114"/>
      <w:bookmarkEnd w:id="121"/>
      <w:bookmarkEnd w:id="122"/>
      <w:bookmarkEnd w:id="123"/>
    </w:p>
    <w:p w14:paraId="0F5904E0">
      <w:pPr>
        <w:pStyle w:val="3"/>
        <w:numPr>
          <w:ilvl w:val="0"/>
          <w:numId w:val="20"/>
        </w:numPr>
        <w:spacing w:line="360" w:lineRule="auto"/>
        <w:jc w:val="center"/>
        <w:rPr>
          <w:rFonts w:cs="Times New Roman"/>
          <w:color w:val="auto"/>
          <w:highlight w:val="none"/>
        </w:rPr>
      </w:pPr>
      <w:bookmarkStart w:id="124" w:name="_Toc1265"/>
      <w:r>
        <w:rPr>
          <w:rFonts w:hint="eastAsia"/>
          <w:color w:val="auto"/>
          <w:highlight w:val="none"/>
        </w:rPr>
        <w:t xml:space="preserve"> </w:t>
      </w:r>
      <w:bookmarkStart w:id="125" w:name="_Toc3582"/>
      <w:bookmarkStart w:id="126" w:name="_Toc25285"/>
      <w:bookmarkStart w:id="127" w:name="_Toc246"/>
      <w:bookmarkStart w:id="128" w:name="_Toc23731"/>
      <w:r>
        <w:rPr>
          <w:rFonts w:hint="eastAsia"/>
          <w:color w:val="auto"/>
          <w:highlight w:val="none"/>
        </w:rPr>
        <w:t>磋商原则</w:t>
      </w:r>
      <w:bookmarkEnd w:id="124"/>
      <w:bookmarkEnd w:id="125"/>
      <w:bookmarkEnd w:id="126"/>
      <w:bookmarkEnd w:id="127"/>
      <w:bookmarkEnd w:id="128"/>
    </w:p>
    <w:p w14:paraId="27807A35">
      <w:pPr>
        <w:pStyle w:val="4"/>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、本次竞争性磋商本着公平、公正、科学、择优的原则，邀请各磋商方参加报价。</w:t>
      </w:r>
    </w:p>
    <w:p w14:paraId="41B6D792">
      <w:pPr>
        <w:pStyle w:val="4"/>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、磋商小组将严格按照竞争性磋商文件的要求，对供应商的响应性文件进行认真评审；磋商小组对响应性文件的评审仅依据响应性文件本身，而不依据响应性文件以外的任何因素。</w:t>
      </w:r>
    </w:p>
    <w:p w14:paraId="3F532F1A">
      <w:pPr>
        <w:pStyle w:val="4"/>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、磋商小组按照统一的磋商原则和磋商方法，用同一标准对所有响应性文件进行评审。</w:t>
      </w:r>
    </w:p>
    <w:p w14:paraId="3B0CEEFE">
      <w:pPr>
        <w:pStyle w:val="15"/>
        <w:spacing w:line="360" w:lineRule="auto"/>
        <w:ind w:firstLine="482" w:firstLineChars="200"/>
        <w:rPr>
          <w:rFonts w:hAnsi="宋体" w:cs="Times New Roman"/>
          <w:b/>
          <w:bCs/>
          <w:color w:val="auto"/>
          <w:sz w:val="24"/>
          <w:szCs w:val="24"/>
          <w:highlight w:val="none"/>
        </w:rPr>
      </w:pPr>
      <w:r>
        <w:rPr>
          <w:rFonts w:hAnsi="宋体"/>
          <w:b/>
          <w:bCs/>
          <w:color w:val="auto"/>
          <w:sz w:val="24"/>
          <w:szCs w:val="24"/>
          <w:highlight w:val="none"/>
        </w:rPr>
        <w:t>4</w:t>
      </w:r>
      <w:r>
        <w:rPr>
          <w:rFonts w:hint="eastAsia" w:hAnsi="宋体"/>
          <w:b/>
          <w:bCs/>
          <w:color w:val="auto"/>
          <w:sz w:val="24"/>
          <w:szCs w:val="24"/>
          <w:highlight w:val="none"/>
        </w:rPr>
        <w:t>、评审</w:t>
      </w:r>
    </w:p>
    <w:p w14:paraId="038E75A4">
      <w:pPr>
        <w:pStyle w:val="15"/>
        <w:spacing w:line="360" w:lineRule="auto"/>
        <w:ind w:firstLine="480" w:firstLineChars="200"/>
        <w:rPr>
          <w:rFonts w:hAnsi="宋体" w:cs="Times New Roman"/>
          <w:color w:val="auto"/>
          <w:sz w:val="24"/>
          <w:szCs w:val="24"/>
          <w:highlight w:val="none"/>
        </w:rPr>
      </w:pPr>
      <w:r>
        <w:rPr>
          <w:rFonts w:hAnsi="宋体"/>
          <w:color w:val="auto"/>
          <w:sz w:val="24"/>
          <w:szCs w:val="24"/>
          <w:highlight w:val="none"/>
        </w:rPr>
        <w:t>4.1</w:t>
      </w:r>
      <w:r>
        <w:rPr>
          <w:rFonts w:hint="eastAsia" w:hAnsi="宋体"/>
          <w:color w:val="auto"/>
          <w:sz w:val="24"/>
          <w:szCs w:val="24"/>
          <w:highlight w:val="none"/>
        </w:rPr>
        <w:t>在磋商响应截止时间前按规定提交响应文件的供应商在三家（含）以上的，由采购人或采购代理机构组织进行开标。</w:t>
      </w:r>
    </w:p>
    <w:p w14:paraId="0D5E83EC">
      <w:pPr>
        <w:pStyle w:val="15"/>
        <w:spacing w:line="360" w:lineRule="auto"/>
        <w:ind w:firstLine="482" w:firstLineChars="200"/>
        <w:rPr>
          <w:rFonts w:hAnsi="宋体" w:cs="Times New Roman"/>
          <w:color w:val="auto"/>
          <w:sz w:val="24"/>
          <w:szCs w:val="24"/>
          <w:highlight w:val="none"/>
        </w:rPr>
      </w:pPr>
      <w:r>
        <w:rPr>
          <w:rFonts w:hAnsi="宋体"/>
          <w:b/>
          <w:bCs/>
          <w:color w:val="auto"/>
          <w:sz w:val="24"/>
          <w:szCs w:val="24"/>
          <w:highlight w:val="none"/>
        </w:rPr>
        <w:t>4.2</w:t>
      </w:r>
      <w:r>
        <w:rPr>
          <w:rFonts w:hint="eastAsia" w:hAnsi="宋体"/>
          <w:b/>
          <w:bCs/>
          <w:color w:val="auto"/>
          <w:sz w:val="24"/>
          <w:szCs w:val="24"/>
          <w:highlight w:val="none"/>
        </w:rPr>
        <w:t>供应商登录政采云平台，用“项目采购</w:t>
      </w:r>
      <w:r>
        <w:rPr>
          <w:rFonts w:hAnsi="宋体"/>
          <w:b/>
          <w:bCs/>
          <w:color w:val="auto"/>
          <w:sz w:val="24"/>
          <w:szCs w:val="24"/>
          <w:highlight w:val="none"/>
        </w:rPr>
        <w:t>-</w:t>
      </w:r>
      <w:r>
        <w:rPr>
          <w:rFonts w:hint="eastAsia" w:hAnsi="宋体"/>
          <w:b/>
          <w:bCs/>
          <w:color w:val="auto"/>
          <w:sz w:val="24"/>
          <w:szCs w:val="24"/>
          <w:highlight w:val="none"/>
        </w:rPr>
        <w:t>开标评标”功能对电子磋商响应文件进行在线解密。在线解密电子磋商响应文件时间为开标时间起</w:t>
      </w:r>
      <w:r>
        <w:rPr>
          <w:rFonts w:hAnsi="宋体"/>
          <w:b/>
          <w:bCs/>
          <w:color w:val="auto"/>
          <w:sz w:val="24"/>
          <w:szCs w:val="24"/>
          <w:highlight w:val="none"/>
        </w:rPr>
        <w:t>30</w:t>
      </w:r>
      <w:r>
        <w:rPr>
          <w:rFonts w:hint="eastAsia" w:hAnsi="宋体"/>
          <w:b/>
          <w:bCs/>
          <w:color w:val="auto"/>
          <w:sz w:val="24"/>
          <w:szCs w:val="24"/>
          <w:highlight w:val="none"/>
        </w:rPr>
        <w:t>分钟内。若电子磋商响应文件解密失败，则由采购代理机构工作人员上传供应商提供的备份文件。</w:t>
      </w:r>
      <w:r>
        <w:rPr>
          <w:rFonts w:hint="eastAsia" w:hAnsi="宋体"/>
          <w:color w:val="auto"/>
          <w:sz w:val="24"/>
          <w:szCs w:val="24"/>
          <w:highlight w:val="none"/>
        </w:rPr>
        <w:t>备份文件（后缀名为</w:t>
      </w:r>
      <w:r>
        <w:rPr>
          <w:rFonts w:hAnsi="宋体"/>
          <w:color w:val="auto"/>
          <w:sz w:val="24"/>
          <w:szCs w:val="24"/>
          <w:highlight w:val="none"/>
        </w:rPr>
        <w:t>.bfbs</w:t>
      </w:r>
      <w:r>
        <w:rPr>
          <w:rFonts w:hint="eastAsia" w:hAnsi="宋体"/>
          <w:color w:val="auto"/>
          <w:sz w:val="24"/>
          <w:szCs w:val="24"/>
          <w:highlight w:val="none"/>
        </w:rPr>
        <w:t>）须存储在</w:t>
      </w:r>
      <w:r>
        <w:rPr>
          <w:rFonts w:hAnsi="宋体"/>
          <w:color w:val="auto"/>
          <w:sz w:val="24"/>
          <w:szCs w:val="24"/>
          <w:highlight w:val="none"/>
        </w:rPr>
        <w:t>U</w:t>
      </w:r>
      <w:r>
        <w:rPr>
          <w:rFonts w:hint="eastAsia" w:hAnsi="宋体"/>
          <w:color w:val="auto"/>
          <w:sz w:val="24"/>
          <w:szCs w:val="24"/>
          <w:highlight w:val="none"/>
        </w:rPr>
        <w:t>盘中，与上传的电子磋商响应文件一致，用信封进行密封并盖章</w:t>
      </w:r>
      <w:r>
        <w:rPr>
          <w:rFonts w:hint="eastAsia" w:hAnsi="宋体"/>
          <w:b/>
          <w:bCs/>
          <w:color w:val="auto"/>
          <w:sz w:val="24"/>
          <w:szCs w:val="24"/>
          <w:highlight w:val="none"/>
        </w:rPr>
        <w:t>（信封内仅需放入存储备份文件的</w:t>
      </w:r>
      <w:r>
        <w:rPr>
          <w:rFonts w:hAnsi="宋体"/>
          <w:b/>
          <w:bCs/>
          <w:color w:val="auto"/>
          <w:sz w:val="24"/>
          <w:szCs w:val="24"/>
          <w:highlight w:val="none"/>
        </w:rPr>
        <w:t>U</w:t>
      </w:r>
      <w:r>
        <w:rPr>
          <w:rFonts w:hint="eastAsia" w:hAnsi="宋体"/>
          <w:b/>
          <w:bCs/>
          <w:color w:val="auto"/>
          <w:sz w:val="24"/>
          <w:szCs w:val="24"/>
          <w:highlight w:val="none"/>
        </w:rPr>
        <w:t>盘）</w:t>
      </w:r>
      <w:r>
        <w:rPr>
          <w:rFonts w:hint="eastAsia" w:hAnsi="宋体"/>
          <w:color w:val="auto"/>
          <w:sz w:val="24"/>
          <w:szCs w:val="24"/>
          <w:highlight w:val="none"/>
        </w:rPr>
        <w:t>，由授权代表在磋商响应截止时间前递交至开标地点。</w:t>
      </w:r>
    </w:p>
    <w:p w14:paraId="58D3A909">
      <w:pPr>
        <w:pStyle w:val="15"/>
        <w:spacing w:line="360" w:lineRule="auto"/>
        <w:ind w:firstLine="480" w:firstLineChars="200"/>
        <w:rPr>
          <w:rFonts w:hAnsi="宋体" w:cs="Times New Roman"/>
          <w:color w:val="auto"/>
          <w:sz w:val="24"/>
          <w:szCs w:val="24"/>
          <w:highlight w:val="none"/>
        </w:rPr>
      </w:pPr>
      <w:r>
        <w:rPr>
          <w:rFonts w:hAnsi="宋体"/>
          <w:color w:val="auto"/>
          <w:sz w:val="24"/>
          <w:szCs w:val="24"/>
          <w:highlight w:val="none"/>
        </w:rPr>
        <w:t>4.3</w:t>
      </w:r>
      <w:r>
        <w:rPr>
          <w:rFonts w:hint="eastAsia" w:hAnsi="宋体"/>
          <w:color w:val="auto"/>
          <w:sz w:val="24"/>
          <w:szCs w:val="24"/>
          <w:highlight w:val="none"/>
        </w:rPr>
        <w:t>采购人按磋商文件规定的时间、地点公开开标。开标仪式由采购人或采购代理机构主持及有关人员参加。</w:t>
      </w:r>
    </w:p>
    <w:p w14:paraId="45C6DB14">
      <w:pPr>
        <w:pStyle w:val="61"/>
        <w:spacing w:before="0" w:line="360" w:lineRule="auto"/>
        <w:ind w:firstLine="480"/>
        <w:rPr>
          <w:rFonts w:ascii="宋体"/>
          <w:color w:val="auto"/>
          <w:highlight w:val="none"/>
        </w:rPr>
      </w:pPr>
      <w:r>
        <w:rPr>
          <w:rFonts w:ascii="宋体" w:hAnsi="宋体" w:cs="宋体"/>
          <w:color w:val="auto"/>
          <w:highlight w:val="none"/>
        </w:rPr>
        <w:t>4.4</w:t>
      </w:r>
      <w:r>
        <w:rPr>
          <w:rFonts w:hint="eastAsia" w:ascii="宋体" w:hAnsi="宋体" w:cs="宋体"/>
          <w:color w:val="auto"/>
          <w:highlight w:val="none"/>
        </w:rPr>
        <w:t>本项目为电子投标项目，供应商一般不需要参加现场投标和开标，若供应商需要指派授权代表递交备份文件，则授权代表应随身携带法定代表人授权书原件于</w:t>
      </w:r>
      <w:r>
        <w:rPr>
          <w:rFonts w:hint="eastAsia" w:hAnsi="宋体" w:cs="宋体"/>
          <w:color w:val="auto"/>
          <w:highlight w:val="none"/>
        </w:rPr>
        <w:t>磋商响应</w:t>
      </w:r>
      <w:r>
        <w:rPr>
          <w:rFonts w:hint="eastAsia" w:ascii="宋体" w:hAnsi="宋体" w:cs="宋体"/>
          <w:color w:val="auto"/>
          <w:highlight w:val="none"/>
        </w:rPr>
        <w:t>截止时间前到达开标地点递交备份文件。若电子磋商响应文件正常解锁，则</w:t>
      </w:r>
      <w:r>
        <w:rPr>
          <w:rFonts w:ascii="宋体" w:hAnsi="宋体" w:cs="宋体"/>
          <w:color w:val="auto"/>
          <w:highlight w:val="none"/>
        </w:rPr>
        <w:t>U</w:t>
      </w:r>
      <w:r>
        <w:rPr>
          <w:rFonts w:hint="eastAsia" w:ascii="宋体" w:hAnsi="宋体" w:cs="宋体"/>
          <w:color w:val="auto"/>
          <w:highlight w:val="none"/>
        </w:rPr>
        <w:t>盘退还给供应商；若解锁失败，则由采购代理机构将</w:t>
      </w:r>
      <w:r>
        <w:rPr>
          <w:rFonts w:ascii="宋体" w:hAnsi="宋体" w:cs="宋体"/>
          <w:color w:val="auto"/>
          <w:highlight w:val="none"/>
        </w:rPr>
        <w:t>U</w:t>
      </w:r>
      <w:r>
        <w:rPr>
          <w:rFonts w:hint="eastAsia" w:ascii="宋体" w:hAnsi="宋体" w:cs="宋体"/>
          <w:color w:val="auto"/>
          <w:highlight w:val="none"/>
        </w:rPr>
        <w:t>盘中的备份文件上传，该</w:t>
      </w:r>
      <w:r>
        <w:rPr>
          <w:rFonts w:ascii="宋体" w:hAnsi="宋体" w:cs="宋体"/>
          <w:color w:val="auto"/>
          <w:highlight w:val="none"/>
        </w:rPr>
        <w:t>U</w:t>
      </w:r>
      <w:r>
        <w:rPr>
          <w:rFonts w:hint="eastAsia" w:ascii="宋体" w:hAnsi="宋体" w:cs="宋体"/>
          <w:color w:val="auto"/>
          <w:highlight w:val="none"/>
        </w:rPr>
        <w:t>盘将由采购代理机构保存。</w:t>
      </w:r>
    </w:p>
    <w:p w14:paraId="26596C85">
      <w:pPr>
        <w:pStyle w:val="61"/>
        <w:spacing w:before="0" w:line="360" w:lineRule="auto"/>
        <w:ind w:firstLine="480"/>
        <w:rPr>
          <w:rFonts w:ascii="宋体"/>
          <w:color w:val="auto"/>
          <w:highlight w:val="none"/>
        </w:rPr>
      </w:pPr>
      <w:r>
        <w:rPr>
          <w:rFonts w:ascii="宋体" w:hAnsi="宋体" w:cs="宋体"/>
          <w:color w:val="auto"/>
          <w:highlight w:val="none"/>
        </w:rPr>
        <w:t>4.5</w:t>
      </w:r>
      <w:r>
        <w:rPr>
          <w:rFonts w:hint="eastAsia" w:ascii="宋体" w:hAnsi="宋体" w:cs="宋体"/>
          <w:color w:val="auto"/>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9EFFBBF">
      <w:pPr>
        <w:spacing w:line="360" w:lineRule="auto"/>
        <w:ind w:firstLine="480"/>
        <w:rPr>
          <w:rFonts w:ascii="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、组建磋商小组</w:t>
      </w:r>
    </w:p>
    <w:p w14:paraId="111B78B9">
      <w:pPr>
        <w:pStyle w:val="61"/>
        <w:spacing w:before="0" w:line="360" w:lineRule="auto"/>
        <w:ind w:firstLine="480"/>
        <w:rPr>
          <w:rFonts w:ascii="宋体"/>
          <w:color w:val="auto"/>
          <w:highlight w:val="none"/>
        </w:rPr>
      </w:pPr>
      <w:r>
        <w:rPr>
          <w:rFonts w:ascii="宋体" w:hAnsi="宋体" w:cs="宋体"/>
          <w:color w:val="auto"/>
          <w:highlight w:val="none"/>
        </w:rPr>
        <w:t>5.1</w:t>
      </w:r>
      <w:r>
        <w:rPr>
          <w:rFonts w:hint="eastAsia" w:ascii="宋体" w:hAnsi="宋体" w:cs="宋体"/>
          <w:color w:val="auto"/>
          <w:highlight w:val="none"/>
        </w:rPr>
        <w:t>磋商小组由采购人代表和评审专家共</w:t>
      </w:r>
      <w:r>
        <w:rPr>
          <w:rFonts w:ascii="宋体" w:hAnsi="宋体" w:cs="宋体"/>
          <w:color w:val="auto"/>
          <w:highlight w:val="none"/>
        </w:rPr>
        <w:t>3</w:t>
      </w:r>
      <w:r>
        <w:rPr>
          <w:rFonts w:hint="eastAsia" w:ascii="宋体" w:hAnsi="宋体" w:cs="宋体"/>
          <w:color w:val="auto"/>
          <w:highlight w:val="none"/>
        </w:rPr>
        <w:t>人或以上单数组成，其中评审专家人数不少于磋商小组成员总数的</w:t>
      </w:r>
      <w:r>
        <w:rPr>
          <w:rFonts w:ascii="宋体" w:hAnsi="宋体" w:cs="宋体"/>
          <w:color w:val="auto"/>
          <w:highlight w:val="none"/>
        </w:rPr>
        <w:t>2/3</w:t>
      </w:r>
      <w:r>
        <w:rPr>
          <w:rFonts w:hint="eastAsia" w:ascii="宋体" w:hAnsi="宋体" w:cs="宋体"/>
          <w:color w:val="auto"/>
          <w:highlight w:val="none"/>
        </w:rPr>
        <w:t>。</w:t>
      </w:r>
    </w:p>
    <w:p w14:paraId="61DCF31F">
      <w:pPr>
        <w:pStyle w:val="61"/>
        <w:tabs>
          <w:tab w:val="left" w:pos="0"/>
        </w:tabs>
        <w:spacing w:before="0" w:line="360" w:lineRule="auto"/>
        <w:ind w:firstLine="480"/>
        <w:rPr>
          <w:rFonts w:ascii="宋体"/>
          <w:color w:val="auto"/>
          <w:highlight w:val="none"/>
          <w:lang w:val="zh-CN"/>
        </w:rPr>
      </w:pPr>
      <w:r>
        <w:rPr>
          <w:rFonts w:ascii="宋体" w:hAnsi="宋体" w:cs="宋体"/>
          <w:color w:val="auto"/>
          <w:highlight w:val="none"/>
        </w:rPr>
        <w:t>5.2</w:t>
      </w:r>
      <w:r>
        <w:rPr>
          <w:rFonts w:hint="eastAsia" w:ascii="宋体" w:hAnsi="宋体" w:cs="宋体"/>
          <w:color w:val="auto"/>
          <w:highlight w:val="none"/>
          <w:lang w:val="zh-CN"/>
        </w:rPr>
        <w:t>评标工作由评标委员会负责，并推选产生的组长主持。</w:t>
      </w:r>
    </w:p>
    <w:p w14:paraId="13FB7EA7">
      <w:pPr>
        <w:pStyle w:val="4"/>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lang w:val="zh-CN"/>
        </w:rPr>
        <w:t>本次评标为在线评标。</w:t>
      </w:r>
    </w:p>
    <w:p w14:paraId="21F9933B">
      <w:pPr>
        <w:pStyle w:val="3"/>
        <w:numPr>
          <w:ilvl w:val="0"/>
          <w:numId w:val="20"/>
        </w:numPr>
        <w:spacing w:line="360" w:lineRule="auto"/>
        <w:jc w:val="center"/>
        <w:rPr>
          <w:rFonts w:cs="Times New Roman"/>
          <w:color w:val="auto"/>
          <w:highlight w:val="none"/>
        </w:rPr>
      </w:pPr>
      <w:r>
        <w:rPr>
          <w:color w:val="auto"/>
          <w:highlight w:val="none"/>
        </w:rPr>
        <w:t xml:space="preserve"> </w:t>
      </w:r>
      <w:bookmarkStart w:id="129" w:name="_Toc10093"/>
      <w:bookmarkStart w:id="130" w:name="_Toc24796"/>
      <w:bookmarkStart w:id="131" w:name="_Toc25247"/>
      <w:bookmarkStart w:id="132" w:name="_Toc29798"/>
      <w:bookmarkStart w:id="133" w:name="_Toc4456"/>
      <w:r>
        <w:rPr>
          <w:rFonts w:hint="eastAsia"/>
          <w:color w:val="auto"/>
          <w:highlight w:val="none"/>
        </w:rPr>
        <w:t>磋商程序</w:t>
      </w:r>
      <w:bookmarkEnd w:id="129"/>
      <w:bookmarkEnd w:id="130"/>
      <w:bookmarkEnd w:id="131"/>
      <w:bookmarkEnd w:id="132"/>
      <w:bookmarkEnd w:id="133"/>
    </w:p>
    <w:p w14:paraId="6AB9435A">
      <w:pPr>
        <w:snapToGrid w:val="0"/>
        <w:spacing w:line="360" w:lineRule="auto"/>
        <w:ind w:firstLine="480"/>
        <w:rPr>
          <w:rFonts w:ascii="宋体" w:hAnsi="宋体" w:cs="宋体"/>
          <w:b/>
          <w:bCs/>
          <w:color w:val="auto"/>
          <w:sz w:val="24"/>
          <w:szCs w:val="24"/>
          <w:highlight w:val="none"/>
        </w:rPr>
      </w:pPr>
      <w:r>
        <w:rPr>
          <w:rFonts w:hint="eastAsia" w:ascii="宋体" w:hAnsi="宋体" w:cs="宋体"/>
          <w:b/>
          <w:bCs/>
          <w:color w:val="auto"/>
          <w:sz w:val="24"/>
          <w:szCs w:val="24"/>
          <w:highlight w:val="none"/>
        </w:rPr>
        <w:t>1、对所有响应文件的初审</w:t>
      </w:r>
    </w:p>
    <w:p w14:paraId="50E3FE07">
      <w:pPr>
        <w:adjustRightInd w:val="0"/>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1.1资格审查</w:t>
      </w:r>
    </w:p>
    <w:p w14:paraId="39DA7228">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（1）开标后，磋商小组将依法对供应商的资格进行审查。</w:t>
      </w:r>
    </w:p>
    <w:p w14:paraId="743D3D27">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（2）磋商小组依据法律法规和磋商文件的规定，对供应商的基本资格条件、特定资格条件进行审查。</w:t>
      </w:r>
    </w:p>
    <w:p w14:paraId="0616D4E4">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（3）供应商未按照磋商文件要求提供与基本资格条件、特定资格条件相应的有效资格证明材料的，视为供应商不具备磋商文件中规定的资格要求，其磋商无效。并将无效原由告知相关供应商.</w:t>
      </w:r>
    </w:p>
    <w:p w14:paraId="4C0F4CBB">
      <w:pPr>
        <w:wordWrap w:val="0"/>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采购人或采购代理机构将通过“信用中国”网站(www.creditchina.gov.cn)、中国政府采购网(www.ccgp.gov.cn)渠道查询供应商磋商开标后评标前的信用记录，经查询供应商列入失信被执行人名单、重大税收违法案件当事人名单、政府采购严重违法失信行为记录名单的，其磋商无效。</w:t>
      </w:r>
    </w:p>
    <w:p w14:paraId="5D26D217">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（5）磋商小组出具《供应商资格审查意见表》，供应商未按照磋商文件要求提供与基本资格条件、特定资格条件相应的有效资格证明材料的，视为供应商不具备磋商文件中规定的资格要求，其磋商无效。</w:t>
      </w:r>
    </w:p>
    <w:p w14:paraId="1A52EDEB">
      <w:pPr>
        <w:adjustRightInd w:val="0"/>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1.2符合性审查：磋商小组依据磋商文件的规定，从响应文件的有效性、完整性和对磋商文件的响应程度进行审查，以确定是否对磋商文件的要求作出实质性响应。出现以下情况的，视为符合性不通过，磋商无效。</w:t>
      </w:r>
    </w:p>
    <w:p w14:paraId="67E00075">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（1）响应文件无法定代表人或其委托授权代表签名或盖章。</w:t>
      </w:r>
    </w:p>
    <w:p w14:paraId="249D72D0">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（2）响应文件内容虚假的。</w:t>
      </w:r>
    </w:p>
    <w:p w14:paraId="50A3F143">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（3）响应文件有采购人不能接受的附加条件的。</w:t>
      </w:r>
    </w:p>
    <w:p w14:paraId="12337EA2">
      <w:pPr>
        <w:adjustRightIn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（4）磋商有效期、服务期等商务条款不能满足磋商文件要求的。</w:t>
      </w:r>
    </w:p>
    <w:p w14:paraId="73AF55B9">
      <w:pPr>
        <w:widowControl/>
        <w:spacing w:line="360" w:lineRule="auto"/>
        <w:ind w:firstLine="482"/>
        <w:jc w:val="left"/>
        <w:rPr>
          <w:rFonts w:ascii="宋体" w:hAnsi="宋体" w:cs="宋体"/>
          <w:color w:val="auto"/>
          <w:sz w:val="24"/>
          <w:szCs w:val="24"/>
          <w:highlight w:val="none"/>
        </w:rPr>
      </w:pPr>
      <w:r>
        <w:rPr>
          <w:rFonts w:hint="eastAsia" w:ascii="宋体" w:hAnsi="宋体" w:cs="宋体"/>
          <w:color w:val="auto"/>
          <w:sz w:val="24"/>
          <w:szCs w:val="24"/>
          <w:highlight w:val="none"/>
        </w:rPr>
        <w:t>（5）投标价格超出预算或最高限价，导致采购单位无法支付的。</w:t>
      </w:r>
    </w:p>
    <w:p w14:paraId="0F1B7BA0">
      <w:pPr>
        <w:widowControl/>
        <w:spacing w:line="360" w:lineRule="auto"/>
        <w:ind w:firstLine="482"/>
        <w:jc w:val="left"/>
        <w:rPr>
          <w:rFonts w:ascii="宋体" w:hAnsi="宋体" w:cs="宋体"/>
          <w:color w:val="auto"/>
          <w:sz w:val="24"/>
          <w:szCs w:val="24"/>
          <w:highlight w:val="none"/>
        </w:rPr>
      </w:pPr>
      <w:r>
        <w:rPr>
          <w:rFonts w:hint="eastAsia" w:ascii="宋体" w:hAnsi="宋体" w:cs="宋体"/>
          <w:color w:val="auto"/>
          <w:sz w:val="24"/>
          <w:szCs w:val="24"/>
          <w:highlight w:val="none"/>
        </w:rPr>
        <w:t>（6）磋商文件明确规定的其他无效条款的。</w:t>
      </w:r>
    </w:p>
    <w:p w14:paraId="55332618">
      <w:pPr>
        <w:adjustRightInd w:val="0"/>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1.3 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20B59F0">
      <w:pPr>
        <w:pStyle w:val="61"/>
        <w:tabs>
          <w:tab w:val="left" w:pos="0"/>
        </w:tabs>
        <w:spacing w:before="0" w:line="360" w:lineRule="auto"/>
        <w:ind w:firstLine="480"/>
        <w:rPr>
          <w:rFonts w:ascii="宋体" w:hAnsi="宋体" w:cs="宋体"/>
          <w:color w:val="auto"/>
          <w:highlight w:val="none"/>
        </w:rPr>
      </w:pPr>
      <w:r>
        <w:rPr>
          <w:rFonts w:hint="eastAsia" w:ascii="宋体" w:hAnsi="宋体" w:cs="宋体"/>
          <w:color w:val="auto"/>
          <w:highlight w:val="none"/>
        </w:rPr>
        <w:t>1.4磋商小组要求供应商澄清、说明或者更正响应文件应当以书面形式发出。供应商的澄清、说明或者更正应当由法定代表人或其授权代表签字或者加盖公章。由授权代表签字的，应当附法定代表人授权书。</w:t>
      </w:r>
    </w:p>
    <w:p w14:paraId="0AB5B62A">
      <w:pPr>
        <w:snapToGrid w:val="0"/>
        <w:spacing w:line="360" w:lineRule="auto"/>
        <w:ind w:firstLine="480"/>
        <w:rPr>
          <w:rFonts w:ascii="宋体" w:hAnsi="宋体" w:cs="宋体"/>
          <w:b/>
          <w:bCs/>
          <w:color w:val="auto"/>
          <w:sz w:val="24"/>
          <w:szCs w:val="24"/>
          <w:highlight w:val="none"/>
          <w:lang w:val="zh-CN"/>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zh-CN"/>
        </w:rPr>
        <w:t>、磋商</w:t>
      </w:r>
    </w:p>
    <w:p w14:paraId="5BC11193">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2.1 初审合格的供应商进入下一步的磋商活动。</w:t>
      </w:r>
    </w:p>
    <w:p w14:paraId="6F498309">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2.2 磋商小组所有成员应当集中与单一供应商分别进行磋商，并给予所有参加磋商的供应商平等的磋商机会。</w:t>
      </w:r>
    </w:p>
    <w:p w14:paraId="4BB21685">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2.3 以递交响应文件的时间先后决定磋商顺序。磋商时先听取由供应商拟派的项目负责人就项目采购的重点内容进行磋商，磋商过程中由磋商小组成员提出相关问题，并由供应商拟派项目负责人进行回复与承诺。 </w:t>
      </w:r>
    </w:p>
    <w:p w14:paraId="44F13FF4">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2.4 在磋商过程中，磋商小组可以根据磋商文件和磋商情况实质性变动采购需求中的技术、服务要求以及合同草案条款。实质性变动的内容，须经采购人代表确认。</w:t>
      </w:r>
    </w:p>
    <w:p w14:paraId="34216F3D">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2.5 磋商文件作出的实质性变动是磋商文件的有效组成部分，磋商小组应当及时以书面形式同时通知所有参加磋商的供应商。</w:t>
      </w:r>
    </w:p>
    <w:p w14:paraId="43FF6070">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2.6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38C141EF">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2.7 符合《政府采购竞争性磋商采购方式管理暂行办法》（财库〔2014〕214号）第三条第四项即“市场竞争不充分的科研项目，以及需要扶持的科技成果转化项目”情形的，提交最后报价的供应商可以为2家。</w:t>
      </w:r>
    </w:p>
    <w:p w14:paraId="6DD2FFB3">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2.8 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3C84B216">
      <w:pPr>
        <w:snapToGrid w:val="0"/>
        <w:spacing w:line="360" w:lineRule="auto"/>
        <w:ind w:firstLine="480"/>
        <w:rPr>
          <w:rFonts w:ascii="宋体" w:hAnsi="宋体" w:cs="宋体"/>
          <w:b/>
          <w:bCs/>
          <w:color w:val="auto"/>
          <w:sz w:val="24"/>
          <w:szCs w:val="24"/>
          <w:highlight w:val="none"/>
          <w:lang w:val="zh-CN"/>
        </w:rPr>
      </w:pPr>
      <w:r>
        <w:rPr>
          <w:rFonts w:hint="eastAsia" w:ascii="宋体" w:hAnsi="宋体" w:cs="宋体"/>
          <w:b/>
          <w:bCs/>
          <w:color w:val="auto"/>
          <w:sz w:val="24"/>
          <w:szCs w:val="24"/>
          <w:highlight w:val="none"/>
        </w:rPr>
        <w:t>3</w:t>
      </w:r>
      <w:r>
        <w:rPr>
          <w:rFonts w:hint="eastAsia" w:ascii="宋体" w:hAnsi="宋体" w:cs="宋体"/>
          <w:b/>
          <w:bCs/>
          <w:color w:val="auto"/>
          <w:sz w:val="24"/>
          <w:szCs w:val="24"/>
          <w:highlight w:val="none"/>
          <w:lang w:val="zh-CN"/>
        </w:rPr>
        <w:t>、最后报价</w:t>
      </w:r>
    </w:p>
    <w:p w14:paraId="0CA6B212">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3.1商务技术汇总后，供应商开启报价文件，磋商小组应当要求所有实质性响应的供应商在规定时间内提交最后报价。</w:t>
      </w:r>
    </w:p>
    <w:p w14:paraId="41596CD0">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3.2最后报价是供应商响应文件的有效组成部分，若最后报价高于响应文件报价文件报价，则以第一次报价计入评分。</w:t>
      </w:r>
    </w:p>
    <w:p w14:paraId="6FEC7557">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3.3已提交响应文件的供应商，在提交最后报价之前，若因磋商文件实质性变动导致供应商无法满足采购需求的，允许供应商退出磋商。</w:t>
      </w:r>
    </w:p>
    <w:p w14:paraId="6577AD53">
      <w:pPr>
        <w:pStyle w:val="4"/>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4、电子评标</w:t>
      </w:r>
    </w:p>
    <w:p w14:paraId="2925A33F">
      <w:pPr>
        <w:pStyle w:val="4"/>
        <w:spacing w:line="360" w:lineRule="auto"/>
        <w:ind w:firstLine="0"/>
        <w:rPr>
          <w:rFonts w:ascii="宋体" w:hAnsi="宋体" w:cs="宋体"/>
          <w:color w:val="auto"/>
          <w:sz w:val="24"/>
          <w:szCs w:val="24"/>
          <w:highlight w:val="none"/>
        </w:rPr>
      </w:pPr>
      <w:r>
        <w:rPr>
          <w:rFonts w:hint="eastAsia" w:ascii="宋体" w:hAnsi="宋体" w:cs="宋体"/>
          <w:color w:val="auto"/>
          <w:sz w:val="24"/>
          <w:szCs w:val="24"/>
          <w:highlight w:val="none"/>
        </w:rPr>
        <w:t xml:space="preserve">    4.1磋商活动由采购代理机构主持,磋商响应截止时间后,供应商登录政采云平台对电子响应文件进行在线解密；</w:t>
      </w:r>
    </w:p>
    <w:p w14:paraId="68773C44">
      <w:pPr>
        <w:pStyle w:val="4"/>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4.2响应文件解密结束,开启响应文件,磋商小组对资格和商务技术响应文件进行资格审查和符合性审查；</w:t>
      </w:r>
    </w:p>
    <w:p w14:paraId="1C6556C9">
      <w:pPr>
        <w:pStyle w:val="4"/>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4.3供应商按递交磋商响应文件的前后顺序决定磋商的顺序,就价格、服务等认为需要磋商的内容进行磋商,供应商逐家回答磋商小组的提问,供应商作出最终承诺；</w:t>
      </w:r>
    </w:p>
    <w:p w14:paraId="0CFD81C7">
      <w:pPr>
        <w:pStyle w:val="4"/>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4.4磋商小组对商务技术响应文件进行评审；</w:t>
      </w:r>
    </w:p>
    <w:p w14:paraId="7D4F4293">
      <w:pPr>
        <w:pStyle w:val="4"/>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4.5商务技术汇总后，供应商开启报价文件，进行磋商二次报价（最终报价），</w:t>
      </w:r>
      <w:r>
        <w:rPr>
          <w:rFonts w:hint="eastAsia" w:ascii="宋体" w:hAnsi="宋体" w:cs="宋体"/>
          <w:b/>
          <w:bCs/>
          <w:color w:val="auto"/>
          <w:sz w:val="24"/>
          <w:szCs w:val="24"/>
          <w:highlight w:val="none"/>
        </w:rPr>
        <w:t>如果供应商在规定时间30分钟内未提交第二次报价，视该供应商放弃本次投标，作无效标处理</w:t>
      </w:r>
      <w:r>
        <w:rPr>
          <w:rFonts w:hint="eastAsia" w:ascii="宋体" w:hAnsi="宋体" w:cs="宋体"/>
          <w:color w:val="auto"/>
          <w:sz w:val="24"/>
          <w:szCs w:val="24"/>
          <w:highlight w:val="none"/>
        </w:rPr>
        <w:t>；</w:t>
      </w:r>
    </w:p>
    <w:p w14:paraId="36254F6B">
      <w:pPr>
        <w:pStyle w:val="4"/>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4.6在系统上开启最终报价情况；</w:t>
      </w:r>
    </w:p>
    <w:p w14:paraId="4FDF3749">
      <w:pPr>
        <w:pStyle w:val="4"/>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4.7磋商小组对报价情况进行评审；</w:t>
      </w:r>
    </w:p>
    <w:p w14:paraId="27A38334">
      <w:pPr>
        <w:pStyle w:val="4"/>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4.8在系统上公开资格和商务技术评审结果；</w:t>
      </w:r>
    </w:p>
    <w:p w14:paraId="3297E893">
      <w:pPr>
        <w:pStyle w:val="4"/>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4.9在系统上公布评审结果</w:t>
      </w:r>
      <w:r>
        <w:rPr>
          <w:rFonts w:hint="eastAsia" w:ascii="宋体" w:hAnsi="宋体" w:cs="宋体"/>
          <w:color w:val="auto"/>
          <w:sz w:val="24"/>
          <w:szCs w:val="24"/>
          <w:highlight w:val="none"/>
          <w:lang w:eastAsia="zh-CN"/>
        </w:rPr>
        <w:t>；</w:t>
      </w:r>
    </w:p>
    <w:p w14:paraId="228C95A7">
      <w:pPr>
        <w:pStyle w:val="4"/>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4.10开标会结束。</w:t>
      </w:r>
    </w:p>
    <w:p w14:paraId="6A31DEBD">
      <w:pPr>
        <w:snapToGrid w:val="0"/>
        <w:spacing w:line="360" w:lineRule="auto"/>
        <w:ind w:firstLine="480" w:firstLineChars="200"/>
        <w:rPr>
          <w:rFonts w:ascii="宋体" w:hAnsi="宋体" w:cs="宋体"/>
          <w:b/>
          <w:bCs/>
          <w:color w:val="auto"/>
          <w:sz w:val="24"/>
          <w:szCs w:val="24"/>
          <w:highlight w:val="none"/>
        </w:rPr>
      </w:pPr>
      <w:r>
        <w:rPr>
          <w:rFonts w:hint="eastAsia" w:ascii="宋体" w:hAnsi="宋体" w:cs="宋体"/>
          <w:color w:val="auto"/>
          <w:sz w:val="24"/>
          <w:szCs w:val="24"/>
          <w:highlight w:val="none"/>
        </w:rPr>
        <w:t>特别说明:政采云如对电子化开标及评审程序有调整的,按调整后的程序操作。</w:t>
      </w:r>
    </w:p>
    <w:p w14:paraId="56F24F80">
      <w:pPr>
        <w:snapToGrid w:val="0"/>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5</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综合评分</w:t>
      </w:r>
    </w:p>
    <w:p w14:paraId="65A6F2F8">
      <w:pPr>
        <w:tabs>
          <w:tab w:val="left" w:pos="-1080"/>
          <w:tab w:val="left" w:pos="180"/>
          <w:tab w:val="left" w:pos="1080"/>
        </w:tabs>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5.1本评标办法采用综合评标法，由商务技术分和报价分合计组成，其中商务技术分</w:t>
      </w:r>
      <w:r>
        <w:rPr>
          <w:rFonts w:hint="eastAsia" w:ascii="宋体" w:hAnsi="宋体" w:cs="宋体"/>
          <w:color w:val="auto"/>
          <w:sz w:val="24"/>
          <w:szCs w:val="24"/>
          <w:highlight w:val="none"/>
          <w:u w:val="single"/>
        </w:rPr>
        <w:t xml:space="preserve"> 80 </w:t>
      </w:r>
      <w:r>
        <w:rPr>
          <w:rFonts w:hint="eastAsia" w:ascii="宋体" w:hAnsi="宋体" w:cs="宋体"/>
          <w:color w:val="auto"/>
          <w:sz w:val="24"/>
          <w:szCs w:val="24"/>
          <w:highlight w:val="none"/>
        </w:rPr>
        <w:t>分、报价分</w:t>
      </w:r>
      <w:r>
        <w:rPr>
          <w:rFonts w:hint="eastAsia" w:ascii="宋体" w:hAnsi="宋体" w:cs="宋体"/>
          <w:color w:val="auto"/>
          <w:sz w:val="24"/>
          <w:szCs w:val="24"/>
          <w:highlight w:val="none"/>
          <w:u w:val="single"/>
        </w:rPr>
        <w:t xml:space="preserve"> 20 </w:t>
      </w:r>
      <w:r>
        <w:rPr>
          <w:rFonts w:hint="eastAsia" w:ascii="宋体" w:hAnsi="宋体" w:cs="宋体"/>
          <w:color w:val="auto"/>
          <w:sz w:val="24"/>
          <w:szCs w:val="24"/>
          <w:highlight w:val="none"/>
        </w:rPr>
        <w:t>分；满分为100分。</w:t>
      </w:r>
    </w:p>
    <w:p w14:paraId="25F74D33">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5.2经初步评审合格的响应文件，磋商小组根据竞争性磋商文件确定的评审标准和方法，对其商务技术部分作进一步评审、比较、打分。</w:t>
      </w:r>
    </w:p>
    <w:p w14:paraId="4A871373">
      <w:pPr>
        <w:pStyle w:val="15"/>
        <w:spacing w:line="360" w:lineRule="auto"/>
        <w:ind w:firstLine="480" w:firstLineChars="200"/>
        <w:rPr>
          <w:rFonts w:hAnsi="宋体"/>
          <w:color w:val="auto"/>
          <w:sz w:val="24"/>
          <w:szCs w:val="24"/>
          <w:highlight w:val="none"/>
        </w:rPr>
      </w:pPr>
      <w:r>
        <w:rPr>
          <w:rFonts w:hint="eastAsia" w:hAnsi="宋体"/>
          <w:color w:val="auto"/>
          <w:sz w:val="24"/>
          <w:szCs w:val="24"/>
          <w:highlight w:val="none"/>
        </w:rPr>
        <w:t>5.3磋商小组成员首先分别对每个供应商商务技术部分进行评审打分，然后计算出算术平均值（保留2位小数），即为供应商的商务技术得分，后计算二次报价，计算公式：投标价格分=(最佳报价/投标报价)*价格权值*100。综合得分=商务技术分+报价分，以综合得分（保留2位小数）由高到低进行排序后推荐第一名为成交供应商候选人；得分相同的，按报价由低到高的顺序排列；得分且报价相同的，在响应文件满足磋商文件全部实质性要求前提下，按照评审因素的量化指标评审得分最高的供应商；确定成交供应商候选人，并提交评审结果。</w:t>
      </w:r>
    </w:p>
    <w:p w14:paraId="203516A0">
      <w:pPr>
        <w:pStyle w:val="15"/>
        <w:spacing w:line="360" w:lineRule="auto"/>
        <w:ind w:left="400" w:leftChars="200"/>
        <w:rPr>
          <w:rFonts w:hAnsi="宋体"/>
          <w:b/>
          <w:bCs/>
          <w:color w:val="auto"/>
          <w:sz w:val="24"/>
          <w:szCs w:val="24"/>
          <w:highlight w:val="none"/>
        </w:rPr>
      </w:pPr>
      <w:r>
        <w:rPr>
          <w:rFonts w:hint="eastAsia" w:hAnsi="宋体"/>
          <w:b/>
          <w:bCs/>
          <w:color w:val="auto"/>
          <w:sz w:val="24"/>
          <w:szCs w:val="24"/>
          <w:highlight w:val="none"/>
        </w:rPr>
        <w:t>6、修正原则</w:t>
      </w:r>
    </w:p>
    <w:p w14:paraId="6184F906">
      <w:pPr>
        <w:pStyle w:val="61"/>
        <w:spacing w:before="0" w:line="360" w:lineRule="auto"/>
        <w:ind w:left="400" w:leftChars="200" w:firstLine="0" w:firstLineChars="0"/>
        <w:rPr>
          <w:rFonts w:ascii="宋体" w:hAnsi="宋体" w:cs="宋体"/>
          <w:color w:val="auto"/>
          <w:highlight w:val="none"/>
          <w:lang w:val="zh-CN"/>
        </w:rPr>
      </w:pPr>
      <w:r>
        <w:rPr>
          <w:rFonts w:hint="eastAsia" w:ascii="宋体" w:hAnsi="宋体" w:cs="宋体"/>
          <w:color w:val="auto"/>
          <w:highlight w:val="none"/>
        </w:rPr>
        <w:t>响应</w:t>
      </w:r>
      <w:r>
        <w:rPr>
          <w:rFonts w:hint="eastAsia" w:ascii="宋体" w:hAnsi="宋体" w:cs="宋体"/>
          <w:color w:val="auto"/>
          <w:highlight w:val="none"/>
          <w:lang w:val="zh-CN"/>
        </w:rPr>
        <w:t>文件报价出现前后不一致的，按照下列规定修正：</w:t>
      </w:r>
    </w:p>
    <w:p w14:paraId="63BA0B5F">
      <w:pPr>
        <w:pStyle w:val="61"/>
        <w:tabs>
          <w:tab w:val="left" w:pos="0"/>
        </w:tabs>
        <w:spacing w:before="0" w:line="360" w:lineRule="auto"/>
        <w:ind w:firstLine="480"/>
        <w:rPr>
          <w:rFonts w:ascii="宋体" w:hAnsi="宋体" w:cs="宋体"/>
          <w:color w:val="auto"/>
          <w:highlight w:val="none"/>
          <w:lang w:val="zh-CN"/>
        </w:rPr>
      </w:pPr>
      <w:r>
        <w:rPr>
          <w:rFonts w:hint="eastAsia" w:ascii="宋体" w:hAnsi="宋体" w:cs="宋体"/>
          <w:color w:val="auto"/>
          <w:highlight w:val="none"/>
        </w:rPr>
        <w:t>6.1响应</w:t>
      </w:r>
      <w:r>
        <w:rPr>
          <w:rFonts w:hint="eastAsia" w:ascii="宋体" w:hAnsi="宋体" w:cs="宋体"/>
          <w:color w:val="auto"/>
          <w:highlight w:val="none"/>
          <w:lang w:val="zh-CN"/>
        </w:rPr>
        <w:t>文件中</w:t>
      </w:r>
      <w:r>
        <w:rPr>
          <w:rFonts w:hint="eastAsia" w:ascii="宋体" w:hAnsi="宋体" w:cs="宋体"/>
          <w:color w:val="auto"/>
          <w:highlight w:val="none"/>
        </w:rPr>
        <w:t>报价</w:t>
      </w:r>
      <w:r>
        <w:rPr>
          <w:rFonts w:hint="eastAsia" w:ascii="宋体" w:hAnsi="宋体" w:cs="宋体"/>
          <w:color w:val="auto"/>
          <w:highlight w:val="none"/>
          <w:lang w:val="zh-CN"/>
        </w:rPr>
        <w:t>一览表内容与</w:t>
      </w:r>
      <w:r>
        <w:rPr>
          <w:rFonts w:hint="eastAsia" w:ascii="宋体" w:hAnsi="宋体" w:cs="宋体"/>
          <w:color w:val="auto"/>
          <w:highlight w:val="none"/>
        </w:rPr>
        <w:t>响应</w:t>
      </w:r>
      <w:r>
        <w:rPr>
          <w:rFonts w:hint="eastAsia" w:ascii="宋体" w:hAnsi="宋体" w:cs="宋体"/>
          <w:color w:val="auto"/>
          <w:highlight w:val="none"/>
          <w:lang w:val="zh-CN"/>
        </w:rPr>
        <w:t>文件中相应内容不一致的，以</w:t>
      </w:r>
      <w:r>
        <w:rPr>
          <w:rFonts w:hint="eastAsia" w:ascii="宋体" w:hAnsi="宋体" w:cs="宋体"/>
          <w:color w:val="auto"/>
          <w:highlight w:val="none"/>
        </w:rPr>
        <w:t>报价</w:t>
      </w:r>
      <w:r>
        <w:rPr>
          <w:rFonts w:hint="eastAsia" w:ascii="宋体" w:hAnsi="宋体" w:cs="宋体"/>
          <w:color w:val="auto"/>
          <w:highlight w:val="none"/>
          <w:lang w:val="zh-CN"/>
        </w:rPr>
        <w:t>一览表为准；</w:t>
      </w:r>
    </w:p>
    <w:p w14:paraId="675AC24B">
      <w:pPr>
        <w:pStyle w:val="61"/>
        <w:tabs>
          <w:tab w:val="left" w:pos="0"/>
        </w:tabs>
        <w:spacing w:before="0" w:line="360" w:lineRule="auto"/>
        <w:ind w:firstLine="480"/>
        <w:rPr>
          <w:rFonts w:ascii="宋体" w:hAnsi="宋体" w:cs="宋体"/>
          <w:color w:val="auto"/>
          <w:highlight w:val="none"/>
          <w:lang w:val="zh-CN"/>
        </w:rPr>
      </w:pPr>
      <w:r>
        <w:rPr>
          <w:rFonts w:hint="eastAsia" w:ascii="宋体" w:hAnsi="宋体" w:cs="宋体"/>
          <w:color w:val="auto"/>
          <w:highlight w:val="none"/>
        </w:rPr>
        <w:t>6.2</w:t>
      </w:r>
      <w:r>
        <w:rPr>
          <w:rFonts w:hint="eastAsia" w:ascii="宋体" w:hAnsi="宋体" w:cs="宋体"/>
          <w:color w:val="auto"/>
          <w:highlight w:val="none"/>
          <w:lang w:val="zh-CN"/>
        </w:rPr>
        <w:t>大写金额和小写金额不一致的，以大写金额为准；</w:t>
      </w:r>
    </w:p>
    <w:p w14:paraId="5CB43999">
      <w:pPr>
        <w:pStyle w:val="61"/>
        <w:tabs>
          <w:tab w:val="left" w:pos="0"/>
        </w:tabs>
        <w:spacing w:before="0" w:line="360" w:lineRule="auto"/>
        <w:ind w:firstLine="480"/>
        <w:rPr>
          <w:rFonts w:ascii="宋体" w:hAnsi="宋体" w:cs="宋体"/>
          <w:color w:val="auto"/>
          <w:highlight w:val="none"/>
          <w:lang w:val="zh-CN"/>
        </w:rPr>
      </w:pPr>
      <w:r>
        <w:rPr>
          <w:rFonts w:hint="eastAsia" w:ascii="宋体" w:hAnsi="宋体" w:cs="宋体"/>
          <w:color w:val="auto"/>
          <w:highlight w:val="none"/>
        </w:rPr>
        <w:t>6.3</w:t>
      </w:r>
      <w:r>
        <w:rPr>
          <w:rFonts w:hint="eastAsia" w:ascii="宋体" w:hAnsi="宋体" w:cs="宋体"/>
          <w:color w:val="auto"/>
          <w:highlight w:val="none"/>
          <w:lang w:val="zh-CN"/>
        </w:rPr>
        <w:t>单价金额小数点或者百分比有明显错位的，以</w:t>
      </w:r>
      <w:r>
        <w:rPr>
          <w:rFonts w:hint="eastAsia" w:ascii="宋体" w:hAnsi="宋体" w:cs="宋体"/>
          <w:color w:val="auto"/>
          <w:highlight w:val="none"/>
        </w:rPr>
        <w:t>报价</w:t>
      </w:r>
      <w:r>
        <w:rPr>
          <w:rFonts w:hint="eastAsia" w:ascii="宋体" w:hAnsi="宋体" w:cs="宋体"/>
          <w:color w:val="auto"/>
          <w:highlight w:val="none"/>
          <w:lang w:val="zh-CN"/>
        </w:rPr>
        <w:t>一览表的总价为准，并修改单价；</w:t>
      </w:r>
    </w:p>
    <w:p w14:paraId="571D1DEB">
      <w:pPr>
        <w:pStyle w:val="61"/>
        <w:tabs>
          <w:tab w:val="left" w:pos="0"/>
        </w:tabs>
        <w:spacing w:before="0" w:line="360" w:lineRule="auto"/>
        <w:ind w:firstLine="480"/>
        <w:rPr>
          <w:rFonts w:ascii="宋体" w:hAnsi="宋体" w:cs="宋体"/>
          <w:color w:val="auto"/>
          <w:highlight w:val="none"/>
          <w:lang w:val="zh-CN"/>
        </w:rPr>
      </w:pPr>
      <w:r>
        <w:rPr>
          <w:rFonts w:hint="eastAsia" w:ascii="宋体" w:hAnsi="宋体" w:cs="宋体"/>
          <w:color w:val="auto"/>
          <w:highlight w:val="none"/>
        </w:rPr>
        <w:t>6.4</w:t>
      </w:r>
      <w:r>
        <w:rPr>
          <w:rFonts w:hint="eastAsia" w:ascii="宋体" w:hAnsi="宋体" w:cs="宋体"/>
          <w:color w:val="auto"/>
          <w:highlight w:val="none"/>
          <w:lang w:val="zh-CN"/>
        </w:rPr>
        <w:t>总价金额与按单价汇总金额不一致的，以单价金额计算结果为准。</w:t>
      </w:r>
    </w:p>
    <w:p w14:paraId="63DF9AFC">
      <w:pPr>
        <w:pStyle w:val="61"/>
        <w:spacing w:before="0" w:line="360" w:lineRule="auto"/>
        <w:ind w:firstLine="480"/>
        <w:rPr>
          <w:rFonts w:ascii="宋体" w:hAnsi="宋体" w:cs="宋体"/>
          <w:color w:val="auto"/>
          <w:highlight w:val="none"/>
          <w:lang w:val="zh-CN"/>
        </w:rPr>
      </w:pPr>
      <w:r>
        <w:rPr>
          <w:rFonts w:hint="eastAsia" w:ascii="宋体" w:hAnsi="宋体" w:cs="宋体"/>
          <w:color w:val="auto"/>
          <w:highlight w:val="none"/>
          <w:lang w:val="zh-CN"/>
        </w:rPr>
        <w:t>同时出现两种以上不一致的，按照前款规定的顺序修正。修正后的报价按照财政部公布第87号令 《政府采购产品和服务招标投标管理办法》第五十一条第二款的规定经</w:t>
      </w:r>
      <w:r>
        <w:rPr>
          <w:rFonts w:hint="eastAsia" w:ascii="宋体" w:hAnsi="宋体" w:cs="宋体"/>
          <w:color w:val="auto"/>
          <w:highlight w:val="none"/>
        </w:rPr>
        <w:t>供应商</w:t>
      </w:r>
      <w:r>
        <w:rPr>
          <w:rFonts w:hint="eastAsia" w:ascii="宋体" w:hAnsi="宋体" w:cs="宋体"/>
          <w:color w:val="auto"/>
          <w:highlight w:val="none"/>
          <w:lang w:val="zh-CN"/>
        </w:rPr>
        <w:t>确认后产生约束力，</w:t>
      </w:r>
      <w:r>
        <w:rPr>
          <w:rFonts w:hint="eastAsia" w:ascii="宋体" w:hAnsi="宋体" w:cs="宋体"/>
          <w:color w:val="auto"/>
          <w:highlight w:val="none"/>
        </w:rPr>
        <w:t>供应商</w:t>
      </w:r>
      <w:r>
        <w:rPr>
          <w:rFonts w:hint="eastAsia" w:ascii="宋体" w:hAnsi="宋体" w:cs="宋体"/>
          <w:color w:val="auto"/>
          <w:highlight w:val="none"/>
          <w:lang w:val="zh-CN"/>
        </w:rPr>
        <w:t>不确认的，其</w:t>
      </w:r>
      <w:r>
        <w:rPr>
          <w:rFonts w:hint="eastAsia" w:ascii="宋体" w:hAnsi="宋体" w:cs="宋体"/>
          <w:color w:val="auto"/>
          <w:highlight w:val="none"/>
        </w:rPr>
        <w:t>磋商</w:t>
      </w:r>
      <w:r>
        <w:rPr>
          <w:rFonts w:hint="eastAsia" w:ascii="宋体" w:hAnsi="宋体" w:cs="宋体"/>
          <w:color w:val="auto"/>
          <w:highlight w:val="none"/>
          <w:lang w:val="zh-CN"/>
        </w:rPr>
        <w:t>无效。</w:t>
      </w:r>
    </w:p>
    <w:p w14:paraId="5E1C35AC">
      <w:pPr>
        <w:pStyle w:val="15"/>
        <w:spacing w:line="360" w:lineRule="auto"/>
        <w:ind w:left="400" w:leftChars="200"/>
        <w:rPr>
          <w:rFonts w:hAnsi="宋体"/>
          <w:b/>
          <w:bCs/>
          <w:color w:val="auto"/>
          <w:sz w:val="24"/>
          <w:szCs w:val="24"/>
          <w:highlight w:val="none"/>
        </w:rPr>
      </w:pPr>
      <w:r>
        <w:rPr>
          <w:rFonts w:hint="eastAsia" w:hAnsi="宋体"/>
          <w:b/>
          <w:bCs/>
          <w:color w:val="auto"/>
          <w:sz w:val="24"/>
          <w:szCs w:val="24"/>
          <w:highlight w:val="none"/>
        </w:rPr>
        <w:t>7、响应文件的澄清</w:t>
      </w:r>
    </w:p>
    <w:p w14:paraId="41934B31">
      <w:pPr>
        <w:pStyle w:val="61"/>
        <w:tabs>
          <w:tab w:val="left" w:pos="0"/>
        </w:tabs>
        <w:spacing w:before="0" w:line="360" w:lineRule="auto"/>
        <w:ind w:firstLine="480"/>
        <w:rPr>
          <w:rFonts w:ascii="宋体" w:hAnsi="宋体" w:cs="宋体"/>
          <w:color w:val="auto"/>
          <w:highlight w:val="none"/>
          <w:lang w:val="zh-CN"/>
        </w:rPr>
      </w:pPr>
      <w:r>
        <w:rPr>
          <w:rFonts w:hint="eastAsia" w:ascii="宋体" w:hAnsi="宋体" w:cs="宋体"/>
          <w:color w:val="auto"/>
          <w:highlight w:val="none"/>
        </w:rPr>
        <w:t>7.1</w:t>
      </w:r>
      <w:r>
        <w:rPr>
          <w:rFonts w:hint="eastAsia" w:ascii="宋体" w:hAnsi="宋体" w:cs="宋体"/>
          <w:color w:val="auto"/>
          <w:highlight w:val="none"/>
          <w:lang w:val="zh-CN"/>
        </w:rPr>
        <w:t>评审中因</w:t>
      </w:r>
      <w:r>
        <w:rPr>
          <w:rFonts w:hint="eastAsia" w:ascii="宋体" w:hAnsi="宋体" w:cs="宋体"/>
          <w:color w:val="auto"/>
          <w:highlight w:val="none"/>
        </w:rPr>
        <w:t>响应</w:t>
      </w:r>
      <w:r>
        <w:rPr>
          <w:rFonts w:hint="eastAsia" w:ascii="宋体" w:hAnsi="宋体" w:cs="宋体"/>
          <w:color w:val="auto"/>
          <w:highlight w:val="none"/>
          <w:lang w:val="zh-CN"/>
        </w:rPr>
        <w:t>文件含义不明、表述不一致或有明显计算错误等内容需要供应商作出澄清、说明或者补正的，</w:t>
      </w:r>
      <w:r>
        <w:rPr>
          <w:rFonts w:hint="eastAsia" w:ascii="宋体" w:hAnsi="宋体" w:cs="宋体"/>
          <w:color w:val="auto"/>
          <w:highlight w:val="none"/>
        </w:rPr>
        <w:t>磋商小组</w:t>
      </w:r>
      <w:r>
        <w:rPr>
          <w:rFonts w:hint="eastAsia" w:ascii="宋体" w:hAnsi="宋体" w:cs="宋体"/>
          <w:color w:val="auto"/>
          <w:highlight w:val="none"/>
          <w:lang w:val="zh-CN"/>
        </w:rPr>
        <w:t>和供应商应当通过政采云平台交换数据电文，给予供应商提交澄清说明或补正的时间不少于半小时，供应商已经明确表示澄清说明或补正完毕的除外。</w:t>
      </w:r>
    </w:p>
    <w:p w14:paraId="75B6B8E1">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lang w:val="zh-CN"/>
        </w:rPr>
        <w:t>供应商通过政采云平台交换的数据电文必须进行电子签章。</w:t>
      </w:r>
    </w:p>
    <w:p w14:paraId="23C24C6A">
      <w:pPr>
        <w:pStyle w:val="3"/>
        <w:numPr>
          <w:ilvl w:val="0"/>
          <w:numId w:val="20"/>
        </w:numPr>
        <w:spacing w:line="360" w:lineRule="auto"/>
        <w:jc w:val="center"/>
        <w:rPr>
          <w:rFonts w:cs="Times New Roman"/>
          <w:color w:val="auto"/>
          <w:highlight w:val="none"/>
        </w:rPr>
      </w:pPr>
      <w:r>
        <w:rPr>
          <w:color w:val="auto"/>
          <w:highlight w:val="none"/>
        </w:rPr>
        <w:t xml:space="preserve"> </w:t>
      </w:r>
      <w:bookmarkStart w:id="134" w:name="_Toc19320"/>
      <w:bookmarkStart w:id="135" w:name="_Toc12816"/>
      <w:bookmarkStart w:id="136" w:name="_Toc1778"/>
      <w:bookmarkStart w:id="137" w:name="_Toc14037"/>
      <w:bookmarkStart w:id="138" w:name="_Toc20317"/>
      <w:r>
        <w:rPr>
          <w:rFonts w:hint="eastAsia"/>
          <w:color w:val="auto"/>
          <w:highlight w:val="none"/>
        </w:rPr>
        <w:t>注意事项</w:t>
      </w:r>
      <w:bookmarkEnd w:id="134"/>
      <w:bookmarkEnd w:id="135"/>
      <w:bookmarkEnd w:id="136"/>
      <w:bookmarkEnd w:id="137"/>
      <w:bookmarkEnd w:id="138"/>
    </w:p>
    <w:p w14:paraId="64CF7F54">
      <w:pPr>
        <w:pStyle w:val="4"/>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政府采购异常低价审查，政府采购评审中出现下列情形之一的，评审委员会应当启动异常低价投标（响应）审查程序：</w:t>
      </w:r>
    </w:p>
    <w:p w14:paraId="565C85DC">
      <w:pPr>
        <w:pStyle w:val="4"/>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1.投标（响应）报价低于全部通过符合性审查供应商投标（响应）报价平均值50%的，即投标（响应）报价&lt;全部通过符合性审查供应商投标（响应）报价平均值×50%；</w:t>
      </w:r>
    </w:p>
    <w:p w14:paraId="08AB31F8">
      <w:pPr>
        <w:pStyle w:val="4"/>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2.投标（响应）报价低于通过符合性审查的次低报价供应商投标（响应）报价50%的，即投标（响应）报价&lt;通过符合性审查的次低报价供应商投标（响应）报价×50%；</w:t>
      </w:r>
    </w:p>
    <w:p w14:paraId="6B01356C">
      <w:pPr>
        <w:pStyle w:val="4"/>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3.投标（响应）报价低于采购项目最高限价45%的，即投标（响应）报价&lt;采购项目最高限价×45%；</w:t>
      </w:r>
    </w:p>
    <w:p w14:paraId="45DDA363">
      <w:pPr>
        <w:pStyle w:val="4"/>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4.评审委员会基于专业判断，认为供应商报价过低，有可能影响产品质量或者不能诚信履约的其他情形。</w:t>
      </w:r>
    </w:p>
    <w:p w14:paraId="4AA1F6A4">
      <w:pPr>
        <w:pStyle w:val="4"/>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评审委员会启动异常低价投标（响应）审查后,</w:t>
      </w:r>
      <w:r>
        <w:rPr>
          <w:rFonts w:hint="eastAsia"/>
          <w:color w:val="auto"/>
          <w:highlight w:val="none"/>
        </w:rPr>
        <w:t xml:space="preserve"> </w:t>
      </w:r>
      <w:r>
        <w:rPr>
          <w:rFonts w:hint="eastAsia" w:ascii="宋体" w:hAnsi="宋体" w:eastAsia="宋体" w:cs="宋体"/>
          <w:b/>
          <w:bCs/>
          <w:color w:val="auto"/>
          <w:sz w:val="24"/>
          <w:szCs w:val="24"/>
          <w:highlight w:val="none"/>
        </w:rPr>
        <w:t>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r>
        <w:rPr>
          <w:rFonts w:hint="eastAsia" w:ascii="宋体" w:hAnsi="宋体" w:cs="宋体"/>
          <w:b/>
          <w:bCs/>
          <w:color w:val="auto"/>
          <w:sz w:val="24"/>
          <w:szCs w:val="24"/>
          <w:highlight w:val="none"/>
          <w:lang w:eastAsia="zh-CN"/>
        </w:rPr>
        <w:t>。</w:t>
      </w:r>
    </w:p>
    <w:p w14:paraId="13CE1955">
      <w:pPr>
        <w:pStyle w:val="4"/>
        <w:spacing w:line="360" w:lineRule="auto"/>
        <w:rPr>
          <w:b/>
          <w:bCs/>
          <w:color w:val="auto"/>
          <w:sz w:val="24"/>
          <w:szCs w:val="24"/>
          <w:highlight w:val="none"/>
        </w:rPr>
      </w:pPr>
      <w:r>
        <w:rPr>
          <w:rFonts w:hint="eastAsia" w:ascii="宋体" w:hAnsi="宋体" w:eastAsia="宋体" w:cs="宋体"/>
          <w:b/>
          <w:bCs/>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cs="宋体"/>
          <w:b/>
          <w:bCs/>
          <w:color w:val="auto"/>
          <w:sz w:val="24"/>
          <w:szCs w:val="24"/>
          <w:highlight w:val="none"/>
        </w:rPr>
        <w:t>。</w:t>
      </w:r>
    </w:p>
    <w:p w14:paraId="53B1D207">
      <w:pPr>
        <w:pStyle w:val="3"/>
        <w:numPr>
          <w:ilvl w:val="0"/>
          <w:numId w:val="21"/>
        </w:numPr>
        <w:spacing w:line="360" w:lineRule="auto"/>
        <w:jc w:val="center"/>
        <w:rPr>
          <w:rFonts w:cs="Times New Roman"/>
          <w:color w:val="auto"/>
          <w:highlight w:val="none"/>
        </w:rPr>
      </w:pPr>
      <w:r>
        <w:rPr>
          <w:color w:val="auto"/>
          <w:highlight w:val="none"/>
        </w:rPr>
        <w:t xml:space="preserve"> </w:t>
      </w:r>
      <w:bookmarkStart w:id="139" w:name="_Toc13782"/>
      <w:bookmarkStart w:id="140" w:name="_Toc27425"/>
      <w:bookmarkStart w:id="141" w:name="_Toc28137"/>
      <w:bookmarkStart w:id="142" w:name="_Toc6127"/>
      <w:bookmarkStart w:id="143" w:name="_Toc19057"/>
      <w:r>
        <w:rPr>
          <w:rFonts w:hint="eastAsia"/>
          <w:color w:val="auto"/>
          <w:highlight w:val="none"/>
        </w:rPr>
        <w:t>评分细则</w:t>
      </w:r>
      <w:bookmarkEnd w:id="139"/>
      <w:bookmarkEnd w:id="140"/>
      <w:bookmarkEnd w:id="141"/>
      <w:bookmarkEnd w:id="142"/>
      <w:bookmarkEnd w:id="143"/>
    </w:p>
    <w:p w14:paraId="2C545FB0">
      <w:pPr>
        <w:spacing w:line="360" w:lineRule="auto"/>
        <w:ind w:firstLine="482" w:firstLineChars="200"/>
        <w:rPr>
          <w:rFonts w:ascii="宋体"/>
          <w:b/>
          <w:bCs/>
          <w:color w:val="auto"/>
          <w:sz w:val="24"/>
          <w:szCs w:val="24"/>
          <w:highlight w:val="none"/>
        </w:rPr>
      </w:pPr>
      <w:r>
        <w:rPr>
          <w:rFonts w:hint="eastAsia" w:ascii="宋体" w:hAnsi="宋体" w:cs="宋体"/>
          <w:b/>
          <w:bCs/>
          <w:color w:val="auto"/>
          <w:sz w:val="24"/>
          <w:szCs w:val="24"/>
          <w:highlight w:val="none"/>
        </w:rPr>
        <w:t>一、报价文件评分标准（</w:t>
      </w:r>
      <w:r>
        <w:rPr>
          <w:rFonts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rPr>
        <w:t>20</w:t>
      </w:r>
      <w:r>
        <w:rPr>
          <w:rFonts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分）</w:t>
      </w:r>
    </w:p>
    <w:p w14:paraId="11EC4A0D">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报价文件主要是对供应商的有效报价进行评议，其评分标准及分值设置规则如下：</w:t>
      </w:r>
    </w:p>
    <w:p w14:paraId="47F11BFE">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、本次采购最高限价规定如下：</w:t>
      </w:r>
    </w:p>
    <w:p w14:paraId="2D1966E0">
      <w:pPr>
        <w:spacing w:line="36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本项目投标报价的最高限价</w:t>
      </w:r>
      <w:r>
        <w:rPr>
          <w:rFonts w:hint="eastAsia" w:ascii="宋体" w:hAnsi="宋体" w:cs="宋体"/>
          <w:b/>
          <w:bCs/>
          <w:color w:val="auto"/>
          <w:sz w:val="24"/>
          <w:szCs w:val="24"/>
          <w:highlight w:val="none"/>
        </w:rPr>
        <w:t>为人民币</w:t>
      </w:r>
      <w:r>
        <w:rPr>
          <w:rFonts w:hint="eastAsia" w:ascii="宋体" w:hAnsi="宋体" w:cs="宋体"/>
          <w:b/>
          <w:bCs/>
          <w:color w:val="auto"/>
          <w:sz w:val="24"/>
          <w:szCs w:val="24"/>
          <w:highlight w:val="none"/>
          <w:u w:val="single"/>
          <w:lang w:val="en-US" w:eastAsia="zh-CN"/>
        </w:rPr>
        <w:t>叁拾陆万肆仟元</w:t>
      </w:r>
      <w:r>
        <w:rPr>
          <w:rFonts w:hint="eastAsia" w:ascii="宋体" w:hAnsi="宋体"/>
          <w:b/>
          <w:color w:val="auto"/>
          <w:sz w:val="24"/>
          <w:szCs w:val="21"/>
          <w:highlight w:val="none"/>
          <w:u w:val="single"/>
        </w:rPr>
        <w:t>整</w:t>
      </w:r>
      <w:r>
        <w:rPr>
          <w:rFonts w:hint="eastAsia" w:ascii="宋体" w:hAnsi="宋体" w:cs="宋体"/>
          <w:b/>
          <w:bCs/>
          <w:color w:val="auto"/>
          <w:sz w:val="24"/>
          <w:szCs w:val="24"/>
          <w:highlight w:val="none"/>
        </w:rPr>
        <w:t>（小写</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364000</w:t>
      </w:r>
      <w:r>
        <w:rPr>
          <w:rFonts w:hint="eastAsia" w:ascii="宋体" w:hAnsi="宋体" w:eastAsia="宋体" w:cs="宋体"/>
          <w:b/>
          <w:bCs/>
          <w:color w:val="auto"/>
          <w:sz w:val="24"/>
          <w:szCs w:val="24"/>
          <w:highlight w:val="none"/>
          <w:u w:val="single"/>
          <w:lang w:val="en-US" w:eastAsia="zh-CN"/>
        </w:rPr>
        <w:t>.</w:t>
      </w:r>
      <w:r>
        <w:rPr>
          <w:rFonts w:hint="eastAsia" w:ascii="宋体" w:hAnsi="宋体" w:cs="宋体"/>
          <w:b/>
          <w:bCs/>
          <w:color w:val="auto"/>
          <w:sz w:val="24"/>
          <w:szCs w:val="24"/>
          <w:highlight w:val="none"/>
          <w:u w:val="single"/>
        </w:rPr>
        <w:t>00</w:t>
      </w:r>
      <w:r>
        <w:rPr>
          <w:rFonts w:hint="eastAsia" w:ascii="宋体" w:hAnsi="宋体" w:cs="宋体"/>
          <w:b/>
          <w:bCs/>
          <w:color w:val="auto"/>
          <w:sz w:val="24"/>
          <w:szCs w:val="24"/>
          <w:highlight w:val="none"/>
          <w:u w:val="none"/>
          <w:lang w:eastAsia="zh-CN"/>
        </w:rPr>
        <w:t>元</w:t>
      </w:r>
      <w:r>
        <w:rPr>
          <w:rFonts w:hint="eastAsia" w:ascii="宋体" w:hAnsi="宋体" w:cs="宋体"/>
          <w:b/>
          <w:bCs/>
          <w:color w:val="auto"/>
          <w:sz w:val="24"/>
          <w:szCs w:val="24"/>
          <w:highlight w:val="none"/>
        </w:rPr>
        <w:t>）。</w:t>
      </w:r>
    </w:p>
    <w:p w14:paraId="2919EE93">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、供应商的报价在最高限价内的，为有效报价。</w:t>
      </w:r>
    </w:p>
    <w:p w14:paraId="51291A95">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、本次评标设有最佳报价。最佳报价确定方式：根据所有入围供应商有效报价中的最低报价作为最佳报价。</w:t>
      </w:r>
    </w:p>
    <w:p w14:paraId="66E05819">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、最佳报价者的报价分为满分，其他供应商的有效报价与最佳报价相比，按下列方法计算其报价分：</w:t>
      </w:r>
    </w:p>
    <w:p w14:paraId="5095DF64">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投标价格分</w:t>
      </w:r>
      <w:r>
        <w:rPr>
          <w:rFonts w:ascii="宋体" w:hAnsi="宋体" w:cs="宋体"/>
          <w:color w:val="auto"/>
          <w:sz w:val="24"/>
          <w:szCs w:val="24"/>
          <w:highlight w:val="none"/>
        </w:rPr>
        <w:t>=(</w:t>
      </w:r>
      <w:r>
        <w:rPr>
          <w:rFonts w:hint="eastAsia" w:ascii="宋体" w:hAnsi="宋体" w:cs="宋体"/>
          <w:color w:val="auto"/>
          <w:sz w:val="24"/>
          <w:szCs w:val="24"/>
          <w:highlight w:val="none"/>
        </w:rPr>
        <w:t>最佳报价</w:t>
      </w:r>
      <w:r>
        <w:rPr>
          <w:rFonts w:ascii="宋体" w:hAnsi="宋体" w:cs="宋体"/>
          <w:color w:val="auto"/>
          <w:sz w:val="24"/>
          <w:szCs w:val="24"/>
          <w:highlight w:val="none"/>
        </w:rPr>
        <w:t>/</w:t>
      </w:r>
      <w:r>
        <w:rPr>
          <w:rFonts w:hint="eastAsia" w:ascii="宋体" w:hAnsi="宋体" w:cs="宋体"/>
          <w:color w:val="auto"/>
          <w:sz w:val="24"/>
          <w:szCs w:val="24"/>
          <w:highlight w:val="none"/>
        </w:rPr>
        <w:t>投标报价</w:t>
      </w:r>
      <w:r>
        <w:rPr>
          <w:rFonts w:ascii="宋体" w:hAnsi="宋体" w:cs="宋体"/>
          <w:color w:val="auto"/>
          <w:sz w:val="24"/>
          <w:szCs w:val="24"/>
          <w:highlight w:val="none"/>
        </w:rPr>
        <w:t>)*</w:t>
      </w:r>
      <w:r>
        <w:rPr>
          <w:rFonts w:hint="eastAsia" w:ascii="宋体" w:hAnsi="宋体" w:cs="宋体"/>
          <w:color w:val="auto"/>
          <w:sz w:val="24"/>
          <w:szCs w:val="24"/>
          <w:highlight w:val="none"/>
        </w:rPr>
        <w:t>价格权值</w:t>
      </w:r>
      <w:r>
        <w:rPr>
          <w:rFonts w:ascii="宋体" w:hAnsi="宋体" w:cs="宋体"/>
          <w:color w:val="auto"/>
          <w:sz w:val="24"/>
          <w:szCs w:val="24"/>
          <w:highlight w:val="none"/>
        </w:rPr>
        <w:t>*100</w:t>
      </w:r>
      <w:r>
        <w:rPr>
          <w:rFonts w:hint="eastAsia" w:ascii="宋体" w:hAnsi="宋体" w:cs="宋体"/>
          <w:color w:val="auto"/>
          <w:sz w:val="24"/>
          <w:szCs w:val="24"/>
          <w:highlight w:val="none"/>
        </w:rPr>
        <w:t>。</w:t>
      </w:r>
    </w:p>
    <w:p w14:paraId="7E01FE32">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、当报价一览表与磋商报价明细表报价不一致时，以报价一览表为准，磋商报价明细表报价予以修正并由授权代表签字确认，拒绝修正或确认的，则做无效标处理。</w:t>
      </w:r>
    </w:p>
    <w:p w14:paraId="5E42D407">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6</w:t>
      </w:r>
      <w:r>
        <w:rPr>
          <w:rFonts w:hint="eastAsia" w:ascii="宋体" w:hAnsi="宋体" w:cs="宋体"/>
          <w:color w:val="auto"/>
          <w:sz w:val="24"/>
          <w:szCs w:val="24"/>
          <w:highlight w:val="none"/>
        </w:rPr>
        <w:t>、响应文件只允许有一个报价，磋商报价应按磋商文件中相关附表格式填报，该磋商报价应与明细报价汇总相等，且不允许出现报价优惠、赠送等字样（明细出现“</w:t>
      </w:r>
      <w:r>
        <w:rPr>
          <w:rFonts w:ascii="宋体" w:cs="宋体"/>
          <w:color w:val="auto"/>
          <w:sz w:val="24"/>
          <w:szCs w:val="24"/>
          <w:highlight w:val="none"/>
        </w:rPr>
        <w:t>0</w:t>
      </w:r>
      <w:r>
        <w:rPr>
          <w:rFonts w:hint="eastAsia" w:ascii="宋体" w:hAnsi="宋体" w:cs="宋体"/>
          <w:color w:val="auto"/>
          <w:sz w:val="24"/>
          <w:szCs w:val="24"/>
          <w:highlight w:val="none"/>
        </w:rPr>
        <w:t>”元，视同赠送）</w:t>
      </w:r>
      <w:r>
        <w:rPr>
          <w:rFonts w:ascii="宋体" w:cs="宋体"/>
          <w:color w:val="auto"/>
          <w:sz w:val="24"/>
          <w:szCs w:val="24"/>
          <w:highlight w:val="none"/>
        </w:rPr>
        <w:t>,</w:t>
      </w:r>
      <w:r>
        <w:rPr>
          <w:rFonts w:hint="eastAsia" w:ascii="宋体" w:hAnsi="宋体" w:cs="宋体"/>
          <w:color w:val="auto"/>
          <w:sz w:val="24"/>
          <w:szCs w:val="24"/>
          <w:highlight w:val="none"/>
        </w:rPr>
        <w:t>如出现则做</w:t>
      </w:r>
      <w:r>
        <w:rPr>
          <w:rFonts w:hint="eastAsia" w:ascii="宋体" w:hAnsi="宋体" w:cs="宋体"/>
          <w:b/>
          <w:bCs/>
          <w:color w:val="auto"/>
          <w:sz w:val="24"/>
          <w:szCs w:val="24"/>
          <w:highlight w:val="none"/>
        </w:rPr>
        <w:t>无效响应</w:t>
      </w:r>
      <w:r>
        <w:rPr>
          <w:rFonts w:hint="eastAsia" w:ascii="宋体" w:hAnsi="宋体" w:cs="宋体"/>
          <w:color w:val="auto"/>
          <w:sz w:val="24"/>
          <w:szCs w:val="24"/>
          <w:highlight w:val="none"/>
        </w:rPr>
        <w:t>处理。</w:t>
      </w:r>
    </w:p>
    <w:p w14:paraId="30A493E7">
      <w:pPr>
        <w:autoSpaceDE w:val="0"/>
        <w:autoSpaceDN w:val="0"/>
        <w:spacing w:line="360" w:lineRule="auto"/>
        <w:ind w:firstLine="482"/>
        <w:rPr>
          <w:rFonts w:ascii="宋体"/>
          <w:color w:val="auto"/>
          <w:sz w:val="24"/>
          <w:szCs w:val="24"/>
          <w:highlight w:val="none"/>
        </w:rPr>
      </w:pPr>
      <w:r>
        <w:rPr>
          <w:rFonts w:ascii="宋体" w:hAnsi="宋体" w:cs="宋体"/>
          <w:color w:val="auto"/>
          <w:sz w:val="24"/>
          <w:szCs w:val="24"/>
          <w:highlight w:val="none"/>
        </w:rPr>
        <w:t>7</w:t>
      </w:r>
      <w:r>
        <w:rPr>
          <w:rFonts w:hint="eastAsia" w:ascii="宋体" w:hAnsi="宋体" w:cs="宋体"/>
          <w:color w:val="auto"/>
          <w:sz w:val="24"/>
          <w:szCs w:val="24"/>
          <w:highlight w:val="none"/>
        </w:rPr>
        <w:t>、</w:t>
      </w:r>
      <w:r>
        <w:rPr>
          <w:rFonts w:hint="eastAsia" w:ascii="宋体" w:hAnsi="宋体" w:cs="宋体"/>
          <w:b/>
          <w:bCs/>
          <w:color w:val="auto"/>
          <w:sz w:val="24"/>
          <w:szCs w:val="24"/>
          <w:highlight w:val="none"/>
        </w:rPr>
        <w:t>投标价格的合理性</w:t>
      </w:r>
      <w:r>
        <w:rPr>
          <w:rFonts w:hint="eastAsia" w:ascii="宋体" w:hAnsi="宋体" w:cs="宋体"/>
          <w:color w:val="auto"/>
          <w:sz w:val="24"/>
          <w:szCs w:val="24"/>
          <w:highlight w:val="none"/>
        </w:rPr>
        <w:t>：</w:t>
      </w:r>
      <w:r>
        <w:rPr>
          <w:rFonts w:hint="eastAsia" w:ascii="Arial" w:hAnsi="Arial" w:cs="宋体"/>
          <w:color w:val="auto"/>
          <w:sz w:val="24"/>
          <w:szCs w:val="24"/>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响应处理。</w:t>
      </w:r>
    </w:p>
    <w:p w14:paraId="43FB0AB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olor w:val="auto"/>
          <w:sz w:val="24"/>
          <w:szCs w:val="21"/>
          <w:highlight w:val="none"/>
        </w:rPr>
        <w:t>价格扣除：</w:t>
      </w:r>
      <w:bookmarkStart w:id="144" w:name="_Toc29672"/>
      <w:bookmarkStart w:id="145" w:name="_Toc20488"/>
      <w:r>
        <w:rPr>
          <w:rFonts w:hint="eastAsia" w:ascii="宋体" w:hAnsi="宋体" w:cs="宋体"/>
          <w:color w:val="auto"/>
          <w:sz w:val="24"/>
          <w:szCs w:val="24"/>
          <w:highlight w:val="none"/>
        </w:rPr>
        <w:t>根据工信部等部委发布的《关于印发中小企业划型标准规定的通知》（工信部联企业〔2011〕300号），根据具体品目确定相应标准。符合上述条件的中小微型企业应按照招标文件的格式要求提供《中小企业声明函》及其相关的充分的证明材料。符合《关于促进残疾人就业政府采购政策的通知》（财库〔2017〕141号）规定的条件并提供《残疾人福利性单位声明函》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39F53A4E">
      <w:pPr>
        <w:spacing w:line="360" w:lineRule="auto"/>
        <w:ind w:firstLine="480" w:firstLineChars="200"/>
        <w:rPr>
          <w:rFonts w:ascii="宋体" w:hAnsi="宋体" w:cs="宋体"/>
          <w:color w:val="auto"/>
          <w:sz w:val="24"/>
          <w:szCs w:val="24"/>
          <w:highlight w:val="none"/>
        </w:rPr>
      </w:pPr>
      <w:r>
        <w:rPr>
          <w:rFonts w:hint="eastAsia" w:ascii="宋体" w:hAnsi="宋体"/>
          <w:color w:val="auto"/>
          <w:sz w:val="24"/>
          <w:szCs w:val="21"/>
          <w:highlight w:val="none"/>
        </w:rPr>
        <w:t>根据</w:t>
      </w:r>
      <w:r>
        <w:rPr>
          <w:rFonts w:hint="eastAsia" w:ascii="宋体" w:hAnsi="宋体"/>
          <w:color w:val="auto"/>
          <w:sz w:val="24"/>
          <w:szCs w:val="21"/>
          <w:highlight w:val="none"/>
          <w:lang w:val="en-US" w:eastAsia="zh-CN"/>
        </w:rPr>
        <w:t>财政部</w:t>
      </w:r>
      <w:r>
        <w:rPr>
          <w:rFonts w:hint="eastAsia" w:ascii="宋体" w:hAnsi="宋体"/>
          <w:color w:val="auto"/>
          <w:sz w:val="24"/>
          <w:szCs w:val="21"/>
          <w:highlight w:val="none"/>
        </w:rPr>
        <w:t>的《关于进一步加大政府采购支持中小企业力度的通知》（</w:t>
      </w:r>
      <w:r>
        <w:rPr>
          <w:rFonts w:hint="eastAsia" w:ascii="宋体" w:hAnsi="宋体"/>
          <w:color w:val="auto"/>
          <w:sz w:val="24"/>
          <w:szCs w:val="21"/>
          <w:highlight w:val="none"/>
          <w:lang w:val="en-US" w:eastAsia="zh-CN"/>
        </w:rPr>
        <w:t>财库</w:t>
      </w:r>
      <w:r>
        <w:rPr>
          <w:rFonts w:hint="eastAsia" w:ascii="宋体" w:hAnsi="宋体"/>
          <w:color w:val="auto"/>
          <w:sz w:val="24"/>
          <w:szCs w:val="21"/>
          <w:highlight w:val="none"/>
        </w:rPr>
        <w:t>〔2022〕</w:t>
      </w:r>
      <w:r>
        <w:rPr>
          <w:rFonts w:hint="eastAsia" w:ascii="宋体" w:hAnsi="宋体"/>
          <w:color w:val="auto"/>
          <w:sz w:val="24"/>
          <w:szCs w:val="21"/>
          <w:highlight w:val="none"/>
          <w:lang w:val="en-US" w:eastAsia="zh-CN"/>
        </w:rPr>
        <w:t>19</w:t>
      </w:r>
      <w:r>
        <w:rPr>
          <w:rFonts w:hint="eastAsia" w:ascii="宋体" w:hAnsi="宋体"/>
          <w:color w:val="auto"/>
          <w:sz w:val="24"/>
          <w:szCs w:val="21"/>
          <w:highlight w:val="none"/>
        </w:rPr>
        <w:t>号）规定，货物和服务项目中未预留份额专门面向中小企业采购的，以及预留份额项目中的非预留部分采购包，采购单位、采购代理机构应结合项目实际，对符合规定的小微企业报价按</w:t>
      </w:r>
      <w:r>
        <w:rPr>
          <w:rFonts w:hint="eastAsia" w:ascii="宋体" w:hAnsi="宋体"/>
          <w:color w:val="auto"/>
          <w:sz w:val="24"/>
          <w:szCs w:val="21"/>
          <w:highlight w:val="none"/>
          <w:lang w:val="en-US" w:eastAsia="zh-CN"/>
        </w:rPr>
        <w:t>10%</w:t>
      </w:r>
      <w:r>
        <w:rPr>
          <w:rFonts w:hint="eastAsia" w:ascii="宋体" w:hAnsi="宋体"/>
          <w:color w:val="auto"/>
          <w:sz w:val="24"/>
          <w:szCs w:val="21"/>
          <w:highlight w:val="none"/>
        </w:rPr>
        <w:t>给予扣除，用扣除后的价格参加评审；对于联合协议或者分包意向协议约定小微企业的合同份额占到合同总金额30%以上的，采购单位、采购代理机构应结合项目实际，对联合体或者大中型企业的报价按</w:t>
      </w:r>
      <w:r>
        <w:rPr>
          <w:rFonts w:hint="eastAsia" w:ascii="宋体" w:hAnsi="宋体"/>
          <w:color w:val="auto"/>
          <w:sz w:val="24"/>
          <w:szCs w:val="21"/>
          <w:highlight w:val="none"/>
          <w:lang w:val="en-US" w:eastAsia="zh-CN"/>
        </w:rPr>
        <w:t>4%</w:t>
      </w:r>
      <w:r>
        <w:rPr>
          <w:rFonts w:hint="eastAsia" w:ascii="宋体" w:hAnsi="宋体"/>
          <w:color w:val="auto"/>
          <w:sz w:val="24"/>
          <w:szCs w:val="21"/>
          <w:highlight w:val="none"/>
        </w:rPr>
        <w:t>给予扣除，用扣除后的价格参加评审。（中标价及合同价仍以其投标报价为准）</w:t>
      </w:r>
    </w:p>
    <w:p w14:paraId="7BD47DEF">
      <w:pPr>
        <w:spacing w:line="360" w:lineRule="auto"/>
        <w:ind w:firstLine="480" w:firstLineChars="200"/>
        <w:rPr>
          <w:color w:val="auto"/>
          <w:highlight w:val="none"/>
        </w:rPr>
      </w:pPr>
      <w:r>
        <w:rPr>
          <w:rFonts w:hint="eastAsia" w:ascii="宋体" w:hAnsi="宋体" w:cs="宋体"/>
          <w:color w:val="auto"/>
          <w:sz w:val="24"/>
          <w:szCs w:val="24"/>
          <w:highlight w:val="none"/>
        </w:rPr>
        <w:t>组成联合体或者接受分包的小微企业与联合体内其他企业、分包企业之间存在直接控股、管理关系的，不享受价格</w:t>
      </w:r>
      <w:r>
        <w:rPr>
          <w:rFonts w:hint="eastAsia" w:ascii="Arial" w:hAnsi="Arial" w:cs="宋体"/>
          <w:color w:val="auto"/>
          <w:sz w:val="24"/>
          <w:szCs w:val="24"/>
          <w:highlight w:val="none"/>
        </w:rPr>
        <w:t>扣除优惠政策。联合体各方均为小型、微型企业的，联合体视同为小型、微型企业。</w:t>
      </w:r>
    </w:p>
    <w:p w14:paraId="2CB151E5">
      <w:pPr>
        <w:bidi w:val="0"/>
        <w:rPr>
          <w:rFonts w:hint="eastAsia" w:ascii="宋体" w:hAnsi="宋体" w:eastAsia="宋体" w:cs="宋体"/>
          <w:b/>
          <w:bCs/>
          <w:sz w:val="24"/>
          <w:szCs w:val="24"/>
        </w:rPr>
      </w:pPr>
      <w:bookmarkStart w:id="146" w:name="_Toc7841"/>
      <w:r>
        <w:rPr>
          <w:rFonts w:hint="eastAsia" w:ascii="宋体" w:hAnsi="宋体" w:eastAsia="宋体" w:cs="宋体"/>
          <w:b/>
          <w:bCs/>
          <w:sz w:val="24"/>
          <w:szCs w:val="24"/>
        </w:rPr>
        <w:t>二、商务技术文件评标内容及标准（ 80 分）</w:t>
      </w:r>
      <w:bookmarkEnd w:id="144"/>
      <w:bookmarkEnd w:id="145"/>
      <w:bookmarkEnd w:id="146"/>
    </w:p>
    <w:p w14:paraId="40F8519D">
      <w:pPr>
        <w:spacing w:line="360" w:lineRule="auto"/>
        <w:ind w:firstLine="482" w:firstLineChars="200"/>
        <w:rPr>
          <w:color w:val="auto"/>
          <w:highlight w:val="none"/>
        </w:rPr>
      </w:pPr>
      <w:r>
        <w:rPr>
          <w:rFonts w:hint="eastAsia" w:ascii="宋体" w:hAnsi="宋体" w:cs="宋体"/>
          <w:b/>
          <w:bCs/>
          <w:color w:val="auto"/>
          <w:sz w:val="24"/>
          <w:szCs w:val="24"/>
          <w:highlight w:val="none"/>
        </w:rPr>
        <w:t>1、评分细则</w:t>
      </w:r>
    </w:p>
    <w:tbl>
      <w:tblPr>
        <w:tblStyle w:val="28"/>
        <w:tblpPr w:leftFromText="180" w:rightFromText="180" w:vertAnchor="text" w:horzAnchor="page" w:tblpX="1045" w:tblpY="307"/>
        <w:tblOverlap w:val="never"/>
        <w:tblW w:w="9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6898"/>
        <w:gridCol w:w="997"/>
      </w:tblGrid>
      <w:tr w14:paraId="01EB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724" w:type="dxa"/>
            <w:tcBorders>
              <w:top w:val="single" w:color="auto" w:sz="4" w:space="0"/>
              <w:left w:val="single" w:color="auto" w:sz="4" w:space="0"/>
              <w:bottom w:val="single" w:color="auto" w:sz="4" w:space="0"/>
              <w:right w:val="single" w:color="auto" w:sz="4" w:space="0"/>
            </w:tcBorders>
            <w:noWrap w:val="0"/>
            <w:vAlign w:val="center"/>
          </w:tcPr>
          <w:p w14:paraId="247D50D8">
            <w:pPr>
              <w:adjustRightInd w:val="0"/>
              <w:spacing w:before="120" w:beforeLines="5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评分项目</w:t>
            </w:r>
          </w:p>
        </w:tc>
        <w:tc>
          <w:tcPr>
            <w:tcW w:w="6898" w:type="dxa"/>
            <w:tcBorders>
              <w:top w:val="single" w:color="auto" w:sz="4" w:space="0"/>
              <w:left w:val="single" w:color="auto" w:sz="4" w:space="0"/>
              <w:bottom w:val="single" w:color="auto" w:sz="4" w:space="0"/>
              <w:right w:val="single" w:color="auto" w:sz="4" w:space="0"/>
            </w:tcBorders>
            <w:noWrap w:val="0"/>
            <w:vAlign w:val="top"/>
          </w:tcPr>
          <w:p w14:paraId="2A603840">
            <w:pPr>
              <w:adjustRightInd w:val="0"/>
              <w:spacing w:before="120" w:beforeLines="50" w:line="360" w:lineRule="auto"/>
              <w:jc w:val="center"/>
              <w:rPr>
                <w:rFonts w:ascii="宋体" w:hAnsi="宋体" w:cs="宋体"/>
                <w:color w:val="auto"/>
                <w:sz w:val="24"/>
                <w:highlight w:val="none"/>
              </w:rPr>
            </w:pPr>
            <w:r>
              <w:rPr>
                <w:rFonts w:hint="eastAsia" w:ascii="宋体" w:hAnsi="宋体" w:cs="宋体"/>
                <w:color w:val="auto"/>
                <w:sz w:val="24"/>
                <w:highlight w:val="none"/>
              </w:rPr>
              <w:t>评标要点及说明</w:t>
            </w:r>
          </w:p>
        </w:tc>
        <w:tc>
          <w:tcPr>
            <w:tcW w:w="997" w:type="dxa"/>
            <w:tcBorders>
              <w:top w:val="single" w:color="auto" w:sz="4" w:space="0"/>
              <w:left w:val="single" w:color="auto" w:sz="4" w:space="0"/>
              <w:bottom w:val="single" w:color="auto" w:sz="4" w:space="0"/>
              <w:right w:val="single" w:color="auto" w:sz="4" w:space="0"/>
            </w:tcBorders>
            <w:noWrap w:val="0"/>
            <w:vAlign w:val="top"/>
          </w:tcPr>
          <w:p w14:paraId="1E5B83FB">
            <w:pPr>
              <w:adjustRightInd w:val="0"/>
              <w:spacing w:before="120" w:beforeLines="50" w:line="360" w:lineRule="auto"/>
              <w:jc w:val="center"/>
              <w:rPr>
                <w:rFonts w:ascii="宋体" w:hAnsi="宋体" w:cs="宋体"/>
                <w:color w:val="auto"/>
                <w:sz w:val="24"/>
                <w:szCs w:val="24"/>
                <w:highlight w:val="none"/>
              </w:rPr>
            </w:pPr>
            <w:r>
              <w:rPr>
                <w:rFonts w:hint="eastAsia" w:ascii="宋体" w:hAnsi="宋体" w:cs="宋体"/>
                <w:color w:val="auto"/>
                <w:sz w:val="24"/>
                <w:highlight w:val="none"/>
              </w:rPr>
              <w:t>分值</w:t>
            </w:r>
          </w:p>
        </w:tc>
      </w:tr>
      <w:tr w14:paraId="2C157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1724" w:type="dxa"/>
            <w:tcBorders>
              <w:top w:val="single" w:color="auto" w:sz="4" w:space="0"/>
              <w:left w:val="single" w:color="auto" w:sz="4" w:space="0"/>
              <w:right w:val="single" w:color="auto" w:sz="4" w:space="0"/>
            </w:tcBorders>
            <w:noWrap w:val="0"/>
            <w:vAlign w:val="center"/>
          </w:tcPr>
          <w:p w14:paraId="05F70712">
            <w:pPr>
              <w:widowControl/>
              <w:spacing w:before="100" w:after="100"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项目了解</w:t>
            </w:r>
          </w:p>
        </w:tc>
        <w:tc>
          <w:tcPr>
            <w:tcW w:w="6898" w:type="dxa"/>
            <w:tcBorders>
              <w:top w:val="single" w:color="auto" w:sz="4" w:space="0"/>
              <w:left w:val="single" w:color="auto" w:sz="4" w:space="0"/>
              <w:right w:val="single" w:color="auto" w:sz="4" w:space="0"/>
            </w:tcBorders>
            <w:noWrap w:val="0"/>
            <w:vAlign w:val="center"/>
          </w:tcPr>
          <w:p w14:paraId="5BF271AC">
            <w:pPr>
              <w:widowControl/>
              <w:spacing w:line="24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评委根据供应商针对本项目</w:t>
            </w:r>
            <w:r>
              <w:rPr>
                <w:rFonts w:hint="eastAsia" w:cs="宋体"/>
                <w:color w:val="auto"/>
                <w:sz w:val="24"/>
                <w:highlight w:val="none"/>
              </w:rPr>
              <w:t>项目背景以及食堂现状了解情况进行打分</w:t>
            </w:r>
            <w:r>
              <w:rPr>
                <w:rFonts w:hint="eastAsia" w:ascii="宋体" w:hAnsi="宋体" w:cs="宋体"/>
                <w:color w:val="auto"/>
                <w:sz w:val="24"/>
                <w:szCs w:val="24"/>
                <w:highlight w:val="none"/>
              </w:rPr>
              <w:t>。</w:t>
            </w:r>
            <w:r>
              <w:rPr>
                <w:rFonts w:hint="eastAsia" w:ascii="宋体" w:hAnsi="宋体" w:eastAsia="宋体" w:cs="宋体"/>
                <w:spacing w:val="-9"/>
                <w:sz w:val="24"/>
                <w:lang w:val="en-US" w:eastAsia="zh-CN"/>
              </w:rPr>
              <w:t>了解贴切</w:t>
            </w:r>
            <w:r>
              <w:rPr>
                <w:rFonts w:hint="eastAsia" w:ascii="宋体" w:hAnsi="宋体" w:eastAsia="宋体" w:cs="宋体"/>
                <w:spacing w:val="-9"/>
                <w:sz w:val="24"/>
              </w:rPr>
              <w:t xml:space="preserve">的得 </w:t>
            </w: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pacing w:val="-8"/>
                <w:sz w:val="24"/>
              </w:rPr>
              <w:t>分；基本</w:t>
            </w:r>
            <w:r>
              <w:rPr>
                <w:rFonts w:hint="eastAsia" w:ascii="宋体" w:hAnsi="宋体" w:eastAsia="宋体" w:cs="宋体"/>
                <w:spacing w:val="-8"/>
                <w:sz w:val="24"/>
                <w:lang w:val="en-US" w:eastAsia="zh-CN"/>
              </w:rPr>
              <w:t>了解</w:t>
            </w:r>
            <w:r>
              <w:rPr>
                <w:rFonts w:hint="eastAsia" w:ascii="宋体" w:hAnsi="宋体" w:eastAsia="宋体" w:cs="宋体"/>
                <w:spacing w:val="-8"/>
                <w:sz w:val="24"/>
              </w:rPr>
              <w:t xml:space="preserve">的得 </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 xml:space="preserve"> </w:t>
            </w:r>
            <w:r>
              <w:rPr>
                <w:rFonts w:hint="eastAsia" w:ascii="宋体" w:hAnsi="宋体" w:eastAsia="宋体" w:cs="宋体"/>
                <w:spacing w:val="-2"/>
                <w:sz w:val="24"/>
              </w:rPr>
              <w:t>分；</w:t>
            </w:r>
            <w:r>
              <w:rPr>
                <w:rFonts w:hint="eastAsia" w:ascii="宋体" w:hAnsi="宋体" w:eastAsia="宋体" w:cs="宋体"/>
                <w:spacing w:val="-2"/>
                <w:sz w:val="24"/>
                <w:lang w:val="en-US" w:eastAsia="zh-CN"/>
              </w:rPr>
              <w:t>了解</w:t>
            </w:r>
            <w:r>
              <w:rPr>
                <w:rFonts w:hint="eastAsia" w:ascii="宋体" w:hAnsi="宋体" w:eastAsia="宋体" w:cs="宋体"/>
                <w:spacing w:val="-2"/>
                <w:sz w:val="24"/>
              </w:rPr>
              <w:t>一般的</w:t>
            </w:r>
            <w:r>
              <w:rPr>
                <w:rFonts w:hint="eastAsia" w:ascii="宋体" w:hAnsi="宋体" w:eastAsia="宋体" w:cs="宋体"/>
                <w:sz w:val="24"/>
              </w:rPr>
              <w:t xml:space="preserve">得 </w:t>
            </w:r>
            <w:r>
              <w:rPr>
                <w:rFonts w:hint="eastAsia" w:ascii="宋体" w:hAnsi="宋体" w:eastAsia="宋体" w:cs="宋体"/>
                <w:sz w:val="24"/>
                <w:lang w:val="en-US" w:eastAsia="zh-CN"/>
              </w:rPr>
              <w:t>0.1</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 xml:space="preserve"> 分；不提供不得分。</w:t>
            </w:r>
          </w:p>
        </w:tc>
        <w:tc>
          <w:tcPr>
            <w:tcW w:w="997" w:type="dxa"/>
            <w:tcBorders>
              <w:top w:val="single" w:color="auto" w:sz="4" w:space="0"/>
              <w:left w:val="single" w:color="auto" w:sz="4" w:space="0"/>
              <w:right w:val="single" w:color="auto" w:sz="4" w:space="0"/>
            </w:tcBorders>
            <w:noWrap w:val="0"/>
            <w:vAlign w:val="center"/>
          </w:tcPr>
          <w:p w14:paraId="1B44D242">
            <w:pPr>
              <w:widowControl/>
              <w:spacing w:before="100" w:after="100" w:line="360" w:lineRule="auto"/>
              <w:jc w:val="center"/>
              <w:rPr>
                <w:rFonts w:ascii="宋体" w:hAnsi="宋体" w:cs="宋体"/>
                <w:color w:val="auto"/>
                <w:sz w:val="24"/>
                <w:highlight w:val="none"/>
              </w:rPr>
            </w:pPr>
            <w:r>
              <w:rPr>
                <w:rFonts w:hint="eastAsia" w:ascii="宋体" w:hAnsi="宋体" w:cs="宋体"/>
                <w:color w:val="auto"/>
                <w:sz w:val="24"/>
                <w:szCs w:val="24"/>
                <w:highlight w:val="none"/>
              </w:rPr>
              <w:t>5</w:t>
            </w:r>
          </w:p>
        </w:tc>
      </w:tr>
      <w:tr w14:paraId="6F27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724" w:type="dxa"/>
            <w:tcBorders>
              <w:left w:val="single" w:color="auto" w:sz="4" w:space="0"/>
              <w:right w:val="single" w:color="auto" w:sz="4" w:space="0"/>
            </w:tcBorders>
            <w:noWrap w:val="0"/>
            <w:vAlign w:val="center"/>
          </w:tcPr>
          <w:p w14:paraId="47FF626F">
            <w:pPr>
              <w:widowControl/>
              <w:spacing w:before="100" w:after="100"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食堂服务方案</w:t>
            </w:r>
          </w:p>
        </w:tc>
        <w:tc>
          <w:tcPr>
            <w:tcW w:w="6898" w:type="dxa"/>
            <w:tcBorders>
              <w:top w:val="single" w:color="auto" w:sz="4" w:space="0"/>
              <w:left w:val="single" w:color="auto" w:sz="4" w:space="0"/>
              <w:right w:val="single" w:color="auto" w:sz="4" w:space="0"/>
            </w:tcBorders>
            <w:noWrap w:val="0"/>
            <w:vAlign w:val="center"/>
          </w:tcPr>
          <w:p w14:paraId="06B95651">
            <w:pPr>
              <w:widowControl/>
              <w:spacing w:line="24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评委根据供应商针对本项目制定的食堂服务整体方案进行打分。</w:t>
            </w:r>
            <w:r>
              <w:rPr>
                <w:rFonts w:hint="eastAsia" w:ascii="宋体" w:hAnsi="宋体" w:eastAsia="宋体" w:cs="宋体"/>
                <w:spacing w:val="-9"/>
                <w:sz w:val="24"/>
              </w:rPr>
              <w:t xml:space="preserve">合理可行的得 </w:t>
            </w: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pacing w:val="-8"/>
                <w:sz w:val="24"/>
              </w:rPr>
              <w:t xml:space="preserve">分；基本合理可行的得 </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 xml:space="preserve"> </w:t>
            </w:r>
            <w:r>
              <w:rPr>
                <w:rFonts w:hint="eastAsia" w:ascii="宋体" w:hAnsi="宋体" w:eastAsia="宋体" w:cs="宋体"/>
                <w:spacing w:val="-2"/>
                <w:sz w:val="24"/>
              </w:rPr>
              <w:t>分；一般的</w:t>
            </w:r>
            <w:r>
              <w:rPr>
                <w:rFonts w:hint="eastAsia" w:ascii="宋体" w:hAnsi="宋体" w:eastAsia="宋体" w:cs="宋体"/>
                <w:sz w:val="24"/>
              </w:rPr>
              <w:t xml:space="preserve">得 </w:t>
            </w:r>
            <w:r>
              <w:rPr>
                <w:rFonts w:hint="eastAsia" w:ascii="宋体" w:hAnsi="宋体" w:eastAsia="宋体" w:cs="宋体"/>
                <w:sz w:val="24"/>
                <w:lang w:val="en-US" w:eastAsia="zh-CN"/>
              </w:rPr>
              <w:t>0.1</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 xml:space="preserve"> 分；不提供不得分。</w:t>
            </w:r>
          </w:p>
        </w:tc>
        <w:tc>
          <w:tcPr>
            <w:tcW w:w="997" w:type="dxa"/>
            <w:tcBorders>
              <w:top w:val="single" w:color="auto" w:sz="4" w:space="0"/>
              <w:left w:val="single" w:color="auto" w:sz="4" w:space="0"/>
              <w:right w:val="single" w:color="auto" w:sz="4" w:space="0"/>
            </w:tcBorders>
            <w:noWrap w:val="0"/>
            <w:vAlign w:val="center"/>
          </w:tcPr>
          <w:p w14:paraId="41F0E1C0">
            <w:pPr>
              <w:widowControl/>
              <w:spacing w:before="100" w:after="100" w:line="360" w:lineRule="auto"/>
              <w:jc w:val="center"/>
              <w:rPr>
                <w:rFonts w:ascii="宋体" w:hAnsi="宋体" w:cs="宋体"/>
                <w:color w:val="auto"/>
                <w:sz w:val="24"/>
                <w:highlight w:val="none"/>
              </w:rPr>
            </w:pPr>
            <w:r>
              <w:rPr>
                <w:rFonts w:hint="eastAsia" w:ascii="宋体" w:hAnsi="宋体" w:cs="宋体"/>
                <w:color w:val="auto"/>
                <w:sz w:val="24"/>
                <w:szCs w:val="24"/>
                <w:highlight w:val="none"/>
              </w:rPr>
              <w:t>5</w:t>
            </w:r>
          </w:p>
        </w:tc>
      </w:tr>
      <w:tr w14:paraId="3FC8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724" w:type="dxa"/>
            <w:vMerge w:val="restart"/>
            <w:tcBorders>
              <w:left w:val="single" w:color="auto" w:sz="4" w:space="0"/>
              <w:right w:val="single" w:color="auto" w:sz="4" w:space="0"/>
            </w:tcBorders>
            <w:noWrap w:val="0"/>
            <w:vAlign w:val="center"/>
          </w:tcPr>
          <w:p w14:paraId="6BE42EF0">
            <w:pPr>
              <w:widowControl/>
              <w:spacing w:before="100" w:after="100" w:line="360" w:lineRule="auto"/>
              <w:jc w:val="center"/>
              <w:rPr>
                <w:color w:val="auto"/>
                <w:sz w:val="24"/>
                <w:szCs w:val="24"/>
                <w:highlight w:val="none"/>
              </w:rPr>
            </w:pPr>
            <w:r>
              <w:rPr>
                <w:rFonts w:hint="eastAsia" w:ascii="宋体" w:hAnsi="宋体" w:cs="宋体"/>
                <w:color w:val="auto"/>
                <w:sz w:val="24"/>
                <w:szCs w:val="24"/>
                <w:highlight w:val="none"/>
              </w:rPr>
              <w:t>菜品方案</w:t>
            </w:r>
          </w:p>
        </w:tc>
        <w:tc>
          <w:tcPr>
            <w:tcW w:w="6898" w:type="dxa"/>
            <w:tcBorders>
              <w:top w:val="single" w:color="auto" w:sz="4" w:space="0"/>
              <w:left w:val="single" w:color="auto" w:sz="4" w:space="0"/>
              <w:right w:val="single" w:color="auto" w:sz="4" w:space="0"/>
            </w:tcBorders>
            <w:noWrap w:val="0"/>
            <w:vAlign w:val="center"/>
          </w:tcPr>
          <w:p w14:paraId="1CCB7977">
            <w:pPr>
              <w:widowControl/>
              <w:spacing w:before="0" w:after="0" w:line="24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评委根据供应商针对本项目提供的菜品搭配（高、中、低档）</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0-3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进行打分。</w:t>
            </w:r>
            <w:r>
              <w:rPr>
                <w:rFonts w:hint="eastAsia" w:ascii="宋体" w:hAnsi="宋体" w:eastAsia="宋体" w:cs="宋体"/>
                <w:spacing w:val="-9"/>
                <w:sz w:val="24"/>
              </w:rPr>
              <w:t xml:space="preserve">合理可行的得 </w:t>
            </w:r>
            <w:r>
              <w:rPr>
                <w:rFonts w:hint="eastAsia" w:ascii="宋体" w:hAnsi="宋体" w:eastAsia="宋体" w:cs="宋体"/>
                <w:sz w:val="24"/>
                <w:lang w:val="en-US" w:eastAsia="zh-CN"/>
              </w:rPr>
              <w:t>3</w:t>
            </w:r>
            <w:r>
              <w:rPr>
                <w:rFonts w:hint="eastAsia" w:ascii="宋体" w:hAnsi="宋体" w:eastAsia="宋体" w:cs="宋体"/>
                <w:spacing w:val="-8"/>
                <w:sz w:val="24"/>
              </w:rPr>
              <w:t xml:space="preserve">分；基本合理可行的得 </w:t>
            </w:r>
            <w:r>
              <w:rPr>
                <w:rFonts w:hint="eastAsia" w:ascii="宋体" w:hAnsi="宋体" w:eastAsia="宋体" w:cs="宋体"/>
                <w:sz w:val="24"/>
                <w:lang w:val="en-US" w:eastAsia="zh-CN"/>
              </w:rPr>
              <w:t>2</w:t>
            </w:r>
            <w:r>
              <w:rPr>
                <w:rFonts w:hint="eastAsia" w:ascii="宋体" w:hAnsi="宋体" w:eastAsia="宋体" w:cs="宋体"/>
                <w:sz w:val="24"/>
              </w:rPr>
              <w:t xml:space="preserve"> </w:t>
            </w:r>
            <w:r>
              <w:rPr>
                <w:rFonts w:hint="eastAsia" w:ascii="宋体" w:hAnsi="宋体" w:eastAsia="宋体" w:cs="宋体"/>
                <w:spacing w:val="-2"/>
                <w:sz w:val="24"/>
              </w:rPr>
              <w:t>分；一般的</w:t>
            </w:r>
            <w:r>
              <w:rPr>
                <w:rFonts w:hint="eastAsia" w:ascii="宋体" w:hAnsi="宋体" w:eastAsia="宋体" w:cs="宋体"/>
                <w:sz w:val="24"/>
              </w:rPr>
              <w:t>得</w:t>
            </w:r>
            <w:r>
              <w:rPr>
                <w:rFonts w:hint="eastAsia" w:ascii="宋体" w:hAnsi="宋体" w:eastAsia="宋体" w:cs="宋体"/>
                <w:sz w:val="24"/>
                <w:lang w:val="en-US" w:eastAsia="zh-CN"/>
              </w:rPr>
              <w:t>1</w:t>
            </w:r>
            <w:r>
              <w:rPr>
                <w:rFonts w:hint="eastAsia" w:ascii="宋体" w:hAnsi="宋体" w:eastAsia="宋体" w:cs="宋体"/>
                <w:sz w:val="24"/>
              </w:rPr>
              <w:t xml:space="preserve"> 分；不提供不得分。</w:t>
            </w:r>
          </w:p>
        </w:tc>
        <w:tc>
          <w:tcPr>
            <w:tcW w:w="997" w:type="dxa"/>
            <w:tcBorders>
              <w:top w:val="single" w:color="auto" w:sz="4" w:space="0"/>
              <w:left w:val="single" w:color="auto" w:sz="4" w:space="0"/>
              <w:right w:val="single" w:color="auto" w:sz="4" w:space="0"/>
            </w:tcBorders>
            <w:noWrap w:val="0"/>
            <w:vAlign w:val="center"/>
          </w:tcPr>
          <w:p w14:paraId="698AE3C8">
            <w:pPr>
              <w:widowControl/>
              <w:spacing w:before="100" w:after="100"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r>
      <w:tr w14:paraId="029E3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724" w:type="dxa"/>
            <w:vMerge w:val="continue"/>
            <w:tcBorders>
              <w:left w:val="single" w:color="auto" w:sz="4" w:space="0"/>
              <w:right w:val="single" w:color="auto" w:sz="4" w:space="0"/>
            </w:tcBorders>
            <w:noWrap w:val="0"/>
            <w:vAlign w:val="center"/>
          </w:tcPr>
          <w:p w14:paraId="2208FC61">
            <w:pPr>
              <w:widowControl/>
              <w:spacing w:before="100" w:after="100" w:line="360" w:lineRule="auto"/>
              <w:jc w:val="center"/>
              <w:rPr>
                <w:rFonts w:hint="eastAsia" w:ascii="宋体" w:hAnsi="宋体" w:cs="宋体"/>
                <w:color w:val="auto"/>
                <w:sz w:val="24"/>
                <w:szCs w:val="24"/>
                <w:highlight w:val="none"/>
              </w:rPr>
            </w:pPr>
          </w:p>
        </w:tc>
        <w:tc>
          <w:tcPr>
            <w:tcW w:w="6898" w:type="dxa"/>
            <w:tcBorders>
              <w:top w:val="single" w:color="auto" w:sz="4" w:space="0"/>
              <w:left w:val="single" w:color="auto" w:sz="4" w:space="0"/>
              <w:right w:val="single" w:color="auto" w:sz="4" w:space="0"/>
            </w:tcBorders>
            <w:noWrap w:val="0"/>
            <w:vAlign w:val="center"/>
          </w:tcPr>
          <w:p w14:paraId="29584FB4">
            <w:pPr>
              <w:widowControl/>
              <w:spacing w:before="0" w:after="0"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评委根据供应商针对本项目提供的菜品花色品种数量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0-3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进行打分。</w:t>
            </w:r>
            <w:r>
              <w:rPr>
                <w:rFonts w:hint="eastAsia" w:ascii="宋体" w:hAnsi="宋体" w:eastAsia="宋体" w:cs="宋体"/>
                <w:spacing w:val="-9"/>
                <w:sz w:val="24"/>
              </w:rPr>
              <w:t xml:space="preserve">合理可行的得 </w:t>
            </w:r>
            <w:r>
              <w:rPr>
                <w:rFonts w:hint="eastAsia" w:ascii="宋体" w:hAnsi="宋体" w:eastAsia="宋体" w:cs="宋体"/>
                <w:sz w:val="24"/>
                <w:lang w:val="en-US" w:eastAsia="zh-CN"/>
              </w:rPr>
              <w:t>3</w:t>
            </w:r>
            <w:r>
              <w:rPr>
                <w:rFonts w:hint="eastAsia" w:ascii="宋体" w:hAnsi="宋体" w:eastAsia="宋体" w:cs="宋体"/>
                <w:spacing w:val="-8"/>
                <w:sz w:val="24"/>
              </w:rPr>
              <w:t xml:space="preserve">分；基本合理可行的得 </w:t>
            </w:r>
            <w:r>
              <w:rPr>
                <w:rFonts w:hint="eastAsia" w:ascii="宋体" w:hAnsi="宋体" w:eastAsia="宋体" w:cs="宋体"/>
                <w:sz w:val="24"/>
                <w:lang w:val="en-US" w:eastAsia="zh-CN"/>
              </w:rPr>
              <w:t>2</w:t>
            </w:r>
            <w:r>
              <w:rPr>
                <w:rFonts w:hint="eastAsia" w:ascii="宋体" w:hAnsi="宋体" w:eastAsia="宋体" w:cs="宋体"/>
                <w:sz w:val="24"/>
              </w:rPr>
              <w:t xml:space="preserve"> </w:t>
            </w:r>
            <w:r>
              <w:rPr>
                <w:rFonts w:hint="eastAsia" w:ascii="宋体" w:hAnsi="宋体" w:eastAsia="宋体" w:cs="宋体"/>
                <w:spacing w:val="-2"/>
                <w:sz w:val="24"/>
              </w:rPr>
              <w:t>分；一般的</w:t>
            </w:r>
            <w:r>
              <w:rPr>
                <w:rFonts w:hint="eastAsia" w:ascii="宋体" w:hAnsi="宋体" w:eastAsia="宋体" w:cs="宋体"/>
                <w:sz w:val="24"/>
              </w:rPr>
              <w:t>得</w:t>
            </w:r>
            <w:r>
              <w:rPr>
                <w:rFonts w:hint="eastAsia" w:ascii="宋体" w:hAnsi="宋体" w:eastAsia="宋体" w:cs="宋体"/>
                <w:sz w:val="24"/>
                <w:lang w:val="en-US" w:eastAsia="zh-CN"/>
              </w:rPr>
              <w:t>1</w:t>
            </w:r>
            <w:r>
              <w:rPr>
                <w:rFonts w:hint="eastAsia" w:ascii="宋体" w:hAnsi="宋体" w:eastAsia="宋体" w:cs="宋体"/>
                <w:sz w:val="24"/>
              </w:rPr>
              <w:t xml:space="preserve"> 分；不提供不得分。</w:t>
            </w:r>
          </w:p>
        </w:tc>
        <w:tc>
          <w:tcPr>
            <w:tcW w:w="997" w:type="dxa"/>
            <w:tcBorders>
              <w:top w:val="single" w:color="auto" w:sz="4" w:space="0"/>
              <w:left w:val="single" w:color="auto" w:sz="4" w:space="0"/>
              <w:right w:val="single" w:color="auto" w:sz="4" w:space="0"/>
            </w:tcBorders>
            <w:noWrap w:val="0"/>
            <w:vAlign w:val="center"/>
          </w:tcPr>
          <w:p w14:paraId="20C1EFBC">
            <w:pPr>
              <w:widowControl/>
              <w:spacing w:before="100" w:after="100"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r>
      <w:tr w14:paraId="1E62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724" w:type="dxa"/>
            <w:vMerge w:val="continue"/>
            <w:tcBorders>
              <w:left w:val="single" w:color="auto" w:sz="4" w:space="0"/>
              <w:right w:val="single" w:color="auto" w:sz="4" w:space="0"/>
            </w:tcBorders>
            <w:noWrap w:val="0"/>
            <w:vAlign w:val="center"/>
          </w:tcPr>
          <w:p w14:paraId="5DB20707">
            <w:pPr>
              <w:widowControl/>
              <w:spacing w:before="100" w:after="100" w:line="360" w:lineRule="auto"/>
              <w:jc w:val="center"/>
              <w:rPr>
                <w:rFonts w:hint="eastAsia" w:ascii="宋体" w:hAnsi="宋体" w:cs="宋体"/>
                <w:color w:val="auto"/>
                <w:sz w:val="24"/>
                <w:szCs w:val="24"/>
                <w:highlight w:val="none"/>
              </w:rPr>
            </w:pPr>
          </w:p>
        </w:tc>
        <w:tc>
          <w:tcPr>
            <w:tcW w:w="6898" w:type="dxa"/>
            <w:tcBorders>
              <w:top w:val="single" w:color="auto" w:sz="4" w:space="0"/>
              <w:left w:val="single" w:color="auto" w:sz="4" w:space="0"/>
              <w:right w:val="single" w:color="auto" w:sz="4" w:space="0"/>
            </w:tcBorders>
            <w:noWrap w:val="0"/>
            <w:vAlign w:val="center"/>
          </w:tcPr>
          <w:p w14:paraId="693244A9">
            <w:pPr>
              <w:widowControl/>
              <w:spacing w:before="0" w:after="0"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评委根据供应商针对本项目提供的菜品营养配比案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0-3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进行打分。</w:t>
            </w:r>
            <w:r>
              <w:rPr>
                <w:rFonts w:hint="eastAsia" w:ascii="宋体" w:hAnsi="宋体" w:eastAsia="宋体" w:cs="宋体"/>
                <w:spacing w:val="-9"/>
                <w:sz w:val="24"/>
              </w:rPr>
              <w:t xml:space="preserve">合理可行的得 </w:t>
            </w:r>
            <w:r>
              <w:rPr>
                <w:rFonts w:hint="eastAsia" w:ascii="宋体" w:hAnsi="宋体" w:eastAsia="宋体" w:cs="宋体"/>
                <w:sz w:val="24"/>
                <w:lang w:val="en-US" w:eastAsia="zh-CN"/>
              </w:rPr>
              <w:t>3</w:t>
            </w:r>
            <w:r>
              <w:rPr>
                <w:rFonts w:hint="eastAsia" w:ascii="宋体" w:hAnsi="宋体" w:eastAsia="宋体" w:cs="宋体"/>
                <w:spacing w:val="-8"/>
                <w:sz w:val="24"/>
              </w:rPr>
              <w:t xml:space="preserve">分；基本合理可行的得 </w:t>
            </w:r>
            <w:r>
              <w:rPr>
                <w:rFonts w:hint="eastAsia" w:ascii="宋体" w:hAnsi="宋体" w:eastAsia="宋体" w:cs="宋体"/>
                <w:sz w:val="24"/>
                <w:lang w:val="en-US" w:eastAsia="zh-CN"/>
              </w:rPr>
              <w:t>2</w:t>
            </w:r>
            <w:r>
              <w:rPr>
                <w:rFonts w:hint="eastAsia" w:ascii="宋体" w:hAnsi="宋体" w:eastAsia="宋体" w:cs="宋体"/>
                <w:sz w:val="24"/>
              </w:rPr>
              <w:t xml:space="preserve"> </w:t>
            </w:r>
            <w:r>
              <w:rPr>
                <w:rFonts w:hint="eastAsia" w:ascii="宋体" w:hAnsi="宋体" w:eastAsia="宋体" w:cs="宋体"/>
                <w:spacing w:val="-2"/>
                <w:sz w:val="24"/>
              </w:rPr>
              <w:t>分；一般的</w:t>
            </w:r>
            <w:r>
              <w:rPr>
                <w:rFonts w:hint="eastAsia" w:ascii="宋体" w:hAnsi="宋体" w:eastAsia="宋体" w:cs="宋体"/>
                <w:sz w:val="24"/>
              </w:rPr>
              <w:t>得</w:t>
            </w:r>
            <w:r>
              <w:rPr>
                <w:rFonts w:hint="eastAsia" w:ascii="宋体" w:hAnsi="宋体" w:eastAsia="宋体" w:cs="宋体"/>
                <w:sz w:val="24"/>
                <w:lang w:val="en-US" w:eastAsia="zh-CN"/>
              </w:rPr>
              <w:t>1</w:t>
            </w:r>
            <w:r>
              <w:rPr>
                <w:rFonts w:hint="eastAsia" w:ascii="宋体" w:hAnsi="宋体" w:eastAsia="宋体" w:cs="宋体"/>
                <w:sz w:val="24"/>
              </w:rPr>
              <w:t xml:space="preserve"> 分；不提供不得分。</w:t>
            </w:r>
          </w:p>
        </w:tc>
        <w:tc>
          <w:tcPr>
            <w:tcW w:w="997" w:type="dxa"/>
            <w:tcBorders>
              <w:top w:val="single" w:color="auto" w:sz="4" w:space="0"/>
              <w:left w:val="single" w:color="auto" w:sz="4" w:space="0"/>
              <w:right w:val="single" w:color="auto" w:sz="4" w:space="0"/>
            </w:tcBorders>
            <w:noWrap w:val="0"/>
            <w:vAlign w:val="center"/>
          </w:tcPr>
          <w:p w14:paraId="01202B77">
            <w:pPr>
              <w:widowControl/>
              <w:spacing w:before="100" w:after="100"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r>
      <w:tr w14:paraId="1E2B2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724" w:type="dxa"/>
            <w:vMerge w:val="restart"/>
            <w:tcBorders>
              <w:left w:val="single" w:color="auto" w:sz="4" w:space="0"/>
              <w:right w:val="single" w:color="auto" w:sz="4" w:space="0"/>
            </w:tcBorders>
            <w:noWrap w:val="0"/>
            <w:vAlign w:val="center"/>
          </w:tcPr>
          <w:p w14:paraId="4A0398C6">
            <w:pPr>
              <w:widowControl/>
              <w:spacing w:before="100" w:after="100"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管理制度</w:t>
            </w:r>
          </w:p>
        </w:tc>
        <w:tc>
          <w:tcPr>
            <w:tcW w:w="6898" w:type="dxa"/>
            <w:tcBorders>
              <w:left w:val="single" w:color="auto" w:sz="4" w:space="0"/>
              <w:right w:val="single" w:color="auto" w:sz="4" w:space="0"/>
            </w:tcBorders>
            <w:noWrap w:val="0"/>
            <w:vAlign w:val="center"/>
          </w:tcPr>
          <w:p w14:paraId="12FE618D">
            <w:pPr>
              <w:widowControl/>
              <w:spacing w:before="0" w:after="0" w:line="240" w:lineRule="auto"/>
              <w:ind w:firstLine="480" w:firstLineChars="200"/>
              <w:jc w:val="left"/>
              <w:rPr>
                <w:rFonts w:ascii="宋体" w:hAnsi="宋体" w:cs="宋体"/>
                <w:color w:val="auto"/>
                <w:sz w:val="24"/>
                <w:highlight w:val="none"/>
              </w:rPr>
            </w:pPr>
            <w:r>
              <w:rPr>
                <w:rFonts w:hint="eastAsia" w:ascii="宋体" w:hAnsi="宋体" w:cs="宋体"/>
                <w:color w:val="auto"/>
                <w:sz w:val="24"/>
                <w:szCs w:val="24"/>
                <w:highlight w:val="none"/>
              </w:rPr>
              <w:t>评委根据供应商提交的内部管理架构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0-3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进行打分。</w:t>
            </w:r>
            <w:r>
              <w:rPr>
                <w:rFonts w:hint="eastAsia" w:ascii="宋体" w:hAnsi="宋体" w:eastAsia="宋体" w:cs="宋体"/>
                <w:spacing w:val="-9"/>
                <w:sz w:val="24"/>
              </w:rPr>
              <w:t xml:space="preserve">合理可行的得 </w:t>
            </w:r>
            <w:r>
              <w:rPr>
                <w:rFonts w:hint="eastAsia" w:ascii="宋体" w:hAnsi="宋体" w:eastAsia="宋体" w:cs="宋体"/>
                <w:sz w:val="24"/>
                <w:lang w:val="en-US" w:eastAsia="zh-CN"/>
              </w:rPr>
              <w:t>3</w:t>
            </w:r>
            <w:r>
              <w:rPr>
                <w:rFonts w:hint="eastAsia" w:ascii="宋体" w:hAnsi="宋体" w:eastAsia="宋体" w:cs="宋体"/>
                <w:spacing w:val="-8"/>
                <w:sz w:val="24"/>
              </w:rPr>
              <w:t xml:space="preserve">分；基本合理可行的得 </w:t>
            </w:r>
            <w:r>
              <w:rPr>
                <w:rFonts w:hint="eastAsia" w:ascii="宋体" w:hAnsi="宋体" w:eastAsia="宋体" w:cs="宋体"/>
                <w:sz w:val="24"/>
                <w:lang w:val="en-US" w:eastAsia="zh-CN"/>
              </w:rPr>
              <w:t>2</w:t>
            </w:r>
            <w:r>
              <w:rPr>
                <w:rFonts w:hint="eastAsia" w:ascii="宋体" w:hAnsi="宋体" w:eastAsia="宋体" w:cs="宋体"/>
                <w:sz w:val="24"/>
              </w:rPr>
              <w:t xml:space="preserve"> </w:t>
            </w:r>
            <w:r>
              <w:rPr>
                <w:rFonts w:hint="eastAsia" w:ascii="宋体" w:hAnsi="宋体" w:eastAsia="宋体" w:cs="宋体"/>
                <w:spacing w:val="-2"/>
                <w:sz w:val="24"/>
              </w:rPr>
              <w:t>分；一般的</w:t>
            </w:r>
            <w:r>
              <w:rPr>
                <w:rFonts w:hint="eastAsia" w:ascii="宋体" w:hAnsi="宋体" w:eastAsia="宋体" w:cs="宋体"/>
                <w:sz w:val="24"/>
              </w:rPr>
              <w:t>得</w:t>
            </w:r>
            <w:r>
              <w:rPr>
                <w:rFonts w:hint="eastAsia" w:ascii="宋体" w:hAnsi="宋体" w:eastAsia="宋体" w:cs="宋体"/>
                <w:sz w:val="24"/>
                <w:lang w:val="en-US" w:eastAsia="zh-CN"/>
              </w:rPr>
              <w:t>1</w:t>
            </w:r>
            <w:r>
              <w:rPr>
                <w:rFonts w:hint="eastAsia" w:ascii="宋体" w:hAnsi="宋体" w:eastAsia="宋体" w:cs="宋体"/>
                <w:sz w:val="24"/>
              </w:rPr>
              <w:t xml:space="preserve"> 分；不提供不得分。</w:t>
            </w:r>
          </w:p>
        </w:tc>
        <w:tc>
          <w:tcPr>
            <w:tcW w:w="997" w:type="dxa"/>
            <w:tcBorders>
              <w:left w:val="single" w:color="auto" w:sz="4" w:space="0"/>
              <w:right w:val="single" w:color="auto" w:sz="4" w:space="0"/>
            </w:tcBorders>
            <w:noWrap w:val="0"/>
            <w:vAlign w:val="center"/>
          </w:tcPr>
          <w:p w14:paraId="3D8EAEFA">
            <w:pPr>
              <w:widowControl/>
              <w:spacing w:before="100" w:after="100"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r>
      <w:tr w14:paraId="491C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724" w:type="dxa"/>
            <w:vMerge w:val="continue"/>
            <w:tcBorders>
              <w:left w:val="single" w:color="auto" w:sz="4" w:space="0"/>
              <w:right w:val="single" w:color="auto" w:sz="4" w:space="0"/>
            </w:tcBorders>
            <w:noWrap w:val="0"/>
            <w:vAlign w:val="center"/>
          </w:tcPr>
          <w:p w14:paraId="76685E09">
            <w:pPr>
              <w:widowControl/>
              <w:spacing w:before="100" w:after="100" w:line="360" w:lineRule="auto"/>
              <w:jc w:val="center"/>
              <w:rPr>
                <w:rFonts w:hint="eastAsia" w:ascii="宋体" w:hAnsi="宋体" w:cs="宋体"/>
                <w:color w:val="auto"/>
                <w:sz w:val="24"/>
                <w:szCs w:val="24"/>
                <w:highlight w:val="none"/>
              </w:rPr>
            </w:pPr>
          </w:p>
        </w:tc>
        <w:tc>
          <w:tcPr>
            <w:tcW w:w="6898" w:type="dxa"/>
            <w:tcBorders>
              <w:left w:val="single" w:color="auto" w:sz="4" w:space="0"/>
              <w:right w:val="single" w:color="auto" w:sz="4" w:space="0"/>
            </w:tcBorders>
            <w:noWrap w:val="0"/>
            <w:vAlign w:val="center"/>
          </w:tcPr>
          <w:p w14:paraId="58392262">
            <w:pPr>
              <w:widowControl/>
              <w:spacing w:before="0" w:after="0"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评委根据供应商提交的运行机制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0-3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进行打分。</w:t>
            </w:r>
            <w:r>
              <w:rPr>
                <w:rFonts w:hint="eastAsia" w:ascii="宋体" w:hAnsi="宋体" w:eastAsia="宋体" w:cs="宋体"/>
                <w:spacing w:val="-9"/>
                <w:sz w:val="24"/>
              </w:rPr>
              <w:t xml:space="preserve">合理可行的得 </w:t>
            </w:r>
            <w:r>
              <w:rPr>
                <w:rFonts w:hint="eastAsia" w:ascii="宋体" w:hAnsi="宋体" w:eastAsia="宋体" w:cs="宋体"/>
                <w:sz w:val="24"/>
                <w:lang w:val="en-US" w:eastAsia="zh-CN"/>
              </w:rPr>
              <w:t>3</w:t>
            </w:r>
            <w:r>
              <w:rPr>
                <w:rFonts w:hint="eastAsia" w:ascii="宋体" w:hAnsi="宋体" w:eastAsia="宋体" w:cs="宋体"/>
                <w:spacing w:val="-8"/>
                <w:sz w:val="24"/>
              </w:rPr>
              <w:t xml:space="preserve">分；基本合理可行的得 </w:t>
            </w:r>
            <w:r>
              <w:rPr>
                <w:rFonts w:hint="eastAsia" w:ascii="宋体" w:hAnsi="宋体" w:eastAsia="宋体" w:cs="宋体"/>
                <w:sz w:val="24"/>
                <w:lang w:val="en-US" w:eastAsia="zh-CN"/>
              </w:rPr>
              <w:t>2</w:t>
            </w:r>
            <w:r>
              <w:rPr>
                <w:rFonts w:hint="eastAsia" w:ascii="宋体" w:hAnsi="宋体" w:eastAsia="宋体" w:cs="宋体"/>
                <w:sz w:val="24"/>
              </w:rPr>
              <w:t xml:space="preserve"> </w:t>
            </w:r>
            <w:r>
              <w:rPr>
                <w:rFonts w:hint="eastAsia" w:ascii="宋体" w:hAnsi="宋体" w:eastAsia="宋体" w:cs="宋体"/>
                <w:spacing w:val="-2"/>
                <w:sz w:val="24"/>
              </w:rPr>
              <w:t>分；一般的</w:t>
            </w:r>
            <w:r>
              <w:rPr>
                <w:rFonts w:hint="eastAsia" w:ascii="宋体" w:hAnsi="宋体" w:eastAsia="宋体" w:cs="宋体"/>
                <w:sz w:val="24"/>
              </w:rPr>
              <w:t>得</w:t>
            </w:r>
            <w:r>
              <w:rPr>
                <w:rFonts w:hint="eastAsia" w:ascii="宋体" w:hAnsi="宋体" w:eastAsia="宋体" w:cs="宋体"/>
                <w:sz w:val="24"/>
                <w:lang w:val="en-US" w:eastAsia="zh-CN"/>
              </w:rPr>
              <w:t>1</w:t>
            </w:r>
            <w:r>
              <w:rPr>
                <w:rFonts w:hint="eastAsia" w:ascii="宋体" w:hAnsi="宋体" w:eastAsia="宋体" w:cs="宋体"/>
                <w:sz w:val="24"/>
              </w:rPr>
              <w:t xml:space="preserve"> 分；不提供不得分。</w:t>
            </w:r>
          </w:p>
        </w:tc>
        <w:tc>
          <w:tcPr>
            <w:tcW w:w="997" w:type="dxa"/>
            <w:tcBorders>
              <w:left w:val="single" w:color="auto" w:sz="4" w:space="0"/>
              <w:right w:val="single" w:color="auto" w:sz="4" w:space="0"/>
            </w:tcBorders>
            <w:noWrap w:val="0"/>
            <w:vAlign w:val="center"/>
          </w:tcPr>
          <w:p w14:paraId="5634BAA0">
            <w:pPr>
              <w:widowControl/>
              <w:spacing w:before="100" w:after="100"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r>
      <w:tr w14:paraId="4EFE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724" w:type="dxa"/>
            <w:vMerge w:val="continue"/>
            <w:tcBorders>
              <w:left w:val="single" w:color="auto" w:sz="4" w:space="0"/>
              <w:right w:val="single" w:color="auto" w:sz="4" w:space="0"/>
            </w:tcBorders>
            <w:noWrap w:val="0"/>
            <w:vAlign w:val="center"/>
          </w:tcPr>
          <w:p w14:paraId="2E9851A9">
            <w:pPr>
              <w:widowControl/>
              <w:spacing w:before="100" w:after="100" w:line="360" w:lineRule="auto"/>
              <w:jc w:val="center"/>
              <w:rPr>
                <w:rFonts w:hint="eastAsia" w:ascii="宋体" w:hAnsi="宋体" w:cs="宋体"/>
                <w:color w:val="auto"/>
                <w:sz w:val="24"/>
                <w:szCs w:val="24"/>
                <w:highlight w:val="none"/>
              </w:rPr>
            </w:pPr>
          </w:p>
        </w:tc>
        <w:tc>
          <w:tcPr>
            <w:tcW w:w="6898" w:type="dxa"/>
            <w:tcBorders>
              <w:left w:val="single" w:color="auto" w:sz="4" w:space="0"/>
              <w:right w:val="single" w:color="auto" w:sz="4" w:space="0"/>
            </w:tcBorders>
            <w:noWrap w:val="0"/>
            <w:vAlign w:val="center"/>
          </w:tcPr>
          <w:p w14:paraId="17F6CC1E">
            <w:pPr>
              <w:widowControl/>
              <w:spacing w:before="0" w:after="0"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评委根据供应商提交的各项管理规章制度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0-3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进行打分。</w:t>
            </w:r>
            <w:r>
              <w:rPr>
                <w:rFonts w:hint="eastAsia" w:ascii="宋体" w:hAnsi="宋体" w:eastAsia="宋体" w:cs="宋体"/>
                <w:spacing w:val="-9"/>
                <w:sz w:val="24"/>
              </w:rPr>
              <w:t xml:space="preserve">合理可行的得 </w:t>
            </w:r>
            <w:r>
              <w:rPr>
                <w:rFonts w:hint="eastAsia" w:ascii="宋体" w:hAnsi="宋体" w:eastAsia="宋体" w:cs="宋体"/>
                <w:sz w:val="24"/>
                <w:lang w:val="en-US" w:eastAsia="zh-CN"/>
              </w:rPr>
              <w:t>3</w:t>
            </w:r>
            <w:r>
              <w:rPr>
                <w:rFonts w:hint="eastAsia" w:ascii="宋体" w:hAnsi="宋体" w:eastAsia="宋体" w:cs="宋体"/>
                <w:spacing w:val="-8"/>
                <w:sz w:val="24"/>
              </w:rPr>
              <w:t xml:space="preserve">分；基本合理可行的得 </w:t>
            </w:r>
            <w:r>
              <w:rPr>
                <w:rFonts w:hint="eastAsia" w:ascii="宋体" w:hAnsi="宋体" w:eastAsia="宋体" w:cs="宋体"/>
                <w:sz w:val="24"/>
                <w:lang w:val="en-US" w:eastAsia="zh-CN"/>
              </w:rPr>
              <w:t>2</w:t>
            </w:r>
            <w:r>
              <w:rPr>
                <w:rFonts w:hint="eastAsia" w:ascii="宋体" w:hAnsi="宋体" w:eastAsia="宋体" w:cs="宋体"/>
                <w:sz w:val="24"/>
              </w:rPr>
              <w:t xml:space="preserve"> </w:t>
            </w:r>
            <w:r>
              <w:rPr>
                <w:rFonts w:hint="eastAsia" w:ascii="宋体" w:hAnsi="宋体" w:eastAsia="宋体" w:cs="宋体"/>
                <w:spacing w:val="-2"/>
                <w:sz w:val="24"/>
              </w:rPr>
              <w:t>分；一般的</w:t>
            </w:r>
            <w:r>
              <w:rPr>
                <w:rFonts w:hint="eastAsia" w:ascii="宋体" w:hAnsi="宋体" w:eastAsia="宋体" w:cs="宋体"/>
                <w:sz w:val="24"/>
              </w:rPr>
              <w:t>得</w:t>
            </w:r>
            <w:r>
              <w:rPr>
                <w:rFonts w:hint="eastAsia" w:ascii="宋体" w:hAnsi="宋体" w:eastAsia="宋体" w:cs="宋体"/>
                <w:sz w:val="24"/>
                <w:lang w:val="en-US" w:eastAsia="zh-CN"/>
              </w:rPr>
              <w:t>1</w:t>
            </w:r>
            <w:r>
              <w:rPr>
                <w:rFonts w:hint="eastAsia" w:ascii="宋体" w:hAnsi="宋体" w:eastAsia="宋体" w:cs="宋体"/>
                <w:sz w:val="24"/>
              </w:rPr>
              <w:t xml:space="preserve"> 分；不提供不得分。</w:t>
            </w:r>
          </w:p>
        </w:tc>
        <w:tc>
          <w:tcPr>
            <w:tcW w:w="997" w:type="dxa"/>
            <w:tcBorders>
              <w:left w:val="single" w:color="auto" w:sz="4" w:space="0"/>
              <w:right w:val="single" w:color="auto" w:sz="4" w:space="0"/>
            </w:tcBorders>
            <w:noWrap w:val="0"/>
            <w:vAlign w:val="center"/>
          </w:tcPr>
          <w:p w14:paraId="62D18014">
            <w:pPr>
              <w:widowControl/>
              <w:spacing w:before="100" w:after="100"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r>
      <w:tr w14:paraId="75083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724" w:type="dxa"/>
            <w:tcBorders>
              <w:left w:val="single" w:color="auto" w:sz="4" w:space="0"/>
              <w:right w:val="single" w:color="auto" w:sz="4" w:space="0"/>
            </w:tcBorders>
            <w:noWrap w:val="0"/>
            <w:vAlign w:val="center"/>
          </w:tcPr>
          <w:p w14:paraId="15E562AB">
            <w:pPr>
              <w:widowControl/>
              <w:spacing w:before="100" w:after="100" w:line="360" w:lineRule="auto"/>
              <w:jc w:val="center"/>
              <w:rPr>
                <w:rFonts w:ascii="宋体" w:hAnsi="宋体" w:cs="宋体"/>
                <w:color w:val="auto"/>
                <w:sz w:val="24"/>
                <w:szCs w:val="24"/>
                <w:highlight w:val="none"/>
                <w:lang w:val="zh-CN"/>
              </w:rPr>
            </w:pPr>
            <w:r>
              <w:rPr>
                <w:rFonts w:hint="eastAsia" w:ascii="宋体" w:hAnsi="宋体" w:cs="宋体"/>
                <w:color w:val="auto"/>
                <w:sz w:val="24"/>
                <w:szCs w:val="24"/>
                <w:highlight w:val="none"/>
              </w:rPr>
              <w:t>食品安全制度</w:t>
            </w:r>
          </w:p>
        </w:tc>
        <w:tc>
          <w:tcPr>
            <w:tcW w:w="6898" w:type="dxa"/>
            <w:tcBorders>
              <w:left w:val="single" w:color="auto" w:sz="4" w:space="0"/>
              <w:right w:val="single" w:color="auto" w:sz="4" w:space="0"/>
            </w:tcBorders>
            <w:noWrap w:val="0"/>
            <w:vAlign w:val="center"/>
          </w:tcPr>
          <w:p w14:paraId="3DD9196E">
            <w:pPr>
              <w:widowControl/>
              <w:spacing w:before="0" w:after="0" w:line="240" w:lineRule="auto"/>
              <w:ind w:firstLine="480" w:firstLineChars="200"/>
              <w:jc w:val="left"/>
              <w:rPr>
                <w:rFonts w:ascii="宋体" w:hAnsi="宋体" w:cs="宋体"/>
                <w:color w:val="auto"/>
                <w:sz w:val="24"/>
                <w:highlight w:val="none"/>
              </w:rPr>
            </w:pPr>
            <w:r>
              <w:rPr>
                <w:rFonts w:hint="eastAsia" w:ascii="宋体" w:hAnsi="宋体" w:cs="宋体"/>
                <w:color w:val="auto"/>
                <w:sz w:val="24"/>
                <w:szCs w:val="24"/>
                <w:highlight w:val="none"/>
              </w:rPr>
              <w:t>评委根据供应商提交的食品安全管理制度进行打分。</w:t>
            </w:r>
            <w:r>
              <w:rPr>
                <w:rFonts w:hint="eastAsia" w:ascii="宋体" w:hAnsi="宋体" w:eastAsia="宋体" w:cs="宋体"/>
                <w:spacing w:val="-9"/>
                <w:sz w:val="24"/>
              </w:rPr>
              <w:t xml:space="preserve">合理可行的得 </w:t>
            </w: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pacing w:val="-8"/>
                <w:sz w:val="24"/>
              </w:rPr>
              <w:t xml:space="preserve">分；基本合理可行的得 </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 xml:space="preserve"> </w:t>
            </w:r>
            <w:r>
              <w:rPr>
                <w:rFonts w:hint="eastAsia" w:ascii="宋体" w:hAnsi="宋体" w:eastAsia="宋体" w:cs="宋体"/>
                <w:spacing w:val="-2"/>
                <w:sz w:val="24"/>
              </w:rPr>
              <w:t>分；一般的</w:t>
            </w:r>
            <w:r>
              <w:rPr>
                <w:rFonts w:hint="eastAsia" w:ascii="宋体" w:hAnsi="宋体" w:eastAsia="宋体" w:cs="宋体"/>
                <w:sz w:val="24"/>
              </w:rPr>
              <w:t xml:space="preserve">得 </w:t>
            </w:r>
            <w:r>
              <w:rPr>
                <w:rFonts w:hint="eastAsia" w:ascii="宋体" w:hAnsi="宋体" w:eastAsia="宋体" w:cs="宋体"/>
                <w:sz w:val="24"/>
                <w:lang w:val="en-US" w:eastAsia="zh-CN"/>
              </w:rPr>
              <w:t>0.1</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 xml:space="preserve"> 分；不提供不得分。</w:t>
            </w:r>
          </w:p>
        </w:tc>
        <w:tc>
          <w:tcPr>
            <w:tcW w:w="997" w:type="dxa"/>
            <w:tcBorders>
              <w:left w:val="single" w:color="auto" w:sz="4" w:space="0"/>
              <w:right w:val="single" w:color="auto" w:sz="4" w:space="0"/>
            </w:tcBorders>
            <w:noWrap w:val="0"/>
            <w:vAlign w:val="center"/>
          </w:tcPr>
          <w:p w14:paraId="6387272C">
            <w:pPr>
              <w:widowControl/>
              <w:spacing w:before="100" w:after="100"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r>
      <w:tr w14:paraId="2840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724" w:type="dxa"/>
            <w:vMerge w:val="restart"/>
            <w:tcBorders>
              <w:left w:val="single" w:color="auto" w:sz="4" w:space="0"/>
              <w:right w:val="single" w:color="auto" w:sz="4" w:space="0"/>
            </w:tcBorders>
            <w:noWrap w:val="0"/>
            <w:vAlign w:val="center"/>
          </w:tcPr>
          <w:p w14:paraId="79E7985E">
            <w:pPr>
              <w:widowControl/>
              <w:spacing w:before="100" w:after="100" w:line="360" w:lineRule="auto"/>
              <w:jc w:val="center"/>
              <w:rPr>
                <w:rFonts w:hint="eastAsia" w:ascii="宋体" w:hAnsi="宋体" w:cs="宋体"/>
                <w:color w:val="auto"/>
                <w:sz w:val="24"/>
                <w:szCs w:val="24"/>
                <w:highlight w:val="none"/>
              </w:rPr>
            </w:pPr>
            <w:r>
              <w:rPr>
                <w:rFonts w:hint="eastAsia" w:ascii="宋体" w:hAnsi="宋体" w:eastAsia="宋体" w:cs="宋体"/>
                <w:color w:val="auto"/>
                <w:kern w:val="0"/>
                <w:sz w:val="24"/>
                <w:szCs w:val="24"/>
                <w:highlight w:val="none"/>
              </w:rPr>
              <w:t>安全方案</w:t>
            </w:r>
          </w:p>
        </w:tc>
        <w:tc>
          <w:tcPr>
            <w:tcW w:w="6898" w:type="dxa"/>
            <w:tcBorders>
              <w:left w:val="single" w:color="auto" w:sz="4" w:space="0"/>
              <w:right w:val="single" w:color="auto" w:sz="4" w:space="0"/>
            </w:tcBorders>
            <w:noWrap w:val="0"/>
            <w:vAlign w:val="center"/>
          </w:tcPr>
          <w:p w14:paraId="56CE9278">
            <w:pPr>
              <w:widowControl/>
              <w:spacing w:before="0" w:after="0" w:line="240" w:lineRule="auto"/>
              <w:ind w:firstLine="480" w:firstLineChars="200"/>
              <w:jc w:val="left"/>
              <w:rPr>
                <w:rFonts w:hint="eastAsia" w:ascii="宋体" w:hAnsi="宋体" w:cs="宋体"/>
                <w:color w:val="auto"/>
                <w:sz w:val="24"/>
                <w:szCs w:val="24"/>
                <w:highlight w:val="none"/>
              </w:rPr>
            </w:pPr>
            <w:r>
              <w:rPr>
                <w:rFonts w:hint="eastAsia" w:ascii="宋体" w:hAnsi="宋体" w:eastAsia="宋体" w:cs="宋体"/>
                <w:color w:val="auto"/>
                <w:kern w:val="0"/>
                <w:sz w:val="24"/>
                <w:szCs w:val="24"/>
                <w:highlight w:val="none"/>
              </w:rPr>
              <w:t>评委根据</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针对本项目的生产安全风险分析</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0-5</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eastAsia="zh-CN"/>
              </w:rPr>
              <w:t>进行打分</w:t>
            </w:r>
            <w:r>
              <w:rPr>
                <w:rFonts w:hint="eastAsia" w:ascii="宋体" w:hAnsi="宋体" w:eastAsia="宋体" w:cs="宋体"/>
                <w:color w:val="auto"/>
                <w:kern w:val="0"/>
                <w:sz w:val="24"/>
                <w:szCs w:val="24"/>
                <w:highlight w:val="none"/>
              </w:rPr>
              <w:t>。</w:t>
            </w:r>
            <w:r>
              <w:rPr>
                <w:rFonts w:hint="eastAsia" w:ascii="宋体" w:hAnsi="宋体" w:eastAsia="宋体" w:cs="宋体"/>
                <w:spacing w:val="-9"/>
                <w:sz w:val="24"/>
              </w:rPr>
              <w:t xml:space="preserve">合理可行的得 </w:t>
            </w: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pacing w:val="-8"/>
                <w:sz w:val="24"/>
              </w:rPr>
              <w:t xml:space="preserve">分；基本合理可行的得 </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 xml:space="preserve"> </w:t>
            </w:r>
            <w:r>
              <w:rPr>
                <w:rFonts w:hint="eastAsia" w:ascii="宋体" w:hAnsi="宋体" w:eastAsia="宋体" w:cs="宋体"/>
                <w:spacing w:val="-2"/>
                <w:sz w:val="24"/>
              </w:rPr>
              <w:t>分；一般的</w:t>
            </w:r>
            <w:r>
              <w:rPr>
                <w:rFonts w:hint="eastAsia" w:ascii="宋体" w:hAnsi="宋体" w:eastAsia="宋体" w:cs="宋体"/>
                <w:sz w:val="24"/>
              </w:rPr>
              <w:t xml:space="preserve">得 </w:t>
            </w:r>
            <w:r>
              <w:rPr>
                <w:rFonts w:hint="eastAsia" w:ascii="宋体" w:hAnsi="宋体" w:eastAsia="宋体" w:cs="宋体"/>
                <w:sz w:val="24"/>
                <w:lang w:val="en-US" w:eastAsia="zh-CN"/>
              </w:rPr>
              <w:t>0.1</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 xml:space="preserve"> 分；不提供不得分。</w:t>
            </w:r>
          </w:p>
        </w:tc>
        <w:tc>
          <w:tcPr>
            <w:tcW w:w="997" w:type="dxa"/>
            <w:tcBorders>
              <w:left w:val="single" w:color="auto" w:sz="4" w:space="0"/>
              <w:right w:val="single" w:color="auto" w:sz="4" w:space="0"/>
            </w:tcBorders>
            <w:noWrap w:val="0"/>
            <w:vAlign w:val="center"/>
          </w:tcPr>
          <w:p w14:paraId="4C3D669C">
            <w:pPr>
              <w:widowControl/>
              <w:spacing w:before="100" w:after="100"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r>
      <w:tr w14:paraId="289C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724" w:type="dxa"/>
            <w:vMerge w:val="continue"/>
            <w:tcBorders>
              <w:left w:val="single" w:color="auto" w:sz="4" w:space="0"/>
              <w:right w:val="single" w:color="auto" w:sz="4" w:space="0"/>
            </w:tcBorders>
            <w:noWrap w:val="0"/>
            <w:vAlign w:val="center"/>
          </w:tcPr>
          <w:p w14:paraId="31A390BA">
            <w:pPr>
              <w:widowControl/>
              <w:spacing w:before="100" w:after="100" w:line="360" w:lineRule="auto"/>
              <w:jc w:val="center"/>
              <w:rPr>
                <w:rFonts w:hint="eastAsia" w:ascii="宋体" w:hAnsi="宋体" w:eastAsia="宋体" w:cs="宋体"/>
                <w:color w:val="auto"/>
                <w:kern w:val="0"/>
                <w:sz w:val="24"/>
                <w:szCs w:val="24"/>
                <w:highlight w:val="none"/>
              </w:rPr>
            </w:pPr>
          </w:p>
        </w:tc>
        <w:tc>
          <w:tcPr>
            <w:tcW w:w="6898" w:type="dxa"/>
            <w:tcBorders>
              <w:left w:val="single" w:color="auto" w:sz="4" w:space="0"/>
              <w:right w:val="single" w:color="auto" w:sz="4" w:space="0"/>
            </w:tcBorders>
            <w:noWrap w:val="0"/>
            <w:vAlign w:val="center"/>
          </w:tcPr>
          <w:p w14:paraId="630A68B9">
            <w:pPr>
              <w:widowControl/>
              <w:spacing w:before="0" w:after="0" w:line="24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评委根据</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针对本项目的可行控制方案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0-5</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的科学合理性</w:t>
            </w:r>
            <w:r>
              <w:rPr>
                <w:rFonts w:hint="eastAsia" w:ascii="宋体" w:hAnsi="宋体" w:eastAsia="宋体" w:cs="宋体"/>
                <w:color w:val="auto"/>
                <w:kern w:val="0"/>
                <w:sz w:val="24"/>
                <w:szCs w:val="24"/>
                <w:highlight w:val="none"/>
                <w:lang w:eastAsia="zh-CN"/>
              </w:rPr>
              <w:t>进行打分</w:t>
            </w:r>
            <w:r>
              <w:rPr>
                <w:rFonts w:hint="eastAsia" w:ascii="宋体" w:hAnsi="宋体" w:eastAsia="宋体" w:cs="宋体"/>
                <w:color w:val="auto"/>
                <w:kern w:val="0"/>
                <w:sz w:val="24"/>
                <w:szCs w:val="24"/>
                <w:highlight w:val="none"/>
              </w:rPr>
              <w:t>。</w:t>
            </w:r>
            <w:r>
              <w:rPr>
                <w:rFonts w:hint="eastAsia" w:ascii="宋体" w:hAnsi="宋体" w:eastAsia="宋体" w:cs="宋体"/>
                <w:spacing w:val="-9"/>
                <w:sz w:val="24"/>
              </w:rPr>
              <w:t xml:space="preserve">合理可行的得 </w:t>
            </w: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pacing w:val="-8"/>
                <w:sz w:val="24"/>
              </w:rPr>
              <w:t xml:space="preserve">分；基本合理可行的得 </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 xml:space="preserve"> </w:t>
            </w:r>
            <w:r>
              <w:rPr>
                <w:rFonts w:hint="eastAsia" w:ascii="宋体" w:hAnsi="宋体" w:eastAsia="宋体" w:cs="宋体"/>
                <w:spacing w:val="-2"/>
                <w:sz w:val="24"/>
              </w:rPr>
              <w:t>分；一般的</w:t>
            </w:r>
            <w:r>
              <w:rPr>
                <w:rFonts w:hint="eastAsia" w:ascii="宋体" w:hAnsi="宋体" w:eastAsia="宋体" w:cs="宋体"/>
                <w:sz w:val="24"/>
              </w:rPr>
              <w:t xml:space="preserve">得 </w:t>
            </w:r>
            <w:r>
              <w:rPr>
                <w:rFonts w:hint="eastAsia" w:ascii="宋体" w:hAnsi="宋体" w:eastAsia="宋体" w:cs="宋体"/>
                <w:sz w:val="24"/>
                <w:lang w:val="en-US" w:eastAsia="zh-CN"/>
              </w:rPr>
              <w:t>0.1</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 xml:space="preserve"> 分；不提供不得分。</w:t>
            </w:r>
          </w:p>
        </w:tc>
        <w:tc>
          <w:tcPr>
            <w:tcW w:w="997" w:type="dxa"/>
            <w:tcBorders>
              <w:left w:val="single" w:color="auto" w:sz="4" w:space="0"/>
              <w:right w:val="single" w:color="auto" w:sz="4" w:space="0"/>
            </w:tcBorders>
            <w:noWrap w:val="0"/>
            <w:vAlign w:val="center"/>
          </w:tcPr>
          <w:p w14:paraId="5E31C10E">
            <w:pPr>
              <w:widowControl/>
              <w:spacing w:before="100" w:after="100"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r>
      <w:tr w14:paraId="300C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724" w:type="dxa"/>
            <w:vMerge w:val="restart"/>
            <w:tcBorders>
              <w:left w:val="single" w:color="auto" w:sz="4" w:space="0"/>
              <w:right w:val="single" w:color="auto" w:sz="4" w:space="0"/>
            </w:tcBorders>
            <w:noWrap w:val="0"/>
            <w:vAlign w:val="center"/>
          </w:tcPr>
          <w:p w14:paraId="2E73AB4F">
            <w:pPr>
              <w:widowControl/>
              <w:spacing w:before="100" w:after="10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卫生保障措施</w:t>
            </w:r>
          </w:p>
        </w:tc>
        <w:tc>
          <w:tcPr>
            <w:tcW w:w="6898" w:type="dxa"/>
            <w:tcBorders>
              <w:left w:val="single" w:color="auto" w:sz="4" w:space="0"/>
              <w:right w:val="single" w:color="auto" w:sz="4" w:space="0"/>
            </w:tcBorders>
            <w:noWrap w:val="0"/>
            <w:vAlign w:val="center"/>
          </w:tcPr>
          <w:p w14:paraId="2C947053">
            <w:pPr>
              <w:widowControl/>
              <w:spacing w:before="0" w:after="0" w:line="24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人员卫生</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0-5</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等管理制度的合理性、可行性。一般疾病控制预防及防控等合理、有效的防护方案。</w:t>
            </w:r>
            <w:r>
              <w:rPr>
                <w:rFonts w:hint="eastAsia" w:ascii="宋体" w:hAnsi="宋体" w:eastAsia="宋体" w:cs="宋体"/>
                <w:spacing w:val="-9"/>
                <w:sz w:val="24"/>
              </w:rPr>
              <w:t xml:space="preserve">合理可行的得 </w:t>
            </w: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pacing w:val="-8"/>
                <w:sz w:val="24"/>
              </w:rPr>
              <w:t xml:space="preserve">分；基本合理可行的得 </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 xml:space="preserve"> </w:t>
            </w:r>
            <w:r>
              <w:rPr>
                <w:rFonts w:hint="eastAsia" w:ascii="宋体" w:hAnsi="宋体" w:eastAsia="宋体" w:cs="宋体"/>
                <w:spacing w:val="-2"/>
                <w:sz w:val="24"/>
              </w:rPr>
              <w:t>分；一般的</w:t>
            </w:r>
            <w:r>
              <w:rPr>
                <w:rFonts w:hint="eastAsia" w:ascii="宋体" w:hAnsi="宋体" w:eastAsia="宋体" w:cs="宋体"/>
                <w:sz w:val="24"/>
              </w:rPr>
              <w:t xml:space="preserve">得 </w:t>
            </w:r>
            <w:r>
              <w:rPr>
                <w:rFonts w:hint="eastAsia" w:ascii="宋体" w:hAnsi="宋体" w:eastAsia="宋体" w:cs="宋体"/>
                <w:sz w:val="24"/>
                <w:lang w:val="en-US" w:eastAsia="zh-CN"/>
              </w:rPr>
              <w:t>0.1</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 xml:space="preserve"> 分；不提供不得分。</w:t>
            </w:r>
          </w:p>
        </w:tc>
        <w:tc>
          <w:tcPr>
            <w:tcW w:w="997" w:type="dxa"/>
            <w:tcBorders>
              <w:left w:val="single" w:color="auto" w:sz="4" w:space="0"/>
              <w:right w:val="single" w:color="auto" w:sz="4" w:space="0"/>
            </w:tcBorders>
            <w:noWrap w:val="0"/>
            <w:vAlign w:val="center"/>
          </w:tcPr>
          <w:p w14:paraId="4F672DC2">
            <w:pPr>
              <w:ind w:left="-124" w:leftChars="-62" w:right="-118" w:rightChars="-59"/>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r>
      <w:tr w14:paraId="4F58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724" w:type="dxa"/>
            <w:vMerge w:val="continue"/>
            <w:tcBorders>
              <w:left w:val="single" w:color="auto" w:sz="4" w:space="0"/>
              <w:right w:val="single" w:color="auto" w:sz="4" w:space="0"/>
            </w:tcBorders>
            <w:noWrap w:val="0"/>
            <w:vAlign w:val="center"/>
          </w:tcPr>
          <w:p w14:paraId="2A7BBFA7">
            <w:pPr>
              <w:widowControl/>
              <w:spacing w:before="100" w:after="100" w:line="360" w:lineRule="auto"/>
              <w:jc w:val="center"/>
              <w:rPr>
                <w:rFonts w:hint="eastAsia" w:ascii="宋体" w:hAnsi="宋体" w:eastAsia="宋体" w:cs="宋体"/>
                <w:color w:val="auto"/>
                <w:kern w:val="0"/>
                <w:sz w:val="24"/>
                <w:szCs w:val="24"/>
                <w:highlight w:val="none"/>
              </w:rPr>
            </w:pPr>
          </w:p>
        </w:tc>
        <w:tc>
          <w:tcPr>
            <w:tcW w:w="6898" w:type="dxa"/>
            <w:tcBorders>
              <w:left w:val="single" w:color="auto" w:sz="4" w:space="0"/>
              <w:right w:val="single" w:color="auto" w:sz="4" w:space="0"/>
            </w:tcBorders>
            <w:noWrap w:val="0"/>
            <w:vAlign w:val="center"/>
          </w:tcPr>
          <w:p w14:paraId="7106C991">
            <w:pPr>
              <w:widowControl/>
              <w:spacing w:before="0" w:after="0" w:line="24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环境卫生</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0-5</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等管理制度的合理性、可行性。一般疾病控制预防及防控等合理、有效的防护方案。</w:t>
            </w:r>
            <w:r>
              <w:rPr>
                <w:rFonts w:hint="eastAsia" w:ascii="宋体" w:hAnsi="宋体" w:eastAsia="宋体" w:cs="宋体"/>
                <w:spacing w:val="-9"/>
                <w:sz w:val="24"/>
              </w:rPr>
              <w:t xml:space="preserve">合理可行的得 </w:t>
            </w: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pacing w:val="-8"/>
                <w:sz w:val="24"/>
              </w:rPr>
              <w:t xml:space="preserve">分；基本合理可行的得 </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 xml:space="preserve"> </w:t>
            </w:r>
            <w:r>
              <w:rPr>
                <w:rFonts w:hint="eastAsia" w:ascii="宋体" w:hAnsi="宋体" w:eastAsia="宋体" w:cs="宋体"/>
                <w:spacing w:val="-2"/>
                <w:sz w:val="24"/>
              </w:rPr>
              <w:t>分；一般的</w:t>
            </w:r>
            <w:r>
              <w:rPr>
                <w:rFonts w:hint="eastAsia" w:ascii="宋体" w:hAnsi="宋体" w:eastAsia="宋体" w:cs="宋体"/>
                <w:sz w:val="24"/>
              </w:rPr>
              <w:t xml:space="preserve">得 </w:t>
            </w:r>
            <w:r>
              <w:rPr>
                <w:rFonts w:hint="eastAsia" w:ascii="宋体" w:hAnsi="宋体" w:eastAsia="宋体" w:cs="宋体"/>
                <w:sz w:val="24"/>
                <w:lang w:val="en-US" w:eastAsia="zh-CN"/>
              </w:rPr>
              <w:t>0.1</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 xml:space="preserve"> 分；不提供不得分。</w:t>
            </w:r>
          </w:p>
        </w:tc>
        <w:tc>
          <w:tcPr>
            <w:tcW w:w="997" w:type="dxa"/>
            <w:tcBorders>
              <w:left w:val="single" w:color="auto" w:sz="4" w:space="0"/>
              <w:right w:val="single" w:color="auto" w:sz="4" w:space="0"/>
            </w:tcBorders>
            <w:noWrap w:val="0"/>
            <w:vAlign w:val="center"/>
          </w:tcPr>
          <w:p w14:paraId="45EDB93B">
            <w:pPr>
              <w:ind w:left="-124" w:leftChars="-62" w:right="-118" w:rightChars="-59"/>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p>
        </w:tc>
      </w:tr>
      <w:tr w14:paraId="7FF7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724" w:type="dxa"/>
            <w:vMerge w:val="continue"/>
            <w:tcBorders>
              <w:left w:val="single" w:color="auto" w:sz="4" w:space="0"/>
              <w:right w:val="single" w:color="auto" w:sz="4" w:space="0"/>
            </w:tcBorders>
            <w:noWrap w:val="0"/>
            <w:vAlign w:val="center"/>
          </w:tcPr>
          <w:p w14:paraId="7AF0FAB5">
            <w:pPr>
              <w:widowControl/>
              <w:spacing w:before="100" w:after="100" w:line="360" w:lineRule="auto"/>
              <w:jc w:val="center"/>
              <w:rPr>
                <w:rFonts w:hint="eastAsia" w:ascii="宋体" w:hAnsi="宋体" w:eastAsia="宋体" w:cs="宋体"/>
                <w:color w:val="auto"/>
                <w:kern w:val="0"/>
                <w:sz w:val="24"/>
                <w:szCs w:val="24"/>
                <w:highlight w:val="none"/>
              </w:rPr>
            </w:pPr>
          </w:p>
        </w:tc>
        <w:tc>
          <w:tcPr>
            <w:tcW w:w="6898" w:type="dxa"/>
            <w:tcBorders>
              <w:left w:val="single" w:color="auto" w:sz="4" w:space="0"/>
              <w:right w:val="single" w:color="auto" w:sz="4" w:space="0"/>
            </w:tcBorders>
            <w:noWrap w:val="0"/>
            <w:vAlign w:val="center"/>
          </w:tcPr>
          <w:p w14:paraId="6C2B3070">
            <w:pPr>
              <w:widowControl/>
              <w:spacing w:before="0" w:after="0" w:line="24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垃圾处理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0-5</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等管理制度的合理性、可行性。一般疾病控制预防及防控等合理、有效的防护方案。</w:t>
            </w:r>
            <w:r>
              <w:rPr>
                <w:rFonts w:hint="eastAsia" w:ascii="宋体" w:hAnsi="宋体" w:eastAsia="宋体" w:cs="宋体"/>
                <w:spacing w:val="-9"/>
                <w:sz w:val="24"/>
              </w:rPr>
              <w:t xml:space="preserve">合理可行的得 </w:t>
            </w: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pacing w:val="-8"/>
                <w:sz w:val="24"/>
              </w:rPr>
              <w:t xml:space="preserve">分；基本合理可行的得 </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 xml:space="preserve"> </w:t>
            </w:r>
            <w:r>
              <w:rPr>
                <w:rFonts w:hint="eastAsia" w:ascii="宋体" w:hAnsi="宋体" w:eastAsia="宋体" w:cs="宋体"/>
                <w:spacing w:val="-2"/>
                <w:sz w:val="24"/>
              </w:rPr>
              <w:t>分；一般的</w:t>
            </w:r>
            <w:r>
              <w:rPr>
                <w:rFonts w:hint="eastAsia" w:ascii="宋体" w:hAnsi="宋体" w:eastAsia="宋体" w:cs="宋体"/>
                <w:sz w:val="24"/>
              </w:rPr>
              <w:t xml:space="preserve">得 </w:t>
            </w:r>
            <w:r>
              <w:rPr>
                <w:rFonts w:hint="eastAsia" w:ascii="宋体" w:hAnsi="宋体" w:eastAsia="宋体" w:cs="宋体"/>
                <w:sz w:val="24"/>
                <w:lang w:val="en-US" w:eastAsia="zh-CN"/>
              </w:rPr>
              <w:t>0.1</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 xml:space="preserve"> 分；不提供不得分。</w:t>
            </w:r>
          </w:p>
        </w:tc>
        <w:tc>
          <w:tcPr>
            <w:tcW w:w="997" w:type="dxa"/>
            <w:tcBorders>
              <w:left w:val="single" w:color="auto" w:sz="4" w:space="0"/>
              <w:right w:val="single" w:color="auto" w:sz="4" w:space="0"/>
            </w:tcBorders>
            <w:noWrap w:val="0"/>
            <w:vAlign w:val="center"/>
          </w:tcPr>
          <w:p w14:paraId="307F41C3">
            <w:pPr>
              <w:ind w:left="-124" w:leftChars="-62" w:right="-118" w:rightChars="-59"/>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p>
        </w:tc>
      </w:tr>
      <w:tr w14:paraId="6030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724" w:type="dxa"/>
            <w:tcBorders>
              <w:left w:val="single" w:color="auto" w:sz="4" w:space="0"/>
              <w:right w:val="single" w:color="auto" w:sz="4" w:space="0"/>
            </w:tcBorders>
            <w:noWrap w:val="0"/>
            <w:vAlign w:val="center"/>
          </w:tcPr>
          <w:p w14:paraId="7FBCA96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岗位制度</w:t>
            </w:r>
          </w:p>
        </w:tc>
        <w:tc>
          <w:tcPr>
            <w:tcW w:w="6898" w:type="dxa"/>
            <w:tcBorders>
              <w:left w:val="single" w:color="auto" w:sz="4" w:space="0"/>
              <w:right w:val="single" w:color="auto" w:sz="4" w:space="0"/>
            </w:tcBorders>
            <w:noWrap w:val="0"/>
            <w:vAlign w:val="center"/>
          </w:tcPr>
          <w:p w14:paraId="09E22988">
            <w:pPr>
              <w:widowControl/>
              <w:spacing w:before="0" w:after="0" w:line="24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评委根据供应商提交的各工种员工岗位职责和内部员工考核制度进行打分。</w:t>
            </w:r>
            <w:r>
              <w:rPr>
                <w:rFonts w:hint="eastAsia" w:ascii="宋体" w:hAnsi="宋体" w:eastAsia="宋体" w:cs="宋体"/>
                <w:spacing w:val="-9"/>
                <w:sz w:val="24"/>
              </w:rPr>
              <w:t xml:space="preserve">合理可行的得 </w:t>
            </w: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pacing w:val="-8"/>
                <w:sz w:val="24"/>
              </w:rPr>
              <w:t xml:space="preserve">分；基本合理可行的得 </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 xml:space="preserve"> </w:t>
            </w:r>
            <w:r>
              <w:rPr>
                <w:rFonts w:hint="eastAsia" w:ascii="宋体" w:hAnsi="宋体" w:eastAsia="宋体" w:cs="宋体"/>
                <w:spacing w:val="-2"/>
                <w:sz w:val="24"/>
              </w:rPr>
              <w:t>分；一般的</w:t>
            </w:r>
            <w:r>
              <w:rPr>
                <w:rFonts w:hint="eastAsia" w:ascii="宋体" w:hAnsi="宋体" w:eastAsia="宋体" w:cs="宋体"/>
                <w:sz w:val="24"/>
              </w:rPr>
              <w:t xml:space="preserve">得 </w:t>
            </w:r>
            <w:r>
              <w:rPr>
                <w:rFonts w:hint="eastAsia" w:ascii="宋体" w:hAnsi="宋体" w:eastAsia="宋体" w:cs="宋体"/>
                <w:sz w:val="24"/>
                <w:lang w:val="en-US" w:eastAsia="zh-CN"/>
              </w:rPr>
              <w:t>0.1</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 xml:space="preserve"> 分；不提供不得分。</w:t>
            </w:r>
          </w:p>
        </w:tc>
        <w:tc>
          <w:tcPr>
            <w:tcW w:w="997" w:type="dxa"/>
            <w:tcBorders>
              <w:left w:val="single" w:color="auto" w:sz="4" w:space="0"/>
              <w:right w:val="single" w:color="auto" w:sz="4" w:space="0"/>
            </w:tcBorders>
            <w:noWrap w:val="0"/>
            <w:vAlign w:val="center"/>
          </w:tcPr>
          <w:p w14:paraId="3A41E9BC">
            <w:pPr>
              <w:ind w:left="-124" w:leftChars="-62" w:right="-118" w:rightChars="-59"/>
              <w:jc w:val="center"/>
              <w:rPr>
                <w:rFonts w:ascii="宋体" w:hAnsi="宋体" w:cs="宋体"/>
                <w:color w:val="auto"/>
                <w:sz w:val="24"/>
                <w:szCs w:val="24"/>
                <w:highlight w:val="none"/>
              </w:rPr>
            </w:pPr>
            <w:r>
              <w:rPr>
                <w:rFonts w:hint="eastAsia" w:ascii="宋体" w:hAnsi="宋体" w:cs="宋体"/>
                <w:color w:val="auto"/>
                <w:sz w:val="24"/>
                <w:highlight w:val="none"/>
              </w:rPr>
              <w:t>5</w:t>
            </w:r>
          </w:p>
        </w:tc>
      </w:tr>
      <w:tr w14:paraId="0DAB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724" w:type="dxa"/>
            <w:tcBorders>
              <w:left w:val="single" w:color="auto" w:sz="4" w:space="0"/>
              <w:right w:val="single" w:color="auto" w:sz="4" w:space="0"/>
            </w:tcBorders>
            <w:noWrap w:val="0"/>
            <w:vAlign w:val="center"/>
          </w:tcPr>
          <w:p w14:paraId="431B302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68"/>
                <w:highlight w:val="none"/>
              </w:rPr>
              <w:t>培训方案</w:t>
            </w:r>
          </w:p>
        </w:tc>
        <w:tc>
          <w:tcPr>
            <w:tcW w:w="6898" w:type="dxa"/>
            <w:tcBorders>
              <w:left w:val="single" w:color="auto" w:sz="4" w:space="0"/>
              <w:right w:val="single" w:color="auto" w:sz="4" w:space="0"/>
            </w:tcBorders>
            <w:noWrap w:val="0"/>
            <w:vAlign w:val="center"/>
          </w:tcPr>
          <w:p w14:paraId="20CD2C44">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根据供应商针对本项目组织的人员培训合理性、管理体系合理性等情况打分。</w:t>
            </w:r>
            <w:r>
              <w:rPr>
                <w:rFonts w:hint="eastAsia" w:ascii="宋体" w:hAnsi="宋体" w:eastAsia="宋体" w:cs="宋体"/>
                <w:spacing w:val="-9"/>
                <w:sz w:val="24"/>
              </w:rPr>
              <w:t xml:space="preserve">合理可行的得 </w:t>
            </w: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pacing w:val="-8"/>
                <w:sz w:val="24"/>
              </w:rPr>
              <w:t xml:space="preserve">分；基本合理可行的得 </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 xml:space="preserve"> </w:t>
            </w:r>
            <w:r>
              <w:rPr>
                <w:rFonts w:hint="eastAsia" w:ascii="宋体" w:hAnsi="宋体" w:eastAsia="宋体" w:cs="宋体"/>
                <w:spacing w:val="-2"/>
                <w:sz w:val="24"/>
              </w:rPr>
              <w:t>分；一般的</w:t>
            </w:r>
            <w:r>
              <w:rPr>
                <w:rFonts w:hint="eastAsia" w:ascii="宋体" w:hAnsi="宋体" w:eastAsia="宋体" w:cs="宋体"/>
                <w:sz w:val="24"/>
              </w:rPr>
              <w:t xml:space="preserve">得 </w:t>
            </w:r>
            <w:r>
              <w:rPr>
                <w:rFonts w:hint="eastAsia" w:ascii="宋体" w:hAnsi="宋体" w:eastAsia="宋体" w:cs="宋体"/>
                <w:sz w:val="24"/>
                <w:lang w:val="en-US" w:eastAsia="zh-CN"/>
              </w:rPr>
              <w:t>0.1</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 xml:space="preserve"> 分；不提供不得分。</w:t>
            </w:r>
          </w:p>
        </w:tc>
        <w:tc>
          <w:tcPr>
            <w:tcW w:w="997" w:type="dxa"/>
            <w:tcBorders>
              <w:left w:val="single" w:color="auto" w:sz="4" w:space="0"/>
              <w:right w:val="single" w:color="auto" w:sz="4" w:space="0"/>
            </w:tcBorders>
            <w:noWrap w:val="0"/>
            <w:vAlign w:val="center"/>
          </w:tcPr>
          <w:p w14:paraId="48A57403">
            <w:pPr>
              <w:ind w:left="-124" w:leftChars="-62" w:right="-118" w:rightChars="-59"/>
              <w:jc w:val="center"/>
              <w:rPr>
                <w:rFonts w:hint="eastAsia" w:ascii="宋体" w:hAnsi="宋体" w:cs="宋体"/>
                <w:color w:val="auto"/>
                <w:sz w:val="24"/>
                <w:szCs w:val="24"/>
                <w:highlight w:val="none"/>
              </w:rPr>
            </w:pPr>
            <w:r>
              <w:rPr>
                <w:rFonts w:hint="eastAsia" w:ascii="宋体" w:hAnsi="宋体" w:cs="宋体"/>
                <w:color w:val="auto"/>
                <w:sz w:val="24"/>
                <w:highlight w:val="none"/>
              </w:rPr>
              <w:t>5</w:t>
            </w:r>
          </w:p>
        </w:tc>
      </w:tr>
      <w:tr w14:paraId="7E86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1724" w:type="dxa"/>
            <w:vMerge w:val="restart"/>
            <w:tcBorders>
              <w:left w:val="single" w:color="auto" w:sz="4" w:space="0"/>
              <w:right w:val="single" w:color="auto" w:sz="4" w:space="0"/>
            </w:tcBorders>
            <w:noWrap w:val="0"/>
            <w:vAlign w:val="center"/>
          </w:tcPr>
          <w:p w14:paraId="2ECE1BF7">
            <w:pPr>
              <w:tabs>
                <w:tab w:val="left" w:pos="1080"/>
              </w:tabs>
              <w:spacing w:line="312" w:lineRule="auto"/>
              <w:jc w:val="center"/>
              <w:rPr>
                <w:rFonts w:hint="eastAsia" w:ascii="宋体" w:hAnsi="宋体" w:cs="宋体"/>
                <w:color w:val="auto"/>
                <w:sz w:val="24"/>
                <w:szCs w:val="24"/>
                <w:highlight w:val="none"/>
              </w:rPr>
            </w:pPr>
            <w:r>
              <w:rPr>
                <w:rFonts w:hint="eastAsia" w:ascii="宋体" w:hAnsi="宋体" w:cs="宋体"/>
                <w:color w:val="auto"/>
                <w:sz w:val="24"/>
                <w:highlight w:val="none"/>
              </w:rPr>
              <w:t>应急预案</w:t>
            </w:r>
          </w:p>
        </w:tc>
        <w:tc>
          <w:tcPr>
            <w:tcW w:w="6898" w:type="dxa"/>
            <w:tcBorders>
              <w:left w:val="single" w:color="auto" w:sz="4" w:space="0"/>
              <w:right w:val="single" w:color="auto" w:sz="4" w:space="0"/>
            </w:tcBorders>
            <w:noWrap w:val="0"/>
            <w:vAlign w:val="center"/>
          </w:tcPr>
          <w:p w14:paraId="5960C22C">
            <w:pPr>
              <w:tabs>
                <w:tab w:val="left" w:pos="772"/>
              </w:tabs>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highlight w:val="none"/>
              </w:rPr>
              <w:t>评委根据供应商针对突发事件时的预案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0-5</w:t>
            </w:r>
            <w:r>
              <w:rPr>
                <w:rFonts w:hint="eastAsia" w:ascii="宋体" w:hAnsi="宋体" w:cs="宋体"/>
                <w:color w:val="auto"/>
                <w:kern w:val="0"/>
                <w:sz w:val="24"/>
                <w:szCs w:val="24"/>
                <w:highlight w:val="none"/>
                <w:lang w:eastAsia="zh-CN"/>
              </w:rPr>
              <w:t>）</w:t>
            </w:r>
            <w:r>
              <w:rPr>
                <w:rFonts w:hint="eastAsia" w:ascii="宋体" w:hAnsi="宋体" w:cs="宋体"/>
                <w:color w:val="auto"/>
                <w:sz w:val="24"/>
                <w:highlight w:val="none"/>
              </w:rPr>
              <w:t>进行打分</w:t>
            </w:r>
            <w:r>
              <w:rPr>
                <w:rFonts w:hint="eastAsia" w:ascii="宋体" w:hAnsi="宋体" w:cs="宋体"/>
                <w:color w:val="auto"/>
                <w:sz w:val="24"/>
                <w:szCs w:val="24"/>
                <w:highlight w:val="none"/>
              </w:rPr>
              <w:t>(如临时加菜、宴席、非工作日的加班，及停水停电等应急事件产生的供餐问题)。</w:t>
            </w:r>
            <w:r>
              <w:rPr>
                <w:rFonts w:hint="eastAsia" w:ascii="宋体" w:hAnsi="宋体" w:eastAsia="宋体" w:cs="宋体"/>
                <w:spacing w:val="-9"/>
                <w:sz w:val="24"/>
              </w:rPr>
              <w:t xml:space="preserve">合理可行的得 </w:t>
            </w: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pacing w:val="-8"/>
                <w:sz w:val="24"/>
              </w:rPr>
              <w:t xml:space="preserve">分；基本合理可行的得 </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 xml:space="preserve"> </w:t>
            </w:r>
            <w:r>
              <w:rPr>
                <w:rFonts w:hint="eastAsia" w:ascii="宋体" w:hAnsi="宋体" w:eastAsia="宋体" w:cs="宋体"/>
                <w:spacing w:val="-2"/>
                <w:sz w:val="24"/>
              </w:rPr>
              <w:t>分；一般的</w:t>
            </w:r>
            <w:r>
              <w:rPr>
                <w:rFonts w:hint="eastAsia" w:ascii="宋体" w:hAnsi="宋体" w:eastAsia="宋体" w:cs="宋体"/>
                <w:sz w:val="24"/>
              </w:rPr>
              <w:t xml:space="preserve">得 </w:t>
            </w:r>
            <w:r>
              <w:rPr>
                <w:rFonts w:hint="eastAsia" w:ascii="宋体" w:hAnsi="宋体" w:eastAsia="宋体" w:cs="宋体"/>
                <w:sz w:val="24"/>
                <w:lang w:val="en-US" w:eastAsia="zh-CN"/>
              </w:rPr>
              <w:t>0.1</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 xml:space="preserve"> 分；不提供不得分。</w:t>
            </w:r>
          </w:p>
        </w:tc>
        <w:tc>
          <w:tcPr>
            <w:tcW w:w="997" w:type="dxa"/>
            <w:tcBorders>
              <w:left w:val="single" w:color="auto" w:sz="4" w:space="0"/>
              <w:right w:val="single" w:color="auto" w:sz="4" w:space="0"/>
            </w:tcBorders>
            <w:noWrap w:val="0"/>
            <w:vAlign w:val="center"/>
          </w:tcPr>
          <w:p w14:paraId="09FB145A">
            <w:pPr>
              <w:ind w:left="-124" w:leftChars="-62" w:right="-118" w:rightChars="-59"/>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highlight w:val="none"/>
                <w:lang w:val="en-US" w:eastAsia="zh-CN"/>
              </w:rPr>
              <w:t>5</w:t>
            </w:r>
          </w:p>
        </w:tc>
      </w:tr>
      <w:tr w14:paraId="1D67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724" w:type="dxa"/>
            <w:vMerge w:val="continue"/>
            <w:tcBorders>
              <w:left w:val="single" w:color="auto" w:sz="4" w:space="0"/>
              <w:right w:val="single" w:color="auto" w:sz="4" w:space="0"/>
            </w:tcBorders>
            <w:noWrap w:val="0"/>
            <w:vAlign w:val="center"/>
          </w:tcPr>
          <w:p w14:paraId="2B8F6479">
            <w:pPr>
              <w:tabs>
                <w:tab w:val="left" w:pos="1080"/>
              </w:tabs>
              <w:spacing w:line="312" w:lineRule="auto"/>
              <w:jc w:val="center"/>
              <w:rPr>
                <w:rFonts w:hint="eastAsia" w:ascii="宋体" w:hAnsi="宋体" w:cs="宋体"/>
                <w:color w:val="auto"/>
                <w:sz w:val="24"/>
                <w:highlight w:val="none"/>
              </w:rPr>
            </w:pPr>
            <w:bookmarkStart w:id="147" w:name="_Toc4517"/>
            <w:bookmarkStart w:id="148" w:name="_Toc8033"/>
          </w:p>
        </w:tc>
        <w:tc>
          <w:tcPr>
            <w:tcW w:w="6898" w:type="dxa"/>
            <w:tcBorders>
              <w:left w:val="single" w:color="auto" w:sz="4" w:space="0"/>
              <w:right w:val="single" w:color="auto" w:sz="4" w:space="0"/>
            </w:tcBorders>
            <w:noWrap w:val="0"/>
            <w:vAlign w:val="center"/>
          </w:tcPr>
          <w:p w14:paraId="60420CC1">
            <w:pPr>
              <w:tabs>
                <w:tab w:val="left" w:pos="772"/>
              </w:tabs>
              <w:spacing w:line="24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评委根据供应商针对突发事件时的应对措施</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0-5</w:t>
            </w:r>
            <w:r>
              <w:rPr>
                <w:rFonts w:hint="eastAsia" w:ascii="宋体" w:hAnsi="宋体" w:cs="宋体"/>
                <w:color w:val="auto"/>
                <w:kern w:val="0"/>
                <w:sz w:val="24"/>
                <w:szCs w:val="24"/>
                <w:highlight w:val="none"/>
                <w:lang w:eastAsia="zh-CN"/>
              </w:rPr>
              <w:t>）</w:t>
            </w:r>
            <w:r>
              <w:rPr>
                <w:rFonts w:hint="eastAsia" w:ascii="宋体" w:hAnsi="宋体" w:cs="宋体"/>
                <w:color w:val="auto"/>
                <w:sz w:val="24"/>
                <w:highlight w:val="none"/>
              </w:rPr>
              <w:t>进行打分</w:t>
            </w:r>
            <w:r>
              <w:rPr>
                <w:rFonts w:hint="eastAsia" w:ascii="宋体" w:hAnsi="宋体" w:cs="宋体"/>
                <w:color w:val="auto"/>
                <w:sz w:val="24"/>
                <w:szCs w:val="24"/>
                <w:highlight w:val="none"/>
              </w:rPr>
              <w:t>(如临时加菜、宴席、非工作日的加班，及停水停电等应急事件产生的供餐问题)。</w:t>
            </w:r>
            <w:r>
              <w:rPr>
                <w:rFonts w:hint="eastAsia" w:ascii="宋体" w:hAnsi="宋体" w:eastAsia="宋体" w:cs="宋体"/>
                <w:spacing w:val="-9"/>
                <w:sz w:val="24"/>
              </w:rPr>
              <w:t xml:space="preserve">合理可行的得 </w:t>
            </w: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pacing w:val="-8"/>
                <w:sz w:val="24"/>
              </w:rPr>
              <w:t xml:space="preserve">分；基本合理可行的得 </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 xml:space="preserve"> </w:t>
            </w:r>
            <w:r>
              <w:rPr>
                <w:rFonts w:hint="eastAsia" w:ascii="宋体" w:hAnsi="宋体" w:eastAsia="宋体" w:cs="宋体"/>
                <w:spacing w:val="-2"/>
                <w:sz w:val="24"/>
              </w:rPr>
              <w:t>分；一般的</w:t>
            </w:r>
            <w:r>
              <w:rPr>
                <w:rFonts w:hint="eastAsia" w:ascii="宋体" w:hAnsi="宋体" w:eastAsia="宋体" w:cs="宋体"/>
                <w:sz w:val="24"/>
              </w:rPr>
              <w:t xml:space="preserve">得 </w:t>
            </w:r>
            <w:r>
              <w:rPr>
                <w:rFonts w:hint="eastAsia" w:ascii="宋体" w:hAnsi="宋体" w:eastAsia="宋体" w:cs="宋体"/>
                <w:sz w:val="24"/>
                <w:lang w:val="en-US" w:eastAsia="zh-CN"/>
              </w:rPr>
              <w:t>0.1</w:t>
            </w: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 xml:space="preserve"> 分；不提供不得分。</w:t>
            </w:r>
          </w:p>
        </w:tc>
        <w:tc>
          <w:tcPr>
            <w:tcW w:w="997" w:type="dxa"/>
            <w:tcBorders>
              <w:left w:val="single" w:color="auto" w:sz="4" w:space="0"/>
              <w:right w:val="single" w:color="auto" w:sz="4" w:space="0"/>
            </w:tcBorders>
            <w:noWrap w:val="0"/>
            <w:vAlign w:val="center"/>
          </w:tcPr>
          <w:p w14:paraId="7BC50D26">
            <w:pPr>
              <w:ind w:left="-124" w:leftChars="-62" w:right="-118" w:rightChars="-59"/>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p>
        </w:tc>
      </w:tr>
    </w:tbl>
    <w:p w14:paraId="676675E7">
      <w:pPr>
        <w:numPr>
          <w:ilvl w:val="0"/>
          <w:numId w:val="0"/>
        </w:numPr>
        <w:spacing w:line="360" w:lineRule="auto"/>
        <w:ind w:leftChars="200"/>
        <w:rPr>
          <w:rFonts w:hint="eastAsia" w:ascii="宋体" w:hAnsi="宋体" w:eastAsia="宋体" w:cs="宋体"/>
          <w:color w:val="auto"/>
          <w:sz w:val="24"/>
          <w:szCs w:val="21"/>
          <w:highlight w:val="none"/>
        </w:rPr>
      </w:pPr>
      <w:r>
        <w:rPr>
          <w:rFonts w:hint="eastAsia" w:ascii="宋体" w:hAnsi="宋体" w:eastAsia="宋体" w:cs="宋体"/>
          <w:b/>
          <w:bCs/>
          <w:color w:val="auto"/>
          <w:sz w:val="24"/>
          <w:szCs w:val="21"/>
          <w:highlight w:val="none"/>
          <w:lang w:val="en-US" w:eastAsia="zh-CN"/>
        </w:rPr>
        <w:t>2、</w:t>
      </w:r>
      <w:r>
        <w:rPr>
          <w:rFonts w:hint="eastAsia" w:ascii="宋体" w:hAnsi="宋体" w:eastAsia="宋体" w:cs="宋体"/>
          <w:b/>
          <w:bCs/>
          <w:color w:val="auto"/>
          <w:sz w:val="24"/>
          <w:szCs w:val="21"/>
          <w:highlight w:val="none"/>
        </w:rPr>
        <w:t>商务要求表</w:t>
      </w:r>
      <w:r>
        <w:rPr>
          <w:rFonts w:hint="eastAsia" w:ascii="宋体" w:hAnsi="宋体" w:eastAsia="宋体" w:cs="宋体"/>
          <w:color w:val="auto"/>
          <w:sz w:val="24"/>
          <w:szCs w:val="21"/>
          <w:highlight w:val="none"/>
        </w:rPr>
        <w:t>（对应评分标准）</w:t>
      </w:r>
    </w:p>
    <w:tbl>
      <w:tblPr>
        <w:tblStyle w:val="28"/>
        <w:tblpPr w:leftFromText="180" w:rightFromText="180" w:vertAnchor="text" w:horzAnchor="page" w:tblpX="1055" w:tblpY="197"/>
        <w:tblOverlap w:val="never"/>
        <w:tblW w:w="9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774"/>
        <w:gridCol w:w="6563"/>
        <w:gridCol w:w="852"/>
      </w:tblGrid>
      <w:tr w14:paraId="4B62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154" w:type="dxa"/>
            <w:gridSpan w:val="2"/>
            <w:tcBorders>
              <w:left w:val="single" w:color="auto" w:sz="4" w:space="0"/>
              <w:right w:val="single" w:color="auto" w:sz="4" w:space="0"/>
            </w:tcBorders>
            <w:noWrap w:val="0"/>
            <w:vAlign w:val="center"/>
          </w:tcPr>
          <w:p w14:paraId="688B5E2F">
            <w:pPr>
              <w:adjustRightInd w:val="0"/>
              <w:spacing w:before="159" w:beforeLines="50" w:line="360"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rPr>
              <w:t>评分项目</w:t>
            </w:r>
          </w:p>
        </w:tc>
        <w:tc>
          <w:tcPr>
            <w:tcW w:w="6563" w:type="dxa"/>
            <w:tcBorders>
              <w:top w:val="single" w:color="auto" w:sz="4" w:space="0"/>
              <w:left w:val="single" w:color="auto" w:sz="4" w:space="0"/>
              <w:right w:val="single" w:color="auto" w:sz="4" w:space="0"/>
            </w:tcBorders>
            <w:noWrap w:val="0"/>
            <w:vAlign w:val="center"/>
          </w:tcPr>
          <w:p w14:paraId="6ABAF6F2">
            <w:pPr>
              <w:adjustRightInd w:val="0"/>
              <w:spacing w:before="159" w:beforeLines="50"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评标要点及说明</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732D5FC5">
            <w:pPr>
              <w:adjustRightInd w:val="0"/>
              <w:spacing w:before="159" w:beforeLines="50"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highlight w:val="none"/>
              </w:rPr>
              <w:t>分值</w:t>
            </w:r>
          </w:p>
        </w:tc>
      </w:tr>
      <w:tr w14:paraId="0493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1380" w:type="dxa"/>
            <w:tcBorders>
              <w:left w:val="single" w:color="auto" w:sz="4" w:space="0"/>
              <w:right w:val="single" w:color="auto" w:sz="4" w:space="0"/>
            </w:tcBorders>
            <w:noWrap w:val="0"/>
            <w:vAlign w:val="center"/>
          </w:tcPr>
          <w:p w14:paraId="2D9B62C4">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资信（</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34A6784E">
            <w:pPr>
              <w:adjustRightInd w:val="0"/>
              <w:spacing w:before="156" w:beforeLines="50"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人员证书</w:t>
            </w:r>
          </w:p>
        </w:tc>
        <w:tc>
          <w:tcPr>
            <w:tcW w:w="6563" w:type="dxa"/>
            <w:tcBorders>
              <w:top w:val="single" w:color="auto" w:sz="4" w:space="0"/>
              <w:left w:val="single" w:color="auto" w:sz="4" w:space="0"/>
              <w:right w:val="single" w:color="auto" w:sz="4" w:space="0"/>
            </w:tcBorders>
            <w:noWrap w:val="0"/>
            <w:vAlign w:val="center"/>
          </w:tcPr>
          <w:p w14:paraId="7A93186C">
            <w:pPr>
              <w:autoSpaceDE w:val="0"/>
              <w:autoSpaceDN w:val="0"/>
              <w:adjustRightInd w:val="0"/>
              <w:spacing w:line="24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根据供应商</w:t>
            </w:r>
            <w:r>
              <w:rPr>
                <w:rFonts w:hint="eastAsia" w:ascii="宋体" w:hAnsi="宋体" w:eastAsia="宋体" w:cs="宋体"/>
                <w:color w:val="auto"/>
                <w:sz w:val="24"/>
                <w:highlight w:val="none"/>
                <w:lang w:eastAsia="zh-CN"/>
              </w:rPr>
              <w:t>提供的食堂厨师三级及以上厨师执业资格证书，面点岗持有政府相关部门颁发职业证书，每提供一个得</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分，最高得</w:t>
            </w:r>
            <w:r>
              <w:rPr>
                <w:rFonts w:hint="eastAsia" w:ascii="宋体" w:hAnsi="宋体" w:eastAsia="宋体" w:cs="宋体"/>
                <w:color w:val="auto"/>
                <w:sz w:val="24"/>
                <w:highlight w:val="none"/>
                <w:lang w:val="en-US" w:eastAsia="zh-CN"/>
              </w:rPr>
              <w:t>2分。(需提供有效证书复印件并加盖投标人公章)</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0340946E">
            <w:pPr>
              <w:tabs>
                <w:tab w:val="left" w:pos="1080"/>
              </w:tabs>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2</w:t>
            </w:r>
          </w:p>
        </w:tc>
      </w:tr>
    </w:tbl>
    <w:p w14:paraId="7BA755FC">
      <w:pPr>
        <w:spacing w:line="360" w:lineRule="auto"/>
        <w:rPr>
          <w:rFonts w:ascii="宋体"/>
          <w:color w:val="auto"/>
          <w:sz w:val="24"/>
          <w:szCs w:val="24"/>
          <w:highlight w:val="none"/>
        </w:rPr>
      </w:pPr>
      <w:r>
        <w:rPr>
          <w:rFonts w:hint="eastAsia" w:ascii="宋体" w:hAnsi="宋体" w:cs="宋体"/>
          <w:color w:val="auto"/>
          <w:sz w:val="24"/>
          <w:szCs w:val="24"/>
          <w:highlight w:val="none"/>
        </w:rPr>
        <w:t>注：</w:t>
      </w:r>
    </w:p>
    <w:p w14:paraId="6CD152ED">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各成员应当独立对每个供应商的响应文件进行评价，并汇总每个供应商的得分。</w:t>
      </w:r>
    </w:p>
    <w:p w14:paraId="4B246A3C">
      <w:pPr>
        <w:spacing w:line="360" w:lineRule="auto"/>
        <w:ind w:firstLine="480" w:firstLineChars="200"/>
        <w:rPr>
          <w:rFonts w:cs="宋体"/>
          <w:color w:val="auto"/>
          <w:sz w:val="36"/>
          <w:szCs w:val="36"/>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、所有文件、合同、证书、资质等需要真实有效。成交供应商在中标后签订合同时需提供以上证明文件原件，若发现资料作假的取消中标资格。</w:t>
      </w:r>
      <w:r>
        <w:rPr>
          <w:rFonts w:hint="eastAsia" w:cs="宋体"/>
          <w:color w:val="auto"/>
          <w:sz w:val="36"/>
          <w:szCs w:val="36"/>
          <w:highlight w:val="none"/>
        </w:rPr>
        <w:br w:type="page"/>
      </w:r>
    </w:p>
    <w:bookmarkEnd w:id="147"/>
    <w:bookmarkEnd w:id="148"/>
    <w:p w14:paraId="4B1F822C">
      <w:pPr>
        <w:pStyle w:val="2"/>
        <w:ind w:firstLineChars="200"/>
        <w:jc w:val="center"/>
        <w:rPr>
          <w:rFonts w:hint="eastAsia" w:ascii="Calibri" w:hAnsi="Calibri" w:cs="宋体"/>
          <w:color w:val="auto"/>
          <w:kern w:val="44"/>
          <w:sz w:val="36"/>
          <w:szCs w:val="36"/>
          <w:highlight w:val="none"/>
        </w:rPr>
      </w:pPr>
      <w:bookmarkStart w:id="149" w:name="_Toc7224"/>
      <w:bookmarkStart w:id="150" w:name="_Toc17086"/>
      <w:bookmarkStart w:id="151" w:name="_Toc21224"/>
      <w:r>
        <w:rPr>
          <w:rFonts w:hint="eastAsia" w:cs="宋体"/>
          <w:color w:val="auto"/>
          <w:sz w:val="36"/>
          <w:szCs w:val="36"/>
          <w:highlight w:val="none"/>
        </w:rPr>
        <w:t>第五部分</w:t>
      </w:r>
      <w:bookmarkEnd w:id="149"/>
      <w:r>
        <w:rPr>
          <w:rFonts w:hint="eastAsia" w:cs="宋体"/>
          <w:color w:val="auto"/>
          <w:sz w:val="36"/>
          <w:szCs w:val="36"/>
          <w:highlight w:val="none"/>
          <w:lang w:val="en-US" w:eastAsia="zh-CN"/>
        </w:rPr>
        <w:t xml:space="preserve"> </w:t>
      </w:r>
      <w:r>
        <w:rPr>
          <w:rFonts w:hint="eastAsia" w:cs="宋体"/>
          <w:color w:val="auto"/>
          <w:sz w:val="36"/>
          <w:szCs w:val="36"/>
          <w:highlight w:val="none"/>
        </w:rPr>
        <w:t>采购合同</w:t>
      </w:r>
      <w:bookmarkEnd w:id="150"/>
      <w:bookmarkEnd w:id="151"/>
    </w:p>
    <w:p w14:paraId="3865DE9B">
      <w:pPr>
        <w:spacing w:line="360" w:lineRule="auto"/>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合同编号：（</w:t>
      </w:r>
      <w:r>
        <w:rPr>
          <w:rFonts w:hint="eastAsia" w:ascii="宋体" w:hAnsi="宋体" w:cs="宋体"/>
          <w:color w:val="auto"/>
          <w:kern w:val="0"/>
          <w:sz w:val="24"/>
          <w:highlight w:val="none"/>
          <w:lang w:eastAsia="zh-CN"/>
        </w:rPr>
        <w:t>2026</w:t>
      </w:r>
      <w:r>
        <w:rPr>
          <w:rFonts w:hint="eastAsia" w:ascii="宋体" w:hAnsi="宋体" w:cs="宋体"/>
          <w:color w:val="auto"/>
          <w:kern w:val="0"/>
          <w:sz w:val="24"/>
          <w:highlight w:val="none"/>
        </w:rPr>
        <w:t>）第</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号</w:t>
      </w:r>
    </w:p>
    <w:p w14:paraId="29AAD621">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签订日期：</w:t>
      </w:r>
      <w:r>
        <w:rPr>
          <w:rFonts w:hint="eastAsia" w:ascii="宋体" w:hAnsi="宋体" w:cs="宋体"/>
          <w:color w:val="auto"/>
          <w:kern w:val="0"/>
          <w:sz w:val="24"/>
          <w:highlight w:val="none"/>
          <w:lang w:eastAsia="zh-CN"/>
        </w:rPr>
        <w:t>2026</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日</w:t>
      </w:r>
    </w:p>
    <w:p w14:paraId="3D5629D2">
      <w:pPr>
        <w:spacing w:line="360" w:lineRule="auto"/>
        <w:ind w:firstLine="480" w:firstLineChars="200"/>
        <w:rPr>
          <w:rFonts w:ascii="宋体" w:hAnsi="宋体" w:cs="宋体"/>
          <w:color w:val="auto"/>
          <w:sz w:val="28"/>
          <w:highlight w:val="none"/>
          <w:u w:val="single"/>
        </w:rPr>
      </w:pPr>
      <w:r>
        <w:rPr>
          <w:rFonts w:hint="eastAsia" w:ascii="宋体" w:hAnsi="宋体" w:cs="宋体"/>
          <w:color w:val="auto"/>
          <w:kern w:val="0"/>
          <w:sz w:val="24"/>
          <w:highlight w:val="none"/>
        </w:rPr>
        <w:t>　</w:t>
      </w:r>
      <w:r>
        <w:rPr>
          <w:rFonts w:hint="eastAsia" w:ascii="宋体" w:hAnsi="宋体" w:cs="宋体"/>
          <w:color w:val="auto"/>
          <w:kern w:val="0"/>
          <w:sz w:val="24"/>
          <w:highlight w:val="none"/>
          <w:lang w:val="en-US" w:eastAsia="zh-CN"/>
        </w:rPr>
        <w:t>甲</w:t>
      </w:r>
      <w:r>
        <w:rPr>
          <w:rFonts w:hint="eastAsia" w:ascii="宋体" w:hAnsi="宋体" w:cs="宋体"/>
          <w:color w:val="auto"/>
          <w:kern w:val="0"/>
          <w:sz w:val="24"/>
          <w:highlight w:val="none"/>
        </w:rPr>
        <w:t>方</w:t>
      </w:r>
      <w:r>
        <w:rPr>
          <w:rFonts w:hint="eastAsia" w:ascii="宋体" w:hAnsi="宋体" w:cs="宋体"/>
          <w:color w:val="auto"/>
          <w:sz w:val="28"/>
          <w:highlight w:val="none"/>
        </w:rPr>
        <w:t>：</w:t>
      </w:r>
      <w:r>
        <w:rPr>
          <w:rFonts w:hint="eastAsia" w:ascii="宋体" w:hAnsi="宋体" w:cs="宋体"/>
          <w:color w:val="auto"/>
          <w:sz w:val="28"/>
          <w:highlight w:val="none"/>
          <w:u w:val="single"/>
        </w:rPr>
        <w:t>绍兴市上虞区应急管理局　　　　　　　　　　　</w:t>
      </w:r>
    </w:p>
    <w:p w14:paraId="6D2F93E6">
      <w:pPr>
        <w:spacing w:line="360" w:lineRule="auto"/>
        <w:ind w:firstLine="720" w:firstLineChars="300"/>
        <w:jc w:val="left"/>
        <w:rPr>
          <w:rFonts w:ascii="宋体" w:hAnsi="宋体" w:cs="宋体"/>
          <w:color w:val="auto"/>
          <w:sz w:val="28"/>
          <w:highlight w:val="none"/>
          <w:u w:val="single"/>
        </w:rPr>
      </w:pPr>
      <w:r>
        <w:rPr>
          <w:rFonts w:hint="eastAsia" w:ascii="宋体" w:hAnsi="宋体" w:cs="宋体"/>
          <w:color w:val="auto"/>
          <w:kern w:val="0"/>
          <w:sz w:val="24"/>
          <w:highlight w:val="none"/>
          <w:lang w:val="en-US" w:eastAsia="zh-CN"/>
        </w:rPr>
        <w:t>乙</w:t>
      </w:r>
      <w:r>
        <w:rPr>
          <w:rFonts w:hint="eastAsia" w:ascii="宋体" w:hAnsi="宋体" w:cs="宋体"/>
          <w:color w:val="auto"/>
          <w:kern w:val="0"/>
          <w:sz w:val="24"/>
          <w:highlight w:val="none"/>
        </w:rPr>
        <w:t>方</w:t>
      </w:r>
      <w:r>
        <w:rPr>
          <w:rFonts w:hint="eastAsia" w:ascii="宋体" w:hAnsi="宋体" w:cs="宋体"/>
          <w:color w:val="auto"/>
          <w:sz w:val="28"/>
          <w:highlight w:val="none"/>
        </w:rPr>
        <w:t>：</w:t>
      </w:r>
      <w:r>
        <w:rPr>
          <w:rFonts w:hint="eastAsia" w:ascii="宋体" w:hAnsi="宋体" w:cs="宋体"/>
          <w:color w:val="auto"/>
          <w:sz w:val="28"/>
          <w:highlight w:val="none"/>
          <w:u w:val="single"/>
        </w:rPr>
        <w:t>　　　　　　　　　　　　　　　　　　　　　　　　　</w:t>
      </w:r>
    </w:p>
    <w:p w14:paraId="7CF07432">
      <w:pPr>
        <w:spacing w:line="360" w:lineRule="auto"/>
        <w:ind w:firstLine="480" w:firstLineChars="200"/>
        <w:jc w:val="left"/>
        <w:rPr>
          <w:rFonts w:ascii="宋体" w:hAnsi="宋体" w:cs="宋体"/>
          <w:b/>
          <w:bCs/>
          <w:color w:val="auto"/>
          <w:sz w:val="24"/>
          <w:highlight w:val="none"/>
        </w:rPr>
      </w:pPr>
      <w:r>
        <w:rPr>
          <w:rFonts w:hint="eastAsia" w:ascii="宋体" w:hAnsi="宋体" w:cs="宋体"/>
          <w:color w:val="auto"/>
          <w:kern w:val="0"/>
          <w:sz w:val="24"/>
          <w:highlight w:val="none"/>
        </w:rPr>
        <w:t>根据《中华人民共和国民法典》、政府采购编号为</w:t>
      </w:r>
      <w:r>
        <w:rPr>
          <w:rFonts w:hint="eastAsia" w:ascii="宋体" w:hAnsi="宋体" w:cs="宋体"/>
          <w:color w:val="auto"/>
          <w:kern w:val="0"/>
          <w:sz w:val="24"/>
          <w:highlight w:val="none"/>
          <w:u w:val="none"/>
          <w:lang w:eastAsia="zh-CN"/>
        </w:rPr>
        <w:t>CY202600</w:t>
      </w:r>
      <w:r>
        <w:rPr>
          <w:rFonts w:hint="eastAsia" w:ascii="宋体" w:hAnsi="宋体" w:cs="宋体"/>
          <w:color w:val="auto"/>
          <w:kern w:val="0"/>
          <w:sz w:val="24"/>
          <w:highlight w:val="none"/>
          <w:u w:val="none"/>
          <w:lang w:val="en-US" w:eastAsia="zh-CN"/>
        </w:rPr>
        <w:t>3</w:t>
      </w:r>
      <w:r>
        <w:rPr>
          <w:rFonts w:hint="eastAsia" w:ascii="宋体" w:hAnsi="宋体" w:cs="宋体"/>
          <w:color w:val="auto"/>
          <w:kern w:val="0"/>
          <w:sz w:val="24"/>
          <w:highlight w:val="none"/>
        </w:rPr>
        <w:t>招标文件、中标人响应文件的规定，经</w:t>
      </w:r>
      <w:r>
        <w:rPr>
          <w:rFonts w:hint="eastAsia" w:ascii="宋体" w:hAnsi="宋体" w:cs="宋体"/>
          <w:color w:val="auto"/>
          <w:kern w:val="0"/>
          <w:sz w:val="24"/>
          <w:highlight w:val="none"/>
          <w:lang w:val="en-US" w:eastAsia="zh-CN"/>
        </w:rPr>
        <w:t>竞争性磋商</w:t>
      </w:r>
      <w:r>
        <w:rPr>
          <w:rFonts w:hint="eastAsia" w:ascii="宋体" w:hAnsi="宋体" w:cs="宋体"/>
          <w:color w:val="auto"/>
          <w:kern w:val="0"/>
          <w:sz w:val="24"/>
          <w:highlight w:val="none"/>
        </w:rPr>
        <w:t>招标采购，签订本合同。</w:t>
      </w:r>
    </w:p>
    <w:p w14:paraId="11E6D3F4">
      <w:pPr>
        <w:keepNext w:val="0"/>
        <w:keepLines w:val="0"/>
        <w:pageBreakBefore w:val="0"/>
        <w:widowControl w:val="0"/>
        <w:numPr>
          <w:ilvl w:val="0"/>
          <w:numId w:val="22"/>
        </w:numPr>
        <w:kinsoku/>
        <w:wordWrap/>
        <w:overflowPunct/>
        <w:topLinePunct w:val="0"/>
        <w:autoSpaceDE/>
        <w:autoSpaceDN/>
        <w:bidi w:val="0"/>
        <w:adjustRightInd/>
        <w:snapToGrid/>
        <w:spacing w:line="48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bookmarkStart w:id="152" w:name="_Toc26031"/>
      <w:r>
        <w:rPr>
          <w:rFonts w:hint="eastAsia" w:ascii="宋体" w:hAnsi="宋体" w:eastAsia="宋体" w:cs="宋体"/>
          <w:b/>
          <w:bCs/>
          <w:color w:val="auto"/>
          <w:sz w:val="24"/>
          <w:szCs w:val="24"/>
          <w:highlight w:val="none"/>
          <w:lang w:val="en-US" w:eastAsia="zh-CN"/>
        </w:rPr>
        <w:t>项目概况</w:t>
      </w:r>
    </w:p>
    <w:p w14:paraId="4C237E03">
      <w:pPr>
        <w:spacing w:line="360" w:lineRule="auto"/>
        <w:ind w:firstLine="480" w:firstLineChars="200"/>
        <w:rPr>
          <w:rFonts w:hint="eastAsia" w:ascii="宋体" w:hAnsi="宋体" w:eastAsia="宋体" w:cs="宋体"/>
          <w:color w:val="auto"/>
          <w:sz w:val="24"/>
          <w:szCs w:val="21"/>
          <w:lang w:eastAsia="zh-CN"/>
        </w:rPr>
      </w:pPr>
      <w:r>
        <w:rPr>
          <w:rFonts w:hint="eastAsia" w:ascii="宋体" w:hAnsi="宋体" w:eastAsia="宋体" w:cs="宋体"/>
          <w:color w:val="auto"/>
          <w:sz w:val="24"/>
          <w:szCs w:val="21"/>
          <w:lang w:eastAsia="zh-CN"/>
        </w:rPr>
        <w:t>上虞区应急管理局为保障全体干部职工就餐的实际情况，将委托专业餐饮公司</w:t>
      </w:r>
      <w:r>
        <w:rPr>
          <w:rFonts w:hint="eastAsia" w:ascii="宋体" w:hAnsi="宋体" w:eastAsia="宋体" w:cs="宋体"/>
          <w:color w:val="auto"/>
          <w:sz w:val="24"/>
          <w:szCs w:val="21"/>
          <w:lang w:val="en-US" w:eastAsia="zh-CN"/>
        </w:rPr>
        <w:t>指派专业团队</w:t>
      </w:r>
      <w:r>
        <w:rPr>
          <w:rFonts w:hint="eastAsia" w:ascii="宋体" w:hAnsi="宋体" w:eastAsia="宋体" w:cs="宋体"/>
          <w:color w:val="auto"/>
          <w:sz w:val="24"/>
          <w:szCs w:val="21"/>
          <w:lang w:eastAsia="zh-CN"/>
        </w:rPr>
        <w:t>提供膳食服务。</w:t>
      </w:r>
    </w:p>
    <w:p w14:paraId="4850370A">
      <w:pPr>
        <w:spacing w:line="360" w:lineRule="auto"/>
        <w:ind w:firstLine="480" w:firstLineChars="200"/>
        <w:rPr>
          <w:rFonts w:hint="eastAsia" w:ascii="宋体" w:hAnsi="宋体" w:eastAsia="宋体" w:cs="宋体"/>
          <w:color w:val="auto"/>
          <w:sz w:val="24"/>
          <w:szCs w:val="21"/>
          <w:lang w:eastAsia="zh-CN"/>
        </w:rPr>
      </w:pPr>
      <w:r>
        <w:rPr>
          <w:rFonts w:hint="eastAsia" w:ascii="宋体" w:hAnsi="宋体" w:cs="宋体"/>
          <w:color w:val="auto"/>
          <w:sz w:val="24"/>
          <w:szCs w:val="21"/>
          <w:lang w:val="en-US" w:eastAsia="zh-CN"/>
        </w:rPr>
        <w:t>乙方</w:t>
      </w:r>
      <w:r>
        <w:rPr>
          <w:rFonts w:hint="eastAsia" w:ascii="宋体" w:hAnsi="宋体" w:eastAsia="宋体" w:cs="宋体"/>
          <w:color w:val="auto"/>
          <w:sz w:val="24"/>
          <w:szCs w:val="21"/>
          <w:lang w:val="en-US" w:eastAsia="zh-CN"/>
        </w:rPr>
        <w:t>需</w:t>
      </w:r>
      <w:r>
        <w:rPr>
          <w:rFonts w:hint="eastAsia" w:ascii="宋体" w:hAnsi="宋体" w:eastAsia="宋体" w:cs="宋体"/>
          <w:color w:val="auto"/>
          <w:sz w:val="24"/>
          <w:szCs w:val="21"/>
          <w:lang w:eastAsia="zh-CN"/>
        </w:rPr>
        <w:t>按标准为全局干部职工提供包括工作日的早中晚餐、周末</w:t>
      </w:r>
      <w:r>
        <w:rPr>
          <w:rFonts w:hint="eastAsia" w:ascii="宋体" w:hAnsi="宋体" w:eastAsia="宋体" w:cs="宋体"/>
          <w:color w:val="auto"/>
          <w:sz w:val="24"/>
          <w:szCs w:val="21"/>
          <w:lang w:val="en-US" w:eastAsia="zh-CN"/>
        </w:rPr>
        <w:t>及</w:t>
      </w:r>
      <w:r>
        <w:rPr>
          <w:rFonts w:hint="eastAsia" w:ascii="宋体" w:hAnsi="宋体" w:eastAsia="宋体" w:cs="宋体"/>
          <w:color w:val="auto"/>
          <w:sz w:val="24"/>
          <w:szCs w:val="21"/>
          <w:lang w:eastAsia="zh-CN"/>
        </w:rPr>
        <w:t>节假日的厨师烹饪、帮工洗切、食堂区域保洁、周末和节假日送餐服务等，食堂菜肴配制</w:t>
      </w:r>
      <w:bookmarkStart w:id="153" w:name="auto_fouce_4"/>
      <w:r>
        <w:rPr>
          <w:rFonts w:hint="eastAsia" w:ascii="宋体" w:hAnsi="宋体" w:eastAsia="宋体" w:cs="宋体"/>
          <w:color w:val="auto"/>
          <w:sz w:val="24"/>
          <w:szCs w:val="21"/>
          <w:lang w:val="en-US" w:eastAsia="zh-CN"/>
        </w:rPr>
        <w:t>应当严格符合本合同附件《上虞区应急管理局食堂管理服务考核办法》规定的食品卫生、品种数量、口感要求，做到新鲜、卫生。</w:t>
      </w:r>
      <w:bookmarkEnd w:id="153"/>
    </w:p>
    <w:p w14:paraId="5EED8C09">
      <w:pPr>
        <w:keepNext w:val="0"/>
        <w:keepLines w:val="0"/>
        <w:pageBreakBefore w:val="0"/>
        <w:widowControl w:val="0"/>
        <w:numPr>
          <w:ilvl w:val="0"/>
          <w:numId w:val="22"/>
        </w:numPr>
        <w:kinsoku/>
        <w:wordWrap/>
        <w:overflowPunct/>
        <w:topLinePunct w:val="0"/>
        <w:autoSpaceDE/>
        <w:autoSpaceDN/>
        <w:bidi w:val="0"/>
        <w:adjustRightInd/>
        <w:snapToGrid/>
        <w:spacing w:line="48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服务期限</w:t>
      </w:r>
    </w:p>
    <w:p w14:paraId="4569CEEC">
      <w:pPr>
        <w:spacing w:line="360" w:lineRule="auto"/>
        <w:ind w:firstLine="480" w:firstLineChars="200"/>
        <w:rPr>
          <w:rFonts w:hint="eastAsia"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本次招标服务期限为一年（具体起止时间在合同签订时协商确定）。</w:t>
      </w:r>
    </w:p>
    <w:p w14:paraId="5F83D9E4">
      <w:pPr>
        <w:keepNext w:val="0"/>
        <w:keepLines w:val="0"/>
        <w:pageBreakBefore w:val="0"/>
        <w:widowControl w:val="0"/>
        <w:numPr>
          <w:ilvl w:val="0"/>
          <w:numId w:val="22"/>
        </w:numPr>
        <w:kinsoku/>
        <w:wordWrap/>
        <w:overflowPunct/>
        <w:topLinePunct w:val="0"/>
        <w:autoSpaceDE/>
        <w:autoSpaceDN/>
        <w:bidi w:val="0"/>
        <w:adjustRightInd/>
        <w:snapToGrid/>
        <w:spacing w:line="48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人员配置要求</w:t>
      </w:r>
    </w:p>
    <w:p w14:paraId="357AD371">
      <w:pPr>
        <w:numPr>
          <w:ilvl w:val="0"/>
          <w:numId w:val="0"/>
        </w:numPr>
        <w:spacing w:line="360" w:lineRule="auto"/>
        <w:ind w:firstLine="480" w:firstLineChars="200"/>
        <w:rPr>
          <w:rFonts w:hint="default" w:ascii="宋体" w:hAnsi="宋体" w:eastAsia="宋体" w:cs="宋体"/>
          <w:color w:val="auto"/>
          <w:sz w:val="24"/>
          <w:szCs w:val="21"/>
          <w:lang w:val="en-US" w:eastAsia="zh-CN"/>
        </w:rPr>
      </w:pPr>
      <w:r>
        <w:rPr>
          <w:rFonts w:hint="eastAsia" w:cs="宋体"/>
          <w:color w:val="auto"/>
          <w:sz w:val="24"/>
          <w:szCs w:val="21"/>
          <w:lang w:eastAsia="zh-CN"/>
        </w:rPr>
        <w:t>甲方</w:t>
      </w:r>
      <w:r>
        <w:rPr>
          <w:rFonts w:hint="eastAsia" w:ascii="宋体" w:hAnsi="宋体" w:eastAsia="宋体" w:cs="宋体"/>
          <w:color w:val="auto"/>
          <w:sz w:val="24"/>
          <w:szCs w:val="21"/>
          <w:lang w:eastAsia="zh-CN"/>
        </w:rPr>
        <w:t>指定工作人员联系食堂工作，协助</w:t>
      </w:r>
      <w:r>
        <w:rPr>
          <w:rFonts w:hint="eastAsia" w:cs="宋体"/>
          <w:color w:val="auto"/>
          <w:sz w:val="24"/>
          <w:szCs w:val="21"/>
          <w:lang w:eastAsia="zh-CN"/>
        </w:rPr>
        <w:t>乙方</w:t>
      </w:r>
      <w:r>
        <w:rPr>
          <w:rFonts w:hint="eastAsia" w:ascii="宋体" w:hAnsi="宋体" w:eastAsia="宋体" w:cs="宋体"/>
          <w:color w:val="auto"/>
          <w:sz w:val="24"/>
          <w:szCs w:val="21"/>
          <w:lang w:eastAsia="zh-CN"/>
        </w:rPr>
        <w:t>做好协调沟通工作，</w:t>
      </w:r>
      <w:r>
        <w:rPr>
          <w:rFonts w:hint="eastAsia" w:cs="宋体"/>
          <w:color w:val="auto"/>
          <w:sz w:val="24"/>
          <w:szCs w:val="21"/>
          <w:lang w:eastAsia="zh-CN"/>
        </w:rPr>
        <w:t>乙方</w:t>
      </w:r>
      <w:r>
        <w:rPr>
          <w:rFonts w:hint="eastAsia" w:ascii="宋体" w:hAnsi="宋体" w:eastAsia="宋体" w:cs="宋体"/>
          <w:color w:val="auto"/>
          <w:sz w:val="24"/>
          <w:szCs w:val="21"/>
          <w:lang w:eastAsia="zh-CN"/>
        </w:rPr>
        <w:t>必须配备食堂管理服务必需的食堂厨师和服务人员。食堂厨师和服务人员要求具备健康证，相应资格证书，五官端正，有良好的身体素质，思想素质，组织纪律和服务技能，胜任食堂服务工作，</w:t>
      </w:r>
      <w:r>
        <w:rPr>
          <w:rFonts w:hint="eastAsia" w:ascii="宋体" w:hAnsi="宋体" w:eastAsia="宋体" w:cs="宋体"/>
          <w:color w:val="auto"/>
          <w:sz w:val="24"/>
          <w:szCs w:val="21"/>
          <w:lang w:val="en-US" w:eastAsia="zh-CN"/>
        </w:rPr>
        <w:t>具体如下：</w:t>
      </w:r>
    </w:p>
    <w:tbl>
      <w:tblPr>
        <w:tblStyle w:val="28"/>
        <w:tblW w:w="939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8"/>
        <w:gridCol w:w="2362"/>
        <w:gridCol w:w="6039"/>
      </w:tblGrid>
      <w:tr w14:paraId="160F4F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17675AC9">
            <w:pPr>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序号</w:t>
            </w:r>
          </w:p>
        </w:tc>
        <w:tc>
          <w:tcPr>
            <w:tcW w:w="2362" w:type="dxa"/>
            <w:noWrap w:val="0"/>
            <w:vAlign w:val="center"/>
          </w:tcPr>
          <w:p w14:paraId="0BCD93F2">
            <w:pPr>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岗位</w:t>
            </w:r>
            <w:r>
              <w:rPr>
                <w:rFonts w:hint="eastAsia" w:ascii="宋体" w:hAnsi="宋体" w:eastAsia="宋体" w:cs="宋体"/>
                <w:b/>
                <w:color w:val="auto"/>
                <w:sz w:val="24"/>
                <w:szCs w:val="24"/>
                <w:highlight w:val="none"/>
                <w:lang w:val="en-US" w:eastAsia="zh-CN"/>
              </w:rPr>
              <w:t>需求</w:t>
            </w:r>
          </w:p>
        </w:tc>
        <w:tc>
          <w:tcPr>
            <w:tcW w:w="6039" w:type="dxa"/>
            <w:noWrap w:val="0"/>
            <w:vAlign w:val="center"/>
          </w:tcPr>
          <w:p w14:paraId="7BB81488">
            <w:pPr>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岗位</w:t>
            </w:r>
            <w:r>
              <w:rPr>
                <w:rFonts w:hint="eastAsia" w:ascii="宋体" w:hAnsi="宋体" w:eastAsia="宋体" w:cs="宋体"/>
                <w:b/>
                <w:color w:val="auto"/>
                <w:sz w:val="24"/>
                <w:szCs w:val="24"/>
                <w:highlight w:val="none"/>
                <w:lang w:eastAsia="zh-CN"/>
              </w:rPr>
              <w:t>职责</w:t>
            </w:r>
            <w:r>
              <w:rPr>
                <w:rFonts w:hint="eastAsia" w:ascii="宋体" w:hAnsi="宋体" w:eastAsia="宋体" w:cs="宋体"/>
                <w:b/>
                <w:color w:val="auto"/>
                <w:sz w:val="24"/>
                <w:szCs w:val="24"/>
                <w:highlight w:val="none"/>
                <w:lang w:val="en-US" w:eastAsia="zh-CN"/>
              </w:rPr>
              <w:t>要求</w:t>
            </w:r>
          </w:p>
        </w:tc>
      </w:tr>
      <w:tr w14:paraId="1788C4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30F927F5">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w:t>
            </w:r>
          </w:p>
        </w:tc>
        <w:tc>
          <w:tcPr>
            <w:tcW w:w="2362" w:type="dxa"/>
            <w:noWrap w:val="0"/>
            <w:vAlign w:val="center"/>
          </w:tcPr>
          <w:p w14:paraId="673778DB">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vertAlign w:val="baseline"/>
                <w:lang w:val="en-US" w:eastAsia="zh-CN"/>
              </w:rPr>
              <w:t>管理岗</w:t>
            </w:r>
          </w:p>
        </w:tc>
        <w:tc>
          <w:tcPr>
            <w:tcW w:w="6039" w:type="dxa"/>
            <w:noWrap w:val="0"/>
            <w:vAlign w:val="top"/>
          </w:tcPr>
          <w:p w14:paraId="6329B1D1">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负责餐厅的日常管理工作，</w:t>
            </w:r>
            <w:r>
              <w:rPr>
                <w:rFonts w:hint="eastAsia" w:ascii="宋体" w:hAnsi="宋体" w:cs="宋体"/>
                <w:color w:val="auto"/>
                <w:sz w:val="24"/>
                <w:szCs w:val="24"/>
                <w:highlight w:val="none"/>
                <w:lang w:val="en-US" w:eastAsia="zh-CN"/>
              </w:rPr>
              <w:t>具有</w:t>
            </w:r>
            <w:r>
              <w:rPr>
                <w:rFonts w:hint="eastAsia" w:ascii="宋体" w:hAnsi="宋体" w:eastAsia="宋体" w:cs="宋体"/>
                <w:color w:val="auto"/>
                <w:sz w:val="24"/>
                <w:szCs w:val="24"/>
                <w:highlight w:val="none"/>
                <w:lang w:val="en-US" w:eastAsia="zh-CN"/>
              </w:rPr>
              <w:t>多年餐厅</w:t>
            </w:r>
            <w:r>
              <w:rPr>
                <w:rFonts w:hint="eastAsia" w:ascii="宋体" w:hAnsi="宋体" w:cs="宋体"/>
                <w:color w:val="auto"/>
                <w:sz w:val="24"/>
                <w:szCs w:val="24"/>
                <w:highlight w:val="none"/>
                <w:lang w:val="en-US" w:eastAsia="zh-CN"/>
              </w:rPr>
              <w:t>管理</w:t>
            </w:r>
            <w:r>
              <w:rPr>
                <w:rFonts w:hint="eastAsia" w:ascii="宋体" w:hAnsi="宋体" w:eastAsia="宋体" w:cs="宋体"/>
                <w:color w:val="auto"/>
                <w:sz w:val="24"/>
                <w:szCs w:val="24"/>
                <w:highlight w:val="none"/>
                <w:lang w:val="en-US" w:eastAsia="zh-CN"/>
              </w:rPr>
              <w:t>工作经验，责任心强，具备较高的业务水准</w:t>
            </w:r>
            <w:r>
              <w:rPr>
                <w:rFonts w:hint="eastAsia" w:ascii="宋体" w:hAnsi="宋体" w:cs="宋体"/>
                <w:color w:val="auto"/>
                <w:sz w:val="24"/>
                <w:szCs w:val="24"/>
                <w:highlight w:val="none"/>
                <w:lang w:val="en-US" w:eastAsia="zh-CN"/>
              </w:rPr>
              <w:t>。</w:t>
            </w:r>
          </w:p>
        </w:tc>
      </w:tr>
      <w:tr w14:paraId="60254D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3E307B4E">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w:t>
            </w:r>
          </w:p>
        </w:tc>
        <w:tc>
          <w:tcPr>
            <w:tcW w:w="2362" w:type="dxa"/>
            <w:noWrap w:val="0"/>
            <w:vAlign w:val="center"/>
          </w:tcPr>
          <w:p w14:paraId="7FF34B68">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vertAlign w:val="baseline"/>
              </w:rPr>
              <w:t>食堂厨师</w:t>
            </w:r>
          </w:p>
        </w:tc>
        <w:tc>
          <w:tcPr>
            <w:tcW w:w="6039" w:type="dxa"/>
            <w:noWrap w:val="0"/>
            <w:vAlign w:val="center"/>
          </w:tcPr>
          <w:p w14:paraId="531F7412">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级及以上厨师执业资格证和厨房各岗位（烹饪、切配、白案、冷菜等）操作能力，熟悉厨房各岗位的操作规范和流程。</w:t>
            </w:r>
          </w:p>
        </w:tc>
      </w:tr>
      <w:tr w14:paraId="4A52E7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0CE345F3">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w:t>
            </w:r>
          </w:p>
        </w:tc>
        <w:tc>
          <w:tcPr>
            <w:tcW w:w="2362" w:type="dxa"/>
            <w:noWrap w:val="0"/>
            <w:vAlign w:val="center"/>
          </w:tcPr>
          <w:p w14:paraId="5C920155">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面点岗</w:t>
            </w:r>
          </w:p>
        </w:tc>
        <w:tc>
          <w:tcPr>
            <w:tcW w:w="6039" w:type="dxa"/>
            <w:noWrap w:val="0"/>
            <w:vAlign w:val="center"/>
          </w:tcPr>
          <w:p w14:paraId="5919B38D">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持有政府相关部门颁发职业证书，责任心强，具备较高的业务水准。</w:t>
            </w:r>
          </w:p>
        </w:tc>
      </w:tr>
      <w:tr w14:paraId="2D3666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6B28CAD1">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w:t>
            </w:r>
          </w:p>
        </w:tc>
        <w:tc>
          <w:tcPr>
            <w:tcW w:w="2362" w:type="dxa"/>
            <w:noWrap w:val="0"/>
            <w:vAlign w:val="center"/>
          </w:tcPr>
          <w:p w14:paraId="4DB2635D">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食堂窗口服务岗</w:t>
            </w:r>
          </w:p>
        </w:tc>
        <w:tc>
          <w:tcPr>
            <w:tcW w:w="6039" w:type="dxa"/>
            <w:noWrap w:val="0"/>
            <w:vAlign w:val="top"/>
          </w:tcPr>
          <w:p w14:paraId="0D6911D4">
            <w:pPr>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能胜任食堂及大桌处服务工作</w:t>
            </w:r>
            <w:r>
              <w:rPr>
                <w:rFonts w:hint="eastAsia" w:ascii="宋体" w:hAnsi="宋体" w:eastAsia="宋体" w:cs="宋体"/>
                <w:color w:val="auto"/>
                <w:sz w:val="24"/>
                <w:szCs w:val="24"/>
                <w:highlight w:val="none"/>
                <w:lang w:val="en-US" w:eastAsia="zh-CN"/>
              </w:rPr>
              <w:t>，普通话标准熟悉餐厅服务的规范和流程。</w:t>
            </w:r>
          </w:p>
        </w:tc>
      </w:tr>
      <w:tr w14:paraId="073E8A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06B5377D">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2362" w:type="dxa"/>
            <w:noWrap w:val="0"/>
            <w:vAlign w:val="center"/>
          </w:tcPr>
          <w:p w14:paraId="0072F977">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vertAlign w:val="baseline"/>
                <w:lang w:val="en-US" w:eastAsia="zh-CN"/>
              </w:rPr>
              <w:t>服务员岗</w:t>
            </w:r>
          </w:p>
        </w:tc>
        <w:tc>
          <w:tcPr>
            <w:tcW w:w="6039" w:type="dxa"/>
            <w:noWrap w:val="0"/>
            <w:vAlign w:val="top"/>
          </w:tcPr>
          <w:p w14:paraId="29B7DFDC">
            <w:pPr>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能胜任食堂及大桌处服务工作</w:t>
            </w:r>
            <w:r>
              <w:rPr>
                <w:rFonts w:hint="eastAsia" w:ascii="宋体" w:hAnsi="宋体" w:eastAsia="宋体" w:cs="宋体"/>
                <w:color w:val="auto"/>
                <w:sz w:val="24"/>
                <w:szCs w:val="24"/>
                <w:highlight w:val="none"/>
                <w:lang w:val="en-US" w:eastAsia="zh-CN"/>
              </w:rPr>
              <w:t>，普通话标准，熟悉餐厅服务的规范和流程。</w:t>
            </w:r>
          </w:p>
        </w:tc>
      </w:tr>
      <w:tr w14:paraId="790192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18F4B38C">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6</w:t>
            </w:r>
          </w:p>
        </w:tc>
        <w:tc>
          <w:tcPr>
            <w:tcW w:w="2362" w:type="dxa"/>
            <w:noWrap w:val="0"/>
            <w:vAlign w:val="center"/>
          </w:tcPr>
          <w:p w14:paraId="04B0A1A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洗菜帮工一号岗</w:t>
            </w:r>
          </w:p>
        </w:tc>
        <w:tc>
          <w:tcPr>
            <w:tcW w:w="6039" w:type="dxa"/>
            <w:noWrap w:val="0"/>
            <w:vAlign w:val="top"/>
          </w:tcPr>
          <w:p w14:paraId="7AB35CED">
            <w:pPr>
              <w:jc w:val="both"/>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听从</w:t>
            </w:r>
            <w:r>
              <w:rPr>
                <w:rFonts w:hint="eastAsia" w:ascii="宋体" w:hAnsi="宋体" w:cs="宋体"/>
                <w:color w:val="auto"/>
                <w:sz w:val="24"/>
                <w:szCs w:val="24"/>
                <w:highlight w:val="none"/>
                <w:lang w:val="en-US" w:eastAsia="zh-CN"/>
              </w:rPr>
              <w:t>厨师</w:t>
            </w:r>
            <w:r>
              <w:rPr>
                <w:rFonts w:hint="eastAsia" w:ascii="宋体" w:hAnsi="宋体" w:eastAsia="宋体" w:cs="宋体"/>
                <w:color w:val="auto"/>
                <w:sz w:val="24"/>
                <w:szCs w:val="24"/>
                <w:highlight w:val="none"/>
                <w:lang w:val="en-US" w:eastAsia="zh-CN"/>
              </w:rPr>
              <w:t>安排</w:t>
            </w:r>
            <w:r>
              <w:rPr>
                <w:rFonts w:hint="eastAsia" w:ascii="宋体" w:hAnsi="宋体" w:cs="宋体"/>
                <w:color w:val="auto"/>
                <w:sz w:val="24"/>
                <w:szCs w:val="24"/>
                <w:highlight w:val="none"/>
                <w:lang w:val="en-US" w:eastAsia="zh-CN"/>
              </w:rPr>
              <w:t>并同时负责就餐服务工作</w:t>
            </w:r>
            <w:r>
              <w:rPr>
                <w:rFonts w:hint="eastAsia" w:ascii="宋体" w:hAnsi="宋体" w:eastAsia="宋体" w:cs="宋体"/>
                <w:color w:val="auto"/>
                <w:sz w:val="24"/>
                <w:szCs w:val="24"/>
                <w:highlight w:val="none"/>
                <w:lang w:val="en-US" w:eastAsia="zh-CN"/>
              </w:rPr>
              <w:t>，服务态度良好，工作认真，有良好的身体素质、思想素质、组织纪律和服务技能，年龄在</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0周岁以下</w:t>
            </w:r>
            <w:r>
              <w:rPr>
                <w:rFonts w:hint="eastAsia" w:ascii="宋体" w:hAnsi="宋体" w:cs="宋体"/>
                <w:color w:val="auto"/>
                <w:sz w:val="24"/>
                <w:szCs w:val="24"/>
                <w:highlight w:val="none"/>
                <w:lang w:val="en-US" w:eastAsia="zh-CN"/>
              </w:rPr>
              <w:t>。</w:t>
            </w:r>
          </w:p>
        </w:tc>
      </w:tr>
      <w:tr w14:paraId="41C38D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3794DFF2">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2362" w:type="dxa"/>
            <w:noWrap w:val="0"/>
            <w:vAlign w:val="center"/>
          </w:tcPr>
          <w:p w14:paraId="605FFC5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洗菜帮工二号岗</w:t>
            </w:r>
          </w:p>
        </w:tc>
        <w:tc>
          <w:tcPr>
            <w:tcW w:w="6039" w:type="dxa"/>
            <w:noWrap w:val="0"/>
            <w:vAlign w:val="top"/>
          </w:tcPr>
          <w:p w14:paraId="652E4B30">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听从</w:t>
            </w:r>
            <w:r>
              <w:rPr>
                <w:rFonts w:hint="eastAsia" w:ascii="宋体" w:hAnsi="宋体" w:cs="宋体"/>
                <w:color w:val="auto"/>
                <w:sz w:val="24"/>
                <w:szCs w:val="24"/>
                <w:highlight w:val="none"/>
                <w:lang w:val="en-US" w:eastAsia="zh-CN"/>
              </w:rPr>
              <w:t>厨师</w:t>
            </w:r>
            <w:r>
              <w:rPr>
                <w:rFonts w:hint="eastAsia" w:ascii="宋体" w:hAnsi="宋体" w:eastAsia="宋体" w:cs="宋体"/>
                <w:color w:val="auto"/>
                <w:sz w:val="24"/>
                <w:szCs w:val="24"/>
                <w:highlight w:val="none"/>
                <w:lang w:val="en-US" w:eastAsia="zh-CN"/>
              </w:rPr>
              <w:t>安排</w:t>
            </w:r>
            <w:r>
              <w:rPr>
                <w:rFonts w:hint="eastAsia" w:ascii="宋体" w:hAnsi="宋体" w:cs="宋体"/>
                <w:color w:val="auto"/>
                <w:sz w:val="24"/>
                <w:szCs w:val="24"/>
                <w:highlight w:val="none"/>
                <w:lang w:val="en-US" w:eastAsia="zh-CN"/>
              </w:rPr>
              <w:t>并同时负责就餐服务工作</w:t>
            </w:r>
            <w:r>
              <w:rPr>
                <w:rFonts w:hint="eastAsia" w:ascii="宋体" w:hAnsi="宋体" w:eastAsia="宋体" w:cs="宋体"/>
                <w:color w:val="auto"/>
                <w:sz w:val="24"/>
                <w:szCs w:val="24"/>
                <w:highlight w:val="none"/>
                <w:lang w:val="en-US" w:eastAsia="zh-CN"/>
              </w:rPr>
              <w:t>，服务态度良好，工作认真，有良好的身体素质、思想素质、组织纪律和服务技能，年龄在</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0周岁以下</w:t>
            </w:r>
            <w:r>
              <w:rPr>
                <w:rFonts w:hint="eastAsia" w:ascii="宋体" w:hAnsi="宋体" w:cs="宋体"/>
                <w:color w:val="auto"/>
                <w:sz w:val="24"/>
                <w:szCs w:val="24"/>
                <w:highlight w:val="none"/>
                <w:lang w:val="en-US" w:eastAsia="zh-CN"/>
              </w:rPr>
              <w:t>。</w:t>
            </w:r>
          </w:p>
        </w:tc>
      </w:tr>
      <w:tr w14:paraId="484CC8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6A446F9E">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2362" w:type="dxa"/>
            <w:noWrap w:val="0"/>
            <w:vAlign w:val="center"/>
          </w:tcPr>
          <w:p w14:paraId="1105A5FD">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洗菜帮工三号岗</w:t>
            </w:r>
          </w:p>
        </w:tc>
        <w:tc>
          <w:tcPr>
            <w:tcW w:w="6039" w:type="dxa"/>
            <w:noWrap w:val="0"/>
            <w:vAlign w:val="top"/>
          </w:tcPr>
          <w:p w14:paraId="59AF11C5">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听从</w:t>
            </w:r>
            <w:r>
              <w:rPr>
                <w:rFonts w:hint="eastAsia" w:ascii="宋体" w:hAnsi="宋体" w:cs="宋体"/>
                <w:color w:val="auto"/>
                <w:sz w:val="24"/>
                <w:szCs w:val="24"/>
                <w:highlight w:val="none"/>
                <w:lang w:val="en-US" w:eastAsia="zh-CN"/>
              </w:rPr>
              <w:t>厨师</w:t>
            </w:r>
            <w:r>
              <w:rPr>
                <w:rFonts w:hint="eastAsia" w:ascii="宋体" w:hAnsi="宋体" w:eastAsia="宋体" w:cs="宋体"/>
                <w:color w:val="auto"/>
                <w:sz w:val="24"/>
                <w:szCs w:val="24"/>
                <w:highlight w:val="none"/>
                <w:lang w:val="en-US" w:eastAsia="zh-CN"/>
              </w:rPr>
              <w:t>安排</w:t>
            </w:r>
            <w:r>
              <w:rPr>
                <w:rFonts w:hint="eastAsia" w:ascii="宋体" w:hAnsi="宋体" w:cs="宋体"/>
                <w:color w:val="auto"/>
                <w:sz w:val="24"/>
                <w:szCs w:val="24"/>
                <w:highlight w:val="none"/>
                <w:lang w:val="en-US" w:eastAsia="zh-CN"/>
              </w:rPr>
              <w:t>并同时负责就餐服务工作</w:t>
            </w:r>
            <w:r>
              <w:rPr>
                <w:rFonts w:hint="eastAsia" w:ascii="宋体" w:hAnsi="宋体" w:eastAsia="宋体" w:cs="宋体"/>
                <w:color w:val="auto"/>
                <w:sz w:val="24"/>
                <w:szCs w:val="24"/>
                <w:highlight w:val="none"/>
                <w:lang w:val="en-US" w:eastAsia="zh-CN"/>
              </w:rPr>
              <w:t>，服务态度良好，工作认真，有良好的身体素质、思想素质、组织纪律和服务技能，年龄在</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0周岁以下</w:t>
            </w:r>
            <w:r>
              <w:rPr>
                <w:rFonts w:hint="eastAsia" w:ascii="宋体" w:hAnsi="宋体" w:cs="宋体"/>
                <w:color w:val="auto"/>
                <w:sz w:val="24"/>
                <w:szCs w:val="24"/>
                <w:highlight w:val="none"/>
                <w:lang w:val="en-US" w:eastAsia="zh-CN"/>
              </w:rPr>
              <w:t>。</w:t>
            </w:r>
          </w:p>
        </w:tc>
      </w:tr>
    </w:tbl>
    <w:p w14:paraId="11CC90ED">
      <w:pPr>
        <w:numPr>
          <w:ilvl w:val="0"/>
          <w:numId w:val="0"/>
        </w:numPr>
        <w:spacing w:line="360" w:lineRule="auto"/>
        <w:rPr>
          <w:rFonts w:hint="default" w:ascii="宋体" w:hAnsi="宋体" w:eastAsia="宋体" w:cs="宋体"/>
          <w:color w:val="auto"/>
          <w:sz w:val="24"/>
          <w:szCs w:val="21"/>
          <w:lang w:val="en-US" w:eastAsia="zh-CN"/>
        </w:rPr>
      </w:pPr>
    </w:p>
    <w:p w14:paraId="023594FA">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服务要求</w:t>
      </w:r>
    </w:p>
    <w:p w14:paraId="5283BC59">
      <w:pPr>
        <w:keepNext w:val="0"/>
        <w:keepLines w:val="0"/>
        <w:pageBreakBefore w:val="0"/>
        <w:numPr>
          <w:ilvl w:val="0"/>
          <w:numId w:val="23"/>
        </w:numPr>
        <w:kinsoku/>
        <w:wordWrap/>
        <w:overflowPunct/>
        <w:topLinePunct w:val="0"/>
        <w:bidi w:val="0"/>
        <w:spacing w:line="360" w:lineRule="auto"/>
        <w:ind w:left="0" w:leftChars="0" w:firstLine="480" w:firstLineChars="200"/>
        <w:rPr>
          <w:rFonts w:hint="eastAsia" w:ascii="宋体" w:hAnsi="宋体" w:eastAsia="宋体" w:cs="宋体"/>
          <w:color w:val="auto"/>
          <w:sz w:val="24"/>
          <w:szCs w:val="21"/>
          <w:lang w:eastAsia="zh-CN"/>
        </w:rPr>
      </w:pPr>
      <w:r>
        <w:rPr>
          <w:rFonts w:hint="eastAsia" w:cs="宋体"/>
          <w:color w:val="auto"/>
          <w:sz w:val="24"/>
          <w:szCs w:val="21"/>
          <w:lang w:eastAsia="zh-CN"/>
        </w:rPr>
        <w:t>乙方</w:t>
      </w:r>
      <w:r>
        <w:rPr>
          <w:rFonts w:hint="eastAsia" w:ascii="宋体" w:hAnsi="宋体" w:eastAsia="宋体" w:cs="宋体"/>
          <w:color w:val="auto"/>
          <w:sz w:val="24"/>
          <w:szCs w:val="21"/>
          <w:lang w:val="en-US" w:eastAsia="zh-CN"/>
        </w:rPr>
        <w:t xml:space="preserve">每日供应早中晚三餐工作餐，工作日早餐为自助模式，供应菜品不少于6种以上；工作日中餐供应菜品不少于4荤4素一汤一水果一酸奶；工作日晚餐供应菜品不少于3荤3素一汤一水果。节假日值班餐参照工作日正餐标准确定。 </w:t>
      </w:r>
    </w:p>
    <w:p w14:paraId="53E2ED1B">
      <w:pPr>
        <w:keepNext w:val="0"/>
        <w:keepLines w:val="0"/>
        <w:pageBreakBefore w:val="0"/>
        <w:numPr>
          <w:ilvl w:val="0"/>
          <w:numId w:val="23"/>
        </w:numPr>
        <w:kinsoku/>
        <w:wordWrap/>
        <w:overflowPunct/>
        <w:topLinePunct w:val="0"/>
        <w:bidi w:val="0"/>
        <w:spacing w:line="360" w:lineRule="auto"/>
        <w:ind w:left="0" w:leftChars="0" w:firstLine="480" w:firstLineChars="200"/>
        <w:rPr>
          <w:rFonts w:hint="eastAsia" w:ascii="宋体" w:hAnsi="宋体" w:eastAsia="宋体" w:cs="宋体"/>
          <w:color w:val="auto"/>
          <w:sz w:val="24"/>
          <w:szCs w:val="21"/>
          <w:lang w:eastAsia="zh-CN"/>
        </w:rPr>
      </w:pPr>
      <w:r>
        <w:rPr>
          <w:rFonts w:hint="eastAsia" w:cs="宋体"/>
          <w:color w:val="auto"/>
          <w:sz w:val="24"/>
          <w:szCs w:val="21"/>
          <w:lang w:eastAsia="zh-CN"/>
        </w:rPr>
        <w:t>乙方</w:t>
      </w:r>
      <w:r>
        <w:rPr>
          <w:rFonts w:hint="eastAsia" w:ascii="宋体" w:hAnsi="宋体" w:eastAsia="宋体" w:cs="宋体"/>
          <w:color w:val="auto"/>
          <w:sz w:val="24"/>
          <w:szCs w:val="21"/>
          <w:lang w:eastAsia="zh-CN"/>
        </w:rPr>
        <w:t>需每日清扫厨房、餐厅等，保证垃圾不过夜、台面无油污，餐具每天每顿全面消毒，遇特殊情况</w:t>
      </w:r>
      <w:r>
        <w:rPr>
          <w:rFonts w:hint="eastAsia" w:ascii="宋体" w:hAnsi="宋体" w:eastAsia="宋体" w:cs="宋体"/>
          <w:color w:val="auto"/>
          <w:sz w:val="24"/>
          <w:szCs w:val="21"/>
          <w:lang w:val="en-US" w:eastAsia="zh-CN"/>
        </w:rPr>
        <w:t>需</w:t>
      </w:r>
      <w:r>
        <w:rPr>
          <w:rFonts w:hint="eastAsia" w:ascii="宋体" w:hAnsi="宋体" w:eastAsia="宋体" w:cs="宋体"/>
          <w:color w:val="auto"/>
          <w:sz w:val="24"/>
          <w:szCs w:val="21"/>
          <w:lang w:eastAsia="zh-CN"/>
        </w:rPr>
        <w:t>服从采购人安排，</w:t>
      </w:r>
      <w:r>
        <w:rPr>
          <w:rFonts w:hint="eastAsia" w:ascii="宋体" w:hAnsi="宋体" w:eastAsia="宋体" w:cs="宋体"/>
          <w:color w:val="auto"/>
          <w:sz w:val="24"/>
          <w:szCs w:val="21"/>
          <w:lang w:val="en-US" w:eastAsia="zh-CN"/>
        </w:rPr>
        <w:t>及时</w:t>
      </w:r>
      <w:r>
        <w:rPr>
          <w:rFonts w:hint="eastAsia" w:ascii="宋体" w:hAnsi="宋体" w:eastAsia="宋体" w:cs="宋体"/>
          <w:color w:val="auto"/>
          <w:sz w:val="24"/>
          <w:szCs w:val="21"/>
          <w:lang w:eastAsia="zh-CN"/>
        </w:rPr>
        <w:t>做好其它清扫保洁工作任务。</w:t>
      </w:r>
    </w:p>
    <w:p w14:paraId="49139D6E">
      <w:pPr>
        <w:keepNext w:val="0"/>
        <w:keepLines w:val="0"/>
        <w:pageBreakBefore w:val="0"/>
        <w:numPr>
          <w:ilvl w:val="0"/>
          <w:numId w:val="23"/>
        </w:numPr>
        <w:kinsoku/>
        <w:wordWrap/>
        <w:overflowPunct/>
        <w:topLinePunct w:val="0"/>
        <w:bidi w:val="0"/>
        <w:spacing w:line="360" w:lineRule="auto"/>
        <w:ind w:left="0" w:leftChars="0" w:firstLine="480" w:firstLineChars="200"/>
        <w:rPr>
          <w:rFonts w:hint="eastAsia" w:ascii="宋体" w:hAnsi="宋体" w:eastAsia="宋体" w:cs="宋体"/>
          <w:color w:val="auto"/>
          <w:sz w:val="24"/>
          <w:szCs w:val="21"/>
          <w:lang w:eastAsia="zh-CN"/>
        </w:rPr>
      </w:pPr>
      <w:r>
        <w:rPr>
          <w:rFonts w:hint="eastAsia" w:ascii="宋体" w:hAnsi="宋体" w:eastAsia="宋体" w:cs="宋体"/>
          <w:color w:val="auto"/>
          <w:sz w:val="24"/>
          <w:szCs w:val="21"/>
          <w:lang w:eastAsia="zh-CN"/>
        </w:rPr>
        <w:t>厨房工作人员和管理人员需经专业培训，避免不必要浪费，降低成本，并提高效益。</w:t>
      </w:r>
    </w:p>
    <w:p w14:paraId="614F45CE">
      <w:pPr>
        <w:keepNext w:val="0"/>
        <w:keepLines w:val="0"/>
        <w:pageBreakBefore w:val="0"/>
        <w:numPr>
          <w:ilvl w:val="0"/>
          <w:numId w:val="23"/>
        </w:numPr>
        <w:kinsoku/>
        <w:wordWrap/>
        <w:overflowPunct/>
        <w:topLinePunct w:val="0"/>
        <w:bidi w:val="0"/>
        <w:spacing w:line="360" w:lineRule="auto"/>
        <w:ind w:left="0" w:leftChars="0" w:firstLine="480" w:firstLineChars="200"/>
        <w:rPr>
          <w:rFonts w:hint="eastAsia" w:ascii="宋体" w:hAnsi="宋体" w:eastAsia="宋体" w:cs="宋体"/>
          <w:color w:val="auto"/>
          <w:sz w:val="24"/>
          <w:szCs w:val="21"/>
          <w:lang w:eastAsia="zh-CN"/>
        </w:rPr>
      </w:pPr>
      <w:r>
        <w:rPr>
          <w:rFonts w:hint="eastAsia" w:ascii="宋体" w:hAnsi="宋体" w:eastAsia="宋体" w:cs="宋体"/>
          <w:color w:val="auto"/>
          <w:sz w:val="24"/>
          <w:szCs w:val="21"/>
          <w:lang w:eastAsia="zh-CN"/>
        </w:rPr>
        <w:t>提升烹调技艺，开发适销对路的菜品，销售过程中控制每单位菜品的质量，加强预估核算，减少剩菜浪费。</w:t>
      </w:r>
    </w:p>
    <w:p w14:paraId="50FABB4B">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设施设备</w:t>
      </w:r>
    </w:p>
    <w:p w14:paraId="491B723C">
      <w:pPr>
        <w:keepNext w:val="0"/>
        <w:keepLines w:val="0"/>
        <w:pageBreakBefore w:val="0"/>
        <w:numPr>
          <w:ilvl w:val="0"/>
          <w:numId w:val="24"/>
        </w:numPr>
        <w:kinsoku/>
        <w:wordWrap/>
        <w:overflowPunct/>
        <w:topLinePunct w:val="0"/>
        <w:bidi w:val="0"/>
        <w:spacing w:line="360" w:lineRule="auto"/>
        <w:ind w:left="0" w:leftChars="0" w:firstLine="480" w:firstLineChars="200"/>
        <w:rPr>
          <w:rFonts w:hint="eastAsia" w:ascii="宋体" w:hAnsi="宋体" w:eastAsia="宋体" w:cs="宋体"/>
          <w:color w:val="auto"/>
          <w:sz w:val="24"/>
          <w:szCs w:val="21"/>
          <w:lang w:val="en-US" w:eastAsia="zh-CN"/>
        </w:rPr>
      </w:pPr>
      <w:r>
        <w:rPr>
          <w:rFonts w:hint="eastAsia" w:ascii="宋体" w:hAnsi="宋体" w:cs="宋体"/>
          <w:color w:val="auto"/>
          <w:sz w:val="24"/>
          <w:szCs w:val="21"/>
          <w:lang w:eastAsia="zh-CN"/>
        </w:rPr>
        <w:t>甲方</w:t>
      </w:r>
      <w:r>
        <w:rPr>
          <w:rFonts w:hint="eastAsia" w:ascii="宋体" w:hAnsi="宋体" w:eastAsia="宋体" w:cs="宋体"/>
          <w:color w:val="auto"/>
          <w:sz w:val="24"/>
          <w:szCs w:val="21"/>
          <w:lang w:eastAsia="zh-CN"/>
        </w:rPr>
        <w:t>将食堂及现有设备无偿提供给</w:t>
      </w:r>
      <w:r>
        <w:rPr>
          <w:rFonts w:hint="eastAsia" w:cs="宋体"/>
          <w:color w:val="auto"/>
          <w:sz w:val="24"/>
          <w:szCs w:val="21"/>
          <w:lang w:eastAsia="zh-CN"/>
        </w:rPr>
        <w:t>乙方</w:t>
      </w:r>
      <w:r>
        <w:rPr>
          <w:rFonts w:hint="eastAsia" w:ascii="宋体" w:hAnsi="宋体" w:eastAsia="宋体" w:cs="宋体"/>
          <w:color w:val="auto"/>
          <w:sz w:val="24"/>
          <w:szCs w:val="21"/>
          <w:lang w:eastAsia="zh-CN"/>
        </w:rPr>
        <w:t>使用，包括场地、厨具、餐桌椅、餐具、水、电、煤气、</w:t>
      </w:r>
      <w:r>
        <w:rPr>
          <w:rFonts w:hint="eastAsia" w:ascii="宋体" w:hAnsi="宋体" w:eastAsia="宋体" w:cs="宋体"/>
          <w:color w:val="auto"/>
          <w:sz w:val="24"/>
          <w:szCs w:val="21"/>
          <w:lang w:val="en-US" w:eastAsia="zh-CN"/>
        </w:rPr>
        <w:t>空调</w:t>
      </w:r>
      <w:r>
        <w:rPr>
          <w:rFonts w:hint="eastAsia" w:ascii="宋体" w:hAnsi="宋体" w:eastAsia="宋体" w:cs="宋体"/>
          <w:color w:val="auto"/>
          <w:sz w:val="24"/>
          <w:szCs w:val="21"/>
          <w:lang w:eastAsia="zh-CN"/>
        </w:rPr>
        <w:t>等，</w:t>
      </w:r>
      <w:r>
        <w:rPr>
          <w:rFonts w:hint="eastAsia" w:cs="宋体"/>
          <w:color w:val="auto"/>
          <w:sz w:val="24"/>
          <w:szCs w:val="21"/>
          <w:lang w:eastAsia="zh-CN"/>
        </w:rPr>
        <w:t>乙方</w:t>
      </w:r>
      <w:r>
        <w:rPr>
          <w:rFonts w:hint="eastAsia" w:ascii="宋体" w:hAnsi="宋体" w:eastAsia="宋体" w:cs="宋体"/>
          <w:color w:val="auto"/>
          <w:sz w:val="24"/>
          <w:szCs w:val="21"/>
          <w:lang w:eastAsia="zh-CN"/>
        </w:rPr>
        <w:t>在承包期间要自觉维护好厨房设施，使用过程中损坏的要及时维修，有关费用</w:t>
      </w:r>
      <w:r>
        <w:rPr>
          <w:rFonts w:hint="eastAsia" w:ascii="宋体" w:hAnsi="宋体" w:eastAsia="宋体" w:cs="宋体"/>
          <w:color w:val="auto"/>
          <w:sz w:val="24"/>
          <w:szCs w:val="21"/>
          <w:lang w:val="en-US" w:eastAsia="zh-CN"/>
        </w:rPr>
        <w:t>由</w:t>
      </w:r>
      <w:r>
        <w:rPr>
          <w:rFonts w:hint="eastAsia" w:cs="宋体"/>
          <w:color w:val="auto"/>
          <w:sz w:val="24"/>
          <w:szCs w:val="21"/>
          <w:lang w:eastAsia="zh-CN"/>
        </w:rPr>
        <w:t>乙方</w:t>
      </w:r>
      <w:r>
        <w:rPr>
          <w:rFonts w:hint="eastAsia" w:ascii="宋体" w:hAnsi="宋体" w:eastAsia="宋体" w:cs="宋体"/>
          <w:color w:val="auto"/>
          <w:sz w:val="24"/>
          <w:szCs w:val="21"/>
          <w:lang w:eastAsia="zh-CN"/>
        </w:rPr>
        <w:t>自行承担。易损品（如餐具等）损坏要及时报</w:t>
      </w:r>
      <w:r>
        <w:rPr>
          <w:rFonts w:hint="eastAsia" w:ascii="宋体" w:hAnsi="宋体" w:eastAsia="宋体" w:cs="宋体"/>
          <w:color w:val="auto"/>
          <w:sz w:val="24"/>
          <w:szCs w:val="21"/>
          <w:lang w:val="en-US" w:eastAsia="zh-CN"/>
        </w:rPr>
        <w:t>采购人</w:t>
      </w:r>
      <w:r>
        <w:rPr>
          <w:rFonts w:hint="eastAsia" w:ascii="宋体" w:hAnsi="宋体" w:eastAsia="宋体" w:cs="宋体"/>
          <w:color w:val="auto"/>
          <w:sz w:val="24"/>
          <w:szCs w:val="21"/>
          <w:lang w:eastAsia="zh-CN"/>
        </w:rPr>
        <w:t>核实，</w:t>
      </w:r>
      <w:r>
        <w:rPr>
          <w:rFonts w:hint="eastAsia" w:ascii="宋体" w:hAnsi="宋体" w:cs="宋体"/>
          <w:color w:val="auto"/>
          <w:sz w:val="24"/>
          <w:szCs w:val="21"/>
          <w:lang w:val="en-US" w:eastAsia="zh-CN"/>
        </w:rPr>
        <w:t>甲方</w:t>
      </w:r>
      <w:r>
        <w:rPr>
          <w:rFonts w:hint="eastAsia" w:ascii="宋体" w:hAnsi="宋体" w:eastAsia="宋体" w:cs="宋体"/>
          <w:color w:val="auto"/>
          <w:sz w:val="24"/>
          <w:szCs w:val="21"/>
          <w:lang w:eastAsia="zh-CN"/>
        </w:rPr>
        <w:t>视情况核销和增补。承包到期后，</w:t>
      </w:r>
      <w:r>
        <w:rPr>
          <w:rFonts w:hint="eastAsia" w:cs="宋体"/>
          <w:color w:val="auto"/>
          <w:sz w:val="24"/>
          <w:szCs w:val="21"/>
          <w:lang w:eastAsia="zh-CN"/>
        </w:rPr>
        <w:t>乙方</w:t>
      </w:r>
      <w:r>
        <w:rPr>
          <w:rFonts w:hint="eastAsia" w:ascii="宋体" w:hAnsi="宋体" w:eastAsia="宋体" w:cs="宋体"/>
          <w:color w:val="auto"/>
          <w:sz w:val="24"/>
          <w:szCs w:val="21"/>
          <w:lang w:eastAsia="zh-CN"/>
        </w:rPr>
        <w:t>应如数归还</w:t>
      </w:r>
      <w:r>
        <w:rPr>
          <w:rFonts w:hint="eastAsia" w:ascii="宋体" w:hAnsi="宋体" w:eastAsia="宋体" w:cs="宋体"/>
          <w:color w:val="auto"/>
          <w:sz w:val="24"/>
          <w:szCs w:val="21"/>
          <w:lang w:val="en-US" w:eastAsia="zh-CN"/>
        </w:rPr>
        <w:t>采购人</w:t>
      </w:r>
      <w:r>
        <w:rPr>
          <w:rFonts w:hint="eastAsia" w:ascii="宋体" w:hAnsi="宋体" w:eastAsia="宋体" w:cs="宋体"/>
          <w:color w:val="auto"/>
          <w:sz w:val="24"/>
          <w:szCs w:val="21"/>
          <w:lang w:eastAsia="zh-CN"/>
        </w:rPr>
        <w:t>提供的基本硬件设施（经同意核销的除外），损坏的应作价赔偿</w:t>
      </w:r>
      <w:r>
        <w:rPr>
          <w:rFonts w:hint="eastAsia" w:ascii="宋体" w:hAnsi="宋体" w:cs="宋体"/>
          <w:color w:val="auto"/>
          <w:sz w:val="24"/>
          <w:szCs w:val="21"/>
          <w:lang w:eastAsia="zh-CN"/>
        </w:rPr>
        <w:t>。</w:t>
      </w:r>
    </w:p>
    <w:p w14:paraId="75FD6712">
      <w:pPr>
        <w:keepNext w:val="0"/>
        <w:keepLines w:val="0"/>
        <w:pageBreakBefore w:val="0"/>
        <w:numPr>
          <w:ilvl w:val="0"/>
          <w:numId w:val="24"/>
        </w:numPr>
        <w:kinsoku/>
        <w:wordWrap/>
        <w:overflowPunct/>
        <w:topLinePunct w:val="0"/>
        <w:bidi w:val="0"/>
        <w:spacing w:line="360" w:lineRule="auto"/>
        <w:ind w:left="0" w:leftChars="0" w:firstLine="480" w:firstLineChars="200"/>
        <w:rPr>
          <w:rFonts w:hint="eastAsia" w:ascii="宋体" w:hAnsi="宋体" w:eastAsia="宋体" w:cs="宋体"/>
          <w:color w:val="auto"/>
          <w:sz w:val="24"/>
          <w:szCs w:val="21"/>
          <w:lang w:val="en-US" w:eastAsia="zh-CN"/>
        </w:rPr>
      </w:pPr>
      <w:r>
        <w:rPr>
          <w:rFonts w:hint="eastAsia" w:ascii="宋体" w:hAnsi="宋体" w:eastAsia="宋体" w:cs="宋体"/>
          <w:color w:val="auto"/>
          <w:sz w:val="24"/>
          <w:szCs w:val="21"/>
          <w:lang w:eastAsia="zh-CN"/>
        </w:rPr>
        <w:t>按照目前食堂的设备，设施进行检验、登记，中标人需负责管理、保养和使用，并接受</w:t>
      </w:r>
      <w:r>
        <w:rPr>
          <w:rFonts w:hint="eastAsia" w:ascii="宋体" w:hAnsi="宋体" w:cs="宋体"/>
          <w:color w:val="auto"/>
          <w:sz w:val="24"/>
          <w:szCs w:val="21"/>
          <w:lang w:eastAsia="zh-CN"/>
        </w:rPr>
        <w:t>甲方</w:t>
      </w:r>
      <w:r>
        <w:rPr>
          <w:rFonts w:hint="eastAsia" w:ascii="宋体" w:hAnsi="宋体" w:eastAsia="宋体" w:cs="宋体"/>
          <w:color w:val="auto"/>
          <w:sz w:val="24"/>
          <w:szCs w:val="21"/>
          <w:lang w:eastAsia="zh-CN"/>
        </w:rPr>
        <w:t>对其经营运行的监督检查。使用过程中如发现食堂设备有需要维修，更新添置新设备，须按相关程序开展审批，同意后再进行购置。</w:t>
      </w:r>
    </w:p>
    <w:p w14:paraId="165260E1">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安全、卫生及责任</w:t>
      </w:r>
    </w:p>
    <w:p w14:paraId="1DA65458">
      <w:pPr>
        <w:keepNext w:val="0"/>
        <w:keepLines w:val="0"/>
        <w:pageBreakBefore w:val="0"/>
        <w:numPr>
          <w:ilvl w:val="0"/>
          <w:numId w:val="25"/>
        </w:numPr>
        <w:kinsoku/>
        <w:wordWrap/>
        <w:overflowPunct/>
        <w:topLinePunct w:val="0"/>
        <w:bidi w:val="0"/>
        <w:spacing w:line="360" w:lineRule="auto"/>
        <w:ind w:left="0" w:leftChars="0" w:firstLine="480" w:firstLineChars="200"/>
        <w:rPr>
          <w:rFonts w:hint="eastAsia" w:ascii="宋体" w:hAnsi="宋体" w:eastAsia="宋体" w:cs="宋体"/>
          <w:color w:val="auto"/>
          <w:sz w:val="24"/>
          <w:szCs w:val="21"/>
          <w:lang w:eastAsia="zh-CN"/>
        </w:rPr>
      </w:pPr>
      <w:r>
        <w:rPr>
          <w:rFonts w:hint="eastAsia" w:ascii="宋体" w:hAnsi="宋体" w:cs="宋体"/>
          <w:color w:val="auto"/>
          <w:sz w:val="24"/>
          <w:szCs w:val="21"/>
          <w:lang w:eastAsia="zh-CN"/>
        </w:rPr>
        <w:t>甲方</w:t>
      </w:r>
      <w:r>
        <w:rPr>
          <w:rFonts w:hint="eastAsia" w:ascii="宋体" w:hAnsi="宋体" w:eastAsia="宋体" w:cs="宋体"/>
          <w:color w:val="auto"/>
          <w:sz w:val="24"/>
          <w:szCs w:val="21"/>
          <w:lang w:eastAsia="zh-CN"/>
        </w:rPr>
        <w:t>负责对食堂的监督管理，定期和不定期对菜肴质量、品种、价格、服务、卫生、安全等进行监督检查，提出整改意见并告知</w:t>
      </w:r>
      <w:r>
        <w:rPr>
          <w:rFonts w:hint="eastAsia" w:cs="宋体"/>
          <w:color w:val="auto"/>
          <w:sz w:val="24"/>
          <w:szCs w:val="21"/>
          <w:lang w:eastAsia="zh-CN"/>
        </w:rPr>
        <w:t>乙方</w:t>
      </w:r>
      <w:r>
        <w:rPr>
          <w:rFonts w:hint="eastAsia" w:ascii="宋体" w:hAnsi="宋体" w:eastAsia="宋体" w:cs="宋体"/>
          <w:color w:val="auto"/>
          <w:sz w:val="24"/>
          <w:szCs w:val="21"/>
          <w:lang w:eastAsia="zh-CN"/>
        </w:rPr>
        <w:t>，对检查过程中发现的问题有权要求</w:t>
      </w:r>
      <w:r>
        <w:rPr>
          <w:rFonts w:hint="eastAsia" w:cs="宋体"/>
          <w:color w:val="auto"/>
          <w:sz w:val="24"/>
          <w:szCs w:val="21"/>
          <w:lang w:eastAsia="zh-CN"/>
        </w:rPr>
        <w:t>乙方</w:t>
      </w:r>
      <w:r>
        <w:rPr>
          <w:rFonts w:hint="eastAsia" w:ascii="宋体" w:hAnsi="宋体" w:eastAsia="宋体" w:cs="宋体"/>
          <w:color w:val="auto"/>
          <w:sz w:val="24"/>
          <w:szCs w:val="21"/>
          <w:lang w:eastAsia="zh-CN"/>
        </w:rPr>
        <w:t>及时采取措施予以改进</w:t>
      </w:r>
      <w:r>
        <w:rPr>
          <w:rFonts w:hint="eastAsia" w:ascii="宋体" w:hAnsi="宋体" w:cs="宋体"/>
          <w:color w:val="auto"/>
          <w:sz w:val="24"/>
          <w:szCs w:val="21"/>
          <w:lang w:eastAsia="zh-CN"/>
        </w:rPr>
        <w:t>。</w:t>
      </w:r>
    </w:p>
    <w:p w14:paraId="7A9D75E8">
      <w:pPr>
        <w:keepNext w:val="0"/>
        <w:keepLines w:val="0"/>
        <w:pageBreakBefore w:val="0"/>
        <w:numPr>
          <w:ilvl w:val="0"/>
          <w:numId w:val="25"/>
        </w:numPr>
        <w:kinsoku/>
        <w:wordWrap/>
        <w:overflowPunct/>
        <w:topLinePunct w:val="0"/>
        <w:bidi w:val="0"/>
        <w:spacing w:line="360" w:lineRule="auto"/>
        <w:ind w:left="0" w:leftChars="0" w:firstLine="480" w:firstLineChars="200"/>
        <w:rPr>
          <w:rFonts w:hint="eastAsia" w:ascii="宋体" w:hAnsi="宋体" w:eastAsia="宋体" w:cs="宋体"/>
          <w:color w:val="auto"/>
          <w:sz w:val="24"/>
          <w:szCs w:val="21"/>
          <w:lang w:eastAsia="zh-CN"/>
        </w:rPr>
      </w:pPr>
      <w:r>
        <w:rPr>
          <w:rFonts w:hint="eastAsia" w:ascii="宋体" w:hAnsi="宋体" w:cs="宋体"/>
          <w:color w:val="auto"/>
          <w:sz w:val="24"/>
          <w:szCs w:val="21"/>
          <w:lang w:eastAsia="zh-CN"/>
        </w:rPr>
        <w:t>乙方</w:t>
      </w:r>
      <w:r>
        <w:rPr>
          <w:rFonts w:hint="eastAsia" w:ascii="宋体" w:hAnsi="宋体" w:eastAsia="宋体" w:cs="宋体"/>
          <w:color w:val="auto"/>
          <w:sz w:val="24"/>
          <w:szCs w:val="21"/>
          <w:lang w:eastAsia="zh-CN"/>
        </w:rPr>
        <w:t>应加强食堂管理，不断丰富菜肴品种，改进就餐质量，菜肴配制上尽量做好品种多样，口味上佳，求新鲜，求卫生，要求向</w:t>
      </w:r>
      <w:r>
        <w:rPr>
          <w:rFonts w:hint="eastAsia" w:ascii="宋体" w:hAnsi="宋体" w:cs="宋体"/>
          <w:color w:val="auto"/>
          <w:sz w:val="24"/>
          <w:szCs w:val="21"/>
          <w:lang w:eastAsia="zh-CN"/>
        </w:rPr>
        <w:t>甲方</w:t>
      </w:r>
      <w:r>
        <w:rPr>
          <w:rFonts w:hint="eastAsia" w:ascii="宋体" w:hAnsi="宋体" w:eastAsia="宋体" w:cs="宋体"/>
          <w:color w:val="auto"/>
          <w:sz w:val="24"/>
          <w:szCs w:val="21"/>
          <w:lang w:eastAsia="zh-CN"/>
        </w:rPr>
        <w:t>提前报送一周菜谱，每天须上墙公布当日菜单。同时，</w:t>
      </w:r>
      <w:r>
        <w:rPr>
          <w:rFonts w:hint="eastAsia" w:ascii="宋体" w:hAnsi="宋体" w:cs="宋体"/>
          <w:color w:val="auto"/>
          <w:sz w:val="24"/>
          <w:szCs w:val="21"/>
          <w:lang w:eastAsia="zh-CN"/>
        </w:rPr>
        <w:t>甲方</w:t>
      </w:r>
      <w:r>
        <w:rPr>
          <w:rFonts w:hint="eastAsia" w:ascii="宋体" w:hAnsi="宋体" w:eastAsia="宋体" w:cs="宋体"/>
          <w:color w:val="auto"/>
          <w:sz w:val="24"/>
          <w:szCs w:val="21"/>
          <w:lang w:val="en-US" w:eastAsia="zh-CN"/>
        </w:rPr>
        <w:t>需</w:t>
      </w:r>
      <w:r>
        <w:rPr>
          <w:rFonts w:hint="eastAsia" w:ascii="宋体" w:hAnsi="宋体" w:eastAsia="宋体" w:cs="宋体"/>
          <w:color w:val="auto"/>
          <w:sz w:val="24"/>
          <w:szCs w:val="21"/>
          <w:lang w:eastAsia="zh-CN"/>
        </w:rPr>
        <w:t>将食堂改进情况，每月进行一次公开评价。</w:t>
      </w:r>
    </w:p>
    <w:p w14:paraId="6AB74E32">
      <w:pPr>
        <w:keepNext w:val="0"/>
        <w:keepLines w:val="0"/>
        <w:pageBreakBefore w:val="0"/>
        <w:numPr>
          <w:ilvl w:val="0"/>
          <w:numId w:val="25"/>
        </w:numPr>
        <w:kinsoku/>
        <w:wordWrap/>
        <w:overflowPunct/>
        <w:topLinePunct w:val="0"/>
        <w:bidi w:val="0"/>
        <w:spacing w:line="360" w:lineRule="auto"/>
        <w:ind w:left="0" w:leftChars="0" w:firstLine="480" w:firstLineChars="200"/>
        <w:rPr>
          <w:rFonts w:hint="eastAsia" w:ascii="宋体" w:hAnsi="宋体" w:eastAsia="宋体" w:cs="宋体"/>
          <w:color w:val="auto"/>
          <w:sz w:val="24"/>
          <w:szCs w:val="21"/>
          <w:lang w:eastAsia="zh-CN"/>
        </w:rPr>
      </w:pPr>
      <w:r>
        <w:rPr>
          <w:rFonts w:hint="eastAsia" w:cs="宋体"/>
          <w:color w:val="auto"/>
          <w:sz w:val="24"/>
          <w:szCs w:val="21"/>
          <w:lang w:eastAsia="zh-CN"/>
        </w:rPr>
        <w:t>乙方</w:t>
      </w:r>
      <w:r>
        <w:rPr>
          <w:rFonts w:hint="eastAsia" w:ascii="宋体" w:hAnsi="宋体" w:eastAsia="宋体" w:cs="宋体"/>
          <w:color w:val="auto"/>
          <w:sz w:val="24"/>
          <w:szCs w:val="21"/>
          <w:lang w:eastAsia="zh-CN"/>
        </w:rPr>
        <w:t>应严格按照《中华人民共和国食品安全法》的有关要求，规范操作，统一着装，严把食品卫生关，做好灭蝇、灭蟑、</w:t>
      </w:r>
      <w:r>
        <w:rPr>
          <w:rFonts w:hint="eastAsia" w:ascii="宋体" w:hAnsi="宋体" w:eastAsia="宋体" w:cs="宋体"/>
          <w:color w:val="auto"/>
          <w:sz w:val="24"/>
          <w:szCs w:val="21"/>
          <w:lang w:val="en-US" w:eastAsia="zh-CN"/>
        </w:rPr>
        <w:t>灭蜂、</w:t>
      </w:r>
      <w:r>
        <w:rPr>
          <w:rFonts w:hint="eastAsia" w:ascii="宋体" w:hAnsi="宋体" w:eastAsia="宋体" w:cs="宋体"/>
          <w:color w:val="auto"/>
          <w:sz w:val="24"/>
          <w:szCs w:val="21"/>
          <w:lang w:eastAsia="zh-CN"/>
        </w:rPr>
        <w:t>灭鼠工作，谨防食物中毒和肠道传染病的发生。发生疑似食物中毒事件</w:t>
      </w:r>
      <w:r>
        <w:rPr>
          <w:rFonts w:hint="eastAsia" w:ascii="宋体" w:hAnsi="宋体" w:cs="宋体"/>
          <w:color w:val="auto"/>
          <w:sz w:val="24"/>
          <w:szCs w:val="21"/>
          <w:lang w:val="en-US" w:eastAsia="zh-CN"/>
        </w:rPr>
        <w:t>的</w:t>
      </w:r>
      <w:r>
        <w:rPr>
          <w:rFonts w:hint="eastAsia" w:ascii="宋体" w:hAnsi="宋体" w:eastAsia="宋体" w:cs="宋体"/>
          <w:color w:val="auto"/>
          <w:sz w:val="24"/>
          <w:szCs w:val="21"/>
          <w:lang w:eastAsia="zh-CN"/>
        </w:rPr>
        <w:t>，</w:t>
      </w:r>
      <w:r>
        <w:rPr>
          <w:rFonts w:hint="eastAsia" w:ascii="宋体" w:hAnsi="宋体" w:cs="宋体"/>
          <w:color w:val="auto"/>
          <w:sz w:val="24"/>
          <w:szCs w:val="21"/>
          <w:lang w:eastAsia="zh-CN"/>
        </w:rPr>
        <w:t>乙方应立即配合</w:t>
      </w:r>
      <w:r>
        <w:rPr>
          <w:rFonts w:hint="eastAsia" w:ascii="宋体" w:hAnsi="宋体" w:eastAsia="宋体" w:cs="宋体"/>
          <w:color w:val="auto"/>
          <w:sz w:val="24"/>
          <w:szCs w:val="21"/>
          <w:lang w:eastAsia="zh-CN"/>
        </w:rPr>
        <w:t>封</w:t>
      </w:r>
      <w:r>
        <w:rPr>
          <w:rFonts w:hint="eastAsia" w:ascii="宋体" w:hAnsi="宋体" w:cs="宋体"/>
          <w:color w:val="auto"/>
          <w:sz w:val="24"/>
          <w:szCs w:val="21"/>
          <w:lang w:eastAsia="zh-CN"/>
        </w:rPr>
        <w:t>存</w:t>
      </w:r>
      <w:r>
        <w:rPr>
          <w:rFonts w:hint="eastAsia" w:ascii="宋体" w:hAnsi="宋体" w:eastAsia="宋体" w:cs="宋体"/>
          <w:color w:val="auto"/>
          <w:sz w:val="24"/>
          <w:szCs w:val="21"/>
          <w:lang w:eastAsia="zh-CN"/>
        </w:rPr>
        <w:t>样</w:t>
      </w:r>
      <w:r>
        <w:rPr>
          <w:rFonts w:hint="eastAsia" w:ascii="宋体" w:hAnsi="宋体" w:cs="宋体"/>
          <w:color w:val="auto"/>
          <w:sz w:val="24"/>
          <w:szCs w:val="21"/>
          <w:lang w:eastAsia="zh-CN"/>
        </w:rPr>
        <w:t>品送</w:t>
      </w:r>
      <w:r>
        <w:rPr>
          <w:rFonts w:hint="eastAsia" w:ascii="宋体" w:hAnsi="宋体" w:eastAsia="宋体" w:cs="宋体"/>
          <w:color w:val="auto"/>
          <w:sz w:val="24"/>
          <w:szCs w:val="21"/>
          <w:lang w:eastAsia="zh-CN"/>
        </w:rPr>
        <w:t>检，经</w:t>
      </w:r>
      <w:r>
        <w:rPr>
          <w:rFonts w:hint="eastAsia" w:ascii="宋体" w:hAnsi="宋体" w:cs="宋体"/>
          <w:color w:val="auto"/>
          <w:sz w:val="24"/>
          <w:szCs w:val="21"/>
          <w:lang w:eastAsia="zh-CN"/>
        </w:rPr>
        <w:t>检验确属乙方提供食品不符合安全标准导致的</w:t>
      </w:r>
      <w:r>
        <w:rPr>
          <w:rFonts w:hint="eastAsia" w:ascii="宋体" w:hAnsi="宋体" w:eastAsia="宋体" w:cs="宋体"/>
          <w:color w:val="auto"/>
          <w:sz w:val="24"/>
          <w:szCs w:val="21"/>
          <w:lang w:eastAsia="zh-CN"/>
        </w:rPr>
        <w:t>，</w:t>
      </w:r>
      <w:r>
        <w:rPr>
          <w:rFonts w:hint="eastAsia" w:ascii="宋体" w:hAnsi="宋体" w:cs="宋体"/>
          <w:color w:val="auto"/>
          <w:sz w:val="24"/>
          <w:szCs w:val="21"/>
          <w:lang w:eastAsia="zh-CN"/>
        </w:rPr>
        <w:t>由乙方承担全部相关</w:t>
      </w:r>
      <w:r>
        <w:rPr>
          <w:rFonts w:hint="eastAsia" w:ascii="宋体" w:hAnsi="宋体" w:eastAsia="宋体" w:cs="宋体"/>
          <w:color w:val="auto"/>
          <w:sz w:val="24"/>
          <w:szCs w:val="21"/>
          <w:lang w:eastAsia="zh-CN"/>
        </w:rPr>
        <w:t>责任。</w:t>
      </w:r>
    </w:p>
    <w:p w14:paraId="6E73F649">
      <w:pPr>
        <w:keepNext w:val="0"/>
        <w:keepLines w:val="0"/>
        <w:pageBreakBefore w:val="0"/>
        <w:numPr>
          <w:ilvl w:val="0"/>
          <w:numId w:val="25"/>
        </w:numPr>
        <w:kinsoku/>
        <w:wordWrap/>
        <w:overflowPunct/>
        <w:topLinePunct w:val="0"/>
        <w:bidi w:val="0"/>
        <w:spacing w:line="360" w:lineRule="auto"/>
        <w:ind w:left="0" w:leftChars="0" w:firstLine="480" w:firstLineChars="200"/>
        <w:rPr>
          <w:rFonts w:hint="eastAsia" w:ascii="宋体" w:hAnsi="宋体" w:eastAsia="宋体" w:cs="宋体"/>
          <w:color w:val="auto"/>
          <w:sz w:val="24"/>
          <w:szCs w:val="21"/>
          <w:lang w:eastAsia="zh-CN"/>
        </w:rPr>
      </w:pPr>
      <w:r>
        <w:rPr>
          <w:rFonts w:hint="eastAsia" w:ascii="宋体" w:hAnsi="宋体" w:eastAsia="宋体" w:cs="宋体"/>
          <w:color w:val="auto"/>
          <w:sz w:val="24"/>
          <w:szCs w:val="21"/>
          <w:lang w:eastAsia="zh-CN"/>
        </w:rPr>
        <w:t>工作人员应遵守国家的法律、法规及相关安全、消防综合治理等有关制度规定，严防失窃、烫伤等意外事故发生，每天下班前关好炉灶、门窗，切断电、气源，防止各种事故发生。</w:t>
      </w:r>
    </w:p>
    <w:p w14:paraId="406C5134">
      <w:pPr>
        <w:keepNext w:val="0"/>
        <w:keepLines w:val="0"/>
        <w:pageBreakBefore w:val="0"/>
        <w:numPr>
          <w:ilvl w:val="0"/>
          <w:numId w:val="25"/>
        </w:numPr>
        <w:kinsoku/>
        <w:wordWrap/>
        <w:overflowPunct/>
        <w:topLinePunct w:val="0"/>
        <w:bidi w:val="0"/>
        <w:spacing w:line="360" w:lineRule="auto"/>
        <w:ind w:left="0" w:leftChars="0" w:firstLine="480" w:firstLineChars="200"/>
        <w:rPr>
          <w:rFonts w:hint="eastAsia" w:ascii="宋体" w:hAnsi="宋体" w:eastAsia="宋体" w:cs="宋体"/>
          <w:color w:val="auto"/>
          <w:sz w:val="24"/>
          <w:szCs w:val="21"/>
          <w:lang w:eastAsia="zh-CN"/>
        </w:rPr>
      </w:pPr>
      <w:r>
        <w:rPr>
          <w:rFonts w:hint="eastAsia" w:cs="宋体"/>
          <w:color w:val="auto"/>
          <w:sz w:val="24"/>
          <w:szCs w:val="21"/>
          <w:lang w:eastAsia="zh-CN"/>
        </w:rPr>
        <w:t>乙方</w:t>
      </w:r>
      <w:r>
        <w:rPr>
          <w:rFonts w:hint="eastAsia" w:ascii="宋体" w:hAnsi="宋体" w:eastAsia="宋体" w:cs="宋体"/>
          <w:color w:val="auto"/>
          <w:sz w:val="24"/>
          <w:szCs w:val="21"/>
          <w:lang w:eastAsia="zh-CN"/>
        </w:rPr>
        <w:t>应加强环境卫生管理，做好食堂设施、设备的保养清洁工作，同时做好食堂垃圾处置工作。</w:t>
      </w:r>
    </w:p>
    <w:p w14:paraId="36468C07">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日常事务管理</w:t>
      </w:r>
    </w:p>
    <w:p w14:paraId="4D7E04FA">
      <w:pPr>
        <w:keepNext w:val="0"/>
        <w:keepLines w:val="0"/>
        <w:pageBreakBefore w:val="0"/>
        <w:numPr>
          <w:ilvl w:val="0"/>
          <w:numId w:val="26"/>
        </w:numPr>
        <w:kinsoku/>
        <w:wordWrap/>
        <w:overflowPunct/>
        <w:topLinePunct w:val="0"/>
        <w:bidi w:val="0"/>
        <w:spacing w:line="360" w:lineRule="auto"/>
        <w:ind w:left="0" w:leftChars="0" w:firstLine="480" w:firstLineChars="200"/>
        <w:rPr>
          <w:rFonts w:hint="eastAsia" w:ascii="宋体" w:hAnsi="宋体" w:eastAsia="宋体" w:cs="宋体"/>
          <w:color w:val="auto"/>
          <w:sz w:val="24"/>
          <w:szCs w:val="21"/>
          <w:lang w:eastAsia="zh-CN"/>
        </w:rPr>
      </w:pPr>
      <w:r>
        <w:rPr>
          <w:rFonts w:hint="eastAsia" w:cs="宋体"/>
          <w:color w:val="auto"/>
          <w:sz w:val="24"/>
          <w:szCs w:val="21"/>
          <w:lang w:eastAsia="zh-CN"/>
        </w:rPr>
        <w:t>乙方</w:t>
      </w:r>
      <w:r>
        <w:rPr>
          <w:rFonts w:hint="eastAsia" w:ascii="宋体" w:hAnsi="宋体" w:eastAsia="宋体" w:cs="宋体"/>
          <w:color w:val="auto"/>
          <w:sz w:val="24"/>
          <w:szCs w:val="21"/>
          <w:lang w:eastAsia="zh-CN"/>
        </w:rPr>
        <w:t>要按“五常法”要求负责做好食品索证、消毒、留样等工作，认真做好记录。并加强对员工的培训。</w:t>
      </w:r>
    </w:p>
    <w:p w14:paraId="059A1748">
      <w:pPr>
        <w:keepNext w:val="0"/>
        <w:keepLines w:val="0"/>
        <w:pageBreakBefore w:val="0"/>
        <w:numPr>
          <w:ilvl w:val="0"/>
          <w:numId w:val="26"/>
        </w:numPr>
        <w:kinsoku/>
        <w:wordWrap/>
        <w:overflowPunct/>
        <w:topLinePunct w:val="0"/>
        <w:bidi w:val="0"/>
        <w:spacing w:line="360" w:lineRule="auto"/>
        <w:ind w:left="0" w:leftChars="0" w:firstLine="480" w:firstLineChars="200"/>
        <w:rPr>
          <w:rFonts w:hint="eastAsia" w:ascii="宋体" w:hAnsi="宋体" w:eastAsia="宋体" w:cs="宋体"/>
          <w:color w:val="auto"/>
          <w:sz w:val="24"/>
          <w:szCs w:val="21"/>
          <w:lang w:eastAsia="zh-CN"/>
        </w:rPr>
      </w:pPr>
      <w:r>
        <w:rPr>
          <w:rFonts w:hint="eastAsia" w:cs="宋体"/>
          <w:color w:val="auto"/>
          <w:sz w:val="24"/>
          <w:szCs w:val="21"/>
          <w:lang w:eastAsia="zh-CN"/>
        </w:rPr>
        <w:t>乙方</w:t>
      </w:r>
      <w:r>
        <w:rPr>
          <w:rFonts w:hint="eastAsia" w:ascii="宋体" w:hAnsi="宋体" w:eastAsia="宋体" w:cs="宋体"/>
          <w:color w:val="auto"/>
          <w:sz w:val="24"/>
          <w:szCs w:val="21"/>
          <w:lang w:eastAsia="zh-CN"/>
        </w:rPr>
        <w:t>根据营养分配及要求，提前制定每周参考菜谱，内容应清楚说明品名、数量、质量、规格，经</w:t>
      </w:r>
      <w:r>
        <w:rPr>
          <w:rFonts w:hint="eastAsia" w:cs="宋体"/>
          <w:color w:val="auto"/>
          <w:sz w:val="24"/>
          <w:szCs w:val="21"/>
          <w:lang w:eastAsia="zh-CN"/>
        </w:rPr>
        <w:t>甲方</w:t>
      </w:r>
      <w:r>
        <w:rPr>
          <w:rFonts w:hint="eastAsia" w:ascii="宋体" w:hAnsi="宋体" w:eastAsia="宋体" w:cs="宋体"/>
          <w:color w:val="auto"/>
          <w:sz w:val="24"/>
          <w:szCs w:val="21"/>
          <w:lang w:eastAsia="zh-CN"/>
        </w:rPr>
        <w:t>办公室负责人审核后实施。</w:t>
      </w:r>
    </w:p>
    <w:p w14:paraId="4D5EBE00">
      <w:pPr>
        <w:keepNext w:val="0"/>
        <w:keepLines w:val="0"/>
        <w:pageBreakBefore w:val="0"/>
        <w:numPr>
          <w:ilvl w:val="0"/>
          <w:numId w:val="26"/>
        </w:numPr>
        <w:kinsoku/>
        <w:wordWrap/>
        <w:overflowPunct/>
        <w:topLinePunct w:val="0"/>
        <w:bidi w:val="0"/>
        <w:spacing w:line="360" w:lineRule="auto"/>
        <w:ind w:left="0" w:leftChars="0" w:firstLine="480" w:firstLineChars="200"/>
        <w:rPr>
          <w:rFonts w:hint="eastAsia" w:ascii="宋体" w:hAnsi="宋体" w:eastAsia="宋体" w:cs="宋体"/>
          <w:color w:val="auto"/>
          <w:sz w:val="24"/>
          <w:szCs w:val="21"/>
          <w:lang w:eastAsia="zh-CN"/>
        </w:rPr>
      </w:pPr>
      <w:r>
        <w:rPr>
          <w:rFonts w:hint="eastAsia" w:ascii="宋体" w:hAnsi="宋体" w:eastAsia="宋体" w:cs="宋体"/>
          <w:color w:val="auto"/>
          <w:sz w:val="24"/>
          <w:szCs w:val="21"/>
          <w:lang w:eastAsia="zh-CN"/>
        </w:rPr>
        <w:t>为加强食堂管理，</w:t>
      </w:r>
      <w:r>
        <w:rPr>
          <w:rFonts w:hint="eastAsia" w:cs="宋体"/>
          <w:color w:val="auto"/>
          <w:sz w:val="24"/>
          <w:szCs w:val="21"/>
          <w:lang w:eastAsia="zh-CN"/>
        </w:rPr>
        <w:t>甲方</w:t>
      </w:r>
      <w:r>
        <w:rPr>
          <w:rFonts w:hint="eastAsia" w:ascii="宋体" w:hAnsi="宋体" w:eastAsia="宋体" w:cs="宋体"/>
          <w:color w:val="auto"/>
          <w:sz w:val="24"/>
          <w:szCs w:val="21"/>
          <w:lang w:eastAsia="zh-CN"/>
        </w:rPr>
        <w:t>指定专人每月听取干部职工对食堂工作意见和建议，并反馈给食堂工作人员，相互沟通，重大事件由双方领导协商解决。</w:t>
      </w:r>
    </w:p>
    <w:p w14:paraId="01FE04D5">
      <w:pPr>
        <w:keepNext w:val="0"/>
        <w:keepLines w:val="0"/>
        <w:pageBreakBefore w:val="0"/>
        <w:numPr>
          <w:ilvl w:val="0"/>
          <w:numId w:val="26"/>
        </w:numPr>
        <w:kinsoku/>
        <w:wordWrap/>
        <w:overflowPunct/>
        <w:topLinePunct w:val="0"/>
        <w:bidi w:val="0"/>
        <w:spacing w:line="360" w:lineRule="auto"/>
        <w:ind w:left="0" w:leftChars="0" w:firstLine="480" w:firstLineChars="200"/>
        <w:rPr>
          <w:rFonts w:hint="eastAsia" w:ascii="宋体" w:hAnsi="宋体" w:eastAsia="宋体" w:cs="宋体"/>
          <w:color w:val="auto"/>
          <w:sz w:val="24"/>
          <w:szCs w:val="21"/>
          <w:lang w:eastAsia="zh-CN"/>
        </w:rPr>
      </w:pPr>
      <w:r>
        <w:rPr>
          <w:rFonts w:hint="eastAsia" w:ascii="宋体" w:hAnsi="宋体" w:eastAsia="宋体" w:cs="宋体"/>
          <w:color w:val="auto"/>
          <w:sz w:val="24"/>
          <w:szCs w:val="21"/>
          <w:lang w:eastAsia="zh-CN"/>
        </w:rPr>
        <w:t>检查食堂日常工作，发现工作人员不遵守食堂规章制度，服务不规范，及时纠正，屡教不改，有权向</w:t>
      </w:r>
      <w:r>
        <w:rPr>
          <w:rFonts w:hint="eastAsia" w:cs="宋体"/>
          <w:color w:val="auto"/>
          <w:sz w:val="24"/>
          <w:szCs w:val="21"/>
          <w:lang w:eastAsia="zh-CN"/>
        </w:rPr>
        <w:t>中标人</w:t>
      </w:r>
      <w:r>
        <w:rPr>
          <w:rFonts w:hint="eastAsia" w:ascii="宋体" w:hAnsi="宋体" w:eastAsia="宋体" w:cs="宋体"/>
          <w:color w:val="auto"/>
          <w:sz w:val="24"/>
          <w:szCs w:val="21"/>
          <w:lang w:eastAsia="zh-CN"/>
        </w:rPr>
        <w:t>提出辞退。</w:t>
      </w:r>
    </w:p>
    <w:p w14:paraId="6EDBE3C9">
      <w:pPr>
        <w:keepNext w:val="0"/>
        <w:keepLines w:val="0"/>
        <w:pageBreakBefore w:val="0"/>
        <w:numPr>
          <w:ilvl w:val="0"/>
          <w:numId w:val="26"/>
        </w:numPr>
        <w:kinsoku/>
        <w:wordWrap/>
        <w:overflowPunct/>
        <w:topLinePunct w:val="0"/>
        <w:bidi w:val="0"/>
        <w:spacing w:line="360" w:lineRule="auto"/>
        <w:ind w:left="0" w:leftChars="0" w:firstLine="480" w:firstLineChars="200"/>
        <w:rPr>
          <w:rFonts w:hint="eastAsia" w:ascii="宋体" w:hAnsi="宋体" w:eastAsia="宋体" w:cs="宋体"/>
          <w:color w:val="auto"/>
          <w:sz w:val="24"/>
          <w:szCs w:val="21"/>
          <w:lang w:eastAsia="zh-CN"/>
        </w:rPr>
      </w:pPr>
      <w:r>
        <w:rPr>
          <w:rFonts w:hint="eastAsia" w:cs="宋体"/>
          <w:color w:val="auto"/>
          <w:sz w:val="24"/>
          <w:szCs w:val="21"/>
          <w:lang w:eastAsia="zh-CN"/>
        </w:rPr>
        <w:t>甲方</w:t>
      </w:r>
      <w:r>
        <w:rPr>
          <w:rFonts w:hint="eastAsia" w:ascii="宋体" w:hAnsi="宋体" w:eastAsia="宋体" w:cs="宋体"/>
          <w:color w:val="auto"/>
          <w:sz w:val="24"/>
          <w:szCs w:val="21"/>
          <w:lang w:eastAsia="zh-CN"/>
        </w:rPr>
        <w:t>有权对</w:t>
      </w:r>
      <w:r>
        <w:rPr>
          <w:rFonts w:hint="eastAsia" w:cs="宋体"/>
          <w:color w:val="auto"/>
          <w:sz w:val="24"/>
          <w:szCs w:val="21"/>
          <w:lang w:eastAsia="zh-CN"/>
        </w:rPr>
        <w:t>乙方</w:t>
      </w:r>
      <w:r>
        <w:rPr>
          <w:rFonts w:hint="eastAsia" w:ascii="宋体" w:hAnsi="宋体" w:eastAsia="宋体" w:cs="宋体"/>
          <w:color w:val="auto"/>
          <w:sz w:val="24"/>
          <w:szCs w:val="21"/>
          <w:lang w:eastAsia="zh-CN"/>
        </w:rPr>
        <w:t xml:space="preserve">供餐的制作环境、餐具、服务质量、食堂卫生等进行定期或不定期检查，并提出建议和要求，必要时可请政府卫生监督部门进行检查。 </w:t>
      </w:r>
    </w:p>
    <w:p w14:paraId="68EEACB3">
      <w:pPr>
        <w:keepNext w:val="0"/>
        <w:keepLines w:val="0"/>
        <w:pageBreakBefore w:val="0"/>
        <w:numPr>
          <w:ilvl w:val="0"/>
          <w:numId w:val="26"/>
        </w:numPr>
        <w:kinsoku/>
        <w:wordWrap/>
        <w:overflowPunct/>
        <w:topLinePunct w:val="0"/>
        <w:bidi w:val="0"/>
        <w:spacing w:line="360" w:lineRule="auto"/>
        <w:ind w:left="0" w:leftChars="0" w:firstLine="480" w:firstLineChars="200"/>
        <w:rPr>
          <w:rFonts w:hint="eastAsia" w:ascii="宋体" w:hAnsi="宋体" w:eastAsia="宋体" w:cs="宋体"/>
          <w:color w:val="auto"/>
          <w:sz w:val="24"/>
          <w:szCs w:val="21"/>
          <w:lang w:eastAsia="zh-CN"/>
        </w:rPr>
      </w:pPr>
      <w:r>
        <w:rPr>
          <w:rFonts w:hint="eastAsia" w:cs="宋体"/>
          <w:color w:val="auto"/>
          <w:sz w:val="24"/>
          <w:szCs w:val="21"/>
          <w:lang w:eastAsia="zh-CN"/>
        </w:rPr>
        <w:t>甲方</w:t>
      </w:r>
      <w:r>
        <w:rPr>
          <w:rFonts w:hint="eastAsia" w:ascii="宋体" w:hAnsi="宋体" w:eastAsia="宋体" w:cs="宋体"/>
          <w:color w:val="auto"/>
          <w:sz w:val="24"/>
          <w:szCs w:val="21"/>
          <w:lang w:eastAsia="zh-CN"/>
        </w:rPr>
        <w:t>有权对饭菜质量、数量、卫生服务等情况进行监督检查，如</w:t>
      </w:r>
      <w:r>
        <w:rPr>
          <w:rFonts w:hint="eastAsia" w:cs="宋体"/>
          <w:color w:val="auto"/>
          <w:sz w:val="24"/>
          <w:szCs w:val="21"/>
          <w:lang w:eastAsia="zh-CN"/>
        </w:rPr>
        <w:t>乙方</w:t>
      </w:r>
      <w:r>
        <w:rPr>
          <w:rFonts w:hint="eastAsia" w:ascii="宋体" w:hAnsi="宋体" w:eastAsia="宋体" w:cs="宋体"/>
          <w:color w:val="auto"/>
          <w:sz w:val="24"/>
          <w:szCs w:val="21"/>
          <w:lang w:eastAsia="zh-CN"/>
        </w:rPr>
        <w:t>未达到要求，</w:t>
      </w:r>
      <w:r>
        <w:rPr>
          <w:rFonts w:hint="eastAsia" w:cs="宋体"/>
          <w:color w:val="auto"/>
          <w:sz w:val="24"/>
          <w:szCs w:val="21"/>
          <w:lang w:eastAsia="zh-CN"/>
        </w:rPr>
        <w:t>甲方</w:t>
      </w:r>
      <w:r>
        <w:rPr>
          <w:rFonts w:hint="eastAsia" w:ascii="宋体" w:hAnsi="宋体" w:eastAsia="宋体" w:cs="宋体"/>
          <w:color w:val="auto"/>
          <w:sz w:val="24"/>
          <w:szCs w:val="21"/>
          <w:lang w:eastAsia="zh-CN"/>
        </w:rPr>
        <w:t>有权要求进行适当赔偿或终止本合同。</w:t>
      </w:r>
    </w:p>
    <w:p w14:paraId="65F580DE">
      <w:pPr>
        <w:keepNext w:val="0"/>
        <w:keepLines w:val="0"/>
        <w:pageBreakBefore w:val="0"/>
        <w:numPr>
          <w:ilvl w:val="0"/>
          <w:numId w:val="26"/>
        </w:numPr>
        <w:kinsoku/>
        <w:wordWrap/>
        <w:overflowPunct/>
        <w:topLinePunct w:val="0"/>
        <w:bidi w:val="0"/>
        <w:spacing w:line="360" w:lineRule="auto"/>
        <w:ind w:left="0" w:leftChars="0" w:firstLine="480" w:firstLineChars="200"/>
        <w:rPr>
          <w:rFonts w:hint="eastAsia" w:ascii="宋体" w:hAnsi="宋体" w:eastAsia="宋体" w:cs="宋体"/>
          <w:color w:val="auto"/>
          <w:sz w:val="24"/>
          <w:szCs w:val="21"/>
          <w:lang w:eastAsia="zh-CN"/>
        </w:rPr>
      </w:pPr>
      <w:r>
        <w:rPr>
          <w:rFonts w:hint="eastAsia" w:cs="宋体"/>
          <w:color w:val="auto"/>
          <w:sz w:val="24"/>
          <w:szCs w:val="21"/>
          <w:lang w:eastAsia="zh-CN"/>
        </w:rPr>
        <w:t>乙方</w:t>
      </w:r>
      <w:r>
        <w:rPr>
          <w:rFonts w:hint="eastAsia" w:ascii="宋体" w:hAnsi="宋体" w:eastAsia="宋体" w:cs="宋体"/>
          <w:color w:val="auto"/>
          <w:sz w:val="24"/>
          <w:szCs w:val="21"/>
          <w:lang w:eastAsia="zh-CN"/>
        </w:rPr>
        <w:t>必须按照</w:t>
      </w:r>
      <w:r>
        <w:rPr>
          <w:rFonts w:hint="eastAsia" w:cs="宋体"/>
          <w:color w:val="auto"/>
          <w:sz w:val="24"/>
          <w:szCs w:val="21"/>
          <w:lang w:eastAsia="zh-CN"/>
        </w:rPr>
        <w:t>甲方</w:t>
      </w:r>
      <w:r>
        <w:rPr>
          <w:rFonts w:hint="eastAsia" w:ascii="宋体" w:hAnsi="宋体" w:eastAsia="宋体" w:cs="宋体"/>
          <w:color w:val="auto"/>
          <w:sz w:val="24"/>
          <w:szCs w:val="21"/>
          <w:lang w:eastAsia="zh-CN"/>
        </w:rPr>
        <w:t>规定时间准时开餐，如外单位来接洽工作需提供接待餐的，由</w:t>
      </w:r>
      <w:r>
        <w:rPr>
          <w:rFonts w:hint="eastAsia" w:cs="宋体"/>
          <w:color w:val="auto"/>
          <w:sz w:val="24"/>
          <w:szCs w:val="21"/>
          <w:lang w:eastAsia="zh-CN"/>
        </w:rPr>
        <w:t>甲方</w:t>
      </w:r>
      <w:r>
        <w:rPr>
          <w:rFonts w:hint="eastAsia" w:ascii="宋体" w:hAnsi="宋体" w:eastAsia="宋体" w:cs="宋体"/>
          <w:color w:val="auto"/>
          <w:sz w:val="24"/>
          <w:szCs w:val="21"/>
          <w:lang w:eastAsia="zh-CN"/>
        </w:rPr>
        <w:t>提前告知</w:t>
      </w:r>
      <w:r>
        <w:rPr>
          <w:rFonts w:hint="eastAsia" w:cs="宋体"/>
          <w:color w:val="auto"/>
          <w:sz w:val="24"/>
          <w:szCs w:val="21"/>
          <w:lang w:eastAsia="zh-CN"/>
        </w:rPr>
        <w:t>乙方</w:t>
      </w:r>
      <w:r>
        <w:rPr>
          <w:rFonts w:hint="eastAsia" w:ascii="宋体" w:hAnsi="宋体" w:eastAsia="宋体" w:cs="宋体"/>
          <w:color w:val="auto"/>
          <w:sz w:val="24"/>
          <w:szCs w:val="21"/>
          <w:lang w:eastAsia="zh-CN"/>
        </w:rPr>
        <w:t>接待人员数量,</w:t>
      </w:r>
      <w:r>
        <w:rPr>
          <w:rFonts w:hint="eastAsia" w:cs="宋体"/>
          <w:color w:val="auto"/>
          <w:sz w:val="24"/>
          <w:szCs w:val="21"/>
          <w:lang w:eastAsia="zh-CN"/>
        </w:rPr>
        <w:t>乙方</w:t>
      </w:r>
      <w:r>
        <w:rPr>
          <w:rFonts w:hint="eastAsia" w:ascii="宋体" w:hAnsi="宋体" w:eastAsia="宋体" w:cs="宋体"/>
          <w:color w:val="auto"/>
          <w:sz w:val="24"/>
          <w:szCs w:val="21"/>
          <w:lang w:eastAsia="zh-CN"/>
        </w:rPr>
        <w:t>及时做好准备工作。</w:t>
      </w:r>
    </w:p>
    <w:p w14:paraId="5EB923BE">
      <w:pPr>
        <w:keepNext w:val="0"/>
        <w:keepLines w:val="0"/>
        <w:pageBreakBefore w:val="0"/>
        <w:numPr>
          <w:ilvl w:val="0"/>
          <w:numId w:val="26"/>
        </w:numPr>
        <w:kinsoku/>
        <w:wordWrap/>
        <w:overflowPunct/>
        <w:topLinePunct w:val="0"/>
        <w:bidi w:val="0"/>
        <w:spacing w:line="360" w:lineRule="auto"/>
        <w:ind w:left="0" w:leftChars="0" w:firstLine="480" w:firstLineChars="200"/>
        <w:rPr>
          <w:rFonts w:hint="eastAsia" w:ascii="宋体" w:hAnsi="宋体" w:eastAsia="宋体" w:cs="宋体"/>
          <w:color w:val="auto"/>
          <w:sz w:val="24"/>
          <w:szCs w:val="21"/>
          <w:lang w:eastAsia="zh-CN"/>
        </w:rPr>
      </w:pPr>
      <w:r>
        <w:rPr>
          <w:rFonts w:hint="eastAsia" w:cs="宋体"/>
          <w:color w:val="auto"/>
          <w:sz w:val="24"/>
          <w:szCs w:val="21"/>
          <w:lang w:eastAsia="zh-CN"/>
        </w:rPr>
        <w:t>乙方</w:t>
      </w:r>
      <w:r>
        <w:rPr>
          <w:rFonts w:hint="eastAsia" w:ascii="宋体" w:hAnsi="宋体" w:eastAsia="宋体" w:cs="宋体"/>
          <w:color w:val="auto"/>
          <w:sz w:val="24"/>
          <w:szCs w:val="21"/>
          <w:lang w:eastAsia="zh-CN"/>
        </w:rPr>
        <w:t>菜肴口味达不到</w:t>
      </w:r>
      <w:r>
        <w:rPr>
          <w:rFonts w:hint="eastAsia" w:cs="宋体"/>
          <w:color w:val="auto"/>
          <w:sz w:val="24"/>
          <w:szCs w:val="21"/>
          <w:lang w:eastAsia="zh-CN"/>
        </w:rPr>
        <w:t>采购人</w:t>
      </w:r>
      <w:r>
        <w:rPr>
          <w:rFonts w:hint="eastAsia" w:ascii="宋体" w:hAnsi="宋体" w:eastAsia="宋体" w:cs="宋体"/>
          <w:color w:val="auto"/>
          <w:sz w:val="24"/>
          <w:szCs w:val="21"/>
          <w:lang w:eastAsia="zh-CN"/>
        </w:rPr>
        <w:t>要求的，</w:t>
      </w:r>
      <w:r>
        <w:rPr>
          <w:rFonts w:hint="eastAsia" w:cs="宋体"/>
          <w:color w:val="auto"/>
          <w:sz w:val="24"/>
          <w:szCs w:val="21"/>
          <w:lang w:eastAsia="zh-CN"/>
        </w:rPr>
        <w:t>乙方</w:t>
      </w:r>
      <w:r>
        <w:rPr>
          <w:rFonts w:hint="eastAsia" w:ascii="宋体" w:hAnsi="宋体" w:eastAsia="宋体" w:cs="宋体"/>
          <w:color w:val="auto"/>
          <w:sz w:val="24"/>
          <w:szCs w:val="21"/>
          <w:lang w:eastAsia="zh-CN"/>
        </w:rPr>
        <w:t>必须按要求更换厨师。</w:t>
      </w:r>
    </w:p>
    <w:p w14:paraId="2762B97A">
      <w:pPr>
        <w:keepNext w:val="0"/>
        <w:keepLines w:val="0"/>
        <w:pageBreakBefore w:val="0"/>
        <w:numPr>
          <w:ilvl w:val="0"/>
          <w:numId w:val="26"/>
        </w:numPr>
        <w:kinsoku/>
        <w:wordWrap/>
        <w:overflowPunct/>
        <w:topLinePunct w:val="0"/>
        <w:bidi w:val="0"/>
        <w:spacing w:line="360" w:lineRule="auto"/>
        <w:ind w:left="0" w:leftChars="0" w:firstLine="480" w:firstLineChars="200"/>
        <w:rPr>
          <w:rFonts w:hint="eastAsia" w:ascii="宋体" w:hAnsi="宋体" w:eastAsia="宋体" w:cs="宋体"/>
          <w:color w:val="auto"/>
          <w:sz w:val="24"/>
          <w:szCs w:val="21"/>
          <w:lang w:eastAsia="zh-CN"/>
        </w:rPr>
      </w:pPr>
      <w:r>
        <w:rPr>
          <w:rFonts w:hint="eastAsia" w:cs="宋体"/>
          <w:color w:val="auto"/>
          <w:sz w:val="24"/>
          <w:szCs w:val="21"/>
          <w:lang w:eastAsia="zh-CN"/>
        </w:rPr>
        <w:t>乙方</w:t>
      </w:r>
      <w:r>
        <w:rPr>
          <w:rFonts w:hint="eastAsia" w:ascii="宋体" w:hAnsi="宋体" w:eastAsia="宋体" w:cs="宋体"/>
          <w:color w:val="auto"/>
          <w:sz w:val="24"/>
          <w:szCs w:val="21"/>
          <w:lang w:eastAsia="zh-CN"/>
        </w:rPr>
        <w:t>在被委托期间，发生人员伤亡由</w:t>
      </w:r>
      <w:r>
        <w:rPr>
          <w:rFonts w:hint="eastAsia" w:cs="宋体"/>
          <w:color w:val="auto"/>
          <w:sz w:val="24"/>
          <w:szCs w:val="21"/>
          <w:lang w:eastAsia="zh-CN"/>
        </w:rPr>
        <w:t>乙方</w:t>
      </w:r>
      <w:r>
        <w:rPr>
          <w:rFonts w:hint="eastAsia" w:ascii="宋体" w:hAnsi="宋体" w:eastAsia="宋体" w:cs="宋体"/>
          <w:color w:val="auto"/>
          <w:sz w:val="24"/>
          <w:szCs w:val="21"/>
          <w:lang w:eastAsia="zh-CN"/>
        </w:rPr>
        <w:t>承担一切费用，</w:t>
      </w:r>
      <w:r>
        <w:rPr>
          <w:rFonts w:hint="eastAsia" w:cs="宋体"/>
          <w:color w:val="auto"/>
          <w:sz w:val="24"/>
          <w:szCs w:val="21"/>
          <w:lang w:eastAsia="zh-CN"/>
        </w:rPr>
        <w:t>甲方</w:t>
      </w:r>
      <w:r>
        <w:rPr>
          <w:rFonts w:hint="eastAsia" w:ascii="宋体" w:hAnsi="宋体" w:eastAsia="宋体" w:cs="宋体"/>
          <w:color w:val="auto"/>
          <w:sz w:val="24"/>
          <w:szCs w:val="21"/>
          <w:lang w:eastAsia="zh-CN"/>
        </w:rPr>
        <w:t>概不承担任何责任。</w:t>
      </w:r>
      <w:r>
        <w:rPr>
          <w:rFonts w:hint="eastAsia" w:cs="宋体"/>
          <w:color w:val="auto"/>
          <w:sz w:val="24"/>
          <w:szCs w:val="21"/>
          <w:lang w:eastAsia="zh-CN"/>
        </w:rPr>
        <w:t>乙方</w:t>
      </w:r>
      <w:r>
        <w:rPr>
          <w:rFonts w:hint="eastAsia" w:ascii="宋体" w:hAnsi="宋体" w:eastAsia="宋体" w:cs="宋体"/>
          <w:color w:val="auto"/>
          <w:sz w:val="24"/>
          <w:szCs w:val="21"/>
          <w:lang w:eastAsia="zh-CN"/>
        </w:rPr>
        <w:t>用工应签订劳动协议，并办理各种用工手续，如因用工不当，给</w:t>
      </w:r>
      <w:r>
        <w:rPr>
          <w:rFonts w:hint="eastAsia" w:cs="宋体"/>
          <w:color w:val="auto"/>
          <w:sz w:val="24"/>
          <w:szCs w:val="21"/>
          <w:lang w:eastAsia="zh-CN"/>
        </w:rPr>
        <w:t>甲方</w:t>
      </w:r>
      <w:r>
        <w:rPr>
          <w:rFonts w:hint="eastAsia" w:ascii="宋体" w:hAnsi="宋体" w:eastAsia="宋体" w:cs="宋体"/>
          <w:color w:val="auto"/>
          <w:sz w:val="24"/>
          <w:szCs w:val="21"/>
          <w:lang w:eastAsia="zh-CN"/>
        </w:rPr>
        <w:t>造成损失由</w:t>
      </w:r>
      <w:r>
        <w:rPr>
          <w:rFonts w:hint="eastAsia" w:cs="宋体"/>
          <w:color w:val="auto"/>
          <w:sz w:val="24"/>
          <w:szCs w:val="21"/>
          <w:lang w:eastAsia="zh-CN"/>
        </w:rPr>
        <w:t>乙方</w:t>
      </w:r>
      <w:r>
        <w:rPr>
          <w:rFonts w:hint="eastAsia" w:ascii="宋体" w:hAnsi="宋体" w:eastAsia="宋体" w:cs="宋体"/>
          <w:color w:val="auto"/>
          <w:sz w:val="24"/>
          <w:szCs w:val="21"/>
          <w:lang w:eastAsia="zh-CN"/>
        </w:rPr>
        <w:t>承担一切责任。</w:t>
      </w:r>
    </w:p>
    <w:p w14:paraId="605B2B82">
      <w:pPr>
        <w:keepNext w:val="0"/>
        <w:keepLines w:val="0"/>
        <w:pageBreakBefore w:val="0"/>
        <w:numPr>
          <w:ilvl w:val="0"/>
          <w:numId w:val="26"/>
        </w:numPr>
        <w:kinsoku/>
        <w:wordWrap/>
        <w:overflowPunct/>
        <w:topLinePunct w:val="0"/>
        <w:bidi w:val="0"/>
        <w:spacing w:line="360" w:lineRule="auto"/>
        <w:ind w:left="0" w:leftChars="0" w:firstLine="480" w:firstLineChars="200"/>
        <w:rPr>
          <w:rFonts w:hint="eastAsia" w:ascii="宋体" w:hAnsi="宋体" w:eastAsia="宋体" w:cs="宋体"/>
          <w:color w:val="auto"/>
          <w:sz w:val="24"/>
          <w:szCs w:val="21"/>
          <w:lang w:eastAsia="zh-CN"/>
        </w:rPr>
      </w:pPr>
      <w:r>
        <w:rPr>
          <w:rFonts w:hint="eastAsia" w:ascii="宋体" w:hAnsi="宋体" w:eastAsia="宋体" w:cs="宋体"/>
          <w:color w:val="auto"/>
          <w:sz w:val="24"/>
          <w:szCs w:val="21"/>
          <w:lang w:eastAsia="zh-CN"/>
        </w:rPr>
        <w:t>遇突发事件或安全检查时，</w:t>
      </w:r>
      <w:r>
        <w:rPr>
          <w:rFonts w:hint="eastAsia" w:cs="宋体"/>
          <w:color w:val="auto"/>
          <w:sz w:val="24"/>
          <w:szCs w:val="21"/>
          <w:lang w:eastAsia="zh-CN"/>
        </w:rPr>
        <w:t>乙方</w:t>
      </w:r>
      <w:r>
        <w:rPr>
          <w:rFonts w:hint="eastAsia" w:ascii="宋体" w:hAnsi="宋体" w:eastAsia="宋体" w:cs="宋体"/>
          <w:color w:val="auto"/>
          <w:sz w:val="24"/>
          <w:szCs w:val="21"/>
          <w:lang w:eastAsia="zh-CN"/>
        </w:rPr>
        <w:t>必须配合有关部门执行任务（包括双休日及法定节假日），并指定专职人员协助工作，直至完成。</w:t>
      </w:r>
    </w:p>
    <w:p w14:paraId="5EBEC59A">
      <w:pPr>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color w:val="auto"/>
          <w:sz w:val="24"/>
          <w:szCs w:val="21"/>
          <w:lang w:eastAsia="zh-CN"/>
        </w:rPr>
      </w:pPr>
      <w:r>
        <w:rPr>
          <w:rFonts w:hint="eastAsia" w:cs="宋体"/>
          <w:color w:val="auto"/>
          <w:sz w:val="24"/>
          <w:szCs w:val="21"/>
          <w:lang w:eastAsia="zh-CN"/>
        </w:rPr>
        <w:t>乙方</w:t>
      </w:r>
      <w:r>
        <w:rPr>
          <w:rFonts w:hint="eastAsia" w:ascii="宋体" w:hAnsi="宋体" w:eastAsia="宋体" w:cs="宋体"/>
          <w:color w:val="auto"/>
          <w:sz w:val="24"/>
          <w:szCs w:val="21"/>
          <w:lang w:eastAsia="zh-CN"/>
        </w:rPr>
        <w:t>服务从业人员就餐按照</w:t>
      </w:r>
      <w:r>
        <w:rPr>
          <w:rFonts w:hint="eastAsia" w:cs="宋体"/>
          <w:color w:val="auto"/>
          <w:sz w:val="24"/>
          <w:szCs w:val="21"/>
          <w:lang w:eastAsia="zh-CN"/>
        </w:rPr>
        <w:t>采购人</w:t>
      </w:r>
      <w:r>
        <w:rPr>
          <w:rFonts w:hint="eastAsia" w:ascii="宋体" w:hAnsi="宋体" w:eastAsia="宋体" w:cs="宋体"/>
          <w:color w:val="auto"/>
          <w:sz w:val="24"/>
          <w:szCs w:val="21"/>
          <w:lang w:eastAsia="zh-CN"/>
        </w:rPr>
        <w:t>餐标执行，不得开小灶等行为。</w:t>
      </w:r>
    </w:p>
    <w:p w14:paraId="2C2FCFB9">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甲方考核</w:t>
      </w:r>
    </w:p>
    <w:p w14:paraId="533ED3D4">
      <w:pPr>
        <w:keepNext w:val="0"/>
        <w:keepLines w:val="0"/>
        <w:pageBreakBefore w:val="0"/>
        <w:kinsoku/>
        <w:wordWrap/>
        <w:overflowPunct/>
        <w:topLinePunct w:val="0"/>
        <w:bidi w:val="0"/>
        <w:spacing w:line="360" w:lineRule="auto"/>
        <w:ind w:left="0" w:leftChars="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对</w:t>
      </w:r>
      <w:r>
        <w:rPr>
          <w:rFonts w:hint="eastAsia" w:ascii="宋体" w:hAnsi="宋体"/>
          <w:color w:val="auto"/>
          <w:sz w:val="24"/>
          <w:szCs w:val="24"/>
          <w:highlight w:val="none"/>
          <w:lang w:eastAsia="zh-CN"/>
        </w:rPr>
        <w:t>乙方</w:t>
      </w:r>
      <w:r>
        <w:rPr>
          <w:rFonts w:hint="eastAsia" w:ascii="宋体" w:hAnsi="宋体"/>
          <w:color w:val="auto"/>
          <w:sz w:val="24"/>
          <w:szCs w:val="24"/>
          <w:highlight w:val="none"/>
        </w:rPr>
        <w:t>实行监督考核，餐务涉及的所有区域和操作过程都属于监管范围。</w:t>
      </w:r>
    </w:p>
    <w:p w14:paraId="3A7A4085">
      <w:pPr>
        <w:keepNext w:val="0"/>
        <w:keepLines w:val="0"/>
        <w:pageBreakBefore w:val="0"/>
        <w:kinsoku/>
        <w:wordWrap/>
        <w:overflowPunct/>
        <w:topLinePunct w:val="0"/>
        <w:bidi w:val="0"/>
        <w:spacing w:line="360" w:lineRule="auto"/>
        <w:ind w:left="0" w:leftChars="0"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乙方</w:t>
      </w:r>
      <w:r>
        <w:rPr>
          <w:rFonts w:hint="eastAsia" w:ascii="宋体" w:hAnsi="宋体"/>
          <w:color w:val="auto"/>
          <w:sz w:val="24"/>
          <w:szCs w:val="24"/>
          <w:highlight w:val="none"/>
        </w:rPr>
        <w:t>须根据行业规范抓好日常管理，确保</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食堂原有荣誉续存，争创行业新荣誉。</w:t>
      </w:r>
    </w:p>
    <w:p w14:paraId="32331389">
      <w:pPr>
        <w:keepNext w:val="0"/>
        <w:keepLines w:val="0"/>
        <w:pageBreakBefore w:val="0"/>
        <w:kinsoku/>
        <w:wordWrap/>
        <w:overflowPunct/>
        <w:topLinePunct w:val="0"/>
        <w:bidi w:val="0"/>
        <w:spacing w:line="360" w:lineRule="auto"/>
        <w:ind w:left="0" w:leftChars="0"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乙方</w:t>
      </w:r>
      <w:r>
        <w:rPr>
          <w:rFonts w:hint="eastAsia" w:ascii="宋体" w:hAnsi="宋体"/>
          <w:color w:val="auto"/>
          <w:sz w:val="24"/>
          <w:szCs w:val="24"/>
          <w:highlight w:val="none"/>
        </w:rPr>
        <w:t>不得以任何形式转租、转让、抵押承包区域，在承包区域只从事</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认可的服务工作。在承包期间，</w:t>
      </w:r>
      <w:r>
        <w:rPr>
          <w:rFonts w:hint="eastAsia" w:ascii="宋体" w:hAnsi="宋体"/>
          <w:color w:val="auto"/>
          <w:sz w:val="24"/>
          <w:szCs w:val="24"/>
          <w:highlight w:val="none"/>
          <w:lang w:eastAsia="zh-CN"/>
        </w:rPr>
        <w:t>乙方</w:t>
      </w:r>
      <w:r>
        <w:rPr>
          <w:rFonts w:hint="eastAsia" w:ascii="宋体" w:hAnsi="宋体"/>
          <w:color w:val="auto"/>
          <w:sz w:val="24"/>
          <w:szCs w:val="24"/>
          <w:highlight w:val="none"/>
        </w:rPr>
        <w:t>的任何股份配置变动应通知</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。未经</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书面批准，任何占有支配地位的股份转让者将视为</w:t>
      </w:r>
      <w:r>
        <w:rPr>
          <w:rFonts w:hint="eastAsia" w:ascii="宋体" w:hAnsi="宋体"/>
          <w:color w:val="auto"/>
          <w:sz w:val="24"/>
          <w:szCs w:val="24"/>
          <w:highlight w:val="none"/>
          <w:lang w:eastAsia="zh-CN"/>
        </w:rPr>
        <w:t>乙方</w:t>
      </w:r>
      <w:r>
        <w:rPr>
          <w:rFonts w:hint="eastAsia" w:ascii="宋体" w:hAnsi="宋体"/>
          <w:color w:val="auto"/>
          <w:sz w:val="24"/>
          <w:szCs w:val="24"/>
          <w:highlight w:val="none"/>
        </w:rPr>
        <w:t>出租、转让的行为。一经发现，</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有权取消其受托资格，并给予经济处罚或诉讼法律。</w:t>
      </w:r>
    </w:p>
    <w:p w14:paraId="12F2EB56">
      <w:pPr>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lang w:eastAsia="zh-CN"/>
        </w:rPr>
        <w:t>乙方</w:t>
      </w:r>
      <w:r>
        <w:rPr>
          <w:rFonts w:hint="eastAsia" w:ascii="宋体" w:hAnsi="宋体"/>
          <w:color w:val="auto"/>
          <w:sz w:val="24"/>
          <w:szCs w:val="24"/>
          <w:highlight w:val="none"/>
        </w:rPr>
        <w:t>不得经营餐饮之外的任何业务，如果超范围经营，需经双方协商。</w:t>
      </w:r>
    </w:p>
    <w:p w14:paraId="1C51A933">
      <w:pPr>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考核(具体见上虞区应急管理局食堂管理服务考核办法)：</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采购单位实行考核，对</w:t>
      </w:r>
      <w:r>
        <w:rPr>
          <w:rFonts w:hint="eastAsia" w:ascii="宋体" w:hAnsi="宋体" w:cs="宋体"/>
          <w:color w:val="auto"/>
          <w:sz w:val="24"/>
          <w:szCs w:val="24"/>
          <w:highlight w:val="none"/>
          <w:lang w:eastAsia="zh-CN"/>
        </w:rPr>
        <w:t>食品卫生、环境卫生、食品供应及口感、、劳动纪律和日常管理</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进行监督考核，当期食堂管理服务费根据考核结果发放。</w:t>
      </w:r>
    </w:p>
    <w:p w14:paraId="6A3DC4B9">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乙方工作须知</w:t>
      </w:r>
    </w:p>
    <w:p w14:paraId="1B6582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contextualSpacing/>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要树立“绿色、健康、安全”和“厉行节约、制止浪费”工作的理念，根据不同季节科学制订菜单，定期推出特色菜或新菜（主打菜每天有变化），早、晚菜单区分开制，保持菜肴新鲜。</w:t>
      </w:r>
    </w:p>
    <w:p w14:paraId="04396276">
      <w:pPr>
        <w:keepNext w:val="0"/>
        <w:keepLines w:val="0"/>
        <w:pageBreakBefore w:val="0"/>
        <w:widowControl w:val="0"/>
        <w:tabs>
          <w:tab w:val="left" w:pos="2838"/>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需提供每周菜单</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日</w:t>
      </w:r>
      <w:r>
        <w:rPr>
          <w:rFonts w:hint="eastAsia" w:ascii="宋体" w:hAnsi="宋体" w:cs="宋体"/>
          <w:color w:val="auto"/>
          <w:kern w:val="2"/>
          <w:sz w:val="24"/>
          <w:szCs w:val="24"/>
          <w:highlight w:val="none"/>
          <w:lang w:val="en-US" w:eastAsia="zh-CN" w:bidi="ar-SA"/>
        </w:rPr>
        <w:t>菜品食材及其他相关食堂用品</w:t>
      </w:r>
      <w:r>
        <w:rPr>
          <w:rFonts w:hint="eastAsia" w:ascii="宋体" w:hAnsi="宋体" w:eastAsia="宋体" w:cs="宋体"/>
          <w:color w:val="auto"/>
          <w:kern w:val="2"/>
          <w:sz w:val="24"/>
          <w:szCs w:val="24"/>
          <w:highlight w:val="none"/>
          <w:lang w:val="en-US" w:eastAsia="zh-CN" w:bidi="ar-SA"/>
        </w:rPr>
        <w:t>申购清单，</w:t>
      </w:r>
      <w:r>
        <w:rPr>
          <w:rFonts w:hint="eastAsia" w:ascii="宋体" w:hAnsi="宋体" w:eastAsia="宋体" w:cs="宋体"/>
          <w:b/>
          <w:bCs/>
          <w:color w:val="auto"/>
          <w:kern w:val="2"/>
          <w:sz w:val="24"/>
          <w:szCs w:val="24"/>
          <w:highlight w:val="none"/>
          <w:lang w:val="en-US" w:eastAsia="zh-CN" w:bidi="ar-SA"/>
        </w:rPr>
        <w:t>经采购方审核同意后，</w:t>
      </w:r>
      <w:r>
        <w:rPr>
          <w:rFonts w:hint="eastAsia" w:ascii="宋体" w:hAnsi="宋体" w:cs="宋体"/>
          <w:b/>
          <w:bCs/>
          <w:color w:val="auto"/>
          <w:kern w:val="2"/>
          <w:sz w:val="24"/>
          <w:szCs w:val="24"/>
          <w:highlight w:val="none"/>
          <w:lang w:val="en-US" w:eastAsia="zh-CN" w:bidi="ar-SA"/>
        </w:rPr>
        <w:t>食材及其他相关食堂用品均由采购方负责</w:t>
      </w:r>
      <w:r>
        <w:rPr>
          <w:rFonts w:hint="eastAsia" w:ascii="宋体" w:hAnsi="宋体" w:eastAsia="宋体" w:cs="宋体"/>
          <w:b/>
          <w:bCs/>
          <w:color w:val="auto"/>
          <w:kern w:val="2"/>
          <w:sz w:val="24"/>
          <w:szCs w:val="24"/>
          <w:highlight w:val="none"/>
          <w:lang w:val="en-US" w:eastAsia="zh-CN" w:bidi="ar-SA"/>
        </w:rPr>
        <w:t>。</w:t>
      </w:r>
    </w:p>
    <w:p w14:paraId="43064177">
      <w:pPr>
        <w:keepNext w:val="0"/>
        <w:keepLines w:val="0"/>
        <w:pageBreakBefore w:val="0"/>
        <w:widowControl w:val="0"/>
        <w:tabs>
          <w:tab w:val="left" w:pos="2838"/>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要做好成本控制工作，提供食堂当日用料、就餐人数等有关数据，协助做好成本核算工作。</w:t>
      </w:r>
    </w:p>
    <w:p w14:paraId="57D58B0E">
      <w:pPr>
        <w:keepNext w:val="0"/>
        <w:keepLines w:val="0"/>
        <w:pageBreakBefore w:val="0"/>
        <w:widowControl w:val="0"/>
        <w:tabs>
          <w:tab w:val="left" w:pos="2838"/>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应根据采购方要求做好特殊情况下供餐保障工作，如重大公务活动、突发性事件应急处置、</w:t>
      </w:r>
      <w:r>
        <w:rPr>
          <w:rFonts w:hint="eastAsia" w:ascii="宋体" w:hAnsi="宋体" w:cs="宋体"/>
          <w:color w:val="auto"/>
          <w:kern w:val="2"/>
          <w:sz w:val="24"/>
          <w:szCs w:val="24"/>
          <w:highlight w:val="none"/>
          <w:lang w:val="en-US" w:eastAsia="zh-CN" w:bidi="ar-SA"/>
        </w:rPr>
        <w:t>自然灾害响应</w:t>
      </w:r>
      <w:r>
        <w:rPr>
          <w:rFonts w:hint="eastAsia" w:ascii="宋体" w:hAnsi="宋体" w:eastAsia="宋体" w:cs="宋体"/>
          <w:color w:val="auto"/>
          <w:kern w:val="2"/>
          <w:sz w:val="24"/>
          <w:szCs w:val="24"/>
          <w:highlight w:val="none"/>
          <w:lang w:val="en-US" w:eastAsia="zh-CN" w:bidi="ar-SA"/>
        </w:rPr>
        <w:t>等。</w:t>
      </w:r>
    </w:p>
    <w:p w14:paraId="0D273643">
      <w:pPr>
        <w:pStyle w:val="2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（5）如遇到特殊情况，需要</w:t>
      </w:r>
      <w:r>
        <w:rPr>
          <w:rFonts w:hint="eastAsia"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提供快餐配送服务，</w:t>
      </w:r>
      <w:r>
        <w:rPr>
          <w:rFonts w:hint="eastAsia" w:ascii="宋体" w:hAnsi="宋体" w:eastAsia="宋体" w:cs="宋体"/>
          <w:color w:val="auto"/>
          <w:sz w:val="24"/>
          <w:szCs w:val="24"/>
          <w:highlight w:val="none"/>
          <w:lang w:eastAsia="zh-CN"/>
        </w:rPr>
        <w:t>配送地址和时间</w:t>
      </w:r>
      <w:r>
        <w:rPr>
          <w:rFonts w:hint="eastAsia" w:ascii="宋体" w:hAnsi="宋体" w:eastAsia="宋体" w:cs="宋体"/>
          <w:color w:val="auto"/>
          <w:sz w:val="24"/>
          <w:szCs w:val="24"/>
          <w:highlight w:val="none"/>
        </w:rPr>
        <w:t>按照采购方规定实行</w:t>
      </w:r>
      <w:r>
        <w:rPr>
          <w:rFonts w:hint="eastAsia" w:ascii="宋体" w:hAnsi="宋体" w:eastAsia="宋体" w:cs="宋体"/>
          <w:color w:val="auto"/>
          <w:sz w:val="24"/>
          <w:szCs w:val="24"/>
          <w:highlight w:val="none"/>
          <w:lang w:eastAsia="zh-CN"/>
        </w:rPr>
        <w:t>。</w:t>
      </w:r>
    </w:p>
    <w:p w14:paraId="3358A7EF">
      <w:pPr>
        <w:keepNext w:val="0"/>
        <w:keepLines w:val="0"/>
        <w:pageBreakBefore w:val="0"/>
        <w:widowControl w:val="0"/>
        <w:tabs>
          <w:tab w:val="left" w:pos="2838"/>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应做好食堂垃圾分类、投放、登记及垃圾处理工作（厨余垃圾处理机操作）。</w:t>
      </w:r>
    </w:p>
    <w:p w14:paraId="148B69EE">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验收要求</w:t>
      </w:r>
    </w:p>
    <w:p w14:paraId="1733E8DF">
      <w:pPr>
        <w:keepNext w:val="0"/>
        <w:keepLines w:val="0"/>
        <w:pageBreakBefore w:val="0"/>
        <w:widowControl w:val="0"/>
        <w:tabs>
          <w:tab w:val="left" w:pos="2838"/>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1.验收以采购文件和技术文件、投标文件、合同及安装技术要求为依据。</w:t>
      </w:r>
    </w:p>
    <w:p w14:paraId="78A0F1D1">
      <w:pPr>
        <w:keepNext w:val="0"/>
        <w:keepLines w:val="0"/>
        <w:pageBreakBefore w:val="0"/>
        <w:widowControl w:val="0"/>
        <w:tabs>
          <w:tab w:val="left" w:pos="2838"/>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2.验收必须符合国家、地方有关规范、标准要求。</w:t>
      </w:r>
    </w:p>
    <w:p w14:paraId="20F2E97B">
      <w:pPr>
        <w:keepNext w:val="0"/>
        <w:keepLines w:val="0"/>
        <w:pageBreakBefore w:val="0"/>
        <w:widowControl w:val="0"/>
        <w:tabs>
          <w:tab w:val="left" w:pos="2838"/>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3.符合验收条件的，由</w:t>
      </w:r>
      <w:r>
        <w:rPr>
          <w:rFonts w:hint="eastAsia" w:ascii="宋体" w:hAnsi="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CN" w:bidi="ar-SA"/>
        </w:rPr>
        <w:t>组织有关部门按照国家、地方有关规范、标准及要求进行验收。验收后中标</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应按照验收中提出的意见整改</w:t>
      </w:r>
      <w:r>
        <w:rPr>
          <w:rFonts w:hint="eastAsia" w:ascii="宋体" w:hAnsi="宋体" w:cs="宋体"/>
          <w:color w:val="auto"/>
          <w:kern w:val="2"/>
          <w:sz w:val="24"/>
          <w:szCs w:val="24"/>
          <w:highlight w:val="none"/>
          <w:lang w:val="en-US" w:eastAsia="zh-CN" w:bidi="ar-SA"/>
        </w:rPr>
        <w:t>，同一问题整改次数不得超过2次，整改后仍不符合要求的，甲方有权要求乙方更换对应负责人员</w:t>
      </w:r>
      <w:r>
        <w:rPr>
          <w:rFonts w:hint="eastAsia" w:ascii="宋体" w:hAnsi="宋体" w:eastAsia="宋体" w:cs="宋体"/>
          <w:color w:val="auto"/>
          <w:kern w:val="2"/>
          <w:sz w:val="24"/>
          <w:szCs w:val="24"/>
          <w:highlight w:val="none"/>
          <w:lang w:val="en-US" w:eastAsia="zh-CN" w:bidi="ar-SA"/>
        </w:rPr>
        <w:t>。</w:t>
      </w:r>
    </w:p>
    <w:p w14:paraId="20E50484">
      <w:pPr>
        <w:keepNext w:val="0"/>
        <w:keepLines w:val="0"/>
        <w:pageBreakBefore w:val="0"/>
        <w:widowControl w:val="0"/>
        <w:tabs>
          <w:tab w:val="left" w:pos="2838"/>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4.整改完毕且复验合格</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完成日期以通过复验日期为准。</w:t>
      </w:r>
    </w:p>
    <w:p w14:paraId="3935F49E">
      <w:pPr>
        <w:keepNext w:val="0"/>
        <w:keepLines w:val="0"/>
        <w:pageBreakBefore w:val="0"/>
        <w:widowControl w:val="0"/>
        <w:tabs>
          <w:tab w:val="left" w:pos="2838"/>
        </w:tabs>
        <w:kinsoku/>
        <w:wordWrap/>
        <w:overflowPunct/>
        <w:topLinePunct w:val="0"/>
        <w:autoSpaceDE/>
        <w:autoSpaceDN/>
        <w:bidi w:val="0"/>
        <w:adjustRightInd/>
        <w:snapToGrid/>
        <w:spacing w:line="360" w:lineRule="auto"/>
        <w:ind w:left="0" w:leftChars="0" w:firstLine="480" w:firstLineChars="200"/>
        <w:textAlignment w:val="auto"/>
        <w:rPr>
          <w:rFonts w:hint="eastAsia"/>
          <w:color w:val="auto"/>
          <w:highlight w:val="none"/>
          <w:lang w:val="en-US" w:eastAsia="zh-CN"/>
        </w:rPr>
      </w:pPr>
      <w:r>
        <w:rPr>
          <w:rFonts w:hint="eastAsia" w:ascii="宋体" w:hAnsi="宋体" w:eastAsia="宋体" w:cs="宋体"/>
          <w:color w:val="auto"/>
          <w:kern w:val="2"/>
          <w:sz w:val="24"/>
          <w:szCs w:val="24"/>
          <w:highlight w:val="none"/>
          <w:lang w:val="en-US" w:eastAsia="zh-CN" w:bidi="ar-SA"/>
        </w:rPr>
        <w:t>5.</w:t>
      </w:r>
      <w:r>
        <w:rPr>
          <w:rFonts w:hint="eastAsia" w:ascii="宋体" w:hAnsi="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CN" w:bidi="ar-SA"/>
        </w:rPr>
        <w:t>对中标</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服务进行检查验收，如果发现服务不足等问题，中标</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应负责根据合同及</w:t>
      </w:r>
      <w:r>
        <w:rPr>
          <w:rFonts w:hint="eastAsia" w:ascii="宋体" w:hAnsi="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CN" w:bidi="ar-SA"/>
        </w:rPr>
        <w:t>的要求采取补足或更换等处理措施，并承担由此发生的一切损失和费用。验收合格后，</w:t>
      </w:r>
      <w:r>
        <w:rPr>
          <w:rFonts w:hint="eastAsia" w:ascii="宋体" w:hAnsi="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CN" w:bidi="ar-SA"/>
        </w:rPr>
        <w:t>在验收单上签字并加盖单位公章。</w:t>
      </w:r>
    </w:p>
    <w:p w14:paraId="537AFB9B">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其他相关要求和责任</w:t>
      </w:r>
    </w:p>
    <w:p w14:paraId="0547076E">
      <w:pPr>
        <w:pStyle w:val="11"/>
        <w:keepNext w:val="0"/>
        <w:keepLines w:val="0"/>
        <w:pageBreakBefore w:val="0"/>
        <w:numPr>
          <w:ilvl w:val="0"/>
          <w:numId w:val="27"/>
        </w:numPr>
        <w:kinsoku/>
        <w:wordWrap/>
        <w:overflowPunct/>
        <w:topLinePunct w:val="0"/>
        <w:bidi w:val="0"/>
        <w:spacing w:line="360" w:lineRule="auto"/>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安全责任的范围 </w:t>
      </w:r>
    </w:p>
    <w:p w14:paraId="095CB4F4">
      <w:pPr>
        <w:pStyle w:val="11"/>
        <w:keepNext w:val="0"/>
        <w:keepLines w:val="0"/>
        <w:pageBreakBefore w:val="0"/>
        <w:numPr>
          <w:ilvl w:val="0"/>
          <w:numId w:val="0"/>
        </w:numPr>
        <w:kinsoku/>
        <w:wordWrap/>
        <w:overflowPunct/>
        <w:topLinePunct w:val="0"/>
        <w:bidi w:val="0"/>
        <w:spacing w:line="360" w:lineRule="auto"/>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负责管理的场所所发生的由</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管理不当造成的消防安全、设施设备安全及因食用</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生产和出售的食品所产生的安全问题。</w:t>
      </w:r>
    </w:p>
    <w:p w14:paraId="71A8C833">
      <w:pPr>
        <w:pStyle w:val="11"/>
        <w:keepNext w:val="0"/>
        <w:keepLines w:val="0"/>
        <w:pageBreakBefore w:val="0"/>
        <w:numPr>
          <w:ilvl w:val="0"/>
          <w:numId w:val="27"/>
        </w:numPr>
        <w:kinsoku/>
        <w:wordWrap/>
        <w:overflowPunct/>
        <w:topLinePunct w:val="0"/>
        <w:bidi w:val="0"/>
        <w:spacing w:line="360" w:lineRule="auto"/>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CN" w:bidi="ar-SA"/>
        </w:rPr>
        <w:t xml:space="preserve">的责任 </w:t>
      </w:r>
    </w:p>
    <w:p w14:paraId="012434F8">
      <w:pPr>
        <w:pStyle w:val="11"/>
        <w:keepNext w:val="0"/>
        <w:keepLines w:val="0"/>
        <w:pageBreakBefore w:val="0"/>
        <w:numPr>
          <w:ilvl w:val="0"/>
          <w:numId w:val="28"/>
        </w:numPr>
        <w:kinsoku/>
        <w:wordWrap/>
        <w:overflowPunct/>
        <w:topLinePunct w:val="0"/>
        <w:bidi w:val="0"/>
        <w:spacing w:line="360" w:lineRule="auto"/>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CN" w:bidi="ar-SA"/>
        </w:rPr>
        <w:t>确保提交给</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管理的场所、设施设备是符合《</w:t>
      </w:r>
      <w:r>
        <w:rPr>
          <w:rFonts w:hint="eastAsia" w:ascii="宋体" w:hAnsi="宋体" w:cs="宋体"/>
          <w:color w:val="auto"/>
          <w:kern w:val="2"/>
          <w:sz w:val="24"/>
          <w:szCs w:val="24"/>
          <w:highlight w:val="none"/>
          <w:lang w:val="en-US" w:eastAsia="zh-CN" w:bidi="ar-SA"/>
        </w:rPr>
        <w:t>中华人民共和国</w:t>
      </w:r>
      <w:r>
        <w:rPr>
          <w:rFonts w:hint="eastAsia" w:ascii="宋体" w:hAnsi="宋体" w:eastAsia="宋体" w:cs="宋体"/>
          <w:color w:val="auto"/>
          <w:kern w:val="2"/>
          <w:sz w:val="24"/>
          <w:szCs w:val="24"/>
          <w:highlight w:val="none"/>
          <w:lang w:val="en-US" w:eastAsia="zh-CN" w:bidi="ar-SA"/>
        </w:rPr>
        <w:t>消防法》、《</w:t>
      </w:r>
      <w:r>
        <w:rPr>
          <w:rFonts w:hint="eastAsia" w:ascii="宋体" w:hAnsi="宋体" w:cs="宋体"/>
          <w:color w:val="auto"/>
          <w:kern w:val="2"/>
          <w:sz w:val="24"/>
          <w:szCs w:val="24"/>
          <w:highlight w:val="none"/>
          <w:lang w:val="en-US" w:eastAsia="zh-CN" w:bidi="ar-SA"/>
        </w:rPr>
        <w:t>中华人民共和国安全生产法</w:t>
      </w:r>
      <w:r>
        <w:rPr>
          <w:rFonts w:hint="eastAsia" w:ascii="宋体" w:hAnsi="宋体" w:eastAsia="宋体" w:cs="宋体"/>
          <w:color w:val="auto"/>
          <w:kern w:val="2"/>
          <w:sz w:val="24"/>
          <w:szCs w:val="24"/>
          <w:highlight w:val="none"/>
          <w:lang w:val="en-US" w:eastAsia="zh-CN" w:bidi="ar-SA"/>
        </w:rPr>
        <w:t>》等相关法律法规，由</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 xml:space="preserve">在认可后签定托管合同。 </w:t>
      </w:r>
    </w:p>
    <w:p w14:paraId="21548C8F">
      <w:pPr>
        <w:pStyle w:val="11"/>
        <w:keepNext w:val="0"/>
        <w:keepLines w:val="0"/>
        <w:pageBreakBefore w:val="0"/>
        <w:numPr>
          <w:ilvl w:val="0"/>
          <w:numId w:val="28"/>
        </w:numPr>
        <w:kinsoku/>
        <w:wordWrap/>
        <w:overflowPunct/>
        <w:topLinePunct w:val="0"/>
        <w:bidi w:val="0"/>
        <w:spacing w:line="360" w:lineRule="auto"/>
        <w:ind w:left="0" w:leftChars="0"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CN" w:bidi="ar-SA"/>
        </w:rPr>
        <w:t>对</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进行有效的授权，为</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行使安全职责提供保障。</w:t>
      </w:r>
    </w:p>
    <w:p w14:paraId="3B7CCA21">
      <w:pPr>
        <w:pStyle w:val="11"/>
        <w:keepNext w:val="0"/>
        <w:keepLines w:val="0"/>
        <w:pageBreakBefore w:val="0"/>
        <w:numPr>
          <w:ilvl w:val="0"/>
          <w:numId w:val="28"/>
        </w:numPr>
        <w:kinsoku/>
        <w:wordWrap/>
        <w:overflowPunct/>
        <w:topLinePunct w:val="0"/>
        <w:bidi w:val="0"/>
        <w:spacing w:line="360" w:lineRule="auto"/>
        <w:ind w:left="0" w:leftChars="0"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提出的需</w:t>
      </w:r>
      <w:r>
        <w:rPr>
          <w:rFonts w:hint="eastAsia" w:ascii="宋体" w:hAnsi="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CN" w:bidi="ar-SA"/>
        </w:rPr>
        <w:t>解决的食堂房屋消防问题、破损等房屋维修相关问题，及时解决、维修或予以答复</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非紧急维修事项乙方不得以此为由暂停或降低服务标准。 </w:t>
      </w:r>
    </w:p>
    <w:p w14:paraId="2E34514F">
      <w:pPr>
        <w:pStyle w:val="11"/>
        <w:keepNext w:val="0"/>
        <w:keepLines w:val="0"/>
        <w:pageBreakBefore w:val="0"/>
        <w:numPr>
          <w:ilvl w:val="0"/>
          <w:numId w:val="28"/>
        </w:numPr>
        <w:kinsoku/>
        <w:wordWrap/>
        <w:overflowPunct/>
        <w:topLinePunct w:val="0"/>
        <w:bidi w:val="0"/>
        <w:spacing w:line="360" w:lineRule="auto"/>
        <w:ind w:left="0" w:leftChars="0"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听取</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安全工作汇报，开展对</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责任范围的监督检查，并向</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书面传递。</w:t>
      </w:r>
    </w:p>
    <w:p w14:paraId="27D8A1A5">
      <w:pPr>
        <w:pStyle w:val="11"/>
        <w:keepNext w:val="0"/>
        <w:keepLines w:val="0"/>
        <w:pageBreakBefore w:val="0"/>
        <w:numPr>
          <w:ilvl w:val="0"/>
          <w:numId w:val="27"/>
        </w:numPr>
        <w:kinsoku/>
        <w:wordWrap/>
        <w:overflowPunct/>
        <w:topLinePunct w:val="0"/>
        <w:bidi w:val="0"/>
        <w:spacing w:line="360" w:lineRule="auto"/>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 xml:space="preserve">的责任 </w:t>
      </w:r>
    </w:p>
    <w:p w14:paraId="0BD375DA">
      <w:pPr>
        <w:pStyle w:val="11"/>
        <w:keepNext w:val="0"/>
        <w:keepLines w:val="0"/>
        <w:pageBreakBefore w:val="0"/>
        <w:numPr>
          <w:ilvl w:val="0"/>
          <w:numId w:val="29"/>
        </w:numPr>
        <w:kinsoku/>
        <w:wordWrap/>
        <w:overflowPunct/>
        <w:topLinePunct w:val="0"/>
        <w:bidi w:val="0"/>
        <w:spacing w:line="360" w:lineRule="auto"/>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w:t>
      </w:r>
      <w:r>
        <w:rPr>
          <w:rFonts w:hint="eastAsia" w:ascii="宋体" w:hAnsi="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CN" w:bidi="ar-SA"/>
        </w:rPr>
        <w:t>实际情况，细化、完善必要的、可行的安全管理制度和应急处置预案。</w:t>
      </w:r>
    </w:p>
    <w:p w14:paraId="38F9054C">
      <w:pPr>
        <w:pStyle w:val="11"/>
        <w:keepNext w:val="0"/>
        <w:keepLines w:val="0"/>
        <w:pageBreakBefore w:val="0"/>
        <w:numPr>
          <w:ilvl w:val="0"/>
          <w:numId w:val="29"/>
        </w:numPr>
        <w:kinsoku/>
        <w:wordWrap/>
        <w:overflowPunct/>
        <w:topLinePunct w:val="0"/>
        <w:bidi w:val="0"/>
        <w:spacing w:line="360" w:lineRule="auto"/>
        <w:ind w:left="0" w:leftChars="0"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组织从业员工开展有效的设施设备操作培训、食品安全培训、消防业务培训和应急演练等，并做好相应的台账，确保安全生产。</w:t>
      </w:r>
    </w:p>
    <w:p w14:paraId="3B177E0C">
      <w:pPr>
        <w:pStyle w:val="11"/>
        <w:keepNext w:val="0"/>
        <w:keepLines w:val="0"/>
        <w:pageBreakBefore w:val="0"/>
        <w:numPr>
          <w:ilvl w:val="0"/>
          <w:numId w:val="29"/>
        </w:numPr>
        <w:kinsoku/>
        <w:wordWrap/>
        <w:overflowPunct/>
        <w:topLinePunct w:val="0"/>
        <w:bidi w:val="0"/>
        <w:spacing w:line="360" w:lineRule="auto"/>
        <w:ind w:left="0" w:leftChars="0"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确保工作人员持证（健康证、特殊工种上岗证）上岗，并时时检测员工健康状况，保证员工不带病（指感冒、痢疾等有传播可能的疾病）上岗</w:t>
      </w:r>
      <w:r>
        <w:rPr>
          <w:rFonts w:hint="eastAsia" w:ascii="宋体" w:hAnsi="宋体" w:cs="宋体"/>
          <w:color w:val="auto"/>
          <w:kern w:val="2"/>
          <w:sz w:val="24"/>
          <w:szCs w:val="24"/>
          <w:highlight w:val="none"/>
          <w:lang w:val="en-US" w:eastAsia="zh-CN" w:bidi="ar-SA"/>
        </w:rPr>
        <w:t>。</w:t>
      </w:r>
    </w:p>
    <w:p w14:paraId="42CA16CC">
      <w:pPr>
        <w:pStyle w:val="11"/>
        <w:keepNext w:val="0"/>
        <w:keepLines w:val="0"/>
        <w:pageBreakBefore w:val="0"/>
        <w:numPr>
          <w:ilvl w:val="0"/>
          <w:numId w:val="29"/>
        </w:numPr>
        <w:kinsoku/>
        <w:wordWrap/>
        <w:overflowPunct/>
        <w:topLinePunct w:val="0"/>
        <w:bidi w:val="0"/>
        <w:spacing w:line="360" w:lineRule="auto"/>
        <w:ind w:left="0" w:leftChars="0"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组织确定所辖区域关键安全要素及安全重点，将安全管理的责任和要求落实到每个相关的岗位及人员。</w:t>
      </w:r>
    </w:p>
    <w:p w14:paraId="7CC96390">
      <w:pPr>
        <w:pStyle w:val="11"/>
        <w:keepNext w:val="0"/>
        <w:keepLines w:val="0"/>
        <w:pageBreakBefore w:val="0"/>
        <w:numPr>
          <w:ilvl w:val="0"/>
          <w:numId w:val="29"/>
        </w:numPr>
        <w:kinsoku/>
        <w:wordWrap/>
        <w:overflowPunct/>
        <w:topLinePunct w:val="0"/>
        <w:bidi w:val="0"/>
        <w:spacing w:line="360" w:lineRule="auto"/>
        <w:ind w:left="0" w:leftChars="0"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定期和非定期组织开展安全检查，每天落实晨检制度。</w:t>
      </w:r>
    </w:p>
    <w:p w14:paraId="2F2A3CEC">
      <w:pPr>
        <w:pStyle w:val="11"/>
        <w:keepNext w:val="0"/>
        <w:keepLines w:val="0"/>
        <w:pageBreakBefore w:val="0"/>
        <w:numPr>
          <w:ilvl w:val="0"/>
          <w:numId w:val="29"/>
        </w:numPr>
        <w:kinsoku/>
        <w:wordWrap/>
        <w:overflowPunct/>
        <w:topLinePunct w:val="0"/>
        <w:bidi w:val="0"/>
        <w:spacing w:line="360" w:lineRule="auto"/>
        <w:ind w:left="0" w:leftChars="0"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组织采取措施发现并消除安全隐患。若遇设施设备损坏等自身难以解决问题，及时与</w:t>
      </w:r>
      <w:r>
        <w:rPr>
          <w:rFonts w:hint="eastAsia" w:ascii="宋体" w:hAnsi="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CN" w:bidi="ar-SA"/>
        </w:rPr>
        <w:t>报告、沟通。</w:t>
      </w:r>
    </w:p>
    <w:p w14:paraId="730357AE">
      <w:pPr>
        <w:pStyle w:val="11"/>
        <w:keepNext w:val="0"/>
        <w:keepLines w:val="0"/>
        <w:pageBreakBefore w:val="0"/>
        <w:numPr>
          <w:ilvl w:val="0"/>
          <w:numId w:val="29"/>
        </w:numPr>
        <w:kinsoku/>
        <w:wordWrap/>
        <w:overflowPunct/>
        <w:topLinePunct w:val="0"/>
        <w:bidi w:val="0"/>
        <w:spacing w:line="360" w:lineRule="auto"/>
        <w:ind w:left="0" w:leftChars="0"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在管理期间，应防止食物中毒。一旦发生，因</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管理不善造成的食物中毒，</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要负一切法律责任和经济损失。</w:t>
      </w:r>
    </w:p>
    <w:p w14:paraId="1136A2EC">
      <w:pPr>
        <w:pStyle w:val="11"/>
        <w:keepNext w:val="0"/>
        <w:keepLines w:val="0"/>
        <w:pageBreakBefore w:val="0"/>
        <w:numPr>
          <w:ilvl w:val="0"/>
          <w:numId w:val="29"/>
        </w:numPr>
        <w:kinsoku/>
        <w:wordWrap/>
        <w:overflowPunct/>
        <w:topLinePunct w:val="0"/>
        <w:bidi w:val="0"/>
        <w:spacing w:line="360" w:lineRule="auto"/>
        <w:ind w:left="0" w:leftChars="0"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配合</w:t>
      </w:r>
      <w:r>
        <w:rPr>
          <w:rFonts w:hint="eastAsia" w:ascii="宋体" w:hAnsi="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CN" w:bidi="ar-SA"/>
        </w:rPr>
        <w:t>做好本单位业务范围内的安全工作。</w:t>
      </w:r>
    </w:p>
    <w:bookmarkEnd w:id="152"/>
    <w:p w14:paraId="542B992B">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付款方式和要求</w:t>
      </w:r>
    </w:p>
    <w:p w14:paraId="04BFF81B">
      <w:pPr>
        <w:keepNext w:val="0"/>
        <w:keepLines w:val="0"/>
        <w:pageBreakBefore w:val="0"/>
        <w:numPr>
          <w:ilvl w:val="1"/>
          <w:numId w:val="30"/>
        </w:numPr>
        <w:tabs>
          <w:tab w:val="left" w:pos="3570"/>
        </w:tabs>
        <w:kinsoku/>
        <w:wordWrap/>
        <w:overflowPunct/>
        <w:topLinePunct w:val="0"/>
        <w:bidi w:val="0"/>
        <w:spacing w:line="360" w:lineRule="auto"/>
        <w:ind w:left="0" w:leftChars="0" w:firstLine="482" w:firstLineChars="200"/>
        <w:rPr>
          <w:rFonts w:hint="eastAsia" w:ascii="宋体" w:hAnsi="宋体" w:cs="宋体"/>
          <w:b/>
          <w:color w:val="auto"/>
          <w:sz w:val="24"/>
          <w:highlight w:val="none"/>
        </w:rPr>
      </w:pPr>
      <w:bookmarkStart w:id="154" w:name="_Toc30226"/>
      <w:r>
        <w:rPr>
          <w:rFonts w:hint="eastAsia" w:ascii="宋体" w:hAnsi="宋体" w:cs="宋体"/>
          <w:b/>
          <w:color w:val="auto"/>
          <w:sz w:val="24"/>
          <w:highlight w:val="none"/>
        </w:rPr>
        <w:t>付款方式</w:t>
      </w:r>
    </w:p>
    <w:p w14:paraId="20672DB9">
      <w:pPr>
        <w:keepNext w:val="0"/>
        <w:keepLines w:val="0"/>
        <w:pageBreakBefore w:val="0"/>
        <w:numPr>
          <w:ilvl w:val="0"/>
          <w:numId w:val="0"/>
        </w:numPr>
        <w:tabs>
          <w:tab w:val="left" w:pos="3570"/>
        </w:tabs>
        <w:kinsoku/>
        <w:wordWrap/>
        <w:overflowPunct/>
        <w:topLinePunct w:val="0"/>
        <w:bidi w:val="0"/>
        <w:spacing w:line="360" w:lineRule="auto"/>
        <w:ind w:left="0" w:leftChars="0" w:firstLine="480" w:firstLineChars="200"/>
        <w:rPr>
          <w:rFonts w:hint="default" w:ascii="宋体" w:hAnsi="宋体" w:eastAsia="宋体" w:cs="宋体"/>
          <w:b/>
          <w:color w:val="auto"/>
          <w:sz w:val="24"/>
          <w:highlight w:val="none"/>
          <w:lang w:val="en-US" w:eastAsia="zh-CN"/>
        </w:rPr>
      </w:pPr>
      <w:r>
        <w:rPr>
          <w:rFonts w:hint="eastAsia" w:ascii="宋体" w:hAnsi="宋体" w:eastAsia="宋体" w:cs="Times New Roman"/>
          <w:color w:val="auto"/>
          <w:kern w:val="0"/>
          <w:sz w:val="24"/>
          <w:highlight w:val="none"/>
        </w:rPr>
        <w:t>合同生效以及具备实施条件</w:t>
      </w:r>
      <w:r>
        <w:rPr>
          <w:rFonts w:hint="eastAsia" w:ascii="宋体" w:hAnsi="宋体" w:cs="Times New Roman"/>
          <w:color w:val="auto"/>
          <w:kern w:val="0"/>
          <w:sz w:val="24"/>
          <w:highlight w:val="none"/>
          <w:lang w:val="en-US" w:eastAsia="zh-CN"/>
        </w:rPr>
        <w:t>并收到乙方发票</w:t>
      </w:r>
      <w:r>
        <w:rPr>
          <w:rFonts w:hint="eastAsia" w:ascii="宋体" w:hAnsi="宋体" w:eastAsia="宋体" w:cs="Times New Roman"/>
          <w:color w:val="auto"/>
          <w:kern w:val="0"/>
          <w:sz w:val="24"/>
          <w:highlight w:val="none"/>
        </w:rPr>
        <w:t>后</w:t>
      </w:r>
      <w:r>
        <w:rPr>
          <w:rFonts w:hint="eastAsia" w:ascii="宋体" w:hAnsi="宋体" w:cs="Times New Roman"/>
          <w:color w:val="auto"/>
          <w:kern w:val="0"/>
          <w:sz w:val="24"/>
          <w:highlight w:val="none"/>
          <w:lang w:val="en-US" w:eastAsia="zh-CN"/>
        </w:rPr>
        <w:t>7</w:t>
      </w:r>
      <w:r>
        <w:rPr>
          <w:rFonts w:hint="eastAsia" w:ascii="宋体" w:hAnsi="宋体" w:eastAsia="宋体" w:cs="Times New Roman"/>
          <w:color w:val="auto"/>
          <w:kern w:val="0"/>
          <w:sz w:val="24"/>
          <w:highlight w:val="none"/>
        </w:rPr>
        <w:t>个工作日</w:t>
      </w:r>
      <w:r>
        <w:rPr>
          <w:rFonts w:hint="eastAsia" w:ascii="宋体" w:hAnsi="宋体" w:eastAsia="宋体" w:cs="Times New Roman"/>
          <w:color w:val="auto"/>
          <w:kern w:val="0"/>
          <w:sz w:val="24"/>
          <w:highlight w:val="none"/>
          <w:lang w:eastAsia="zh-CN"/>
        </w:rPr>
        <w:t>甲方</w:t>
      </w:r>
      <w:r>
        <w:rPr>
          <w:rFonts w:hint="eastAsia" w:ascii="宋体" w:hAnsi="宋体" w:eastAsia="宋体" w:cs="Times New Roman"/>
          <w:color w:val="auto"/>
          <w:kern w:val="0"/>
          <w:sz w:val="24"/>
          <w:highlight w:val="none"/>
        </w:rPr>
        <w:t>向</w:t>
      </w:r>
      <w:r>
        <w:rPr>
          <w:rFonts w:hint="eastAsia" w:ascii="宋体" w:hAnsi="宋体" w:eastAsia="宋体" w:cs="Times New Roman"/>
          <w:color w:val="auto"/>
          <w:kern w:val="0"/>
          <w:sz w:val="24"/>
          <w:highlight w:val="none"/>
          <w:lang w:eastAsia="zh-CN"/>
        </w:rPr>
        <w:t>乙方</w:t>
      </w:r>
      <w:r>
        <w:rPr>
          <w:rFonts w:hint="eastAsia" w:ascii="宋体" w:hAnsi="宋体" w:eastAsia="宋体" w:cs="Times New Roman"/>
          <w:color w:val="auto"/>
          <w:kern w:val="0"/>
          <w:sz w:val="24"/>
          <w:highlight w:val="none"/>
        </w:rPr>
        <w:t>支付合同总价的</w:t>
      </w:r>
      <w:r>
        <w:rPr>
          <w:rFonts w:hint="eastAsia" w:ascii="宋体" w:hAnsi="宋体" w:cs="Times New Roman"/>
          <w:color w:val="auto"/>
          <w:kern w:val="0"/>
          <w:sz w:val="24"/>
          <w:highlight w:val="none"/>
          <w:lang w:val="en-US" w:eastAsia="zh-CN"/>
        </w:rPr>
        <w:t>25</w:t>
      </w:r>
      <w:r>
        <w:rPr>
          <w:rFonts w:hint="eastAsia" w:ascii="宋体" w:hAnsi="宋体" w:eastAsia="宋体" w:cs="Times New Roman"/>
          <w:color w:val="auto"/>
          <w:kern w:val="0"/>
          <w:sz w:val="24"/>
          <w:highlight w:val="none"/>
        </w:rPr>
        <w:t>%作为预付款，</w:t>
      </w:r>
      <w:r>
        <w:rPr>
          <w:rFonts w:hint="eastAsia" w:ascii="宋体" w:hAnsi="宋体" w:cs="Times New Roman"/>
          <w:color w:val="auto"/>
          <w:kern w:val="0"/>
          <w:sz w:val="24"/>
          <w:highlight w:val="none"/>
          <w:lang w:eastAsia="zh-CN"/>
        </w:rPr>
        <w:t>半年后支付合同总价的</w:t>
      </w:r>
      <w:r>
        <w:rPr>
          <w:rFonts w:hint="eastAsia" w:ascii="宋体" w:hAnsi="宋体" w:cs="Times New Roman"/>
          <w:color w:val="auto"/>
          <w:kern w:val="0"/>
          <w:sz w:val="24"/>
          <w:highlight w:val="none"/>
          <w:lang w:val="en-US" w:eastAsia="zh-CN"/>
        </w:rPr>
        <w:t>35%，合同结束后经验收合格且双方确认所有考核扣款、违约金、损害赔偿款均已足额抵扣后支付剩余的款项，月度考核在当期食堂管理服务费中体现。</w:t>
      </w:r>
    </w:p>
    <w:p w14:paraId="37825670">
      <w:pPr>
        <w:keepNext w:val="0"/>
        <w:keepLines w:val="0"/>
        <w:pageBreakBefore w:val="0"/>
        <w:numPr>
          <w:ilvl w:val="1"/>
          <w:numId w:val="30"/>
        </w:numPr>
        <w:tabs>
          <w:tab w:val="left" w:pos="3570"/>
        </w:tabs>
        <w:kinsoku/>
        <w:wordWrap/>
        <w:overflowPunct/>
        <w:topLinePunct w:val="0"/>
        <w:bidi w:val="0"/>
        <w:spacing w:line="360" w:lineRule="auto"/>
        <w:ind w:left="0" w:leftChars="0"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付款要求</w:t>
      </w:r>
    </w:p>
    <w:p w14:paraId="7F88D1B0">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乙方</w:t>
      </w:r>
      <w:r>
        <w:rPr>
          <w:rFonts w:hint="eastAsia" w:ascii="宋体" w:hAnsi="宋体" w:eastAsia="宋体" w:cs="宋体"/>
          <w:bCs/>
          <w:color w:val="auto"/>
          <w:sz w:val="24"/>
          <w:highlight w:val="none"/>
          <w:lang w:val="en-US" w:eastAsia="zh-CN"/>
        </w:rPr>
        <w:t>在收款之前，应向</w:t>
      </w:r>
      <w:r>
        <w:rPr>
          <w:rFonts w:hint="eastAsia" w:ascii="宋体" w:hAnsi="宋体" w:cs="宋体"/>
          <w:bCs/>
          <w:color w:val="auto"/>
          <w:sz w:val="24"/>
          <w:highlight w:val="none"/>
          <w:lang w:val="en-US" w:eastAsia="zh-CN"/>
        </w:rPr>
        <w:t>甲方</w:t>
      </w:r>
      <w:r>
        <w:rPr>
          <w:rFonts w:hint="eastAsia" w:ascii="宋体" w:hAnsi="宋体" w:eastAsia="宋体" w:cs="宋体"/>
          <w:bCs/>
          <w:color w:val="auto"/>
          <w:sz w:val="24"/>
          <w:highlight w:val="none"/>
          <w:lang w:val="en-US" w:eastAsia="zh-CN"/>
        </w:rPr>
        <w:t>提供等额、合法、有效的发票，</w:t>
      </w:r>
      <w:r>
        <w:rPr>
          <w:rFonts w:hint="eastAsia" w:ascii="宋体" w:hAnsi="宋体" w:cs="宋体"/>
          <w:bCs/>
          <w:color w:val="auto"/>
          <w:sz w:val="24"/>
          <w:highlight w:val="none"/>
          <w:lang w:val="en-US" w:eastAsia="zh-CN"/>
        </w:rPr>
        <w:t>甲方</w:t>
      </w:r>
      <w:r>
        <w:rPr>
          <w:rFonts w:hint="eastAsia" w:ascii="宋体" w:hAnsi="宋体" w:eastAsia="宋体" w:cs="宋体"/>
          <w:bCs/>
          <w:color w:val="auto"/>
          <w:sz w:val="24"/>
          <w:highlight w:val="none"/>
          <w:lang w:val="en-US" w:eastAsia="zh-CN"/>
        </w:rPr>
        <w:t>凭发票付款。如</w:t>
      </w:r>
      <w:r>
        <w:rPr>
          <w:rFonts w:hint="eastAsia" w:ascii="宋体" w:hAnsi="宋体" w:cs="宋体"/>
          <w:bCs/>
          <w:color w:val="auto"/>
          <w:sz w:val="24"/>
          <w:highlight w:val="none"/>
          <w:lang w:val="en-US" w:eastAsia="zh-CN"/>
        </w:rPr>
        <w:t>乙方</w:t>
      </w:r>
      <w:r>
        <w:rPr>
          <w:rFonts w:hint="eastAsia" w:ascii="宋体" w:hAnsi="宋体" w:eastAsia="宋体" w:cs="宋体"/>
          <w:bCs/>
          <w:color w:val="auto"/>
          <w:sz w:val="24"/>
          <w:highlight w:val="none"/>
          <w:lang w:val="en-US" w:eastAsia="zh-CN"/>
        </w:rPr>
        <w:t>未按约定提供发票的，</w:t>
      </w:r>
      <w:r>
        <w:rPr>
          <w:rFonts w:hint="eastAsia" w:ascii="宋体" w:hAnsi="宋体" w:cs="宋体"/>
          <w:bCs/>
          <w:color w:val="auto"/>
          <w:sz w:val="24"/>
          <w:highlight w:val="none"/>
          <w:lang w:val="en-US" w:eastAsia="zh-CN"/>
        </w:rPr>
        <w:t>甲方</w:t>
      </w:r>
      <w:r>
        <w:rPr>
          <w:rFonts w:hint="eastAsia" w:ascii="宋体" w:hAnsi="宋体" w:eastAsia="宋体" w:cs="宋体"/>
          <w:bCs/>
          <w:color w:val="auto"/>
          <w:sz w:val="24"/>
          <w:highlight w:val="none"/>
          <w:lang w:val="en-US" w:eastAsia="zh-CN"/>
        </w:rPr>
        <w:t>有权拒绝付款，直至收到</w:t>
      </w:r>
      <w:r>
        <w:rPr>
          <w:rFonts w:hint="eastAsia" w:ascii="宋体" w:hAnsi="宋体" w:cs="宋体"/>
          <w:bCs/>
          <w:color w:val="auto"/>
          <w:sz w:val="24"/>
          <w:highlight w:val="none"/>
          <w:lang w:val="en-US" w:eastAsia="zh-CN"/>
        </w:rPr>
        <w:t>乙方</w:t>
      </w:r>
      <w:r>
        <w:rPr>
          <w:rFonts w:hint="eastAsia" w:ascii="宋体" w:hAnsi="宋体" w:eastAsia="宋体" w:cs="宋体"/>
          <w:bCs/>
          <w:color w:val="auto"/>
          <w:sz w:val="24"/>
          <w:highlight w:val="none"/>
          <w:lang w:val="en-US" w:eastAsia="zh-CN"/>
        </w:rPr>
        <w:t>提交的相应发票为止，在此情况下，</w:t>
      </w:r>
      <w:r>
        <w:rPr>
          <w:rFonts w:hint="eastAsia" w:ascii="宋体" w:hAnsi="宋体" w:cs="宋体"/>
          <w:bCs/>
          <w:color w:val="auto"/>
          <w:sz w:val="24"/>
          <w:highlight w:val="none"/>
          <w:lang w:val="en-US" w:eastAsia="zh-CN"/>
        </w:rPr>
        <w:t>甲方</w:t>
      </w:r>
      <w:r>
        <w:rPr>
          <w:rFonts w:hint="eastAsia" w:ascii="宋体" w:hAnsi="宋体" w:eastAsia="宋体" w:cs="宋体"/>
          <w:bCs/>
          <w:color w:val="auto"/>
          <w:sz w:val="24"/>
          <w:highlight w:val="none"/>
          <w:lang w:val="en-US" w:eastAsia="zh-CN"/>
        </w:rPr>
        <w:t>不承担逾期付款违约责任。</w:t>
      </w:r>
    </w:p>
    <w:bookmarkEnd w:id="154"/>
    <w:p w14:paraId="3C517B74">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甲方权利与义务</w:t>
      </w:r>
    </w:p>
    <w:p w14:paraId="1D7443EC">
      <w:pPr>
        <w:keepNext w:val="0"/>
        <w:keepLines w:val="0"/>
        <w:pageBreakBefore w:val="0"/>
        <w:kinsoku/>
        <w:wordWrap/>
        <w:overflowPunct/>
        <w:topLinePunct w:val="0"/>
        <w:bidi w:val="0"/>
        <w:spacing w:line="360" w:lineRule="auto"/>
        <w:ind w:left="0" w:lef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甲方有权对乙方进行各种日常管理,如:卫生、安全、消防、综合治理、监督等,特别要禁止食物中毒事故发生，一旦发生类似事故,甲方有权追究乙方的责任。</w:t>
      </w:r>
    </w:p>
    <w:p w14:paraId="197DD473">
      <w:pPr>
        <w:keepNext w:val="0"/>
        <w:keepLines w:val="0"/>
        <w:pageBreakBefore w:val="0"/>
        <w:kinsoku/>
        <w:wordWrap/>
        <w:overflowPunct/>
        <w:topLinePunct w:val="0"/>
        <w:bidi w:val="0"/>
        <w:spacing w:line="360" w:lineRule="auto"/>
        <w:ind w:left="0" w:lef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甲方有权对饭菜质量、数量、价格、卫生服务等方面进行监督检查,如乙方未达到要求的,甲方有权责令乙方纠正,如乙方仍不改正的,甲方可以终止本协议。</w:t>
      </w:r>
    </w:p>
    <w:p w14:paraId="2C7FB118">
      <w:pPr>
        <w:keepNext w:val="0"/>
        <w:keepLines w:val="0"/>
        <w:pageBreakBefore w:val="0"/>
        <w:kinsoku/>
        <w:wordWrap/>
        <w:overflowPunct/>
        <w:topLinePunct w:val="0"/>
        <w:bidi w:val="0"/>
        <w:spacing w:line="360" w:lineRule="auto"/>
        <w:ind w:left="0" w:lef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乙方按甲方要求须做好工作日的三餐和节假日的</w:t>
      </w:r>
      <w:r>
        <w:rPr>
          <w:rFonts w:hint="eastAsia" w:ascii="宋体" w:hAnsi="宋体" w:cs="宋体"/>
          <w:color w:val="auto"/>
          <w:sz w:val="24"/>
          <w:szCs w:val="24"/>
          <w:highlight w:val="none"/>
          <w:lang w:eastAsia="zh-CN"/>
        </w:rPr>
        <w:t>三餐</w:t>
      </w:r>
      <w:r>
        <w:rPr>
          <w:rFonts w:hint="eastAsia" w:ascii="宋体" w:hAnsi="宋体" w:cs="宋体"/>
          <w:color w:val="auto"/>
          <w:sz w:val="24"/>
          <w:szCs w:val="24"/>
          <w:highlight w:val="none"/>
        </w:rPr>
        <w:t>,误餐或停餐的,甲方有权要求乙方给予适当的经济赔偿。甲方如因工作原因需要加餐的,乙方应积极配合做好餐食供应。</w:t>
      </w:r>
    </w:p>
    <w:p w14:paraId="27C97052">
      <w:pPr>
        <w:keepNext w:val="0"/>
        <w:keepLines w:val="0"/>
        <w:pageBreakBefore w:val="0"/>
        <w:kinsoku/>
        <w:wordWrap/>
        <w:overflowPunct/>
        <w:topLinePunct w:val="0"/>
        <w:bidi w:val="0"/>
        <w:spacing w:line="360" w:lineRule="auto"/>
        <w:ind w:left="0" w:lef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乙方违约,甲方有权提出终止协议,造成甲方损失的,乙方必须赔偿。</w:t>
      </w:r>
    </w:p>
    <w:p w14:paraId="43C95F27">
      <w:pPr>
        <w:keepNext w:val="0"/>
        <w:keepLines w:val="0"/>
        <w:pageBreakBefore w:val="0"/>
        <w:kinsoku/>
        <w:wordWrap/>
        <w:overflowPunct/>
        <w:topLinePunct w:val="0"/>
        <w:bidi w:val="0"/>
        <w:spacing w:line="360" w:lineRule="auto"/>
        <w:ind w:left="0" w:lef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甲方为乙方无偿提供现有厨房、厨具、餐具、桌椅等常用设备(不够部分由乙方自负),对甲方提供的厨房设施,乙方必须妥善使用、保管,发生毁损的,由乙方负责修理,维修费用在</w:t>
      </w:r>
      <w:r>
        <w:rPr>
          <w:rFonts w:hint="eastAsia" w:ascii="宋体" w:hAnsi="宋体" w:cs="宋体"/>
          <w:color w:val="auto"/>
          <w:sz w:val="24"/>
          <w:szCs w:val="24"/>
          <w:highlight w:val="none"/>
          <w:lang w:val="en-US" w:eastAsia="zh-CN"/>
        </w:rPr>
        <w:t>200</w:t>
      </w:r>
      <w:r>
        <w:rPr>
          <w:rFonts w:hint="eastAsia" w:ascii="宋体" w:hAnsi="宋体" w:cs="宋体"/>
          <w:color w:val="auto"/>
          <w:sz w:val="24"/>
          <w:szCs w:val="24"/>
          <w:highlight w:val="none"/>
        </w:rPr>
        <w:t>元(含</w:t>
      </w:r>
      <w:r>
        <w:rPr>
          <w:rFonts w:hint="eastAsia" w:ascii="宋体" w:hAnsi="宋体" w:cs="宋体"/>
          <w:color w:val="auto"/>
          <w:sz w:val="24"/>
          <w:szCs w:val="24"/>
          <w:highlight w:val="none"/>
          <w:lang w:val="en-US" w:eastAsia="zh-CN"/>
        </w:rPr>
        <w:t>200</w:t>
      </w:r>
      <w:r>
        <w:rPr>
          <w:rFonts w:hint="eastAsia" w:ascii="宋体" w:hAnsi="宋体" w:cs="宋体"/>
          <w:color w:val="auto"/>
          <w:sz w:val="24"/>
          <w:szCs w:val="24"/>
          <w:highlight w:val="none"/>
        </w:rPr>
        <w:t>元)以内的,由乙方承担;超过</w:t>
      </w:r>
      <w:r>
        <w:rPr>
          <w:rFonts w:hint="eastAsia" w:ascii="宋体" w:hAnsi="宋体" w:cs="宋体"/>
          <w:color w:val="auto"/>
          <w:sz w:val="24"/>
          <w:szCs w:val="24"/>
          <w:highlight w:val="none"/>
          <w:lang w:val="en-US" w:eastAsia="zh-CN"/>
        </w:rPr>
        <w:t>200</w:t>
      </w:r>
      <w:r>
        <w:rPr>
          <w:rFonts w:hint="eastAsia" w:ascii="宋体" w:hAnsi="宋体" w:cs="宋体"/>
          <w:color w:val="auto"/>
          <w:sz w:val="24"/>
          <w:szCs w:val="24"/>
          <w:highlight w:val="none"/>
        </w:rPr>
        <w:t>元的,由甲乙双方协商解决</w:t>
      </w:r>
      <w:r>
        <w:rPr>
          <w:rFonts w:hint="eastAsia" w:ascii="宋体" w:hAnsi="宋体" w:cs="宋体"/>
          <w:color w:val="auto"/>
          <w:sz w:val="24"/>
          <w:szCs w:val="24"/>
          <w:highlight w:val="none"/>
          <w:lang w:eastAsia="zh-CN"/>
        </w:rPr>
        <w:t>，因</w:t>
      </w:r>
      <w:r>
        <w:rPr>
          <w:rFonts w:hint="eastAsia" w:ascii="宋体" w:hAnsi="宋体" w:cs="宋体"/>
          <w:color w:val="auto"/>
          <w:sz w:val="24"/>
          <w:szCs w:val="24"/>
          <w:highlight w:val="none"/>
        </w:rPr>
        <w:t>乙方</w:t>
      </w:r>
      <w:r>
        <w:rPr>
          <w:rFonts w:hint="eastAsia" w:ascii="宋体" w:hAnsi="宋体" w:cs="宋体"/>
          <w:color w:val="auto"/>
          <w:sz w:val="24"/>
          <w:szCs w:val="24"/>
          <w:highlight w:val="none"/>
          <w:lang w:eastAsia="zh-CN"/>
        </w:rPr>
        <w:t>操作不当、保管不善或人为损坏造成的由乙方全额承担</w:t>
      </w:r>
      <w:r>
        <w:rPr>
          <w:rFonts w:hint="eastAsia" w:ascii="宋体" w:hAnsi="宋体" w:cs="宋体"/>
          <w:color w:val="auto"/>
          <w:sz w:val="24"/>
          <w:szCs w:val="24"/>
          <w:highlight w:val="none"/>
        </w:rPr>
        <w:t>。</w:t>
      </w:r>
    </w:p>
    <w:p w14:paraId="39AA17C5">
      <w:pPr>
        <w:keepNext w:val="0"/>
        <w:keepLines w:val="0"/>
        <w:pageBreakBefore w:val="0"/>
        <w:kinsoku/>
        <w:wordWrap/>
        <w:overflowPunct/>
        <w:topLinePunct w:val="0"/>
        <w:bidi w:val="0"/>
        <w:spacing w:line="36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甲方必须保证厨房所用的水、电能正常供应，水电、燃气费用由甲方负责与有关单位结算。</w:t>
      </w:r>
    </w:p>
    <w:p w14:paraId="64774FDE">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乙方权利与义务</w:t>
      </w:r>
    </w:p>
    <w:p w14:paraId="067E0C55">
      <w:pPr>
        <w:keepNext w:val="0"/>
        <w:keepLines w:val="0"/>
        <w:pageBreakBefore w:val="0"/>
        <w:kinsoku/>
        <w:wordWrap/>
        <w:overflowPunct/>
        <w:topLinePunct w:val="0"/>
        <w:bidi w:val="0"/>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有权自主聘用,调用工作人员,但工作人员必须符合餐饮业规定的健康标准,且符合甲方要求工作人员数量。</w:t>
      </w:r>
    </w:p>
    <w:p w14:paraId="65FC7BE2">
      <w:pPr>
        <w:keepNext w:val="0"/>
        <w:keepLines w:val="0"/>
        <w:pageBreakBefore w:val="0"/>
        <w:kinsoku/>
        <w:wordWrap/>
        <w:overflowPunct/>
        <w:topLinePunct w:val="0"/>
        <w:bidi w:val="0"/>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若甲方</w:t>
      </w:r>
      <w:r>
        <w:rPr>
          <w:rFonts w:hint="eastAsia" w:ascii="宋体" w:hAnsi="宋体" w:cs="宋体"/>
          <w:color w:val="auto"/>
          <w:sz w:val="24"/>
          <w:highlight w:val="none"/>
          <w:lang w:eastAsia="zh-CN"/>
        </w:rPr>
        <w:t>存在严重</w:t>
      </w:r>
      <w:r>
        <w:rPr>
          <w:rFonts w:hint="eastAsia" w:ascii="宋体" w:hAnsi="宋体" w:cs="宋体"/>
          <w:color w:val="auto"/>
          <w:sz w:val="24"/>
          <w:highlight w:val="none"/>
        </w:rPr>
        <w:t>违约</w:t>
      </w:r>
      <w:r>
        <w:rPr>
          <w:rFonts w:hint="eastAsia" w:ascii="宋体" w:hAnsi="宋体" w:cs="宋体"/>
          <w:color w:val="auto"/>
          <w:sz w:val="24"/>
          <w:highlight w:val="none"/>
          <w:lang w:eastAsia="zh-CN"/>
        </w:rPr>
        <w:t>行为且经书面催告后30日内仍未纠正，且该等违约行为足以导致乙方合同目的无法实现，</w:t>
      </w:r>
      <w:r>
        <w:rPr>
          <w:rFonts w:hint="eastAsia" w:ascii="宋体" w:hAnsi="宋体" w:cs="宋体"/>
          <w:color w:val="auto"/>
          <w:sz w:val="24"/>
          <w:highlight w:val="none"/>
        </w:rPr>
        <w:t>乙方有权</w:t>
      </w:r>
      <w:r>
        <w:rPr>
          <w:rFonts w:hint="eastAsia" w:ascii="宋体" w:hAnsi="宋体" w:cs="宋体"/>
          <w:color w:val="auto"/>
          <w:sz w:val="24"/>
          <w:highlight w:val="none"/>
          <w:lang w:eastAsia="zh-CN"/>
        </w:rPr>
        <w:t>前30日书面通知甲方</w:t>
      </w:r>
      <w:r>
        <w:rPr>
          <w:rFonts w:hint="eastAsia" w:ascii="宋体" w:hAnsi="宋体" w:cs="宋体"/>
          <w:color w:val="auto"/>
          <w:sz w:val="24"/>
          <w:highlight w:val="none"/>
        </w:rPr>
        <w:t>终止协议。</w:t>
      </w:r>
      <w:r>
        <w:rPr>
          <w:rFonts w:hint="eastAsia" w:ascii="宋体" w:hAnsi="宋体" w:cs="宋体"/>
          <w:color w:val="auto"/>
          <w:sz w:val="24"/>
          <w:highlight w:val="none"/>
          <w:lang w:eastAsia="zh-CN"/>
        </w:rPr>
        <w:t>乙方不得因甲方一般性管理行为、考核扣款或其他非严重违约行为单方终止合同。</w:t>
      </w:r>
    </w:p>
    <w:p w14:paraId="319974FE">
      <w:pPr>
        <w:keepNext w:val="0"/>
        <w:keepLines w:val="0"/>
        <w:pageBreakBefore w:val="0"/>
        <w:kinsoku/>
        <w:wordWrap/>
        <w:overflowPunct/>
        <w:topLinePunct w:val="0"/>
        <w:bidi w:val="0"/>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食堂工作人员按卫生部门规定进行身体检查,费用自理,健康证上墙公示。</w:t>
      </w:r>
    </w:p>
    <w:p w14:paraId="2CC14F7D">
      <w:pPr>
        <w:keepNext w:val="0"/>
        <w:keepLines w:val="0"/>
        <w:pageBreakBefore w:val="0"/>
        <w:kinsoku/>
        <w:wordWrap/>
        <w:overflowPunct/>
        <w:topLinePunct w:val="0"/>
        <w:bidi w:val="0"/>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食堂内定期进行防鼠灭蝇等卫生措施。</w:t>
      </w:r>
    </w:p>
    <w:p w14:paraId="3E8023F7">
      <w:pPr>
        <w:keepNext w:val="0"/>
        <w:keepLines w:val="0"/>
        <w:pageBreakBefore w:val="0"/>
        <w:kinsoku/>
        <w:wordWrap/>
        <w:overflowPunct/>
        <w:topLinePunct w:val="0"/>
        <w:bidi w:val="0"/>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严格执行各项食堂管理制度,严格按食堂操作规程及卫生管理制度实施。</w:t>
      </w:r>
    </w:p>
    <w:p w14:paraId="3BB670C3">
      <w:pPr>
        <w:keepNext w:val="0"/>
        <w:keepLines w:val="0"/>
        <w:pageBreakBefore w:val="0"/>
        <w:kinsoku/>
        <w:wordWrap/>
        <w:overflowPunct/>
        <w:topLinePunct w:val="0"/>
        <w:bidi w:val="0"/>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en-US" w:eastAsia="zh-CN"/>
        </w:rPr>
        <w:t>.参与配送验菜，</w:t>
      </w:r>
      <w:r>
        <w:rPr>
          <w:rFonts w:hint="eastAsia" w:ascii="宋体" w:hAnsi="宋体" w:cs="宋体"/>
          <w:color w:val="auto"/>
          <w:sz w:val="24"/>
          <w:highlight w:val="none"/>
        </w:rPr>
        <w:t>确保食物的质量,保证食品和环境卫生,在上级各类卫生检查中必须达到合格以上，每餐的各种菜品根据要求进行48小时留样。</w:t>
      </w:r>
    </w:p>
    <w:p w14:paraId="55CFD0D2">
      <w:pPr>
        <w:keepNext w:val="0"/>
        <w:keepLines w:val="0"/>
        <w:pageBreakBefore w:val="0"/>
        <w:kinsoku/>
        <w:wordWrap/>
        <w:overflowPunct/>
        <w:topLinePunct w:val="0"/>
        <w:bidi w:val="0"/>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乙方工作人员必须统一工作服装和卫生用品,费用自理。</w:t>
      </w:r>
    </w:p>
    <w:p w14:paraId="10E1C4A0">
      <w:pPr>
        <w:keepNext w:val="0"/>
        <w:keepLines w:val="0"/>
        <w:pageBreakBefore w:val="0"/>
        <w:kinsoku/>
        <w:wordWrap/>
        <w:overflowPunct/>
        <w:topLinePunct w:val="0"/>
        <w:bidi w:val="0"/>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乙方必须按甲方规定时间作息,准时开餐,开餐时间由甲方规定,如有变动应事先通知乙方。</w:t>
      </w:r>
    </w:p>
    <w:p w14:paraId="0FAE4D73">
      <w:pPr>
        <w:keepNext w:val="0"/>
        <w:keepLines w:val="0"/>
        <w:pageBreakBefore w:val="0"/>
        <w:kinsoku/>
        <w:wordWrap/>
        <w:overflowPunct/>
        <w:topLinePunct w:val="0"/>
        <w:bidi w:val="0"/>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甲方厨房现有的设备及餐具乙方应合理使用,妥善保管严格管理,不得人为损坏和丢失,否则折价赔偿。</w:t>
      </w:r>
    </w:p>
    <w:p w14:paraId="0EC38683">
      <w:pPr>
        <w:keepNext w:val="0"/>
        <w:keepLines w:val="0"/>
        <w:pageBreakBefore w:val="0"/>
        <w:kinsoku/>
        <w:wordWrap/>
        <w:overflowPunct/>
        <w:topLinePunct w:val="0"/>
        <w:bidi w:val="0"/>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10</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服务</w:t>
      </w:r>
      <w:r>
        <w:rPr>
          <w:rFonts w:hint="eastAsia" w:ascii="宋体" w:hAnsi="宋体" w:cs="宋体"/>
          <w:color w:val="auto"/>
          <w:sz w:val="24"/>
          <w:highlight w:val="none"/>
        </w:rPr>
        <w:t>范围只限于饮食服务方面。</w:t>
      </w:r>
    </w:p>
    <w:p w14:paraId="2981AE4B">
      <w:pPr>
        <w:keepNext w:val="0"/>
        <w:keepLines w:val="0"/>
        <w:pageBreakBefore w:val="0"/>
        <w:kinsoku/>
        <w:wordWrap/>
        <w:overflowPunct/>
        <w:topLinePunct w:val="0"/>
        <w:bidi w:val="0"/>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11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甲方如有来客接待餐,按照相关规定标准就餐,并保证菜料质量。</w:t>
      </w:r>
    </w:p>
    <w:p w14:paraId="09ADE16A">
      <w:pPr>
        <w:keepNext w:val="0"/>
        <w:keepLines w:val="0"/>
        <w:pageBreakBefore w:val="0"/>
        <w:kinsoku/>
        <w:wordWrap/>
        <w:overflowPunct/>
        <w:topLinePunct w:val="0"/>
        <w:bidi w:val="0"/>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乙方在</w:t>
      </w:r>
      <w:r>
        <w:rPr>
          <w:rFonts w:hint="eastAsia" w:ascii="宋体" w:hAnsi="宋体" w:cs="宋体"/>
          <w:color w:val="auto"/>
          <w:sz w:val="24"/>
          <w:highlight w:val="none"/>
          <w:lang w:eastAsia="zh-CN"/>
        </w:rPr>
        <w:t>服务</w:t>
      </w:r>
      <w:r>
        <w:rPr>
          <w:rFonts w:hint="eastAsia" w:ascii="宋体" w:hAnsi="宋体" w:cs="宋体"/>
          <w:color w:val="auto"/>
          <w:sz w:val="24"/>
          <w:highlight w:val="none"/>
        </w:rPr>
        <w:t>期间的材料费、所在食堂工作人员的劳动关系、劳保福利等均由乙方自理,乙方工作人员在工作中出现的任何伤病、意外等均由乙方负责处理,与甲方无关。</w:t>
      </w:r>
      <w:r>
        <w:rPr>
          <w:rFonts w:hint="eastAsia" w:ascii="宋体" w:hAnsi="宋体" w:cs="宋体"/>
          <w:color w:val="auto"/>
          <w:sz w:val="24"/>
          <w:highlight w:val="none"/>
          <w:lang w:eastAsia="zh-CN"/>
        </w:rPr>
        <w:t>乙方应为其所有工作人员购买足额保险，并在履约过程中接受甲方监督。</w:t>
      </w:r>
    </w:p>
    <w:p w14:paraId="75FA97A8">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违约责任</w:t>
      </w:r>
    </w:p>
    <w:p w14:paraId="295B4E32">
      <w:pPr>
        <w:pStyle w:val="48"/>
        <w:keepNext w:val="0"/>
        <w:keepLines w:val="0"/>
        <w:pageBreakBefore w:val="0"/>
        <w:kinsoku/>
        <w:wordWrap/>
        <w:overflowPunct/>
        <w:topLinePunct w:val="0"/>
        <w:bidi w:val="0"/>
        <w:spacing w:line="360" w:lineRule="auto"/>
        <w:ind w:left="0" w:leftChars="0" w:firstLine="480" w:firstLineChars="200"/>
        <w:rPr>
          <w:rFonts w:hAnsi="宋体" w:cs="宋体"/>
          <w:bCs/>
          <w:color w:val="auto"/>
          <w:sz w:val="24"/>
          <w:highlight w:val="none"/>
        </w:rPr>
      </w:pPr>
      <w:r>
        <w:rPr>
          <w:rFonts w:hint="eastAsia" w:hAnsi="宋体" w:cs="宋体"/>
          <w:bCs/>
          <w:color w:val="auto"/>
          <w:sz w:val="24"/>
          <w:highlight w:val="none"/>
        </w:rPr>
        <w:t>1.甲乙双方要严格遵守按合同约定的各类事项，若一方违约，违约方必须承担违约责任并向对方承担因违约而造成的经济损失。</w:t>
      </w:r>
    </w:p>
    <w:p w14:paraId="2DB446A6">
      <w:pPr>
        <w:pStyle w:val="48"/>
        <w:keepNext w:val="0"/>
        <w:keepLines w:val="0"/>
        <w:pageBreakBefore w:val="0"/>
        <w:kinsoku/>
        <w:wordWrap/>
        <w:overflowPunct/>
        <w:topLinePunct w:val="0"/>
        <w:bidi w:val="0"/>
        <w:spacing w:line="360" w:lineRule="auto"/>
        <w:ind w:left="0" w:leftChars="0" w:firstLine="480" w:firstLineChars="200"/>
        <w:rPr>
          <w:rFonts w:hAnsi="宋体" w:cs="宋体"/>
          <w:bCs/>
          <w:color w:val="auto"/>
          <w:sz w:val="24"/>
          <w:highlight w:val="none"/>
        </w:rPr>
      </w:pPr>
      <w:r>
        <w:rPr>
          <w:rFonts w:hint="eastAsia" w:hAnsi="宋体" w:cs="宋体"/>
          <w:bCs/>
          <w:color w:val="auto"/>
          <w:sz w:val="24"/>
          <w:highlight w:val="none"/>
        </w:rPr>
        <w:t>2.因乙方违反国家和地方食品卫生管理法规以及公司有关职工食堂的卫生管理制度，提供不洁的食物造成甲方食物中毒的，全部由乙方负责赔偿并承担相应的法律责任。</w:t>
      </w:r>
    </w:p>
    <w:p w14:paraId="4C61AAE1">
      <w:pPr>
        <w:pStyle w:val="48"/>
        <w:keepNext w:val="0"/>
        <w:keepLines w:val="0"/>
        <w:pageBreakBefore w:val="0"/>
        <w:kinsoku/>
        <w:wordWrap/>
        <w:overflowPunct/>
        <w:topLinePunct w:val="0"/>
        <w:bidi w:val="0"/>
        <w:spacing w:line="360" w:lineRule="auto"/>
        <w:ind w:left="0" w:leftChars="0" w:firstLine="480" w:firstLineChars="200"/>
        <w:rPr>
          <w:rFonts w:hint="eastAsia" w:hAnsi="宋体" w:cs="宋体"/>
          <w:bCs/>
          <w:color w:val="auto"/>
          <w:sz w:val="24"/>
          <w:highlight w:val="none"/>
        </w:rPr>
      </w:pPr>
      <w:r>
        <w:rPr>
          <w:rFonts w:hint="eastAsia" w:hAnsi="宋体" w:cs="宋体"/>
          <w:bCs/>
          <w:color w:val="auto"/>
          <w:sz w:val="24"/>
          <w:highlight w:val="none"/>
        </w:rPr>
        <w:t>3.如乙方</w:t>
      </w:r>
      <w:r>
        <w:rPr>
          <w:rFonts w:hint="eastAsia" w:hAnsi="宋体" w:cs="宋体"/>
          <w:bCs/>
          <w:color w:val="auto"/>
          <w:sz w:val="24"/>
          <w:highlight w:val="none"/>
          <w:lang w:val="en-US" w:eastAsia="zh-CN"/>
        </w:rPr>
        <w:t>出现</w:t>
      </w:r>
      <w:r>
        <w:rPr>
          <w:rFonts w:hint="eastAsia" w:hAnsi="宋体" w:cs="宋体"/>
          <w:bCs/>
          <w:color w:val="auto"/>
          <w:sz w:val="24"/>
          <w:highlight w:val="none"/>
        </w:rPr>
        <w:t>饭菜的质量差、卫生</w:t>
      </w:r>
      <w:r>
        <w:rPr>
          <w:rFonts w:hint="eastAsia" w:hAnsi="宋体" w:cs="宋体"/>
          <w:bCs/>
          <w:color w:val="auto"/>
          <w:sz w:val="24"/>
          <w:highlight w:val="none"/>
          <w:lang w:val="en-US" w:eastAsia="zh-CN"/>
        </w:rPr>
        <w:t>不达标</w:t>
      </w:r>
      <w:r>
        <w:rPr>
          <w:rFonts w:hint="eastAsia" w:hAnsi="宋体" w:cs="宋体"/>
          <w:bCs/>
          <w:color w:val="auto"/>
          <w:sz w:val="24"/>
          <w:highlight w:val="none"/>
        </w:rPr>
        <w:t>等</w:t>
      </w:r>
      <w:r>
        <w:rPr>
          <w:rFonts w:hint="eastAsia" w:hAnsi="宋体" w:cs="宋体"/>
          <w:bCs/>
          <w:color w:val="auto"/>
          <w:sz w:val="24"/>
          <w:highlight w:val="none"/>
          <w:lang w:val="en-US" w:eastAsia="zh-CN"/>
        </w:rPr>
        <w:t>情形</w:t>
      </w:r>
      <w:r>
        <w:rPr>
          <w:rFonts w:hint="eastAsia" w:hAnsi="宋体" w:cs="宋体"/>
          <w:bCs/>
          <w:color w:val="auto"/>
          <w:sz w:val="24"/>
          <w:highlight w:val="none"/>
        </w:rPr>
        <w:t>，经甲方监督整改</w:t>
      </w:r>
      <w:r>
        <w:rPr>
          <w:rFonts w:hint="eastAsia" w:hAnsi="宋体" w:cs="宋体"/>
          <w:bCs/>
          <w:color w:val="auto"/>
          <w:sz w:val="24"/>
          <w:highlight w:val="none"/>
          <w:lang w:eastAsia="zh-CN"/>
        </w:rPr>
        <w:t>仍未达到合同约定标准或甲方要求</w:t>
      </w:r>
      <w:r>
        <w:rPr>
          <w:rFonts w:hint="eastAsia" w:hAnsi="宋体" w:cs="宋体"/>
          <w:bCs/>
          <w:color w:val="auto"/>
          <w:sz w:val="24"/>
          <w:highlight w:val="none"/>
        </w:rPr>
        <w:t>，甲方有权单方面终止合同，</w:t>
      </w:r>
      <w:r>
        <w:rPr>
          <w:rFonts w:hint="eastAsia" w:hAnsi="宋体" w:cs="宋体"/>
          <w:bCs/>
          <w:color w:val="auto"/>
          <w:sz w:val="24"/>
          <w:highlight w:val="none"/>
          <w:lang w:val="en-US" w:eastAsia="zh-CN"/>
        </w:rPr>
        <w:t>并要求</w:t>
      </w:r>
      <w:r>
        <w:rPr>
          <w:rFonts w:hint="eastAsia" w:hAnsi="宋体" w:cs="宋体"/>
          <w:bCs/>
          <w:color w:val="auto"/>
          <w:sz w:val="24"/>
          <w:highlight w:val="none"/>
        </w:rPr>
        <w:t>由乙方承担违约责任。</w:t>
      </w:r>
    </w:p>
    <w:p w14:paraId="79A67D86">
      <w:pPr>
        <w:pStyle w:val="48"/>
        <w:keepNext w:val="0"/>
        <w:keepLines w:val="0"/>
        <w:pageBreakBefore w:val="0"/>
        <w:kinsoku/>
        <w:wordWrap/>
        <w:overflowPunct/>
        <w:topLinePunct w:val="0"/>
        <w:bidi w:val="0"/>
        <w:spacing w:line="360" w:lineRule="auto"/>
        <w:ind w:left="0" w:leftChars="0" w:firstLine="480" w:firstLineChars="200"/>
      </w:pPr>
      <w:r>
        <w:rPr>
          <w:rFonts w:hint="eastAsia" w:hAnsi="宋体" w:cs="宋体"/>
          <w:bCs/>
          <w:color w:val="auto"/>
          <w:sz w:val="24"/>
          <w:highlight w:val="none"/>
        </w:rPr>
        <w:t>4.</w:t>
      </w:r>
      <w:r>
        <w:rPr>
          <w:rFonts w:hint="eastAsia" w:ascii="Times New Roman" w:hAnsi="宋体" w:eastAsia="宋体" w:cs="宋体"/>
          <w:bCs/>
          <w:color w:val="auto"/>
          <w:sz w:val="24"/>
          <w:highlight w:val="none"/>
          <w:lang w:val="en-US" w:eastAsia="zh-CN" w:bidi="ar-SA"/>
        </w:rPr>
        <w:t>连续两个月</w:t>
      </w:r>
      <w:r>
        <w:rPr>
          <w:rFonts w:hint="eastAsia" w:hAnsi="宋体" w:cs="宋体"/>
          <w:bCs/>
          <w:color w:val="auto"/>
          <w:sz w:val="24"/>
          <w:highlight w:val="none"/>
          <w:lang w:val="en-US" w:eastAsia="zh-CN" w:bidi="ar-SA"/>
        </w:rPr>
        <w:t>考核</w:t>
      </w:r>
      <w:r>
        <w:rPr>
          <w:rFonts w:hint="eastAsia" w:ascii="Times New Roman" w:hAnsi="宋体" w:eastAsia="宋体" w:cs="宋体"/>
          <w:bCs/>
          <w:color w:val="auto"/>
          <w:sz w:val="24"/>
          <w:highlight w:val="none"/>
          <w:lang w:val="en-US" w:eastAsia="zh-CN" w:bidi="ar-SA"/>
        </w:rPr>
        <w:t>低于80分，甲方有权终止合同，由乙方承担违约责任。</w:t>
      </w:r>
    </w:p>
    <w:p w14:paraId="0CFBC132">
      <w:pPr>
        <w:pStyle w:val="48"/>
        <w:keepNext w:val="0"/>
        <w:keepLines w:val="0"/>
        <w:pageBreakBefore w:val="0"/>
        <w:kinsoku/>
        <w:wordWrap/>
        <w:overflowPunct/>
        <w:topLinePunct w:val="0"/>
        <w:bidi w:val="0"/>
        <w:spacing w:line="360" w:lineRule="auto"/>
        <w:ind w:left="0" w:leftChars="0" w:firstLine="480" w:firstLineChars="200"/>
        <w:rPr>
          <w:rFonts w:hAnsi="宋体" w:cs="宋体"/>
          <w:bCs/>
          <w:color w:val="auto"/>
          <w:sz w:val="24"/>
          <w:highlight w:val="none"/>
        </w:rPr>
      </w:pPr>
      <w:r>
        <w:rPr>
          <w:rFonts w:hint="eastAsia" w:hAnsi="宋体" w:cs="宋体"/>
          <w:bCs/>
          <w:color w:val="auto"/>
          <w:sz w:val="24"/>
          <w:highlight w:val="none"/>
          <w:lang w:val="en-US" w:eastAsia="zh-CN"/>
        </w:rPr>
        <w:t>5</w:t>
      </w:r>
      <w:r>
        <w:rPr>
          <w:rFonts w:hint="eastAsia" w:hAnsi="宋体" w:cs="宋体"/>
          <w:bCs/>
          <w:color w:val="auto"/>
          <w:sz w:val="24"/>
          <w:highlight w:val="none"/>
        </w:rPr>
        <w:t>.若一方有意提</w:t>
      </w:r>
      <w:r>
        <w:rPr>
          <w:rFonts w:hint="eastAsia" w:hAnsi="宋体" w:cs="宋体"/>
          <w:bCs/>
          <w:color w:val="auto"/>
          <w:sz w:val="24"/>
          <w:highlight w:val="none"/>
          <w:lang w:eastAsia="zh-CN"/>
        </w:rPr>
        <w:t>前</w:t>
      </w:r>
      <w:r>
        <w:rPr>
          <w:rFonts w:hint="eastAsia" w:hAnsi="宋体" w:cs="宋体"/>
          <w:bCs/>
          <w:color w:val="auto"/>
          <w:sz w:val="24"/>
          <w:highlight w:val="none"/>
        </w:rPr>
        <w:t>终止合同，必须提前一个月通知对方，否则需赔偿对方最后一个月餐费的20% 。</w:t>
      </w:r>
    </w:p>
    <w:p w14:paraId="71E1EC3D">
      <w:pPr>
        <w:keepNext w:val="0"/>
        <w:keepLines w:val="0"/>
        <w:pageBreakBefore w:val="0"/>
        <w:kinsoku/>
        <w:wordWrap/>
        <w:overflowPunct/>
        <w:topLinePunct w:val="0"/>
        <w:bidi w:val="0"/>
        <w:spacing w:line="360" w:lineRule="auto"/>
        <w:ind w:left="0" w:leftChars="0" w:firstLine="480" w:firstLineChars="200"/>
        <w:rPr>
          <w:rFonts w:ascii="宋体" w:hAnsi="宋体" w:cs="宋体"/>
          <w:bCs/>
          <w:color w:val="auto"/>
          <w:sz w:val="24"/>
          <w:highlight w:val="none"/>
        </w:rPr>
      </w:pP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.甲乙双方违反本合同或单方面无正当理由终止本合同者，应向对方赔偿相应损失。</w:t>
      </w:r>
    </w:p>
    <w:p w14:paraId="72A78A92">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其他条款</w:t>
      </w:r>
    </w:p>
    <w:p w14:paraId="25301C55">
      <w:pPr>
        <w:keepNext w:val="0"/>
        <w:keepLines w:val="0"/>
        <w:pageBreakBefore w:val="0"/>
        <w:kinsoku/>
        <w:wordWrap/>
        <w:overflowPunct/>
        <w:topLinePunct w:val="0"/>
        <w:bidi w:val="0"/>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因不可抗拒原因造成损失时,双方协商解决,但乙方不承担甲方房产和设施的经济损失。</w:t>
      </w:r>
    </w:p>
    <w:p w14:paraId="44BC9F0D">
      <w:pPr>
        <w:keepNext w:val="0"/>
        <w:keepLines w:val="0"/>
        <w:pageBreakBefore w:val="0"/>
        <w:kinsoku/>
        <w:wordWrap/>
        <w:overflowPunct/>
        <w:topLinePunct w:val="0"/>
        <w:bidi w:val="0"/>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甲、乙双方员工应保持互相尊重,尽量不发生磨擦,更不许出现打架等事例,若有发生追究责任,因此造成的伤害由过错方承担。</w:t>
      </w:r>
    </w:p>
    <w:p w14:paraId="7DF71DCC">
      <w:pPr>
        <w:keepNext w:val="0"/>
        <w:keepLines w:val="0"/>
        <w:pageBreakBefore w:val="0"/>
        <w:kinsoku/>
        <w:wordWrap/>
        <w:overflowPunct/>
        <w:topLinePunct w:val="0"/>
        <w:bidi w:val="0"/>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.服务</w:t>
      </w:r>
      <w:r>
        <w:rPr>
          <w:rFonts w:hint="eastAsia" w:ascii="宋体" w:hAnsi="宋体" w:cs="宋体"/>
          <w:color w:val="auto"/>
          <w:sz w:val="24"/>
          <w:highlight w:val="none"/>
        </w:rPr>
        <w:t>结束时,乙方应将甲方提供的场地、设施、设备、工具等全部清还甲方,配合甲方完成清算工作。</w:t>
      </w:r>
    </w:p>
    <w:p w14:paraId="61F7784E">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争议解决</w:t>
      </w:r>
    </w:p>
    <w:p w14:paraId="27D2E17B">
      <w:pPr>
        <w:keepNext w:val="0"/>
        <w:keepLines w:val="0"/>
        <w:pageBreakBefore w:val="0"/>
        <w:tabs>
          <w:tab w:val="left" w:pos="525"/>
          <w:tab w:val="left" w:pos="1365"/>
        </w:tabs>
        <w:kinsoku/>
        <w:wordWrap/>
        <w:overflowPunct/>
        <w:topLinePunct w:val="0"/>
        <w:bidi w:val="0"/>
        <w:spacing w:line="360" w:lineRule="auto"/>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因本合同及合同有关事项发生的争议，由</w:t>
      </w:r>
      <w:r>
        <w:rPr>
          <w:rFonts w:hint="eastAsia" w:ascii="宋体" w:hAnsi="宋体" w:eastAsia="宋体" w:cs="宋体"/>
          <w:color w:val="auto"/>
          <w:sz w:val="24"/>
          <w:szCs w:val="24"/>
          <w:highlight w:val="none"/>
          <w:lang w:eastAsia="zh-CN"/>
        </w:rPr>
        <w:t>甲乙双</w:t>
      </w:r>
      <w:r>
        <w:rPr>
          <w:rFonts w:hint="eastAsia" w:ascii="宋体" w:hAnsi="宋体" w:eastAsia="宋体" w:cs="宋体"/>
          <w:color w:val="auto"/>
          <w:sz w:val="24"/>
          <w:szCs w:val="24"/>
          <w:highlight w:val="none"/>
        </w:rPr>
        <w:t>方友好协商解决。协商不成时，可以</w:t>
      </w:r>
      <w:r>
        <w:rPr>
          <w:rFonts w:hint="eastAsia" w:ascii="宋体" w:hAnsi="宋体" w:eastAsia="宋体" w:cs="宋体"/>
          <w:color w:val="auto"/>
          <w:sz w:val="24"/>
          <w:szCs w:val="24"/>
          <w:highlight w:val="none"/>
          <w:lang w:eastAsia="zh-CN"/>
        </w:rPr>
        <w:t>向有关组织申请</w:t>
      </w:r>
      <w:r>
        <w:rPr>
          <w:rFonts w:hint="eastAsia" w:ascii="宋体" w:hAnsi="宋体" w:eastAsia="宋体" w:cs="宋体"/>
          <w:color w:val="auto"/>
          <w:sz w:val="24"/>
          <w:szCs w:val="24"/>
          <w:highlight w:val="none"/>
        </w:rPr>
        <w:t>调解。合同一方或</w:t>
      </w:r>
      <w:r>
        <w:rPr>
          <w:rFonts w:hint="eastAsia" w:ascii="宋体" w:hAnsi="宋体" w:eastAsia="宋体" w:cs="宋体"/>
          <w:color w:val="auto"/>
          <w:sz w:val="24"/>
          <w:szCs w:val="24"/>
          <w:highlight w:val="none"/>
          <w:lang w:eastAsia="zh-CN"/>
        </w:rPr>
        <w:t>双</w:t>
      </w:r>
      <w:r>
        <w:rPr>
          <w:rFonts w:hint="eastAsia" w:ascii="宋体" w:hAnsi="宋体" w:eastAsia="宋体" w:cs="宋体"/>
          <w:color w:val="auto"/>
          <w:sz w:val="24"/>
          <w:szCs w:val="24"/>
          <w:highlight w:val="none"/>
        </w:rPr>
        <w:t>方不愿调解或调解不成的，可以</w:t>
      </w:r>
      <w:r>
        <w:rPr>
          <w:rFonts w:hint="eastAsia" w:ascii="宋体" w:hAnsi="宋体" w:cs="宋体"/>
          <w:color w:val="auto"/>
          <w:sz w:val="24"/>
          <w:szCs w:val="24"/>
          <w:highlight w:val="none"/>
          <w:lang w:val="en-US" w:eastAsia="zh-CN"/>
        </w:rPr>
        <w:t>向绍兴市上虞区</w:t>
      </w:r>
      <w:r>
        <w:rPr>
          <w:rFonts w:hint="eastAsia" w:ascii="宋体" w:hAnsi="宋体" w:eastAsia="宋体" w:cs="宋体"/>
          <w:color w:val="auto"/>
          <w:kern w:val="0"/>
          <w:sz w:val="24"/>
          <w:szCs w:val="24"/>
          <w:highlight w:val="none"/>
        </w:rPr>
        <w:t>人民法院提起诉讼</w:t>
      </w:r>
      <w:r>
        <w:rPr>
          <w:rFonts w:hint="eastAsia" w:ascii="宋体" w:hAnsi="宋体" w:cs="宋体"/>
          <w:color w:val="auto"/>
          <w:sz w:val="24"/>
          <w:szCs w:val="24"/>
          <w:highlight w:val="none"/>
          <w:lang w:eastAsia="zh-CN"/>
        </w:rPr>
        <w:t>。</w:t>
      </w:r>
    </w:p>
    <w:p w14:paraId="467D6C28">
      <w:pPr>
        <w:keepNext w:val="0"/>
        <w:keepLines w:val="0"/>
        <w:pageBreakBefore w:val="0"/>
        <w:tabs>
          <w:tab w:val="left" w:pos="525"/>
          <w:tab w:val="left" w:pos="1365"/>
        </w:tabs>
        <w:kinsoku/>
        <w:wordWrap/>
        <w:overflowPunct/>
        <w:topLinePunct w:val="0"/>
        <w:bidi w:val="0"/>
        <w:spacing w:line="360" w:lineRule="auto"/>
        <w:ind w:left="0" w:leftChars="0" w:firstLine="480" w:firstLineChars="200"/>
        <w:rPr>
          <w:rFonts w:hint="eastAsia"/>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rPr>
        <w:t>有争议的事项不影响合同其他部分的履行，在争议解决期间，合同其他部分应</w:t>
      </w:r>
      <w:r>
        <w:rPr>
          <w:rFonts w:hint="eastAsia" w:ascii="宋体" w:hAnsi="宋体" w:eastAsia="宋体" w:cs="宋体"/>
          <w:color w:val="auto"/>
          <w:sz w:val="24"/>
          <w:szCs w:val="24"/>
          <w:highlight w:val="none"/>
          <w:lang w:eastAsia="zh-CN"/>
        </w:rPr>
        <w:t>当</w:t>
      </w:r>
      <w:r>
        <w:rPr>
          <w:rFonts w:hint="eastAsia" w:ascii="宋体" w:hAnsi="宋体" w:eastAsia="宋体" w:cs="宋体"/>
          <w:color w:val="auto"/>
          <w:sz w:val="24"/>
          <w:szCs w:val="24"/>
          <w:highlight w:val="none"/>
        </w:rPr>
        <w:t>继续履行。</w:t>
      </w:r>
    </w:p>
    <w:p w14:paraId="5AE9C09A">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免责条款</w:t>
      </w:r>
    </w:p>
    <w:p w14:paraId="6FB2984C">
      <w:pPr>
        <w:keepNext w:val="0"/>
        <w:keepLines w:val="0"/>
        <w:pageBreakBefore w:val="0"/>
        <w:tabs>
          <w:tab w:val="left" w:pos="525"/>
          <w:tab w:val="left" w:pos="1365"/>
        </w:tabs>
        <w:kinsoku/>
        <w:wordWrap/>
        <w:overflowPunct/>
        <w:topLinePunct w:val="0"/>
        <w:bidi w:val="0"/>
        <w:spacing w:line="360" w:lineRule="auto"/>
        <w:ind w:left="0" w:leftChars="0" w:firstLine="480" w:firstLineChars="20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（一）</w:t>
      </w:r>
      <w:r>
        <w:rPr>
          <w:rFonts w:hint="eastAsia" w:ascii="宋体" w:hAnsi="宋体" w:eastAsia="宋体" w:cs="宋体"/>
          <w:color w:val="auto"/>
          <w:kern w:val="0"/>
          <w:sz w:val="24"/>
          <w:szCs w:val="24"/>
          <w:highlight w:val="none"/>
        </w:rPr>
        <w:t>因不可抗力导致甲乙双方或一方不能履行或不能完全履行本协议项下有关义务时，双方相互不承担违约责任。但遇有不可抗力的一方应于不可抗力发生后15日内将情况告知对方，并提供有关部门的证明。在不可抗力影响消除后的合理时间内，一方或双方应当继续履行协议。由于不可抗力导致协议不能或者没有必要继续履行的，</w:t>
      </w:r>
      <w:r>
        <w:rPr>
          <w:rFonts w:hint="eastAsia" w:ascii="宋体" w:hAnsi="宋体" w:cs="宋体"/>
          <w:color w:val="auto"/>
          <w:kern w:val="0"/>
          <w:sz w:val="24"/>
          <w:szCs w:val="24"/>
          <w:highlight w:val="none"/>
          <w:lang w:eastAsia="zh-CN"/>
        </w:rPr>
        <w:t>甲</w:t>
      </w:r>
      <w:r>
        <w:rPr>
          <w:rFonts w:hint="eastAsia" w:ascii="宋体" w:hAnsi="宋体" w:eastAsia="宋体" w:cs="宋体"/>
          <w:color w:val="auto"/>
          <w:kern w:val="0"/>
          <w:sz w:val="24"/>
          <w:szCs w:val="24"/>
          <w:highlight w:val="none"/>
        </w:rPr>
        <w:t>乙</w:t>
      </w:r>
      <w:r>
        <w:rPr>
          <w:rFonts w:hint="eastAsia" w:ascii="宋体" w:hAnsi="宋体" w:cs="宋体"/>
          <w:color w:val="auto"/>
          <w:kern w:val="0"/>
          <w:sz w:val="24"/>
          <w:szCs w:val="24"/>
          <w:highlight w:val="none"/>
          <w:lang w:eastAsia="zh-CN"/>
        </w:rPr>
        <w:t>双</w:t>
      </w:r>
      <w:r>
        <w:rPr>
          <w:rFonts w:hint="eastAsia" w:ascii="宋体" w:hAnsi="宋体" w:eastAsia="宋体" w:cs="宋体"/>
          <w:color w:val="auto"/>
          <w:kern w:val="0"/>
          <w:sz w:val="24"/>
          <w:szCs w:val="24"/>
          <w:highlight w:val="none"/>
        </w:rPr>
        <w:t>方</w:t>
      </w:r>
      <w:r>
        <w:rPr>
          <w:rFonts w:hint="eastAsia" w:ascii="宋体" w:hAnsi="宋体" w:cs="宋体"/>
          <w:color w:val="auto"/>
          <w:kern w:val="0"/>
          <w:sz w:val="24"/>
          <w:szCs w:val="24"/>
          <w:highlight w:val="none"/>
          <w:lang w:eastAsia="zh-CN"/>
        </w:rPr>
        <w:t>均有权</w:t>
      </w:r>
      <w:r>
        <w:rPr>
          <w:rFonts w:hint="eastAsia" w:ascii="宋体" w:hAnsi="宋体" w:eastAsia="宋体" w:cs="宋体"/>
          <w:color w:val="auto"/>
          <w:kern w:val="0"/>
          <w:sz w:val="24"/>
          <w:szCs w:val="24"/>
          <w:highlight w:val="none"/>
        </w:rPr>
        <w:t>解除</w:t>
      </w:r>
      <w:r>
        <w:rPr>
          <w:rFonts w:hint="eastAsia" w:ascii="宋体" w:hAnsi="宋体" w:cs="宋体"/>
          <w:color w:val="auto"/>
          <w:kern w:val="0"/>
          <w:sz w:val="24"/>
          <w:szCs w:val="24"/>
          <w:highlight w:val="none"/>
          <w:lang w:eastAsia="zh-CN"/>
        </w:rPr>
        <w:t>本协议</w:t>
      </w:r>
      <w:r>
        <w:rPr>
          <w:rFonts w:hint="eastAsia" w:ascii="宋体" w:hAnsi="宋体" w:eastAsia="宋体" w:cs="宋体"/>
          <w:color w:val="auto"/>
          <w:kern w:val="0"/>
          <w:sz w:val="24"/>
          <w:szCs w:val="24"/>
          <w:highlight w:val="none"/>
        </w:rPr>
        <w:t>。</w:t>
      </w:r>
    </w:p>
    <w:p w14:paraId="38871CDE">
      <w:pPr>
        <w:keepNext w:val="0"/>
        <w:keepLines w:val="0"/>
        <w:pageBreakBefore w:val="0"/>
        <w:numPr>
          <w:ilvl w:val="0"/>
          <w:numId w:val="0"/>
        </w:numPr>
        <w:tabs>
          <w:tab w:val="left" w:pos="525"/>
          <w:tab w:val="left" w:pos="1365"/>
        </w:tabs>
        <w:kinsoku/>
        <w:wordWrap/>
        <w:overflowPunct/>
        <w:topLinePunct w:val="0"/>
        <w:bidi w:val="0"/>
        <w:spacing w:line="360" w:lineRule="auto"/>
        <w:ind w:left="0" w:leftChars="0" w:firstLine="480" w:firstLineChars="20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若因一方延迟履行后发生不可抗力导致不能履行，不能免除责任。</w:t>
      </w:r>
    </w:p>
    <w:p w14:paraId="7E94D8A4">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协议的变更、解除</w:t>
      </w:r>
    </w:p>
    <w:p w14:paraId="3E819F9D">
      <w:pPr>
        <w:keepNext w:val="0"/>
        <w:keepLines w:val="0"/>
        <w:pageBreakBefore w:val="0"/>
        <w:tabs>
          <w:tab w:val="left" w:pos="0"/>
          <w:tab w:val="left" w:pos="420"/>
          <w:tab w:val="left" w:pos="1080"/>
          <w:tab w:val="left" w:pos="1800"/>
          <w:tab w:val="left" w:pos="2520"/>
          <w:tab w:val="left" w:pos="3240"/>
          <w:tab w:val="left" w:pos="3960"/>
          <w:tab w:val="left" w:pos="4680"/>
        </w:tabs>
        <w:kinsoku/>
        <w:wordWrap/>
        <w:overflowPunct/>
        <w:topLinePunct w:val="0"/>
        <w:autoSpaceDE w:val="0"/>
        <w:autoSpaceDN w:val="0"/>
        <w:bidi w:val="0"/>
        <w:adjustRightInd w:val="0"/>
        <w:snapToGrid w:val="0"/>
        <w:spacing w:line="360" w:lineRule="auto"/>
        <w:ind w:left="0" w:lef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在协议有效期内双方中任何一方欲变更或解除协议必须采取书面形式，口头无效。</w:t>
      </w:r>
      <w:r>
        <w:rPr>
          <w:rFonts w:hint="eastAsia" w:ascii="宋体" w:hAnsi="宋体" w:cs="宋体"/>
          <w:color w:val="auto"/>
          <w:kern w:val="0"/>
          <w:sz w:val="24"/>
          <w:szCs w:val="24"/>
          <w:highlight w:val="none"/>
          <w:lang w:eastAsia="zh-CN"/>
        </w:rPr>
        <w:t>除本合同另有约定外，</w:t>
      </w:r>
      <w:r>
        <w:rPr>
          <w:rFonts w:hint="eastAsia" w:ascii="宋体" w:hAnsi="宋体" w:eastAsia="宋体" w:cs="宋体"/>
          <w:color w:val="auto"/>
          <w:kern w:val="0"/>
          <w:sz w:val="24"/>
          <w:szCs w:val="24"/>
          <w:highlight w:val="none"/>
        </w:rPr>
        <w:t>解除协议需提前三个月向对方提出。</w:t>
      </w:r>
    </w:p>
    <w:p w14:paraId="55C34B5E">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政府采购政策</w:t>
      </w:r>
    </w:p>
    <w:p w14:paraId="107B9D04">
      <w:pPr>
        <w:keepNext w:val="0"/>
        <w:keepLines w:val="0"/>
        <w:pageBreakBefore w:val="0"/>
        <w:tabs>
          <w:tab w:val="left" w:pos="525"/>
          <w:tab w:val="left" w:pos="1155"/>
          <w:tab w:val="left" w:pos="1365"/>
        </w:tabs>
        <w:kinsoku/>
        <w:wordWrap/>
        <w:overflowPunct/>
        <w:topLinePunct w:val="0"/>
        <w:autoSpaceDE/>
        <w:autoSpaceDN/>
        <w:bidi w:val="0"/>
        <w:adjustRightInd/>
        <w:snapToGrid/>
        <w:spacing w:before="0" w:line="360" w:lineRule="auto"/>
        <w:ind w:left="0" w:lef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GB"/>
        </w:rPr>
        <w:t>本合同应当按照规定执行政府采购政策。</w:t>
      </w:r>
    </w:p>
    <w:p w14:paraId="3D80C76A">
      <w:pPr>
        <w:keepNext w:val="0"/>
        <w:keepLines w:val="0"/>
        <w:pageBreakBefore w:val="0"/>
        <w:tabs>
          <w:tab w:val="left" w:pos="525"/>
          <w:tab w:val="left" w:pos="1155"/>
          <w:tab w:val="left" w:pos="1365"/>
        </w:tabs>
        <w:kinsoku/>
        <w:wordWrap/>
        <w:overflowPunct/>
        <w:topLinePunct w:val="0"/>
        <w:autoSpaceDE/>
        <w:autoSpaceDN/>
        <w:bidi w:val="0"/>
        <w:adjustRightInd/>
        <w:snapToGrid/>
        <w:spacing w:before="0" w:line="360" w:lineRule="auto"/>
        <w:ind w:left="0" w:lef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本合同依法执行政府采购政策的方式和内容，属于合同履约验收的范围。</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cs="宋体"/>
          <w:color w:val="auto"/>
          <w:sz w:val="24"/>
          <w:szCs w:val="24"/>
          <w:highlight w:val="none"/>
        </w:rPr>
        <w:t>，有过错的一方应当承担赔偿责任，双方都有过错的，各自承担相应的责任。</w:t>
      </w:r>
    </w:p>
    <w:p w14:paraId="16B75C02">
      <w:pPr>
        <w:keepNext w:val="0"/>
        <w:keepLines w:val="0"/>
        <w:pageBreakBefore w:val="0"/>
        <w:tabs>
          <w:tab w:val="left" w:pos="525"/>
          <w:tab w:val="left" w:pos="1155"/>
          <w:tab w:val="left" w:pos="1365"/>
        </w:tabs>
        <w:kinsoku/>
        <w:wordWrap/>
        <w:overflowPunct/>
        <w:topLinePunct w:val="0"/>
        <w:bidi w:val="0"/>
        <w:spacing w:line="36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对于</w:t>
      </w:r>
      <w:r>
        <w:rPr>
          <w:rFonts w:hint="eastAsia" w:ascii="宋体" w:hAnsi="宋体" w:cs="宋体"/>
          <w:color w:val="auto"/>
          <w:sz w:val="24"/>
          <w:szCs w:val="24"/>
          <w:highlight w:val="none"/>
          <w:lang w:eastAsia="zh-CN"/>
        </w:rPr>
        <w:t>为落实中小企业支持政策，</w:t>
      </w:r>
      <w:r>
        <w:rPr>
          <w:rFonts w:hint="eastAsia" w:ascii="宋体" w:hAnsi="宋体" w:cs="宋体"/>
          <w:color w:val="auto"/>
          <w:sz w:val="24"/>
          <w:szCs w:val="24"/>
          <w:highlight w:val="none"/>
        </w:rPr>
        <w:t>通过采购项目</w:t>
      </w:r>
      <w:r>
        <w:rPr>
          <w:rFonts w:hint="eastAsia" w:ascii="宋体" w:hAnsi="宋体" w:cs="宋体"/>
          <w:color w:val="auto"/>
          <w:sz w:val="24"/>
          <w:szCs w:val="24"/>
          <w:highlight w:val="none"/>
          <w:lang w:eastAsia="zh-CN"/>
        </w:rPr>
        <w:t>整体</w:t>
      </w:r>
      <w:r>
        <w:rPr>
          <w:rFonts w:hint="eastAsia" w:ascii="宋体" w:hAnsi="宋体" w:cs="宋体"/>
          <w:color w:val="auto"/>
          <w:sz w:val="24"/>
          <w:szCs w:val="24"/>
          <w:highlight w:val="none"/>
        </w:rPr>
        <w:t>预留、</w:t>
      </w:r>
      <w:r>
        <w:rPr>
          <w:rFonts w:hint="eastAsia" w:ascii="宋体" w:hAnsi="宋体" w:cs="宋体"/>
          <w:color w:val="auto"/>
          <w:sz w:val="24"/>
          <w:szCs w:val="24"/>
          <w:highlight w:val="none"/>
          <w:lang w:eastAsia="zh-CN"/>
        </w:rPr>
        <w:t>设置</w:t>
      </w:r>
      <w:r>
        <w:rPr>
          <w:rFonts w:hint="eastAsia" w:ascii="宋体" w:hAnsi="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51DD948">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法律适用</w:t>
      </w:r>
    </w:p>
    <w:p w14:paraId="333C1436">
      <w:pPr>
        <w:pStyle w:val="100"/>
        <w:keepNext w:val="0"/>
        <w:keepLines w:val="0"/>
        <w:pageBreakBefore w:val="0"/>
        <w:kinsoku/>
        <w:wordWrap/>
        <w:overflowPunct/>
        <w:topLinePunct w:val="0"/>
        <w:bidi w:val="0"/>
        <w:spacing w:line="360" w:lineRule="auto"/>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本合同的订立、生效、解释、履行及与本合同有关的争议解决，均适用</w:t>
      </w:r>
      <w:r>
        <w:rPr>
          <w:rFonts w:hint="eastAsia" w:ascii="宋体" w:hAnsi="宋体" w:eastAsia="宋体" w:cs="宋体"/>
          <w:color w:val="auto"/>
          <w:sz w:val="24"/>
          <w:szCs w:val="24"/>
          <w:highlight w:val="none"/>
          <w:lang w:eastAsia="zh-CN"/>
        </w:rPr>
        <w:t>中华人民共和国</w:t>
      </w:r>
      <w:r>
        <w:rPr>
          <w:rFonts w:hint="eastAsia" w:ascii="宋体" w:hAnsi="宋体" w:eastAsia="宋体" w:cs="宋体"/>
          <w:color w:val="auto"/>
          <w:sz w:val="24"/>
          <w:szCs w:val="24"/>
          <w:highlight w:val="none"/>
        </w:rPr>
        <w:t>法律、行政法规。</w:t>
      </w:r>
    </w:p>
    <w:p w14:paraId="171E05A4">
      <w:pPr>
        <w:pStyle w:val="100"/>
        <w:keepNext w:val="0"/>
        <w:keepLines w:val="0"/>
        <w:pageBreakBefore w:val="0"/>
        <w:kinsoku/>
        <w:wordWrap/>
        <w:overflowPunct/>
        <w:topLinePunct w:val="0"/>
        <w:bidi w:val="0"/>
        <w:spacing w:line="360" w:lineRule="auto"/>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本合同条款与法律、行政法规的强制性规定不一致的，双方当事人应按照法律、行政法规的强制性规定修改本合同的相关条款。</w:t>
      </w:r>
    </w:p>
    <w:p w14:paraId="0F512228">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通知</w:t>
      </w:r>
    </w:p>
    <w:p w14:paraId="56383BD5">
      <w:pPr>
        <w:pStyle w:val="100"/>
        <w:keepNext w:val="0"/>
        <w:keepLines w:val="0"/>
        <w:pageBreakBefore w:val="0"/>
        <w:kinsoku/>
        <w:wordWrap/>
        <w:overflowPunct/>
        <w:topLinePunct w:val="0"/>
        <w:bidi w:val="0"/>
        <w:spacing w:line="360" w:lineRule="auto"/>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本合同任何一方向对方发出的通知、信件、数据电文等，应当发送至本合同所约定的通讯地址、联系人、联系电话或电子邮箱。</w:t>
      </w:r>
    </w:p>
    <w:p w14:paraId="3466FDED">
      <w:pPr>
        <w:pStyle w:val="100"/>
        <w:keepNext w:val="0"/>
        <w:keepLines w:val="0"/>
        <w:pageBreakBefore w:val="0"/>
        <w:kinsoku/>
        <w:wordWrap/>
        <w:overflowPunct/>
        <w:topLinePunct w:val="0"/>
        <w:bidi w:val="0"/>
        <w:spacing w:line="360" w:lineRule="auto"/>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一方当事人变更名称、</w:t>
      </w:r>
      <w:r>
        <w:rPr>
          <w:rFonts w:hint="eastAsia" w:ascii="宋体" w:hAnsi="宋体" w:eastAsia="宋体" w:cs="宋体"/>
          <w:color w:val="auto"/>
          <w:sz w:val="24"/>
          <w:szCs w:val="24"/>
          <w:highlight w:val="none"/>
          <w:lang w:eastAsia="zh-CN"/>
        </w:rPr>
        <w:t>住所</w:t>
      </w:r>
      <w:r>
        <w:rPr>
          <w:rFonts w:hint="eastAsia" w:ascii="宋体" w:hAnsi="宋体" w:eastAsia="宋体" w:cs="宋体"/>
          <w:color w:val="auto"/>
          <w:sz w:val="24"/>
          <w:szCs w:val="24"/>
          <w:highlight w:val="none"/>
        </w:rPr>
        <w:t>、联系人、联系电话或电子邮箱</w:t>
      </w:r>
      <w:r>
        <w:rPr>
          <w:rFonts w:hint="eastAsia" w:ascii="宋体" w:hAnsi="宋体" w:eastAsia="宋体" w:cs="宋体"/>
          <w:color w:val="auto"/>
          <w:sz w:val="24"/>
          <w:szCs w:val="24"/>
          <w:highlight w:val="none"/>
          <w:lang w:eastAsia="zh-CN"/>
        </w:rPr>
        <w:t>等信息</w:t>
      </w:r>
      <w:r>
        <w:rPr>
          <w:rFonts w:hint="eastAsia" w:ascii="宋体" w:hAnsi="宋体" w:eastAsia="宋体" w:cs="宋体"/>
          <w:color w:val="auto"/>
          <w:sz w:val="24"/>
          <w:szCs w:val="24"/>
          <w:highlight w:val="none"/>
        </w:rPr>
        <w:t>的，应当在变更后3日内及时书面通知对方，对方实际收到变更通知前的送达仍为有效送达。</w:t>
      </w:r>
    </w:p>
    <w:p w14:paraId="05D5E6BC">
      <w:pPr>
        <w:pStyle w:val="100"/>
        <w:keepNext w:val="0"/>
        <w:keepLines w:val="0"/>
        <w:pageBreakBefore w:val="0"/>
        <w:kinsoku/>
        <w:wordWrap/>
        <w:overflowPunct/>
        <w:topLinePunct w:val="0"/>
        <w:bidi w:val="0"/>
        <w:adjustRightInd w:val="0"/>
        <w:snapToGrid w:val="0"/>
        <w:spacing w:before="0" w:line="360" w:lineRule="auto"/>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00FC0D30">
      <w:pPr>
        <w:pStyle w:val="100"/>
        <w:keepNext w:val="0"/>
        <w:keepLines w:val="0"/>
        <w:pageBreakBefore w:val="0"/>
        <w:kinsoku/>
        <w:wordWrap/>
        <w:overflowPunct/>
        <w:topLinePunct w:val="0"/>
        <w:bidi w:val="0"/>
        <w:adjustRightInd w:val="0"/>
        <w:snapToGrid w:val="0"/>
        <w:spacing w:before="0" w:line="360" w:lineRule="auto"/>
        <w:ind w:left="0" w:leftChars="0" w:firstLine="480" w:firstLineChars="200"/>
        <w:jc w:val="both"/>
        <w:rPr>
          <w:rFonts w:hint="eastAsia"/>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389F0C31">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bCs/>
          <w:color w:val="auto"/>
          <w:sz w:val="24"/>
          <w:szCs w:val="24"/>
          <w:highlight w:val="none"/>
          <w:lang w:val="en-US" w:eastAsia="zh-CN" w:bidi="ar-SA"/>
        </w:rPr>
        <w:t xml:space="preserve">附则 </w:t>
      </w:r>
      <w:r>
        <w:rPr>
          <w:rFonts w:hint="eastAsia" w:ascii="宋体" w:hAnsi="宋体" w:eastAsia="宋体" w:cs="宋体"/>
          <w:b/>
          <w:color w:val="auto"/>
          <w:sz w:val="24"/>
          <w:szCs w:val="24"/>
          <w:highlight w:val="none"/>
          <w:lang w:eastAsia="zh-CN"/>
        </w:rPr>
        <w:t xml:space="preserve">  </w:t>
      </w:r>
    </w:p>
    <w:p w14:paraId="2A442BA5">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val="en-US" w:eastAsia="zh-CN"/>
        </w:rPr>
        <w:t>.</w:t>
      </w:r>
      <w:r>
        <w:rPr>
          <w:rFonts w:hint="eastAsia" w:ascii="宋体" w:hAnsi="宋体"/>
          <w:sz w:val="24"/>
          <w:szCs w:val="24"/>
          <w:highlight w:val="none"/>
        </w:rPr>
        <w:t>本合同附件属于本合同不可分割部分，具有同等效力。</w:t>
      </w:r>
    </w:p>
    <w:p w14:paraId="04F31733">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w:t>
      </w:r>
      <w:r>
        <w:rPr>
          <w:rFonts w:hint="eastAsia" w:ascii="宋体" w:hAnsi="宋体"/>
          <w:sz w:val="24"/>
          <w:szCs w:val="24"/>
          <w:highlight w:val="none"/>
        </w:rPr>
        <w:t>甲乙双方经协商后，可对本合同的条款进行修订、补充，并以书面形式签订补充协议，补充协议与本合同具有同等法律效力。</w:t>
      </w:r>
    </w:p>
    <w:p w14:paraId="6E29FA0C">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w:t>
      </w:r>
      <w:r>
        <w:rPr>
          <w:rFonts w:hint="eastAsia" w:ascii="宋体" w:hAnsi="宋体"/>
          <w:sz w:val="24"/>
          <w:szCs w:val="24"/>
          <w:highlight w:val="none"/>
        </w:rPr>
        <w:t>合同期满，本合同自然终止。</w:t>
      </w:r>
    </w:p>
    <w:p w14:paraId="1545EE72">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rPr>
        <w:t>4</w:t>
      </w:r>
      <w:r>
        <w:rPr>
          <w:rFonts w:hint="eastAsia" w:ascii="宋体" w:hAnsi="宋体"/>
          <w:sz w:val="24"/>
          <w:szCs w:val="24"/>
          <w:highlight w:val="none"/>
          <w:lang w:val="en-US" w:eastAsia="zh-CN"/>
        </w:rPr>
        <w:t>.</w:t>
      </w:r>
      <w:r>
        <w:rPr>
          <w:rFonts w:hint="eastAsia" w:ascii="宋体" w:hAnsi="宋体"/>
          <w:sz w:val="24"/>
          <w:szCs w:val="24"/>
          <w:highlight w:val="none"/>
        </w:rPr>
        <w:t>本项目招标文件具有同等的法律效力。</w:t>
      </w:r>
    </w:p>
    <w:p w14:paraId="07B25C0A">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rPr>
        <w:t>5</w:t>
      </w:r>
      <w:r>
        <w:rPr>
          <w:rFonts w:hint="eastAsia" w:ascii="宋体" w:hAnsi="宋体"/>
          <w:sz w:val="24"/>
          <w:szCs w:val="24"/>
          <w:highlight w:val="none"/>
          <w:lang w:val="en-US" w:eastAsia="zh-CN"/>
        </w:rPr>
        <w:t>.</w:t>
      </w:r>
      <w:r>
        <w:rPr>
          <w:rFonts w:hint="eastAsia" w:ascii="宋体" w:hAnsi="宋体"/>
          <w:sz w:val="24"/>
          <w:szCs w:val="24"/>
          <w:highlight w:val="none"/>
        </w:rPr>
        <w:t>本合同未尽事宜，甲乙双方友好协商解决，协商不成提交上虞区人民法院裁决。</w:t>
      </w:r>
    </w:p>
    <w:p w14:paraId="72778DE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color w:val="auto"/>
          <w:kern w:val="0"/>
          <w:sz w:val="24"/>
          <w:highlight w:val="none"/>
          <w:lang w:val="en-US" w:eastAsia="zh-CN"/>
        </w:rPr>
      </w:pPr>
      <w:r>
        <w:rPr>
          <w:rFonts w:hint="eastAsia" w:ascii="宋体" w:hAnsi="宋体" w:eastAsia="宋体" w:cs="宋体"/>
          <w:b w:val="0"/>
          <w:bCs/>
          <w:color w:val="auto"/>
          <w:kern w:val="0"/>
          <w:sz w:val="24"/>
          <w:highlight w:val="none"/>
          <w:lang w:val="en-US" w:eastAsia="zh-CN"/>
        </w:rPr>
        <w:t>6</w:t>
      </w:r>
      <w:r>
        <w:rPr>
          <w:rFonts w:hint="eastAsia" w:ascii="宋体" w:hAnsi="宋体" w:cs="宋体"/>
          <w:b w:val="0"/>
          <w:bCs/>
          <w:color w:val="auto"/>
          <w:kern w:val="0"/>
          <w:sz w:val="24"/>
          <w:highlight w:val="none"/>
          <w:lang w:val="en-US" w:eastAsia="zh-CN"/>
        </w:rPr>
        <w:t>.</w:t>
      </w:r>
      <w:r>
        <w:rPr>
          <w:rFonts w:hint="eastAsia" w:ascii="宋体" w:hAnsi="宋体" w:eastAsia="宋体" w:cs="宋体"/>
          <w:b w:val="0"/>
          <w:bCs/>
          <w:color w:val="auto"/>
          <w:kern w:val="0"/>
          <w:sz w:val="24"/>
          <w:highlight w:val="none"/>
          <w:lang w:val="en-US" w:eastAsia="zh-CN"/>
        </w:rPr>
        <w:t>本项目货物如涉及柴油动力移动源，柴油动力移动源应当符合低排放要求</w:t>
      </w:r>
      <w:r>
        <w:rPr>
          <w:rFonts w:hint="eastAsia" w:ascii="宋体" w:hAnsi="宋体" w:cs="宋体"/>
          <w:b w:val="0"/>
          <w:bCs/>
          <w:color w:val="auto"/>
          <w:kern w:val="0"/>
          <w:sz w:val="24"/>
          <w:highlight w:val="none"/>
          <w:lang w:val="en-US" w:eastAsia="zh-CN"/>
        </w:rPr>
        <w:t>。</w:t>
      </w:r>
    </w:p>
    <w:p w14:paraId="1A3CF991">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color w:val="auto"/>
          <w:kern w:val="0"/>
          <w:sz w:val="24"/>
          <w:highlight w:val="none"/>
          <w:lang w:val="en-US" w:eastAsia="zh-CN"/>
        </w:rPr>
      </w:pPr>
      <w:r>
        <w:rPr>
          <w:rFonts w:hint="eastAsia" w:ascii="宋体" w:hAnsi="宋体" w:cs="宋体"/>
          <w:b/>
          <w:color w:val="auto"/>
          <w:kern w:val="0"/>
          <w:sz w:val="24"/>
          <w:highlight w:val="none"/>
          <w:lang w:val="en-US" w:eastAsia="zh-CN"/>
        </w:rPr>
        <w:t>7.</w:t>
      </w:r>
      <w:r>
        <w:rPr>
          <w:rFonts w:hint="eastAsia" w:ascii="宋体" w:hAnsi="宋体" w:eastAsia="宋体" w:cs="宋体"/>
          <w:b/>
          <w:color w:val="auto"/>
          <w:kern w:val="0"/>
          <w:sz w:val="24"/>
          <w:highlight w:val="none"/>
        </w:rPr>
        <w:t>本合同一式</w:t>
      </w:r>
      <w:r>
        <w:rPr>
          <w:rFonts w:hint="eastAsia" w:ascii="宋体" w:hAnsi="宋体" w:eastAsia="宋体" w:cs="宋体"/>
          <w:b/>
          <w:color w:val="auto"/>
          <w:kern w:val="0"/>
          <w:sz w:val="24"/>
          <w:highlight w:val="none"/>
          <w:u w:val="single"/>
        </w:rPr>
        <w:t>　</w:t>
      </w:r>
      <w:r>
        <w:rPr>
          <w:rFonts w:hint="eastAsia" w:ascii="宋体" w:hAnsi="宋体" w:cs="宋体"/>
          <w:b/>
          <w:color w:val="auto"/>
          <w:kern w:val="0"/>
          <w:sz w:val="24"/>
          <w:highlight w:val="none"/>
          <w:u w:val="single"/>
          <w:lang w:eastAsia="zh-CN"/>
        </w:rPr>
        <w:t>肆</w:t>
      </w:r>
      <w:r>
        <w:rPr>
          <w:rFonts w:hint="eastAsia" w:ascii="宋体" w:hAnsi="宋体" w:eastAsia="宋体" w:cs="宋体"/>
          <w:b/>
          <w:color w:val="auto"/>
          <w:kern w:val="0"/>
          <w:sz w:val="24"/>
          <w:highlight w:val="none"/>
          <w:u w:val="single"/>
        </w:rPr>
        <w:t xml:space="preserve"> </w:t>
      </w:r>
      <w:r>
        <w:rPr>
          <w:rFonts w:hint="eastAsia" w:ascii="宋体" w:hAnsi="宋体" w:eastAsia="宋体" w:cs="宋体"/>
          <w:b/>
          <w:color w:val="auto"/>
          <w:kern w:val="0"/>
          <w:sz w:val="24"/>
          <w:highlight w:val="none"/>
        </w:rPr>
        <w:t>份，</w:t>
      </w:r>
      <w:r>
        <w:rPr>
          <w:rFonts w:hint="eastAsia" w:ascii="宋体" w:hAnsi="宋体" w:eastAsia="宋体" w:cs="宋体"/>
          <w:b/>
          <w:color w:val="auto"/>
          <w:kern w:val="0"/>
          <w:sz w:val="24"/>
          <w:highlight w:val="none"/>
          <w:lang w:eastAsia="zh-CN"/>
        </w:rPr>
        <w:t>甲方</w:t>
      </w:r>
      <w:r>
        <w:rPr>
          <w:rFonts w:hint="eastAsia" w:ascii="宋体" w:hAnsi="宋体" w:eastAsia="宋体" w:cs="宋体"/>
          <w:b/>
          <w:color w:val="auto"/>
          <w:kern w:val="0"/>
          <w:sz w:val="24"/>
          <w:highlight w:val="none"/>
        </w:rPr>
        <w:t>和</w:t>
      </w:r>
      <w:r>
        <w:rPr>
          <w:rFonts w:hint="eastAsia" w:ascii="宋体" w:hAnsi="宋体" w:eastAsia="宋体" w:cs="宋体"/>
          <w:b/>
          <w:color w:val="auto"/>
          <w:kern w:val="0"/>
          <w:sz w:val="24"/>
          <w:highlight w:val="none"/>
          <w:lang w:eastAsia="zh-CN"/>
        </w:rPr>
        <w:t>乙方</w:t>
      </w:r>
      <w:r>
        <w:rPr>
          <w:rFonts w:hint="eastAsia" w:ascii="宋体" w:hAnsi="宋体" w:eastAsia="宋体" w:cs="宋体"/>
          <w:b/>
          <w:color w:val="auto"/>
          <w:kern w:val="0"/>
          <w:sz w:val="24"/>
          <w:highlight w:val="none"/>
        </w:rPr>
        <w:t>各执</w:t>
      </w:r>
      <w:r>
        <w:rPr>
          <w:rFonts w:hint="eastAsia" w:ascii="宋体" w:hAnsi="宋体" w:cs="宋体"/>
          <w:b/>
          <w:color w:val="auto"/>
          <w:kern w:val="0"/>
          <w:sz w:val="24"/>
          <w:highlight w:val="none"/>
          <w:u w:val="single"/>
          <w:lang w:val="en-US" w:eastAsia="zh-CN"/>
        </w:rPr>
        <w:t xml:space="preserve"> 贰 </w:t>
      </w:r>
      <w:r>
        <w:rPr>
          <w:rFonts w:hint="eastAsia" w:ascii="宋体" w:hAnsi="宋体" w:eastAsia="宋体" w:cs="宋体"/>
          <w:b/>
          <w:color w:val="auto"/>
          <w:kern w:val="0"/>
          <w:sz w:val="24"/>
          <w:highlight w:val="none"/>
        </w:rPr>
        <w:t>份，</w:t>
      </w:r>
      <w:r>
        <w:rPr>
          <w:rFonts w:hint="eastAsia" w:ascii="宋体" w:hAnsi="宋体" w:eastAsia="宋体" w:cs="宋体"/>
          <w:b/>
          <w:color w:val="auto"/>
          <w:kern w:val="0"/>
          <w:sz w:val="24"/>
          <w:highlight w:val="none"/>
          <w:lang w:val="en-US" w:eastAsia="zh-CN"/>
        </w:rPr>
        <w:t>并由甲方在30日内做好政采云平台网上合同创建及备案。</w:t>
      </w:r>
    </w:p>
    <w:tbl>
      <w:tblPr>
        <w:tblStyle w:val="28"/>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2362"/>
        <w:gridCol w:w="1636"/>
        <w:gridCol w:w="2727"/>
      </w:tblGrid>
      <w:tr w14:paraId="739C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1453" w:type="dxa"/>
            <w:noWrap w:val="0"/>
            <w:vAlign w:val="center"/>
          </w:tcPr>
          <w:p w14:paraId="324795F9">
            <w:pPr>
              <w:keepNext w:val="0"/>
              <w:keepLines w:val="0"/>
              <w:pageBreakBefore w:val="0"/>
              <w:widowControl w:val="0"/>
              <w:kinsoku/>
              <w:wordWrap/>
              <w:overflowPunct/>
              <w:topLinePunct w:val="0"/>
              <w:bidi w:val="0"/>
              <w:snapToGrid w:val="0"/>
              <w:spacing w:line="440" w:lineRule="exact"/>
              <w:jc w:val="center"/>
              <w:textAlignment w:val="auto"/>
              <w:rPr>
                <w:rFonts w:hint="eastAsia" w:ascii="宋体" w:hAnsi="宋体" w:cs="宋体"/>
                <w:snapToGrid w:val="0"/>
                <w:kern w:val="0"/>
                <w:sz w:val="24"/>
                <w:highlight w:val="none"/>
              </w:rPr>
            </w:pPr>
            <w:r>
              <w:rPr>
                <w:rFonts w:hint="eastAsia" w:ascii="宋体" w:hAnsi="宋体" w:cs="宋体"/>
                <w:snapToGrid w:val="0"/>
                <w:kern w:val="0"/>
                <w:sz w:val="24"/>
                <w:highlight w:val="none"/>
              </w:rPr>
              <w:t>甲方单位</w:t>
            </w:r>
          </w:p>
        </w:tc>
        <w:tc>
          <w:tcPr>
            <w:tcW w:w="2362" w:type="dxa"/>
            <w:noWrap w:val="0"/>
            <w:vAlign w:val="center"/>
          </w:tcPr>
          <w:p w14:paraId="521EE99A">
            <w:pPr>
              <w:keepNext w:val="0"/>
              <w:keepLines w:val="0"/>
              <w:pageBreakBefore w:val="0"/>
              <w:widowControl w:val="0"/>
              <w:kinsoku/>
              <w:wordWrap/>
              <w:overflowPunct/>
              <w:topLinePunct w:val="0"/>
              <w:bidi w:val="0"/>
              <w:snapToGrid w:val="0"/>
              <w:spacing w:line="440" w:lineRule="exact"/>
              <w:jc w:val="center"/>
              <w:textAlignment w:val="auto"/>
              <w:rPr>
                <w:rFonts w:hint="eastAsia" w:ascii="宋体" w:hAnsi="宋体" w:cs="宋体"/>
                <w:snapToGrid w:val="0"/>
                <w:kern w:val="0"/>
                <w:sz w:val="24"/>
                <w:highlight w:val="none"/>
              </w:rPr>
            </w:pPr>
            <w:r>
              <w:rPr>
                <w:rFonts w:hint="eastAsia" w:ascii="宋体" w:hAnsi="宋体" w:cs="宋体"/>
                <w:snapToGrid w:val="0"/>
                <w:kern w:val="0"/>
                <w:sz w:val="24"/>
                <w:highlight w:val="none"/>
              </w:rPr>
              <w:t>（盖章）</w:t>
            </w:r>
          </w:p>
        </w:tc>
        <w:tc>
          <w:tcPr>
            <w:tcW w:w="1636" w:type="dxa"/>
            <w:noWrap w:val="0"/>
            <w:vAlign w:val="center"/>
          </w:tcPr>
          <w:p w14:paraId="69DF1993">
            <w:pPr>
              <w:keepNext w:val="0"/>
              <w:keepLines w:val="0"/>
              <w:pageBreakBefore w:val="0"/>
              <w:widowControl w:val="0"/>
              <w:kinsoku/>
              <w:wordWrap/>
              <w:overflowPunct/>
              <w:topLinePunct w:val="0"/>
              <w:bidi w:val="0"/>
              <w:snapToGrid w:val="0"/>
              <w:spacing w:line="440" w:lineRule="exact"/>
              <w:jc w:val="center"/>
              <w:textAlignment w:val="auto"/>
              <w:rPr>
                <w:rFonts w:hint="eastAsia" w:ascii="宋体" w:hAnsi="宋体" w:cs="宋体"/>
                <w:snapToGrid w:val="0"/>
                <w:kern w:val="0"/>
                <w:sz w:val="24"/>
                <w:highlight w:val="none"/>
              </w:rPr>
            </w:pPr>
            <w:r>
              <w:rPr>
                <w:rFonts w:hint="eastAsia" w:ascii="宋体" w:hAnsi="宋体" w:cs="宋体"/>
                <w:snapToGrid w:val="0"/>
                <w:kern w:val="0"/>
                <w:sz w:val="24"/>
                <w:highlight w:val="none"/>
              </w:rPr>
              <w:t>乙方单位</w:t>
            </w:r>
          </w:p>
        </w:tc>
        <w:tc>
          <w:tcPr>
            <w:tcW w:w="2727" w:type="dxa"/>
            <w:noWrap w:val="0"/>
            <w:vAlign w:val="center"/>
          </w:tcPr>
          <w:p w14:paraId="3B36DEB0">
            <w:pPr>
              <w:keepNext w:val="0"/>
              <w:keepLines w:val="0"/>
              <w:pageBreakBefore w:val="0"/>
              <w:widowControl w:val="0"/>
              <w:kinsoku/>
              <w:wordWrap/>
              <w:overflowPunct/>
              <w:topLinePunct w:val="0"/>
              <w:bidi w:val="0"/>
              <w:snapToGrid w:val="0"/>
              <w:spacing w:line="440" w:lineRule="exact"/>
              <w:jc w:val="center"/>
              <w:textAlignment w:val="auto"/>
              <w:rPr>
                <w:rFonts w:hint="eastAsia" w:ascii="宋体" w:hAnsi="宋体" w:cs="宋体"/>
                <w:snapToGrid w:val="0"/>
                <w:kern w:val="0"/>
                <w:sz w:val="24"/>
                <w:highlight w:val="none"/>
              </w:rPr>
            </w:pPr>
            <w:r>
              <w:rPr>
                <w:rFonts w:hint="eastAsia" w:ascii="宋体" w:hAnsi="宋体" w:cs="宋体"/>
                <w:snapToGrid w:val="0"/>
                <w:kern w:val="0"/>
                <w:sz w:val="24"/>
                <w:highlight w:val="none"/>
              </w:rPr>
              <w:t>（盖章）</w:t>
            </w:r>
          </w:p>
        </w:tc>
      </w:tr>
      <w:tr w14:paraId="64DA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1453" w:type="dxa"/>
            <w:noWrap w:val="0"/>
            <w:vAlign w:val="center"/>
          </w:tcPr>
          <w:p w14:paraId="47A91F58">
            <w:pPr>
              <w:tabs>
                <w:tab w:val="left" w:pos="525"/>
                <w:tab w:val="left" w:pos="1155"/>
                <w:tab w:val="left" w:pos="1365"/>
              </w:tabs>
              <w:adjustRightInd/>
              <w:snapToGrid/>
              <w:spacing w:line="420" w:lineRule="exact"/>
              <w:ind w:firstLine="0"/>
              <w:jc w:val="center"/>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法定代表人</w:t>
            </w:r>
          </w:p>
          <w:p w14:paraId="5A56111E">
            <w:pPr>
              <w:keepNext w:val="0"/>
              <w:keepLines w:val="0"/>
              <w:pageBreakBefore w:val="0"/>
              <w:widowControl w:val="0"/>
              <w:kinsoku/>
              <w:wordWrap/>
              <w:overflowPunct/>
              <w:topLinePunct w:val="0"/>
              <w:bidi w:val="0"/>
              <w:snapToGrid w:val="0"/>
              <w:spacing w:line="440" w:lineRule="exact"/>
              <w:jc w:val="center"/>
              <w:textAlignment w:val="auto"/>
              <w:rPr>
                <w:rFonts w:hint="eastAsia" w:ascii="宋体" w:hAnsi="宋体" w:cs="宋体"/>
                <w:snapToGrid w:val="0"/>
                <w:kern w:val="0"/>
                <w:sz w:val="24"/>
                <w:highlight w:val="none"/>
              </w:rPr>
            </w:pPr>
            <w:r>
              <w:rPr>
                <w:rFonts w:hint="eastAsia" w:ascii="宋体" w:hAnsi="宋体" w:cs="宋体"/>
                <w:color w:val="auto"/>
                <w:sz w:val="24"/>
                <w:szCs w:val="24"/>
                <w:highlight w:val="none"/>
                <w:lang w:val="en-GB"/>
              </w:rPr>
              <w:t>或</w:t>
            </w:r>
            <w:r>
              <w:rPr>
                <w:rFonts w:hint="eastAsia" w:ascii="宋体" w:hAnsi="宋体" w:cs="宋体"/>
                <w:color w:val="auto"/>
                <w:sz w:val="24"/>
                <w:szCs w:val="24"/>
                <w:highlight w:val="none"/>
                <w:lang w:val="en-GB" w:eastAsia="zh-CN"/>
              </w:rPr>
              <w:t>授权代表</w:t>
            </w:r>
            <w:r>
              <w:rPr>
                <w:rFonts w:hint="eastAsia" w:ascii="宋体" w:hAnsi="宋体" w:cs="宋体"/>
                <w:snapToGrid w:val="0"/>
                <w:kern w:val="0"/>
                <w:sz w:val="24"/>
                <w:highlight w:val="none"/>
              </w:rPr>
              <w:t>签名</w:t>
            </w:r>
          </w:p>
        </w:tc>
        <w:tc>
          <w:tcPr>
            <w:tcW w:w="2362" w:type="dxa"/>
            <w:noWrap w:val="0"/>
            <w:vAlign w:val="center"/>
          </w:tcPr>
          <w:p w14:paraId="68BF8944">
            <w:pPr>
              <w:keepNext w:val="0"/>
              <w:keepLines w:val="0"/>
              <w:pageBreakBefore w:val="0"/>
              <w:widowControl w:val="0"/>
              <w:kinsoku/>
              <w:wordWrap/>
              <w:overflowPunct/>
              <w:topLinePunct w:val="0"/>
              <w:bidi w:val="0"/>
              <w:snapToGrid w:val="0"/>
              <w:spacing w:line="440" w:lineRule="exact"/>
              <w:jc w:val="center"/>
              <w:textAlignment w:val="auto"/>
              <w:rPr>
                <w:rFonts w:hint="eastAsia" w:ascii="宋体" w:hAnsi="宋体" w:cs="宋体"/>
                <w:snapToGrid w:val="0"/>
                <w:kern w:val="0"/>
                <w:sz w:val="24"/>
                <w:highlight w:val="none"/>
              </w:rPr>
            </w:pPr>
          </w:p>
        </w:tc>
        <w:tc>
          <w:tcPr>
            <w:tcW w:w="1636" w:type="dxa"/>
            <w:noWrap w:val="0"/>
            <w:vAlign w:val="center"/>
          </w:tcPr>
          <w:p w14:paraId="33B76ACF">
            <w:pPr>
              <w:keepNext w:val="0"/>
              <w:keepLines w:val="0"/>
              <w:pageBreakBefore w:val="0"/>
              <w:widowControl/>
              <w:tabs>
                <w:tab w:val="left" w:pos="525"/>
                <w:tab w:val="left" w:pos="1155"/>
                <w:tab w:val="left" w:pos="1365"/>
              </w:tabs>
              <w:kinsoku/>
              <w:wordWrap/>
              <w:overflowPunct/>
              <w:topLinePunct w:val="0"/>
              <w:bidi w:val="0"/>
              <w:snapToGrid/>
              <w:spacing w:line="420" w:lineRule="exact"/>
              <w:jc w:val="center"/>
              <w:textAlignment w:val="auto"/>
              <w:rPr>
                <w:rFonts w:hint="eastAsia" w:ascii="宋体" w:hAnsi="宋体" w:eastAsia="宋体" w:cs="宋体"/>
                <w:snapToGrid w:val="0"/>
                <w:kern w:val="0"/>
                <w:sz w:val="24"/>
                <w:highlight w:val="none"/>
                <w:lang w:eastAsia="zh-CN"/>
              </w:rPr>
            </w:pPr>
            <w:r>
              <w:rPr>
                <w:rFonts w:hint="eastAsia" w:ascii="宋体" w:hAnsi="宋体" w:cs="宋体"/>
                <w:color w:val="auto"/>
                <w:sz w:val="24"/>
                <w:szCs w:val="24"/>
                <w:highlight w:val="none"/>
                <w:lang w:val="en-GB"/>
              </w:rPr>
              <w:t>法定代表人或</w:t>
            </w:r>
            <w:r>
              <w:rPr>
                <w:rFonts w:hint="eastAsia" w:ascii="宋体" w:hAnsi="宋体" w:cs="宋体"/>
                <w:color w:val="auto"/>
                <w:sz w:val="24"/>
                <w:szCs w:val="24"/>
                <w:highlight w:val="none"/>
                <w:lang w:val="en-GB" w:eastAsia="zh-CN"/>
              </w:rPr>
              <w:t>授权代表签名</w:t>
            </w:r>
          </w:p>
        </w:tc>
        <w:tc>
          <w:tcPr>
            <w:tcW w:w="2727" w:type="dxa"/>
            <w:noWrap w:val="0"/>
            <w:vAlign w:val="center"/>
          </w:tcPr>
          <w:p w14:paraId="1578474A">
            <w:pPr>
              <w:keepNext w:val="0"/>
              <w:keepLines w:val="0"/>
              <w:pageBreakBefore w:val="0"/>
              <w:widowControl w:val="0"/>
              <w:kinsoku/>
              <w:wordWrap/>
              <w:overflowPunct/>
              <w:topLinePunct w:val="0"/>
              <w:bidi w:val="0"/>
              <w:snapToGrid w:val="0"/>
              <w:spacing w:line="440" w:lineRule="exact"/>
              <w:jc w:val="center"/>
              <w:textAlignment w:val="auto"/>
              <w:rPr>
                <w:rFonts w:hint="eastAsia" w:ascii="宋体" w:hAnsi="宋体" w:cs="宋体"/>
                <w:snapToGrid w:val="0"/>
                <w:kern w:val="0"/>
                <w:sz w:val="24"/>
                <w:highlight w:val="none"/>
              </w:rPr>
            </w:pPr>
          </w:p>
        </w:tc>
      </w:tr>
      <w:tr w14:paraId="6412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1453" w:type="dxa"/>
            <w:noWrap w:val="0"/>
            <w:vAlign w:val="center"/>
          </w:tcPr>
          <w:p w14:paraId="4B35D594">
            <w:pPr>
              <w:keepNext w:val="0"/>
              <w:keepLines w:val="0"/>
              <w:pageBreakBefore w:val="0"/>
              <w:widowControl w:val="0"/>
              <w:kinsoku/>
              <w:wordWrap/>
              <w:overflowPunct/>
              <w:topLinePunct w:val="0"/>
              <w:bidi w:val="0"/>
              <w:snapToGrid w:val="0"/>
              <w:spacing w:line="440" w:lineRule="exact"/>
              <w:jc w:val="center"/>
              <w:textAlignment w:val="auto"/>
              <w:rPr>
                <w:rFonts w:hint="eastAsia" w:ascii="宋体" w:hAnsi="宋体" w:cs="宋体"/>
                <w:snapToGrid w:val="0"/>
                <w:kern w:val="0"/>
                <w:sz w:val="24"/>
                <w:highlight w:val="none"/>
              </w:rPr>
            </w:pPr>
            <w:r>
              <w:rPr>
                <w:rFonts w:hint="eastAsia" w:ascii="宋体" w:hAnsi="宋体" w:cs="宋体"/>
                <w:snapToGrid w:val="0"/>
                <w:kern w:val="0"/>
                <w:sz w:val="24"/>
                <w:highlight w:val="none"/>
              </w:rPr>
              <w:t>地址</w:t>
            </w:r>
          </w:p>
        </w:tc>
        <w:tc>
          <w:tcPr>
            <w:tcW w:w="2362" w:type="dxa"/>
            <w:noWrap w:val="0"/>
            <w:vAlign w:val="center"/>
          </w:tcPr>
          <w:p w14:paraId="27CA47F2">
            <w:pPr>
              <w:keepNext w:val="0"/>
              <w:keepLines w:val="0"/>
              <w:pageBreakBefore w:val="0"/>
              <w:widowControl w:val="0"/>
              <w:kinsoku/>
              <w:wordWrap/>
              <w:overflowPunct/>
              <w:topLinePunct w:val="0"/>
              <w:bidi w:val="0"/>
              <w:snapToGrid w:val="0"/>
              <w:spacing w:line="440" w:lineRule="exact"/>
              <w:jc w:val="center"/>
              <w:textAlignment w:val="auto"/>
              <w:rPr>
                <w:rFonts w:hint="eastAsia" w:ascii="宋体" w:hAnsi="宋体" w:cs="宋体"/>
                <w:snapToGrid w:val="0"/>
                <w:kern w:val="0"/>
                <w:sz w:val="24"/>
                <w:highlight w:val="none"/>
              </w:rPr>
            </w:pPr>
          </w:p>
        </w:tc>
        <w:tc>
          <w:tcPr>
            <w:tcW w:w="1636" w:type="dxa"/>
            <w:noWrap w:val="0"/>
            <w:vAlign w:val="center"/>
          </w:tcPr>
          <w:p w14:paraId="61341B04">
            <w:pPr>
              <w:keepNext w:val="0"/>
              <w:keepLines w:val="0"/>
              <w:pageBreakBefore w:val="0"/>
              <w:widowControl w:val="0"/>
              <w:kinsoku/>
              <w:wordWrap/>
              <w:overflowPunct/>
              <w:topLinePunct w:val="0"/>
              <w:bidi w:val="0"/>
              <w:snapToGrid w:val="0"/>
              <w:spacing w:line="440" w:lineRule="exact"/>
              <w:jc w:val="center"/>
              <w:textAlignment w:val="auto"/>
              <w:rPr>
                <w:rFonts w:hint="eastAsia" w:ascii="宋体" w:hAnsi="宋体" w:cs="宋体"/>
                <w:snapToGrid w:val="0"/>
                <w:kern w:val="0"/>
                <w:sz w:val="24"/>
                <w:highlight w:val="none"/>
              </w:rPr>
            </w:pPr>
            <w:r>
              <w:rPr>
                <w:rFonts w:hint="eastAsia" w:ascii="宋体" w:hAnsi="宋体" w:cs="宋体"/>
                <w:snapToGrid w:val="0"/>
                <w:kern w:val="0"/>
                <w:sz w:val="24"/>
                <w:highlight w:val="none"/>
              </w:rPr>
              <w:t>地址</w:t>
            </w:r>
          </w:p>
        </w:tc>
        <w:tc>
          <w:tcPr>
            <w:tcW w:w="2727" w:type="dxa"/>
            <w:noWrap w:val="0"/>
            <w:vAlign w:val="center"/>
          </w:tcPr>
          <w:p w14:paraId="407CA6EC">
            <w:pPr>
              <w:keepNext w:val="0"/>
              <w:keepLines w:val="0"/>
              <w:pageBreakBefore w:val="0"/>
              <w:widowControl w:val="0"/>
              <w:kinsoku/>
              <w:wordWrap/>
              <w:overflowPunct/>
              <w:topLinePunct w:val="0"/>
              <w:bidi w:val="0"/>
              <w:snapToGrid w:val="0"/>
              <w:spacing w:line="440" w:lineRule="exact"/>
              <w:jc w:val="center"/>
              <w:textAlignment w:val="auto"/>
              <w:rPr>
                <w:rFonts w:hint="eastAsia" w:ascii="宋体" w:hAnsi="宋体" w:cs="宋体"/>
                <w:snapToGrid w:val="0"/>
                <w:kern w:val="0"/>
                <w:sz w:val="24"/>
                <w:highlight w:val="none"/>
              </w:rPr>
            </w:pPr>
          </w:p>
        </w:tc>
      </w:tr>
      <w:tr w14:paraId="1EFA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1453" w:type="dxa"/>
            <w:noWrap w:val="0"/>
            <w:vAlign w:val="center"/>
          </w:tcPr>
          <w:p w14:paraId="553B39FF">
            <w:pPr>
              <w:keepNext w:val="0"/>
              <w:keepLines w:val="0"/>
              <w:pageBreakBefore w:val="0"/>
              <w:widowControl w:val="0"/>
              <w:kinsoku/>
              <w:wordWrap/>
              <w:overflowPunct/>
              <w:topLinePunct w:val="0"/>
              <w:bidi w:val="0"/>
              <w:snapToGrid w:val="0"/>
              <w:spacing w:line="440" w:lineRule="exact"/>
              <w:jc w:val="center"/>
              <w:textAlignment w:val="auto"/>
              <w:rPr>
                <w:rFonts w:hint="eastAsia" w:ascii="宋体" w:hAnsi="宋体" w:cs="宋体"/>
                <w:snapToGrid w:val="0"/>
                <w:kern w:val="0"/>
                <w:sz w:val="24"/>
                <w:highlight w:val="none"/>
              </w:rPr>
            </w:pPr>
            <w:r>
              <w:rPr>
                <w:rFonts w:hint="eastAsia" w:ascii="宋体" w:hAnsi="宋体" w:cs="宋体"/>
                <w:snapToGrid w:val="0"/>
                <w:kern w:val="0"/>
                <w:sz w:val="24"/>
                <w:highlight w:val="none"/>
              </w:rPr>
              <w:t>电话</w:t>
            </w:r>
          </w:p>
        </w:tc>
        <w:tc>
          <w:tcPr>
            <w:tcW w:w="2362" w:type="dxa"/>
            <w:noWrap w:val="0"/>
            <w:vAlign w:val="center"/>
          </w:tcPr>
          <w:p w14:paraId="5DD8199D">
            <w:pPr>
              <w:keepNext w:val="0"/>
              <w:keepLines w:val="0"/>
              <w:pageBreakBefore w:val="0"/>
              <w:widowControl w:val="0"/>
              <w:kinsoku/>
              <w:wordWrap/>
              <w:overflowPunct/>
              <w:topLinePunct w:val="0"/>
              <w:bidi w:val="0"/>
              <w:snapToGrid w:val="0"/>
              <w:spacing w:line="440" w:lineRule="exact"/>
              <w:jc w:val="center"/>
              <w:textAlignment w:val="auto"/>
              <w:rPr>
                <w:rFonts w:hint="eastAsia" w:ascii="宋体" w:hAnsi="宋体" w:cs="宋体"/>
                <w:snapToGrid w:val="0"/>
                <w:kern w:val="0"/>
                <w:sz w:val="24"/>
                <w:highlight w:val="none"/>
              </w:rPr>
            </w:pPr>
          </w:p>
        </w:tc>
        <w:tc>
          <w:tcPr>
            <w:tcW w:w="1636" w:type="dxa"/>
            <w:noWrap w:val="0"/>
            <w:vAlign w:val="center"/>
          </w:tcPr>
          <w:p w14:paraId="07F1E9DE">
            <w:pPr>
              <w:keepNext w:val="0"/>
              <w:keepLines w:val="0"/>
              <w:pageBreakBefore w:val="0"/>
              <w:widowControl w:val="0"/>
              <w:kinsoku/>
              <w:wordWrap/>
              <w:overflowPunct/>
              <w:topLinePunct w:val="0"/>
              <w:bidi w:val="0"/>
              <w:snapToGrid w:val="0"/>
              <w:spacing w:line="440" w:lineRule="exact"/>
              <w:jc w:val="center"/>
              <w:textAlignment w:val="auto"/>
              <w:rPr>
                <w:rFonts w:hint="eastAsia" w:ascii="宋体" w:hAnsi="宋体" w:cs="宋体"/>
                <w:snapToGrid w:val="0"/>
                <w:kern w:val="0"/>
                <w:sz w:val="24"/>
                <w:highlight w:val="none"/>
              </w:rPr>
            </w:pPr>
            <w:r>
              <w:rPr>
                <w:rFonts w:hint="eastAsia" w:ascii="宋体" w:hAnsi="宋体" w:cs="宋体"/>
                <w:snapToGrid w:val="0"/>
                <w:kern w:val="0"/>
                <w:sz w:val="24"/>
                <w:highlight w:val="none"/>
              </w:rPr>
              <w:t>电话</w:t>
            </w:r>
          </w:p>
        </w:tc>
        <w:tc>
          <w:tcPr>
            <w:tcW w:w="2727" w:type="dxa"/>
            <w:noWrap w:val="0"/>
            <w:vAlign w:val="center"/>
          </w:tcPr>
          <w:p w14:paraId="3EACFE08">
            <w:pPr>
              <w:keepNext w:val="0"/>
              <w:keepLines w:val="0"/>
              <w:pageBreakBefore w:val="0"/>
              <w:widowControl w:val="0"/>
              <w:kinsoku/>
              <w:wordWrap/>
              <w:overflowPunct/>
              <w:topLinePunct w:val="0"/>
              <w:bidi w:val="0"/>
              <w:snapToGrid w:val="0"/>
              <w:spacing w:line="440" w:lineRule="exact"/>
              <w:jc w:val="center"/>
              <w:textAlignment w:val="auto"/>
              <w:rPr>
                <w:rFonts w:hint="eastAsia" w:ascii="宋体" w:hAnsi="宋体" w:cs="宋体"/>
                <w:snapToGrid w:val="0"/>
                <w:kern w:val="0"/>
                <w:sz w:val="24"/>
                <w:highlight w:val="none"/>
              </w:rPr>
            </w:pPr>
          </w:p>
        </w:tc>
      </w:tr>
      <w:tr w14:paraId="1C6E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1453" w:type="dxa"/>
            <w:noWrap w:val="0"/>
            <w:vAlign w:val="center"/>
          </w:tcPr>
          <w:p w14:paraId="03E5A109">
            <w:pPr>
              <w:keepNext w:val="0"/>
              <w:keepLines w:val="0"/>
              <w:pageBreakBefore w:val="0"/>
              <w:widowControl w:val="0"/>
              <w:kinsoku/>
              <w:wordWrap/>
              <w:overflowPunct/>
              <w:topLinePunct w:val="0"/>
              <w:bidi w:val="0"/>
              <w:snapToGrid w:val="0"/>
              <w:spacing w:line="440" w:lineRule="exact"/>
              <w:jc w:val="center"/>
              <w:textAlignment w:val="auto"/>
              <w:rPr>
                <w:rFonts w:hint="eastAsia" w:ascii="宋体" w:hAnsi="宋体" w:cs="宋体"/>
                <w:snapToGrid w:val="0"/>
                <w:kern w:val="0"/>
                <w:sz w:val="24"/>
                <w:highlight w:val="none"/>
              </w:rPr>
            </w:pPr>
            <w:r>
              <w:rPr>
                <w:rFonts w:hint="eastAsia" w:ascii="宋体" w:hAnsi="宋体" w:cs="宋体"/>
                <w:snapToGrid w:val="0"/>
                <w:kern w:val="0"/>
                <w:sz w:val="24"/>
                <w:highlight w:val="none"/>
              </w:rPr>
              <w:t>开户银行</w:t>
            </w:r>
          </w:p>
        </w:tc>
        <w:tc>
          <w:tcPr>
            <w:tcW w:w="2362" w:type="dxa"/>
            <w:noWrap w:val="0"/>
            <w:vAlign w:val="center"/>
          </w:tcPr>
          <w:p w14:paraId="69090AAD">
            <w:pPr>
              <w:keepNext w:val="0"/>
              <w:keepLines w:val="0"/>
              <w:pageBreakBefore w:val="0"/>
              <w:widowControl w:val="0"/>
              <w:kinsoku/>
              <w:wordWrap/>
              <w:overflowPunct/>
              <w:topLinePunct w:val="0"/>
              <w:bidi w:val="0"/>
              <w:snapToGrid w:val="0"/>
              <w:spacing w:line="440" w:lineRule="exact"/>
              <w:jc w:val="center"/>
              <w:textAlignment w:val="auto"/>
              <w:rPr>
                <w:rFonts w:hint="eastAsia" w:ascii="宋体" w:hAnsi="宋体" w:cs="宋体"/>
                <w:snapToGrid w:val="0"/>
                <w:kern w:val="0"/>
                <w:sz w:val="24"/>
                <w:highlight w:val="none"/>
              </w:rPr>
            </w:pPr>
          </w:p>
        </w:tc>
        <w:tc>
          <w:tcPr>
            <w:tcW w:w="1636" w:type="dxa"/>
            <w:noWrap w:val="0"/>
            <w:vAlign w:val="center"/>
          </w:tcPr>
          <w:p w14:paraId="230C9597">
            <w:pPr>
              <w:keepNext w:val="0"/>
              <w:keepLines w:val="0"/>
              <w:pageBreakBefore w:val="0"/>
              <w:widowControl w:val="0"/>
              <w:kinsoku/>
              <w:wordWrap/>
              <w:overflowPunct/>
              <w:topLinePunct w:val="0"/>
              <w:bidi w:val="0"/>
              <w:snapToGrid w:val="0"/>
              <w:spacing w:line="440" w:lineRule="exact"/>
              <w:jc w:val="center"/>
              <w:textAlignment w:val="auto"/>
              <w:rPr>
                <w:rFonts w:hint="eastAsia" w:ascii="宋体" w:hAnsi="宋体" w:cs="宋体"/>
                <w:snapToGrid w:val="0"/>
                <w:kern w:val="0"/>
                <w:sz w:val="24"/>
                <w:highlight w:val="none"/>
              </w:rPr>
            </w:pPr>
            <w:r>
              <w:rPr>
                <w:rFonts w:hint="eastAsia" w:ascii="宋体" w:hAnsi="宋体" w:cs="宋体"/>
                <w:snapToGrid w:val="0"/>
                <w:kern w:val="0"/>
                <w:sz w:val="24"/>
                <w:highlight w:val="none"/>
              </w:rPr>
              <w:t>开户银行</w:t>
            </w:r>
          </w:p>
        </w:tc>
        <w:tc>
          <w:tcPr>
            <w:tcW w:w="2727" w:type="dxa"/>
            <w:noWrap w:val="0"/>
            <w:vAlign w:val="center"/>
          </w:tcPr>
          <w:p w14:paraId="32DD32A2">
            <w:pPr>
              <w:keepNext w:val="0"/>
              <w:keepLines w:val="0"/>
              <w:pageBreakBefore w:val="0"/>
              <w:widowControl w:val="0"/>
              <w:kinsoku/>
              <w:wordWrap/>
              <w:overflowPunct/>
              <w:topLinePunct w:val="0"/>
              <w:bidi w:val="0"/>
              <w:snapToGrid w:val="0"/>
              <w:spacing w:line="440" w:lineRule="exact"/>
              <w:jc w:val="center"/>
              <w:textAlignment w:val="auto"/>
              <w:rPr>
                <w:rFonts w:hint="eastAsia" w:ascii="宋体" w:hAnsi="宋体" w:cs="宋体"/>
                <w:snapToGrid w:val="0"/>
                <w:kern w:val="0"/>
                <w:sz w:val="24"/>
                <w:highlight w:val="none"/>
              </w:rPr>
            </w:pPr>
          </w:p>
        </w:tc>
      </w:tr>
      <w:tr w14:paraId="4233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1453" w:type="dxa"/>
            <w:noWrap w:val="0"/>
            <w:vAlign w:val="center"/>
          </w:tcPr>
          <w:p w14:paraId="7C5FB0F9">
            <w:pPr>
              <w:keepNext w:val="0"/>
              <w:keepLines w:val="0"/>
              <w:pageBreakBefore w:val="0"/>
              <w:widowControl w:val="0"/>
              <w:kinsoku/>
              <w:wordWrap/>
              <w:overflowPunct/>
              <w:topLinePunct w:val="0"/>
              <w:bidi w:val="0"/>
              <w:snapToGrid w:val="0"/>
              <w:spacing w:line="440" w:lineRule="exact"/>
              <w:jc w:val="center"/>
              <w:textAlignment w:val="auto"/>
              <w:rPr>
                <w:rFonts w:hint="eastAsia" w:ascii="宋体" w:hAnsi="宋体" w:eastAsia="宋体" w:cs="宋体"/>
                <w:snapToGrid w:val="0"/>
                <w:kern w:val="0"/>
                <w:sz w:val="24"/>
                <w:highlight w:val="none"/>
                <w:lang w:eastAsia="zh-CN"/>
              </w:rPr>
            </w:pPr>
            <w:r>
              <w:rPr>
                <w:rFonts w:hint="eastAsia" w:ascii="宋体" w:hAnsi="宋体" w:cs="宋体"/>
                <w:snapToGrid w:val="0"/>
                <w:kern w:val="0"/>
                <w:sz w:val="24"/>
                <w:highlight w:val="none"/>
                <w:lang w:val="en-US" w:eastAsia="zh-CN"/>
              </w:rPr>
              <w:t>账号</w:t>
            </w:r>
          </w:p>
        </w:tc>
        <w:tc>
          <w:tcPr>
            <w:tcW w:w="2362" w:type="dxa"/>
            <w:noWrap w:val="0"/>
            <w:vAlign w:val="center"/>
          </w:tcPr>
          <w:p w14:paraId="1F9ADB2F">
            <w:pPr>
              <w:keepNext w:val="0"/>
              <w:keepLines w:val="0"/>
              <w:pageBreakBefore w:val="0"/>
              <w:widowControl w:val="0"/>
              <w:kinsoku/>
              <w:wordWrap/>
              <w:overflowPunct/>
              <w:topLinePunct w:val="0"/>
              <w:bidi w:val="0"/>
              <w:snapToGrid w:val="0"/>
              <w:spacing w:line="440" w:lineRule="exact"/>
              <w:jc w:val="center"/>
              <w:textAlignment w:val="auto"/>
              <w:rPr>
                <w:rFonts w:hint="eastAsia" w:ascii="宋体" w:hAnsi="宋体" w:cs="宋体"/>
                <w:snapToGrid w:val="0"/>
                <w:kern w:val="0"/>
                <w:sz w:val="24"/>
                <w:highlight w:val="none"/>
              </w:rPr>
            </w:pPr>
          </w:p>
        </w:tc>
        <w:tc>
          <w:tcPr>
            <w:tcW w:w="1636" w:type="dxa"/>
            <w:noWrap w:val="0"/>
            <w:vAlign w:val="center"/>
          </w:tcPr>
          <w:p w14:paraId="09338D85">
            <w:pPr>
              <w:keepNext w:val="0"/>
              <w:keepLines w:val="0"/>
              <w:pageBreakBefore w:val="0"/>
              <w:widowControl w:val="0"/>
              <w:kinsoku/>
              <w:wordWrap/>
              <w:overflowPunct/>
              <w:topLinePunct w:val="0"/>
              <w:bidi w:val="0"/>
              <w:snapToGrid w:val="0"/>
              <w:spacing w:line="440" w:lineRule="exact"/>
              <w:jc w:val="center"/>
              <w:textAlignment w:val="auto"/>
              <w:rPr>
                <w:rFonts w:hint="eastAsia"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账号</w:t>
            </w:r>
          </w:p>
        </w:tc>
        <w:tc>
          <w:tcPr>
            <w:tcW w:w="2727" w:type="dxa"/>
            <w:noWrap w:val="0"/>
            <w:vAlign w:val="center"/>
          </w:tcPr>
          <w:p w14:paraId="662E9E63">
            <w:pPr>
              <w:keepNext w:val="0"/>
              <w:keepLines w:val="0"/>
              <w:pageBreakBefore w:val="0"/>
              <w:widowControl w:val="0"/>
              <w:kinsoku/>
              <w:wordWrap/>
              <w:overflowPunct/>
              <w:topLinePunct w:val="0"/>
              <w:bidi w:val="0"/>
              <w:snapToGrid w:val="0"/>
              <w:spacing w:line="440" w:lineRule="exact"/>
              <w:jc w:val="center"/>
              <w:textAlignment w:val="auto"/>
              <w:rPr>
                <w:rFonts w:hint="eastAsia" w:ascii="宋体" w:hAnsi="宋体" w:cs="宋体"/>
                <w:snapToGrid w:val="0"/>
                <w:kern w:val="0"/>
                <w:sz w:val="24"/>
                <w:highlight w:val="none"/>
              </w:rPr>
            </w:pPr>
          </w:p>
        </w:tc>
      </w:tr>
      <w:tr w14:paraId="7012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8178" w:type="dxa"/>
            <w:gridSpan w:val="4"/>
            <w:noWrap w:val="0"/>
            <w:vAlign w:val="center"/>
          </w:tcPr>
          <w:p w14:paraId="60E9BEB0">
            <w:pPr>
              <w:keepNext w:val="0"/>
              <w:keepLines w:val="0"/>
              <w:pageBreakBefore w:val="0"/>
              <w:widowControl w:val="0"/>
              <w:kinsoku/>
              <w:wordWrap/>
              <w:overflowPunct/>
              <w:topLinePunct w:val="0"/>
              <w:bidi w:val="0"/>
              <w:snapToGrid w:val="0"/>
              <w:spacing w:line="440" w:lineRule="exact"/>
              <w:jc w:val="center"/>
              <w:textAlignment w:val="auto"/>
              <w:rPr>
                <w:rFonts w:hint="eastAsia" w:ascii="宋体" w:hAnsi="宋体" w:cs="宋体"/>
                <w:snapToGrid w:val="0"/>
                <w:kern w:val="0"/>
                <w:sz w:val="24"/>
                <w:highlight w:val="none"/>
              </w:rPr>
            </w:pPr>
            <w:r>
              <w:rPr>
                <w:rFonts w:hint="eastAsia" w:ascii="宋体" w:hAnsi="宋体"/>
                <w:color w:val="auto"/>
                <w:sz w:val="24"/>
                <w:szCs w:val="24"/>
                <w:highlight w:val="none"/>
                <w:lang w:val="en-GB"/>
              </w:rPr>
              <w:t>注：涉及联合体或其他合同主体的信息应按上表格式加列。</w:t>
            </w:r>
          </w:p>
        </w:tc>
      </w:tr>
    </w:tbl>
    <w:p w14:paraId="29CBF22C">
      <w:pPr>
        <w:jc w:val="center"/>
        <w:rPr>
          <w:color w:val="auto"/>
          <w:highlight w:val="none"/>
        </w:rPr>
      </w:pPr>
      <w:r>
        <w:rPr>
          <w:color w:val="auto"/>
          <w:highlight w:val="none"/>
        </w:rPr>
        <w:br w:type="page"/>
      </w:r>
    </w:p>
    <w:p w14:paraId="00D90B47">
      <w:pPr>
        <w:ind w:firstLine="1960" w:firstLineChars="700"/>
        <w:jc w:val="center"/>
        <w:rPr>
          <w:rFonts w:hint="eastAsia"/>
          <w:sz w:val="28"/>
          <w:szCs w:val="28"/>
        </w:rPr>
      </w:pPr>
      <w:bookmarkStart w:id="155" w:name="_Toc21738"/>
      <w:r>
        <w:rPr>
          <w:rFonts w:hint="eastAsia"/>
          <w:sz w:val="28"/>
          <w:szCs w:val="28"/>
          <w:lang w:eastAsia="zh-CN"/>
        </w:rPr>
        <w:t>上虞区应急管理局食堂管理服务</w:t>
      </w:r>
      <w:r>
        <w:rPr>
          <w:rFonts w:hint="eastAsia"/>
          <w:sz w:val="28"/>
          <w:szCs w:val="28"/>
        </w:rPr>
        <w:t>考核办法</w:t>
      </w:r>
      <w:bookmarkEnd w:id="155"/>
    </w:p>
    <w:p w14:paraId="4F42EDFD">
      <w:pPr>
        <w:spacing w:line="360" w:lineRule="auto"/>
        <w:ind w:right="-300" w:rightChars="-150" w:firstLine="482" w:firstLineChars="200"/>
        <w:rPr>
          <w:b/>
          <w:bCs/>
          <w:color w:val="auto"/>
          <w:sz w:val="24"/>
          <w:highlight w:val="none"/>
        </w:rPr>
      </w:pPr>
      <w:r>
        <w:rPr>
          <w:rFonts w:hint="eastAsia"/>
          <w:b/>
          <w:bCs/>
          <w:color w:val="auto"/>
          <w:sz w:val="24"/>
          <w:highlight w:val="none"/>
        </w:rPr>
        <w:t>一、考核内容：</w:t>
      </w:r>
    </w:p>
    <w:p w14:paraId="26166674">
      <w:pPr>
        <w:spacing w:line="360" w:lineRule="auto"/>
        <w:ind w:right="-300" w:rightChars="-150" w:firstLine="480" w:firstLineChars="200"/>
        <w:rPr>
          <w:rFonts w:hint="eastAsia"/>
          <w:color w:val="auto"/>
          <w:sz w:val="24"/>
          <w:highlight w:val="none"/>
        </w:rPr>
      </w:pPr>
      <w:r>
        <w:rPr>
          <w:rFonts w:hint="eastAsia"/>
          <w:color w:val="auto"/>
          <w:sz w:val="24"/>
          <w:highlight w:val="none"/>
        </w:rPr>
        <w:t>为了实现</w:t>
      </w:r>
      <w:r>
        <w:rPr>
          <w:rFonts w:hint="eastAsia"/>
          <w:color w:val="auto"/>
          <w:sz w:val="24"/>
          <w:highlight w:val="none"/>
          <w:lang w:eastAsia="zh-CN"/>
        </w:rPr>
        <w:t>上虞区应急管理局食堂</w:t>
      </w:r>
      <w:r>
        <w:rPr>
          <w:rFonts w:hint="eastAsia"/>
          <w:color w:val="auto"/>
          <w:sz w:val="24"/>
          <w:highlight w:val="none"/>
        </w:rPr>
        <w:t>管理</w:t>
      </w:r>
      <w:r>
        <w:rPr>
          <w:rFonts w:hint="eastAsia"/>
          <w:color w:val="auto"/>
          <w:sz w:val="24"/>
          <w:highlight w:val="none"/>
          <w:lang w:eastAsia="zh-CN"/>
        </w:rPr>
        <w:t>服务</w:t>
      </w:r>
      <w:r>
        <w:rPr>
          <w:rFonts w:hint="eastAsia"/>
          <w:color w:val="auto"/>
          <w:sz w:val="24"/>
          <w:highlight w:val="none"/>
        </w:rPr>
        <w:t>的标准化、制度化、规范化、科学化,确保食堂高效、安全、有序运行，圆满完成年度各项食堂服务工作目标。结合食堂服务特点，特制订本考核办法。</w:t>
      </w:r>
    </w:p>
    <w:p w14:paraId="5912CEDD">
      <w:pPr>
        <w:spacing w:line="360" w:lineRule="auto"/>
        <w:ind w:right="-300" w:rightChars="-150" w:firstLine="482" w:firstLineChars="200"/>
        <w:rPr>
          <w:b/>
          <w:bCs/>
          <w:color w:val="auto"/>
          <w:sz w:val="24"/>
          <w:highlight w:val="none"/>
        </w:rPr>
      </w:pPr>
      <w:r>
        <w:rPr>
          <w:rFonts w:hint="eastAsia"/>
          <w:b/>
          <w:bCs/>
          <w:color w:val="auto"/>
          <w:sz w:val="24"/>
          <w:highlight w:val="none"/>
        </w:rPr>
        <w:t>二、考核办法：</w:t>
      </w:r>
    </w:p>
    <w:p w14:paraId="6A2AFC4D">
      <w:pPr>
        <w:spacing w:line="360" w:lineRule="auto"/>
        <w:ind w:right="-300" w:rightChars="-150" w:firstLine="480" w:firstLineChars="200"/>
        <w:rPr>
          <w:color w:val="auto"/>
          <w:sz w:val="24"/>
          <w:highlight w:val="none"/>
        </w:rPr>
      </w:pPr>
      <w:r>
        <w:rPr>
          <w:rFonts w:hint="eastAsia"/>
          <w:color w:val="auto"/>
          <w:sz w:val="24"/>
          <w:highlight w:val="none"/>
        </w:rPr>
        <w:t>考核以平时巡查考核和</w:t>
      </w:r>
      <w:r>
        <w:rPr>
          <w:rFonts w:hint="eastAsia"/>
          <w:color w:val="auto"/>
          <w:sz w:val="24"/>
          <w:highlight w:val="none"/>
          <w:lang w:eastAsia="zh-CN"/>
        </w:rPr>
        <w:t>月</w:t>
      </w:r>
      <w:r>
        <w:rPr>
          <w:rFonts w:hint="eastAsia"/>
          <w:color w:val="auto"/>
          <w:sz w:val="24"/>
          <w:highlight w:val="none"/>
        </w:rPr>
        <w:t>度考核相结合的方式进行。平时巡查考核，由</w:t>
      </w:r>
      <w:r>
        <w:rPr>
          <w:rFonts w:hint="eastAsia"/>
          <w:color w:val="auto"/>
          <w:sz w:val="24"/>
          <w:highlight w:val="none"/>
          <w:lang w:eastAsia="zh-CN"/>
        </w:rPr>
        <w:t>业务科室</w:t>
      </w:r>
      <w:r>
        <w:rPr>
          <w:rFonts w:hint="eastAsia"/>
          <w:color w:val="auto"/>
          <w:sz w:val="24"/>
          <w:highlight w:val="none"/>
        </w:rPr>
        <w:t>采取不定时抽查的方式进行，考核结果记入月度考核中。</w:t>
      </w:r>
      <w:r>
        <w:rPr>
          <w:rFonts w:hint="eastAsia"/>
          <w:color w:val="auto"/>
          <w:sz w:val="24"/>
          <w:highlight w:val="none"/>
          <w:lang w:eastAsia="zh-CN"/>
        </w:rPr>
        <w:t>月</w:t>
      </w:r>
      <w:r>
        <w:rPr>
          <w:rFonts w:hint="eastAsia"/>
          <w:color w:val="auto"/>
          <w:sz w:val="24"/>
          <w:highlight w:val="none"/>
        </w:rPr>
        <w:t>度考核由</w:t>
      </w:r>
      <w:r>
        <w:rPr>
          <w:rFonts w:hint="eastAsia"/>
          <w:color w:val="auto"/>
          <w:sz w:val="24"/>
          <w:highlight w:val="none"/>
          <w:lang w:eastAsia="zh-CN"/>
        </w:rPr>
        <w:t>业务科室</w:t>
      </w:r>
      <w:r>
        <w:rPr>
          <w:rFonts w:hint="eastAsia"/>
          <w:color w:val="auto"/>
          <w:sz w:val="24"/>
          <w:highlight w:val="none"/>
        </w:rPr>
        <w:t>组织相关人员进行现场检查</w:t>
      </w:r>
      <w:r>
        <w:rPr>
          <w:rFonts w:hint="eastAsia"/>
          <w:color w:val="auto"/>
          <w:sz w:val="24"/>
          <w:highlight w:val="none"/>
          <w:lang w:eastAsia="zh-CN"/>
        </w:rPr>
        <w:t>。每季度开展服务对象满意度测评，</w:t>
      </w:r>
      <w:r>
        <w:rPr>
          <w:rFonts w:hint="eastAsia"/>
          <w:color w:val="auto"/>
          <w:sz w:val="24"/>
          <w:highlight w:val="none"/>
        </w:rPr>
        <w:t>并按照考核标准、评分细则，实行分级分类考核，考核基准分为100分</w:t>
      </w:r>
      <w:r>
        <w:rPr>
          <w:rFonts w:hint="eastAsia"/>
          <w:color w:val="auto"/>
          <w:sz w:val="24"/>
          <w:highlight w:val="none"/>
          <w:lang w:eastAsia="zh-CN"/>
        </w:rPr>
        <w:t>（以</w:t>
      </w:r>
      <w:r>
        <w:rPr>
          <w:rFonts w:hint="eastAsia"/>
          <w:color w:val="auto"/>
          <w:sz w:val="24"/>
          <w:highlight w:val="none"/>
          <w:lang w:val="en-US" w:eastAsia="zh-CN"/>
        </w:rPr>
        <w:t>100分为限</w:t>
      </w:r>
      <w:r>
        <w:rPr>
          <w:rFonts w:hint="eastAsia"/>
          <w:color w:val="auto"/>
          <w:sz w:val="24"/>
          <w:highlight w:val="none"/>
          <w:lang w:eastAsia="zh-CN"/>
        </w:rPr>
        <w:t>）</w:t>
      </w:r>
      <w:r>
        <w:rPr>
          <w:rFonts w:hint="eastAsia"/>
          <w:color w:val="auto"/>
          <w:sz w:val="24"/>
          <w:highlight w:val="none"/>
        </w:rPr>
        <w:t>，实行倒扣分制。考核成绩将作为</w:t>
      </w:r>
      <w:r>
        <w:rPr>
          <w:rFonts w:hint="eastAsia"/>
          <w:color w:val="auto"/>
          <w:sz w:val="24"/>
          <w:highlight w:val="none"/>
          <w:lang w:eastAsia="zh-CN"/>
        </w:rPr>
        <w:t>当期</w:t>
      </w:r>
      <w:r>
        <w:rPr>
          <w:rFonts w:hint="eastAsia"/>
          <w:color w:val="auto"/>
          <w:sz w:val="24"/>
          <w:highlight w:val="none"/>
          <w:lang w:val="en-US" w:eastAsia="zh-CN"/>
        </w:rPr>
        <w:t>食堂</w:t>
      </w:r>
      <w:r>
        <w:rPr>
          <w:rFonts w:hint="eastAsia"/>
          <w:color w:val="auto"/>
          <w:sz w:val="24"/>
          <w:highlight w:val="none"/>
        </w:rPr>
        <w:t>服务费付款依据。</w:t>
      </w:r>
    </w:p>
    <w:p w14:paraId="6A0A7CE6">
      <w:pPr>
        <w:spacing w:line="360" w:lineRule="auto"/>
        <w:ind w:right="-300" w:rightChars="-150" w:firstLine="482" w:firstLineChars="200"/>
        <w:rPr>
          <w:b/>
          <w:bCs/>
          <w:color w:val="auto"/>
          <w:sz w:val="24"/>
          <w:highlight w:val="none"/>
        </w:rPr>
      </w:pPr>
      <w:r>
        <w:rPr>
          <w:rFonts w:hint="eastAsia"/>
          <w:b/>
          <w:bCs/>
          <w:color w:val="auto"/>
          <w:sz w:val="24"/>
          <w:highlight w:val="none"/>
        </w:rPr>
        <w:t>三、考核奖惩：</w:t>
      </w:r>
    </w:p>
    <w:p w14:paraId="53B830B0">
      <w:pPr>
        <w:spacing w:line="440" w:lineRule="exact"/>
        <w:ind w:firstLine="480" w:firstLineChars="200"/>
        <w:rPr>
          <w:rFonts w:hint="eastAsia"/>
          <w:color w:val="auto"/>
          <w:sz w:val="24"/>
          <w:highlight w:val="none"/>
        </w:rPr>
      </w:pPr>
      <w:r>
        <w:rPr>
          <w:rFonts w:hint="eastAsia"/>
          <w:color w:val="auto"/>
          <w:sz w:val="24"/>
          <w:highlight w:val="none"/>
        </w:rPr>
        <w:t>（一）本考核采用百分制，每月考核一次，并按以下原则评定考核等级：</w:t>
      </w:r>
    </w:p>
    <w:p w14:paraId="134535AE">
      <w:pPr>
        <w:spacing w:line="440" w:lineRule="exact"/>
        <w:ind w:firstLine="480" w:firstLineChars="200"/>
        <w:rPr>
          <w:rFonts w:hint="eastAsia"/>
          <w:color w:val="auto"/>
          <w:sz w:val="24"/>
          <w:highlight w:val="none"/>
        </w:rPr>
      </w:pPr>
      <w:r>
        <w:rPr>
          <w:rFonts w:hint="eastAsia"/>
          <w:color w:val="auto"/>
          <w:sz w:val="24"/>
          <w:highlight w:val="none"/>
        </w:rPr>
        <w:t>1.考核分高于90分(含)视为优秀，全额拨付当期</w:t>
      </w:r>
      <w:r>
        <w:rPr>
          <w:rFonts w:hint="eastAsia"/>
          <w:color w:val="auto"/>
          <w:sz w:val="24"/>
          <w:highlight w:val="none"/>
          <w:lang w:val="en-US" w:eastAsia="zh-CN"/>
        </w:rPr>
        <w:t>食堂</w:t>
      </w:r>
      <w:r>
        <w:rPr>
          <w:rFonts w:hint="eastAsia"/>
          <w:color w:val="auto"/>
          <w:sz w:val="24"/>
          <w:highlight w:val="none"/>
        </w:rPr>
        <w:t>管理服务费用。</w:t>
      </w:r>
    </w:p>
    <w:p w14:paraId="11B5C558">
      <w:pPr>
        <w:spacing w:line="440" w:lineRule="exact"/>
        <w:ind w:firstLine="480" w:firstLineChars="200"/>
        <w:rPr>
          <w:rFonts w:hint="eastAsia"/>
          <w:color w:val="auto"/>
          <w:sz w:val="24"/>
          <w:highlight w:val="none"/>
        </w:rPr>
      </w:pPr>
      <w:r>
        <w:rPr>
          <w:rFonts w:hint="eastAsia"/>
          <w:color w:val="auto"/>
          <w:sz w:val="24"/>
          <w:highlight w:val="none"/>
        </w:rPr>
        <w:t>2.考核分高于</w:t>
      </w:r>
      <w:r>
        <w:rPr>
          <w:rFonts w:hint="eastAsia"/>
          <w:color w:val="auto"/>
          <w:sz w:val="24"/>
          <w:highlight w:val="none"/>
          <w:lang w:val="en-US" w:eastAsia="zh-CN"/>
        </w:rPr>
        <w:t>85</w:t>
      </w:r>
      <w:r>
        <w:rPr>
          <w:rFonts w:hint="eastAsia"/>
          <w:color w:val="auto"/>
          <w:sz w:val="24"/>
          <w:highlight w:val="none"/>
        </w:rPr>
        <w:t>分(含)但低于90分(不含)视为良好，扣除当期</w:t>
      </w:r>
      <w:r>
        <w:rPr>
          <w:rFonts w:hint="eastAsia"/>
          <w:color w:val="auto"/>
          <w:sz w:val="24"/>
          <w:highlight w:val="none"/>
          <w:lang w:eastAsia="zh-CN"/>
        </w:rPr>
        <w:t>食堂</w:t>
      </w:r>
      <w:r>
        <w:rPr>
          <w:rFonts w:hint="eastAsia"/>
          <w:color w:val="auto"/>
          <w:sz w:val="24"/>
          <w:highlight w:val="none"/>
        </w:rPr>
        <w:t>管理服务费用的2%。</w:t>
      </w:r>
    </w:p>
    <w:p w14:paraId="68428C2E">
      <w:pPr>
        <w:spacing w:line="440" w:lineRule="exact"/>
        <w:ind w:firstLine="480" w:firstLineChars="200"/>
        <w:rPr>
          <w:rFonts w:hint="eastAsia"/>
          <w:color w:val="auto"/>
          <w:sz w:val="24"/>
          <w:highlight w:val="none"/>
        </w:rPr>
      </w:pPr>
      <w:r>
        <w:rPr>
          <w:rFonts w:hint="eastAsia"/>
          <w:color w:val="auto"/>
          <w:sz w:val="24"/>
          <w:highlight w:val="none"/>
        </w:rPr>
        <w:t>3.考核分高于</w:t>
      </w:r>
      <w:r>
        <w:rPr>
          <w:rFonts w:hint="eastAsia"/>
          <w:color w:val="auto"/>
          <w:sz w:val="24"/>
          <w:highlight w:val="none"/>
          <w:lang w:val="en-US" w:eastAsia="zh-CN"/>
        </w:rPr>
        <w:t>80</w:t>
      </w:r>
      <w:r>
        <w:rPr>
          <w:rFonts w:hint="eastAsia"/>
          <w:color w:val="auto"/>
          <w:sz w:val="24"/>
          <w:highlight w:val="none"/>
        </w:rPr>
        <w:t>分(含)但低于</w:t>
      </w:r>
      <w:r>
        <w:rPr>
          <w:rFonts w:hint="eastAsia"/>
          <w:color w:val="auto"/>
          <w:sz w:val="24"/>
          <w:highlight w:val="none"/>
          <w:lang w:val="en-US" w:eastAsia="zh-CN"/>
        </w:rPr>
        <w:t>85</w:t>
      </w:r>
      <w:r>
        <w:rPr>
          <w:rFonts w:hint="eastAsia"/>
          <w:color w:val="auto"/>
          <w:sz w:val="24"/>
          <w:highlight w:val="none"/>
        </w:rPr>
        <w:t>分(不含)视为合格，扣除当期</w:t>
      </w:r>
      <w:r>
        <w:rPr>
          <w:rFonts w:hint="eastAsia"/>
          <w:color w:val="auto"/>
          <w:sz w:val="24"/>
          <w:highlight w:val="none"/>
          <w:lang w:eastAsia="zh-CN"/>
        </w:rPr>
        <w:t>食堂</w:t>
      </w:r>
      <w:r>
        <w:rPr>
          <w:rFonts w:hint="eastAsia"/>
          <w:color w:val="auto"/>
          <w:sz w:val="24"/>
          <w:highlight w:val="none"/>
        </w:rPr>
        <w:t>管理服务费用的5%。</w:t>
      </w:r>
    </w:p>
    <w:p w14:paraId="72F0034B">
      <w:pPr>
        <w:spacing w:line="360" w:lineRule="auto"/>
        <w:ind w:right="-300" w:rightChars="-150" w:firstLine="480" w:firstLineChars="200"/>
        <w:rPr>
          <w:rFonts w:hint="eastAsia"/>
          <w:color w:val="auto"/>
          <w:sz w:val="24"/>
          <w:highlight w:val="none"/>
        </w:rPr>
      </w:pPr>
      <w:r>
        <w:rPr>
          <w:rFonts w:hint="eastAsia"/>
          <w:color w:val="auto"/>
          <w:sz w:val="24"/>
          <w:highlight w:val="none"/>
        </w:rPr>
        <w:t>4.考核分低于80分(不含)视为不合格，扣除当期</w:t>
      </w:r>
      <w:r>
        <w:rPr>
          <w:rFonts w:hint="eastAsia"/>
          <w:color w:val="auto"/>
          <w:sz w:val="24"/>
          <w:highlight w:val="none"/>
          <w:lang w:eastAsia="zh-CN"/>
        </w:rPr>
        <w:t>食堂</w:t>
      </w:r>
      <w:r>
        <w:rPr>
          <w:rFonts w:hint="eastAsia"/>
          <w:color w:val="auto"/>
          <w:sz w:val="24"/>
          <w:highlight w:val="none"/>
        </w:rPr>
        <w:t>管理服务费用的10%。连续两个月低于80分，根据合同相关条款，采购人有权单方面与服务单位终止服务合同。</w:t>
      </w:r>
    </w:p>
    <w:p w14:paraId="681ED353">
      <w:pPr>
        <w:spacing w:line="360" w:lineRule="auto"/>
        <w:ind w:right="-300" w:rightChars="-150" w:firstLine="480" w:firstLineChars="200"/>
        <w:rPr>
          <w:rFonts w:hint="eastAsia"/>
          <w:color w:val="auto"/>
          <w:sz w:val="24"/>
          <w:highlight w:val="none"/>
        </w:rPr>
      </w:pPr>
      <w:r>
        <w:rPr>
          <w:rFonts w:hint="eastAsia"/>
          <w:color w:val="auto"/>
          <w:sz w:val="24"/>
          <w:highlight w:val="none"/>
        </w:rPr>
        <w:t>（二）中标单位如有以下情形之一的，当月考核直接认定为不合格：</w:t>
      </w:r>
    </w:p>
    <w:p w14:paraId="36EC1470">
      <w:pPr>
        <w:spacing w:line="360" w:lineRule="auto"/>
        <w:ind w:right="-300" w:rightChars="-150" w:firstLine="480" w:firstLineChars="200"/>
        <w:rPr>
          <w:rFonts w:hint="eastAsia"/>
          <w:color w:val="auto"/>
          <w:sz w:val="24"/>
          <w:highlight w:val="none"/>
        </w:rPr>
      </w:pPr>
      <w:r>
        <w:rPr>
          <w:rFonts w:hint="eastAsia"/>
          <w:color w:val="auto"/>
          <w:sz w:val="24"/>
          <w:highlight w:val="none"/>
        </w:rPr>
        <w:t>1、中标单位无正当理由未按规定配足工作人员，经采购人督促后，一周内仍未按照标准配备到位的。</w:t>
      </w:r>
    </w:p>
    <w:p w14:paraId="75654642">
      <w:pPr>
        <w:spacing w:line="360" w:lineRule="auto"/>
        <w:ind w:right="-300" w:rightChars="-150" w:firstLine="480" w:firstLineChars="200"/>
        <w:rPr>
          <w:color w:val="auto"/>
          <w:sz w:val="24"/>
          <w:highlight w:val="none"/>
        </w:rPr>
      </w:pPr>
      <w:r>
        <w:rPr>
          <w:rFonts w:hint="eastAsia"/>
          <w:color w:val="auto"/>
          <w:sz w:val="24"/>
          <w:highlight w:val="none"/>
        </w:rPr>
        <w:t>2、中标单位工作人员因故缺岗，应及时安排补缺，当月被发现工作人员缺岗2次以上的。</w:t>
      </w:r>
    </w:p>
    <w:p w14:paraId="07698CA0">
      <w:pPr>
        <w:spacing w:line="360" w:lineRule="auto"/>
        <w:ind w:right="-300" w:rightChars="-150" w:firstLine="480" w:firstLineChars="200"/>
        <w:rPr>
          <w:rFonts w:hint="eastAsia"/>
          <w:color w:val="auto"/>
          <w:sz w:val="24"/>
          <w:highlight w:val="none"/>
        </w:rPr>
      </w:pPr>
      <w:r>
        <w:rPr>
          <w:rFonts w:hint="eastAsia"/>
          <w:color w:val="auto"/>
          <w:sz w:val="24"/>
          <w:highlight w:val="none"/>
        </w:rPr>
        <w:t>3、在上级部门或外单位相关部门的明察暗访中，中标单位的工作人员因主观原因有被查实相关问题，影响</w:t>
      </w:r>
      <w:r>
        <w:rPr>
          <w:rFonts w:hint="eastAsia"/>
          <w:color w:val="auto"/>
          <w:sz w:val="24"/>
          <w:highlight w:val="none"/>
          <w:lang w:eastAsia="zh-CN"/>
        </w:rPr>
        <w:t>本单位</w:t>
      </w:r>
      <w:r>
        <w:rPr>
          <w:rFonts w:hint="eastAsia"/>
          <w:color w:val="auto"/>
          <w:sz w:val="24"/>
          <w:highlight w:val="none"/>
        </w:rPr>
        <w:t>形象的。</w:t>
      </w:r>
    </w:p>
    <w:p w14:paraId="44BFB198">
      <w:pPr>
        <w:spacing w:line="360" w:lineRule="auto"/>
        <w:ind w:right="-300" w:rightChars="-150" w:firstLine="480" w:firstLineChars="200"/>
        <w:rPr>
          <w:color w:val="auto"/>
          <w:sz w:val="24"/>
          <w:highlight w:val="none"/>
        </w:rPr>
      </w:pPr>
      <w:r>
        <w:rPr>
          <w:rFonts w:hint="eastAsia"/>
          <w:color w:val="auto"/>
          <w:sz w:val="24"/>
          <w:highlight w:val="none"/>
        </w:rPr>
        <w:t>4、因中标单位</w:t>
      </w:r>
      <w:r>
        <w:rPr>
          <w:rFonts w:hint="eastAsia"/>
          <w:color w:val="auto"/>
          <w:sz w:val="24"/>
          <w:highlight w:val="none"/>
          <w:lang w:eastAsia="zh-CN"/>
        </w:rPr>
        <w:t>或其</w:t>
      </w:r>
      <w:r>
        <w:rPr>
          <w:rFonts w:hint="eastAsia"/>
          <w:color w:val="auto"/>
          <w:sz w:val="24"/>
          <w:highlight w:val="none"/>
        </w:rPr>
        <w:t>工作人员</w:t>
      </w:r>
      <w:r>
        <w:rPr>
          <w:rFonts w:hint="eastAsia"/>
          <w:color w:val="auto"/>
          <w:sz w:val="24"/>
          <w:highlight w:val="none"/>
          <w:lang w:eastAsia="zh-CN"/>
        </w:rPr>
        <w:t>故意或重大过失</w:t>
      </w:r>
      <w:r>
        <w:rPr>
          <w:rFonts w:hint="eastAsia"/>
          <w:color w:val="auto"/>
          <w:sz w:val="24"/>
          <w:highlight w:val="none"/>
          <w:lang w:val="en-US" w:eastAsia="zh-CN"/>
        </w:rPr>
        <w:t>行为的</w:t>
      </w:r>
      <w:r>
        <w:rPr>
          <w:rFonts w:hint="eastAsia"/>
          <w:color w:val="auto"/>
          <w:sz w:val="24"/>
          <w:highlight w:val="none"/>
        </w:rPr>
        <w:t>，</w:t>
      </w:r>
      <w:r>
        <w:rPr>
          <w:rFonts w:hint="eastAsia"/>
          <w:color w:val="auto"/>
          <w:sz w:val="24"/>
          <w:highlight w:val="none"/>
          <w:lang w:eastAsia="zh-CN"/>
        </w:rPr>
        <w:t>导致发生食品安全事件、安全生产事故、群体性投诉或给甲方声誉</w:t>
      </w:r>
      <w:r>
        <w:rPr>
          <w:rFonts w:hint="eastAsia"/>
          <w:color w:val="auto"/>
          <w:sz w:val="24"/>
          <w:highlight w:val="none"/>
        </w:rPr>
        <w:t>造成</w:t>
      </w:r>
      <w:r>
        <w:rPr>
          <w:rFonts w:hint="eastAsia"/>
          <w:color w:val="auto"/>
          <w:sz w:val="24"/>
          <w:highlight w:val="none"/>
          <w:lang w:val="en-US" w:eastAsia="zh-CN"/>
        </w:rPr>
        <w:t>严重负面影响</w:t>
      </w:r>
      <w:r>
        <w:rPr>
          <w:rFonts w:hint="eastAsia"/>
          <w:color w:val="auto"/>
          <w:sz w:val="24"/>
          <w:highlight w:val="none"/>
          <w:lang w:eastAsia="zh-CN"/>
        </w:rPr>
        <w:t>，</w:t>
      </w:r>
      <w:r>
        <w:rPr>
          <w:rFonts w:hint="default"/>
          <w:color w:val="auto"/>
          <w:sz w:val="24"/>
          <w:highlight w:val="none"/>
          <w:lang w:eastAsia="zh-CN"/>
        </w:rPr>
        <w:t>影响恶劣的</w:t>
      </w:r>
      <w:r>
        <w:rPr>
          <w:rFonts w:hint="eastAsia"/>
          <w:color w:val="auto"/>
          <w:sz w:val="24"/>
          <w:highlight w:val="none"/>
        </w:rPr>
        <w:t>。</w:t>
      </w:r>
    </w:p>
    <w:p w14:paraId="3711AEA2">
      <w:pPr>
        <w:pStyle w:val="13"/>
        <w:rPr>
          <w:rFonts w:hint="eastAsia" w:eastAsia="宋体"/>
          <w:b/>
          <w:bCs/>
          <w:color w:val="auto"/>
          <w:highlight w:val="none"/>
          <w:lang w:val="en-US" w:eastAsia="zh-CN"/>
        </w:rPr>
      </w:pPr>
      <w:r>
        <w:rPr>
          <w:rFonts w:hint="eastAsia"/>
          <w:b/>
          <w:bCs/>
          <w:color w:val="auto"/>
          <w:sz w:val="24"/>
          <w:highlight w:val="none"/>
        </w:rPr>
        <w:t>四、考核细则：</w:t>
      </w:r>
      <w:r>
        <w:rPr>
          <w:rFonts w:hint="eastAsia"/>
          <w:b/>
          <w:bCs/>
          <w:color w:val="auto"/>
          <w:sz w:val="24"/>
          <w:highlight w:val="none"/>
          <w:lang w:eastAsia="zh-CN"/>
        </w:rPr>
        <w:t>（在管理过程中，为更好的推进工作，经双方协商一致，可对考核内容按需进行调整）</w:t>
      </w:r>
    </w:p>
    <w:p w14:paraId="3F244C1D">
      <w:pPr>
        <w:numPr>
          <w:ilvl w:val="0"/>
          <w:numId w:val="0"/>
        </w:numPr>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（一）上虞区应急管理局食堂管理服务</w:t>
      </w:r>
      <w:r>
        <w:rPr>
          <w:rFonts w:hint="eastAsia" w:ascii="宋体" w:hAnsi="宋体" w:eastAsia="宋体" w:cs="宋体"/>
          <w:color w:val="auto"/>
          <w:kern w:val="2"/>
          <w:sz w:val="24"/>
          <w:szCs w:val="24"/>
          <w:highlight w:val="none"/>
          <w:lang w:val="en-US" w:eastAsia="zh-CN" w:bidi="ar-SA"/>
        </w:rPr>
        <w:t>考核</w:t>
      </w:r>
    </w:p>
    <w:tbl>
      <w:tblPr>
        <w:tblStyle w:val="29"/>
        <w:tblW w:w="892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6241"/>
        <w:gridCol w:w="1965"/>
      </w:tblGrid>
      <w:tr w14:paraId="1D2CE7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noWrap w:val="0"/>
            <w:vAlign w:val="center"/>
          </w:tcPr>
          <w:p w14:paraId="72763C5E">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项目</w:t>
            </w:r>
          </w:p>
        </w:tc>
        <w:tc>
          <w:tcPr>
            <w:tcW w:w="6241" w:type="dxa"/>
            <w:noWrap w:val="0"/>
            <w:vAlign w:val="center"/>
          </w:tcPr>
          <w:p w14:paraId="215193E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考  评  内  容</w:t>
            </w:r>
          </w:p>
        </w:tc>
        <w:tc>
          <w:tcPr>
            <w:tcW w:w="1965" w:type="dxa"/>
            <w:noWrap w:val="0"/>
            <w:vAlign w:val="center"/>
          </w:tcPr>
          <w:p w14:paraId="517BD69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扣</w:t>
            </w:r>
            <w:r>
              <w:rPr>
                <w:rFonts w:hint="eastAsia" w:ascii="宋体" w:hAnsi="宋体"/>
                <w:color w:val="auto"/>
                <w:sz w:val="24"/>
                <w:szCs w:val="24"/>
                <w:highlight w:val="none"/>
                <w:lang w:val="en-US" w:eastAsia="zh-CN"/>
              </w:rPr>
              <w:t>分标准</w:t>
            </w:r>
          </w:p>
        </w:tc>
      </w:tr>
      <w:tr w14:paraId="693997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restart"/>
            <w:noWrap w:val="0"/>
            <w:vAlign w:val="center"/>
          </w:tcPr>
          <w:p w14:paraId="13ACDA3B">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一、食品</w:t>
            </w:r>
          </w:p>
          <w:p w14:paraId="701CF3CD">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卫生</w:t>
            </w:r>
          </w:p>
        </w:tc>
        <w:tc>
          <w:tcPr>
            <w:tcW w:w="6241" w:type="dxa"/>
            <w:noWrap w:val="0"/>
            <w:vAlign w:val="center"/>
          </w:tcPr>
          <w:p w14:paraId="5B635FA3">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1.把馊的、变味的、不熟的食物供应的</w:t>
            </w:r>
          </w:p>
        </w:tc>
        <w:tc>
          <w:tcPr>
            <w:tcW w:w="1965" w:type="dxa"/>
            <w:noWrap w:val="0"/>
            <w:vAlign w:val="center"/>
          </w:tcPr>
          <w:p w14:paraId="7AEFF49E">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cs="仿宋"/>
                <w:color w:val="auto"/>
                <w:sz w:val="24"/>
                <w:szCs w:val="24"/>
                <w:highlight w:val="none"/>
              </w:rPr>
              <w:t>发现一次扣1分</w:t>
            </w:r>
          </w:p>
        </w:tc>
      </w:tr>
      <w:tr w14:paraId="7C8F6E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7E5A1874">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p>
        </w:tc>
        <w:tc>
          <w:tcPr>
            <w:tcW w:w="6241" w:type="dxa"/>
            <w:noWrap w:val="0"/>
            <w:vAlign w:val="center"/>
          </w:tcPr>
          <w:p w14:paraId="737EC357">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2.隔夜</w:t>
            </w:r>
            <w:r>
              <w:rPr>
                <w:rFonts w:hint="eastAsia" w:ascii="宋体" w:hAnsi="宋体"/>
                <w:color w:val="auto"/>
                <w:sz w:val="24"/>
                <w:szCs w:val="24"/>
                <w:highlight w:val="none"/>
                <w:lang w:val="en-US" w:eastAsia="zh-CN"/>
              </w:rPr>
              <w:t>后不宜再食用的</w:t>
            </w:r>
            <w:r>
              <w:rPr>
                <w:rFonts w:hint="eastAsia" w:ascii="宋体" w:hAnsi="宋体"/>
                <w:color w:val="auto"/>
                <w:sz w:val="24"/>
                <w:szCs w:val="24"/>
                <w:highlight w:val="none"/>
              </w:rPr>
              <w:t>饭菜供应的</w:t>
            </w:r>
          </w:p>
        </w:tc>
        <w:tc>
          <w:tcPr>
            <w:tcW w:w="1965" w:type="dxa"/>
            <w:noWrap w:val="0"/>
            <w:vAlign w:val="center"/>
          </w:tcPr>
          <w:p w14:paraId="359952EB">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cs="仿宋"/>
                <w:color w:val="auto"/>
                <w:sz w:val="24"/>
                <w:szCs w:val="24"/>
                <w:highlight w:val="none"/>
              </w:rPr>
              <w:t>发现一次扣1分</w:t>
            </w:r>
          </w:p>
        </w:tc>
      </w:tr>
      <w:tr w14:paraId="7D278A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2300093C">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p>
        </w:tc>
        <w:tc>
          <w:tcPr>
            <w:tcW w:w="6241" w:type="dxa"/>
            <w:noWrap w:val="0"/>
            <w:vAlign w:val="center"/>
          </w:tcPr>
          <w:p w14:paraId="78A1C38C">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3.去皮的、切分的原材料放在地上而未及时放入干净框内的</w:t>
            </w:r>
          </w:p>
        </w:tc>
        <w:tc>
          <w:tcPr>
            <w:tcW w:w="1965" w:type="dxa"/>
            <w:noWrap w:val="0"/>
            <w:vAlign w:val="center"/>
          </w:tcPr>
          <w:p w14:paraId="09D73F0D">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cs="仿宋"/>
                <w:color w:val="auto"/>
                <w:sz w:val="24"/>
                <w:szCs w:val="24"/>
                <w:highlight w:val="none"/>
              </w:rPr>
              <w:t>发现一次扣</w:t>
            </w:r>
            <w:r>
              <w:rPr>
                <w:rFonts w:hint="eastAsia" w:cs="仿宋"/>
                <w:color w:val="auto"/>
                <w:sz w:val="24"/>
                <w:szCs w:val="24"/>
                <w:highlight w:val="none"/>
                <w:lang w:val="en-US" w:eastAsia="zh-CN"/>
              </w:rPr>
              <w:t>0.5</w:t>
            </w:r>
            <w:r>
              <w:rPr>
                <w:rFonts w:hint="eastAsia" w:cs="仿宋"/>
                <w:color w:val="auto"/>
                <w:sz w:val="24"/>
                <w:szCs w:val="24"/>
                <w:highlight w:val="none"/>
              </w:rPr>
              <w:t>分</w:t>
            </w:r>
          </w:p>
        </w:tc>
      </w:tr>
      <w:tr w14:paraId="6E485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6ACDD26B">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p>
        </w:tc>
        <w:tc>
          <w:tcPr>
            <w:tcW w:w="6241" w:type="dxa"/>
            <w:noWrap w:val="0"/>
            <w:vAlign w:val="center"/>
          </w:tcPr>
          <w:p w14:paraId="5F9DB75B">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4.菜肴等食品中发现虫、蝇、清洁球、毛发等杂物的</w:t>
            </w:r>
          </w:p>
        </w:tc>
        <w:tc>
          <w:tcPr>
            <w:tcW w:w="1965" w:type="dxa"/>
            <w:noWrap w:val="0"/>
            <w:vAlign w:val="center"/>
          </w:tcPr>
          <w:p w14:paraId="65F46B84">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cs="仿宋"/>
                <w:color w:val="auto"/>
                <w:sz w:val="24"/>
                <w:szCs w:val="24"/>
                <w:highlight w:val="none"/>
              </w:rPr>
              <w:t>发现一</w:t>
            </w:r>
            <w:r>
              <w:rPr>
                <w:rFonts w:hint="eastAsia" w:cs="仿宋"/>
                <w:color w:val="auto"/>
                <w:sz w:val="24"/>
                <w:szCs w:val="24"/>
                <w:highlight w:val="none"/>
                <w:lang w:val="en-US" w:eastAsia="zh-CN"/>
              </w:rPr>
              <w:t>样</w:t>
            </w:r>
            <w:r>
              <w:rPr>
                <w:rFonts w:hint="eastAsia" w:cs="仿宋"/>
                <w:color w:val="auto"/>
                <w:sz w:val="24"/>
                <w:szCs w:val="24"/>
                <w:highlight w:val="none"/>
              </w:rPr>
              <w:t>扣</w:t>
            </w:r>
            <w:r>
              <w:rPr>
                <w:rFonts w:hint="eastAsia" w:cs="仿宋"/>
                <w:color w:val="auto"/>
                <w:sz w:val="24"/>
                <w:szCs w:val="24"/>
                <w:highlight w:val="none"/>
                <w:lang w:val="en-US" w:eastAsia="zh-CN"/>
              </w:rPr>
              <w:t>2</w:t>
            </w:r>
            <w:r>
              <w:rPr>
                <w:rFonts w:hint="eastAsia" w:cs="仿宋"/>
                <w:color w:val="auto"/>
                <w:sz w:val="24"/>
                <w:szCs w:val="24"/>
                <w:highlight w:val="none"/>
              </w:rPr>
              <w:t>分</w:t>
            </w:r>
          </w:p>
        </w:tc>
      </w:tr>
      <w:tr w14:paraId="1B69BE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7EB971A5">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p>
        </w:tc>
        <w:tc>
          <w:tcPr>
            <w:tcW w:w="6241" w:type="dxa"/>
            <w:noWrap w:val="0"/>
            <w:vAlign w:val="center"/>
          </w:tcPr>
          <w:p w14:paraId="7B13C9C7">
            <w:pPr>
              <w:keepNext w:val="0"/>
              <w:keepLines w:val="0"/>
              <w:pageBreakBefore w:val="0"/>
              <w:widowControl w:val="0"/>
              <w:kinsoku/>
              <w:wordWrap/>
              <w:overflowPunct/>
              <w:topLinePunct w:val="0"/>
              <w:autoSpaceDE w:val="0"/>
              <w:autoSpaceDN w:val="0"/>
              <w:bidi w:val="0"/>
              <w:adjustRightInd w:val="0"/>
              <w:snapToGrid/>
              <w:spacing w:line="240" w:lineRule="auto"/>
              <w:ind w:left="315" w:hanging="360" w:hangingChars="150"/>
              <w:textAlignment w:val="auto"/>
              <w:rPr>
                <w:rFonts w:hint="eastAsia" w:ascii="宋体" w:hAnsi="宋体"/>
                <w:color w:val="auto"/>
                <w:sz w:val="24"/>
                <w:szCs w:val="24"/>
                <w:highlight w:val="none"/>
              </w:rPr>
            </w:pPr>
            <w:r>
              <w:rPr>
                <w:rFonts w:hint="eastAsia" w:ascii="宋体" w:hAnsi="宋体"/>
                <w:color w:val="auto"/>
                <w:sz w:val="24"/>
                <w:szCs w:val="24"/>
                <w:highlight w:val="none"/>
              </w:rPr>
              <w:t>5.加工结束、餐后及下班前不做好相关工作，不及时冷藏、处理剩余半成品、成品食品的</w:t>
            </w:r>
          </w:p>
        </w:tc>
        <w:tc>
          <w:tcPr>
            <w:tcW w:w="1965" w:type="dxa"/>
            <w:noWrap w:val="0"/>
            <w:vAlign w:val="center"/>
          </w:tcPr>
          <w:p w14:paraId="1E4BE48A">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cs="仿宋"/>
                <w:color w:val="auto"/>
                <w:sz w:val="24"/>
                <w:szCs w:val="24"/>
                <w:highlight w:val="none"/>
              </w:rPr>
              <w:t>发现一次扣1分</w:t>
            </w:r>
          </w:p>
        </w:tc>
      </w:tr>
      <w:tr w14:paraId="4CDD0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2AED9D64">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p>
        </w:tc>
        <w:tc>
          <w:tcPr>
            <w:tcW w:w="6241" w:type="dxa"/>
            <w:noWrap w:val="0"/>
            <w:vAlign w:val="center"/>
          </w:tcPr>
          <w:p w14:paraId="274D63FB">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6.未按规定做好成品留样登记工作的</w:t>
            </w:r>
          </w:p>
        </w:tc>
        <w:tc>
          <w:tcPr>
            <w:tcW w:w="1965" w:type="dxa"/>
            <w:noWrap w:val="0"/>
            <w:vAlign w:val="center"/>
          </w:tcPr>
          <w:p w14:paraId="0206714C">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cs="仿宋"/>
                <w:color w:val="auto"/>
                <w:sz w:val="24"/>
                <w:szCs w:val="24"/>
                <w:highlight w:val="none"/>
              </w:rPr>
              <w:t>发现一次扣1分</w:t>
            </w:r>
          </w:p>
        </w:tc>
      </w:tr>
      <w:tr w14:paraId="6BB69A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4256D032">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p>
        </w:tc>
        <w:tc>
          <w:tcPr>
            <w:tcW w:w="6241" w:type="dxa"/>
            <w:noWrap w:val="0"/>
            <w:vAlign w:val="center"/>
          </w:tcPr>
          <w:p w14:paraId="3323BF8F">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7.经调查核实，因操作不当，发现食物中毒的</w:t>
            </w:r>
          </w:p>
        </w:tc>
        <w:tc>
          <w:tcPr>
            <w:tcW w:w="1965" w:type="dxa"/>
            <w:noWrap w:val="0"/>
            <w:vAlign w:val="center"/>
          </w:tcPr>
          <w:p w14:paraId="68893CA7">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olor w:val="auto"/>
                <w:sz w:val="24"/>
                <w:szCs w:val="24"/>
                <w:highlight w:val="none"/>
                <w:lang w:eastAsia="zh-CN"/>
              </w:rPr>
            </w:pPr>
            <w:r>
              <w:rPr>
                <w:rFonts w:hint="eastAsia" w:cs="仿宋"/>
                <w:color w:val="auto"/>
                <w:sz w:val="24"/>
                <w:szCs w:val="24"/>
                <w:highlight w:val="none"/>
                <w:lang w:eastAsia="zh-CN"/>
              </w:rPr>
              <w:t>依法追究法律责任</w:t>
            </w:r>
          </w:p>
        </w:tc>
      </w:tr>
      <w:tr w14:paraId="769D1A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restart"/>
            <w:noWrap w:val="0"/>
            <w:vAlign w:val="center"/>
          </w:tcPr>
          <w:p w14:paraId="3056E17B">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二、</w:t>
            </w:r>
            <w:r>
              <w:rPr>
                <w:rFonts w:hint="eastAsia" w:ascii="宋体" w:hAnsi="宋体"/>
                <w:color w:val="auto"/>
                <w:sz w:val="24"/>
                <w:szCs w:val="24"/>
                <w:highlight w:val="none"/>
                <w:lang w:val="en-US" w:eastAsia="zh-CN"/>
              </w:rPr>
              <w:t>食堂</w:t>
            </w:r>
            <w:r>
              <w:rPr>
                <w:rFonts w:hint="eastAsia" w:ascii="宋体" w:hAnsi="宋体"/>
                <w:color w:val="auto"/>
                <w:sz w:val="24"/>
                <w:szCs w:val="24"/>
                <w:highlight w:val="none"/>
              </w:rPr>
              <w:t>环境</w:t>
            </w:r>
          </w:p>
          <w:p w14:paraId="270AC2EB">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卫生</w:t>
            </w:r>
          </w:p>
        </w:tc>
        <w:tc>
          <w:tcPr>
            <w:tcW w:w="6241" w:type="dxa"/>
            <w:noWrap w:val="0"/>
            <w:vAlign w:val="center"/>
          </w:tcPr>
          <w:p w14:paraId="5D10AAC6">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.厨师</w:t>
            </w:r>
            <w:r>
              <w:rPr>
                <w:rFonts w:hint="eastAsia" w:ascii="宋体" w:hAnsi="宋体"/>
                <w:color w:val="auto"/>
                <w:sz w:val="24"/>
                <w:szCs w:val="24"/>
                <w:highlight w:val="none"/>
                <w:lang w:eastAsia="zh-CN"/>
              </w:rPr>
              <w:t>等工作人员</w:t>
            </w:r>
            <w:r>
              <w:rPr>
                <w:rFonts w:hint="eastAsia" w:ascii="宋体" w:hAnsi="宋体"/>
                <w:color w:val="auto"/>
                <w:sz w:val="24"/>
                <w:szCs w:val="24"/>
                <w:highlight w:val="none"/>
              </w:rPr>
              <w:t>在操作间有吸烟、两手不洁、对着食品打喷嚏等现象的</w:t>
            </w:r>
          </w:p>
        </w:tc>
        <w:tc>
          <w:tcPr>
            <w:tcW w:w="1965" w:type="dxa"/>
            <w:noWrap w:val="0"/>
            <w:vAlign w:val="center"/>
          </w:tcPr>
          <w:p w14:paraId="36DC7180">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cs="仿宋"/>
                <w:color w:val="auto"/>
                <w:sz w:val="24"/>
                <w:szCs w:val="24"/>
                <w:highlight w:val="none"/>
              </w:rPr>
              <w:t>发现一次扣</w:t>
            </w:r>
            <w:r>
              <w:rPr>
                <w:rFonts w:hint="eastAsia" w:cs="仿宋"/>
                <w:color w:val="auto"/>
                <w:sz w:val="24"/>
                <w:szCs w:val="24"/>
                <w:highlight w:val="none"/>
                <w:lang w:val="en-US" w:eastAsia="zh-CN"/>
              </w:rPr>
              <w:t>2</w:t>
            </w:r>
            <w:r>
              <w:rPr>
                <w:rFonts w:hint="eastAsia" w:cs="仿宋"/>
                <w:color w:val="auto"/>
                <w:sz w:val="24"/>
                <w:szCs w:val="24"/>
                <w:highlight w:val="none"/>
              </w:rPr>
              <w:t>分</w:t>
            </w:r>
          </w:p>
        </w:tc>
      </w:tr>
      <w:tr w14:paraId="15DDE1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6430AA8A">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p>
        </w:tc>
        <w:tc>
          <w:tcPr>
            <w:tcW w:w="6241" w:type="dxa"/>
            <w:noWrap w:val="0"/>
            <w:vAlign w:val="center"/>
          </w:tcPr>
          <w:p w14:paraId="502C23D5">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.餐具、炊具未按程序清洗、消毒、存放的</w:t>
            </w:r>
          </w:p>
        </w:tc>
        <w:tc>
          <w:tcPr>
            <w:tcW w:w="1965" w:type="dxa"/>
            <w:noWrap w:val="0"/>
            <w:vAlign w:val="center"/>
          </w:tcPr>
          <w:p w14:paraId="495DCD0D">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cs="仿宋"/>
                <w:color w:val="auto"/>
                <w:sz w:val="24"/>
                <w:szCs w:val="24"/>
                <w:highlight w:val="none"/>
              </w:rPr>
              <w:t>发现一次扣1分</w:t>
            </w:r>
          </w:p>
        </w:tc>
      </w:tr>
      <w:tr w14:paraId="12EAE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253DF343">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p>
        </w:tc>
        <w:tc>
          <w:tcPr>
            <w:tcW w:w="6241" w:type="dxa"/>
            <w:noWrap w:val="0"/>
            <w:vAlign w:val="center"/>
          </w:tcPr>
          <w:p w14:paraId="7CC46732">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.清洗后的餐具仍残留</w:t>
            </w:r>
            <w:r>
              <w:rPr>
                <w:rFonts w:ascii="宋体" w:hAnsi="宋体"/>
                <w:color w:val="auto"/>
                <w:sz w:val="24"/>
                <w:szCs w:val="24"/>
                <w:highlight w:val="none"/>
              </w:rPr>
              <w:t>食物残渣</w:t>
            </w:r>
            <w:r>
              <w:rPr>
                <w:rFonts w:hint="eastAsia" w:ascii="宋体" w:hAnsi="宋体"/>
                <w:color w:val="auto"/>
                <w:sz w:val="24"/>
                <w:szCs w:val="24"/>
                <w:highlight w:val="none"/>
              </w:rPr>
              <w:t>，碗筷勺盘等</w:t>
            </w:r>
            <w:r>
              <w:rPr>
                <w:rFonts w:ascii="宋体" w:hAnsi="宋体"/>
                <w:color w:val="auto"/>
                <w:sz w:val="24"/>
                <w:szCs w:val="24"/>
                <w:highlight w:val="none"/>
              </w:rPr>
              <w:t>留有油腻、黑点</w:t>
            </w:r>
            <w:r>
              <w:rPr>
                <w:rFonts w:hint="eastAsia" w:ascii="宋体" w:hAnsi="宋体"/>
                <w:color w:val="auto"/>
                <w:sz w:val="24"/>
                <w:szCs w:val="24"/>
                <w:highlight w:val="none"/>
              </w:rPr>
              <w:t>的</w:t>
            </w:r>
          </w:p>
        </w:tc>
        <w:tc>
          <w:tcPr>
            <w:tcW w:w="1965" w:type="dxa"/>
            <w:noWrap w:val="0"/>
            <w:vAlign w:val="center"/>
          </w:tcPr>
          <w:p w14:paraId="62C3F0AE">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cs="仿宋"/>
                <w:color w:val="auto"/>
                <w:sz w:val="24"/>
                <w:szCs w:val="24"/>
                <w:highlight w:val="none"/>
              </w:rPr>
              <w:t>发现一</w:t>
            </w:r>
            <w:r>
              <w:rPr>
                <w:rFonts w:hint="eastAsia" w:cs="仿宋"/>
                <w:color w:val="auto"/>
                <w:sz w:val="24"/>
                <w:szCs w:val="24"/>
                <w:highlight w:val="none"/>
                <w:lang w:val="en-US" w:eastAsia="zh-CN"/>
              </w:rPr>
              <w:t>样</w:t>
            </w:r>
            <w:r>
              <w:rPr>
                <w:rFonts w:hint="eastAsia" w:cs="仿宋"/>
                <w:color w:val="auto"/>
                <w:sz w:val="24"/>
                <w:szCs w:val="24"/>
                <w:highlight w:val="none"/>
              </w:rPr>
              <w:t>扣</w:t>
            </w:r>
            <w:r>
              <w:rPr>
                <w:rFonts w:hint="eastAsia" w:cs="仿宋"/>
                <w:color w:val="auto"/>
                <w:sz w:val="24"/>
                <w:szCs w:val="24"/>
                <w:highlight w:val="none"/>
                <w:lang w:val="en-US" w:eastAsia="zh-CN"/>
              </w:rPr>
              <w:t>1</w:t>
            </w:r>
            <w:r>
              <w:rPr>
                <w:rFonts w:hint="eastAsia" w:cs="仿宋"/>
                <w:color w:val="auto"/>
                <w:sz w:val="24"/>
                <w:szCs w:val="24"/>
                <w:highlight w:val="none"/>
              </w:rPr>
              <w:t>分</w:t>
            </w:r>
          </w:p>
        </w:tc>
      </w:tr>
      <w:tr w14:paraId="471CA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1D7F360F">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p>
        </w:tc>
        <w:tc>
          <w:tcPr>
            <w:tcW w:w="6241" w:type="dxa"/>
            <w:noWrap w:val="0"/>
            <w:vAlign w:val="center"/>
          </w:tcPr>
          <w:p w14:paraId="6ED25CE3">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.餐厅地面不干净、桌椅有油污的，不及时清理餐桌、窗口供菜台的</w:t>
            </w:r>
          </w:p>
        </w:tc>
        <w:tc>
          <w:tcPr>
            <w:tcW w:w="1965" w:type="dxa"/>
            <w:noWrap w:val="0"/>
            <w:vAlign w:val="center"/>
          </w:tcPr>
          <w:p w14:paraId="08BC4766">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cs="仿宋"/>
                <w:color w:val="auto"/>
                <w:sz w:val="24"/>
                <w:szCs w:val="24"/>
                <w:highlight w:val="none"/>
              </w:rPr>
              <w:t>发现一次扣</w:t>
            </w:r>
            <w:r>
              <w:rPr>
                <w:rFonts w:hint="eastAsia" w:cs="仿宋"/>
                <w:color w:val="auto"/>
                <w:sz w:val="24"/>
                <w:szCs w:val="24"/>
                <w:highlight w:val="none"/>
                <w:lang w:val="en-US" w:eastAsia="zh-CN"/>
              </w:rPr>
              <w:t>1</w:t>
            </w:r>
            <w:r>
              <w:rPr>
                <w:rFonts w:hint="eastAsia" w:cs="仿宋"/>
                <w:color w:val="auto"/>
                <w:sz w:val="24"/>
                <w:szCs w:val="24"/>
                <w:highlight w:val="none"/>
              </w:rPr>
              <w:t>分</w:t>
            </w:r>
          </w:p>
        </w:tc>
      </w:tr>
      <w:tr w14:paraId="3DB5EE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3C8EC12A">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p>
        </w:tc>
        <w:tc>
          <w:tcPr>
            <w:tcW w:w="6241" w:type="dxa"/>
            <w:noWrap w:val="0"/>
            <w:vAlign w:val="center"/>
          </w:tcPr>
          <w:p w14:paraId="44CE8A63">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.工作间地面不干净、有积水和杂物，操作台及灶台未及时清理、打扫的</w:t>
            </w:r>
          </w:p>
        </w:tc>
        <w:tc>
          <w:tcPr>
            <w:tcW w:w="1965" w:type="dxa"/>
            <w:noWrap w:val="0"/>
            <w:vAlign w:val="center"/>
          </w:tcPr>
          <w:p w14:paraId="0BC66530">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cs="仿宋"/>
                <w:color w:val="auto"/>
                <w:sz w:val="24"/>
                <w:szCs w:val="24"/>
                <w:highlight w:val="none"/>
              </w:rPr>
              <w:t>发现一次扣</w:t>
            </w:r>
            <w:r>
              <w:rPr>
                <w:rFonts w:hint="eastAsia" w:cs="仿宋"/>
                <w:color w:val="auto"/>
                <w:sz w:val="24"/>
                <w:szCs w:val="24"/>
                <w:highlight w:val="none"/>
                <w:lang w:val="en-US" w:eastAsia="zh-CN"/>
              </w:rPr>
              <w:t>1</w:t>
            </w:r>
            <w:r>
              <w:rPr>
                <w:rFonts w:hint="eastAsia" w:cs="仿宋"/>
                <w:color w:val="auto"/>
                <w:sz w:val="24"/>
                <w:szCs w:val="24"/>
                <w:highlight w:val="none"/>
              </w:rPr>
              <w:t>分</w:t>
            </w:r>
          </w:p>
        </w:tc>
      </w:tr>
      <w:tr w14:paraId="560BAA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64CBF090">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p>
        </w:tc>
        <w:tc>
          <w:tcPr>
            <w:tcW w:w="6241" w:type="dxa"/>
            <w:noWrap w:val="0"/>
            <w:vAlign w:val="center"/>
          </w:tcPr>
          <w:p w14:paraId="739990DB">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.原辅料（调料）、厨餐具、工具及个人茶杯等物</w:t>
            </w:r>
            <w:r>
              <w:rPr>
                <w:rFonts w:hint="eastAsia" w:ascii="宋体" w:hAnsi="宋体"/>
                <w:color w:val="auto"/>
                <w:sz w:val="24"/>
                <w:szCs w:val="24"/>
                <w:highlight w:val="none"/>
                <w:lang w:eastAsia="zh-CN"/>
              </w:rPr>
              <w:t>放置杂乱</w:t>
            </w:r>
          </w:p>
        </w:tc>
        <w:tc>
          <w:tcPr>
            <w:tcW w:w="1965" w:type="dxa"/>
            <w:noWrap w:val="0"/>
            <w:vAlign w:val="center"/>
          </w:tcPr>
          <w:p w14:paraId="4E2BC663">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cs="仿宋"/>
                <w:color w:val="auto"/>
                <w:sz w:val="24"/>
                <w:szCs w:val="24"/>
                <w:highlight w:val="none"/>
              </w:rPr>
              <w:t>发现一次扣</w:t>
            </w:r>
            <w:r>
              <w:rPr>
                <w:rFonts w:hint="eastAsia" w:cs="仿宋"/>
                <w:color w:val="auto"/>
                <w:sz w:val="24"/>
                <w:szCs w:val="24"/>
                <w:highlight w:val="none"/>
                <w:lang w:val="en-US" w:eastAsia="zh-CN"/>
              </w:rPr>
              <w:t>2</w:t>
            </w:r>
            <w:r>
              <w:rPr>
                <w:rFonts w:hint="eastAsia" w:cs="仿宋"/>
                <w:color w:val="auto"/>
                <w:sz w:val="24"/>
                <w:szCs w:val="24"/>
                <w:highlight w:val="none"/>
              </w:rPr>
              <w:t>分</w:t>
            </w:r>
          </w:p>
        </w:tc>
      </w:tr>
      <w:tr w14:paraId="31B59F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60BFF110">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p>
        </w:tc>
        <w:tc>
          <w:tcPr>
            <w:tcW w:w="6241" w:type="dxa"/>
            <w:noWrap w:val="0"/>
            <w:vAlign w:val="center"/>
          </w:tcPr>
          <w:p w14:paraId="50A15E46">
            <w:pPr>
              <w:keepNext w:val="0"/>
              <w:keepLines w:val="0"/>
              <w:pageBreakBefore w:val="0"/>
              <w:widowControl w:val="0"/>
              <w:kinsoku/>
              <w:wordWrap/>
              <w:overflowPunct/>
              <w:topLinePunct w:val="0"/>
              <w:autoSpaceDE w:val="0"/>
              <w:autoSpaceDN w:val="0"/>
              <w:bidi w:val="0"/>
              <w:adjustRightInd w:val="0"/>
              <w:snapToGrid/>
              <w:spacing w:line="240" w:lineRule="auto"/>
              <w:ind w:left="420" w:hanging="480" w:hanging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w:t>
            </w:r>
            <w:r>
              <w:rPr>
                <w:rFonts w:hint="eastAsia" w:ascii="宋体" w:hAnsi="宋体"/>
                <w:color w:val="auto"/>
                <w:sz w:val="24"/>
                <w:szCs w:val="24"/>
                <w:highlight w:val="none"/>
                <w:lang w:eastAsia="zh-CN"/>
              </w:rPr>
              <w:t>包厢餐具未及时清洗</w:t>
            </w:r>
          </w:p>
        </w:tc>
        <w:tc>
          <w:tcPr>
            <w:tcW w:w="1965" w:type="dxa"/>
            <w:noWrap w:val="0"/>
            <w:vAlign w:val="center"/>
          </w:tcPr>
          <w:p w14:paraId="7A2F66E9">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cs="仿宋"/>
                <w:color w:val="auto"/>
                <w:sz w:val="24"/>
                <w:szCs w:val="24"/>
                <w:highlight w:val="none"/>
              </w:rPr>
              <w:t>发现一次扣</w:t>
            </w:r>
            <w:r>
              <w:rPr>
                <w:rFonts w:hint="eastAsia" w:cs="仿宋"/>
                <w:color w:val="auto"/>
                <w:sz w:val="24"/>
                <w:szCs w:val="24"/>
                <w:highlight w:val="none"/>
                <w:lang w:val="en-US" w:eastAsia="zh-CN"/>
              </w:rPr>
              <w:t>2</w:t>
            </w:r>
            <w:r>
              <w:rPr>
                <w:rFonts w:hint="eastAsia" w:cs="仿宋"/>
                <w:color w:val="auto"/>
                <w:sz w:val="24"/>
                <w:szCs w:val="24"/>
                <w:highlight w:val="none"/>
              </w:rPr>
              <w:t>分</w:t>
            </w:r>
          </w:p>
        </w:tc>
      </w:tr>
      <w:tr w14:paraId="6EE096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42868F31">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p>
        </w:tc>
        <w:tc>
          <w:tcPr>
            <w:tcW w:w="6241" w:type="dxa"/>
            <w:noWrap w:val="0"/>
            <w:vAlign w:val="center"/>
          </w:tcPr>
          <w:p w14:paraId="09B37658">
            <w:pPr>
              <w:keepNext w:val="0"/>
              <w:keepLines w:val="0"/>
              <w:pageBreakBefore w:val="0"/>
              <w:widowControl w:val="0"/>
              <w:kinsoku/>
              <w:wordWrap/>
              <w:overflowPunct/>
              <w:topLinePunct w:val="0"/>
              <w:autoSpaceDE w:val="0"/>
              <w:autoSpaceDN w:val="0"/>
              <w:bidi w:val="0"/>
              <w:adjustRightInd w:val="0"/>
              <w:snapToGrid/>
              <w:spacing w:line="240" w:lineRule="auto"/>
              <w:ind w:left="420" w:hanging="480" w:hangingChars="200"/>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8.包厢地面、卫生间在用餐前2小时未打扫完毕</w:t>
            </w:r>
          </w:p>
        </w:tc>
        <w:tc>
          <w:tcPr>
            <w:tcW w:w="1965" w:type="dxa"/>
            <w:noWrap w:val="0"/>
            <w:vAlign w:val="center"/>
          </w:tcPr>
          <w:p w14:paraId="5BB8DB44">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eastAsia="宋体" w:cs="仿宋"/>
                <w:color w:val="auto"/>
                <w:sz w:val="24"/>
                <w:szCs w:val="24"/>
                <w:highlight w:val="none"/>
                <w:lang w:val="en-US" w:eastAsia="zh-CN"/>
              </w:rPr>
            </w:pPr>
            <w:r>
              <w:rPr>
                <w:rFonts w:hint="eastAsia" w:cs="仿宋"/>
                <w:color w:val="auto"/>
                <w:sz w:val="24"/>
                <w:szCs w:val="24"/>
                <w:highlight w:val="none"/>
                <w:lang w:eastAsia="zh-CN"/>
              </w:rPr>
              <w:t>发现一次扣</w:t>
            </w:r>
            <w:r>
              <w:rPr>
                <w:rFonts w:hint="eastAsia" w:cs="仿宋"/>
                <w:color w:val="auto"/>
                <w:sz w:val="24"/>
                <w:szCs w:val="24"/>
                <w:highlight w:val="none"/>
                <w:lang w:val="en-US" w:eastAsia="zh-CN"/>
              </w:rPr>
              <w:t>2分</w:t>
            </w:r>
          </w:p>
        </w:tc>
      </w:tr>
      <w:tr w14:paraId="430771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restart"/>
            <w:noWrap w:val="0"/>
            <w:vAlign w:val="center"/>
          </w:tcPr>
          <w:p w14:paraId="2082042D">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三</w:t>
            </w:r>
            <w:r>
              <w:rPr>
                <w:rFonts w:hint="eastAsia" w:ascii="宋体" w:hAnsi="宋体"/>
                <w:color w:val="auto"/>
                <w:sz w:val="24"/>
                <w:szCs w:val="24"/>
                <w:highlight w:val="none"/>
              </w:rPr>
              <w:t>、食品</w:t>
            </w:r>
          </w:p>
          <w:p w14:paraId="4929DE36">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宋体" w:hAnsi="宋体"/>
                <w:color w:val="auto"/>
                <w:sz w:val="24"/>
                <w:szCs w:val="24"/>
                <w:highlight w:val="none"/>
              </w:rPr>
            </w:pPr>
            <w:r>
              <w:rPr>
                <w:rFonts w:hint="eastAsia" w:ascii="宋体" w:hAnsi="宋体"/>
                <w:color w:val="auto"/>
                <w:sz w:val="24"/>
                <w:szCs w:val="24"/>
                <w:highlight w:val="none"/>
              </w:rPr>
              <w:t>供应</w:t>
            </w:r>
            <w:r>
              <w:rPr>
                <w:rFonts w:hint="default" w:ascii="宋体" w:hAnsi="宋体"/>
                <w:color w:val="auto"/>
                <w:sz w:val="24"/>
                <w:szCs w:val="24"/>
                <w:highlight w:val="none"/>
              </w:rPr>
              <w:t>及口感</w:t>
            </w:r>
          </w:p>
        </w:tc>
        <w:tc>
          <w:tcPr>
            <w:tcW w:w="6241" w:type="dxa"/>
            <w:noWrap w:val="0"/>
            <w:vAlign w:val="center"/>
          </w:tcPr>
          <w:p w14:paraId="7525C2E8">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早、中、晚餐及接待餐未能及时供应的，等待时间较长的（超过十分钟）</w:t>
            </w:r>
            <w:r>
              <w:rPr>
                <w:rFonts w:hint="eastAsia" w:ascii="宋体" w:hAnsi="宋体"/>
                <w:color w:val="auto"/>
                <w:sz w:val="24"/>
                <w:szCs w:val="24"/>
                <w:highlight w:val="none"/>
              </w:rPr>
              <w:t>；</w:t>
            </w:r>
          </w:p>
        </w:tc>
        <w:tc>
          <w:tcPr>
            <w:tcW w:w="1965" w:type="dxa"/>
            <w:noWrap w:val="0"/>
            <w:vAlign w:val="center"/>
          </w:tcPr>
          <w:p w14:paraId="0CCEC097">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cs="仿宋"/>
                <w:color w:val="auto"/>
                <w:sz w:val="24"/>
                <w:szCs w:val="24"/>
                <w:highlight w:val="none"/>
              </w:rPr>
              <w:t>发现一次扣</w:t>
            </w:r>
            <w:r>
              <w:rPr>
                <w:rFonts w:hint="eastAsia" w:cs="仿宋"/>
                <w:color w:val="auto"/>
                <w:sz w:val="24"/>
                <w:szCs w:val="24"/>
                <w:highlight w:val="none"/>
                <w:lang w:val="en-US" w:eastAsia="zh-CN"/>
              </w:rPr>
              <w:t>1</w:t>
            </w:r>
            <w:r>
              <w:rPr>
                <w:rFonts w:hint="eastAsia" w:cs="仿宋"/>
                <w:color w:val="auto"/>
                <w:sz w:val="24"/>
                <w:szCs w:val="24"/>
                <w:highlight w:val="none"/>
              </w:rPr>
              <w:t>分</w:t>
            </w:r>
          </w:p>
        </w:tc>
      </w:tr>
      <w:tr w14:paraId="40EB7B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0EDB911B">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p>
        </w:tc>
        <w:tc>
          <w:tcPr>
            <w:tcW w:w="6241" w:type="dxa"/>
            <w:noWrap w:val="0"/>
            <w:vAlign w:val="center"/>
          </w:tcPr>
          <w:p w14:paraId="5F708F87">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.剩余</w:t>
            </w:r>
            <w:r>
              <w:rPr>
                <w:rFonts w:hint="eastAsia" w:ascii="宋体" w:hAnsi="宋体"/>
                <w:color w:val="auto"/>
                <w:sz w:val="24"/>
                <w:szCs w:val="24"/>
                <w:highlight w:val="none"/>
                <w:lang w:val="en-US" w:eastAsia="zh-CN"/>
              </w:rPr>
              <w:t>菜品、原材料</w:t>
            </w:r>
            <w:r>
              <w:rPr>
                <w:rFonts w:hint="eastAsia" w:ascii="宋体" w:hAnsi="宋体"/>
                <w:color w:val="auto"/>
                <w:sz w:val="24"/>
                <w:szCs w:val="24"/>
                <w:highlight w:val="none"/>
              </w:rPr>
              <w:t>未经相关管理人员同意擅自倒掉的</w:t>
            </w:r>
            <w:r>
              <w:rPr>
                <w:rFonts w:hint="eastAsia" w:ascii="宋体" w:hAnsi="宋体"/>
                <w:color w:val="auto"/>
                <w:sz w:val="24"/>
                <w:szCs w:val="24"/>
                <w:highlight w:val="none"/>
                <w:lang w:val="en-US" w:eastAsia="zh-CN"/>
              </w:rPr>
              <w:t>或者私自处理的；</w:t>
            </w:r>
          </w:p>
        </w:tc>
        <w:tc>
          <w:tcPr>
            <w:tcW w:w="1965" w:type="dxa"/>
            <w:noWrap w:val="0"/>
            <w:vAlign w:val="center"/>
          </w:tcPr>
          <w:p w14:paraId="2500213E">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cs="仿宋"/>
                <w:color w:val="auto"/>
                <w:sz w:val="24"/>
                <w:szCs w:val="24"/>
                <w:highlight w:val="none"/>
              </w:rPr>
              <w:t>发现一次扣</w:t>
            </w:r>
            <w:r>
              <w:rPr>
                <w:rFonts w:hint="eastAsia" w:cs="仿宋"/>
                <w:color w:val="auto"/>
                <w:sz w:val="24"/>
                <w:szCs w:val="24"/>
                <w:highlight w:val="none"/>
                <w:lang w:val="en-US" w:eastAsia="zh-CN"/>
              </w:rPr>
              <w:t>5</w:t>
            </w:r>
            <w:r>
              <w:rPr>
                <w:rFonts w:hint="eastAsia" w:cs="仿宋"/>
                <w:color w:val="auto"/>
                <w:sz w:val="24"/>
                <w:szCs w:val="24"/>
                <w:highlight w:val="none"/>
              </w:rPr>
              <w:t>分</w:t>
            </w:r>
          </w:p>
        </w:tc>
      </w:tr>
      <w:tr w14:paraId="745B3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2FB428F6">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p>
        </w:tc>
        <w:tc>
          <w:tcPr>
            <w:tcW w:w="6241" w:type="dxa"/>
            <w:noWrap w:val="0"/>
            <w:vAlign w:val="center"/>
          </w:tcPr>
          <w:p w14:paraId="522012A7">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未能准确预估供应量，导致供应不足或者铺张浪费的，经督促整改后仍未落实到位的</w:t>
            </w:r>
            <w:r>
              <w:rPr>
                <w:rFonts w:hint="default" w:ascii="宋体" w:hAnsi="宋体"/>
                <w:color w:val="auto"/>
                <w:sz w:val="24"/>
                <w:szCs w:val="24"/>
                <w:highlight w:val="none"/>
                <w:lang w:eastAsia="zh-CN"/>
              </w:rPr>
              <w:t xml:space="preserve"> </w:t>
            </w:r>
          </w:p>
        </w:tc>
        <w:tc>
          <w:tcPr>
            <w:tcW w:w="1965" w:type="dxa"/>
            <w:noWrap w:val="0"/>
            <w:vAlign w:val="center"/>
          </w:tcPr>
          <w:p w14:paraId="0033A078">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宋体" w:hAnsi="宋体" w:eastAsia="宋体"/>
                <w:color w:val="auto"/>
                <w:sz w:val="24"/>
                <w:szCs w:val="24"/>
                <w:highlight w:val="none"/>
                <w:lang w:val="en-US" w:eastAsia="zh-CN"/>
              </w:rPr>
            </w:pPr>
            <w:r>
              <w:rPr>
                <w:rFonts w:hint="eastAsia" w:cs="仿宋"/>
                <w:color w:val="auto"/>
                <w:sz w:val="24"/>
                <w:szCs w:val="24"/>
                <w:highlight w:val="none"/>
                <w:lang w:val="en-US" w:eastAsia="zh-CN"/>
              </w:rPr>
              <w:t>酌情扣除2-5分</w:t>
            </w:r>
          </w:p>
        </w:tc>
      </w:tr>
      <w:tr w14:paraId="387705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61A63F2E">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p>
        </w:tc>
        <w:tc>
          <w:tcPr>
            <w:tcW w:w="6241" w:type="dxa"/>
            <w:noWrap w:val="0"/>
            <w:vAlign w:val="center"/>
          </w:tcPr>
          <w:p w14:paraId="333898FC">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lang w:val="en-US" w:eastAsia="zh-CN"/>
              </w:rPr>
            </w:pPr>
            <w:r>
              <w:rPr>
                <w:rFonts w:hint="default" w:ascii="宋体" w:hAnsi="宋体"/>
                <w:color w:val="auto"/>
                <w:sz w:val="24"/>
                <w:szCs w:val="24"/>
                <w:highlight w:val="none"/>
                <w:lang w:eastAsia="zh-CN"/>
              </w:rPr>
              <w:t>4.食品种类单一，</w:t>
            </w:r>
            <w:r>
              <w:rPr>
                <w:rFonts w:hint="eastAsia" w:ascii="宋体" w:hAnsi="宋体"/>
                <w:color w:val="auto"/>
                <w:sz w:val="24"/>
                <w:szCs w:val="24"/>
                <w:highlight w:val="none"/>
                <w:lang w:eastAsia="zh-CN"/>
              </w:rPr>
              <w:t>更新频率不够，经</w:t>
            </w:r>
            <w:r>
              <w:rPr>
                <w:rFonts w:hint="default" w:ascii="宋体" w:hAnsi="宋体"/>
                <w:color w:val="auto"/>
                <w:sz w:val="24"/>
                <w:szCs w:val="24"/>
                <w:highlight w:val="none"/>
                <w:lang w:eastAsia="zh-CN"/>
              </w:rPr>
              <w:t>反映后</w:t>
            </w:r>
            <w:r>
              <w:rPr>
                <w:rFonts w:hint="eastAsia" w:ascii="宋体" w:hAnsi="宋体"/>
                <w:color w:val="auto"/>
                <w:sz w:val="24"/>
                <w:szCs w:val="24"/>
                <w:highlight w:val="none"/>
                <w:lang w:eastAsia="zh-CN"/>
              </w:rPr>
              <w:t>仍</w:t>
            </w:r>
            <w:r>
              <w:rPr>
                <w:rFonts w:hint="default" w:ascii="宋体" w:hAnsi="宋体"/>
                <w:color w:val="auto"/>
                <w:sz w:val="24"/>
                <w:szCs w:val="24"/>
                <w:highlight w:val="none"/>
                <w:lang w:eastAsia="zh-CN"/>
              </w:rPr>
              <w:t>未及时调整。</w:t>
            </w:r>
          </w:p>
        </w:tc>
        <w:tc>
          <w:tcPr>
            <w:tcW w:w="1965" w:type="dxa"/>
            <w:noWrap w:val="0"/>
            <w:vAlign w:val="center"/>
          </w:tcPr>
          <w:p w14:paraId="6FB85C1C">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cs="仿宋"/>
                <w:color w:val="auto"/>
                <w:sz w:val="24"/>
                <w:szCs w:val="24"/>
                <w:highlight w:val="none"/>
                <w:lang w:val="en-US" w:eastAsia="zh-CN"/>
              </w:rPr>
            </w:pPr>
            <w:r>
              <w:rPr>
                <w:rFonts w:hint="eastAsia" w:cs="仿宋"/>
                <w:color w:val="auto"/>
                <w:sz w:val="24"/>
                <w:szCs w:val="24"/>
                <w:highlight w:val="none"/>
                <w:lang w:val="en-US" w:eastAsia="zh-CN"/>
              </w:rPr>
              <w:t>酌情扣除2-5分</w:t>
            </w:r>
          </w:p>
        </w:tc>
      </w:tr>
      <w:tr w14:paraId="3103B1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32D1D0F0">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p>
        </w:tc>
        <w:tc>
          <w:tcPr>
            <w:tcW w:w="6241" w:type="dxa"/>
            <w:noWrap w:val="0"/>
            <w:vAlign w:val="center"/>
          </w:tcPr>
          <w:p w14:paraId="0BBD3995">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lang w:val="en-US" w:eastAsia="zh-CN"/>
              </w:rPr>
            </w:pPr>
            <w:r>
              <w:rPr>
                <w:rFonts w:hint="default" w:ascii="宋体" w:hAnsi="宋体"/>
                <w:color w:val="auto"/>
                <w:sz w:val="24"/>
                <w:szCs w:val="24"/>
                <w:highlight w:val="none"/>
                <w:lang w:eastAsia="zh-CN"/>
              </w:rPr>
              <w:t>5.食品口味不佳，经提醒要求改进仍未改善的。</w:t>
            </w:r>
          </w:p>
        </w:tc>
        <w:tc>
          <w:tcPr>
            <w:tcW w:w="1965" w:type="dxa"/>
            <w:noWrap w:val="0"/>
            <w:vAlign w:val="center"/>
          </w:tcPr>
          <w:p w14:paraId="75D543D8">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cs="仿宋"/>
                <w:color w:val="auto"/>
                <w:sz w:val="24"/>
                <w:szCs w:val="24"/>
                <w:highlight w:val="none"/>
                <w:lang w:val="en-US" w:eastAsia="zh-CN"/>
              </w:rPr>
            </w:pPr>
            <w:r>
              <w:rPr>
                <w:rFonts w:hint="eastAsia" w:cs="仿宋"/>
                <w:color w:val="auto"/>
                <w:sz w:val="24"/>
                <w:szCs w:val="24"/>
                <w:highlight w:val="none"/>
                <w:lang w:val="en-US" w:eastAsia="zh-CN"/>
              </w:rPr>
              <w:t>酌情扣除2-5分</w:t>
            </w:r>
          </w:p>
        </w:tc>
      </w:tr>
      <w:tr w14:paraId="3E593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restart"/>
            <w:noWrap w:val="0"/>
            <w:vAlign w:val="center"/>
          </w:tcPr>
          <w:p w14:paraId="103CA819">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、劳动</w:t>
            </w:r>
          </w:p>
          <w:p w14:paraId="2AAD430D">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纪律</w:t>
            </w:r>
          </w:p>
        </w:tc>
        <w:tc>
          <w:tcPr>
            <w:tcW w:w="6241" w:type="dxa"/>
            <w:noWrap w:val="0"/>
            <w:vAlign w:val="center"/>
          </w:tcPr>
          <w:p w14:paraId="085D9F0F">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.未按规定上班或上班（值班）时间擅自离岗、串岗、玩手机、干私活、外出等</w:t>
            </w:r>
          </w:p>
        </w:tc>
        <w:tc>
          <w:tcPr>
            <w:tcW w:w="1965" w:type="dxa"/>
            <w:noWrap w:val="0"/>
            <w:vAlign w:val="center"/>
          </w:tcPr>
          <w:p w14:paraId="02C9A966">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发现一次扣2分</w:t>
            </w:r>
          </w:p>
        </w:tc>
      </w:tr>
      <w:tr w14:paraId="27CA11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32F6D8F6">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p>
        </w:tc>
        <w:tc>
          <w:tcPr>
            <w:tcW w:w="6241" w:type="dxa"/>
            <w:noWrap w:val="0"/>
            <w:vAlign w:val="center"/>
          </w:tcPr>
          <w:p w14:paraId="53F354D2">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.不服管理人员监督管理且无理顶撞的，或只表面应付不及时整改的</w:t>
            </w:r>
          </w:p>
        </w:tc>
        <w:tc>
          <w:tcPr>
            <w:tcW w:w="1965" w:type="dxa"/>
            <w:noWrap w:val="0"/>
            <w:vAlign w:val="center"/>
          </w:tcPr>
          <w:p w14:paraId="43C5FAFA">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cs="仿宋"/>
                <w:color w:val="auto"/>
                <w:sz w:val="24"/>
                <w:szCs w:val="24"/>
                <w:highlight w:val="none"/>
              </w:rPr>
              <w:t>发现一次扣</w:t>
            </w:r>
            <w:r>
              <w:rPr>
                <w:rFonts w:hint="eastAsia" w:cs="仿宋"/>
                <w:color w:val="auto"/>
                <w:sz w:val="24"/>
                <w:szCs w:val="24"/>
                <w:highlight w:val="none"/>
                <w:lang w:val="en-US" w:eastAsia="zh-CN"/>
              </w:rPr>
              <w:t>2</w:t>
            </w:r>
            <w:r>
              <w:rPr>
                <w:rFonts w:hint="eastAsia" w:cs="仿宋"/>
                <w:color w:val="auto"/>
                <w:sz w:val="24"/>
                <w:szCs w:val="24"/>
                <w:highlight w:val="none"/>
              </w:rPr>
              <w:t>分</w:t>
            </w:r>
          </w:p>
        </w:tc>
      </w:tr>
      <w:tr w14:paraId="5650C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3A41A940">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p>
        </w:tc>
        <w:tc>
          <w:tcPr>
            <w:tcW w:w="6241" w:type="dxa"/>
            <w:noWrap w:val="0"/>
            <w:vAlign w:val="center"/>
          </w:tcPr>
          <w:p w14:paraId="763F3A08">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.员工之间搬弄是非、制造矛盾、影响团结或与就餐人员发生争吵的</w:t>
            </w:r>
          </w:p>
        </w:tc>
        <w:tc>
          <w:tcPr>
            <w:tcW w:w="1965" w:type="dxa"/>
            <w:noWrap w:val="0"/>
            <w:vAlign w:val="center"/>
          </w:tcPr>
          <w:p w14:paraId="6905519E">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cs="仿宋"/>
                <w:color w:val="auto"/>
                <w:sz w:val="24"/>
                <w:szCs w:val="24"/>
                <w:highlight w:val="none"/>
              </w:rPr>
              <w:t>发现一次扣</w:t>
            </w:r>
            <w:r>
              <w:rPr>
                <w:rFonts w:hint="eastAsia" w:cs="仿宋"/>
                <w:color w:val="auto"/>
                <w:sz w:val="24"/>
                <w:szCs w:val="24"/>
                <w:highlight w:val="none"/>
                <w:lang w:val="en-US" w:eastAsia="zh-CN"/>
              </w:rPr>
              <w:t>2</w:t>
            </w:r>
            <w:r>
              <w:rPr>
                <w:rFonts w:hint="eastAsia" w:cs="仿宋"/>
                <w:color w:val="auto"/>
                <w:sz w:val="24"/>
                <w:szCs w:val="24"/>
                <w:highlight w:val="none"/>
              </w:rPr>
              <w:t>分</w:t>
            </w:r>
          </w:p>
        </w:tc>
      </w:tr>
      <w:tr w14:paraId="1018D1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294F8409">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p>
        </w:tc>
        <w:tc>
          <w:tcPr>
            <w:tcW w:w="6241" w:type="dxa"/>
            <w:noWrap w:val="0"/>
            <w:vAlign w:val="center"/>
          </w:tcPr>
          <w:p w14:paraId="07577BFD">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.未按规定持有健康证或健康证过期的</w:t>
            </w:r>
          </w:p>
        </w:tc>
        <w:tc>
          <w:tcPr>
            <w:tcW w:w="1965" w:type="dxa"/>
            <w:noWrap w:val="0"/>
            <w:vAlign w:val="center"/>
          </w:tcPr>
          <w:p w14:paraId="37C057E4">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cs="仿宋"/>
                <w:color w:val="auto"/>
                <w:sz w:val="24"/>
                <w:szCs w:val="24"/>
                <w:highlight w:val="none"/>
              </w:rPr>
              <w:t>发现一次扣</w:t>
            </w:r>
            <w:r>
              <w:rPr>
                <w:rFonts w:hint="eastAsia" w:cs="仿宋"/>
                <w:color w:val="auto"/>
                <w:sz w:val="24"/>
                <w:szCs w:val="24"/>
                <w:highlight w:val="none"/>
                <w:lang w:val="en-US" w:eastAsia="zh-CN"/>
              </w:rPr>
              <w:t>2</w:t>
            </w:r>
            <w:r>
              <w:rPr>
                <w:rFonts w:hint="eastAsia" w:cs="仿宋"/>
                <w:color w:val="auto"/>
                <w:sz w:val="24"/>
                <w:szCs w:val="24"/>
                <w:highlight w:val="none"/>
              </w:rPr>
              <w:t>分</w:t>
            </w:r>
          </w:p>
        </w:tc>
      </w:tr>
      <w:tr w14:paraId="3CC30B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1E3E27B7">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p>
        </w:tc>
        <w:tc>
          <w:tcPr>
            <w:tcW w:w="6241" w:type="dxa"/>
            <w:noWrap w:val="0"/>
            <w:vAlign w:val="center"/>
          </w:tcPr>
          <w:p w14:paraId="2FEE0093">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.未按规定着装上岗，</w:t>
            </w:r>
            <w:r>
              <w:rPr>
                <w:rFonts w:hint="eastAsia" w:ascii="宋体" w:hAnsi="宋体"/>
                <w:color w:val="auto"/>
                <w:sz w:val="24"/>
                <w:szCs w:val="24"/>
                <w:highlight w:val="none"/>
                <w:lang w:eastAsia="zh-CN"/>
              </w:rPr>
              <w:t>窗口</w:t>
            </w:r>
            <w:r>
              <w:rPr>
                <w:rFonts w:hint="eastAsia" w:ascii="宋体" w:hAnsi="宋体"/>
                <w:color w:val="auto"/>
                <w:sz w:val="24"/>
                <w:szCs w:val="24"/>
                <w:highlight w:val="none"/>
              </w:rPr>
              <w:t>不戴口罩</w:t>
            </w:r>
            <w:r>
              <w:rPr>
                <w:rFonts w:hint="eastAsia" w:ascii="宋体" w:hAnsi="宋体"/>
                <w:color w:val="auto"/>
                <w:sz w:val="24"/>
                <w:szCs w:val="24"/>
                <w:highlight w:val="none"/>
                <w:lang w:eastAsia="zh-CN"/>
              </w:rPr>
              <w:t>、帽子，</w:t>
            </w:r>
            <w:r>
              <w:rPr>
                <w:rFonts w:hint="eastAsia" w:ascii="宋体" w:hAnsi="宋体"/>
                <w:color w:val="auto"/>
                <w:sz w:val="24"/>
                <w:szCs w:val="24"/>
                <w:highlight w:val="none"/>
              </w:rPr>
              <w:t>工作服不洁</w:t>
            </w:r>
            <w:r>
              <w:rPr>
                <w:rFonts w:hint="eastAsia" w:ascii="宋体" w:hAnsi="宋体"/>
                <w:color w:val="auto"/>
                <w:sz w:val="24"/>
                <w:szCs w:val="24"/>
                <w:highlight w:val="none"/>
                <w:lang w:eastAsia="zh-CN"/>
              </w:rPr>
              <w:t>等</w:t>
            </w:r>
          </w:p>
        </w:tc>
        <w:tc>
          <w:tcPr>
            <w:tcW w:w="1965" w:type="dxa"/>
            <w:noWrap w:val="0"/>
            <w:vAlign w:val="center"/>
          </w:tcPr>
          <w:p w14:paraId="08C5BDAB">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cs="仿宋"/>
                <w:color w:val="auto"/>
                <w:sz w:val="24"/>
                <w:szCs w:val="24"/>
                <w:highlight w:val="none"/>
              </w:rPr>
              <w:t>发现一次扣</w:t>
            </w:r>
            <w:r>
              <w:rPr>
                <w:rFonts w:hint="eastAsia" w:cs="仿宋"/>
                <w:color w:val="auto"/>
                <w:sz w:val="24"/>
                <w:szCs w:val="24"/>
                <w:highlight w:val="none"/>
                <w:lang w:val="en-US" w:eastAsia="zh-CN"/>
              </w:rPr>
              <w:t>1</w:t>
            </w:r>
            <w:r>
              <w:rPr>
                <w:rFonts w:hint="eastAsia" w:cs="仿宋"/>
                <w:color w:val="auto"/>
                <w:sz w:val="24"/>
                <w:szCs w:val="24"/>
                <w:highlight w:val="none"/>
              </w:rPr>
              <w:t>分</w:t>
            </w:r>
          </w:p>
        </w:tc>
      </w:tr>
      <w:tr w14:paraId="4BA28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107C6B22">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p>
        </w:tc>
        <w:tc>
          <w:tcPr>
            <w:tcW w:w="6241" w:type="dxa"/>
            <w:noWrap w:val="0"/>
            <w:vAlign w:val="center"/>
          </w:tcPr>
          <w:p w14:paraId="0F78B920">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.就餐时间食堂工作人员在食堂内边工作边吃饭的</w:t>
            </w:r>
          </w:p>
        </w:tc>
        <w:tc>
          <w:tcPr>
            <w:tcW w:w="1965" w:type="dxa"/>
            <w:noWrap w:val="0"/>
            <w:vAlign w:val="center"/>
          </w:tcPr>
          <w:p w14:paraId="6D6BEFB3">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cs="仿宋"/>
                <w:color w:val="auto"/>
                <w:sz w:val="24"/>
                <w:szCs w:val="24"/>
                <w:highlight w:val="none"/>
              </w:rPr>
              <w:t>发现一次扣</w:t>
            </w:r>
            <w:r>
              <w:rPr>
                <w:rFonts w:hint="eastAsia" w:cs="仿宋"/>
                <w:color w:val="auto"/>
                <w:sz w:val="24"/>
                <w:szCs w:val="24"/>
                <w:highlight w:val="none"/>
                <w:lang w:val="en-US" w:eastAsia="zh-CN"/>
              </w:rPr>
              <w:t>1</w:t>
            </w:r>
            <w:r>
              <w:rPr>
                <w:rFonts w:hint="eastAsia" w:cs="仿宋"/>
                <w:color w:val="auto"/>
                <w:sz w:val="24"/>
                <w:szCs w:val="24"/>
                <w:highlight w:val="none"/>
              </w:rPr>
              <w:t>分</w:t>
            </w:r>
          </w:p>
        </w:tc>
      </w:tr>
      <w:tr w14:paraId="3C3F94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0D605321">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p>
        </w:tc>
        <w:tc>
          <w:tcPr>
            <w:tcW w:w="6241" w:type="dxa"/>
            <w:noWrap w:val="0"/>
            <w:vAlign w:val="center"/>
          </w:tcPr>
          <w:p w14:paraId="3242E141">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.食堂工作人员擅开小灶，工作餐喝酒的</w:t>
            </w:r>
          </w:p>
        </w:tc>
        <w:tc>
          <w:tcPr>
            <w:tcW w:w="1965" w:type="dxa"/>
            <w:noWrap w:val="0"/>
            <w:vAlign w:val="center"/>
          </w:tcPr>
          <w:p w14:paraId="009F5FE3">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cs="仿宋"/>
                <w:color w:val="auto"/>
                <w:sz w:val="24"/>
                <w:szCs w:val="24"/>
                <w:highlight w:val="none"/>
              </w:rPr>
              <w:t>发现一次扣</w:t>
            </w:r>
            <w:r>
              <w:rPr>
                <w:rFonts w:hint="eastAsia" w:cs="仿宋"/>
                <w:color w:val="auto"/>
                <w:sz w:val="24"/>
                <w:szCs w:val="24"/>
                <w:highlight w:val="none"/>
                <w:lang w:val="en-US" w:eastAsia="zh-CN"/>
              </w:rPr>
              <w:t>3</w:t>
            </w:r>
            <w:r>
              <w:rPr>
                <w:rFonts w:hint="eastAsia" w:cs="仿宋"/>
                <w:color w:val="auto"/>
                <w:sz w:val="24"/>
                <w:szCs w:val="24"/>
                <w:highlight w:val="none"/>
              </w:rPr>
              <w:t>分</w:t>
            </w:r>
          </w:p>
        </w:tc>
      </w:tr>
      <w:tr w14:paraId="249DC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15A0DD13">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p>
        </w:tc>
        <w:tc>
          <w:tcPr>
            <w:tcW w:w="6241" w:type="dxa"/>
            <w:noWrap w:val="0"/>
            <w:vAlign w:val="center"/>
          </w:tcPr>
          <w:p w14:paraId="6127B029">
            <w:pPr>
              <w:keepNext w:val="0"/>
              <w:keepLines w:val="0"/>
              <w:pageBreakBefore w:val="0"/>
              <w:widowControl w:val="0"/>
              <w:kinsoku/>
              <w:wordWrap/>
              <w:overflowPunct/>
              <w:topLinePunct w:val="0"/>
              <w:autoSpaceDE w:val="0"/>
              <w:autoSpaceDN w:val="0"/>
              <w:bidi w:val="0"/>
              <w:adjustRightInd w:val="0"/>
              <w:snapToGrid/>
              <w:spacing w:line="240" w:lineRule="auto"/>
              <w:ind w:left="420" w:hanging="480" w:hangingChars="20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.未及时关闭水龙头、天然气、空调、电灯、电子屏等开关，</w:t>
            </w:r>
          </w:p>
          <w:p w14:paraId="14E34A6C">
            <w:pPr>
              <w:keepNext w:val="0"/>
              <w:keepLines w:val="0"/>
              <w:pageBreakBefore w:val="0"/>
              <w:widowControl w:val="0"/>
              <w:kinsoku/>
              <w:wordWrap/>
              <w:overflowPunct/>
              <w:topLinePunct w:val="0"/>
              <w:autoSpaceDE w:val="0"/>
              <w:autoSpaceDN w:val="0"/>
              <w:bidi w:val="0"/>
              <w:adjustRightInd w:val="0"/>
              <w:snapToGrid/>
              <w:spacing w:line="240" w:lineRule="auto"/>
              <w:ind w:left="420" w:hanging="480" w:hanging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下班后未关好食堂门窗的</w:t>
            </w:r>
          </w:p>
        </w:tc>
        <w:tc>
          <w:tcPr>
            <w:tcW w:w="1965" w:type="dxa"/>
            <w:noWrap w:val="0"/>
            <w:vAlign w:val="center"/>
          </w:tcPr>
          <w:p w14:paraId="3E13000C">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cs="仿宋"/>
                <w:color w:val="auto"/>
                <w:sz w:val="24"/>
                <w:szCs w:val="24"/>
                <w:highlight w:val="none"/>
              </w:rPr>
              <w:t>发现一次扣</w:t>
            </w:r>
            <w:r>
              <w:rPr>
                <w:rFonts w:hint="eastAsia" w:cs="仿宋"/>
                <w:color w:val="auto"/>
                <w:sz w:val="24"/>
                <w:szCs w:val="24"/>
                <w:highlight w:val="none"/>
                <w:lang w:val="en-US" w:eastAsia="zh-CN"/>
              </w:rPr>
              <w:t>3</w:t>
            </w:r>
            <w:r>
              <w:rPr>
                <w:rFonts w:hint="eastAsia" w:cs="仿宋"/>
                <w:color w:val="auto"/>
                <w:sz w:val="24"/>
                <w:szCs w:val="24"/>
                <w:highlight w:val="none"/>
              </w:rPr>
              <w:t>分</w:t>
            </w:r>
          </w:p>
        </w:tc>
      </w:tr>
      <w:tr w14:paraId="7020D0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0FFA2FF4">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p>
        </w:tc>
        <w:tc>
          <w:tcPr>
            <w:tcW w:w="6241" w:type="dxa"/>
            <w:noWrap w:val="0"/>
            <w:vAlign w:val="center"/>
          </w:tcPr>
          <w:p w14:paraId="2642CD2F">
            <w:pPr>
              <w:keepNext w:val="0"/>
              <w:keepLines w:val="0"/>
              <w:pageBreakBefore w:val="0"/>
              <w:widowControl w:val="0"/>
              <w:kinsoku/>
              <w:wordWrap/>
              <w:overflowPunct/>
              <w:topLinePunct w:val="0"/>
              <w:autoSpaceDE w:val="0"/>
              <w:autoSpaceDN w:val="0"/>
              <w:bidi w:val="0"/>
              <w:adjustRightInd w:val="0"/>
              <w:snapToGrid/>
              <w:spacing w:line="240" w:lineRule="auto"/>
              <w:ind w:left="420" w:hanging="480" w:hangingChars="20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.擅自带家属、朋友等到餐厅免费就餐的</w:t>
            </w:r>
          </w:p>
        </w:tc>
        <w:tc>
          <w:tcPr>
            <w:tcW w:w="1965" w:type="dxa"/>
            <w:noWrap w:val="0"/>
            <w:vAlign w:val="center"/>
          </w:tcPr>
          <w:p w14:paraId="33E127E2">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cs="仿宋"/>
                <w:color w:val="auto"/>
                <w:sz w:val="24"/>
                <w:szCs w:val="24"/>
                <w:highlight w:val="none"/>
              </w:rPr>
              <w:t>发现一次扣</w:t>
            </w:r>
            <w:r>
              <w:rPr>
                <w:rFonts w:hint="eastAsia" w:cs="仿宋"/>
                <w:color w:val="auto"/>
                <w:sz w:val="24"/>
                <w:szCs w:val="24"/>
                <w:highlight w:val="none"/>
                <w:lang w:val="en-US" w:eastAsia="zh-CN"/>
              </w:rPr>
              <w:t>2</w:t>
            </w:r>
            <w:r>
              <w:rPr>
                <w:rFonts w:hint="eastAsia" w:cs="仿宋"/>
                <w:color w:val="auto"/>
                <w:sz w:val="24"/>
                <w:szCs w:val="24"/>
                <w:highlight w:val="none"/>
              </w:rPr>
              <w:t>分</w:t>
            </w:r>
          </w:p>
        </w:tc>
      </w:tr>
      <w:tr w14:paraId="4954F7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0D9E6328">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p>
        </w:tc>
        <w:tc>
          <w:tcPr>
            <w:tcW w:w="6241" w:type="dxa"/>
            <w:noWrap w:val="0"/>
            <w:vAlign w:val="center"/>
          </w:tcPr>
          <w:p w14:paraId="34BBD763">
            <w:pPr>
              <w:keepNext w:val="0"/>
              <w:keepLines w:val="0"/>
              <w:pageBreakBefore w:val="0"/>
              <w:widowControl w:val="0"/>
              <w:kinsoku/>
              <w:wordWrap/>
              <w:overflowPunct/>
              <w:topLinePunct w:val="0"/>
              <w:autoSpaceDE w:val="0"/>
              <w:autoSpaceDN w:val="0"/>
              <w:bidi w:val="0"/>
              <w:adjustRightInd w:val="0"/>
              <w:snapToGrid/>
              <w:spacing w:line="240" w:lineRule="auto"/>
              <w:ind w:left="420" w:hanging="480" w:hangingChars="20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.操作中捞吃水果、点心、熟食等食品（厨师烹饪品味除外）；</w:t>
            </w:r>
          </w:p>
          <w:p w14:paraId="2309BA73">
            <w:pPr>
              <w:keepNext w:val="0"/>
              <w:keepLines w:val="0"/>
              <w:pageBreakBefore w:val="0"/>
              <w:widowControl w:val="0"/>
              <w:kinsoku/>
              <w:wordWrap/>
              <w:overflowPunct/>
              <w:topLinePunct w:val="0"/>
              <w:autoSpaceDE w:val="0"/>
              <w:autoSpaceDN w:val="0"/>
              <w:bidi w:val="0"/>
              <w:adjustRightInd w:val="0"/>
              <w:snapToGrid/>
              <w:spacing w:line="240" w:lineRule="auto"/>
              <w:ind w:left="420" w:hanging="480" w:hangingChars="200"/>
              <w:textAlignment w:val="auto"/>
              <w:rPr>
                <w:rFonts w:hint="eastAsia" w:ascii="宋体" w:hAnsi="宋体"/>
                <w:color w:val="auto"/>
                <w:sz w:val="24"/>
                <w:szCs w:val="24"/>
                <w:highlight w:val="none"/>
              </w:rPr>
            </w:pPr>
            <w:r>
              <w:rPr>
                <w:rFonts w:hint="eastAsia" w:ascii="宋体" w:hAnsi="宋体"/>
                <w:color w:val="auto"/>
                <w:sz w:val="24"/>
                <w:szCs w:val="24"/>
                <w:highlight w:val="none"/>
              </w:rPr>
              <w:t>未经统一安排，擅自捞吃餐后剩余水果食品的</w:t>
            </w:r>
          </w:p>
        </w:tc>
        <w:tc>
          <w:tcPr>
            <w:tcW w:w="1965" w:type="dxa"/>
            <w:noWrap w:val="0"/>
            <w:vAlign w:val="center"/>
          </w:tcPr>
          <w:p w14:paraId="416537DA">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cs="仿宋"/>
                <w:color w:val="auto"/>
                <w:sz w:val="24"/>
                <w:szCs w:val="24"/>
                <w:highlight w:val="none"/>
              </w:rPr>
              <w:t>发现一次扣</w:t>
            </w:r>
            <w:r>
              <w:rPr>
                <w:rFonts w:hint="eastAsia" w:cs="仿宋"/>
                <w:color w:val="auto"/>
                <w:sz w:val="24"/>
                <w:szCs w:val="24"/>
                <w:highlight w:val="none"/>
                <w:lang w:val="en-US" w:eastAsia="zh-CN"/>
              </w:rPr>
              <w:t>1</w:t>
            </w:r>
            <w:r>
              <w:rPr>
                <w:rFonts w:hint="eastAsia" w:cs="仿宋"/>
                <w:color w:val="auto"/>
                <w:sz w:val="24"/>
                <w:szCs w:val="24"/>
                <w:highlight w:val="none"/>
              </w:rPr>
              <w:t>分</w:t>
            </w:r>
          </w:p>
        </w:tc>
      </w:tr>
      <w:tr w14:paraId="52615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restart"/>
            <w:noWrap w:val="0"/>
            <w:vAlign w:val="center"/>
          </w:tcPr>
          <w:p w14:paraId="7C8E2A91">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五、日常</w:t>
            </w:r>
          </w:p>
          <w:p w14:paraId="7464F386">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管理</w:t>
            </w:r>
          </w:p>
        </w:tc>
        <w:tc>
          <w:tcPr>
            <w:tcW w:w="6241" w:type="dxa"/>
            <w:noWrap w:val="0"/>
            <w:vAlign w:val="center"/>
          </w:tcPr>
          <w:p w14:paraId="1360FDB9">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.食堂打卡处无人值守</w:t>
            </w:r>
            <w:r>
              <w:rPr>
                <w:rFonts w:hint="eastAsia" w:ascii="宋体" w:hAnsi="宋体"/>
                <w:color w:val="auto"/>
                <w:sz w:val="24"/>
                <w:szCs w:val="24"/>
                <w:highlight w:val="none"/>
                <w:lang w:eastAsia="zh-CN"/>
              </w:rPr>
              <w:t>，</w:t>
            </w:r>
            <w:r>
              <w:rPr>
                <w:rFonts w:hint="eastAsia" w:ascii="宋体" w:hAnsi="宋体"/>
                <w:color w:val="auto"/>
                <w:sz w:val="24"/>
                <w:szCs w:val="24"/>
                <w:highlight w:val="none"/>
              </w:rPr>
              <w:t>随意放入未打卡或未交餐券者的</w:t>
            </w:r>
          </w:p>
        </w:tc>
        <w:tc>
          <w:tcPr>
            <w:tcW w:w="1965" w:type="dxa"/>
            <w:noWrap w:val="0"/>
            <w:vAlign w:val="center"/>
          </w:tcPr>
          <w:p w14:paraId="6F75296E">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cs="仿宋"/>
                <w:color w:val="auto"/>
                <w:sz w:val="24"/>
                <w:szCs w:val="24"/>
                <w:highlight w:val="none"/>
              </w:rPr>
              <w:t>发现一次扣</w:t>
            </w:r>
            <w:r>
              <w:rPr>
                <w:rFonts w:hint="eastAsia" w:cs="仿宋"/>
                <w:color w:val="auto"/>
                <w:sz w:val="24"/>
                <w:szCs w:val="24"/>
                <w:highlight w:val="none"/>
                <w:lang w:val="en-US" w:eastAsia="zh-CN"/>
              </w:rPr>
              <w:t>1</w:t>
            </w:r>
            <w:r>
              <w:rPr>
                <w:rFonts w:hint="eastAsia" w:cs="仿宋"/>
                <w:color w:val="auto"/>
                <w:sz w:val="24"/>
                <w:szCs w:val="24"/>
                <w:highlight w:val="none"/>
              </w:rPr>
              <w:t>分</w:t>
            </w:r>
          </w:p>
        </w:tc>
      </w:tr>
      <w:tr w14:paraId="1024C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04C25549">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p>
        </w:tc>
        <w:tc>
          <w:tcPr>
            <w:tcW w:w="6241" w:type="dxa"/>
            <w:noWrap w:val="0"/>
            <w:vAlign w:val="center"/>
          </w:tcPr>
          <w:p w14:paraId="0D4BB754">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.故意损坏食堂公物的</w:t>
            </w:r>
          </w:p>
        </w:tc>
        <w:tc>
          <w:tcPr>
            <w:tcW w:w="1965" w:type="dxa"/>
            <w:noWrap w:val="0"/>
            <w:vAlign w:val="center"/>
          </w:tcPr>
          <w:p w14:paraId="61620AEC">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olor w:val="auto"/>
                <w:sz w:val="24"/>
                <w:szCs w:val="24"/>
                <w:highlight w:val="none"/>
                <w:lang w:eastAsia="zh-CN"/>
              </w:rPr>
            </w:pPr>
            <w:r>
              <w:rPr>
                <w:rFonts w:hint="eastAsia" w:cs="仿宋"/>
                <w:color w:val="auto"/>
                <w:sz w:val="24"/>
                <w:szCs w:val="24"/>
                <w:highlight w:val="none"/>
                <w:lang w:eastAsia="zh-CN"/>
              </w:rPr>
              <w:t>照价赔偿</w:t>
            </w:r>
          </w:p>
        </w:tc>
      </w:tr>
      <w:tr w14:paraId="41F24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71FF7492">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p>
        </w:tc>
        <w:tc>
          <w:tcPr>
            <w:tcW w:w="6241" w:type="dxa"/>
            <w:noWrap w:val="0"/>
            <w:vAlign w:val="center"/>
          </w:tcPr>
          <w:p w14:paraId="4E51EF51">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.私藏、留存或拿走</w:t>
            </w:r>
            <w:r>
              <w:rPr>
                <w:rFonts w:hint="eastAsia" w:ascii="宋体" w:hAnsi="宋体"/>
                <w:color w:val="auto"/>
                <w:sz w:val="24"/>
                <w:szCs w:val="24"/>
                <w:highlight w:val="none"/>
                <w:lang w:eastAsia="zh-CN"/>
              </w:rPr>
              <w:t>原材料、</w:t>
            </w:r>
            <w:r>
              <w:rPr>
                <w:rFonts w:hint="eastAsia" w:ascii="宋体" w:hAnsi="宋体"/>
                <w:color w:val="auto"/>
                <w:sz w:val="24"/>
                <w:szCs w:val="24"/>
                <w:highlight w:val="none"/>
              </w:rPr>
              <w:t>菜肴、水果、糕点等食品（物资）或就餐人员的遗留物品的</w:t>
            </w:r>
          </w:p>
        </w:tc>
        <w:tc>
          <w:tcPr>
            <w:tcW w:w="1965" w:type="dxa"/>
            <w:noWrap w:val="0"/>
            <w:vAlign w:val="center"/>
          </w:tcPr>
          <w:p w14:paraId="264CB678">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cs="仿宋"/>
                <w:color w:val="auto"/>
                <w:sz w:val="24"/>
                <w:szCs w:val="24"/>
                <w:highlight w:val="none"/>
              </w:rPr>
              <w:t>发现一次扣</w:t>
            </w:r>
            <w:r>
              <w:rPr>
                <w:rFonts w:hint="eastAsia" w:cs="仿宋"/>
                <w:color w:val="auto"/>
                <w:sz w:val="24"/>
                <w:szCs w:val="24"/>
                <w:highlight w:val="none"/>
                <w:lang w:val="en-US" w:eastAsia="zh-CN"/>
              </w:rPr>
              <w:t>10</w:t>
            </w:r>
            <w:r>
              <w:rPr>
                <w:rFonts w:hint="eastAsia" w:cs="仿宋"/>
                <w:color w:val="auto"/>
                <w:sz w:val="24"/>
                <w:szCs w:val="24"/>
                <w:highlight w:val="none"/>
              </w:rPr>
              <w:t>分</w:t>
            </w:r>
          </w:p>
        </w:tc>
      </w:tr>
      <w:tr w14:paraId="239BE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2C023C61">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p>
        </w:tc>
        <w:tc>
          <w:tcPr>
            <w:tcW w:w="6241" w:type="dxa"/>
            <w:noWrap w:val="0"/>
            <w:vAlign w:val="center"/>
          </w:tcPr>
          <w:p w14:paraId="256EF53A">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w:t>
            </w:r>
            <w:r>
              <w:rPr>
                <w:rFonts w:hint="eastAsia" w:ascii="宋体" w:hAnsi="宋体"/>
                <w:color w:val="auto"/>
                <w:sz w:val="24"/>
                <w:szCs w:val="24"/>
                <w:highlight w:val="none"/>
                <w:lang w:eastAsia="zh-CN"/>
              </w:rPr>
              <w:t>未按规定建立及完成相关台账</w:t>
            </w:r>
          </w:p>
        </w:tc>
        <w:tc>
          <w:tcPr>
            <w:tcW w:w="1965" w:type="dxa"/>
            <w:noWrap w:val="0"/>
            <w:vAlign w:val="center"/>
          </w:tcPr>
          <w:p w14:paraId="66F449CD">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cs="仿宋"/>
                <w:color w:val="auto"/>
                <w:sz w:val="24"/>
                <w:szCs w:val="24"/>
                <w:highlight w:val="none"/>
              </w:rPr>
              <w:t>发现一次扣</w:t>
            </w:r>
            <w:r>
              <w:rPr>
                <w:rFonts w:hint="eastAsia" w:cs="仿宋"/>
                <w:color w:val="auto"/>
                <w:sz w:val="24"/>
                <w:szCs w:val="24"/>
                <w:highlight w:val="none"/>
                <w:lang w:val="en-US" w:eastAsia="zh-CN"/>
              </w:rPr>
              <w:t>2</w:t>
            </w:r>
            <w:r>
              <w:rPr>
                <w:rFonts w:hint="eastAsia" w:cs="仿宋"/>
                <w:color w:val="auto"/>
                <w:sz w:val="24"/>
                <w:szCs w:val="24"/>
                <w:highlight w:val="none"/>
              </w:rPr>
              <w:t>分</w:t>
            </w:r>
          </w:p>
        </w:tc>
      </w:tr>
      <w:tr w14:paraId="306CAA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067F5F9C">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p>
        </w:tc>
        <w:tc>
          <w:tcPr>
            <w:tcW w:w="6241" w:type="dxa"/>
            <w:noWrap w:val="0"/>
            <w:vAlign w:val="center"/>
          </w:tcPr>
          <w:p w14:paraId="4FA4590C">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w:t>
            </w:r>
            <w:r>
              <w:rPr>
                <w:rFonts w:hint="eastAsia" w:ascii="宋体" w:hAnsi="宋体"/>
                <w:color w:val="auto"/>
                <w:sz w:val="24"/>
                <w:szCs w:val="24"/>
                <w:highlight w:val="none"/>
                <w:lang w:eastAsia="zh-CN"/>
              </w:rPr>
              <w:t>反食品浪费工作不到位</w:t>
            </w:r>
          </w:p>
        </w:tc>
        <w:tc>
          <w:tcPr>
            <w:tcW w:w="1965" w:type="dxa"/>
            <w:noWrap w:val="0"/>
            <w:vAlign w:val="center"/>
          </w:tcPr>
          <w:p w14:paraId="28C778AF">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宋体" w:hAnsi="宋体" w:eastAsia="宋体"/>
                <w:color w:val="auto"/>
                <w:sz w:val="24"/>
                <w:szCs w:val="24"/>
                <w:highlight w:val="none"/>
                <w:lang w:val="en-US" w:eastAsia="zh-CN"/>
              </w:rPr>
            </w:pPr>
            <w:r>
              <w:rPr>
                <w:rFonts w:hint="eastAsia" w:cs="仿宋"/>
                <w:color w:val="auto"/>
                <w:sz w:val="24"/>
                <w:szCs w:val="24"/>
                <w:highlight w:val="none"/>
                <w:lang w:eastAsia="zh-CN"/>
              </w:rPr>
              <w:t>酌情扣除</w:t>
            </w:r>
            <w:r>
              <w:rPr>
                <w:rFonts w:hint="eastAsia" w:cs="仿宋"/>
                <w:color w:val="auto"/>
                <w:sz w:val="24"/>
                <w:szCs w:val="24"/>
                <w:highlight w:val="none"/>
                <w:lang w:val="en-US" w:eastAsia="zh-CN"/>
              </w:rPr>
              <w:t>2-5分</w:t>
            </w:r>
          </w:p>
        </w:tc>
      </w:tr>
      <w:tr w14:paraId="70C35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339F7E19">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p>
        </w:tc>
        <w:tc>
          <w:tcPr>
            <w:tcW w:w="6241" w:type="dxa"/>
            <w:noWrap w:val="0"/>
            <w:vAlign w:val="center"/>
          </w:tcPr>
          <w:p w14:paraId="2B99FE57">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.被就餐人员投诉（经核实确有过错并造成影响）的</w:t>
            </w:r>
          </w:p>
        </w:tc>
        <w:tc>
          <w:tcPr>
            <w:tcW w:w="1965" w:type="dxa"/>
            <w:noWrap w:val="0"/>
            <w:vAlign w:val="center"/>
          </w:tcPr>
          <w:p w14:paraId="06BD47F0">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发现一次扣2分</w:t>
            </w:r>
          </w:p>
        </w:tc>
      </w:tr>
      <w:tr w14:paraId="726AC7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07B05609">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p>
        </w:tc>
        <w:tc>
          <w:tcPr>
            <w:tcW w:w="6241" w:type="dxa"/>
            <w:noWrap w:val="0"/>
            <w:vAlign w:val="center"/>
          </w:tcPr>
          <w:p w14:paraId="4D8CD2D5">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.相关管理人员未及时参与验菜的</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或者未及时对不良菜品提出意见的</w:t>
            </w:r>
          </w:p>
        </w:tc>
        <w:tc>
          <w:tcPr>
            <w:tcW w:w="1965" w:type="dxa"/>
            <w:noWrap w:val="0"/>
            <w:vAlign w:val="center"/>
          </w:tcPr>
          <w:p w14:paraId="0702E6BB">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cs="仿宋"/>
                <w:color w:val="auto"/>
                <w:sz w:val="24"/>
                <w:szCs w:val="24"/>
                <w:highlight w:val="none"/>
              </w:rPr>
              <w:t>发现一次扣</w:t>
            </w:r>
            <w:r>
              <w:rPr>
                <w:rFonts w:hint="eastAsia" w:cs="仿宋"/>
                <w:color w:val="auto"/>
                <w:sz w:val="24"/>
                <w:szCs w:val="24"/>
                <w:highlight w:val="none"/>
                <w:lang w:val="en-US" w:eastAsia="zh-CN"/>
              </w:rPr>
              <w:t>3</w:t>
            </w:r>
            <w:r>
              <w:rPr>
                <w:rFonts w:hint="eastAsia" w:cs="仿宋"/>
                <w:color w:val="auto"/>
                <w:sz w:val="24"/>
                <w:szCs w:val="24"/>
                <w:highlight w:val="none"/>
              </w:rPr>
              <w:t>分</w:t>
            </w:r>
          </w:p>
        </w:tc>
      </w:tr>
      <w:tr w14:paraId="1C8A95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2D283828">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p>
        </w:tc>
        <w:tc>
          <w:tcPr>
            <w:tcW w:w="6241" w:type="dxa"/>
            <w:noWrap w:val="0"/>
            <w:vAlign w:val="center"/>
          </w:tcPr>
          <w:p w14:paraId="6742165C">
            <w:pPr>
              <w:pStyle w:val="11"/>
              <w:keepNext w:val="0"/>
              <w:keepLines w:val="0"/>
              <w:pageBreakBefore w:val="0"/>
              <w:widowControl w:val="0"/>
              <w:tabs>
                <w:tab w:val="left" w:pos="1275"/>
              </w:tabs>
              <w:kinsoku/>
              <w:wordWrap/>
              <w:overflowPunct/>
              <w:topLinePunct w:val="0"/>
              <w:autoSpaceDE w:val="0"/>
              <w:autoSpaceDN w:val="0"/>
              <w:bidi w:val="0"/>
              <w:adjustRightInd w:val="0"/>
              <w:snapToGrid/>
              <w:spacing w:line="240" w:lineRule="auto"/>
              <w:ind w:left="0" w:leftChars="0" w:firstLine="0" w:firstLineChars="0"/>
              <w:textAlignment w:val="auto"/>
              <w:rPr>
                <w:rFonts w:hint="eastAsia" w:ascii="宋体" w:hAnsi="宋体"/>
                <w:color w:val="auto"/>
                <w:sz w:val="24"/>
                <w:szCs w:val="24"/>
                <w:highlight w:val="none"/>
                <w:lang w:val="en-US" w:eastAsia="zh-CN"/>
              </w:rPr>
            </w:pPr>
            <w:r>
              <w:rPr>
                <w:rFonts w:hint="eastAsia"/>
                <w:color w:val="auto"/>
                <w:sz w:val="24"/>
                <w:szCs w:val="24"/>
                <w:highlight w:val="none"/>
                <w:lang w:val="en-US" w:eastAsia="zh-CN"/>
              </w:rPr>
              <w:t>8</w:t>
            </w:r>
            <w:r>
              <w:rPr>
                <w:rFonts w:hint="default"/>
                <w:color w:val="auto"/>
                <w:sz w:val="24"/>
                <w:szCs w:val="24"/>
                <w:highlight w:val="none"/>
              </w:rPr>
              <w:t>.多次反映的问题未及时整改落实</w:t>
            </w:r>
          </w:p>
        </w:tc>
        <w:tc>
          <w:tcPr>
            <w:tcW w:w="1965" w:type="dxa"/>
            <w:noWrap w:val="0"/>
            <w:vAlign w:val="center"/>
          </w:tcPr>
          <w:p w14:paraId="44AEB116">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酌情扣除2-5分</w:t>
            </w:r>
          </w:p>
        </w:tc>
      </w:tr>
      <w:tr w14:paraId="7ABC7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7EF2B2FE">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p>
        </w:tc>
        <w:tc>
          <w:tcPr>
            <w:tcW w:w="6241" w:type="dxa"/>
            <w:noWrap w:val="0"/>
            <w:vAlign w:val="center"/>
          </w:tcPr>
          <w:p w14:paraId="289E2755">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宋体" w:hAnsi="宋体"/>
                <w:color w:val="auto"/>
                <w:sz w:val="24"/>
                <w:szCs w:val="24"/>
                <w:highlight w:val="none"/>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.其他违反</w:t>
            </w:r>
            <w:r>
              <w:rPr>
                <w:rFonts w:hint="eastAsia" w:ascii="宋体" w:hAnsi="宋体"/>
                <w:color w:val="auto"/>
                <w:sz w:val="24"/>
                <w:szCs w:val="24"/>
                <w:highlight w:val="none"/>
                <w:lang w:eastAsia="zh-CN"/>
              </w:rPr>
              <w:t>本局</w:t>
            </w:r>
            <w:r>
              <w:rPr>
                <w:rFonts w:hint="eastAsia" w:ascii="宋体" w:hAnsi="宋体"/>
                <w:color w:val="auto"/>
                <w:sz w:val="24"/>
                <w:szCs w:val="24"/>
                <w:highlight w:val="none"/>
              </w:rPr>
              <w:t>相关规定的</w:t>
            </w:r>
            <w:r>
              <w:rPr>
                <w:rFonts w:hint="default" w:ascii="宋体" w:hAnsi="宋体"/>
                <w:color w:val="auto"/>
                <w:sz w:val="24"/>
                <w:szCs w:val="24"/>
                <w:highlight w:val="none"/>
              </w:rPr>
              <w:t xml:space="preserve">    </w:t>
            </w:r>
          </w:p>
        </w:tc>
        <w:tc>
          <w:tcPr>
            <w:tcW w:w="1965" w:type="dxa"/>
            <w:noWrap w:val="0"/>
            <w:vAlign w:val="center"/>
          </w:tcPr>
          <w:p w14:paraId="550AE9F5">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酌情扣</w:t>
            </w:r>
            <w:r>
              <w:rPr>
                <w:rFonts w:hint="eastAsia" w:ascii="宋体" w:hAnsi="宋体"/>
                <w:color w:val="auto"/>
                <w:sz w:val="24"/>
                <w:szCs w:val="24"/>
                <w:highlight w:val="none"/>
                <w:lang w:val="en-US" w:eastAsia="zh-CN"/>
              </w:rPr>
              <w:t>2-10分</w:t>
            </w:r>
          </w:p>
        </w:tc>
      </w:tr>
      <w:tr w14:paraId="6CBBF9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1CD20794">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p>
        </w:tc>
        <w:tc>
          <w:tcPr>
            <w:tcW w:w="6241" w:type="dxa"/>
            <w:noWrap w:val="0"/>
            <w:vAlign w:val="center"/>
          </w:tcPr>
          <w:p w14:paraId="4A9EB295">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10.在满意度测评中平均满意度低于85%的，扣5分；低于80%的扣10分，低于75%的扣15分。</w:t>
            </w:r>
          </w:p>
        </w:tc>
        <w:tc>
          <w:tcPr>
            <w:tcW w:w="1965" w:type="dxa"/>
            <w:noWrap w:val="0"/>
            <w:vAlign w:val="center"/>
          </w:tcPr>
          <w:p w14:paraId="19AB74E9">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按测评情况扣分</w:t>
            </w:r>
          </w:p>
        </w:tc>
      </w:tr>
      <w:tr w14:paraId="70D577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restart"/>
            <w:noWrap w:val="0"/>
            <w:vAlign w:val="center"/>
          </w:tcPr>
          <w:p w14:paraId="641821EE">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六、加分项</w:t>
            </w:r>
          </w:p>
        </w:tc>
        <w:tc>
          <w:tcPr>
            <w:tcW w:w="6241" w:type="dxa"/>
            <w:noWrap w:val="0"/>
            <w:vAlign w:val="center"/>
          </w:tcPr>
          <w:p w14:paraId="679E9236">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1、提供合理化建议而被采纳的</w:t>
            </w:r>
          </w:p>
        </w:tc>
        <w:tc>
          <w:tcPr>
            <w:tcW w:w="1965" w:type="dxa"/>
            <w:noWrap w:val="0"/>
            <w:vAlign w:val="center"/>
          </w:tcPr>
          <w:p w14:paraId="48A363F7">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eastAsia="zh-CN"/>
              </w:rPr>
              <w:t>酌情加</w:t>
            </w:r>
            <w:r>
              <w:rPr>
                <w:rFonts w:hint="eastAsia" w:ascii="宋体" w:hAnsi="宋体"/>
                <w:color w:val="auto"/>
                <w:sz w:val="24"/>
                <w:szCs w:val="24"/>
                <w:highlight w:val="none"/>
                <w:lang w:val="en-US" w:eastAsia="zh-CN"/>
              </w:rPr>
              <w:t>1-2分</w:t>
            </w:r>
          </w:p>
        </w:tc>
      </w:tr>
      <w:tr w14:paraId="1F562F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3A72B862">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lang w:eastAsia="zh-CN"/>
              </w:rPr>
            </w:pPr>
          </w:p>
        </w:tc>
        <w:tc>
          <w:tcPr>
            <w:tcW w:w="6241" w:type="dxa"/>
            <w:noWrap w:val="0"/>
            <w:vAlign w:val="center"/>
          </w:tcPr>
          <w:p w14:paraId="3D650D40">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2、创新菜品，并获得就餐人员好评的</w:t>
            </w:r>
          </w:p>
        </w:tc>
        <w:tc>
          <w:tcPr>
            <w:tcW w:w="1965" w:type="dxa"/>
            <w:noWrap w:val="0"/>
            <w:vAlign w:val="center"/>
          </w:tcPr>
          <w:p w14:paraId="33EBABCA">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eastAsia="zh-CN"/>
              </w:rPr>
              <w:t>酌情加</w:t>
            </w:r>
            <w:r>
              <w:rPr>
                <w:rFonts w:hint="eastAsia" w:ascii="宋体" w:hAnsi="宋体"/>
                <w:color w:val="auto"/>
                <w:sz w:val="24"/>
                <w:szCs w:val="24"/>
                <w:highlight w:val="none"/>
                <w:lang w:val="en-US" w:eastAsia="zh-CN"/>
              </w:rPr>
              <w:t>1-2分</w:t>
            </w:r>
          </w:p>
        </w:tc>
      </w:tr>
      <w:tr w14:paraId="532E39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22" w:type="dxa"/>
            <w:vMerge w:val="continue"/>
            <w:noWrap w:val="0"/>
            <w:vAlign w:val="center"/>
          </w:tcPr>
          <w:p w14:paraId="3C34C164">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lang w:eastAsia="zh-CN"/>
              </w:rPr>
            </w:pPr>
          </w:p>
        </w:tc>
        <w:tc>
          <w:tcPr>
            <w:tcW w:w="6241" w:type="dxa"/>
            <w:noWrap w:val="0"/>
            <w:vAlign w:val="center"/>
          </w:tcPr>
          <w:p w14:paraId="4F2A790B">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3、接待餐制作，获得领导好评的</w:t>
            </w:r>
          </w:p>
        </w:tc>
        <w:tc>
          <w:tcPr>
            <w:tcW w:w="1965" w:type="dxa"/>
            <w:noWrap w:val="0"/>
            <w:vAlign w:val="center"/>
          </w:tcPr>
          <w:p w14:paraId="4EDDB235">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酌情加</w:t>
            </w:r>
            <w:r>
              <w:rPr>
                <w:rFonts w:hint="eastAsia" w:ascii="宋体" w:hAnsi="宋体"/>
                <w:color w:val="auto"/>
                <w:sz w:val="24"/>
                <w:szCs w:val="24"/>
                <w:highlight w:val="none"/>
                <w:lang w:val="en-US" w:eastAsia="zh-CN"/>
              </w:rPr>
              <w:t>1-2分</w:t>
            </w:r>
          </w:p>
        </w:tc>
      </w:tr>
    </w:tbl>
    <w:p w14:paraId="63AC18E6"/>
    <w:p w14:paraId="35244CA0"/>
    <w:p w14:paraId="42F2C407">
      <w:pPr>
        <w:jc w:val="center"/>
        <w:rPr>
          <w:color w:val="auto"/>
          <w:highlight w:val="none"/>
        </w:rPr>
      </w:pPr>
      <w:r>
        <w:rPr>
          <w:color w:val="auto"/>
          <w:highlight w:val="none"/>
        </w:rPr>
        <w:br w:type="page"/>
      </w:r>
    </w:p>
    <w:p w14:paraId="030C87C3">
      <w:pPr>
        <w:pStyle w:val="2"/>
        <w:jc w:val="center"/>
        <w:rPr>
          <w:rFonts w:cs="Times New Roman"/>
          <w:color w:val="auto"/>
          <w:sz w:val="36"/>
          <w:szCs w:val="36"/>
          <w:highlight w:val="none"/>
        </w:rPr>
      </w:pPr>
      <w:bookmarkStart w:id="156" w:name="_Toc26435"/>
      <w:bookmarkStart w:id="157" w:name="_Toc4669"/>
      <w:bookmarkStart w:id="158" w:name="_Toc17952"/>
      <w:bookmarkStart w:id="159" w:name="_Toc31834"/>
      <w:bookmarkStart w:id="160" w:name="_Toc7690"/>
      <w:bookmarkStart w:id="161" w:name="_Toc23315"/>
      <w:r>
        <w:rPr>
          <w:rFonts w:hint="eastAsia" w:cs="宋体"/>
          <w:color w:val="auto"/>
          <w:sz w:val="36"/>
          <w:szCs w:val="36"/>
          <w:highlight w:val="none"/>
        </w:rPr>
        <w:t>第六部分</w:t>
      </w:r>
      <w:r>
        <w:rPr>
          <w:color w:val="auto"/>
          <w:sz w:val="36"/>
          <w:szCs w:val="36"/>
          <w:highlight w:val="none"/>
        </w:rPr>
        <w:t xml:space="preserve"> </w:t>
      </w:r>
      <w:r>
        <w:rPr>
          <w:rFonts w:hint="eastAsia" w:cs="宋体"/>
          <w:color w:val="auto"/>
          <w:sz w:val="36"/>
          <w:szCs w:val="36"/>
          <w:highlight w:val="none"/>
        </w:rPr>
        <w:t>应提交的有关格式范例</w:t>
      </w:r>
      <w:bookmarkEnd w:id="156"/>
      <w:bookmarkEnd w:id="157"/>
      <w:bookmarkEnd w:id="158"/>
      <w:bookmarkEnd w:id="159"/>
      <w:bookmarkEnd w:id="160"/>
      <w:bookmarkEnd w:id="161"/>
    </w:p>
    <w:p w14:paraId="382C6D92">
      <w:pPr>
        <w:spacing w:line="360" w:lineRule="auto"/>
        <w:ind w:firstLine="480" w:firstLineChars="200"/>
        <w:outlineLvl w:val="9"/>
        <w:rPr>
          <w:rFonts w:ascii="宋体"/>
          <w:color w:val="auto"/>
          <w:sz w:val="24"/>
          <w:szCs w:val="24"/>
          <w:highlight w:val="none"/>
        </w:rPr>
      </w:pPr>
    </w:p>
    <w:p w14:paraId="22219781">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供应商按照以下格式编制响应文件，</w:t>
      </w:r>
      <w:r>
        <w:rPr>
          <w:rFonts w:hint="eastAsia" w:ascii="宋体" w:hAnsi="宋体" w:cs="宋体"/>
          <w:b/>
          <w:bCs/>
          <w:color w:val="auto"/>
          <w:sz w:val="24"/>
          <w:szCs w:val="24"/>
          <w:highlight w:val="none"/>
        </w:rPr>
        <w:t>“资格文件”、“商务技术文件”、“报价文件”须分</w:t>
      </w:r>
      <w:r>
        <w:rPr>
          <w:rFonts w:ascii="宋体" w:hAnsi="宋体" w:cs="宋体"/>
          <w:b/>
          <w:bCs/>
          <w:color w:val="auto"/>
          <w:sz w:val="24"/>
          <w:szCs w:val="24"/>
          <w:highlight w:val="none"/>
        </w:rPr>
        <w:t>3</w:t>
      </w:r>
      <w:r>
        <w:rPr>
          <w:rFonts w:hint="eastAsia" w:ascii="宋体" w:hAnsi="宋体" w:cs="宋体"/>
          <w:b/>
          <w:bCs/>
          <w:color w:val="auto"/>
          <w:sz w:val="24"/>
          <w:szCs w:val="24"/>
          <w:highlight w:val="none"/>
        </w:rPr>
        <w:t>个</w:t>
      </w:r>
      <w:r>
        <w:rPr>
          <w:rFonts w:ascii="宋体" w:hAnsi="宋体" w:cs="宋体"/>
          <w:b/>
          <w:bCs/>
          <w:color w:val="auto"/>
          <w:sz w:val="24"/>
          <w:szCs w:val="24"/>
          <w:highlight w:val="none"/>
        </w:rPr>
        <w:t>PDF</w:t>
      </w:r>
      <w:r>
        <w:rPr>
          <w:rFonts w:hint="eastAsia" w:ascii="宋体" w:hAnsi="宋体" w:cs="宋体"/>
          <w:b/>
          <w:bCs/>
          <w:color w:val="auto"/>
          <w:sz w:val="24"/>
          <w:szCs w:val="24"/>
          <w:highlight w:val="none"/>
        </w:rPr>
        <w:t>格式分别导入。</w:t>
      </w:r>
    </w:p>
    <w:p w14:paraId="03324FD8">
      <w:pPr>
        <w:spacing w:line="360" w:lineRule="auto"/>
        <w:ind w:firstLine="482" w:firstLineChars="200"/>
        <w:rPr>
          <w:rFonts w:ascii="宋体"/>
          <w:b/>
          <w:bCs/>
          <w:color w:val="auto"/>
          <w:sz w:val="24"/>
          <w:szCs w:val="24"/>
          <w:highlight w:val="none"/>
        </w:rPr>
      </w:pPr>
      <w:r>
        <w:rPr>
          <w:rFonts w:hint="eastAsia" w:ascii="宋体" w:hAnsi="宋体" w:cs="宋体"/>
          <w:b/>
          <w:bCs/>
          <w:color w:val="auto"/>
          <w:sz w:val="24"/>
          <w:szCs w:val="24"/>
          <w:highlight w:val="none"/>
        </w:rPr>
        <w:t>此格式内容仅为参考模板，具体内容供应商应根据磋商文件要求进行调整。未按以下格式编制响应文件或因格式不规范、页码不清等原因引发的一切后果由供应商自行承担。</w:t>
      </w:r>
    </w:p>
    <w:p w14:paraId="2695B52E">
      <w:pPr>
        <w:spacing w:line="360" w:lineRule="auto"/>
        <w:jc w:val="center"/>
        <w:rPr>
          <w:rFonts w:ascii="宋体"/>
          <w:b/>
          <w:bCs/>
          <w:color w:val="auto"/>
          <w:sz w:val="36"/>
          <w:szCs w:val="36"/>
          <w:highlight w:val="none"/>
        </w:rPr>
      </w:pPr>
      <w:r>
        <w:rPr>
          <w:rFonts w:ascii="宋体"/>
          <w:b/>
          <w:bCs/>
          <w:color w:val="auto"/>
          <w:sz w:val="24"/>
          <w:szCs w:val="24"/>
          <w:highlight w:val="none"/>
        </w:rPr>
        <w:br w:type="page"/>
      </w:r>
      <w:bookmarkStart w:id="162" w:name="_Toc16598"/>
      <w:bookmarkStart w:id="163" w:name="_Toc6473"/>
      <w:bookmarkStart w:id="164" w:name="_Toc1492"/>
      <w:r>
        <w:rPr>
          <w:rFonts w:hint="eastAsia" w:ascii="宋体" w:hAnsi="宋体" w:cs="宋体"/>
          <w:b/>
          <w:bCs/>
          <w:color w:val="auto"/>
          <w:sz w:val="36"/>
          <w:szCs w:val="36"/>
          <w:highlight w:val="none"/>
        </w:rPr>
        <w:t>资格文件部分</w:t>
      </w:r>
      <w:bookmarkEnd w:id="162"/>
      <w:bookmarkEnd w:id="163"/>
      <w:bookmarkEnd w:id="164"/>
    </w:p>
    <w:p w14:paraId="22DB6563">
      <w:pPr>
        <w:spacing w:line="360" w:lineRule="auto"/>
        <w:jc w:val="center"/>
        <w:rPr>
          <w:rFonts w:ascii="宋体"/>
          <w:b/>
          <w:bCs/>
          <w:color w:val="auto"/>
          <w:sz w:val="36"/>
          <w:szCs w:val="36"/>
          <w:highlight w:val="none"/>
        </w:rPr>
      </w:pPr>
    </w:p>
    <w:p w14:paraId="0E9B9D51">
      <w:pPr>
        <w:spacing w:line="360" w:lineRule="auto"/>
        <w:jc w:val="center"/>
        <w:rPr>
          <w:rFonts w:ascii="宋体"/>
          <w:b/>
          <w:bCs/>
          <w:color w:val="auto"/>
          <w:sz w:val="36"/>
          <w:szCs w:val="36"/>
          <w:highlight w:val="none"/>
        </w:rPr>
      </w:pPr>
      <w:r>
        <w:rPr>
          <w:rFonts w:hint="eastAsia" w:ascii="宋体" w:hAnsi="宋体" w:cs="宋体"/>
          <w:b/>
          <w:bCs/>
          <w:color w:val="auto"/>
          <w:sz w:val="36"/>
          <w:szCs w:val="36"/>
          <w:highlight w:val="none"/>
        </w:rPr>
        <w:t>目录</w:t>
      </w:r>
    </w:p>
    <w:p w14:paraId="35B516B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eastAsia="宋体"/>
          <w:color w:val="auto"/>
          <w:szCs w:val="24"/>
          <w:highlight w:val="none"/>
          <w:lang w:val="en-US" w:eastAsia="zh-CN"/>
        </w:rPr>
      </w:pPr>
      <w:bookmarkStart w:id="165" w:name="_Toc861"/>
      <w:bookmarkStart w:id="166" w:name="_Toc32507"/>
      <w:bookmarkStart w:id="167" w:name="_Toc32046"/>
      <w:r>
        <w:rPr>
          <w:rFonts w:hint="eastAsia" w:ascii="宋体" w:hAnsi="宋体" w:eastAsia="宋体" w:cs="宋体"/>
          <w:sz w:val="24"/>
          <w:szCs w:val="24"/>
        </w:rPr>
        <w:t>（1）</w:t>
      </w:r>
      <w:bookmarkEnd w:id="165"/>
      <w:bookmarkEnd w:id="166"/>
      <w:bookmarkEnd w:id="167"/>
      <w:r>
        <w:rPr>
          <w:rFonts w:hint="eastAsia" w:ascii="宋体" w:hAnsi="宋体" w:eastAsia="宋体" w:cs="宋体"/>
          <w:sz w:val="24"/>
          <w:szCs w:val="24"/>
        </w:rPr>
        <w:t>法定代表人身份证明书（法定代表人参加）或法定代表人授权书（被授权人参加）（格式见附件）</w:t>
      </w:r>
      <w:r>
        <w:rPr>
          <w:rFonts w:hint="eastAsia" w:ascii="宋体" w:hAnsi="宋体" w:eastAsia="宋体" w:cs="宋体"/>
          <w:sz w:val="24"/>
          <w:szCs w:val="24"/>
          <w:lang w:eastAsia="zh-CN"/>
        </w:rPr>
        <w:t>；</w:t>
      </w:r>
    </w:p>
    <w:p w14:paraId="088E552C">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）营业执照</w:t>
      </w:r>
      <w:r>
        <w:rPr>
          <w:rFonts w:ascii="宋体" w:hAnsi="宋体" w:cs="宋体"/>
          <w:color w:val="auto"/>
          <w:sz w:val="24"/>
          <w:szCs w:val="24"/>
          <w:highlight w:val="none"/>
        </w:rPr>
        <w:t>(</w:t>
      </w:r>
      <w:r>
        <w:rPr>
          <w:rFonts w:hint="eastAsia" w:ascii="宋体" w:hAnsi="宋体" w:cs="宋体"/>
          <w:color w:val="auto"/>
          <w:sz w:val="24"/>
          <w:szCs w:val="24"/>
          <w:highlight w:val="none"/>
        </w:rPr>
        <w:t>或事业法人登记证或其他工商等登记证明材料</w:t>
      </w:r>
      <w:r>
        <w:rPr>
          <w:rFonts w:ascii="宋体" w:hAnsi="宋体" w:cs="宋体"/>
          <w:color w:val="auto"/>
          <w:sz w:val="24"/>
          <w:szCs w:val="24"/>
          <w:highlight w:val="none"/>
        </w:rPr>
        <w:t>)</w:t>
      </w:r>
      <w:r>
        <w:rPr>
          <w:rFonts w:hint="eastAsia" w:ascii="宋体" w:hAnsi="宋体" w:cs="宋体"/>
          <w:color w:val="auto"/>
          <w:sz w:val="24"/>
          <w:szCs w:val="24"/>
          <w:highlight w:val="none"/>
        </w:rPr>
        <w:t>复印件、税务登记证</w:t>
      </w:r>
      <w:r>
        <w:rPr>
          <w:rFonts w:ascii="宋体" w:hAnsi="宋体" w:cs="宋体"/>
          <w:color w:val="auto"/>
          <w:sz w:val="24"/>
          <w:szCs w:val="24"/>
          <w:highlight w:val="none"/>
        </w:rPr>
        <w:t>(</w:t>
      </w:r>
      <w:r>
        <w:rPr>
          <w:rFonts w:hint="eastAsia" w:ascii="宋体" w:hAnsi="宋体" w:cs="宋体"/>
          <w:color w:val="auto"/>
          <w:sz w:val="24"/>
          <w:szCs w:val="24"/>
          <w:highlight w:val="none"/>
        </w:rPr>
        <w:t>或其它缴纳证明材料</w:t>
      </w:r>
      <w:r>
        <w:rPr>
          <w:rFonts w:ascii="宋体" w:hAnsi="宋体" w:cs="宋体"/>
          <w:color w:val="auto"/>
          <w:sz w:val="24"/>
          <w:szCs w:val="24"/>
          <w:highlight w:val="none"/>
        </w:rPr>
        <w:t>)</w:t>
      </w:r>
      <w:r>
        <w:rPr>
          <w:rFonts w:hint="eastAsia" w:ascii="宋体" w:hAnsi="宋体" w:cs="宋体"/>
          <w:color w:val="auto"/>
          <w:sz w:val="24"/>
          <w:szCs w:val="24"/>
          <w:highlight w:val="none"/>
        </w:rPr>
        <w:t>复印件、社保登记证（或其它缴纳证明材料）复印件；实施“五证合一、一照一码”登记制度改革的，只需提供改革后取得的营业执照复印件；事业单位的，则提供有效的《事业单位法人证书》副本复印件并加盖单位公章；</w:t>
      </w:r>
    </w:p>
    <w:p w14:paraId="7328A19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响应文件中提供相关材料），证明其具备实际承担责任的能力和法定的缔结合同能力，可以独立参加政府采购活动，由单位负责人签署相关文件材料；</w:t>
      </w:r>
    </w:p>
    <w:p w14:paraId="680C61D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（3）具有履行合同所必需的产品和专业技术能力的承诺函；</w:t>
      </w:r>
    </w:p>
    <w:p w14:paraId="35D1131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（4）投标人承诺函（格式见附件）；</w:t>
      </w:r>
    </w:p>
    <w:p w14:paraId="50D8130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中小企业声明函（格式见附件）； </w:t>
      </w:r>
    </w:p>
    <w:p w14:paraId="4A192D0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残疾人福利性单位声明函(如有)（格式见附件）；</w:t>
      </w:r>
    </w:p>
    <w:p w14:paraId="6E5AE4C8">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监狱企业证明文件(如有)（格式见附件）</w:t>
      </w:r>
      <w:r>
        <w:rPr>
          <w:rFonts w:hint="eastAsia" w:ascii="宋体" w:hAnsi="宋体" w:cs="宋体"/>
          <w:color w:val="auto"/>
          <w:sz w:val="24"/>
          <w:szCs w:val="24"/>
          <w:highlight w:val="none"/>
          <w:lang w:eastAsia="zh-CN"/>
        </w:rPr>
        <w:t>。</w:t>
      </w:r>
    </w:p>
    <w:p w14:paraId="3719A5A7">
      <w:pPr>
        <w:pStyle w:val="2"/>
        <w:rPr>
          <w:color w:val="auto"/>
          <w:highlight w:val="none"/>
        </w:rPr>
      </w:pPr>
    </w:p>
    <w:p w14:paraId="3D9416BB">
      <w:pPr>
        <w:pStyle w:val="13"/>
        <w:ind w:firstLine="486"/>
        <w:rPr>
          <w:rFonts w:cs="Times New Roman"/>
          <w:color w:val="auto"/>
          <w:highlight w:val="none"/>
        </w:rPr>
      </w:pPr>
    </w:p>
    <w:p w14:paraId="04D94255">
      <w:pPr>
        <w:pStyle w:val="13"/>
        <w:ind w:firstLine="486"/>
        <w:rPr>
          <w:rFonts w:cs="Times New Roman"/>
          <w:color w:val="auto"/>
          <w:highlight w:val="none"/>
        </w:rPr>
      </w:pPr>
    </w:p>
    <w:p w14:paraId="5020FE6C">
      <w:pPr>
        <w:rPr>
          <w:rFonts w:ascii="宋体"/>
          <w:color w:val="auto"/>
          <w:highlight w:val="none"/>
        </w:rPr>
      </w:pPr>
      <w:r>
        <w:rPr>
          <w:rFonts w:ascii="宋体"/>
          <w:color w:val="auto"/>
          <w:highlight w:val="none"/>
        </w:rPr>
        <w:br w:type="page"/>
      </w:r>
      <w:bookmarkStart w:id="168" w:name="_Toc24699"/>
    </w:p>
    <w:p w14:paraId="33DAD99B">
      <w:pPr>
        <w:rPr>
          <w:b/>
          <w:bCs/>
          <w:color w:val="auto"/>
          <w:sz w:val="24"/>
          <w:szCs w:val="24"/>
          <w:highlight w:val="none"/>
        </w:rPr>
      </w:pPr>
      <w:r>
        <w:rPr>
          <w:rFonts w:hint="eastAsia" w:cs="宋体"/>
          <w:b/>
          <w:bCs/>
          <w:color w:val="auto"/>
          <w:sz w:val="24"/>
          <w:szCs w:val="24"/>
          <w:highlight w:val="none"/>
        </w:rPr>
        <w:t>附件一：</w:t>
      </w:r>
    </w:p>
    <w:bookmarkEnd w:id="168"/>
    <w:p w14:paraId="0FB1FF74">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法定代表人授权委托书（格式）</w:t>
      </w:r>
    </w:p>
    <w:p w14:paraId="4BCFA030">
      <w:pPr>
        <w:keepNext w:val="0"/>
        <w:keepLines w:val="0"/>
        <w:kinsoku/>
        <w:wordWrap/>
        <w:overflowPunct/>
        <w:topLinePunct w:val="0"/>
        <w:autoSpaceDE/>
        <w:autoSpaceDN/>
        <w:bidi w:val="0"/>
        <w:ind w:firstLine="0" w:firstLineChars="0"/>
        <w:jc w:val="center"/>
        <w:textAlignment w:val="auto"/>
        <w:rPr>
          <w:rFonts w:hint="eastAsia" w:ascii="宋体" w:hAnsi="宋体" w:eastAsia="宋体" w:cs="宋体"/>
          <w:b/>
          <w:color w:val="auto"/>
          <w:sz w:val="24"/>
          <w:szCs w:val="24"/>
          <w:highlight w:val="none"/>
        </w:rPr>
      </w:pPr>
    </w:p>
    <w:p w14:paraId="6C1D1099">
      <w:pPr>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eastAsia="宋体" w:cs="宋体"/>
          <w:color w:val="auto"/>
          <w:sz w:val="24"/>
          <w:szCs w:val="24"/>
          <w:highlight w:val="none"/>
          <w:u w:val="single"/>
        </w:rPr>
        <w:t xml:space="preserve">         (填写姓名)</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（填写</w:t>
      </w:r>
      <w:r>
        <w:rPr>
          <w:rFonts w:hint="eastAsia" w:ascii="宋体" w:hAnsi="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单位全称）</w:t>
      </w:r>
      <w:r>
        <w:rPr>
          <w:rFonts w:hint="eastAsia" w:ascii="宋体" w:hAnsi="宋体" w:eastAsia="宋体" w:cs="宋体"/>
          <w:color w:val="auto"/>
          <w:sz w:val="24"/>
          <w:szCs w:val="24"/>
          <w:highlight w:val="none"/>
        </w:rPr>
        <w:t>的法定代表人，现授权委托</w:t>
      </w:r>
      <w:r>
        <w:rPr>
          <w:rFonts w:hint="eastAsia" w:ascii="宋体" w:hAnsi="宋体" w:eastAsia="宋体" w:cs="宋体"/>
          <w:color w:val="auto"/>
          <w:sz w:val="24"/>
          <w:szCs w:val="24"/>
          <w:highlight w:val="none"/>
          <w:u w:val="single"/>
        </w:rPr>
        <w:t xml:space="preserve">                  （填写单位全称）</w:t>
      </w:r>
      <w:r>
        <w:rPr>
          <w:rFonts w:hint="eastAsia" w:ascii="宋体" w:hAnsi="宋体" w:eastAsia="宋体" w:cs="宋体"/>
          <w:color w:val="auto"/>
          <w:sz w:val="24"/>
          <w:szCs w:val="24"/>
          <w:highlight w:val="none"/>
        </w:rPr>
        <w:t>的（填写姓名）为我公司授权代表，</w:t>
      </w:r>
      <w:r>
        <w:rPr>
          <w:rFonts w:hint="eastAsia" w:ascii="宋体" w:hAnsi="宋体" w:eastAsia="宋体" w:cs="宋体"/>
          <w:color w:val="auto"/>
          <w:sz w:val="24"/>
          <w:szCs w:val="24"/>
          <w:highlight w:val="none"/>
          <w:u w:val="single"/>
        </w:rPr>
        <w:t>（填写身份证号码：          ）</w:t>
      </w:r>
      <w:r>
        <w:rPr>
          <w:rFonts w:hint="eastAsia" w:ascii="宋体" w:hAnsi="宋体" w:eastAsia="宋体" w:cs="宋体"/>
          <w:color w:val="auto"/>
          <w:sz w:val="24"/>
          <w:szCs w:val="24"/>
          <w:highlight w:val="none"/>
        </w:rPr>
        <w:t>。以本公司的名义参加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组织的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投标活动。授权代表在开标、评标、合同</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过程中所签署的一切文件和处理与之有关的一切事务，我均予以承认。</w:t>
      </w:r>
    </w:p>
    <w:p w14:paraId="2941F13C">
      <w:pPr>
        <w:snapToGrid w:val="0"/>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在撤销授权的书面通知以前，本授权书一直有效。全权代表在授权书有效期内签署的所有文件不因授权的撤销而失效。</w:t>
      </w:r>
    </w:p>
    <w:p w14:paraId="437BBE92">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授权代表无转委托权。特此委托。</w:t>
      </w:r>
    </w:p>
    <w:p w14:paraId="0FE60265">
      <w:pPr>
        <w:snapToGrid w:val="0"/>
        <w:spacing w:line="600" w:lineRule="exact"/>
        <w:jc w:val="left"/>
        <w:rPr>
          <w:rFonts w:hint="eastAsia" w:ascii="宋体" w:hAnsi="宋体" w:eastAsia="宋体" w:cs="宋体"/>
          <w:color w:val="auto"/>
          <w:sz w:val="24"/>
          <w:szCs w:val="24"/>
          <w:highlight w:val="none"/>
        </w:rPr>
      </w:pPr>
    </w:p>
    <w:p w14:paraId="430618CE">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授权代表姓名：              性别：               年龄：</w:t>
      </w:r>
    </w:p>
    <w:p w14:paraId="1BF5C79F">
      <w:pPr>
        <w:spacing w:line="360" w:lineRule="exact"/>
        <w:rPr>
          <w:rFonts w:hint="eastAsia" w:ascii="宋体" w:hAnsi="宋体" w:eastAsia="宋体" w:cs="宋体"/>
          <w:color w:val="auto"/>
          <w:sz w:val="24"/>
          <w:szCs w:val="24"/>
          <w:highlight w:val="none"/>
        </w:rPr>
      </w:pPr>
    </w:p>
    <w:p w14:paraId="0092F92C">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                      部门：               职务：</w:t>
      </w:r>
    </w:p>
    <w:p w14:paraId="04FA5CFD">
      <w:pPr>
        <w:spacing w:line="360" w:lineRule="exact"/>
        <w:rPr>
          <w:rFonts w:hint="eastAsia" w:ascii="宋体" w:hAnsi="宋体" w:eastAsia="宋体" w:cs="宋体"/>
          <w:color w:val="auto"/>
          <w:sz w:val="24"/>
          <w:szCs w:val="24"/>
          <w:highlight w:val="none"/>
        </w:rPr>
      </w:pPr>
    </w:p>
    <w:p w14:paraId="5957266E">
      <w:pPr>
        <w:widowControl/>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办公地址：                  联系电话：           传真：</w:t>
      </w:r>
    </w:p>
    <w:p w14:paraId="1B3303B0">
      <w:pPr>
        <w:spacing w:line="360" w:lineRule="exact"/>
        <w:rPr>
          <w:rFonts w:hint="eastAsia" w:ascii="宋体" w:hAnsi="宋体" w:eastAsia="宋体" w:cs="宋体"/>
          <w:color w:val="auto"/>
          <w:sz w:val="24"/>
          <w:szCs w:val="24"/>
          <w:highlight w:val="none"/>
        </w:rPr>
      </w:pPr>
    </w:p>
    <w:p w14:paraId="60723FF5">
      <w:pPr>
        <w:spacing w:line="360" w:lineRule="exact"/>
        <w:rPr>
          <w:rFonts w:hint="eastAsia" w:ascii="宋体" w:hAnsi="宋体" w:eastAsia="宋体" w:cs="宋体"/>
          <w:color w:val="auto"/>
          <w:sz w:val="24"/>
          <w:szCs w:val="24"/>
          <w:highlight w:val="none"/>
        </w:rPr>
      </w:pPr>
    </w:p>
    <w:p w14:paraId="43B633EB">
      <w:pPr>
        <w:spacing w:line="36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（电子签章）：</w:t>
      </w:r>
    </w:p>
    <w:p w14:paraId="75A6C165">
      <w:pPr>
        <w:spacing w:line="360" w:lineRule="exact"/>
        <w:rPr>
          <w:rFonts w:hint="eastAsia" w:ascii="宋体" w:hAnsi="宋体" w:eastAsia="宋体" w:cs="宋体"/>
          <w:color w:val="auto"/>
          <w:sz w:val="24"/>
          <w:szCs w:val="24"/>
          <w:highlight w:val="none"/>
        </w:rPr>
      </w:pPr>
    </w:p>
    <w:p w14:paraId="37AC4246">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370C981B">
      <w:pPr>
        <w:spacing w:line="360" w:lineRule="exact"/>
        <w:rPr>
          <w:rFonts w:hint="eastAsia" w:ascii="宋体" w:hAnsi="宋体" w:eastAsia="宋体" w:cs="宋体"/>
          <w:color w:val="auto"/>
          <w:sz w:val="24"/>
          <w:szCs w:val="24"/>
          <w:highlight w:val="none"/>
        </w:rPr>
      </w:pPr>
    </w:p>
    <w:p w14:paraId="0F62936A">
      <w:pPr>
        <w:ind w:firstLine="5280" w:firstLineChars="2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30CEEACE">
      <w:pPr>
        <w:spacing w:line="800" w:lineRule="exac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附：</w:t>
      </w:r>
    </w:p>
    <w:p w14:paraId="1DE129BB">
      <w:pPr>
        <w:numPr>
          <w:ilvl w:val="0"/>
          <w:numId w:val="31"/>
        </w:numPr>
        <w:spacing w:line="360" w:lineRule="exact"/>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法定代表人及其授权代表身份证扫描件（正反面）</w:t>
      </w:r>
    </w:p>
    <w:p w14:paraId="0B987E16">
      <w:pPr>
        <w:numPr>
          <w:ilvl w:val="0"/>
          <w:numId w:val="31"/>
        </w:numPr>
        <w:spacing w:line="36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被</w:t>
      </w:r>
      <w:r>
        <w:rPr>
          <w:rFonts w:hint="eastAsia" w:ascii="宋体" w:hAnsi="宋体" w:eastAsia="宋体" w:cs="宋体"/>
          <w:color w:val="auto"/>
          <w:sz w:val="24"/>
          <w:szCs w:val="24"/>
          <w:highlight w:val="none"/>
        </w:rPr>
        <w:t>授权代表社保证明（</w:t>
      </w:r>
      <w:r>
        <w:rPr>
          <w:rFonts w:hint="eastAsia" w:ascii="宋体" w:hAnsi="宋体" w:eastAsia="宋体" w:cs="宋体"/>
          <w:color w:val="auto"/>
          <w:sz w:val="24"/>
          <w:szCs w:val="24"/>
          <w:highlight w:val="none"/>
          <w:lang w:val="en-US" w:eastAsia="zh-CN"/>
        </w:rPr>
        <w:t>扫描</w:t>
      </w:r>
      <w:r>
        <w:rPr>
          <w:rFonts w:hint="eastAsia" w:ascii="宋体" w:hAnsi="宋体" w:eastAsia="宋体" w:cs="宋体"/>
          <w:color w:val="auto"/>
          <w:sz w:val="24"/>
          <w:szCs w:val="24"/>
          <w:highlight w:val="none"/>
        </w:rPr>
        <w:t>件）</w:t>
      </w:r>
    </w:p>
    <w:p w14:paraId="2BF13ECF">
      <w:pPr>
        <w:snapToGrid w:val="0"/>
        <w:spacing w:before="50" w:after="120" w:afterLines="50"/>
        <w:jc w:val="left"/>
        <w:rPr>
          <w:rFonts w:hint="eastAsia" w:ascii="宋体" w:hAnsi="宋体" w:cs="宋体"/>
          <w:b/>
          <w:bCs/>
          <w:color w:val="auto"/>
          <w:sz w:val="24"/>
          <w:highlight w:val="none"/>
          <w:lang w:val="zh-CN"/>
        </w:rPr>
      </w:pPr>
    </w:p>
    <w:p w14:paraId="7E148333">
      <w:pPr>
        <w:snapToGrid w:val="0"/>
        <w:spacing w:before="50" w:after="120" w:afterLines="50"/>
        <w:jc w:val="left"/>
        <w:rPr>
          <w:rFonts w:hint="eastAsia" w:ascii="宋体" w:hAnsi="宋体" w:cs="宋体"/>
          <w:b/>
          <w:bCs/>
          <w:color w:val="auto"/>
          <w:sz w:val="24"/>
          <w:highlight w:val="none"/>
          <w:lang w:val="zh-CN"/>
        </w:rPr>
      </w:pPr>
    </w:p>
    <w:p w14:paraId="377700F2">
      <w:pPr>
        <w:numPr>
          <w:ilvl w:val="0"/>
          <w:numId w:val="0"/>
        </w:numPr>
        <w:spacing w:line="3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w:t>
      </w:r>
    </w:p>
    <w:p w14:paraId="5FEDB689">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法定代表人身份证明书(格式)</w:t>
      </w:r>
    </w:p>
    <w:p w14:paraId="1BECF462">
      <w:pPr>
        <w:spacing w:line="440" w:lineRule="exact"/>
        <w:rPr>
          <w:rFonts w:hint="eastAsia" w:ascii="宋体" w:hAnsi="宋体" w:eastAsia="宋体" w:cs="宋体"/>
          <w:color w:val="auto"/>
          <w:sz w:val="32"/>
          <w:szCs w:val="32"/>
          <w:highlight w:val="none"/>
        </w:rPr>
      </w:pPr>
    </w:p>
    <w:p w14:paraId="0F9356A0">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p>
    <w:p w14:paraId="0EE95052">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00CFD0F7">
      <w:pPr>
        <w:spacing w:line="440" w:lineRule="exact"/>
        <w:ind w:right="268" w:rightChars="13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p>
    <w:p w14:paraId="36B6741D">
      <w:pPr>
        <w:spacing w:line="440" w:lineRule="exact"/>
        <w:ind w:right="268" w:rightChars="13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215D3DB3">
      <w:pPr>
        <w:spacing w:line="440" w:lineRule="exact"/>
        <w:ind w:right="268" w:rightChars="13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14:paraId="0EF7088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（填写</w:t>
      </w:r>
      <w:r>
        <w:rPr>
          <w:rFonts w:hint="eastAsia" w:ascii="宋体" w:hAnsi="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的法定代表人。</w:t>
      </w:r>
    </w:p>
    <w:p w14:paraId="0BAD3EA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85348CA">
      <w:pPr>
        <w:spacing w:line="440" w:lineRule="exact"/>
        <w:rPr>
          <w:rFonts w:hint="eastAsia" w:ascii="宋体" w:hAnsi="宋体" w:eastAsia="宋体" w:cs="宋体"/>
          <w:color w:val="auto"/>
          <w:sz w:val="24"/>
          <w:szCs w:val="24"/>
          <w:highlight w:val="none"/>
        </w:rPr>
      </w:pPr>
    </w:p>
    <w:p w14:paraId="4114DBD2">
      <w:pPr>
        <w:spacing w:line="44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                             （电子签章）</w:t>
      </w:r>
    </w:p>
    <w:p w14:paraId="0771DA3D">
      <w:pPr>
        <w:spacing w:line="440" w:lineRule="exact"/>
        <w:ind w:right="480"/>
        <w:rPr>
          <w:rFonts w:hint="eastAsia" w:ascii="宋体" w:hAnsi="宋体" w:eastAsia="宋体" w:cs="宋体"/>
          <w:color w:val="auto"/>
          <w:sz w:val="24"/>
          <w:szCs w:val="24"/>
          <w:highlight w:val="none"/>
        </w:rPr>
      </w:pPr>
    </w:p>
    <w:p w14:paraId="1A5CAB29">
      <w:pPr>
        <w:pStyle w:val="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583E8F61">
      <w:pPr>
        <w:snapToGrid w:val="0"/>
        <w:spacing w:before="50" w:after="120" w:afterLines="50"/>
        <w:jc w:val="left"/>
        <w:rPr>
          <w:rFonts w:hint="eastAsia" w:ascii="宋体" w:hAnsi="宋体" w:cs="宋体"/>
          <w:b/>
          <w:bCs/>
          <w:color w:val="auto"/>
          <w:sz w:val="24"/>
          <w:highlight w:val="none"/>
          <w:lang w:val="zh-CN"/>
        </w:rPr>
      </w:pPr>
    </w:p>
    <w:p w14:paraId="44654848">
      <w:pPr>
        <w:snapToGrid w:val="0"/>
        <w:spacing w:before="50" w:after="120" w:afterLines="50"/>
        <w:jc w:val="left"/>
        <w:rPr>
          <w:rFonts w:hint="eastAsia" w:ascii="宋体" w:hAnsi="宋体" w:cs="宋体"/>
          <w:b/>
          <w:bCs/>
          <w:color w:val="auto"/>
          <w:sz w:val="24"/>
          <w:highlight w:val="none"/>
          <w:lang w:val="zh-CN"/>
        </w:rPr>
      </w:pPr>
    </w:p>
    <w:p w14:paraId="29DCDD13">
      <w:pPr>
        <w:snapToGrid w:val="0"/>
        <w:spacing w:before="50" w:after="120" w:afterLines="50"/>
        <w:jc w:val="left"/>
        <w:rPr>
          <w:rFonts w:hint="eastAsia" w:ascii="宋体" w:hAnsi="宋体" w:cs="宋体"/>
          <w:b/>
          <w:bCs/>
          <w:color w:val="auto"/>
          <w:sz w:val="24"/>
          <w:highlight w:val="none"/>
          <w:lang w:val="zh-CN"/>
        </w:rPr>
      </w:pPr>
    </w:p>
    <w:p w14:paraId="28D83E0F">
      <w:pPr>
        <w:snapToGrid w:val="0"/>
        <w:spacing w:before="50" w:after="120" w:afterLines="50"/>
        <w:jc w:val="left"/>
        <w:rPr>
          <w:rFonts w:hint="eastAsia" w:ascii="宋体" w:hAnsi="宋体" w:cs="宋体"/>
          <w:b/>
          <w:bCs/>
          <w:color w:val="auto"/>
          <w:sz w:val="24"/>
          <w:highlight w:val="none"/>
          <w:lang w:val="zh-CN"/>
        </w:rPr>
      </w:pPr>
    </w:p>
    <w:p w14:paraId="67413F09">
      <w:pPr>
        <w:snapToGrid w:val="0"/>
        <w:spacing w:before="50" w:after="120" w:afterLines="50"/>
        <w:jc w:val="left"/>
        <w:rPr>
          <w:rFonts w:hint="eastAsia" w:ascii="宋体" w:hAnsi="宋体" w:cs="宋体"/>
          <w:b/>
          <w:bCs/>
          <w:color w:val="auto"/>
          <w:sz w:val="24"/>
          <w:highlight w:val="none"/>
          <w:lang w:val="zh-CN"/>
        </w:rPr>
      </w:pPr>
    </w:p>
    <w:p w14:paraId="0CF7DFF5">
      <w:pPr>
        <w:snapToGrid w:val="0"/>
        <w:spacing w:before="50" w:after="120" w:afterLines="50"/>
        <w:jc w:val="left"/>
        <w:rPr>
          <w:rFonts w:hint="eastAsia" w:ascii="宋体" w:hAnsi="宋体" w:cs="宋体"/>
          <w:b/>
          <w:bCs/>
          <w:color w:val="auto"/>
          <w:sz w:val="24"/>
          <w:highlight w:val="none"/>
          <w:lang w:val="zh-CN"/>
        </w:rPr>
      </w:pPr>
    </w:p>
    <w:p w14:paraId="7D24128D">
      <w:pPr>
        <w:snapToGrid w:val="0"/>
        <w:spacing w:before="50" w:after="120" w:afterLines="50"/>
        <w:jc w:val="left"/>
        <w:rPr>
          <w:rFonts w:hint="eastAsia" w:ascii="宋体" w:hAnsi="宋体" w:cs="宋体"/>
          <w:b/>
          <w:bCs/>
          <w:color w:val="auto"/>
          <w:sz w:val="24"/>
          <w:highlight w:val="none"/>
          <w:lang w:val="zh-CN"/>
        </w:rPr>
      </w:pPr>
    </w:p>
    <w:p w14:paraId="18F0E2B6">
      <w:pPr>
        <w:snapToGrid w:val="0"/>
        <w:spacing w:before="50" w:after="120" w:afterLines="50"/>
        <w:jc w:val="left"/>
        <w:rPr>
          <w:rFonts w:hint="eastAsia" w:ascii="宋体" w:hAnsi="宋体" w:cs="宋体"/>
          <w:b/>
          <w:bCs/>
          <w:color w:val="auto"/>
          <w:sz w:val="24"/>
          <w:highlight w:val="none"/>
          <w:lang w:val="zh-CN"/>
        </w:rPr>
      </w:pPr>
    </w:p>
    <w:p w14:paraId="57579911">
      <w:pPr>
        <w:snapToGrid w:val="0"/>
        <w:spacing w:before="50" w:after="120" w:afterLines="50"/>
        <w:jc w:val="left"/>
        <w:rPr>
          <w:rFonts w:hint="eastAsia" w:ascii="宋体" w:hAnsi="宋体" w:cs="宋体"/>
          <w:b/>
          <w:bCs/>
          <w:color w:val="auto"/>
          <w:sz w:val="24"/>
          <w:highlight w:val="none"/>
          <w:lang w:val="zh-CN"/>
        </w:rPr>
      </w:pPr>
    </w:p>
    <w:p w14:paraId="438CAE36">
      <w:pPr>
        <w:snapToGrid w:val="0"/>
        <w:spacing w:before="50" w:after="120" w:afterLines="50"/>
        <w:jc w:val="left"/>
        <w:rPr>
          <w:rFonts w:hint="eastAsia" w:ascii="宋体" w:hAnsi="宋体" w:cs="宋体"/>
          <w:b/>
          <w:bCs/>
          <w:color w:val="auto"/>
          <w:sz w:val="24"/>
          <w:highlight w:val="none"/>
          <w:lang w:val="zh-CN"/>
        </w:rPr>
      </w:pPr>
    </w:p>
    <w:p w14:paraId="629A0576">
      <w:pPr>
        <w:snapToGrid w:val="0"/>
        <w:spacing w:before="50" w:after="120" w:afterLines="50"/>
        <w:jc w:val="left"/>
        <w:rPr>
          <w:rFonts w:hint="eastAsia" w:ascii="宋体" w:hAnsi="宋体" w:cs="宋体"/>
          <w:b/>
          <w:bCs/>
          <w:color w:val="auto"/>
          <w:sz w:val="24"/>
          <w:highlight w:val="none"/>
          <w:lang w:val="zh-CN"/>
        </w:rPr>
      </w:pPr>
    </w:p>
    <w:p w14:paraId="2A86171F">
      <w:pPr>
        <w:snapToGrid w:val="0"/>
        <w:spacing w:before="50" w:after="120" w:afterLines="50"/>
        <w:jc w:val="left"/>
        <w:rPr>
          <w:rFonts w:hint="eastAsia" w:ascii="宋体" w:hAnsi="宋体" w:cs="宋体"/>
          <w:b/>
          <w:bCs/>
          <w:color w:val="auto"/>
          <w:sz w:val="24"/>
          <w:highlight w:val="none"/>
          <w:lang w:val="zh-CN"/>
        </w:rPr>
      </w:pPr>
    </w:p>
    <w:p w14:paraId="3F379E1F">
      <w:pPr>
        <w:snapToGrid w:val="0"/>
        <w:spacing w:before="50" w:after="120" w:afterLines="50"/>
        <w:jc w:val="left"/>
        <w:rPr>
          <w:rFonts w:hint="eastAsia" w:ascii="宋体" w:hAnsi="宋体" w:cs="宋体"/>
          <w:b/>
          <w:bCs/>
          <w:color w:val="auto"/>
          <w:sz w:val="24"/>
          <w:highlight w:val="none"/>
          <w:lang w:val="zh-CN"/>
        </w:rPr>
      </w:pPr>
    </w:p>
    <w:p w14:paraId="08944253">
      <w:pPr>
        <w:snapToGrid w:val="0"/>
        <w:spacing w:before="50" w:after="120" w:afterLines="50"/>
        <w:jc w:val="left"/>
        <w:rPr>
          <w:rFonts w:hint="eastAsia" w:ascii="宋体" w:hAnsi="宋体" w:cs="宋体"/>
          <w:b/>
          <w:bCs/>
          <w:color w:val="auto"/>
          <w:sz w:val="24"/>
          <w:highlight w:val="none"/>
          <w:lang w:val="zh-CN"/>
        </w:rPr>
      </w:pPr>
    </w:p>
    <w:p w14:paraId="60EB3FF8">
      <w:pPr>
        <w:snapToGrid w:val="0"/>
        <w:spacing w:before="50" w:after="120" w:afterLines="50"/>
        <w:jc w:val="left"/>
        <w:rPr>
          <w:rFonts w:hint="eastAsia" w:ascii="宋体" w:hAnsi="宋体" w:cs="宋体"/>
          <w:b/>
          <w:bCs/>
          <w:color w:val="auto"/>
          <w:sz w:val="24"/>
          <w:highlight w:val="none"/>
          <w:lang w:val="zh-CN"/>
        </w:rPr>
      </w:pPr>
    </w:p>
    <w:p w14:paraId="5C553758">
      <w:pPr>
        <w:snapToGrid w:val="0"/>
        <w:spacing w:before="50" w:after="120" w:afterLines="50"/>
        <w:jc w:val="left"/>
        <w:rPr>
          <w:rFonts w:hint="eastAsia" w:ascii="宋体" w:hAnsi="宋体" w:cs="宋体"/>
          <w:b/>
          <w:bCs/>
          <w:color w:val="auto"/>
          <w:sz w:val="24"/>
          <w:highlight w:val="none"/>
          <w:lang w:val="zh-CN"/>
        </w:rPr>
      </w:pPr>
    </w:p>
    <w:p w14:paraId="20B54FC8">
      <w:pPr>
        <w:snapToGrid w:val="0"/>
        <w:spacing w:before="50" w:after="120" w:afterLines="50"/>
        <w:jc w:val="left"/>
        <w:rPr>
          <w:rFonts w:ascii="宋体" w:hAnsi="宋体" w:cs="宋体"/>
          <w:b/>
          <w:bCs/>
          <w:color w:val="auto"/>
          <w:sz w:val="24"/>
          <w:highlight w:val="none"/>
          <w:lang w:val="zh-CN"/>
        </w:rPr>
      </w:pPr>
      <w:r>
        <w:rPr>
          <w:rFonts w:hint="eastAsia" w:ascii="宋体" w:hAnsi="宋体" w:cs="宋体"/>
          <w:b/>
          <w:bCs/>
          <w:color w:val="auto"/>
          <w:sz w:val="24"/>
          <w:highlight w:val="none"/>
          <w:lang w:val="zh-CN"/>
        </w:rPr>
        <w:t>附件三：</w:t>
      </w:r>
    </w:p>
    <w:p w14:paraId="5220E27D">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 标 人 承 诺 函</w:t>
      </w:r>
    </w:p>
    <w:p w14:paraId="5791AC3E">
      <w:pPr>
        <w:rPr>
          <w:color w:val="auto"/>
          <w:highlight w:val="none"/>
        </w:rPr>
      </w:pPr>
    </w:p>
    <w:p w14:paraId="655AD0A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eastAsia="zh-CN"/>
        </w:rPr>
        <w:t>绍兴市上虞区应急管理局</w:t>
      </w:r>
      <w:r>
        <w:rPr>
          <w:rFonts w:hint="eastAsia" w:ascii="宋体" w:hAnsi="宋体" w:cs="宋体"/>
          <w:color w:val="auto"/>
          <w:sz w:val="24"/>
          <w:highlight w:val="none"/>
        </w:rPr>
        <w:t>：</w:t>
      </w:r>
    </w:p>
    <w:p w14:paraId="3A77CA3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eastAsia="zh-CN"/>
        </w:rPr>
        <w:t>绍兴成言工程咨询管理有限公司</w:t>
      </w:r>
      <w:r>
        <w:rPr>
          <w:rFonts w:hint="eastAsia" w:ascii="宋体" w:hAnsi="宋体" w:cs="宋体"/>
          <w:color w:val="auto"/>
          <w:sz w:val="24"/>
          <w:highlight w:val="none"/>
        </w:rPr>
        <w:t>：</w:t>
      </w:r>
    </w:p>
    <w:p w14:paraId="4622C42D">
      <w:pPr>
        <w:spacing w:line="360" w:lineRule="auto"/>
        <w:ind w:firstLine="480" w:firstLineChars="200"/>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我方参与</w:t>
      </w:r>
      <w:r>
        <w:rPr>
          <w:rFonts w:hint="eastAsia" w:ascii="宋体" w:hAnsi="宋体" w:cs="宋体"/>
          <w:color w:val="auto"/>
          <w:sz w:val="24"/>
          <w:highlight w:val="none"/>
          <w:u w:val="single"/>
          <w:lang w:val="en-US" w:eastAsia="zh-CN"/>
        </w:rPr>
        <w:t xml:space="preserve">     （项目名称）</w:t>
      </w:r>
      <w:r>
        <w:rPr>
          <w:rFonts w:hint="eastAsia" w:ascii="宋体" w:hAnsi="宋体" w:cs="宋体"/>
          <w:color w:val="auto"/>
          <w:sz w:val="24"/>
          <w:highlight w:val="none"/>
          <w:u w:val="none"/>
          <w:lang w:val="en-US" w:eastAsia="zh-CN"/>
        </w:rPr>
        <w:t>【采购编号：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】政府采购活动，郑重承诺：</w:t>
      </w:r>
    </w:p>
    <w:p w14:paraId="55F7B502">
      <w:pPr>
        <w:spacing w:line="360" w:lineRule="auto"/>
        <w:ind w:firstLine="480" w:firstLineChars="200"/>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（一）具备《中华人民共和国政府采购法》第二十二条第一款规定的条件：</w:t>
      </w:r>
    </w:p>
    <w:p w14:paraId="1B98D6B5">
      <w:pPr>
        <w:spacing w:line="360" w:lineRule="auto"/>
        <w:ind w:firstLine="480" w:firstLineChars="200"/>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1.具有独立承担民事责任的能力（如供应商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14:paraId="0932F06D">
      <w:pPr>
        <w:spacing w:line="360" w:lineRule="auto"/>
        <w:ind w:firstLine="480" w:firstLineChars="200"/>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 xml:space="preserve">2.具有良好的商业信誉和健全的财务会计制度； </w:t>
      </w:r>
    </w:p>
    <w:p w14:paraId="4022230A">
      <w:pPr>
        <w:spacing w:line="360" w:lineRule="auto"/>
        <w:ind w:firstLine="480" w:firstLineChars="200"/>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3.具有履行合同所必需的设备和专业技术能力；</w:t>
      </w:r>
    </w:p>
    <w:p w14:paraId="731FB5B5">
      <w:pPr>
        <w:spacing w:line="360" w:lineRule="auto"/>
        <w:ind w:firstLine="480" w:firstLineChars="200"/>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4.有依法缴纳税收和社会保障资金的良好记录；</w:t>
      </w:r>
    </w:p>
    <w:p w14:paraId="4D8AED8A">
      <w:pPr>
        <w:spacing w:line="360" w:lineRule="auto"/>
        <w:ind w:firstLine="480" w:firstLineChars="200"/>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5.参加政府采购活动前三年内，在经营活动中没有重大违法记录；</w:t>
      </w:r>
    </w:p>
    <w:p w14:paraId="4C4BD2C6">
      <w:pPr>
        <w:spacing w:line="360" w:lineRule="auto"/>
        <w:ind w:firstLine="480" w:firstLineChars="200"/>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6.具有法律、行政法规规定的其他条件。</w:t>
      </w:r>
    </w:p>
    <w:p w14:paraId="2E87DFE0">
      <w:pPr>
        <w:spacing w:line="360" w:lineRule="auto"/>
        <w:ind w:firstLine="480" w:firstLineChars="200"/>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（二）未被信用中国（www.creditchina.gov.cn)、中国政府采购网（www.ccgp.gov.cn）列入失信被执行人、重大税收违法失信主体、政府采购严重违法失信行为记录名单。</w:t>
      </w:r>
    </w:p>
    <w:p w14:paraId="0C5CE9B1">
      <w:pPr>
        <w:spacing w:line="360" w:lineRule="auto"/>
        <w:ind w:firstLine="480" w:firstLineChars="200"/>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（三）不存在以下情况：</w:t>
      </w:r>
    </w:p>
    <w:p w14:paraId="5054AA2B">
      <w:pPr>
        <w:spacing w:line="360" w:lineRule="auto"/>
        <w:ind w:firstLine="480" w:firstLineChars="200"/>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1.单位负责人为同一人或者存在直接控股、管理关系的不同供应商参加同一合同项下的政府采购活动的；</w:t>
      </w:r>
    </w:p>
    <w:p w14:paraId="7E629EE8">
      <w:pPr>
        <w:spacing w:line="360" w:lineRule="auto"/>
        <w:ind w:firstLine="480" w:firstLineChars="200"/>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2.为采购项目提供整体设计、规范编制或者项目管理、监理、检测等服务后再参加该采购项目的其他采购活动的。</w:t>
      </w:r>
    </w:p>
    <w:p w14:paraId="527E498F">
      <w:pPr>
        <w:pStyle w:val="13"/>
        <w:ind w:left="0" w:leftChars="0" w:firstLine="0" w:firstLineChars="0"/>
        <w:rPr>
          <w:rFonts w:hint="eastAsia" w:ascii="宋体" w:hAnsi="宋体" w:eastAsia="宋体" w:cs="宋体"/>
          <w:color w:val="auto"/>
          <w:highlight w:val="none"/>
        </w:rPr>
      </w:pPr>
    </w:p>
    <w:p w14:paraId="07D8EBF4">
      <w:pPr>
        <w:spacing w:line="360" w:lineRule="auto"/>
        <w:ind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法定代表人签名（或签名章）：                       </w:t>
      </w:r>
    </w:p>
    <w:p w14:paraId="308068CE">
      <w:pPr>
        <w:spacing w:line="360" w:lineRule="auto"/>
        <w:ind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79FCA642">
      <w:pPr>
        <w:spacing w:line="360" w:lineRule="auto"/>
        <w:ind w:firstLine="4080" w:firstLineChars="1700"/>
        <w:rPr>
          <w:color w:val="auto"/>
          <w:sz w:val="36"/>
          <w:szCs w:val="36"/>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全称（公章）：</w:t>
      </w:r>
    </w:p>
    <w:p w14:paraId="0229343E">
      <w:pPr>
        <w:spacing w:line="360" w:lineRule="auto"/>
        <w:jc w:val="left"/>
        <w:rPr>
          <w:rFonts w:ascii="宋体"/>
          <w:b/>
          <w:bCs/>
          <w:color w:val="auto"/>
          <w:sz w:val="32"/>
          <w:szCs w:val="32"/>
          <w:highlight w:val="none"/>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lang w:val="en-US" w:eastAsia="zh-CN"/>
        </w:rPr>
        <w:t>四</w:t>
      </w:r>
      <w:r>
        <w:rPr>
          <w:rFonts w:hint="eastAsia" w:ascii="宋体" w:hAnsi="宋体" w:cs="宋体"/>
          <w:b/>
          <w:bCs/>
          <w:color w:val="auto"/>
          <w:sz w:val="24"/>
          <w:szCs w:val="24"/>
          <w:highlight w:val="none"/>
          <w:lang w:val="zh-CN"/>
        </w:rPr>
        <w:t>：</w:t>
      </w:r>
    </w:p>
    <w:p w14:paraId="4CEC7CAD">
      <w:pPr>
        <w:spacing w:line="360" w:lineRule="auto"/>
        <w:jc w:val="center"/>
        <w:rPr>
          <w:rFonts w:ascii="宋体"/>
          <w:b/>
          <w:bCs/>
          <w:color w:val="auto"/>
          <w:sz w:val="32"/>
          <w:szCs w:val="32"/>
          <w:highlight w:val="none"/>
        </w:rPr>
      </w:pPr>
      <w:r>
        <w:rPr>
          <w:rFonts w:hint="eastAsia" w:ascii="宋体" w:hAnsi="宋体" w:cs="宋体"/>
          <w:b/>
          <w:bCs/>
          <w:color w:val="auto"/>
          <w:sz w:val="32"/>
          <w:szCs w:val="32"/>
          <w:highlight w:val="none"/>
        </w:rPr>
        <w:t>中小企业声明函</w:t>
      </w:r>
    </w:p>
    <w:p w14:paraId="2422617F">
      <w:pPr>
        <w:spacing w:line="360" w:lineRule="auto"/>
        <w:ind w:firstLine="480" w:firstLineChars="200"/>
        <w:jc w:val="left"/>
        <w:rPr>
          <w:rFonts w:ascii="宋体" w:hAnsi="宋体" w:cs="宋体"/>
          <w:color w:val="auto"/>
          <w:sz w:val="24"/>
          <w:highlight w:val="none"/>
        </w:rPr>
      </w:pPr>
      <w:bookmarkStart w:id="169" w:name="_Toc30916"/>
      <w:bookmarkStart w:id="170" w:name="_Toc2071"/>
      <w:bookmarkStart w:id="171" w:name="_Toc3295"/>
      <w:r>
        <w:rPr>
          <w:rFonts w:hint="eastAsia" w:ascii="宋体" w:hAnsi="宋体" w:cs="宋体"/>
          <w:color w:val="auto"/>
          <w:sz w:val="24"/>
          <w:highlight w:val="none"/>
        </w:rPr>
        <w:t>本公司（联合体）郑重声明，根据《政府采购促进中小企业发展管理办法》 （财库﹝2020﹞46 号）的规定，本公司（联合体）参加</w:t>
      </w:r>
      <w:r>
        <w:rPr>
          <w:rFonts w:hint="eastAsia" w:ascii="宋体" w:hAnsi="宋体" w:cs="宋体"/>
          <w:color w:val="auto"/>
          <w:sz w:val="24"/>
          <w:highlight w:val="none"/>
          <w:u w:val="single"/>
        </w:rPr>
        <w:t xml:space="preserve"> （采购人名称）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177E1DD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，属于</w:t>
      </w:r>
      <w:r>
        <w:rPr>
          <w:rFonts w:hint="eastAsia" w:ascii="宋体" w:hAnsi="宋体" w:cs="宋体"/>
          <w:color w:val="auto"/>
          <w:sz w:val="24"/>
          <w:szCs w:val="24"/>
          <w:highlight w:val="none"/>
          <w:u w:val="single"/>
          <w:lang w:val="en-US" w:eastAsia="zh-CN"/>
        </w:rPr>
        <w:t>餐饮业</w:t>
      </w:r>
      <w:r>
        <w:rPr>
          <w:rFonts w:hint="eastAsia" w:ascii="宋体" w:hAnsi="宋体" w:cs="宋体"/>
          <w:color w:val="auto"/>
          <w:sz w:val="24"/>
          <w:szCs w:val="24"/>
          <w:highlight w:val="none"/>
        </w:rPr>
        <w:t>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 xml:space="preserve">           （企业名称） </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 ，属于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14:paraId="39CAD993">
      <w:pPr>
        <w:spacing w:line="288"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3F5A54C3">
      <w:pPr>
        <w:spacing w:line="288"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01124C1D">
      <w:pPr>
        <w:spacing w:line="288"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522668D7">
      <w:pPr>
        <w:spacing w:line="288" w:lineRule="auto"/>
        <w:ind w:right="420" w:firstLine="4320" w:firstLineChars="1800"/>
        <w:rPr>
          <w:rFonts w:ascii="宋体" w:hAnsi="宋体" w:cs="宋体"/>
          <w:color w:val="auto"/>
          <w:sz w:val="24"/>
          <w:highlight w:val="none"/>
        </w:rPr>
      </w:pPr>
    </w:p>
    <w:p w14:paraId="4F0CC69D">
      <w:pPr>
        <w:spacing w:line="288" w:lineRule="auto"/>
        <w:ind w:right="420" w:firstLine="4320" w:firstLineChars="1800"/>
        <w:rPr>
          <w:rFonts w:ascii="宋体" w:hAnsi="宋体" w:cs="宋体"/>
          <w:color w:val="auto"/>
          <w:sz w:val="24"/>
          <w:highlight w:val="none"/>
        </w:rPr>
      </w:pPr>
    </w:p>
    <w:p w14:paraId="40E15981">
      <w:pPr>
        <w:spacing w:line="288" w:lineRule="auto"/>
        <w:ind w:right="420" w:firstLine="4800" w:firstLineChars="2000"/>
        <w:rPr>
          <w:rFonts w:ascii="宋体" w:hAnsi="宋体" w:cs="宋体"/>
          <w:color w:val="auto"/>
          <w:sz w:val="24"/>
          <w:highlight w:val="none"/>
        </w:rPr>
      </w:pPr>
      <w:r>
        <w:rPr>
          <w:rFonts w:hint="eastAsia" w:ascii="宋体" w:hAnsi="宋体" w:cs="宋体"/>
          <w:color w:val="auto"/>
          <w:sz w:val="24"/>
          <w:highlight w:val="none"/>
        </w:rPr>
        <w:t xml:space="preserve">企业名称（盖章）： </w:t>
      </w:r>
    </w:p>
    <w:p w14:paraId="30C4971E">
      <w:pPr>
        <w:spacing w:line="288" w:lineRule="auto"/>
        <w:ind w:left="3600" w:leftChars="1800" w:firstLine="960" w:firstLineChars="400"/>
        <w:rPr>
          <w:rFonts w:ascii="宋体" w:hAnsi="宋体" w:cs="宋体"/>
          <w:color w:val="auto"/>
          <w:sz w:val="24"/>
          <w:highlight w:val="none"/>
        </w:rPr>
      </w:pPr>
      <w:r>
        <w:rPr>
          <w:rFonts w:hint="eastAsia" w:ascii="宋体" w:hAnsi="宋体" w:cs="宋体"/>
          <w:color w:val="auto"/>
          <w:sz w:val="24"/>
          <w:highlight w:val="none"/>
        </w:rPr>
        <w:t>日期：   年     月     日</w:t>
      </w:r>
    </w:p>
    <w:p w14:paraId="5551A9AF">
      <w:pPr>
        <w:pStyle w:val="4"/>
        <w:spacing w:line="288" w:lineRule="auto"/>
        <w:rPr>
          <w:rFonts w:ascii="宋体" w:hAnsi="宋体" w:cs="宋体"/>
          <w:color w:val="auto"/>
          <w:sz w:val="24"/>
          <w:szCs w:val="24"/>
          <w:highlight w:val="none"/>
        </w:rPr>
      </w:pPr>
    </w:p>
    <w:p w14:paraId="77C68EA4">
      <w:pPr>
        <w:spacing w:line="288" w:lineRule="auto"/>
        <w:ind w:firstLine="480" w:firstLineChars="200"/>
        <w:jc w:val="left"/>
        <w:rPr>
          <w:rFonts w:ascii="宋体" w:hAnsi="宋体" w:cs="宋体"/>
          <w:color w:val="auto"/>
          <w:sz w:val="24"/>
          <w:highlight w:val="none"/>
        </w:rPr>
      </w:pPr>
    </w:p>
    <w:p w14:paraId="7377E253">
      <w:pPr>
        <w:spacing w:line="288" w:lineRule="auto"/>
        <w:ind w:firstLine="480" w:firstLineChars="200"/>
        <w:jc w:val="left"/>
        <w:rPr>
          <w:rFonts w:ascii="宋体" w:hAnsi="宋体" w:cs="宋体"/>
          <w:color w:val="auto"/>
          <w:sz w:val="24"/>
          <w:highlight w:val="none"/>
        </w:rPr>
      </w:pPr>
    </w:p>
    <w:p w14:paraId="237A9BA0">
      <w:pPr>
        <w:spacing w:line="288" w:lineRule="auto"/>
        <w:ind w:firstLine="480" w:firstLineChars="200"/>
        <w:jc w:val="left"/>
        <w:rPr>
          <w:rFonts w:ascii="宋体" w:hAnsi="宋体" w:cs="宋体"/>
          <w:color w:val="auto"/>
          <w:sz w:val="24"/>
          <w:highlight w:val="none"/>
        </w:rPr>
      </w:pPr>
    </w:p>
    <w:p w14:paraId="76816A85">
      <w:pPr>
        <w:widowControl/>
        <w:snapToGrid w:val="0"/>
        <w:spacing w:line="324" w:lineRule="auto"/>
        <w:ind w:firstLine="480" w:firstLineChars="200"/>
        <w:jc w:val="left"/>
        <w:rPr>
          <w:rFonts w:hint="eastAsia" w:ascii="宋体"/>
          <w:color w:val="auto"/>
          <w:sz w:val="24"/>
          <w:szCs w:val="24"/>
          <w:highlight w:val="none"/>
        </w:rPr>
      </w:pPr>
      <w:r>
        <w:rPr>
          <w:rFonts w:hint="eastAsia" w:ascii="宋体"/>
          <w:color w:val="auto"/>
          <w:sz w:val="24"/>
          <w:szCs w:val="24"/>
          <w:highlight w:val="none"/>
        </w:rPr>
        <w:t>从业人员、营业收入、资产总额填报上一年度数据，无上一年度数据的新成立企业可不填报。</w:t>
      </w:r>
    </w:p>
    <w:p w14:paraId="5DC14BDC">
      <w:pPr>
        <w:widowControl/>
        <w:snapToGrid w:val="0"/>
        <w:spacing w:line="324" w:lineRule="auto"/>
        <w:ind w:firstLine="480" w:firstLineChars="200"/>
        <w:jc w:val="left"/>
        <w:rPr>
          <w:rFonts w:hint="eastAsia" w:ascii="宋体"/>
          <w:color w:val="auto"/>
          <w:sz w:val="24"/>
          <w:szCs w:val="24"/>
          <w:highlight w:val="none"/>
        </w:rPr>
      </w:pPr>
    </w:p>
    <w:p w14:paraId="3E6A5140">
      <w:pPr>
        <w:rPr>
          <w:rFonts w:hint="eastAsia" w:ascii="宋体"/>
          <w:color w:val="auto"/>
          <w:sz w:val="24"/>
          <w:szCs w:val="24"/>
          <w:highlight w:val="none"/>
        </w:rPr>
      </w:pPr>
      <w:r>
        <w:rPr>
          <w:rFonts w:hint="eastAsia" w:ascii="宋体"/>
          <w:color w:val="auto"/>
          <w:sz w:val="24"/>
          <w:szCs w:val="24"/>
          <w:highlight w:val="none"/>
        </w:rPr>
        <w:br w:type="page"/>
      </w:r>
    </w:p>
    <w:p w14:paraId="3C102E5C">
      <w:pPr>
        <w:widowControl/>
        <w:snapToGrid w:val="0"/>
        <w:spacing w:line="324" w:lineRule="auto"/>
        <w:ind w:firstLine="480" w:firstLineChars="200"/>
        <w:jc w:val="left"/>
        <w:rPr>
          <w:rFonts w:hint="eastAsia" w:ascii="宋体"/>
          <w:color w:val="auto"/>
          <w:sz w:val="24"/>
          <w:szCs w:val="24"/>
          <w:highlight w:val="none"/>
        </w:rPr>
      </w:pPr>
      <w:r>
        <w:rPr>
          <w:rFonts w:hint="eastAsia" w:ascii="宋体"/>
          <w:color w:val="auto"/>
          <w:sz w:val="24"/>
          <w:szCs w:val="24"/>
          <w:highlight w:val="none"/>
        </w:rPr>
        <w:t>注：</w:t>
      </w:r>
    </w:p>
    <w:p w14:paraId="4EA846FE">
      <w:pPr>
        <w:widowControl/>
        <w:snapToGrid w:val="0"/>
        <w:spacing w:line="324" w:lineRule="auto"/>
        <w:ind w:firstLine="480" w:firstLineChars="200"/>
        <w:jc w:val="left"/>
        <w:rPr>
          <w:rFonts w:hint="eastAsia" w:ascii="宋体"/>
          <w:color w:val="auto"/>
          <w:sz w:val="24"/>
          <w:szCs w:val="24"/>
          <w:highlight w:val="none"/>
        </w:rPr>
      </w:pPr>
      <w:r>
        <w:rPr>
          <w:rFonts w:hint="eastAsia" w:ascii="宋体"/>
          <w:color w:val="auto"/>
          <w:sz w:val="24"/>
          <w:szCs w:val="24"/>
          <w:highlight w:val="none"/>
        </w:rPr>
        <w:t>1</w:t>
      </w:r>
      <w:r>
        <w:rPr>
          <w:rFonts w:hint="eastAsia" w:ascii="宋体"/>
          <w:color w:val="auto"/>
          <w:sz w:val="24"/>
          <w:szCs w:val="24"/>
          <w:highlight w:val="none"/>
          <w:lang w:eastAsia="zh-CN"/>
        </w:rPr>
        <w:t>.</w:t>
      </w:r>
      <w:r>
        <w:rPr>
          <w:rFonts w:hint="eastAsia" w:ascii="宋体"/>
          <w:color w:val="auto"/>
          <w:sz w:val="24"/>
          <w:szCs w:val="24"/>
          <w:highlight w:val="none"/>
        </w:rPr>
        <w:t>填写要求：①“标的名称”、“采购文件中明确的所属行业”依据</w:t>
      </w:r>
      <w:r>
        <w:rPr>
          <w:rFonts w:hint="eastAsia" w:ascii="宋体"/>
          <w:color w:val="auto"/>
          <w:sz w:val="24"/>
          <w:szCs w:val="24"/>
          <w:highlight w:val="none"/>
          <w:lang w:eastAsia="zh-CN"/>
        </w:rPr>
        <w:t>磋商文件</w:t>
      </w:r>
      <w:r>
        <w:rPr>
          <w:rFonts w:hint="eastAsia" w:ascii="宋体"/>
          <w:color w:val="auto"/>
          <w:sz w:val="24"/>
          <w:szCs w:val="24"/>
          <w:highlight w:val="none"/>
        </w:rPr>
        <w:t>第二部分</w:t>
      </w:r>
      <w:r>
        <w:rPr>
          <w:rFonts w:hint="eastAsia" w:ascii="宋体"/>
          <w:color w:val="auto"/>
          <w:sz w:val="24"/>
          <w:szCs w:val="24"/>
          <w:highlight w:val="none"/>
          <w:lang w:eastAsia="zh-CN"/>
        </w:rPr>
        <w:t>供应商</w:t>
      </w:r>
      <w:r>
        <w:rPr>
          <w:rFonts w:hint="eastAsia" w:ascii="宋体"/>
          <w:color w:val="auto"/>
          <w:sz w:val="24"/>
          <w:szCs w:val="24"/>
          <w:highlight w:val="none"/>
        </w:rPr>
        <w:t>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w:t>
      </w:r>
      <w:r>
        <w:rPr>
          <w:rFonts w:hint="eastAsia" w:ascii="宋体"/>
          <w:color w:val="auto"/>
          <w:sz w:val="24"/>
          <w:szCs w:val="24"/>
          <w:highlight w:val="none"/>
          <w:lang w:eastAsia="zh-CN"/>
        </w:rPr>
        <w:t>供应商</w:t>
      </w:r>
      <w:r>
        <w:rPr>
          <w:rFonts w:hint="eastAsia" w:ascii="宋体"/>
          <w:color w:val="auto"/>
          <w:sz w:val="24"/>
          <w:szCs w:val="24"/>
          <w:highlight w:val="none"/>
        </w:rPr>
        <w:t>提供的《中小企业声明函》与实际情况不符的或者未按以上要求填写的，中小企业声明函无效，不享受中小企业扶持政策。声明内容不实的，属于提供虚假材料谋取中标、成交的，依法承担法律责任。</w:t>
      </w:r>
    </w:p>
    <w:p w14:paraId="7591CAE8">
      <w:pPr>
        <w:widowControl/>
        <w:snapToGrid w:val="0"/>
        <w:spacing w:line="324" w:lineRule="auto"/>
        <w:ind w:firstLine="480" w:firstLineChars="200"/>
        <w:jc w:val="left"/>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2</w:t>
      </w:r>
      <w:r>
        <w:rPr>
          <w:rFonts w:hint="eastAsia" w:ascii="宋体" w:hAnsi="Times New Roman" w:cs="Times New Roman"/>
          <w:color w:val="auto"/>
          <w:sz w:val="24"/>
          <w:szCs w:val="24"/>
          <w:highlight w:val="none"/>
          <w:lang w:eastAsia="zh-CN"/>
        </w:rPr>
        <w:t>.</w:t>
      </w:r>
      <w:r>
        <w:rPr>
          <w:rFonts w:hint="eastAsia" w:ascii="宋体" w:hAnsi="Times New Roman" w:cs="Times New Roman"/>
          <w:color w:val="auto"/>
          <w:sz w:val="24"/>
          <w:szCs w:val="24"/>
          <w:highlight w:val="none"/>
        </w:rPr>
        <w:t>符合《关于促进残疾人就业政府采购政策的通知》（财库〔2017〕141号）规定的条件并提供《残疾人福利性单位声明函》的残疾人福利性单位视同小型、微型企业；根据《关于政府采购支持监狱企业发展有关问题的通知》（财库[2014]68号）的规定，</w:t>
      </w:r>
      <w:r>
        <w:rPr>
          <w:rFonts w:hint="eastAsia" w:ascii="宋体" w:hAnsi="Times New Roman" w:cs="Times New Roman"/>
          <w:color w:val="auto"/>
          <w:sz w:val="24"/>
          <w:szCs w:val="24"/>
          <w:highlight w:val="none"/>
          <w:lang w:eastAsia="zh-CN"/>
        </w:rPr>
        <w:t>供应商</w:t>
      </w:r>
      <w:r>
        <w:rPr>
          <w:rFonts w:hint="eastAsia" w:ascii="宋体" w:hAnsi="Times New Roman" w:cs="Times New Roman"/>
          <w:color w:val="auto"/>
          <w:sz w:val="24"/>
          <w:szCs w:val="24"/>
          <w:highlight w:val="none"/>
        </w:rPr>
        <w:t>提供由省级以上监狱管理局、戒毒管理局（含新疆生产建设兵团）出具的属于监狱企业证明文件的，视同为小型和微型企业。</w:t>
      </w:r>
    </w:p>
    <w:p w14:paraId="7406890E">
      <w:pPr>
        <w:widowControl/>
        <w:snapToGrid w:val="0"/>
        <w:spacing w:line="324" w:lineRule="auto"/>
        <w:ind w:firstLine="480" w:firstLineChars="200"/>
        <w:jc w:val="left"/>
        <w:rPr>
          <w:rFonts w:hint="eastAsia" w:ascii="宋体" w:hAnsi="Times New Roman" w:cs="Times New Roman"/>
          <w:color w:val="auto"/>
          <w:sz w:val="24"/>
          <w:szCs w:val="24"/>
          <w:highlight w:val="none"/>
        </w:rPr>
      </w:pPr>
    </w:p>
    <w:p w14:paraId="1A494EA2">
      <w:pPr>
        <w:widowControl/>
        <w:snapToGrid w:val="0"/>
        <w:spacing w:line="324" w:lineRule="auto"/>
        <w:ind w:firstLine="480" w:firstLineChars="200"/>
        <w:jc w:val="left"/>
        <w:rPr>
          <w:rFonts w:hint="eastAsia" w:ascii="宋体" w:hAnsi="Times New Roman" w:cs="Times New Roman"/>
          <w:color w:val="auto"/>
          <w:sz w:val="24"/>
          <w:szCs w:val="24"/>
          <w:highlight w:val="none"/>
        </w:rPr>
      </w:pPr>
    </w:p>
    <w:p w14:paraId="653C42B5">
      <w:pPr>
        <w:widowControl/>
        <w:snapToGrid w:val="0"/>
        <w:spacing w:line="324" w:lineRule="auto"/>
        <w:ind w:firstLine="480" w:firstLineChars="200"/>
        <w:jc w:val="left"/>
        <w:rPr>
          <w:rFonts w:hint="eastAsia" w:ascii="宋体" w:hAnsi="Times New Roman" w:cs="Times New Roman"/>
          <w:color w:val="auto"/>
          <w:sz w:val="24"/>
          <w:szCs w:val="24"/>
          <w:highlight w:val="none"/>
        </w:rPr>
      </w:pPr>
    </w:p>
    <w:p w14:paraId="7967F9C7">
      <w:pPr>
        <w:widowControl/>
        <w:snapToGrid w:val="0"/>
        <w:spacing w:line="324" w:lineRule="auto"/>
        <w:ind w:firstLine="480" w:firstLineChars="200"/>
        <w:jc w:val="left"/>
        <w:rPr>
          <w:rFonts w:hint="eastAsia" w:ascii="宋体" w:hAnsi="Times New Roman" w:cs="Times New Roman"/>
          <w:color w:val="auto"/>
          <w:sz w:val="24"/>
          <w:szCs w:val="24"/>
          <w:highlight w:val="none"/>
        </w:rPr>
      </w:pPr>
    </w:p>
    <w:p w14:paraId="359ADA56">
      <w:pPr>
        <w:widowControl/>
        <w:snapToGrid w:val="0"/>
        <w:spacing w:line="324" w:lineRule="auto"/>
        <w:ind w:firstLine="480" w:firstLineChars="200"/>
        <w:jc w:val="left"/>
        <w:rPr>
          <w:rFonts w:hint="eastAsia" w:ascii="宋体" w:hAnsi="Times New Roman" w:cs="Times New Roman"/>
          <w:color w:val="auto"/>
          <w:sz w:val="24"/>
          <w:szCs w:val="24"/>
          <w:highlight w:val="none"/>
        </w:rPr>
      </w:pPr>
    </w:p>
    <w:p w14:paraId="48808550">
      <w:pPr>
        <w:widowControl/>
        <w:snapToGrid w:val="0"/>
        <w:spacing w:line="324" w:lineRule="auto"/>
        <w:ind w:firstLine="480" w:firstLineChars="200"/>
        <w:jc w:val="left"/>
        <w:rPr>
          <w:rFonts w:hint="eastAsia" w:ascii="宋体" w:hAnsi="Times New Roman" w:cs="Times New Roman"/>
          <w:color w:val="auto"/>
          <w:sz w:val="24"/>
          <w:szCs w:val="24"/>
          <w:highlight w:val="none"/>
        </w:rPr>
      </w:pPr>
    </w:p>
    <w:p w14:paraId="401CF3CC">
      <w:pPr>
        <w:widowControl/>
        <w:snapToGrid w:val="0"/>
        <w:spacing w:line="324" w:lineRule="auto"/>
        <w:ind w:firstLine="480" w:firstLineChars="200"/>
        <w:jc w:val="left"/>
        <w:rPr>
          <w:rFonts w:hint="eastAsia" w:ascii="宋体" w:hAnsi="Times New Roman" w:cs="Times New Roman"/>
          <w:color w:val="auto"/>
          <w:sz w:val="24"/>
          <w:szCs w:val="24"/>
          <w:highlight w:val="none"/>
        </w:rPr>
      </w:pPr>
    </w:p>
    <w:p w14:paraId="7AEDC6E2">
      <w:pPr>
        <w:widowControl/>
        <w:snapToGrid w:val="0"/>
        <w:spacing w:line="324" w:lineRule="auto"/>
        <w:ind w:firstLine="480" w:firstLineChars="200"/>
        <w:jc w:val="left"/>
        <w:rPr>
          <w:rFonts w:hint="eastAsia" w:ascii="宋体" w:hAnsi="Times New Roman" w:cs="Times New Roman"/>
          <w:color w:val="auto"/>
          <w:sz w:val="24"/>
          <w:szCs w:val="24"/>
          <w:highlight w:val="none"/>
        </w:rPr>
      </w:pPr>
    </w:p>
    <w:p w14:paraId="155B9ED5">
      <w:pPr>
        <w:widowControl/>
        <w:snapToGrid w:val="0"/>
        <w:spacing w:line="324" w:lineRule="auto"/>
        <w:ind w:firstLine="480" w:firstLineChars="200"/>
        <w:jc w:val="left"/>
        <w:rPr>
          <w:rFonts w:hint="eastAsia" w:ascii="宋体" w:hAnsi="Times New Roman" w:cs="Times New Roman"/>
          <w:color w:val="auto"/>
          <w:sz w:val="24"/>
          <w:szCs w:val="24"/>
          <w:highlight w:val="none"/>
        </w:rPr>
      </w:pPr>
    </w:p>
    <w:p w14:paraId="09B787E1">
      <w:pPr>
        <w:widowControl/>
        <w:snapToGrid w:val="0"/>
        <w:spacing w:line="324" w:lineRule="auto"/>
        <w:ind w:firstLine="480" w:firstLineChars="200"/>
        <w:jc w:val="left"/>
        <w:rPr>
          <w:rFonts w:hint="eastAsia" w:ascii="宋体" w:hAnsi="Times New Roman" w:cs="Times New Roman"/>
          <w:color w:val="auto"/>
          <w:sz w:val="24"/>
          <w:szCs w:val="24"/>
          <w:highlight w:val="none"/>
        </w:rPr>
      </w:pPr>
    </w:p>
    <w:p w14:paraId="32A8F0F8">
      <w:pPr>
        <w:widowControl/>
        <w:snapToGrid w:val="0"/>
        <w:spacing w:line="324" w:lineRule="auto"/>
        <w:ind w:firstLine="480" w:firstLineChars="200"/>
        <w:jc w:val="left"/>
        <w:rPr>
          <w:rFonts w:hint="eastAsia" w:ascii="宋体" w:hAnsi="Times New Roman" w:cs="Times New Roman"/>
          <w:color w:val="auto"/>
          <w:sz w:val="24"/>
          <w:szCs w:val="24"/>
          <w:highlight w:val="none"/>
        </w:rPr>
      </w:pPr>
    </w:p>
    <w:p w14:paraId="2215B4A3">
      <w:pPr>
        <w:widowControl/>
        <w:snapToGrid w:val="0"/>
        <w:spacing w:line="324" w:lineRule="auto"/>
        <w:ind w:firstLine="480" w:firstLineChars="200"/>
        <w:jc w:val="left"/>
        <w:rPr>
          <w:rFonts w:hint="eastAsia" w:ascii="宋体" w:hAnsi="Times New Roman" w:cs="Times New Roman"/>
          <w:color w:val="auto"/>
          <w:sz w:val="24"/>
          <w:szCs w:val="24"/>
          <w:highlight w:val="none"/>
        </w:rPr>
      </w:pPr>
    </w:p>
    <w:p w14:paraId="2E3D7219">
      <w:pPr>
        <w:widowControl/>
        <w:snapToGrid w:val="0"/>
        <w:spacing w:line="324" w:lineRule="auto"/>
        <w:ind w:firstLine="480" w:firstLineChars="200"/>
        <w:jc w:val="left"/>
        <w:rPr>
          <w:rFonts w:hint="eastAsia" w:ascii="宋体" w:hAnsi="Times New Roman" w:cs="Times New Roman"/>
          <w:color w:val="auto"/>
          <w:sz w:val="24"/>
          <w:szCs w:val="24"/>
          <w:highlight w:val="none"/>
        </w:rPr>
      </w:pPr>
    </w:p>
    <w:p w14:paraId="137505A0">
      <w:pPr>
        <w:widowControl/>
        <w:snapToGrid w:val="0"/>
        <w:spacing w:line="324" w:lineRule="auto"/>
        <w:ind w:firstLine="480" w:firstLineChars="200"/>
        <w:jc w:val="left"/>
        <w:rPr>
          <w:rFonts w:hint="eastAsia" w:ascii="宋体" w:hAnsi="Times New Roman" w:cs="Times New Roman"/>
          <w:color w:val="auto"/>
          <w:sz w:val="24"/>
          <w:szCs w:val="24"/>
          <w:highlight w:val="none"/>
        </w:rPr>
      </w:pPr>
    </w:p>
    <w:p w14:paraId="4201437D">
      <w:pPr>
        <w:widowControl/>
        <w:snapToGrid w:val="0"/>
        <w:spacing w:line="324" w:lineRule="auto"/>
        <w:ind w:firstLine="480" w:firstLineChars="200"/>
        <w:jc w:val="left"/>
        <w:rPr>
          <w:rFonts w:hint="eastAsia" w:ascii="宋体" w:hAnsi="Times New Roman" w:cs="Times New Roman"/>
          <w:color w:val="auto"/>
          <w:sz w:val="24"/>
          <w:szCs w:val="24"/>
          <w:highlight w:val="none"/>
        </w:rPr>
      </w:pPr>
    </w:p>
    <w:p w14:paraId="2992B43C">
      <w:pPr>
        <w:widowControl/>
        <w:snapToGrid w:val="0"/>
        <w:spacing w:line="324" w:lineRule="auto"/>
        <w:ind w:firstLine="480" w:firstLineChars="200"/>
        <w:jc w:val="left"/>
        <w:rPr>
          <w:rFonts w:hint="eastAsia" w:ascii="宋体" w:hAnsi="Times New Roman" w:cs="Times New Roman"/>
          <w:color w:val="auto"/>
          <w:sz w:val="24"/>
          <w:szCs w:val="24"/>
          <w:highlight w:val="none"/>
        </w:rPr>
      </w:pPr>
    </w:p>
    <w:p w14:paraId="6A19D379">
      <w:pPr>
        <w:widowControl/>
        <w:snapToGrid w:val="0"/>
        <w:spacing w:line="324" w:lineRule="auto"/>
        <w:ind w:firstLine="480" w:firstLineChars="200"/>
        <w:jc w:val="left"/>
        <w:rPr>
          <w:rFonts w:hint="eastAsia" w:ascii="宋体" w:hAnsi="Times New Roman" w:cs="Times New Roman"/>
          <w:color w:val="auto"/>
          <w:sz w:val="24"/>
          <w:szCs w:val="24"/>
          <w:highlight w:val="none"/>
        </w:rPr>
      </w:pPr>
    </w:p>
    <w:p w14:paraId="7F0EDB31">
      <w:pPr>
        <w:widowControl/>
        <w:snapToGrid w:val="0"/>
        <w:spacing w:line="324" w:lineRule="auto"/>
        <w:ind w:firstLine="480" w:firstLineChars="200"/>
        <w:jc w:val="left"/>
        <w:rPr>
          <w:rFonts w:hint="eastAsia" w:ascii="宋体" w:hAnsi="Times New Roman" w:cs="Times New Roman"/>
          <w:color w:val="auto"/>
          <w:sz w:val="24"/>
          <w:szCs w:val="24"/>
          <w:highlight w:val="none"/>
        </w:rPr>
      </w:pPr>
    </w:p>
    <w:p w14:paraId="756B82ED">
      <w:pPr>
        <w:widowControl/>
        <w:shd w:val="clear" w:color="auto" w:fill="FFFFFF"/>
        <w:spacing w:before="150" w:line="420" w:lineRule="atLeast"/>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附表：统计上大中小微型企业划分标准</w:t>
      </w:r>
    </w:p>
    <w:p w14:paraId="25DC2A38">
      <w:pPr>
        <w:widowControl/>
        <w:jc w:val="left"/>
        <w:rPr>
          <w:rFonts w:hint="eastAsia" w:ascii="宋体" w:hAnsi="宋体" w:eastAsia="宋体" w:cs="宋体"/>
          <w:color w:val="auto"/>
          <w:kern w:val="0"/>
          <w:sz w:val="24"/>
          <w:highlight w:val="none"/>
        </w:rPr>
      </w:pPr>
    </w:p>
    <w:p w14:paraId="4C7B9A88">
      <w:pPr>
        <w:widowControl/>
        <w:shd w:val="clear" w:color="auto" w:fill="FFFFFF"/>
        <w:spacing w:before="150" w:line="600" w:lineRule="atLeast"/>
        <w:jc w:val="center"/>
        <w:textAlignment w:val="baseline"/>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6"/>
          <w:szCs w:val="36"/>
          <w:highlight w:val="none"/>
        </w:rPr>
        <w:t>统计上大中小微型企业划分标准</w:t>
      </w:r>
    </w:p>
    <w:tbl>
      <w:tblPr>
        <w:tblStyle w:val="28"/>
        <w:tblW w:w="97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57"/>
        <w:gridCol w:w="1560"/>
        <w:gridCol w:w="671"/>
        <w:gridCol w:w="1231"/>
        <w:gridCol w:w="1891"/>
        <w:gridCol w:w="1730"/>
        <w:gridCol w:w="1203"/>
      </w:tblGrid>
      <w:tr w14:paraId="3B9F5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noWrap w:val="0"/>
            <w:tcMar>
              <w:top w:w="75" w:type="dxa"/>
              <w:left w:w="75" w:type="dxa"/>
              <w:bottom w:w="75" w:type="dxa"/>
              <w:right w:w="75" w:type="dxa"/>
            </w:tcMar>
            <w:vAlign w:val="bottom"/>
          </w:tcPr>
          <w:p w14:paraId="5DCD6DF0">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行业名称</w:t>
            </w:r>
          </w:p>
        </w:tc>
        <w:tc>
          <w:tcPr>
            <w:tcW w:w="1560" w:type="dxa"/>
            <w:noWrap w:val="0"/>
            <w:tcMar>
              <w:top w:w="75" w:type="dxa"/>
              <w:left w:w="75" w:type="dxa"/>
              <w:bottom w:w="75" w:type="dxa"/>
              <w:right w:w="75" w:type="dxa"/>
            </w:tcMar>
            <w:vAlign w:val="bottom"/>
          </w:tcPr>
          <w:p w14:paraId="609210C4">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指标名称</w:t>
            </w:r>
          </w:p>
        </w:tc>
        <w:tc>
          <w:tcPr>
            <w:tcW w:w="671" w:type="dxa"/>
            <w:noWrap w:val="0"/>
            <w:tcMar>
              <w:top w:w="75" w:type="dxa"/>
              <w:left w:w="75" w:type="dxa"/>
              <w:bottom w:w="75" w:type="dxa"/>
              <w:right w:w="75" w:type="dxa"/>
            </w:tcMar>
            <w:vAlign w:val="bottom"/>
          </w:tcPr>
          <w:p w14:paraId="16539CF8">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计量单位</w:t>
            </w:r>
          </w:p>
        </w:tc>
        <w:tc>
          <w:tcPr>
            <w:tcW w:w="1231" w:type="dxa"/>
            <w:noWrap w:val="0"/>
            <w:tcMar>
              <w:top w:w="75" w:type="dxa"/>
              <w:left w:w="75" w:type="dxa"/>
              <w:bottom w:w="75" w:type="dxa"/>
              <w:right w:w="75" w:type="dxa"/>
            </w:tcMar>
            <w:vAlign w:val="bottom"/>
          </w:tcPr>
          <w:p w14:paraId="31A2FE8A">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大型</w:t>
            </w:r>
          </w:p>
        </w:tc>
        <w:tc>
          <w:tcPr>
            <w:tcW w:w="1891" w:type="dxa"/>
            <w:noWrap w:val="0"/>
            <w:tcMar>
              <w:top w:w="75" w:type="dxa"/>
              <w:left w:w="75" w:type="dxa"/>
              <w:bottom w:w="75" w:type="dxa"/>
              <w:right w:w="75" w:type="dxa"/>
            </w:tcMar>
            <w:vAlign w:val="bottom"/>
          </w:tcPr>
          <w:p w14:paraId="45056B27">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中型</w:t>
            </w:r>
          </w:p>
        </w:tc>
        <w:tc>
          <w:tcPr>
            <w:tcW w:w="1730" w:type="dxa"/>
            <w:noWrap w:val="0"/>
            <w:tcMar>
              <w:top w:w="75" w:type="dxa"/>
              <w:left w:w="75" w:type="dxa"/>
              <w:bottom w:w="75" w:type="dxa"/>
              <w:right w:w="75" w:type="dxa"/>
            </w:tcMar>
            <w:vAlign w:val="bottom"/>
          </w:tcPr>
          <w:p w14:paraId="5FE278A6">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小型</w:t>
            </w:r>
          </w:p>
        </w:tc>
        <w:tc>
          <w:tcPr>
            <w:tcW w:w="1203" w:type="dxa"/>
            <w:noWrap w:val="0"/>
            <w:tcMar>
              <w:top w:w="75" w:type="dxa"/>
              <w:left w:w="75" w:type="dxa"/>
              <w:bottom w:w="75" w:type="dxa"/>
              <w:right w:w="75" w:type="dxa"/>
            </w:tcMar>
            <w:vAlign w:val="bottom"/>
          </w:tcPr>
          <w:p w14:paraId="6501FB0D">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微型</w:t>
            </w:r>
          </w:p>
        </w:tc>
      </w:tr>
      <w:tr w14:paraId="2C5F6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noWrap w:val="0"/>
            <w:vAlign w:val="center"/>
          </w:tcPr>
          <w:p w14:paraId="3DA7E03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农、林、牧、渔业</w:t>
            </w:r>
          </w:p>
        </w:tc>
        <w:tc>
          <w:tcPr>
            <w:tcW w:w="1560" w:type="dxa"/>
            <w:noWrap w:val="0"/>
            <w:vAlign w:val="center"/>
          </w:tcPr>
          <w:p w14:paraId="47E1AC8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noWrap w:val="0"/>
            <w:vAlign w:val="center"/>
          </w:tcPr>
          <w:p w14:paraId="73921BBB">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noWrap w:val="0"/>
            <w:vAlign w:val="center"/>
          </w:tcPr>
          <w:p w14:paraId="0D36AED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Y≥20000</w:t>
            </w:r>
          </w:p>
        </w:tc>
        <w:tc>
          <w:tcPr>
            <w:tcW w:w="1891" w:type="dxa"/>
            <w:noWrap w:val="0"/>
            <w:vAlign w:val="center"/>
          </w:tcPr>
          <w:p w14:paraId="11E9591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500≤Y＜20000</w:t>
            </w:r>
          </w:p>
        </w:tc>
        <w:tc>
          <w:tcPr>
            <w:tcW w:w="1730" w:type="dxa"/>
            <w:noWrap w:val="0"/>
            <w:vAlign w:val="center"/>
          </w:tcPr>
          <w:p w14:paraId="6F4F607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50≤Y＜500</w:t>
            </w:r>
          </w:p>
        </w:tc>
        <w:tc>
          <w:tcPr>
            <w:tcW w:w="1203" w:type="dxa"/>
            <w:noWrap w:val="0"/>
            <w:vAlign w:val="center"/>
          </w:tcPr>
          <w:p w14:paraId="242C814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Y＜50</w:t>
            </w:r>
          </w:p>
        </w:tc>
      </w:tr>
      <w:tr w14:paraId="0E9D4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noWrap w:val="0"/>
            <w:vAlign w:val="center"/>
          </w:tcPr>
          <w:p w14:paraId="26EA136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工业 *</w:t>
            </w:r>
          </w:p>
        </w:tc>
        <w:tc>
          <w:tcPr>
            <w:tcW w:w="1560" w:type="dxa"/>
            <w:noWrap w:val="0"/>
            <w:vAlign w:val="center"/>
          </w:tcPr>
          <w:p w14:paraId="4D68B28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noWrap w:val="0"/>
            <w:vAlign w:val="center"/>
          </w:tcPr>
          <w:p w14:paraId="0F845A7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noWrap w:val="0"/>
            <w:vAlign w:val="center"/>
          </w:tcPr>
          <w:p w14:paraId="1C3F49A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X≥1000</w:t>
            </w:r>
          </w:p>
        </w:tc>
        <w:tc>
          <w:tcPr>
            <w:tcW w:w="1891" w:type="dxa"/>
            <w:noWrap w:val="0"/>
            <w:vAlign w:val="center"/>
          </w:tcPr>
          <w:p w14:paraId="2FE61F6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300≤X＜1000</w:t>
            </w:r>
          </w:p>
        </w:tc>
        <w:tc>
          <w:tcPr>
            <w:tcW w:w="1730" w:type="dxa"/>
            <w:noWrap w:val="0"/>
            <w:vAlign w:val="center"/>
          </w:tcPr>
          <w:p w14:paraId="3D3DBA5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20≤X＜300</w:t>
            </w:r>
          </w:p>
        </w:tc>
        <w:tc>
          <w:tcPr>
            <w:tcW w:w="1203" w:type="dxa"/>
            <w:noWrap w:val="0"/>
            <w:vAlign w:val="center"/>
          </w:tcPr>
          <w:p w14:paraId="4025F27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X＜20</w:t>
            </w:r>
          </w:p>
        </w:tc>
      </w:tr>
      <w:tr w14:paraId="67A3B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noWrap w:val="0"/>
            <w:vAlign w:val="center"/>
          </w:tcPr>
          <w:p w14:paraId="4C808C45">
            <w:pPr>
              <w:widowControl/>
              <w:jc w:val="left"/>
              <w:rPr>
                <w:rFonts w:hint="eastAsia" w:ascii="宋体" w:hAnsi="宋体" w:eastAsia="宋体" w:cs="宋体"/>
                <w:color w:val="auto"/>
                <w:kern w:val="0"/>
                <w:sz w:val="24"/>
                <w:highlight w:val="none"/>
              </w:rPr>
            </w:pPr>
          </w:p>
        </w:tc>
        <w:tc>
          <w:tcPr>
            <w:tcW w:w="1560" w:type="dxa"/>
            <w:noWrap w:val="0"/>
            <w:vAlign w:val="center"/>
          </w:tcPr>
          <w:p w14:paraId="21BCCDE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noWrap w:val="0"/>
            <w:vAlign w:val="center"/>
          </w:tcPr>
          <w:p w14:paraId="51725E8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noWrap w:val="0"/>
            <w:vAlign w:val="center"/>
          </w:tcPr>
          <w:p w14:paraId="4BAA6D9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Y≥40000</w:t>
            </w:r>
          </w:p>
        </w:tc>
        <w:tc>
          <w:tcPr>
            <w:tcW w:w="1891" w:type="dxa"/>
            <w:noWrap w:val="0"/>
            <w:vAlign w:val="center"/>
          </w:tcPr>
          <w:p w14:paraId="5B9F1A2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2000≤Y＜40000</w:t>
            </w:r>
          </w:p>
        </w:tc>
        <w:tc>
          <w:tcPr>
            <w:tcW w:w="1730" w:type="dxa"/>
            <w:noWrap w:val="0"/>
            <w:vAlign w:val="center"/>
          </w:tcPr>
          <w:p w14:paraId="6745777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300≤Y＜2000</w:t>
            </w:r>
          </w:p>
        </w:tc>
        <w:tc>
          <w:tcPr>
            <w:tcW w:w="1203" w:type="dxa"/>
            <w:noWrap w:val="0"/>
            <w:vAlign w:val="center"/>
          </w:tcPr>
          <w:p w14:paraId="0A88275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Y＜300</w:t>
            </w:r>
          </w:p>
        </w:tc>
      </w:tr>
      <w:tr w14:paraId="2530A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noWrap w:val="0"/>
            <w:vAlign w:val="center"/>
          </w:tcPr>
          <w:p w14:paraId="767FA9C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建筑业</w:t>
            </w:r>
          </w:p>
        </w:tc>
        <w:tc>
          <w:tcPr>
            <w:tcW w:w="1560" w:type="dxa"/>
            <w:noWrap w:val="0"/>
            <w:vAlign w:val="center"/>
          </w:tcPr>
          <w:p w14:paraId="587641D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noWrap w:val="0"/>
            <w:vAlign w:val="center"/>
          </w:tcPr>
          <w:p w14:paraId="19300B1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noWrap w:val="0"/>
            <w:vAlign w:val="center"/>
          </w:tcPr>
          <w:p w14:paraId="11D4DABB">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Y≥80000</w:t>
            </w:r>
          </w:p>
        </w:tc>
        <w:tc>
          <w:tcPr>
            <w:tcW w:w="1891" w:type="dxa"/>
            <w:noWrap w:val="0"/>
            <w:vAlign w:val="center"/>
          </w:tcPr>
          <w:p w14:paraId="3E61DD5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6000≤Y＜80000</w:t>
            </w:r>
          </w:p>
        </w:tc>
        <w:tc>
          <w:tcPr>
            <w:tcW w:w="1730" w:type="dxa"/>
            <w:noWrap w:val="0"/>
            <w:vAlign w:val="center"/>
          </w:tcPr>
          <w:p w14:paraId="56D8B30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300≤Y＜6000</w:t>
            </w:r>
          </w:p>
        </w:tc>
        <w:tc>
          <w:tcPr>
            <w:tcW w:w="1203" w:type="dxa"/>
            <w:noWrap w:val="0"/>
            <w:vAlign w:val="center"/>
          </w:tcPr>
          <w:p w14:paraId="0A5E0F6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Y＜300</w:t>
            </w:r>
          </w:p>
        </w:tc>
      </w:tr>
      <w:tr w14:paraId="13AEB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noWrap w:val="0"/>
            <w:vAlign w:val="center"/>
          </w:tcPr>
          <w:p w14:paraId="300E919C">
            <w:pPr>
              <w:widowControl/>
              <w:jc w:val="left"/>
              <w:rPr>
                <w:rFonts w:hint="eastAsia" w:ascii="宋体" w:hAnsi="宋体" w:eastAsia="宋体" w:cs="宋体"/>
                <w:color w:val="auto"/>
                <w:kern w:val="0"/>
                <w:sz w:val="24"/>
                <w:highlight w:val="none"/>
              </w:rPr>
            </w:pPr>
          </w:p>
        </w:tc>
        <w:tc>
          <w:tcPr>
            <w:tcW w:w="1560" w:type="dxa"/>
            <w:noWrap w:val="0"/>
            <w:vAlign w:val="center"/>
          </w:tcPr>
          <w:p w14:paraId="7E89321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资产总额(Z)</w:t>
            </w:r>
          </w:p>
        </w:tc>
        <w:tc>
          <w:tcPr>
            <w:tcW w:w="671" w:type="dxa"/>
            <w:noWrap w:val="0"/>
            <w:vAlign w:val="center"/>
          </w:tcPr>
          <w:p w14:paraId="1C99087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noWrap w:val="0"/>
            <w:vAlign w:val="center"/>
          </w:tcPr>
          <w:p w14:paraId="2BA97D7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Z≥80000</w:t>
            </w:r>
          </w:p>
        </w:tc>
        <w:tc>
          <w:tcPr>
            <w:tcW w:w="1891" w:type="dxa"/>
            <w:noWrap w:val="0"/>
            <w:vAlign w:val="center"/>
          </w:tcPr>
          <w:p w14:paraId="5D2B243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5000≤Z＜80000</w:t>
            </w:r>
          </w:p>
        </w:tc>
        <w:tc>
          <w:tcPr>
            <w:tcW w:w="1730" w:type="dxa"/>
            <w:noWrap w:val="0"/>
            <w:vAlign w:val="center"/>
          </w:tcPr>
          <w:p w14:paraId="3EC22F0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300≤Z＜5000</w:t>
            </w:r>
          </w:p>
        </w:tc>
        <w:tc>
          <w:tcPr>
            <w:tcW w:w="1203" w:type="dxa"/>
            <w:noWrap w:val="0"/>
            <w:vAlign w:val="center"/>
          </w:tcPr>
          <w:p w14:paraId="38D94C2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Z＜300</w:t>
            </w:r>
          </w:p>
        </w:tc>
      </w:tr>
      <w:tr w14:paraId="42C57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noWrap w:val="0"/>
            <w:vAlign w:val="center"/>
          </w:tcPr>
          <w:p w14:paraId="55E8352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批发业</w:t>
            </w:r>
          </w:p>
        </w:tc>
        <w:tc>
          <w:tcPr>
            <w:tcW w:w="1560" w:type="dxa"/>
            <w:noWrap w:val="0"/>
            <w:vAlign w:val="center"/>
          </w:tcPr>
          <w:p w14:paraId="3887E60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noWrap w:val="0"/>
            <w:vAlign w:val="center"/>
          </w:tcPr>
          <w:p w14:paraId="3F586C9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noWrap w:val="0"/>
            <w:vAlign w:val="center"/>
          </w:tcPr>
          <w:p w14:paraId="438522C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X≥200</w:t>
            </w:r>
          </w:p>
        </w:tc>
        <w:tc>
          <w:tcPr>
            <w:tcW w:w="1891" w:type="dxa"/>
            <w:noWrap w:val="0"/>
            <w:vAlign w:val="center"/>
          </w:tcPr>
          <w:p w14:paraId="2B1AA72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20≤X＜200</w:t>
            </w:r>
          </w:p>
        </w:tc>
        <w:tc>
          <w:tcPr>
            <w:tcW w:w="1730" w:type="dxa"/>
            <w:noWrap w:val="0"/>
            <w:vAlign w:val="center"/>
          </w:tcPr>
          <w:p w14:paraId="5BB44E0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5≤X＜20</w:t>
            </w:r>
          </w:p>
        </w:tc>
        <w:tc>
          <w:tcPr>
            <w:tcW w:w="1203" w:type="dxa"/>
            <w:noWrap w:val="0"/>
            <w:vAlign w:val="center"/>
          </w:tcPr>
          <w:p w14:paraId="7A1F1E8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X＜5</w:t>
            </w:r>
          </w:p>
        </w:tc>
      </w:tr>
      <w:tr w14:paraId="12868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noWrap w:val="0"/>
            <w:vAlign w:val="center"/>
          </w:tcPr>
          <w:p w14:paraId="4FED717A">
            <w:pPr>
              <w:widowControl/>
              <w:jc w:val="left"/>
              <w:rPr>
                <w:rFonts w:hint="eastAsia" w:ascii="宋体" w:hAnsi="宋体" w:eastAsia="宋体" w:cs="宋体"/>
                <w:color w:val="auto"/>
                <w:kern w:val="0"/>
                <w:sz w:val="24"/>
                <w:highlight w:val="none"/>
              </w:rPr>
            </w:pPr>
          </w:p>
        </w:tc>
        <w:tc>
          <w:tcPr>
            <w:tcW w:w="1560" w:type="dxa"/>
            <w:noWrap w:val="0"/>
            <w:vAlign w:val="center"/>
          </w:tcPr>
          <w:p w14:paraId="5BDEF0B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noWrap w:val="0"/>
            <w:vAlign w:val="center"/>
          </w:tcPr>
          <w:p w14:paraId="4F79CEA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noWrap w:val="0"/>
            <w:vAlign w:val="center"/>
          </w:tcPr>
          <w:p w14:paraId="57A9F37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Y≥40000</w:t>
            </w:r>
          </w:p>
        </w:tc>
        <w:tc>
          <w:tcPr>
            <w:tcW w:w="1891" w:type="dxa"/>
            <w:noWrap w:val="0"/>
            <w:vAlign w:val="center"/>
          </w:tcPr>
          <w:p w14:paraId="00685D2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5000≤Y＜40000</w:t>
            </w:r>
          </w:p>
        </w:tc>
        <w:tc>
          <w:tcPr>
            <w:tcW w:w="1730" w:type="dxa"/>
            <w:noWrap w:val="0"/>
            <w:vAlign w:val="center"/>
          </w:tcPr>
          <w:p w14:paraId="493A774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1000≤Y＜5000</w:t>
            </w:r>
          </w:p>
        </w:tc>
        <w:tc>
          <w:tcPr>
            <w:tcW w:w="1203" w:type="dxa"/>
            <w:noWrap w:val="0"/>
            <w:vAlign w:val="center"/>
          </w:tcPr>
          <w:p w14:paraId="136CAAA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Y＜1000</w:t>
            </w:r>
          </w:p>
        </w:tc>
      </w:tr>
      <w:tr w14:paraId="0671D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noWrap w:val="0"/>
            <w:vAlign w:val="center"/>
          </w:tcPr>
          <w:p w14:paraId="45DE178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零售业</w:t>
            </w:r>
          </w:p>
        </w:tc>
        <w:tc>
          <w:tcPr>
            <w:tcW w:w="1560" w:type="dxa"/>
            <w:noWrap w:val="0"/>
            <w:vAlign w:val="center"/>
          </w:tcPr>
          <w:p w14:paraId="2AF9E3E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noWrap w:val="0"/>
            <w:vAlign w:val="center"/>
          </w:tcPr>
          <w:p w14:paraId="7E99907B">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noWrap w:val="0"/>
            <w:vAlign w:val="center"/>
          </w:tcPr>
          <w:p w14:paraId="66C0CD8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X≥300</w:t>
            </w:r>
          </w:p>
        </w:tc>
        <w:tc>
          <w:tcPr>
            <w:tcW w:w="1891" w:type="dxa"/>
            <w:noWrap w:val="0"/>
            <w:vAlign w:val="center"/>
          </w:tcPr>
          <w:p w14:paraId="3ED1FF4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50≤X＜300</w:t>
            </w:r>
          </w:p>
        </w:tc>
        <w:tc>
          <w:tcPr>
            <w:tcW w:w="1730" w:type="dxa"/>
            <w:noWrap w:val="0"/>
            <w:vAlign w:val="center"/>
          </w:tcPr>
          <w:p w14:paraId="348DE21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10≤X＜50</w:t>
            </w:r>
          </w:p>
        </w:tc>
        <w:tc>
          <w:tcPr>
            <w:tcW w:w="1203" w:type="dxa"/>
            <w:noWrap w:val="0"/>
            <w:vAlign w:val="center"/>
          </w:tcPr>
          <w:p w14:paraId="08AA086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X＜10</w:t>
            </w:r>
          </w:p>
        </w:tc>
      </w:tr>
      <w:tr w14:paraId="451D1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noWrap w:val="0"/>
            <w:vAlign w:val="center"/>
          </w:tcPr>
          <w:p w14:paraId="24B997E4">
            <w:pPr>
              <w:widowControl/>
              <w:jc w:val="left"/>
              <w:rPr>
                <w:rFonts w:hint="eastAsia" w:ascii="宋体" w:hAnsi="宋体" w:eastAsia="宋体" w:cs="宋体"/>
                <w:color w:val="auto"/>
                <w:kern w:val="0"/>
                <w:sz w:val="24"/>
                <w:highlight w:val="none"/>
              </w:rPr>
            </w:pPr>
          </w:p>
        </w:tc>
        <w:tc>
          <w:tcPr>
            <w:tcW w:w="1560" w:type="dxa"/>
            <w:noWrap w:val="0"/>
            <w:vAlign w:val="center"/>
          </w:tcPr>
          <w:p w14:paraId="6A713C7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noWrap w:val="0"/>
            <w:vAlign w:val="center"/>
          </w:tcPr>
          <w:p w14:paraId="03C3CD3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noWrap w:val="0"/>
            <w:vAlign w:val="center"/>
          </w:tcPr>
          <w:p w14:paraId="3473584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Y≥20000</w:t>
            </w:r>
          </w:p>
        </w:tc>
        <w:tc>
          <w:tcPr>
            <w:tcW w:w="1891" w:type="dxa"/>
            <w:noWrap w:val="0"/>
            <w:vAlign w:val="center"/>
          </w:tcPr>
          <w:p w14:paraId="36AB6A8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500≤Y＜20000</w:t>
            </w:r>
          </w:p>
        </w:tc>
        <w:tc>
          <w:tcPr>
            <w:tcW w:w="1730" w:type="dxa"/>
            <w:noWrap w:val="0"/>
            <w:vAlign w:val="center"/>
          </w:tcPr>
          <w:p w14:paraId="2DA1B0D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100≤Y＜500</w:t>
            </w:r>
          </w:p>
        </w:tc>
        <w:tc>
          <w:tcPr>
            <w:tcW w:w="1203" w:type="dxa"/>
            <w:noWrap w:val="0"/>
            <w:vAlign w:val="center"/>
          </w:tcPr>
          <w:p w14:paraId="722A95E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Y＜100</w:t>
            </w:r>
          </w:p>
        </w:tc>
      </w:tr>
      <w:tr w14:paraId="3CD83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noWrap w:val="0"/>
            <w:vAlign w:val="center"/>
          </w:tcPr>
          <w:p w14:paraId="350401E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交通运输业 *</w:t>
            </w:r>
          </w:p>
        </w:tc>
        <w:tc>
          <w:tcPr>
            <w:tcW w:w="1560" w:type="dxa"/>
            <w:noWrap w:val="0"/>
            <w:vAlign w:val="center"/>
          </w:tcPr>
          <w:p w14:paraId="7BDCD90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noWrap w:val="0"/>
            <w:vAlign w:val="center"/>
          </w:tcPr>
          <w:p w14:paraId="2EA3387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noWrap w:val="0"/>
            <w:vAlign w:val="center"/>
          </w:tcPr>
          <w:p w14:paraId="353A913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X≥1000</w:t>
            </w:r>
          </w:p>
        </w:tc>
        <w:tc>
          <w:tcPr>
            <w:tcW w:w="1891" w:type="dxa"/>
            <w:noWrap w:val="0"/>
            <w:vAlign w:val="center"/>
          </w:tcPr>
          <w:p w14:paraId="7E8498B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300≤X＜1000</w:t>
            </w:r>
          </w:p>
        </w:tc>
        <w:tc>
          <w:tcPr>
            <w:tcW w:w="1730" w:type="dxa"/>
            <w:noWrap w:val="0"/>
            <w:vAlign w:val="center"/>
          </w:tcPr>
          <w:p w14:paraId="11DFC08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20≤X＜300</w:t>
            </w:r>
          </w:p>
        </w:tc>
        <w:tc>
          <w:tcPr>
            <w:tcW w:w="1203" w:type="dxa"/>
            <w:noWrap w:val="0"/>
            <w:vAlign w:val="center"/>
          </w:tcPr>
          <w:p w14:paraId="491DDC2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X＜20</w:t>
            </w:r>
          </w:p>
        </w:tc>
      </w:tr>
      <w:tr w14:paraId="50A64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noWrap w:val="0"/>
            <w:vAlign w:val="center"/>
          </w:tcPr>
          <w:p w14:paraId="6E12F375">
            <w:pPr>
              <w:widowControl/>
              <w:jc w:val="left"/>
              <w:rPr>
                <w:rFonts w:hint="eastAsia" w:ascii="宋体" w:hAnsi="宋体" w:eastAsia="宋体" w:cs="宋体"/>
                <w:color w:val="auto"/>
                <w:kern w:val="0"/>
                <w:sz w:val="24"/>
                <w:highlight w:val="none"/>
              </w:rPr>
            </w:pPr>
          </w:p>
        </w:tc>
        <w:tc>
          <w:tcPr>
            <w:tcW w:w="1560" w:type="dxa"/>
            <w:noWrap w:val="0"/>
            <w:vAlign w:val="center"/>
          </w:tcPr>
          <w:p w14:paraId="7DDD168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noWrap w:val="0"/>
            <w:vAlign w:val="center"/>
          </w:tcPr>
          <w:p w14:paraId="7769630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noWrap w:val="0"/>
            <w:vAlign w:val="center"/>
          </w:tcPr>
          <w:p w14:paraId="5AFF029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Y≥30000</w:t>
            </w:r>
          </w:p>
        </w:tc>
        <w:tc>
          <w:tcPr>
            <w:tcW w:w="1891" w:type="dxa"/>
            <w:noWrap w:val="0"/>
            <w:vAlign w:val="center"/>
          </w:tcPr>
          <w:p w14:paraId="7B8F7DC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3000≤Y＜30000</w:t>
            </w:r>
          </w:p>
        </w:tc>
        <w:tc>
          <w:tcPr>
            <w:tcW w:w="1730" w:type="dxa"/>
            <w:noWrap w:val="0"/>
            <w:vAlign w:val="center"/>
          </w:tcPr>
          <w:p w14:paraId="0036456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200≤Y＜3000</w:t>
            </w:r>
          </w:p>
        </w:tc>
        <w:tc>
          <w:tcPr>
            <w:tcW w:w="1203" w:type="dxa"/>
            <w:noWrap w:val="0"/>
            <w:vAlign w:val="center"/>
          </w:tcPr>
          <w:p w14:paraId="2BAB0C1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Y＜200</w:t>
            </w:r>
          </w:p>
        </w:tc>
      </w:tr>
      <w:tr w14:paraId="600AD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noWrap w:val="0"/>
            <w:vAlign w:val="center"/>
          </w:tcPr>
          <w:p w14:paraId="590874D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仓储业*</w:t>
            </w:r>
          </w:p>
        </w:tc>
        <w:tc>
          <w:tcPr>
            <w:tcW w:w="1560" w:type="dxa"/>
            <w:noWrap w:val="0"/>
            <w:vAlign w:val="center"/>
          </w:tcPr>
          <w:p w14:paraId="691E1B9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noWrap w:val="0"/>
            <w:vAlign w:val="center"/>
          </w:tcPr>
          <w:p w14:paraId="76BFC86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noWrap w:val="0"/>
            <w:vAlign w:val="center"/>
          </w:tcPr>
          <w:p w14:paraId="19BF1F3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X≥200</w:t>
            </w:r>
          </w:p>
        </w:tc>
        <w:tc>
          <w:tcPr>
            <w:tcW w:w="1891" w:type="dxa"/>
            <w:noWrap w:val="0"/>
            <w:vAlign w:val="center"/>
          </w:tcPr>
          <w:p w14:paraId="432EBD3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100≤X＜200</w:t>
            </w:r>
          </w:p>
        </w:tc>
        <w:tc>
          <w:tcPr>
            <w:tcW w:w="1730" w:type="dxa"/>
            <w:noWrap w:val="0"/>
            <w:vAlign w:val="center"/>
          </w:tcPr>
          <w:p w14:paraId="12F05EC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20≤X＜100</w:t>
            </w:r>
          </w:p>
        </w:tc>
        <w:tc>
          <w:tcPr>
            <w:tcW w:w="1203" w:type="dxa"/>
            <w:noWrap w:val="0"/>
            <w:vAlign w:val="center"/>
          </w:tcPr>
          <w:p w14:paraId="5F3DF52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X＜20</w:t>
            </w:r>
          </w:p>
        </w:tc>
      </w:tr>
      <w:tr w14:paraId="519D5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noWrap w:val="0"/>
            <w:vAlign w:val="center"/>
          </w:tcPr>
          <w:p w14:paraId="5DBBD717">
            <w:pPr>
              <w:widowControl/>
              <w:jc w:val="left"/>
              <w:rPr>
                <w:rFonts w:hint="eastAsia" w:ascii="宋体" w:hAnsi="宋体" w:eastAsia="宋体" w:cs="宋体"/>
                <w:color w:val="auto"/>
                <w:kern w:val="0"/>
                <w:sz w:val="24"/>
                <w:highlight w:val="none"/>
              </w:rPr>
            </w:pPr>
          </w:p>
        </w:tc>
        <w:tc>
          <w:tcPr>
            <w:tcW w:w="1560" w:type="dxa"/>
            <w:noWrap w:val="0"/>
            <w:vAlign w:val="center"/>
          </w:tcPr>
          <w:p w14:paraId="0BA8B84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noWrap w:val="0"/>
            <w:vAlign w:val="center"/>
          </w:tcPr>
          <w:p w14:paraId="0617ADC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noWrap w:val="0"/>
            <w:vAlign w:val="center"/>
          </w:tcPr>
          <w:p w14:paraId="1050FA8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Y≥30000</w:t>
            </w:r>
          </w:p>
        </w:tc>
        <w:tc>
          <w:tcPr>
            <w:tcW w:w="1891" w:type="dxa"/>
            <w:noWrap w:val="0"/>
            <w:vAlign w:val="center"/>
          </w:tcPr>
          <w:p w14:paraId="5EB252B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1000≤Y＜30000</w:t>
            </w:r>
          </w:p>
        </w:tc>
        <w:tc>
          <w:tcPr>
            <w:tcW w:w="1730" w:type="dxa"/>
            <w:noWrap w:val="0"/>
            <w:vAlign w:val="center"/>
          </w:tcPr>
          <w:p w14:paraId="5F0456F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100≤Y＜1000</w:t>
            </w:r>
          </w:p>
        </w:tc>
        <w:tc>
          <w:tcPr>
            <w:tcW w:w="1203" w:type="dxa"/>
            <w:noWrap w:val="0"/>
            <w:vAlign w:val="center"/>
          </w:tcPr>
          <w:p w14:paraId="5C0C8A5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Y＜100</w:t>
            </w:r>
          </w:p>
        </w:tc>
      </w:tr>
      <w:tr w14:paraId="43BA6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noWrap w:val="0"/>
            <w:vAlign w:val="center"/>
          </w:tcPr>
          <w:p w14:paraId="29DA70D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邮政业</w:t>
            </w:r>
          </w:p>
        </w:tc>
        <w:tc>
          <w:tcPr>
            <w:tcW w:w="1560" w:type="dxa"/>
            <w:noWrap w:val="0"/>
            <w:vAlign w:val="center"/>
          </w:tcPr>
          <w:p w14:paraId="5AA9AC7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noWrap w:val="0"/>
            <w:vAlign w:val="center"/>
          </w:tcPr>
          <w:p w14:paraId="156C519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noWrap w:val="0"/>
            <w:vAlign w:val="center"/>
          </w:tcPr>
          <w:p w14:paraId="67062DD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X≥1000</w:t>
            </w:r>
          </w:p>
        </w:tc>
        <w:tc>
          <w:tcPr>
            <w:tcW w:w="1891" w:type="dxa"/>
            <w:noWrap w:val="0"/>
            <w:vAlign w:val="center"/>
          </w:tcPr>
          <w:p w14:paraId="25A9B1C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300≤X＜1000</w:t>
            </w:r>
          </w:p>
        </w:tc>
        <w:tc>
          <w:tcPr>
            <w:tcW w:w="1730" w:type="dxa"/>
            <w:noWrap w:val="0"/>
            <w:vAlign w:val="center"/>
          </w:tcPr>
          <w:p w14:paraId="1360456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20≤X＜300</w:t>
            </w:r>
          </w:p>
        </w:tc>
        <w:tc>
          <w:tcPr>
            <w:tcW w:w="1203" w:type="dxa"/>
            <w:noWrap w:val="0"/>
            <w:vAlign w:val="center"/>
          </w:tcPr>
          <w:p w14:paraId="3E01CED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X＜20</w:t>
            </w:r>
          </w:p>
        </w:tc>
      </w:tr>
      <w:tr w14:paraId="16912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noWrap w:val="0"/>
            <w:vAlign w:val="center"/>
          </w:tcPr>
          <w:p w14:paraId="5FE49354">
            <w:pPr>
              <w:widowControl/>
              <w:jc w:val="left"/>
              <w:rPr>
                <w:rFonts w:hint="eastAsia" w:ascii="宋体" w:hAnsi="宋体" w:eastAsia="宋体" w:cs="宋体"/>
                <w:color w:val="auto"/>
                <w:kern w:val="0"/>
                <w:sz w:val="24"/>
                <w:highlight w:val="none"/>
              </w:rPr>
            </w:pPr>
          </w:p>
        </w:tc>
        <w:tc>
          <w:tcPr>
            <w:tcW w:w="1560" w:type="dxa"/>
            <w:noWrap w:val="0"/>
            <w:vAlign w:val="center"/>
          </w:tcPr>
          <w:p w14:paraId="39EB049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noWrap w:val="0"/>
            <w:vAlign w:val="center"/>
          </w:tcPr>
          <w:p w14:paraId="0FE211A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noWrap w:val="0"/>
            <w:vAlign w:val="center"/>
          </w:tcPr>
          <w:p w14:paraId="20314FC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Y≥30000</w:t>
            </w:r>
          </w:p>
        </w:tc>
        <w:tc>
          <w:tcPr>
            <w:tcW w:w="1891" w:type="dxa"/>
            <w:noWrap w:val="0"/>
            <w:vAlign w:val="center"/>
          </w:tcPr>
          <w:p w14:paraId="1C78FF9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2000≤Y＜30000</w:t>
            </w:r>
          </w:p>
        </w:tc>
        <w:tc>
          <w:tcPr>
            <w:tcW w:w="1730" w:type="dxa"/>
            <w:noWrap w:val="0"/>
            <w:vAlign w:val="center"/>
          </w:tcPr>
          <w:p w14:paraId="3789284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100≤Y＜2000</w:t>
            </w:r>
          </w:p>
        </w:tc>
        <w:tc>
          <w:tcPr>
            <w:tcW w:w="1203" w:type="dxa"/>
            <w:noWrap w:val="0"/>
            <w:vAlign w:val="center"/>
          </w:tcPr>
          <w:p w14:paraId="6E28D28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Y＜100</w:t>
            </w:r>
          </w:p>
        </w:tc>
      </w:tr>
      <w:tr w14:paraId="7FF86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noWrap w:val="0"/>
            <w:vAlign w:val="center"/>
          </w:tcPr>
          <w:p w14:paraId="60DC913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住宿业</w:t>
            </w:r>
          </w:p>
        </w:tc>
        <w:tc>
          <w:tcPr>
            <w:tcW w:w="1560" w:type="dxa"/>
            <w:noWrap w:val="0"/>
            <w:vAlign w:val="center"/>
          </w:tcPr>
          <w:p w14:paraId="1BD780CB">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noWrap w:val="0"/>
            <w:vAlign w:val="center"/>
          </w:tcPr>
          <w:p w14:paraId="2DCD9E2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noWrap w:val="0"/>
            <w:vAlign w:val="center"/>
          </w:tcPr>
          <w:p w14:paraId="4B65588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X≥300</w:t>
            </w:r>
          </w:p>
        </w:tc>
        <w:tc>
          <w:tcPr>
            <w:tcW w:w="1891" w:type="dxa"/>
            <w:noWrap w:val="0"/>
            <w:vAlign w:val="center"/>
          </w:tcPr>
          <w:p w14:paraId="0228303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100≤X＜300</w:t>
            </w:r>
          </w:p>
        </w:tc>
        <w:tc>
          <w:tcPr>
            <w:tcW w:w="1730" w:type="dxa"/>
            <w:noWrap w:val="0"/>
            <w:vAlign w:val="center"/>
          </w:tcPr>
          <w:p w14:paraId="31E1C37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10≤X＜100</w:t>
            </w:r>
          </w:p>
        </w:tc>
        <w:tc>
          <w:tcPr>
            <w:tcW w:w="1203" w:type="dxa"/>
            <w:noWrap w:val="0"/>
            <w:vAlign w:val="center"/>
          </w:tcPr>
          <w:p w14:paraId="07D63C1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X＜10</w:t>
            </w:r>
          </w:p>
        </w:tc>
      </w:tr>
      <w:tr w14:paraId="29460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noWrap w:val="0"/>
            <w:vAlign w:val="center"/>
          </w:tcPr>
          <w:p w14:paraId="6F5211BE">
            <w:pPr>
              <w:widowControl/>
              <w:jc w:val="left"/>
              <w:rPr>
                <w:rFonts w:hint="eastAsia" w:ascii="宋体" w:hAnsi="宋体" w:eastAsia="宋体" w:cs="宋体"/>
                <w:color w:val="auto"/>
                <w:kern w:val="0"/>
                <w:sz w:val="24"/>
                <w:highlight w:val="none"/>
              </w:rPr>
            </w:pPr>
          </w:p>
        </w:tc>
        <w:tc>
          <w:tcPr>
            <w:tcW w:w="1560" w:type="dxa"/>
            <w:noWrap w:val="0"/>
            <w:vAlign w:val="center"/>
          </w:tcPr>
          <w:p w14:paraId="43FCD41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noWrap w:val="0"/>
            <w:vAlign w:val="center"/>
          </w:tcPr>
          <w:p w14:paraId="2B2B84F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noWrap w:val="0"/>
            <w:vAlign w:val="center"/>
          </w:tcPr>
          <w:p w14:paraId="556C2F2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Y≥10000</w:t>
            </w:r>
          </w:p>
        </w:tc>
        <w:tc>
          <w:tcPr>
            <w:tcW w:w="1891" w:type="dxa"/>
            <w:noWrap w:val="0"/>
            <w:vAlign w:val="center"/>
          </w:tcPr>
          <w:p w14:paraId="7A96927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2000≤Y＜10000</w:t>
            </w:r>
          </w:p>
        </w:tc>
        <w:tc>
          <w:tcPr>
            <w:tcW w:w="1730" w:type="dxa"/>
            <w:noWrap w:val="0"/>
            <w:vAlign w:val="center"/>
          </w:tcPr>
          <w:p w14:paraId="0A9B368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100≤Y＜2000</w:t>
            </w:r>
          </w:p>
        </w:tc>
        <w:tc>
          <w:tcPr>
            <w:tcW w:w="1203" w:type="dxa"/>
            <w:noWrap w:val="0"/>
            <w:vAlign w:val="center"/>
          </w:tcPr>
          <w:p w14:paraId="1EC9233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Y＜100</w:t>
            </w:r>
          </w:p>
        </w:tc>
      </w:tr>
      <w:tr w14:paraId="0D047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noWrap w:val="0"/>
            <w:vAlign w:val="center"/>
          </w:tcPr>
          <w:p w14:paraId="76C6D4F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餐饮业</w:t>
            </w:r>
          </w:p>
        </w:tc>
        <w:tc>
          <w:tcPr>
            <w:tcW w:w="1560" w:type="dxa"/>
            <w:noWrap w:val="0"/>
            <w:vAlign w:val="center"/>
          </w:tcPr>
          <w:p w14:paraId="5690467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noWrap w:val="0"/>
            <w:vAlign w:val="center"/>
          </w:tcPr>
          <w:p w14:paraId="78DDA87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noWrap w:val="0"/>
            <w:vAlign w:val="center"/>
          </w:tcPr>
          <w:p w14:paraId="1CFCA5D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X≥300</w:t>
            </w:r>
          </w:p>
        </w:tc>
        <w:tc>
          <w:tcPr>
            <w:tcW w:w="1891" w:type="dxa"/>
            <w:noWrap w:val="0"/>
            <w:vAlign w:val="center"/>
          </w:tcPr>
          <w:p w14:paraId="73FA238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100≤X＜300</w:t>
            </w:r>
          </w:p>
        </w:tc>
        <w:tc>
          <w:tcPr>
            <w:tcW w:w="1730" w:type="dxa"/>
            <w:noWrap w:val="0"/>
            <w:vAlign w:val="center"/>
          </w:tcPr>
          <w:p w14:paraId="2A9A257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10≤X＜100</w:t>
            </w:r>
          </w:p>
        </w:tc>
        <w:tc>
          <w:tcPr>
            <w:tcW w:w="1203" w:type="dxa"/>
            <w:noWrap w:val="0"/>
            <w:vAlign w:val="center"/>
          </w:tcPr>
          <w:p w14:paraId="15656B1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X＜10</w:t>
            </w:r>
          </w:p>
        </w:tc>
      </w:tr>
      <w:tr w14:paraId="0C927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noWrap w:val="0"/>
            <w:vAlign w:val="center"/>
          </w:tcPr>
          <w:p w14:paraId="41AAD0F0">
            <w:pPr>
              <w:widowControl/>
              <w:jc w:val="left"/>
              <w:rPr>
                <w:rFonts w:hint="eastAsia" w:ascii="宋体" w:hAnsi="宋体" w:eastAsia="宋体" w:cs="宋体"/>
                <w:color w:val="auto"/>
                <w:kern w:val="0"/>
                <w:sz w:val="24"/>
                <w:highlight w:val="none"/>
              </w:rPr>
            </w:pPr>
          </w:p>
        </w:tc>
        <w:tc>
          <w:tcPr>
            <w:tcW w:w="1560" w:type="dxa"/>
            <w:noWrap w:val="0"/>
            <w:vAlign w:val="center"/>
          </w:tcPr>
          <w:p w14:paraId="6BED759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noWrap w:val="0"/>
            <w:vAlign w:val="center"/>
          </w:tcPr>
          <w:p w14:paraId="169219C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noWrap w:val="0"/>
            <w:vAlign w:val="center"/>
          </w:tcPr>
          <w:p w14:paraId="551E12C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Y≥10000</w:t>
            </w:r>
          </w:p>
        </w:tc>
        <w:tc>
          <w:tcPr>
            <w:tcW w:w="1891" w:type="dxa"/>
            <w:noWrap w:val="0"/>
            <w:vAlign w:val="center"/>
          </w:tcPr>
          <w:p w14:paraId="115C687B">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2000≤Y＜10000</w:t>
            </w:r>
          </w:p>
        </w:tc>
        <w:tc>
          <w:tcPr>
            <w:tcW w:w="1730" w:type="dxa"/>
            <w:noWrap w:val="0"/>
            <w:vAlign w:val="center"/>
          </w:tcPr>
          <w:p w14:paraId="4124885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100≤Y＜2000</w:t>
            </w:r>
          </w:p>
        </w:tc>
        <w:tc>
          <w:tcPr>
            <w:tcW w:w="1203" w:type="dxa"/>
            <w:noWrap w:val="0"/>
            <w:vAlign w:val="center"/>
          </w:tcPr>
          <w:p w14:paraId="02DEBF1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Y＜100</w:t>
            </w:r>
          </w:p>
        </w:tc>
      </w:tr>
      <w:tr w14:paraId="334D2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noWrap w:val="0"/>
            <w:vAlign w:val="center"/>
          </w:tcPr>
          <w:p w14:paraId="27C45BD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信息传输业 *</w:t>
            </w:r>
          </w:p>
        </w:tc>
        <w:tc>
          <w:tcPr>
            <w:tcW w:w="1560" w:type="dxa"/>
            <w:noWrap w:val="0"/>
            <w:vAlign w:val="center"/>
          </w:tcPr>
          <w:p w14:paraId="1DC7F9E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noWrap w:val="0"/>
            <w:vAlign w:val="center"/>
          </w:tcPr>
          <w:p w14:paraId="4DE8F9B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noWrap w:val="0"/>
            <w:vAlign w:val="center"/>
          </w:tcPr>
          <w:p w14:paraId="5A30FB3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X≥2000</w:t>
            </w:r>
          </w:p>
        </w:tc>
        <w:tc>
          <w:tcPr>
            <w:tcW w:w="1891" w:type="dxa"/>
            <w:noWrap w:val="0"/>
            <w:vAlign w:val="center"/>
          </w:tcPr>
          <w:p w14:paraId="7159655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100≤X＜2000</w:t>
            </w:r>
          </w:p>
        </w:tc>
        <w:tc>
          <w:tcPr>
            <w:tcW w:w="1730" w:type="dxa"/>
            <w:noWrap w:val="0"/>
            <w:vAlign w:val="center"/>
          </w:tcPr>
          <w:p w14:paraId="70F4377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10≤X＜100</w:t>
            </w:r>
          </w:p>
        </w:tc>
        <w:tc>
          <w:tcPr>
            <w:tcW w:w="1203" w:type="dxa"/>
            <w:noWrap w:val="0"/>
            <w:vAlign w:val="center"/>
          </w:tcPr>
          <w:p w14:paraId="6EA3123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X＜10</w:t>
            </w:r>
          </w:p>
        </w:tc>
      </w:tr>
      <w:tr w14:paraId="2C8CA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noWrap w:val="0"/>
            <w:vAlign w:val="center"/>
          </w:tcPr>
          <w:p w14:paraId="6B67A895">
            <w:pPr>
              <w:widowControl/>
              <w:jc w:val="left"/>
              <w:rPr>
                <w:rFonts w:hint="eastAsia" w:ascii="宋体" w:hAnsi="宋体" w:eastAsia="宋体" w:cs="宋体"/>
                <w:color w:val="auto"/>
                <w:kern w:val="0"/>
                <w:sz w:val="24"/>
                <w:highlight w:val="none"/>
              </w:rPr>
            </w:pPr>
          </w:p>
        </w:tc>
        <w:tc>
          <w:tcPr>
            <w:tcW w:w="1560" w:type="dxa"/>
            <w:noWrap w:val="0"/>
            <w:vAlign w:val="center"/>
          </w:tcPr>
          <w:p w14:paraId="4FD4D56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noWrap w:val="0"/>
            <w:vAlign w:val="center"/>
          </w:tcPr>
          <w:p w14:paraId="3C71E39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noWrap w:val="0"/>
            <w:vAlign w:val="center"/>
          </w:tcPr>
          <w:p w14:paraId="51602D2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Y≥100000</w:t>
            </w:r>
          </w:p>
        </w:tc>
        <w:tc>
          <w:tcPr>
            <w:tcW w:w="1891" w:type="dxa"/>
            <w:noWrap w:val="0"/>
            <w:vAlign w:val="center"/>
          </w:tcPr>
          <w:p w14:paraId="4F4C83F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1000≤Y＜100000</w:t>
            </w:r>
          </w:p>
        </w:tc>
        <w:tc>
          <w:tcPr>
            <w:tcW w:w="1730" w:type="dxa"/>
            <w:noWrap w:val="0"/>
            <w:vAlign w:val="center"/>
          </w:tcPr>
          <w:p w14:paraId="78A1990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100≤Y＜1000</w:t>
            </w:r>
          </w:p>
        </w:tc>
        <w:tc>
          <w:tcPr>
            <w:tcW w:w="1203" w:type="dxa"/>
            <w:noWrap w:val="0"/>
            <w:vAlign w:val="center"/>
          </w:tcPr>
          <w:p w14:paraId="0D600CD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Y＜100</w:t>
            </w:r>
          </w:p>
        </w:tc>
      </w:tr>
      <w:tr w14:paraId="351EE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noWrap w:val="0"/>
            <w:vAlign w:val="center"/>
          </w:tcPr>
          <w:p w14:paraId="4031850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软件和信息技术服务业</w:t>
            </w:r>
          </w:p>
        </w:tc>
        <w:tc>
          <w:tcPr>
            <w:tcW w:w="1560" w:type="dxa"/>
            <w:noWrap w:val="0"/>
            <w:vAlign w:val="center"/>
          </w:tcPr>
          <w:p w14:paraId="3B764DA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noWrap w:val="0"/>
            <w:vAlign w:val="center"/>
          </w:tcPr>
          <w:p w14:paraId="1FFE8F9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noWrap w:val="0"/>
            <w:vAlign w:val="center"/>
          </w:tcPr>
          <w:p w14:paraId="6C09431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X≥300</w:t>
            </w:r>
          </w:p>
        </w:tc>
        <w:tc>
          <w:tcPr>
            <w:tcW w:w="1891" w:type="dxa"/>
            <w:noWrap w:val="0"/>
            <w:vAlign w:val="center"/>
          </w:tcPr>
          <w:p w14:paraId="744C2E2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100≤X＜300</w:t>
            </w:r>
          </w:p>
        </w:tc>
        <w:tc>
          <w:tcPr>
            <w:tcW w:w="1730" w:type="dxa"/>
            <w:noWrap w:val="0"/>
            <w:vAlign w:val="center"/>
          </w:tcPr>
          <w:p w14:paraId="708748D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10≤X＜100</w:t>
            </w:r>
          </w:p>
        </w:tc>
        <w:tc>
          <w:tcPr>
            <w:tcW w:w="1203" w:type="dxa"/>
            <w:noWrap w:val="0"/>
            <w:vAlign w:val="center"/>
          </w:tcPr>
          <w:p w14:paraId="3CED55B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X＜10</w:t>
            </w:r>
          </w:p>
        </w:tc>
      </w:tr>
      <w:tr w14:paraId="21BC1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noWrap w:val="0"/>
            <w:vAlign w:val="center"/>
          </w:tcPr>
          <w:p w14:paraId="7A027C21">
            <w:pPr>
              <w:widowControl/>
              <w:jc w:val="left"/>
              <w:rPr>
                <w:rFonts w:hint="eastAsia" w:ascii="宋体" w:hAnsi="宋体" w:eastAsia="宋体" w:cs="宋体"/>
                <w:color w:val="auto"/>
                <w:kern w:val="0"/>
                <w:sz w:val="24"/>
                <w:highlight w:val="none"/>
              </w:rPr>
            </w:pPr>
          </w:p>
        </w:tc>
        <w:tc>
          <w:tcPr>
            <w:tcW w:w="1560" w:type="dxa"/>
            <w:noWrap w:val="0"/>
            <w:vAlign w:val="center"/>
          </w:tcPr>
          <w:p w14:paraId="655C76AB">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noWrap w:val="0"/>
            <w:vAlign w:val="center"/>
          </w:tcPr>
          <w:p w14:paraId="06C9916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noWrap w:val="0"/>
            <w:vAlign w:val="center"/>
          </w:tcPr>
          <w:p w14:paraId="1EF8761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Y≥10000</w:t>
            </w:r>
          </w:p>
        </w:tc>
        <w:tc>
          <w:tcPr>
            <w:tcW w:w="1891" w:type="dxa"/>
            <w:noWrap w:val="0"/>
            <w:vAlign w:val="center"/>
          </w:tcPr>
          <w:p w14:paraId="7FE599D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1000≤Y＜10000</w:t>
            </w:r>
          </w:p>
        </w:tc>
        <w:tc>
          <w:tcPr>
            <w:tcW w:w="1730" w:type="dxa"/>
            <w:noWrap w:val="0"/>
            <w:vAlign w:val="center"/>
          </w:tcPr>
          <w:p w14:paraId="61C4623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50≤Y＜1000</w:t>
            </w:r>
          </w:p>
        </w:tc>
        <w:tc>
          <w:tcPr>
            <w:tcW w:w="1203" w:type="dxa"/>
            <w:noWrap w:val="0"/>
            <w:vAlign w:val="center"/>
          </w:tcPr>
          <w:p w14:paraId="2D28AF7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Y＜50</w:t>
            </w:r>
          </w:p>
        </w:tc>
      </w:tr>
      <w:tr w14:paraId="731A7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noWrap w:val="0"/>
            <w:vAlign w:val="center"/>
          </w:tcPr>
          <w:p w14:paraId="1B56A9E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房地产开发经营</w:t>
            </w:r>
          </w:p>
        </w:tc>
        <w:tc>
          <w:tcPr>
            <w:tcW w:w="1560" w:type="dxa"/>
            <w:noWrap w:val="0"/>
            <w:vAlign w:val="center"/>
          </w:tcPr>
          <w:p w14:paraId="5C4247F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noWrap w:val="0"/>
            <w:vAlign w:val="center"/>
          </w:tcPr>
          <w:p w14:paraId="22C0415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noWrap w:val="0"/>
            <w:vAlign w:val="center"/>
          </w:tcPr>
          <w:p w14:paraId="7F23CEE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Y≥200000</w:t>
            </w:r>
          </w:p>
        </w:tc>
        <w:tc>
          <w:tcPr>
            <w:tcW w:w="1891" w:type="dxa"/>
            <w:noWrap w:val="0"/>
            <w:vAlign w:val="center"/>
          </w:tcPr>
          <w:p w14:paraId="1C1EF33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1000≤Y＜200000</w:t>
            </w:r>
          </w:p>
        </w:tc>
        <w:tc>
          <w:tcPr>
            <w:tcW w:w="1730" w:type="dxa"/>
            <w:noWrap w:val="0"/>
            <w:vAlign w:val="center"/>
          </w:tcPr>
          <w:p w14:paraId="7842336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100≤Y＜1000</w:t>
            </w:r>
          </w:p>
        </w:tc>
        <w:tc>
          <w:tcPr>
            <w:tcW w:w="1203" w:type="dxa"/>
            <w:noWrap w:val="0"/>
            <w:vAlign w:val="center"/>
          </w:tcPr>
          <w:p w14:paraId="7233B9F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Y＜100</w:t>
            </w:r>
          </w:p>
        </w:tc>
      </w:tr>
      <w:tr w14:paraId="564EF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noWrap w:val="0"/>
            <w:vAlign w:val="center"/>
          </w:tcPr>
          <w:p w14:paraId="1686D192">
            <w:pPr>
              <w:widowControl/>
              <w:jc w:val="left"/>
              <w:rPr>
                <w:rFonts w:hint="eastAsia" w:ascii="宋体" w:hAnsi="宋体" w:eastAsia="宋体" w:cs="宋体"/>
                <w:color w:val="auto"/>
                <w:kern w:val="0"/>
                <w:sz w:val="24"/>
                <w:highlight w:val="none"/>
              </w:rPr>
            </w:pPr>
          </w:p>
        </w:tc>
        <w:tc>
          <w:tcPr>
            <w:tcW w:w="1560" w:type="dxa"/>
            <w:noWrap w:val="0"/>
            <w:vAlign w:val="center"/>
          </w:tcPr>
          <w:p w14:paraId="0C31A10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资产总额(Z)</w:t>
            </w:r>
          </w:p>
        </w:tc>
        <w:tc>
          <w:tcPr>
            <w:tcW w:w="671" w:type="dxa"/>
            <w:noWrap w:val="0"/>
            <w:vAlign w:val="center"/>
          </w:tcPr>
          <w:p w14:paraId="3EA8FAA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noWrap w:val="0"/>
            <w:vAlign w:val="center"/>
          </w:tcPr>
          <w:p w14:paraId="67ACC0C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Z≥10000</w:t>
            </w:r>
          </w:p>
        </w:tc>
        <w:tc>
          <w:tcPr>
            <w:tcW w:w="1891" w:type="dxa"/>
            <w:noWrap w:val="0"/>
            <w:vAlign w:val="center"/>
          </w:tcPr>
          <w:p w14:paraId="71CB089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5000≤Z＜10000</w:t>
            </w:r>
          </w:p>
        </w:tc>
        <w:tc>
          <w:tcPr>
            <w:tcW w:w="1730" w:type="dxa"/>
            <w:noWrap w:val="0"/>
            <w:vAlign w:val="center"/>
          </w:tcPr>
          <w:p w14:paraId="4371A91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2000≤Z＜5000</w:t>
            </w:r>
          </w:p>
        </w:tc>
        <w:tc>
          <w:tcPr>
            <w:tcW w:w="1203" w:type="dxa"/>
            <w:noWrap w:val="0"/>
            <w:vAlign w:val="center"/>
          </w:tcPr>
          <w:p w14:paraId="770CB31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Z＜2000</w:t>
            </w:r>
          </w:p>
        </w:tc>
      </w:tr>
      <w:tr w14:paraId="66AAC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noWrap w:val="0"/>
            <w:vAlign w:val="center"/>
          </w:tcPr>
          <w:p w14:paraId="792DC7F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物业管理</w:t>
            </w:r>
          </w:p>
        </w:tc>
        <w:tc>
          <w:tcPr>
            <w:tcW w:w="1560" w:type="dxa"/>
            <w:noWrap w:val="0"/>
            <w:vAlign w:val="center"/>
          </w:tcPr>
          <w:p w14:paraId="5256ACA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noWrap w:val="0"/>
            <w:vAlign w:val="center"/>
          </w:tcPr>
          <w:p w14:paraId="1EF7C68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noWrap w:val="0"/>
            <w:vAlign w:val="center"/>
          </w:tcPr>
          <w:p w14:paraId="4EB4004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X≥1000</w:t>
            </w:r>
          </w:p>
        </w:tc>
        <w:tc>
          <w:tcPr>
            <w:tcW w:w="1891" w:type="dxa"/>
            <w:noWrap w:val="0"/>
            <w:vAlign w:val="center"/>
          </w:tcPr>
          <w:p w14:paraId="44CE119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300≤X＜1000</w:t>
            </w:r>
          </w:p>
        </w:tc>
        <w:tc>
          <w:tcPr>
            <w:tcW w:w="1730" w:type="dxa"/>
            <w:noWrap w:val="0"/>
            <w:vAlign w:val="center"/>
          </w:tcPr>
          <w:p w14:paraId="4694AEF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100≤X＜300</w:t>
            </w:r>
          </w:p>
        </w:tc>
        <w:tc>
          <w:tcPr>
            <w:tcW w:w="1203" w:type="dxa"/>
            <w:noWrap w:val="0"/>
            <w:vAlign w:val="center"/>
          </w:tcPr>
          <w:p w14:paraId="74FE91D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X＜100</w:t>
            </w:r>
          </w:p>
        </w:tc>
      </w:tr>
      <w:tr w14:paraId="51326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noWrap w:val="0"/>
            <w:vAlign w:val="center"/>
          </w:tcPr>
          <w:p w14:paraId="14E24760">
            <w:pPr>
              <w:widowControl/>
              <w:jc w:val="left"/>
              <w:rPr>
                <w:rFonts w:hint="eastAsia" w:ascii="宋体" w:hAnsi="宋体" w:eastAsia="宋体" w:cs="宋体"/>
                <w:color w:val="auto"/>
                <w:kern w:val="0"/>
                <w:sz w:val="24"/>
                <w:highlight w:val="none"/>
              </w:rPr>
            </w:pPr>
          </w:p>
        </w:tc>
        <w:tc>
          <w:tcPr>
            <w:tcW w:w="1560" w:type="dxa"/>
            <w:noWrap w:val="0"/>
            <w:vAlign w:val="center"/>
          </w:tcPr>
          <w:p w14:paraId="2C52BD2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noWrap w:val="0"/>
            <w:vAlign w:val="center"/>
          </w:tcPr>
          <w:p w14:paraId="3BB05EE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noWrap w:val="0"/>
            <w:vAlign w:val="center"/>
          </w:tcPr>
          <w:p w14:paraId="1ACD757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Y≥5000</w:t>
            </w:r>
          </w:p>
        </w:tc>
        <w:tc>
          <w:tcPr>
            <w:tcW w:w="1891" w:type="dxa"/>
            <w:noWrap w:val="0"/>
            <w:vAlign w:val="center"/>
          </w:tcPr>
          <w:p w14:paraId="5C58795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1000≤Y＜5000</w:t>
            </w:r>
          </w:p>
        </w:tc>
        <w:tc>
          <w:tcPr>
            <w:tcW w:w="1730" w:type="dxa"/>
            <w:noWrap w:val="0"/>
            <w:vAlign w:val="center"/>
          </w:tcPr>
          <w:p w14:paraId="07D8A78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500≤Y＜1000</w:t>
            </w:r>
          </w:p>
        </w:tc>
        <w:tc>
          <w:tcPr>
            <w:tcW w:w="1203" w:type="dxa"/>
            <w:noWrap w:val="0"/>
            <w:vAlign w:val="center"/>
          </w:tcPr>
          <w:p w14:paraId="32CFFBD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Y＜500</w:t>
            </w:r>
          </w:p>
        </w:tc>
      </w:tr>
      <w:tr w14:paraId="31F0A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noWrap w:val="0"/>
            <w:vAlign w:val="center"/>
          </w:tcPr>
          <w:p w14:paraId="5CA20B5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租赁和商务服务业</w:t>
            </w:r>
          </w:p>
        </w:tc>
        <w:tc>
          <w:tcPr>
            <w:tcW w:w="1560" w:type="dxa"/>
            <w:noWrap w:val="0"/>
            <w:vAlign w:val="center"/>
          </w:tcPr>
          <w:p w14:paraId="320B6F8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noWrap w:val="0"/>
            <w:vAlign w:val="center"/>
          </w:tcPr>
          <w:p w14:paraId="5EB8DE6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noWrap w:val="0"/>
            <w:vAlign w:val="center"/>
          </w:tcPr>
          <w:p w14:paraId="5A633EC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X≥300</w:t>
            </w:r>
          </w:p>
        </w:tc>
        <w:tc>
          <w:tcPr>
            <w:tcW w:w="1891" w:type="dxa"/>
            <w:noWrap w:val="0"/>
            <w:vAlign w:val="center"/>
          </w:tcPr>
          <w:p w14:paraId="0AB13D2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100≤X＜300</w:t>
            </w:r>
          </w:p>
        </w:tc>
        <w:tc>
          <w:tcPr>
            <w:tcW w:w="1730" w:type="dxa"/>
            <w:noWrap w:val="0"/>
            <w:vAlign w:val="center"/>
          </w:tcPr>
          <w:p w14:paraId="3C95064B">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10≤X＜100</w:t>
            </w:r>
          </w:p>
        </w:tc>
        <w:tc>
          <w:tcPr>
            <w:tcW w:w="1203" w:type="dxa"/>
            <w:noWrap w:val="0"/>
            <w:vAlign w:val="center"/>
          </w:tcPr>
          <w:p w14:paraId="7D7B488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X＜10</w:t>
            </w:r>
          </w:p>
        </w:tc>
      </w:tr>
      <w:tr w14:paraId="12FC0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noWrap w:val="0"/>
            <w:vAlign w:val="center"/>
          </w:tcPr>
          <w:p w14:paraId="162C9EB7">
            <w:pPr>
              <w:widowControl/>
              <w:jc w:val="left"/>
              <w:rPr>
                <w:rFonts w:hint="eastAsia" w:ascii="宋体" w:hAnsi="宋体" w:eastAsia="宋体" w:cs="宋体"/>
                <w:color w:val="auto"/>
                <w:kern w:val="0"/>
                <w:sz w:val="24"/>
                <w:highlight w:val="none"/>
              </w:rPr>
            </w:pPr>
          </w:p>
        </w:tc>
        <w:tc>
          <w:tcPr>
            <w:tcW w:w="1560" w:type="dxa"/>
            <w:noWrap w:val="0"/>
            <w:vAlign w:val="center"/>
          </w:tcPr>
          <w:p w14:paraId="39AA3FB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资产总额(Z)</w:t>
            </w:r>
          </w:p>
        </w:tc>
        <w:tc>
          <w:tcPr>
            <w:tcW w:w="671" w:type="dxa"/>
            <w:noWrap w:val="0"/>
            <w:vAlign w:val="center"/>
          </w:tcPr>
          <w:p w14:paraId="69D1D86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noWrap w:val="0"/>
            <w:vAlign w:val="center"/>
          </w:tcPr>
          <w:p w14:paraId="110E626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Z≥120000</w:t>
            </w:r>
          </w:p>
        </w:tc>
        <w:tc>
          <w:tcPr>
            <w:tcW w:w="1891" w:type="dxa"/>
            <w:noWrap w:val="0"/>
            <w:vAlign w:val="center"/>
          </w:tcPr>
          <w:p w14:paraId="497E095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8000≤Z＜120000</w:t>
            </w:r>
          </w:p>
        </w:tc>
        <w:tc>
          <w:tcPr>
            <w:tcW w:w="1730" w:type="dxa"/>
            <w:noWrap w:val="0"/>
            <w:vAlign w:val="center"/>
          </w:tcPr>
          <w:p w14:paraId="765BD0A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100≤Z＜8000</w:t>
            </w:r>
          </w:p>
        </w:tc>
        <w:tc>
          <w:tcPr>
            <w:tcW w:w="1203" w:type="dxa"/>
            <w:noWrap w:val="0"/>
            <w:vAlign w:val="center"/>
          </w:tcPr>
          <w:p w14:paraId="58CA4BD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Z＜100</w:t>
            </w:r>
          </w:p>
        </w:tc>
      </w:tr>
      <w:tr w14:paraId="5906D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noWrap w:val="0"/>
            <w:vAlign w:val="center"/>
          </w:tcPr>
          <w:p w14:paraId="10A5AC8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其他未列明行业 *</w:t>
            </w:r>
          </w:p>
        </w:tc>
        <w:tc>
          <w:tcPr>
            <w:tcW w:w="1560" w:type="dxa"/>
            <w:noWrap w:val="0"/>
            <w:vAlign w:val="center"/>
          </w:tcPr>
          <w:p w14:paraId="78EAFD2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noWrap w:val="0"/>
            <w:vAlign w:val="center"/>
          </w:tcPr>
          <w:p w14:paraId="5F08A25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noWrap w:val="0"/>
            <w:vAlign w:val="center"/>
          </w:tcPr>
          <w:p w14:paraId="3F7637D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X≥300</w:t>
            </w:r>
          </w:p>
        </w:tc>
        <w:tc>
          <w:tcPr>
            <w:tcW w:w="1891" w:type="dxa"/>
            <w:noWrap w:val="0"/>
            <w:vAlign w:val="center"/>
          </w:tcPr>
          <w:p w14:paraId="4B303E8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100≤X＜300</w:t>
            </w:r>
          </w:p>
        </w:tc>
        <w:tc>
          <w:tcPr>
            <w:tcW w:w="1730" w:type="dxa"/>
            <w:noWrap w:val="0"/>
            <w:vAlign w:val="center"/>
          </w:tcPr>
          <w:p w14:paraId="1385CC3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10≤X＜100</w:t>
            </w:r>
          </w:p>
        </w:tc>
        <w:tc>
          <w:tcPr>
            <w:tcW w:w="1203" w:type="dxa"/>
            <w:noWrap w:val="0"/>
            <w:vAlign w:val="center"/>
          </w:tcPr>
          <w:p w14:paraId="63AF1F4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X＜10</w:t>
            </w:r>
          </w:p>
        </w:tc>
      </w:tr>
    </w:tbl>
    <w:p w14:paraId="496EAC4C">
      <w:pPr>
        <w:widowControl/>
        <w:shd w:val="clear" w:color="auto" w:fill="FFFFFF"/>
        <w:spacing w:line="420" w:lineRule="atLeast"/>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 　　</w:t>
      </w:r>
    </w:p>
    <w:p w14:paraId="4977203C">
      <w:pPr>
        <w:widowControl/>
        <w:shd w:val="clear" w:color="auto" w:fill="FFFFFF"/>
        <w:spacing w:line="420" w:lineRule="atLeast"/>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1.大型、中型和小型企业须同时满足所列指标的下限，否则下划一档；微型企业只须满足所列指标中的一项即可。 　　</w:t>
      </w:r>
    </w:p>
    <w:p w14:paraId="4334F2FF">
      <w:pPr>
        <w:widowControl/>
        <w:shd w:val="clear" w:color="auto" w:fill="FFFFFF"/>
        <w:spacing w:line="420" w:lineRule="atLeast"/>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 　　</w:t>
      </w:r>
    </w:p>
    <w:p w14:paraId="107C707F">
      <w:pPr>
        <w:widowControl/>
        <w:shd w:val="clear" w:color="auto" w:fill="FFFFFF"/>
        <w:spacing w:line="420" w:lineRule="atLeast"/>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3.企业划分指标以现行统计制度为准。</w:t>
      </w:r>
    </w:p>
    <w:p w14:paraId="18EE1AD0">
      <w:pPr>
        <w:widowControl/>
        <w:shd w:val="clear" w:color="auto" w:fill="FFFFFF"/>
        <w:spacing w:line="420" w:lineRule="atLeast"/>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（1）从业人员，是指期末从业人员数，没有期末从业人员数的，采用全年平均人员数代替。</w:t>
      </w:r>
    </w:p>
    <w:p w14:paraId="2A6C5D1A">
      <w:pPr>
        <w:widowControl/>
        <w:shd w:val="clear" w:color="auto" w:fill="FFFFFF"/>
        <w:spacing w:line="420" w:lineRule="atLeast"/>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67D3B635">
      <w:pPr>
        <w:widowControl/>
        <w:shd w:val="clear" w:color="auto" w:fill="FFFFFF"/>
        <w:spacing w:line="420" w:lineRule="atLeast"/>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（3）资产总额，采用资产总计代替。</w:t>
      </w:r>
    </w:p>
    <w:p w14:paraId="6057B3B2">
      <w:pPr>
        <w:widowControl/>
        <w:snapToGrid w:val="0"/>
        <w:spacing w:line="324" w:lineRule="auto"/>
        <w:jc w:val="left"/>
        <w:rPr>
          <w:rFonts w:hint="eastAsia" w:ascii="宋体" w:hAnsi="Times New Roman" w:cs="Times New Roman"/>
          <w:color w:val="auto"/>
          <w:sz w:val="24"/>
          <w:szCs w:val="24"/>
          <w:highlight w:val="none"/>
        </w:rPr>
      </w:pPr>
    </w:p>
    <w:p w14:paraId="1D0B7962">
      <w:pPr>
        <w:widowControl/>
        <w:snapToGrid w:val="0"/>
        <w:spacing w:line="324" w:lineRule="auto"/>
        <w:ind w:firstLine="400" w:firstLineChars="200"/>
        <w:jc w:val="left"/>
        <w:rPr>
          <w:color w:val="auto"/>
          <w:highlight w:val="none"/>
          <w:lang w:val="zh-CN"/>
        </w:rPr>
      </w:pPr>
      <w:r>
        <w:rPr>
          <w:rFonts w:hAnsi="宋体"/>
          <w:color w:val="auto"/>
          <w:highlight w:val="none"/>
        </w:rPr>
        <w:br w:type="page"/>
      </w:r>
      <w:bookmarkEnd w:id="169"/>
      <w:bookmarkEnd w:id="170"/>
      <w:bookmarkEnd w:id="171"/>
    </w:p>
    <w:p w14:paraId="20D6BF3B">
      <w:pPr>
        <w:rPr>
          <w:b/>
          <w:bCs/>
          <w:color w:val="auto"/>
          <w:sz w:val="24"/>
          <w:szCs w:val="24"/>
          <w:highlight w:val="none"/>
          <w:lang w:val="zh-CN"/>
        </w:rPr>
      </w:pPr>
      <w:bookmarkStart w:id="172" w:name="_Toc16150"/>
      <w:bookmarkStart w:id="173" w:name="_Toc9715"/>
      <w:bookmarkStart w:id="174" w:name="_Toc25017"/>
      <w:bookmarkStart w:id="175" w:name="_Toc31472"/>
      <w:r>
        <w:rPr>
          <w:rFonts w:hint="eastAsia" w:cs="宋体"/>
          <w:b/>
          <w:bCs/>
          <w:color w:val="auto"/>
          <w:sz w:val="24"/>
          <w:szCs w:val="24"/>
          <w:highlight w:val="none"/>
          <w:lang w:val="zh-CN"/>
        </w:rPr>
        <w:t>附件</w:t>
      </w:r>
      <w:r>
        <w:rPr>
          <w:rFonts w:hint="eastAsia" w:cs="宋体"/>
          <w:b/>
          <w:bCs/>
          <w:color w:val="auto"/>
          <w:sz w:val="24"/>
          <w:szCs w:val="24"/>
          <w:highlight w:val="none"/>
          <w:lang w:val="en-US" w:eastAsia="zh-CN"/>
        </w:rPr>
        <w:t>五</w:t>
      </w:r>
      <w:r>
        <w:rPr>
          <w:rFonts w:hint="eastAsia" w:cs="宋体"/>
          <w:b/>
          <w:bCs/>
          <w:color w:val="auto"/>
          <w:sz w:val="24"/>
          <w:szCs w:val="24"/>
          <w:highlight w:val="none"/>
        </w:rPr>
        <w:t>：</w:t>
      </w:r>
    </w:p>
    <w:p w14:paraId="40CFEAD9">
      <w:pPr>
        <w:spacing w:line="360" w:lineRule="auto"/>
        <w:jc w:val="center"/>
        <w:rPr>
          <w:rFonts w:ascii="宋体"/>
          <w:b/>
          <w:bCs/>
          <w:color w:val="auto"/>
          <w:sz w:val="32"/>
          <w:szCs w:val="32"/>
          <w:highlight w:val="none"/>
        </w:rPr>
      </w:pPr>
      <w:r>
        <w:rPr>
          <w:rFonts w:hint="eastAsia" w:ascii="宋体" w:hAnsi="宋体" w:cs="宋体"/>
          <w:b/>
          <w:bCs/>
          <w:color w:val="auto"/>
          <w:sz w:val="32"/>
          <w:szCs w:val="32"/>
          <w:highlight w:val="none"/>
        </w:rPr>
        <w:t>残疾人福利性单位声明函</w:t>
      </w:r>
      <w:bookmarkEnd w:id="172"/>
      <w:bookmarkEnd w:id="173"/>
      <w:bookmarkEnd w:id="174"/>
      <w:bookmarkEnd w:id="175"/>
    </w:p>
    <w:p w14:paraId="0B3E9693">
      <w:pPr>
        <w:widowControl/>
        <w:snapToGrid w:val="0"/>
        <w:spacing w:line="324" w:lineRule="auto"/>
        <w:ind w:firstLine="480" w:firstLineChars="200"/>
        <w:jc w:val="center"/>
        <w:rPr>
          <w:rFonts w:ascii="宋体"/>
          <w:color w:val="auto"/>
          <w:sz w:val="24"/>
          <w:szCs w:val="24"/>
          <w:highlight w:val="none"/>
        </w:rPr>
      </w:pPr>
      <w:r>
        <w:rPr>
          <w:rFonts w:hint="eastAsia" w:ascii="宋体" w:hAnsi="宋体" w:cs="宋体"/>
          <w:color w:val="auto"/>
          <w:sz w:val="24"/>
          <w:szCs w:val="24"/>
          <w:highlight w:val="none"/>
        </w:rPr>
        <w:t>【不属于残疾人福利性单位的无需填写、递交】</w:t>
      </w:r>
    </w:p>
    <w:p w14:paraId="6DB2B1E0">
      <w:pPr>
        <w:spacing w:line="588" w:lineRule="exact"/>
        <w:rPr>
          <w:rFonts w:ascii="宋体"/>
          <w:b/>
          <w:bCs/>
          <w:color w:val="auto"/>
          <w:spacing w:val="6"/>
          <w:sz w:val="30"/>
          <w:szCs w:val="30"/>
          <w:highlight w:val="none"/>
        </w:rPr>
      </w:pPr>
    </w:p>
    <w:p w14:paraId="60464930">
      <w:pPr>
        <w:spacing w:line="588"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本单位郑重声明，根据《财政部</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民政部</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中国残疾人联合会关于促进残疾人就业政府采购政策的通知》（财库〔</w:t>
      </w:r>
      <w:r>
        <w:rPr>
          <w:rFonts w:ascii="宋体" w:hAnsi="宋体" w:cs="宋体"/>
          <w:color w:val="auto"/>
          <w:sz w:val="24"/>
          <w:szCs w:val="24"/>
          <w:highlight w:val="none"/>
        </w:rPr>
        <w:t>2017</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141</w:t>
      </w:r>
      <w:r>
        <w:rPr>
          <w:rFonts w:hint="eastAsia" w:ascii="宋体" w:hAnsi="宋体" w:cs="宋体"/>
          <w:color w:val="auto"/>
          <w:sz w:val="24"/>
          <w:szCs w:val="24"/>
          <w:highlight w:val="none"/>
        </w:rPr>
        <w:t>号）的规定，本单位为符合条件的残疾人福利性单位，且本单位参加</w:t>
      </w:r>
      <w:r>
        <w:rPr>
          <w:rFonts w:ascii="宋体" w:hAnsi="宋体" w:cs="宋体"/>
          <w:color w:val="auto"/>
          <w:sz w:val="24"/>
          <w:szCs w:val="24"/>
          <w:highlight w:val="none"/>
        </w:rPr>
        <w:t>______</w:t>
      </w:r>
      <w:r>
        <w:rPr>
          <w:rFonts w:hint="eastAsia" w:ascii="宋体" w:hAnsi="宋体" w:cs="宋体"/>
          <w:color w:val="auto"/>
          <w:sz w:val="24"/>
          <w:szCs w:val="24"/>
          <w:highlight w:val="none"/>
        </w:rPr>
        <w:t>单位的</w:t>
      </w:r>
      <w:r>
        <w:rPr>
          <w:rFonts w:ascii="宋体" w:hAnsi="宋体" w:cs="宋体"/>
          <w:color w:val="auto"/>
          <w:sz w:val="24"/>
          <w:szCs w:val="24"/>
          <w:highlight w:val="none"/>
        </w:rPr>
        <w:t>______</w:t>
      </w:r>
      <w:r>
        <w:rPr>
          <w:rFonts w:hint="eastAsia" w:ascii="宋体" w:hAnsi="宋体" w:cs="宋体"/>
          <w:color w:val="auto"/>
          <w:sz w:val="24"/>
          <w:szCs w:val="24"/>
          <w:highlight w:val="none"/>
        </w:rPr>
        <w:t>项目采购活动提供本单位服务，或者提供其他残疾人福利性单位提供的服务。本单位对上述声明的真实性负责。如有虚假，将依法承担相应责任。</w:t>
      </w:r>
    </w:p>
    <w:p w14:paraId="2458F417">
      <w:pPr>
        <w:pStyle w:val="3"/>
        <w:outlineLvl w:val="9"/>
        <w:rPr>
          <w:rFonts w:cs="Times New Roman"/>
          <w:color w:val="auto"/>
          <w:highlight w:val="none"/>
        </w:rPr>
      </w:pPr>
    </w:p>
    <w:p w14:paraId="2AEEEEBA">
      <w:pPr>
        <w:pStyle w:val="4"/>
        <w:rPr>
          <w:color w:val="auto"/>
          <w:highlight w:val="none"/>
        </w:rPr>
      </w:pPr>
    </w:p>
    <w:p w14:paraId="352CBD5F">
      <w:pPr>
        <w:spacing w:line="588" w:lineRule="exact"/>
        <w:rPr>
          <w:rFonts w:ascii="宋体"/>
          <w:color w:val="auto"/>
          <w:sz w:val="24"/>
          <w:szCs w:val="24"/>
          <w:highlight w:val="none"/>
        </w:rPr>
      </w:pPr>
    </w:p>
    <w:p w14:paraId="67F72C6A">
      <w:pPr>
        <w:spacing w:line="360" w:lineRule="auto"/>
        <w:ind w:left="3600" w:leftChars="1800" w:firstLine="480" w:firstLineChars="200"/>
        <w:rPr>
          <w:rFonts w:ascii="宋体"/>
          <w:color w:val="auto"/>
          <w:sz w:val="24"/>
          <w:szCs w:val="24"/>
          <w:highlight w:val="none"/>
        </w:rPr>
      </w:pPr>
      <w:r>
        <w:rPr>
          <w:rFonts w:hint="eastAsia" w:ascii="宋体" w:hAnsi="宋体" w:cs="宋体"/>
          <w:color w:val="auto"/>
          <w:sz w:val="24"/>
          <w:szCs w:val="24"/>
          <w:highlight w:val="none"/>
        </w:rPr>
        <w:t>法定代表人签名（或签名章）：</w:t>
      </w:r>
      <w:r>
        <w:rPr>
          <w:rFonts w:ascii="宋体" w:hAnsi="宋体" w:cs="宋体"/>
          <w:color w:val="auto"/>
          <w:sz w:val="24"/>
          <w:szCs w:val="24"/>
          <w:highlight w:val="none"/>
        </w:rPr>
        <w:t xml:space="preserve">                       </w:t>
      </w:r>
    </w:p>
    <w:p w14:paraId="1841BC3A">
      <w:pPr>
        <w:spacing w:line="360" w:lineRule="auto"/>
        <w:ind w:left="3600" w:leftChars="1800" w:firstLine="480" w:firstLineChars="200"/>
        <w:rPr>
          <w:rFonts w:ascii="宋体"/>
          <w:color w:val="auto"/>
          <w:sz w:val="24"/>
          <w:szCs w:val="24"/>
          <w:highlight w:val="none"/>
        </w:rPr>
      </w:pP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期：</w:t>
      </w:r>
    </w:p>
    <w:p w14:paraId="1F925701">
      <w:pPr>
        <w:spacing w:line="360" w:lineRule="auto"/>
        <w:ind w:left="3600" w:leftChars="1800" w:firstLine="480" w:firstLineChars="200"/>
        <w:rPr>
          <w:rFonts w:ascii="宋体"/>
          <w:color w:val="auto"/>
          <w:sz w:val="24"/>
          <w:szCs w:val="24"/>
          <w:highlight w:val="none"/>
        </w:rPr>
      </w:pPr>
      <w:r>
        <w:rPr>
          <w:rFonts w:hint="eastAsia" w:ascii="宋体" w:hAnsi="宋体" w:cs="宋体"/>
          <w:color w:val="auto"/>
          <w:sz w:val="24"/>
          <w:szCs w:val="24"/>
          <w:highlight w:val="none"/>
        </w:rPr>
        <w:t>供应商全称（公章）：</w:t>
      </w:r>
    </w:p>
    <w:p w14:paraId="3F441364">
      <w:pPr>
        <w:rPr>
          <w:b/>
          <w:bCs/>
          <w:color w:val="auto"/>
          <w:sz w:val="24"/>
          <w:szCs w:val="24"/>
          <w:highlight w:val="none"/>
          <w:lang w:val="zh-CN"/>
        </w:rPr>
      </w:pPr>
      <w:bookmarkStart w:id="176" w:name="_Toc24"/>
      <w:bookmarkStart w:id="177" w:name="_Toc2386"/>
      <w:bookmarkStart w:id="178" w:name="_Toc5441"/>
      <w:bookmarkStart w:id="179" w:name="_Toc15966"/>
      <w:r>
        <w:rPr>
          <w:color w:val="auto"/>
          <w:sz w:val="24"/>
          <w:szCs w:val="24"/>
          <w:highlight w:val="none"/>
          <w:lang w:val="zh-CN"/>
        </w:rPr>
        <w:br w:type="page"/>
      </w:r>
      <w:r>
        <w:rPr>
          <w:rFonts w:hint="eastAsia" w:cs="宋体"/>
          <w:b/>
          <w:bCs/>
          <w:color w:val="auto"/>
          <w:sz w:val="24"/>
          <w:szCs w:val="24"/>
          <w:highlight w:val="none"/>
          <w:lang w:val="zh-CN"/>
        </w:rPr>
        <w:t>附件</w:t>
      </w:r>
      <w:r>
        <w:rPr>
          <w:rFonts w:hint="eastAsia" w:cs="宋体"/>
          <w:b/>
          <w:bCs/>
          <w:color w:val="auto"/>
          <w:sz w:val="24"/>
          <w:szCs w:val="24"/>
          <w:highlight w:val="none"/>
          <w:lang w:val="en-US" w:eastAsia="zh-CN"/>
        </w:rPr>
        <w:t>六</w:t>
      </w:r>
      <w:r>
        <w:rPr>
          <w:rFonts w:hint="eastAsia" w:cs="宋体"/>
          <w:b/>
          <w:bCs/>
          <w:color w:val="auto"/>
          <w:sz w:val="24"/>
          <w:szCs w:val="24"/>
          <w:highlight w:val="none"/>
        </w:rPr>
        <w:t>：</w:t>
      </w:r>
    </w:p>
    <w:p w14:paraId="4038B9F7">
      <w:pPr>
        <w:spacing w:line="360" w:lineRule="auto"/>
        <w:jc w:val="center"/>
        <w:rPr>
          <w:rFonts w:hint="eastAsia" w:ascii="宋体" w:hAnsi="宋体" w:cs="宋体"/>
          <w:b/>
          <w:bCs/>
          <w:color w:val="auto"/>
          <w:sz w:val="32"/>
          <w:szCs w:val="32"/>
          <w:highlight w:val="none"/>
        </w:rPr>
      </w:pPr>
    </w:p>
    <w:p w14:paraId="66786B39">
      <w:pPr>
        <w:spacing w:line="360" w:lineRule="auto"/>
        <w:jc w:val="center"/>
        <w:rPr>
          <w:rFonts w:ascii="宋体"/>
          <w:b/>
          <w:bCs/>
          <w:color w:val="auto"/>
          <w:sz w:val="32"/>
          <w:szCs w:val="32"/>
          <w:highlight w:val="none"/>
        </w:rPr>
      </w:pPr>
      <w:r>
        <w:rPr>
          <w:rFonts w:hint="eastAsia" w:ascii="宋体" w:hAnsi="宋体" w:cs="宋体"/>
          <w:b/>
          <w:bCs/>
          <w:color w:val="auto"/>
          <w:sz w:val="32"/>
          <w:szCs w:val="32"/>
          <w:highlight w:val="none"/>
        </w:rPr>
        <w:t>监狱企业证明文件</w:t>
      </w:r>
      <w:bookmarkEnd w:id="176"/>
      <w:bookmarkEnd w:id="177"/>
      <w:bookmarkEnd w:id="178"/>
      <w:bookmarkEnd w:id="179"/>
    </w:p>
    <w:p w14:paraId="73698750">
      <w:pPr>
        <w:widowControl/>
        <w:snapToGrid w:val="0"/>
        <w:spacing w:line="360" w:lineRule="auto"/>
        <w:jc w:val="center"/>
        <w:rPr>
          <w:rFonts w:ascii="宋体"/>
          <w:color w:val="auto"/>
          <w:sz w:val="28"/>
          <w:szCs w:val="28"/>
          <w:highlight w:val="none"/>
        </w:rPr>
      </w:pPr>
      <w:r>
        <w:rPr>
          <w:rFonts w:hint="eastAsia" w:ascii="宋体" w:hAnsi="宋体" w:cs="宋体"/>
          <w:color w:val="auto"/>
          <w:sz w:val="28"/>
          <w:szCs w:val="28"/>
          <w:highlight w:val="none"/>
        </w:rPr>
        <w:t>【不属于监狱企业的无需填写、递交】</w:t>
      </w:r>
    </w:p>
    <w:p w14:paraId="0A4DCEC9">
      <w:pPr>
        <w:widowControl/>
        <w:snapToGrid w:val="0"/>
        <w:spacing w:line="324" w:lineRule="auto"/>
        <w:jc w:val="center"/>
        <w:rPr>
          <w:rFonts w:ascii="宋体"/>
          <w:color w:val="auto"/>
          <w:sz w:val="24"/>
          <w:szCs w:val="24"/>
          <w:highlight w:val="none"/>
        </w:rPr>
      </w:pPr>
    </w:p>
    <w:p w14:paraId="5AFA2587">
      <w:pPr>
        <w:spacing w:line="588" w:lineRule="exact"/>
        <w:ind w:firstLine="480" w:firstLineChars="200"/>
        <w:rPr>
          <w:rFonts w:ascii="宋体"/>
          <w:color w:val="auto"/>
          <w:sz w:val="24"/>
          <w:szCs w:val="24"/>
          <w:highlight w:val="none"/>
        </w:rPr>
      </w:pPr>
    </w:p>
    <w:p w14:paraId="422E98F9">
      <w:pPr>
        <w:adjustRightInd w:val="0"/>
        <w:snapToGrid w:val="0"/>
        <w:spacing w:before="156" w:beforeLines="50"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监狱企业需提供省级以上的监狱管理局、戒毒管理局（含新疆生产建设兵团）出具的属于监狱企业的证明文件。</w:t>
      </w:r>
      <w:r>
        <w:rPr>
          <w:rFonts w:ascii="宋体" w:hAnsi="宋体" w:cs="宋体"/>
          <w:color w:val="auto"/>
          <w:sz w:val="24"/>
          <w:szCs w:val="24"/>
          <w:highlight w:val="none"/>
        </w:rPr>
        <w:t xml:space="preserve">  </w:t>
      </w:r>
    </w:p>
    <w:p w14:paraId="199CFAD4">
      <w:pPr>
        <w:pStyle w:val="3"/>
        <w:outlineLvl w:val="9"/>
        <w:rPr>
          <w:rFonts w:cs="Times New Roman"/>
          <w:color w:val="auto"/>
          <w:highlight w:val="none"/>
        </w:rPr>
      </w:pPr>
    </w:p>
    <w:p w14:paraId="44345F45">
      <w:pPr>
        <w:pStyle w:val="4"/>
        <w:rPr>
          <w:color w:val="auto"/>
          <w:highlight w:val="none"/>
        </w:rPr>
      </w:pPr>
    </w:p>
    <w:p w14:paraId="74FF2A70">
      <w:pPr>
        <w:spacing w:line="360" w:lineRule="auto"/>
        <w:ind w:left="3600" w:leftChars="1800" w:firstLine="480" w:firstLineChars="200"/>
        <w:rPr>
          <w:rFonts w:ascii="宋体"/>
          <w:color w:val="auto"/>
          <w:sz w:val="24"/>
          <w:szCs w:val="24"/>
          <w:highlight w:val="none"/>
        </w:rPr>
      </w:pPr>
      <w:r>
        <w:rPr>
          <w:rFonts w:hint="eastAsia" w:ascii="宋体" w:hAnsi="宋体" w:cs="宋体"/>
          <w:color w:val="auto"/>
          <w:sz w:val="24"/>
          <w:szCs w:val="24"/>
          <w:highlight w:val="none"/>
        </w:rPr>
        <w:t>法定代表人签名（或签名章）：</w:t>
      </w:r>
      <w:r>
        <w:rPr>
          <w:rFonts w:ascii="宋体" w:hAnsi="宋体" w:cs="宋体"/>
          <w:color w:val="auto"/>
          <w:sz w:val="24"/>
          <w:szCs w:val="24"/>
          <w:highlight w:val="none"/>
        </w:rPr>
        <w:t xml:space="preserve">                       </w:t>
      </w:r>
    </w:p>
    <w:p w14:paraId="7D51D649">
      <w:pPr>
        <w:spacing w:line="360" w:lineRule="auto"/>
        <w:ind w:left="3600" w:leftChars="1800" w:firstLine="480" w:firstLineChars="200"/>
        <w:rPr>
          <w:rFonts w:ascii="宋体"/>
          <w:color w:val="auto"/>
          <w:sz w:val="24"/>
          <w:szCs w:val="24"/>
          <w:highlight w:val="none"/>
        </w:rPr>
      </w:pP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期：</w:t>
      </w:r>
    </w:p>
    <w:p w14:paraId="46EF0EFB">
      <w:pPr>
        <w:spacing w:line="360" w:lineRule="auto"/>
        <w:ind w:left="3600" w:leftChars="1800" w:firstLine="480" w:firstLineChars="200"/>
        <w:rPr>
          <w:rFonts w:ascii="宋体"/>
          <w:color w:val="auto"/>
          <w:sz w:val="24"/>
          <w:szCs w:val="24"/>
          <w:highlight w:val="none"/>
        </w:rPr>
      </w:pPr>
      <w:r>
        <w:rPr>
          <w:rFonts w:hint="eastAsia" w:ascii="宋体" w:hAnsi="宋体" w:cs="宋体"/>
          <w:color w:val="auto"/>
          <w:sz w:val="24"/>
          <w:szCs w:val="24"/>
          <w:highlight w:val="none"/>
        </w:rPr>
        <w:t>供应商全称（公章）：</w:t>
      </w:r>
    </w:p>
    <w:p w14:paraId="41408DB2">
      <w:pPr>
        <w:spacing w:line="360" w:lineRule="auto"/>
        <w:jc w:val="center"/>
        <w:rPr>
          <w:rFonts w:ascii="宋体"/>
          <w:b/>
          <w:bCs/>
          <w:color w:val="auto"/>
          <w:sz w:val="24"/>
          <w:szCs w:val="24"/>
          <w:highlight w:val="none"/>
        </w:rPr>
      </w:pPr>
    </w:p>
    <w:p w14:paraId="1297FF8E">
      <w:pPr>
        <w:spacing w:line="360" w:lineRule="auto"/>
        <w:rPr>
          <w:color w:val="auto"/>
          <w:sz w:val="36"/>
          <w:szCs w:val="36"/>
          <w:highlight w:val="none"/>
        </w:rPr>
      </w:pPr>
    </w:p>
    <w:p w14:paraId="012450A4">
      <w:pPr>
        <w:pStyle w:val="2"/>
        <w:rPr>
          <w:color w:val="auto"/>
          <w:sz w:val="36"/>
          <w:szCs w:val="36"/>
          <w:highlight w:val="none"/>
        </w:rPr>
      </w:pPr>
    </w:p>
    <w:p w14:paraId="7662E6E3">
      <w:pPr>
        <w:rPr>
          <w:color w:val="auto"/>
          <w:sz w:val="36"/>
          <w:szCs w:val="36"/>
          <w:highlight w:val="none"/>
        </w:rPr>
      </w:pPr>
    </w:p>
    <w:p w14:paraId="19A136B9">
      <w:pPr>
        <w:pStyle w:val="2"/>
        <w:rPr>
          <w:color w:val="auto"/>
          <w:sz w:val="36"/>
          <w:szCs w:val="36"/>
          <w:highlight w:val="none"/>
        </w:rPr>
      </w:pPr>
    </w:p>
    <w:p w14:paraId="15778CA7">
      <w:pPr>
        <w:rPr>
          <w:color w:val="auto"/>
          <w:sz w:val="36"/>
          <w:szCs w:val="36"/>
          <w:highlight w:val="none"/>
        </w:rPr>
      </w:pPr>
    </w:p>
    <w:p w14:paraId="3E0E3765">
      <w:pPr>
        <w:pStyle w:val="2"/>
        <w:rPr>
          <w:color w:val="auto"/>
          <w:sz w:val="36"/>
          <w:szCs w:val="36"/>
          <w:highlight w:val="none"/>
        </w:rPr>
      </w:pPr>
    </w:p>
    <w:p w14:paraId="547D2BB8">
      <w:pPr>
        <w:rPr>
          <w:color w:val="auto"/>
          <w:sz w:val="36"/>
          <w:szCs w:val="36"/>
          <w:highlight w:val="none"/>
        </w:rPr>
      </w:pPr>
    </w:p>
    <w:p w14:paraId="40032141">
      <w:pPr>
        <w:pStyle w:val="2"/>
        <w:rPr>
          <w:color w:val="auto"/>
          <w:sz w:val="36"/>
          <w:szCs w:val="36"/>
          <w:highlight w:val="none"/>
        </w:rPr>
      </w:pPr>
    </w:p>
    <w:p w14:paraId="2D8724E0">
      <w:pPr>
        <w:rPr>
          <w:color w:val="auto"/>
          <w:sz w:val="36"/>
          <w:szCs w:val="36"/>
          <w:highlight w:val="none"/>
        </w:rPr>
      </w:pPr>
    </w:p>
    <w:p w14:paraId="0F8CAA39">
      <w:pPr>
        <w:pStyle w:val="2"/>
        <w:rPr>
          <w:color w:val="auto"/>
          <w:highlight w:val="none"/>
        </w:rPr>
      </w:pPr>
    </w:p>
    <w:p w14:paraId="0A6F5CB5">
      <w:pPr>
        <w:spacing w:line="360" w:lineRule="auto"/>
        <w:ind w:left="3600" w:leftChars="1800" w:firstLine="480" w:firstLineChars="200"/>
        <w:rPr>
          <w:rFonts w:ascii="宋体" w:hAnsi="宋体" w:cs="宋体"/>
          <w:color w:val="auto"/>
          <w:sz w:val="24"/>
          <w:szCs w:val="24"/>
          <w:highlight w:val="none"/>
        </w:rPr>
      </w:pPr>
    </w:p>
    <w:p w14:paraId="6C7ECCCE">
      <w:pPr>
        <w:spacing w:line="360" w:lineRule="auto"/>
        <w:jc w:val="center"/>
        <w:rPr>
          <w:rFonts w:ascii="宋体"/>
          <w:b/>
          <w:bCs/>
          <w:color w:val="auto"/>
          <w:sz w:val="36"/>
          <w:szCs w:val="36"/>
          <w:highlight w:val="none"/>
        </w:rPr>
      </w:pPr>
      <w:r>
        <w:rPr>
          <w:rFonts w:hint="eastAsia" w:ascii="宋体" w:hAnsi="宋体" w:cs="宋体"/>
          <w:b/>
          <w:bCs/>
          <w:color w:val="auto"/>
          <w:sz w:val="36"/>
          <w:szCs w:val="36"/>
          <w:highlight w:val="none"/>
        </w:rPr>
        <w:t>商务技术文件</w:t>
      </w:r>
    </w:p>
    <w:p w14:paraId="7B0844E6">
      <w:pPr>
        <w:spacing w:line="360" w:lineRule="auto"/>
        <w:jc w:val="center"/>
        <w:rPr>
          <w:rFonts w:ascii="宋体"/>
          <w:b/>
          <w:bCs/>
          <w:color w:val="auto"/>
          <w:sz w:val="36"/>
          <w:szCs w:val="36"/>
          <w:highlight w:val="none"/>
        </w:rPr>
      </w:pPr>
    </w:p>
    <w:p w14:paraId="050F7606">
      <w:pPr>
        <w:pStyle w:val="3"/>
        <w:rPr>
          <w:color w:val="auto"/>
          <w:highlight w:val="none"/>
        </w:rPr>
      </w:pPr>
    </w:p>
    <w:p w14:paraId="65B7652A">
      <w:pPr>
        <w:spacing w:line="360" w:lineRule="auto"/>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目录</w:t>
      </w:r>
    </w:p>
    <w:p w14:paraId="40D4F245">
      <w:pPr>
        <w:pStyle w:val="3"/>
        <w:rPr>
          <w:color w:val="auto"/>
          <w:highlight w:val="none"/>
        </w:rPr>
      </w:pPr>
    </w:p>
    <w:p w14:paraId="03FEABC6">
      <w:pPr>
        <w:pStyle w:val="61"/>
        <w:numPr>
          <w:ilvl w:val="0"/>
          <w:numId w:val="32"/>
        </w:numPr>
        <w:spacing w:before="0" w:line="336" w:lineRule="auto"/>
        <w:ind w:firstLine="480"/>
        <w:rPr>
          <w:rFonts w:ascii="宋体"/>
          <w:color w:val="auto"/>
          <w:highlight w:val="none"/>
        </w:rPr>
      </w:pPr>
      <w:r>
        <w:rPr>
          <w:rFonts w:hint="eastAsia" w:ascii="宋体" w:hAnsi="宋体" w:cs="宋体"/>
          <w:color w:val="auto"/>
          <w:highlight w:val="none"/>
        </w:rPr>
        <w:t>评分对应表（格式见附件，主要用于评委对应评分内容）；</w:t>
      </w:r>
    </w:p>
    <w:p w14:paraId="4ABD199D">
      <w:pPr>
        <w:pStyle w:val="61"/>
        <w:numPr>
          <w:ilvl w:val="0"/>
          <w:numId w:val="32"/>
        </w:numPr>
        <w:spacing w:before="0" w:line="336" w:lineRule="auto"/>
        <w:ind w:firstLine="480"/>
        <w:rPr>
          <w:rFonts w:ascii="宋体"/>
          <w:color w:val="auto"/>
          <w:highlight w:val="none"/>
        </w:rPr>
      </w:pPr>
      <w:r>
        <w:rPr>
          <w:rFonts w:hint="eastAsia" w:ascii="宋体" w:hAnsi="宋体" w:cs="宋体"/>
          <w:color w:val="auto"/>
          <w:highlight w:val="none"/>
        </w:rPr>
        <w:t>供应商商务技术文件中资信分自评表（格式见附件）；</w:t>
      </w:r>
    </w:p>
    <w:p w14:paraId="38C5B45C">
      <w:pPr>
        <w:pStyle w:val="61"/>
        <w:numPr>
          <w:ilvl w:val="0"/>
          <w:numId w:val="32"/>
        </w:numPr>
        <w:spacing w:before="0" w:line="336" w:lineRule="auto"/>
        <w:ind w:firstLine="480"/>
        <w:rPr>
          <w:rFonts w:ascii="宋体"/>
          <w:color w:val="auto"/>
          <w:highlight w:val="none"/>
        </w:rPr>
      </w:pPr>
      <w:r>
        <w:rPr>
          <w:rFonts w:hint="eastAsia" w:ascii="宋体" w:hAnsi="宋体" w:cs="宋体"/>
          <w:color w:val="auto"/>
          <w:highlight w:val="none"/>
        </w:rPr>
        <w:t>磋商项目明细清单（格式见附件）；</w:t>
      </w:r>
    </w:p>
    <w:p w14:paraId="7E31ED19">
      <w:pPr>
        <w:pStyle w:val="61"/>
        <w:numPr>
          <w:ilvl w:val="0"/>
          <w:numId w:val="32"/>
        </w:numPr>
        <w:spacing w:before="0" w:line="336" w:lineRule="auto"/>
        <w:ind w:firstLine="480"/>
        <w:rPr>
          <w:rFonts w:hint="eastAsia" w:ascii="宋体" w:hAnsi="宋体" w:cs="宋体"/>
          <w:color w:val="auto"/>
          <w:highlight w:val="none"/>
        </w:rPr>
      </w:pPr>
      <w:r>
        <w:rPr>
          <w:rFonts w:hint="eastAsia" w:ascii="宋体" w:hAnsi="宋体" w:cs="宋体"/>
          <w:color w:val="auto"/>
          <w:highlight w:val="none"/>
        </w:rPr>
        <w:t>技术响应及建议表（格式见附件）；</w:t>
      </w:r>
    </w:p>
    <w:p w14:paraId="25F1971E">
      <w:pPr>
        <w:pStyle w:val="61"/>
        <w:numPr>
          <w:ilvl w:val="0"/>
          <w:numId w:val="32"/>
        </w:numPr>
        <w:spacing w:before="0" w:line="336" w:lineRule="auto"/>
        <w:ind w:firstLine="480"/>
        <w:rPr>
          <w:rFonts w:hint="eastAsia" w:ascii="宋体" w:hAnsi="宋体" w:cs="宋体"/>
          <w:color w:val="auto"/>
          <w:sz w:val="24"/>
          <w:highlight w:val="none"/>
        </w:rPr>
      </w:pPr>
      <w:r>
        <w:rPr>
          <w:rFonts w:hint="eastAsia" w:ascii="宋体" w:hAnsi="宋体" w:cs="宋体"/>
          <w:color w:val="auto"/>
          <w:highlight w:val="none"/>
        </w:rPr>
        <w:t>商务响应表（格式见附件）；</w:t>
      </w:r>
    </w:p>
    <w:p w14:paraId="1A4825CE">
      <w:pPr>
        <w:pStyle w:val="61"/>
        <w:numPr>
          <w:ilvl w:val="0"/>
          <w:numId w:val="32"/>
        </w:numPr>
        <w:spacing w:before="0" w:line="336" w:lineRule="auto"/>
        <w:ind w:firstLine="480"/>
        <w:rPr>
          <w:rFonts w:hint="eastAsia" w:ascii="宋体" w:hAnsi="宋体" w:cs="宋体"/>
          <w:color w:val="auto"/>
          <w:sz w:val="24"/>
          <w:highlight w:val="none"/>
        </w:rPr>
      </w:pPr>
      <w:r>
        <w:rPr>
          <w:rFonts w:hint="eastAsia" w:ascii="宋体" w:hAnsi="宋体" w:cs="宋体"/>
          <w:color w:val="auto"/>
          <w:sz w:val="24"/>
          <w:highlight w:val="none"/>
        </w:rPr>
        <w:t>项目投入人员承诺函</w:t>
      </w:r>
      <w:r>
        <w:rPr>
          <w:rFonts w:hint="eastAsia" w:ascii="宋体" w:hAnsi="宋体" w:cs="宋体"/>
          <w:color w:val="auto"/>
          <w:highlight w:val="none"/>
        </w:rPr>
        <w:t>（格式</w:t>
      </w:r>
      <w:r>
        <w:rPr>
          <w:rFonts w:hint="eastAsia" w:ascii="宋体" w:hAnsi="宋体" w:cs="宋体"/>
          <w:color w:val="auto"/>
          <w:highlight w:val="none"/>
          <w:lang w:eastAsia="zh-CN"/>
        </w:rPr>
        <w:t>自拟</w:t>
      </w:r>
      <w:r>
        <w:rPr>
          <w:rFonts w:hint="eastAsia" w:ascii="宋体" w:hAnsi="宋体" w:cs="宋体"/>
          <w:color w:val="auto"/>
          <w:highlight w:val="none"/>
        </w:rPr>
        <w:t>）；</w:t>
      </w:r>
    </w:p>
    <w:p w14:paraId="0B5BBA81">
      <w:pPr>
        <w:pStyle w:val="61"/>
        <w:numPr>
          <w:ilvl w:val="0"/>
          <w:numId w:val="32"/>
        </w:numPr>
        <w:spacing w:before="0" w:line="336" w:lineRule="auto"/>
        <w:ind w:firstLine="480"/>
        <w:rPr>
          <w:rFonts w:hint="eastAsia" w:ascii="宋体" w:hAnsi="宋体" w:cs="宋体"/>
          <w:color w:val="auto"/>
          <w:sz w:val="24"/>
          <w:highlight w:val="none"/>
        </w:rPr>
      </w:pPr>
      <w:r>
        <w:rPr>
          <w:rFonts w:hint="eastAsia" w:ascii="宋体" w:hAnsi="宋体" w:cs="宋体"/>
          <w:color w:val="auto"/>
          <w:sz w:val="24"/>
          <w:highlight w:val="none"/>
        </w:rPr>
        <w:t>项目了解</w:t>
      </w:r>
      <w:r>
        <w:rPr>
          <w:rFonts w:hint="eastAsia" w:ascii="宋体" w:hAnsi="宋体" w:cs="宋体"/>
          <w:color w:val="auto"/>
          <w:sz w:val="24"/>
          <w:highlight w:val="none"/>
          <w:lang w:eastAsia="zh-CN"/>
        </w:rPr>
        <w:t>；</w:t>
      </w:r>
    </w:p>
    <w:p w14:paraId="681DAE13">
      <w:pPr>
        <w:pStyle w:val="61"/>
        <w:numPr>
          <w:ilvl w:val="0"/>
          <w:numId w:val="32"/>
        </w:numPr>
        <w:spacing w:before="0" w:line="336" w:lineRule="auto"/>
        <w:ind w:firstLine="480"/>
        <w:rPr>
          <w:rFonts w:hint="eastAsia" w:ascii="宋体" w:hAnsi="宋体" w:cs="宋体"/>
          <w:color w:val="auto"/>
          <w:sz w:val="24"/>
          <w:highlight w:val="none"/>
        </w:rPr>
      </w:pPr>
      <w:r>
        <w:rPr>
          <w:rFonts w:hint="eastAsia" w:ascii="宋体" w:hAnsi="宋体" w:cs="宋体"/>
          <w:color w:val="auto"/>
          <w:sz w:val="24"/>
          <w:highlight w:val="none"/>
        </w:rPr>
        <w:t>食堂服务方案</w:t>
      </w:r>
      <w:r>
        <w:rPr>
          <w:rFonts w:hint="eastAsia" w:ascii="宋体" w:hAnsi="宋体" w:cs="宋体"/>
          <w:color w:val="auto"/>
          <w:sz w:val="24"/>
          <w:highlight w:val="none"/>
          <w:lang w:eastAsia="zh-CN"/>
        </w:rPr>
        <w:t>；</w:t>
      </w:r>
    </w:p>
    <w:p w14:paraId="786BCF76">
      <w:pPr>
        <w:pStyle w:val="61"/>
        <w:numPr>
          <w:ilvl w:val="0"/>
          <w:numId w:val="32"/>
        </w:numPr>
        <w:spacing w:before="0" w:line="336" w:lineRule="auto"/>
        <w:ind w:firstLine="480"/>
        <w:rPr>
          <w:rFonts w:hint="eastAsia" w:ascii="宋体" w:hAnsi="宋体" w:cs="宋体"/>
          <w:color w:val="auto"/>
          <w:sz w:val="24"/>
          <w:highlight w:val="none"/>
        </w:rPr>
      </w:pPr>
      <w:r>
        <w:rPr>
          <w:rFonts w:hint="eastAsia" w:ascii="宋体" w:hAnsi="宋体" w:cs="宋体"/>
          <w:color w:val="auto"/>
          <w:sz w:val="24"/>
          <w:highlight w:val="none"/>
        </w:rPr>
        <w:t>菜品方案</w:t>
      </w:r>
      <w:r>
        <w:rPr>
          <w:rFonts w:hint="eastAsia" w:ascii="宋体" w:hAnsi="宋体" w:cs="宋体"/>
          <w:color w:val="auto"/>
          <w:sz w:val="24"/>
          <w:highlight w:val="none"/>
          <w:lang w:eastAsia="zh-CN"/>
        </w:rPr>
        <w:t>；</w:t>
      </w:r>
    </w:p>
    <w:p w14:paraId="62932AF7">
      <w:pPr>
        <w:pStyle w:val="61"/>
        <w:numPr>
          <w:ilvl w:val="0"/>
          <w:numId w:val="32"/>
        </w:numPr>
        <w:spacing w:before="0" w:line="336" w:lineRule="auto"/>
        <w:ind w:firstLine="480"/>
        <w:rPr>
          <w:rFonts w:hint="eastAsia" w:ascii="宋体" w:hAnsi="宋体" w:cs="宋体"/>
          <w:color w:val="auto"/>
          <w:sz w:val="24"/>
          <w:highlight w:val="none"/>
        </w:rPr>
      </w:pPr>
      <w:r>
        <w:rPr>
          <w:rFonts w:hint="eastAsia" w:ascii="宋体" w:hAnsi="宋体" w:cs="宋体"/>
          <w:color w:val="auto"/>
          <w:sz w:val="24"/>
          <w:highlight w:val="none"/>
        </w:rPr>
        <w:t>管理制度</w:t>
      </w:r>
      <w:r>
        <w:rPr>
          <w:rFonts w:hint="eastAsia" w:ascii="宋体" w:hAnsi="宋体" w:cs="宋体"/>
          <w:color w:val="auto"/>
          <w:sz w:val="24"/>
          <w:highlight w:val="none"/>
          <w:lang w:eastAsia="zh-CN"/>
        </w:rPr>
        <w:t>；</w:t>
      </w:r>
    </w:p>
    <w:p w14:paraId="2F67090E">
      <w:pPr>
        <w:pStyle w:val="61"/>
        <w:numPr>
          <w:ilvl w:val="0"/>
          <w:numId w:val="32"/>
        </w:numPr>
        <w:spacing w:before="0" w:line="336" w:lineRule="auto"/>
        <w:ind w:firstLine="480"/>
        <w:rPr>
          <w:rFonts w:hint="eastAsia" w:ascii="宋体" w:hAnsi="宋体" w:cs="宋体"/>
          <w:color w:val="auto"/>
          <w:sz w:val="24"/>
          <w:highlight w:val="none"/>
        </w:rPr>
      </w:pPr>
      <w:r>
        <w:rPr>
          <w:rFonts w:hint="eastAsia" w:ascii="宋体" w:hAnsi="宋体" w:cs="宋体"/>
          <w:color w:val="auto"/>
          <w:sz w:val="24"/>
          <w:highlight w:val="none"/>
        </w:rPr>
        <w:t>食品安全制度</w:t>
      </w:r>
      <w:r>
        <w:rPr>
          <w:rFonts w:hint="eastAsia" w:ascii="宋体" w:hAnsi="宋体" w:cs="宋体"/>
          <w:color w:val="auto"/>
          <w:sz w:val="24"/>
          <w:highlight w:val="none"/>
          <w:lang w:eastAsia="zh-CN"/>
        </w:rPr>
        <w:t>；</w:t>
      </w:r>
    </w:p>
    <w:p w14:paraId="753AF5D2">
      <w:pPr>
        <w:pStyle w:val="61"/>
        <w:numPr>
          <w:ilvl w:val="0"/>
          <w:numId w:val="32"/>
        </w:numPr>
        <w:spacing w:before="0" w:line="336" w:lineRule="auto"/>
        <w:ind w:firstLine="480"/>
        <w:rPr>
          <w:rFonts w:hint="eastAsia" w:ascii="宋体" w:hAnsi="宋体" w:cs="宋体"/>
          <w:color w:val="auto"/>
          <w:sz w:val="24"/>
          <w:highlight w:val="none"/>
        </w:rPr>
      </w:pPr>
      <w:r>
        <w:rPr>
          <w:rFonts w:hint="eastAsia" w:ascii="宋体" w:hAnsi="宋体" w:cs="宋体"/>
          <w:color w:val="auto"/>
          <w:sz w:val="24"/>
          <w:highlight w:val="none"/>
        </w:rPr>
        <w:t>安全方案</w:t>
      </w:r>
      <w:r>
        <w:rPr>
          <w:rFonts w:hint="eastAsia" w:ascii="宋体" w:hAnsi="宋体" w:cs="宋体"/>
          <w:color w:val="auto"/>
          <w:sz w:val="24"/>
          <w:highlight w:val="none"/>
          <w:lang w:eastAsia="zh-CN"/>
        </w:rPr>
        <w:t>；</w:t>
      </w:r>
    </w:p>
    <w:p w14:paraId="61B9D2D4">
      <w:pPr>
        <w:pStyle w:val="61"/>
        <w:numPr>
          <w:ilvl w:val="0"/>
          <w:numId w:val="32"/>
        </w:numPr>
        <w:spacing w:before="0" w:line="336" w:lineRule="auto"/>
        <w:ind w:firstLine="480"/>
        <w:rPr>
          <w:rFonts w:hint="eastAsia" w:ascii="宋体" w:hAnsi="宋体" w:cs="宋体"/>
          <w:color w:val="auto"/>
          <w:sz w:val="24"/>
          <w:highlight w:val="none"/>
        </w:rPr>
      </w:pPr>
      <w:r>
        <w:rPr>
          <w:rFonts w:hint="eastAsia" w:ascii="宋体" w:hAnsi="宋体" w:cs="宋体"/>
          <w:color w:val="auto"/>
          <w:sz w:val="24"/>
          <w:highlight w:val="none"/>
        </w:rPr>
        <w:t>卫生保障措施</w:t>
      </w:r>
      <w:r>
        <w:rPr>
          <w:rFonts w:hint="eastAsia" w:ascii="宋体" w:hAnsi="宋体" w:cs="宋体"/>
          <w:color w:val="auto"/>
          <w:sz w:val="24"/>
          <w:highlight w:val="none"/>
          <w:lang w:eastAsia="zh-CN"/>
        </w:rPr>
        <w:t>；</w:t>
      </w:r>
    </w:p>
    <w:p w14:paraId="2B4F70E9">
      <w:pPr>
        <w:pStyle w:val="61"/>
        <w:numPr>
          <w:ilvl w:val="0"/>
          <w:numId w:val="32"/>
        </w:numPr>
        <w:spacing w:before="0" w:line="336" w:lineRule="auto"/>
        <w:ind w:firstLine="480"/>
        <w:rPr>
          <w:rFonts w:hint="eastAsia" w:ascii="宋体" w:hAnsi="宋体" w:cs="宋体"/>
          <w:color w:val="auto"/>
          <w:sz w:val="24"/>
          <w:highlight w:val="none"/>
        </w:rPr>
      </w:pPr>
      <w:r>
        <w:rPr>
          <w:rFonts w:hint="eastAsia" w:ascii="宋体" w:hAnsi="宋体" w:cs="宋体"/>
          <w:color w:val="auto"/>
          <w:sz w:val="24"/>
          <w:highlight w:val="none"/>
        </w:rPr>
        <w:t>岗位制度</w:t>
      </w:r>
      <w:r>
        <w:rPr>
          <w:rFonts w:hint="eastAsia" w:ascii="宋体" w:hAnsi="宋体" w:cs="宋体"/>
          <w:color w:val="auto"/>
          <w:sz w:val="24"/>
          <w:highlight w:val="none"/>
          <w:lang w:eastAsia="zh-CN"/>
        </w:rPr>
        <w:t>；</w:t>
      </w:r>
    </w:p>
    <w:p w14:paraId="65A8359D">
      <w:pPr>
        <w:pStyle w:val="61"/>
        <w:numPr>
          <w:ilvl w:val="0"/>
          <w:numId w:val="32"/>
        </w:numPr>
        <w:spacing w:before="0" w:line="336" w:lineRule="auto"/>
        <w:ind w:firstLine="480"/>
        <w:rPr>
          <w:rFonts w:hint="eastAsia" w:ascii="宋体" w:hAnsi="宋体" w:cs="宋体"/>
          <w:color w:val="auto"/>
          <w:sz w:val="24"/>
          <w:highlight w:val="none"/>
        </w:rPr>
      </w:pPr>
      <w:r>
        <w:rPr>
          <w:rFonts w:hint="eastAsia" w:ascii="宋体" w:hAnsi="宋体" w:cs="宋体"/>
          <w:color w:val="auto"/>
          <w:sz w:val="24"/>
          <w:highlight w:val="none"/>
        </w:rPr>
        <w:t>培训方案</w:t>
      </w:r>
      <w:r>
        <w:rPr>
          <w:rFonts w:hint="eastAsia" w:ascii="宋体" w:hAnsi="宋体" w:cs="宋体"/>
          <w:color w:val="auto"/>
          <w:sz w:val="24"/>
          <w:highlight w:val="none"/>
          <w:lang w:eastAsia="zh-CN"/>
        </w:rPr>
        <w:t>；</w:t>
      </w:r>
    </w:p>
    <w:p w14:paraId="6B6682B2">
      <w:pPr>
        <w:pStyle w:val="61"/>
        <w:numPr>
          <w:ilvl w:val="0"/>
          <w:numId w:val="32"/>
        </w:numPr>
        <w:spacing w:before="0" w:line="336" w:lineRule="auto"/>
        <w:ind w:firstLine="480"/>
        <w:rPr>
          <w:rFonts w:hint="eastAsia" w:ascii="宋体" w:hAnsi="宋体" w:cs="宋体"/>
          <w:color w:val="auto"/>
          <w:sz w:val="24"/>
          <w:highlight w:val="none"/>
        </w:rPr>
      </w:pPr>
      <w:r>
        <w:rPr>
          <w:rFonts w:hint="eastAsia" w:ascii="宋体" w:hAnsi="宋体" w:cs="宋体"/>
          <w:color w:val="auto"/>
          <w:sz w:val="24"/>
          <w:highlight w:val="none"/>
        </w:rPr>
        <w:t>应急预案</w:t>
      </w:r>
      <w:r>
        <w:rPr>
          <w:rFonts w:hint="eastAsia" w:ascii="宋体" w:hAnsi="宋体" w:cs="宋体"/>
          <w:color w:val="auto"/>
          <w:sz w:val="24"/>
          <w:highlight w:val="none"/>
          <w:lang w:eastAsia="zh-CN"/>
        </w:rPr>
        <w:t>；</w:t>
      </w:r>
    </w:p>
    <w:p w14:paraId="725BE326">
      <w:pPr>
        <w:pStyle w:val="61"/>
        <w:numPr>
          <w:ilvl w:val="0"/>
          <w:numId w:val="32"/>
        </w:numPr>
        <w:spacing w:before="0" w:line="336" w:lineRule="auto"/>
        <w:ind w:firstLine="480"/>
        <w:rPr>
          <w:rFonts w:hint="eastAsia" w:ascii="宋体" w:hAnsi="宋体" w:cs="宋体"/>
          <w:color w:val="auto"/>
          <w:sz w:val="24"/>
          <w:highlight w:val="none"/>
        </w:rPr>
      </w:pPr>
      <w:r>
        <w:rPr>
          <w:rFonts w:hint="eastAsia" w:ascii="宋体" w:hAnsi="宋体" w:cs="宋体"/>
          <w:color w:val="auto"/>
          <w:sz w:val="24"/>
          <w:szCs w:val="24"/>
          <w:highlight w:val="none"/>
          <w:lang w:val="en-US" w:eastAsia="zh-CN"/>
        </w:rPr>
        <w:t>人员</w:t>
      </w:r>
      <w:r>
        <w:rPr>
          <w:rFonts w:hint="eastAsia" w:ascii="宋体" w:hAnsi="宋体" w:eastAsia="宋体" w:cs="宋体"/>
          <w:color w:val="auto"/>
          <w:sz w:val="24"/>
          <w:szCs w:val="24"/>
          <w:highlight w:val="none"/>
        </w:rPr>
        <w:t>证书</w:t>
      </w:r>
      <w:r>
        <w:rPr>
          <w:rFonts w:hint="eastAsia" w:ascii="宋体" w:hAnsi="宋体" w:cs="宋体"/>
          <w:color w:val="auto"/>
          <w:sz w:val="24"/>
          <w:highlight w:val="none"/>
        </w:rPr>
        <w:t>；</w:t>
      </w:r>
    </w:p>
    <w:p w14:paraId="74287ED1">
      <w:pPr>
        <w:pStyle w:val="61"/>
        <w:numPr>
          <w:ilvl w:val="0"/>
          <w:numId w:val="32"/>
        </w:numPr>
        <w:spacing w:before="0" w:line="336" w:lineRule="auto"/>
        <w:ind w:firstLine="480"/>
        <w:rPr>
          <w:rFonts w:hint="eastAsia" w:ascii="宋体" w:hAnsi="宋体" w:cs="宋体"/>
          <w:color w:val="auto"/>
          <w:sz w:val="24"/>
          <w:highlight w:val="none"/>
        </w:rPr>
      </w:pPr>
      <w:r>
        <w:rPr>
          <w:rFonts w:hint="eastAsia" w:ascii="宋体" w:hAnsi="宋体" w:cs="宋体"/>
          <w:color w:val="auto"/>
          <w:sz w:val="24"/>
          <w:highlight w:val="none"/>
        </w:rPr>
        <w:t>供应商认为需要的其他文件资料。</w:t>
      </w:r>
    </w:p>
    <w:p w14:paraId="54647470">
      <w:pPr>
        <w:pStyle w:val="15"/>
        <w:spacing w:line="500" w:lineRule="exact"/>
        <w:ind w:firstLine="480" w:firstLineChars="200"/>
        <w:rPr>
          <w:rFonts w:hAnsi="宋体" w:cs="Times New Roman"/>
          <w:color w:val="auto"/>
          <w:sz w:val="24"/>
          <w:szCs w:val="24"/>
          <w:highlight w:val="none"/>
        </w:rPr>
      </w:pPr>
    </w:p>
    <w:p w14:paraId="0806AEB1">
      <w:pPr>
        <w:rPr>
          <w:rFonts w:hAnsi="宋体" w:cs="Times New Roman"/>
          <w:color w:val="auto"/>
          <w:sz w:val="24"/>
          <w:szCs w:val="24"/>
          <w:highlight w:val="none"/>
        </w:rPr>
      </w:pPr>
    </w:p>
    <w:p w14:paraId="23EC0ED4"/>
    <w:p w14:paraId="41F8B149">
      <w:pPr>
        <w:rPr>
          <w:rFonts w:ascii="宋体"/>
          <w:color w:val="auto"/>
          <w:sz w:val="28"/>
          <w:szCs w:val="28"/>
          <w:highlight w:val="none"/>
        </w:rPr>
      </w:pPr>
    </w:p>
    <w:p w14:paraId="25524F51">
      <w:pPr>
        <w:snapToGrid w:val="0"/>
        <w:spacing w:before="50" w:after="50"/>
        <w:jc w:val="left"/>
        <w:rPr>
          <w:rFonts w:hint="eastAsia" w:ascii="宋体" w:hAnsi="宋体" w:cs="宋体"/>
          <w:b/>
          <w:bCs/>
          <w:color w:val="auto"/>
          <w:sz w:val="24"/>
          <w:highlight w:val="none"/>
          <w:lang w:val="zh-CN"/>
        </w:rPr>
      </w:pPr>
      <w:bookmarkStart w:id="180" w:name="_Toc10131"/>
    </w:p>
    <w:p w14:paraId="19C448A5">
      <w:pPr>
        <w:snapToGrid w:val="0"/>
        <w:spacing w:before="50" w:after="50"/>
        <w:jc w:val="left"/>
        <w:rPr>
          <w:rFonts w:ascii="宋体" w:hAnsi="宋体" w:cs="宋体"/>
          <w:b/>
          <w:bCs/>
          <w:color w:val="auto"/>
          <w:sz w:val="24"/>
          <w:highlight w:val="none"/>
          <w:lang w:val="zh-CN"/>
        </w:rPr>
      </w:pPr>
      <w:r>
        <w:rPr>
          <w:rFonts w:hint="eastAsia" w:ascii="宋体" w:hAnsi="宋体" w:cs="宋体"/>
          <w:b/>
          <w:bCs/>
          <w:color w:val="auto"/>
          <w:sz w:val="24"/>
          <w:highlight w:val="none"/>
          <w:lang w:val="zh-CN"/>
        </w:rPr>
        <w:t>附件</w:t>
      </w:r>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lang w:val="zh-CN"/>
        </w:rPr>
        <w:t>：</w:t>
      </w:r>
    </w:p>
    <w:p w14:paraId="234092EF">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评分对应表</w:t>
      </w:r>
    </w:p>
    <w:p w14:paraId="650C3E47">
      <w:pPr>
        <w:snapToGrid w:val="0"/>
        <w:spacing w:before="50"/>
        <w:jc w:val="center"/>
        <w:rPr>
          <w:rFonts w:ascii="宋体" w:hAnsi="宋体" w:cs="宋体"/>
          <w:b/>
          <w:color w:val="auto"/>
          <w:sz w:val="32"/>
          <w:szCs w:val="32"/>
          <w:highlight w:val="none"/>
        </w:rPr>
      </w:pPr>
    </w:p>
    <w:p w14:paraId="6519726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项目名称：</w:t>
      </w:r>
    </w:p>
    <w:p w14:paraId="2FF383A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采购编号：</w:t>
      </w:r>
    </w:p>
    <w:tbl>
      <w:tblPr>
        <w:tblStyle w:val="28"/>
        <w:tblW w:w="89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88"/>
        <w:gridCol w:w="3060"/>
        <w:gridCol w:w="1977"/>
      </w:tblGrid>
      <w:tr w14:paraId="3CCABE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888" w:type="dxa"/>
            <w:tcBorders>
              <w:top w:val="single" w:color="auto" w:sz="4" w:space="0"/>
              <w:left w:val="single" w:color="auto" w:sz="4" w:space="0"/>
              <w:bottom w:val="single" w:color="auto" w:sz="4" w:space="0"/>
              <w:right w:val="single" w:color="auto" w:sz="4" w:space="0"/>
            </w:tcBorders>
            <w:vAlign w:val="center"/>
          </w:tcPr>
          <w:p w14:paraId="67B1EF28">
            <w:pPr>
              <w:jc w:val="center"/>
              <w:rPr>
                <w:rFonts w:ascii="宋体" w:hAnsi="宋体" w:cs="宋体"/>
                <w:color w:val="auto"/>
                <w:sz w:val="24"/>
                <w:highlight w:val="none"/>
              </w:rPr>
            </w:pPr>
            <w:r>
              <w:rPr>
                <w:rFonts w:hint="eastAsia" w:ascii="宋体" w:hAnsi="宋体" w:cs="宋体"/>
                <w:color w:val="auto"/>
                <w:sz w:val="24"/>
                <w:highlight w:val="none"/>
              </w:rPr>
              <w:t>评分项目</w:t>
            </w:r>
          </w:p>
        </w:tc>
        <w:tc>
          <w:tcPr>
            <w:tcW w:w="3060" w:type="dxa"/>
            <w:tcBorders>
              <w:top w:val="single" w:color="auto" w:sz="4" w:space="0"/>
              <w:left w:val="single" w:color="auto" w:sz="4" w:space="0"/>
              <w:bottom w:val="single" w:color="auto" w:sz="4" w:space="0"/>
              <w:right w:val="single" w:color="auto" w:sz="4" w:space="0"/>
            </w:tcBorders>
            <w:vAlign w:val="center"/>
          </w:tcPr>
          <w:p w14:paraId="0F7F3911">
            <w:pPr>
              <w:jc w:val="center"/>
              <w:rPr>
                <w:rFonts w:ascii="宋体" w:hAnsi="宋体" w:cs="宋体"/>
                <w:color w:val="auto"/>
                <w:sz w:val="24"/>
                <w:highlight w:val="none"/>
              </w:rPr>
            </w:pPr>
            <w:r>
              <w:rPr>
                <w:rFonts w:hint="eastAsia" w:ascii="宋体" w:hAnsi="宋体" w:cs="宋体"/>
                <w:color w:val="auto"/>
                <w:sz w:val="24"/>
                <w:highlight w:val="none"/>
              </w:rPr>
              <w:t>响应文件对应资料</w:t>
            </w:r>
          </w:p>
        </w:tc>
        <w:tc>
          <w:tcPr>
            <w:tcW w:w="1977" w:type="dxa"/>
            <w:tcBorders>
              <w:top w:val="single" w:color="auto" w:sz="4" w:space="0"/>
              <w:left w:val="single" w:color="auto" w:sz="4" w:space="0"/>
              <w:bottom w:val="single" w:color="auto" w:sz="4" w:space="0"/>
              <w:right w:val="single" w:color="auto" w:sz="4" w:space="0"/>
            </w:tcBorders>
            <w:vAlign w:val="center"/>
          </w:tcPr>
          <w:p w14:paraId="1751B42D">
            <w:pPr>
              <w:jc w:val="center"/>
              <w:rPr>
                <w:rFonts w:ascii="宋体" w:hAnsi="宋体" w:cs="宋体"/>
                <w:color w:val="auto"/>
                <w:sz w:val="24"/>
                <w:highlight w:val="none"/>
              </w:rPr>
            </w:pPr>
            <w:r>
              <w:rPr>
                <w:rFonts w:hint="eastAsia" w:ascii="宋体" w:hAnsi="宋体" w:cs="宋体"/>
                <w:color w:val="auto"/>
                <w:sz w:val="24"/>
                <w:highlight w:val="none"/>
              </w:rPr>
              <w:t>响应文件页码</w:t>
            </w:r>
          </w:p>
        </w:tc>
      </w:tr>
      <w:tr w14:paraId="07FAA7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888" w:type="dxa"/>
            <w:tcBorders>
              <w:top w:val="single" w:color="auto" w:sz="4" w:space="0"/>
              <w:left w:val="single" w:color="auto" w:sz="4" w:space="0"/>
              <w:bottom w:val="single" w:color="auto" w:sz="4" w:space="0"/>
              <w:right w:val="single" w:color="auto" w:sz="4" w:space="0"/>
            </w:tcBorders>
            <w:vAlign w:val="center"/>
          </w:tcPr>
          <w:p w14:paraId="1219DC50">
            <w:pPr>
              <w:jc w:val="center"/>
              <w:rPr>
                <w:rFonts w:ascii="宋体" w:hAnsi="宋体" w:cs="宋体"/>
                <w:color w:val="auto"/>
                <w:sz w:val="24"/>
                <w:highlight w:val="none"/>
              </w:rPr>
            </w:pPr>
            <w:r>
              <w:rPr>
                <w:rFonts w:hint="eastAsia" w:ascii="宋体" w:hAnsi="宋体" w:cs="宋体"/>
                <w:color w:val="auto"/>
                <w:sz w:val="24"/>
                <w:highlight w:val="none"/>
              </w:rPr>
              <w:t>对应评分办法及评分标准</w:t>
            </w:r>
          </w:p>
          <w:p w14:paraId="33D5D57C">
            <w:pPr>
              <w:jc w:val="center"/>
              <w:rPr>
                <w:rFonts w:ascii="宋体" w:hAnsi="宋体" w:cs="宋体"/>
                <w:color w:val="auto"/>
                <w:sz w:val="24"/>
                <w:highlight w:val="none"/>
              </w:rPr>
            </w:pPr>
            <w:r>
              <w:rPr>
                <w:rFonts w:hint="eastAsia" w:ascii="宋体" w:hAnsi="宋体" w:cs="宋体"/>
                <w:color w:val="auto"/>
                <w:sz w:val="24"/>
                <w:highlight w:val="none"/>
              </w:rPr>
              <w:t>（报价除外）</w:t>
            </w:r>
          </w:p>
        </w:tc>
        <w:tc>
          <w:tcPr>
            <w:tcW w:w="3060" w:type="dxa"/>
            <w:tcBorders>
              <w:top w:val="single" w:color="auto" w:sz="4" w:space="0"/>
              <w:left w:val="single" w:color="auto" w:sz="4" w:space="0"/>
              <w:bottom w:val="single" w:color="auto" w:sz="4" w:space="0"/>
              <w:right w:val="single" w:color="auto" w:sz="4" w:space="0"/>
            </w:tcBorders>
            <w:vAlign w:val="center"/>
          </w:tcPr>
          <w:p w14:paraId="132011AC">
            <w:pPr>
              <w:jc w:val="center"/>
              <w:rPr>
                <w:rFonts w:ascii="宋体" w:hAnsi="宋体" w:cs="宋体"/>
                <w:color w:val="auto"/>
                <w:sz w:val="24"/>
                <w:highlight w:val="none"/>
              </w:rPr>
            </w:pPr>
          </w:p>
        </w:tc>
        <w:tc>
          <w:tcPr>
            <w:tcW w:w="1977" w:type="dxa"/>
            <w:tcBorders>
              <w:top w:val="single" w:color="auto" w:sz="4" w:space="0"/>
              <w:left w:val="single" w:color="auto" w:sz="4" w:space="0"/>
              <w:bottom w:val="single" w:color="auto" w:sz="4" w:space="0"/>
              <w:right w:val="single" w:color="auto" w:sz="4" w:space="0"/>
            </w:tcBorders>
            <w:vAlign w:val="center"/>
          </w:tcPr>
          <w:p w14:paraId="5BC87787">
            <w:pPr>
              <w:jc w:val="center"/>
              <w:rPr>
                <w:rFonts w:ascii="宋体" w:hAnsi="宋体" w:cs="宋体"/>
                <w:color w:val="auto"/>
                <w:sz w:val="24"/>
                <w:highlight w:val="none"/>
              </w:rPr>
            </w:pPr>
          </w:p>
        </w:tc>
      </w:tr>
      <w:tr w14:paraId="520B8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888" w:type="dxa"/>
            <w:tcBorders>
              <w:top w:val="single" w:color="auto" w:sz="4" w:space="0"/>
              <w:left w:val="single" w:color="auto" w:sz="4" w:space="0"/>
              <w:bottom w:val="single" w:color="auto" w:sz="4" w:space="0"/>
              <w:right w:val="single" w:color="auto" w:sz="4" w:space="0"/>
            </w:tcBorders>
            <w:vAlign w:val="center"/>
          </w:tcPr>
          <w:p w14:paraId="30B09EB6">
            <w:pPr>
              <w:jc w:val="center"/>
              <w:rPr>
                <w:rFonts w:ascii="宋体" w:hAnsi="宋体" w:cs="宋体"/>
                <w:color w:val="auto"/>
                <w:sz w:val="24"/>
                <w:highlight w:val="none"/>
              </w:rPr>
            </w:pPr>
            <w:r>
              <w:rPr>
                <w:rFonts w:hint="eastAsia" w:ascii="宋体" w:hAnsi="宋体" w:cs="宋体"/>
                <w:color w:val="auto"/>
                <w:sz w:val="24"/>
                <w:highlight w:val="none"/>
              </w:rPr>
              <w:t>……</w:t>
            </w:r>
          </w:p>
        </w:tc>
        <w:tc>
          <w:tcPr>
            <w:tcW w:w="3060" w:type="dxa"/>
            <w:tcBorders>
              <w:top w:val="single" w:color="auto" w:sz="4" w:space="0"/>
              <w:left w:val="single" w:color="auto" w:sz="4" w:space="0"/>
              <w:bottom w:val="single" w:color="auto" w:sz="4" w:space="0"/>
              <w:right w:val="single" w:color="auto" w:sz="4" w:space="0"/>
            </w:tcBorders>
            <w:vAlign w:val="center"/>
          </w:tcPr>
          <w:p w14:paraId="5A3F6590">
            <w:pPr>
              <w:jc w:val="center"/>
              <w:rPr>
                <w:rFonts w:ascii="宋体" w:hAnsi="宋体" w:cs="宋体"/>
                <w:color w:val="auto"/>
                <w:sz w:val="24"/>
                <w:highlight w:val="none"/>
              </w:rPr>
            </w:pPr>
          </w:p>
        </w:tc>
        <w:tc>
          <w:tcPr>
            <w:tcW w:w="1977" w:type="dxa"/>
            <w:tcBorders>
              <w:top w:val="single" w:color="auto" w:sz="4" w:space="0"/>
              <w:left w:val="single" w:color="auto" w:sz="4" w:space="0"/>
              <w:bottom w:val="single" w:color="auto" w:sz="4" w:space="0"/>
              <w:right w:val="single" w:color="auto" w:sz="4" w:space="0"/>
            </w:tcBorders>
            <w:vAlign w:val="center"/>
          </w:tcPr>
          <w:p w14:paraId="6351BF0A">
            <w:pPr>
              <w:jc w:val="center"/>
              <w:rPr>
                <w:rFonts w:ascii="宋体" w:hAnsi="宋体" w:cs="宋体"/>
                <w:color w:val="auto"/>
                <w:sz w:val="24"/>
                <w:highlight w:val="none"/>
              </w:rPr>
            </w:pPr>
          </w:p>
        </w:tc>
      </w:tr>
      <w:tr w14:paraId="362B84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888" w:type="dxa"/>
            <w:tcBorders>
              <w:top w:val="single" w:color="auto" w:sz="4" w:space="0"/>
              <w:left w:val="single" w:color="auto" w:sz="4" w:space="0"/>
              <w:bottom w:val="single" w:color="auto" w:sz="4" w:space="0"/>
              <w:right w:val="single" w:color="auto" w:sz="4" w:space="0"/>
            </w:tcBorders>
            <w:vAlign w:val="center"/>
          </w:tcPr>
          <w:p w14:paraId="284505AE">
            <w:pPr>
              <w:jc w:val="center"/>
              <w:rPr>
                <w:rFonts w:ascii="宋体" w:hAnsi="宋体" w:cs="宋体"/>
                <w:color w:val="auto"/>
                <w:sz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14:paraId="1A272D48">
            <w:pPr>
              <w:jc w:val="center"/>
              <w:rPr>
                <w:rFonts w:ascii="宋体" w:hAnsi="宋体" w:cs="宋体"/>
                <w:color w:val="auto"/>
                <w:sz w:val="24"/>
                <w:highlight w:val="none"/>
              </w:rPr>
            </w:pPr>
          </w:p>
        </w:tc>
        <w:tc>
          <w:tcPr>
            <w:tcW w:w="1977" w:type="dxa"/>
            <w:tcBorders>
              <w:top w:val="single" w:color="auto" w:sz="4" w:space="0"/>
              <w:left w:val="single" w:color="auto" w:sz="4" w:space="0"/>
              <w:bottom w:val="single" w:color="auto" w:sz="4" w:space="0"/>
              <w:right w:val="single" w:color="auto" w:sz="4" w:space="0"/>
            </w:tcBorders>
            <w:vAlign w:val="center"/>
          </w:tcPr>
          <w:p w14:paraId="58B9393F">
            <w:pPr>
              <w:jc w:val="center"/>
              <w:rPr>
                <w:rFonts w:ascii="宋体" w:hAnsi="宋体" w:cs="宋体"/>
                <w:color w:val="auto"/>
                <w:sz w:val="24"/>
                <w:highlight w:val="none"/>
              </w:rPr>
            </w:pPr>
          </w:p>
        </w:tc>
      </w:tr>
      <w:tr w14:paraId="77634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888" w:type="dxa"/>
            <w:tcBorders>
              <w:top w:val="single" w:color="auto" w:sz="4" w:space="0"/>
              <w:left w:val="single" w:color="auto" w:sz="4" w:space="0"/>
              <w:bottom w:val="single" w:color="auto" w:sz="4" w:space="0"/>
              <w:right w:val="single" w:color="auto" w:sz="4" w:space="0"/>
            </w:tcBorders>
            <w:vAlign w:val="center"/>
          </w:tcPr>
          <w:p w14:paraId="7ABE06BD">
            <w:pPr>
              <w:spacing w:line="360" w:lineRule="auto"/>
              <w:ind w:firstLine="480" w:firstLineChars="200"/>
              <w:jc w:val="center"/>
              <w:rPr>
                <w:rFonts w:ascii="宋体" w:hAnsi="宋体" w:cs="宋体"/>
                <w:color w:val="auto"/>
                <w:sz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14:paraId="291CF1CE">
            <w:pPr>
              <w:spacing w:line="360" w:lineRule="auto"/>
              <w:ind w:firstLine="480" w:firstLineChars="200"/>
              <w:jc w:val="center"/>
              <w:rPr>
                <w:rFonts w:ascii="宋体" w:hAnsi="宋体" w:cs="宋体"/>
                <w:color w:val="auto"/>
                <w:sz w:val="24"/>
                <w:highlight w:val="none"/>
              </w:rPr>
            </w:pPr>
          </w:p>
        </w:tc>
        <w:tc>
          <w:tcPr>
            <w:tcW w:w="1977" w:type="dxa"/>
            <w:tcBorders>
              <w:top w:val="single" w:color="auto" w:sz="4" w:space="0"/>
              <w:left w:val="single" w:color="auto" w:sz="4" w:space="0"/>
              <w:bottom w:val="single" w:color="auto" w:sz="4" w:space="0"/>
              <w:right w:val="single" w:color="auto" w:sz="4" w:space="0"/>
            </w:tcBorders>
            <w:vAlign w:val="center"/>
          </w:tcPr>
          <w:p w14:paraId="71658B69">
            <w:pPr>
              <w:spacing w:line="360" w:lineRule="auto"/>
              <w:ind w:firstLine="480" w:firstLineChars="200"/>
              <w:jc w:val="center"/>
              <w:rPr>
                <w:rFonts w:ascii="宋体" w:hAnsi="宋体" w:cs="宋体"/>
                <w:color w:val="auto"/>
                <w:sz w:val="24"/>
                <w:highlight w:val="none"/>
              </w:rPr>
            </w:pPr>
          </w:p>
        </w:tc>
      </w:tr>
      <w:tr w14:paraId="6A0B4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888" w:type="dxa"/>
            <w:tcBorders>
              <w:top w:val="single" w:color="auto" w:sz="4" w:space="0"/>
              <w:left w:val="single" w:color="auto" w:sz="4" w:space="0"/>
              <w:bottom w:val="single" w:color="auto" w:sz="4" w:space="0"/>
              <w:right w:val="single" w:color="auto" w:sz="4" w:space="0"/>
            </w:tcBorders>
            <w:vAlign w:val="center"/>
          </w:tcPr>
          <w:p w14:paraId="5376C1C6">
            <w:pPr>
              <w:spacing w:line="360" w:lineRule="auto"/>
              <w:ind w:firstLine="480" w:firstLineChars="200"/>
              <w:jc w:val="center"/>
              <w:rPr>
                <w:rFonts w:ascii="宋体" w:hAnsi="宋体" w:cs="宋体"/>
                <w:color w:val="auto"/>
                <w:sz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14:paraId="1E74712A">
            <w:pPr>
              <w:spacing w:line="360" w:lineRule="auto"/>
              <w:ind w:firstLine="480" w:firstLineChars="200"/>
              <w:jc w:val="center"/>
              <w:rPr>
                <w:rFonts w:ascii="宋体" w:hAnsi="宋体" w:cs="宋体"/>
                <w:color w:val="auto"/>
                <w:sz w:val="24"/>
                <w:highlight w:val="none"/>
              </w:rPr>
            </w:pPr>
          </w:p>
        </w:tc>
        <w:tc>
          <w:tcPr>
            <w:tcW w:w="1977" w:type="dxa"/>
            <w:tcBorders>
              <w:top w:val="single" w:color="auto" w:sz="4" w:space="0"/>
              <w:left w:val="single" w:color="auto" w:sz="4" w:space="0"/>
              <w:bottom w:val="single" w:color="auto" w:sz="4" w:space="0"/>
              <w:right w:val="single" w:color="auto" w:sz="4" w:space="0"/>
            </w:tcBorders>
            <w:vAlign w:val="center"/>
          </w:tcPr>
          <w:p w14:paraId="6B10F0CB">
            <w:pPr>
              <w:spacing w:line="360" w:lineRule="auto"/>
              <w:ind w:firstLine="480" w:firstLineChars="200"/>
              <w:jc w:val="center"/>
              <w:rPr>
                <w:rFonts w:ascii="宋体" w:hAnsi="宋体" w:cs="宋体"/>
                <w:color w:val="auto"/>
                <w:sz w:val="24"/>
                <w:highlight w:val="none"/>
              </w:rPr>
            </w:pPr>
          </w:p>
        </w:tc>
      </w:tr>
      <w:tr w14:paraId="247FC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888" w:type="dxa"/>
            <w:tcBorders>
              <w:top w:val="single" w:color="auto" w:sz="4" w:space="0"/>
              <w:left w:val="single" w:color="auto" w:sz="4" w:space="0"/>
              <w:bottom w:val="single" w:color="auto" w:sz="4" w:space="0"/>
              <w:right w:val="single" w:color="auto" w:sz="4" w:space="0"/>
            </w:tcBorders>
            <w:vAlign w:val="center"/>
          </w:tcPr>
          <w:p w14:paraId="4E0B63D6">
            <w:pPr>
              <w:spacing w:line="360" w:lineRule="auto"/>
              <w:ind w:firstLine="480" w:firstLineChars="200"/>
              <w:jc w:val="center"/>
              <w:rPr>
                <w:rFonts w:ascii="宋体" w:hAnsi="宋体" w:cs="宋体"/>
                <w:color w:val="auto"/>
                <w:sz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14:paraId="2C8F3D5A">
            <w:pPr>
              <w:spacing w:line="360" w:lineRule="auto"/>
              <w:ind w:firstLine="480" w:firstLineChars="200"/>
              <w:jc w:val="center"/>
              <w:rPr>
                <w:rFonts w:ascii="宋体" w:hAnsi="宋体" w:cs="宋体"/>
                <w:color w:val="auto"/>
                <w:sz w:val="24"/>
                <w:highlight w:val="none"/>
              </w:rPr>
            </w:pPr>
          </w:p>
        </w:tc>
        <w:tc>
          <w:tcPr>
            <w:tcW w:w="1977" w:type="dxa"/>
            <w:tcBorders>
              <w:top w:val="single" w:color="auto" w:sz="4" w:space="0"/>
              <w:left w:val="single" w:color="auto" w:sz="4" w:space="0"/>
              <w:bottom w:val="single" w:color="auto" w:sz="4" w:space="0"/>
              <w:right w:val="single" w:color="auto" w:sz="4" w:space="0"/>
            </w:tcBorders>
            <w:vAlign w:val="center"/>
          </w:tcPr>
          <w:p w14:paraId="0934F047">
            <w:pPr>
              <w:spacing w:line="360" w:lineRule="auto"/>
              <w:ind w:firstLine="480" w:firstLineChars="200"/>
              <w:jc w:val="center"/>
              <w:rPr>
                <w:rFonts w:ascii="宋体" w:hAnsi="宋体" w:cs="宋体"/>
                <w:color w:val="auto"/>
                <w:sz w:val="24"/>
                <w:highlight w:val="none"/>
              </w:rPr>
            </w:pPr>
          </w:p>
        </w:tc>
      </w:tr>
      <w:tr w14:paraId="04BF49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888" w:type="dxa"/>
            <w:tcBorders>
              <w:top w:val="single" w:color="auto" w:sz="4" w:space="0"/>
              <w:left w:val="single" w:color="auto" w:sz="4" w:space="0"/>
              <w:bottom w:val="single" w:color="auto" w:sz="4" w:space="0"/>
              <w:right w:val="single" w:color="auto" w:sz="4" w:space="0"/>
            </w:tcBorders>
            <w:vAlign w:val="center"/>
          </w:tcPr>
          <w:p w14:paraId="430D2009">
            <w:pPr>
              <w:spacing w:line="360" w:lineRule="auto"/>
              <w:ind w:firstLine="480" w:firstLineChars="200"/>
              <w:jc w:val="center"/>
              <w:rPr>
                <w:rFonts w:ascii="宋体" w:hAnsi="宋体" w:cs="宋体"/>
                <w:color w:val="auto"/>
                <w:sz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14:paraId="565687BC">
            <w:pPr>
              <w:spacing w:line="360" w:lineRule="auto"/>
              <w:ind w:firstLine="480" w:firstLineChars="200"/>
              <w:jc w:val="center"/>
              <w:rPr>
                <w:rFonts w:ascii="宋体" w:hAnsi="宋体" w:cs="宋体"/>
                <w:color w:val="auto"/>
                <w:sz w:val="24"/>
                <w:highlight w:val="none"/>
              </w:rPr>
            </w:pPr>
          </w:p>
        </w:tc>
        <w:tc>
          <w:tcPr>
            <w:tcW w:w="1977" w:type="dxa"/>
            <w:tcBorders>
              <w:top w:val="single" w:color="auto" w:sz="4" w:space="0"/>
              <w:left w:val="single" w:color="auto" w:sz="4" w:space="0"/>
              <w:bottom w:val="single" w:color="auto" w:sz="4" w:space="0"/>
              <w:right w:val="single" w:color="auto" w:sz="4" w:space="0"/>
            </w:tcBorders>
            <w:vAlign w:val="center"/>
          </w:tcPr>
          <w:p w14:paraId="138A09DC">
            <w:pPr>
              <w:spacing w:line="360" w:lineRule="auto"/>
              <w:ind w:firstLine="480" w:firstLineChars="200"/>
              <w:jc w:val="center"/>
              <w:rPr>
                <w:rFonts w:ascii="宋体" w:hAnsi="宋体" w:cs="宋体"/>
                <w:color w:val="auto"/>
                <w:sz w:val="24"/>
                <w:highlight w:val="none"/>
              </w:rPr>
            </w:pPr>
          </w:p>
        </w:tc>
      </w:tr>
      <w:tr w14:paraId="533D9B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888" w:type="dxa"/>
            <w:tcBorders>
              <w:top w:val="single" w:color="auto" w:sz="4" w:space="0"/>
              <w:left w:val="single" w:color="auto" w:sz="4" w:space="0"/>
              <w:bottom w:val="single" w:color="auto" w:sz="4" w:space="0"/>
              <w:right w:val="single" w:color="auto" w:sz="4" w:space="0"/>
            </w:tcBorders>
            <w:vAlign w:val="center"/>
          </w:tcPr>
          <w:p w14:paraId="0059B682">
            <w:pPr>
              <w:spacing w:line="360" w:lineRule="auto"/>
              <w:ind w:firstLine="480" w:firstLineChars="200"/>
              <w:jc w:val="center"/>
              <w:rPr>
                <w:rFonts w:ascii="宋体" w:hAnsi="宋体" w:cs="宋体"/>
                <w:color w:val="auto"/>
                <w:sz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14:paraId="6C1F6B10">
            <w:pPr>
              <w:spacing w:line="360" w:lineRule="auto"/>
              <w:ind w:firstLine="480" w:firstLineChars="200"/>
              <w:jc w:val="center"/>
              <w:rPr>
                <w:rFonts w:ascii="宋体" w:hAnsi="宋体" w:cs="宋体"/>
                <w:color w:val="auto"/>
                <w:sz w:val="24"/>
                <w:highlight w:val="none"/>
              </w:rPr>
            </w:pPr>
          </w:p>
        </w:tc>
        <w:tc>
          <w:tcPr>
            <w:tcW w:w="1977" w:type="dxa"/>
            <w:tcBorders>
              <w:top w:val="single" w:color="auto" w:sz="4" w:space="0"/>
              <w:left w:val="single" w:color="auto" w:sz="4" w:space="0"/>
              <w:bottom w:val="single" w:color="auto" w:sz="4" w:space="0"/>
              <w:right w:val="single" w:color="auto" w:sz="4" w:space="0"/>
            </w:tcBorders>
            <w:vAlign w:val="center"/>
          </w:tcPr>
          <w:p w14:paraId="336E249E">
            <w:pPr>
              <w:spacing w:line="360" w:lineRule="auto"/>
              <w:ind w:firstLine="480" w:firstLineChars="200"/>
              <w:jc w:val="center"/>
              <w:rPr>
                <w:rFonts w:ascii="宋体" w:hAnsi="宋体" w:cs="宋体"/>
                <w:color w:val="auto"/>
                <w:sz w:val="24"/>
                <w:highlight w:val="none"/>
              </w:rPr>
            </w:pPr>
          </w:p>
        </w:tc>
      </w:tr>
      <w:tr w14:paraId="30768E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888" w:type="dxa"/>
            <w:tcBorders>
              <w:top w:val="single" w:color="auto" w:sz="4" w:space="0"/>
              <w:left w:val="single" w:color="auto" w:sz="4" w:space="0"/>
              <w:bottom w:val="single" w:color="auto" w:sz="4" w:space="0"/>
              <w:right w:val="single" w:color="auto" w:sz="4" w:space="0"/>
            </w:tcBorders>
            <w:vAlign w:val="center"/>
          </w:tcPr>
          <w:p w14:paraId="4FB3370A">
            <w:pPr>
              <w:spacing w:line="360" w:lineRule="auto"/>
              <w:ind w:firstLine="480" w:firstLineChars="200"/>
              <w:jc w:val="center"/>
              <w:rPr>
                <w:rFonts w:ascii="宋体" w:hAnsi="宋体" w:cs="宋体"/>
                <w:color w:val="auto"/>
                <w:sz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14:paraId="6CC695AB">
            <w:pPr>
              <w:spacing w:line="360" w:lineRule="auto"/>
              <w:ind w:firstLine="480" w:firstLineChars="200"/>
              <w:jc w:val="center"/>
              <w:rPr>
                <w:rFonts w:ascii="宋体" w:hAnsi="宋体" w:cs="宋体"/>
                <w:color w:val="auto"/>
                <w:sz w:val="24"/>
                <w:highlight w:val="none"/>
              </w:rPr>
            </w:pPr>
          </w:p>
        </w:tc>
        <w:tc>
          <w:tcPr>
            <w:tcW w:w="1977" w:type="dxa"/>
            <w:tcBorders>
              <w:top w:val="single" w:color="auto" w:sz="4" w:space="0"/>
              <w:left w:val="single" w:color="auto" w:sz="4" w:space="0"/>
              <w:bottom w:val="single" w:color="auto" w:sz="4" w:space="0"/>
              <w:right w:val="single" w:color="auto" w:sz="4" w:space="0"/>
            </w:tcBorders>
            <w:vAlign w:val="center"/>
          </w:tcPr>
          <w:p w14:paraId="401B2810">
            <w:pPr>
              <w:spacing w:line="360" w:lineRule="auto"/>
              <w:ind w:firstLine="480" w:firstLineChars="200"/>
              <w:jc w:val="center"/>
              <w:rPr>
                <w:rFonts w:ascii="宋体" w:hAnsi="宋体" w:cs="宋体"/>
                <w:color w:val="auto"/>
                <w:sz w:val="24"/>
                <w:highlight w:val="none"/>
              </w:rPr>
            </w:pPr>
          </w:p>
        </w:tc>
      </w:tr>
    </w:tbl>
    <w:p w14:paraId="4B006B5E">
      <w:pPr>
        <w:spacing w:line="360" w:lineRule="auto"/>
        <w:ind w:firstLine="480" w:firstLineChars="200"/>
        <w:rPr>
          <w:rFonts w:ascii="宋体" w:hAnsi="宋体" w:cs="宋体"/>
          <w:color w:val="auto"/>
          <w:sz w:val="24"/>
          <w:highlight w:val="none"/>
        </w:rPr>
      </w:pPr>
    </w:p>
    <w:p w14:paraId="14A23A9D">
      <w:pPr>
        <w:spacing w:line="360" w:lineRule="auto"/>
        <w:ind w:left="3600" w:leftChars="1800" w:firstLine="480" w:firstLineChars="200"/>
        <w:rPr>
          <w:rFonts w:ascii="宋体" w:hAnsi="宋体" w:cs="宋体"/>
          <w:color w:val="auto"/>
          <w:sz w:val="24"/>
          <w:highlight w:val="none"/>
        </w:rPr>
      </w:pPr>
    </w:p>
    <w:p w14:paraId="46EB3C7E">
      <w:pPr>
        <w:spacing w:line="360" w:lineRule="auto"/>
        <w:ind w:left="3600" w:leftChars="1800" w:firstLine="480" w:firstLineChars="200"/>
        <w:rPr>
          <w:rFonts w:ascii="宋体" w:hAnsi="宋体" w:cs="宋体"/>
          <w:color w:val="auto"/>
          <w:sz w:val="24"/>
          <w:highlight w:val="none"/>
        </w:rPr>
      </w:pPr>
      <w:r>
        <w:rPr>
          <w:rFonts w:hint="eastAsia" w:ascii="宋体" w:hAnsi="宋体" w:cs="宋体"/>
          <w:color w:val="auto"/>
          <w:sz w:val="24"/>
          <w:highlight w:val="none"/>
        </w:rPr>
        <w:t xml:space="preserve">法定代表人签名（或签名章）：                       </w:t>
      </w:r>
    </w:p>
    <w:p w14:paraId="13767D0E">
      <w:pPr>
        <w:spacing w:line="360" w:lineRule="auto"/>
        <w:ind w:left="3600" w:leftChars="1800" w:firstLine="480" w:firstLineChars="200"/>
        <w:rPr>
          <w:rFonts w:ascii="宋体" w:hAnsi="宋体" w:cs="宋体"/>
          <w:color w:val="auto"/>
          <w:sz w:val="24"/>
          <w:highlight w:val="none"/>
        </w:rPr>
      </w:pPr>
      <w:r>
        <w:rPr>
          <w:rFonts w:hint="eastAsia" w:ascii="宋体" w:hAnsi="宋体" w:cs="宋体"/>
          <w:color w:val="auto"/>
          <w:sz w:val="24"/>
          <w:highlight w:val="none"/>
        </w:rPr>
        <w:t>日 期：</w:t>
      </w:r>
    </w:p>
    <w:p w14:paraId="5EC7DEF7">
      <w:pPr>
        <w:spacing w:line="360" w:lineRule="auto"/>
        <w:ind w:left="3600" w:leftChars="1800" w:firstLine="480" w:firstLineChars="200"/>
        <w:rPr>
          <w:color w:val="auto"/>
          <w:highlight w:val="none"/>
          <w:lang w:val="zh-CN"/>
        </w:rPr>
      </w:pPr>
      <w:r>
        <w:rPr>
          <w:rFonts w:hint="eastAsia" w:ascii="宋体" w:hAnsi="宋体" w:cs="宋体"/>
          <w:color w:val="auto"/>
          <w:sz w:val="24"/>
          <w:highlight w:val="none"/>
        </w:rPr>
        <w:t>供应商全称（公章）：</w:t>
      </w:r>
      <w:r>
        <w:rPr>
          <w:rFonts w:hint="eastAsia"/>
          <w:color w:val="auto"/>
          <w:highlight w:val="none"/>
          <w:lang w:val="zh-CN"/>
        </w:rPr>
        <w:br w:type="page"/>
      </w:r>
    </w:p>
    <w:p w14:paraId="6D89199A">
      <w:pPr>
        <w:rPr>
          <w:b/>
          <w:bCs/>
          <w:color w:val="auto"/>
          <w:sz w:val="24"/>
          <w:szCs w:val="32"/>
          <w:highlight w:val="none"/>
          <w:lang w:val="zh-CN"/>
        </w:rPr>
      </w:pPr>
      <w:r>
        <w:rPr>
          <w:rFonts w:hint="eastAsia"/>
          <w:b/>
          <w:bCs/>
          <w:color w:val="auto"/>
          <w:sz w:val="24"/>
          <w:szCs w:val="32"/>
          <w:highlight w:val="none"/>
          <w:lang w:val="zh-CN"/>
        </w:rPr>
        <w:t>附件</w:t>
      </w:r>
      <w:r>
        <w:rPr>
          <w:rFonts w:hint="eastAsia"/>
          <w:b/>
          <w:bCs/>
          <w:color w:val="auto"/>
          <w:sz w:val="24"/>
          <w:szCs w:val="32"/>
          <w:highlight w:val="none"/>
          <w:lang w:val="en-US" w:eastAsia="zh-CN"/>
        </w:rPr>
        <w:t>八</w:t>
      </w:r>
      <w:r>
        <w:rPr>
          <w:rFonts w:hint="eastAsia"/>
          <w:b/>
          <w:bCs/>
          <w:color w:val="auto"/>
          <w:sz w:val="24"/>
          <w:szCs w:val="32"/>
          <w:highlight w:val="none"/>
        </w:rPr>
        <w:t>：</w:t>
      </w:r>
    </w:p>
    <w:p w14:paraId="112B3FD8">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供应商商务技术文件中资信分自评表</w:t>
      </w:r>
      <w:bookmarkEnd w:id="180"/>
    </w:p>
    <w:p w14:paraId="575995D2">
      <w:pPr>
        <w:snapToGrid w:val="0"/>
        <w:spacing w:before="50"/>
        <w:jc w:val="center"/>
        <w:rPr>
          <w:rFonts w:ascii="宋体" w:hAnsi="宋体" w:cs="宋体"/>
          <w:b/>
          <w:color w:val="auto"/>
          <w:sz w:val="32"/>
          <w:szCs w:val="32"/>
          <w:highlight w:val="none"/>
        </w:rPr>
      </w:pPr>
    </w:p>
    <w:p w14:paraId="7752FA3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项目名称：</w:t>
      </w:r>
    </w:p>
    <w:p w14:paraId="6120B2E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采购编号：</w:t>
      </w:r>
    </w:p>
    <w:tbl>
      <w:tblPr>
        <w:tblStyle w:val="28"/>
        <w:tblW w:w="89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2"/>
        <w:gridCol w:w="2387"/>
        <w:gridCol w:w="1462"/>
        <w:gridCol w:w="2415"/>
        <w:gridCol w:w="1746"/>
      </w:tblGrid>
      <w:tr w14:paraId="01BD0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982" w:type="dxa"/>
            <w:vAlign w:val="center"/>
          </w:tcPr>
          <w:p w14:paraId="36E6526C">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2387" w:type="dxa"/>
            <w:vAlign w:val="center"/>
          </w:tcPr>
          <w:p w14:paraId="55C02F00">
            <w:pPr>
              <w:jc w:val="center"/>
              <w:rPr>
                <w:rFonts w:ascii="宋体" w:hAnsi="宋体" w:cs="宋体"/>
                <w:color w:val="auto"/>
                <w:sz w:val="24"/>
                <w:highlight w:val="none"/>
              </w:rPr>
            </w:pPr>
            <w:r>
              <w:rPr>
                <w:rFonts w:hint="eastAsia" w:ascii="宋体" w:hAnsi="宋体" w:cs="宋体"/>
                <w:color w:val="auto"/>
                <w:sz w:val="24"/>
                <w:highlight w:val="none"/>
              </w:rPr>
              <w:t>资信分内容</w:t>
            </w:r>
          </w:p>
        </w:tc>
        <w:tc>
          <w:tcPr>
            <w:tcW w:w="1462" w:type="dxa"/>
            <w:vAlign w:val="center"/>
          </w:tcPr>
          <w:p w14:paraId="41561034">
            <w:pPr>
              <w:jc w:val="center"/>
              <w:rPr>
                <w:rFonts w:ascii="宋体" w:hAnsi="宋体" w:cs="宋体"/>
                <w:color w:val="auto"/>
                <w:sz w:val="24"/>
                <w:highlight w:val="none"/>
              </w:rPr>
            </w:pPr>
            <w:r>
              <w:rPr>
                <w:rFonts w:hint="eastAsia" w:ascii="宋体" w:hAnsi="宋体" w:cs="宋体"/>
                <w:color w:val="auto"/>
                <w:sz w:val="24"/>
                <w:highlight w:val="none"/>
              </w:rPr>
              <w:t>自评得分</w:t>
            </w:r>
          </w:p>
        </w:tc>
        <w:tc>
          <w:tcPr>
            <w:tcW w:w="2415" w:type="dxa"/>
            <w:tcBorders>
              <w:right w:val="single" w:color="auto" w:sz="4" w:space="0"/>
            </w:tcBorders>
            <w:vAlign w:val="center"/>
          </w:tcPr>
          <w:p w14:paraId="394F65D4">
            <w:pPr>
              <w:jc w:val="center"/>
              <w:rPr>
                <w:rFonts w:ascii="宋体" w:hAnsi="宋体" w:cs="宋体"/>
                <w:color w:val="auto"/>
                <w:sz w:val="24"/>
                <w:highlight w:val="none"/>
              </w:rPr>
            </w:pPr>
            <w:r>
              <w:rPr>
                <w:rFonts w:hint="eastAsia" w:ascii="宋体" w:hAnsi="宋体" w:cs="宋体"/>
                <w:color w:val="auto"/>
                <w:sz w:val="24"/>
                <w:highlight w:val="none"/>
              </w:rPr>
              <w:t>响应文件对应资料</w:t>
            </w:r>
          </w:p>
        </w:tc>
        <w:tc>
          <w:tcPr>
            <w:tcW w:w="1746" w:type="dxa"/>
            <w:tcBorders>
              <w:left w:val="single" w:color="auto" w:sz="4" w:space="0"/>
            </w:tcBorders>
            <w:vAlign w:val="center"/>
          </w:tcPr>
          <w:p w14:paraId="7FC5AA1B">
            <w:pPr>
              <w:jc w:val="center"/>
              <w:rPr>
                <w:rFonts w:ascii="宋体" w:hAnsi="宋体" w:cs="宋体"/>
                <w:color w:val="auto"/>
                <w:sz w:val="24"/>
                <w:highlight w:val="none"/>
              </w:rPr>
            </w:pPr>
            <w:r>
              <w:rPr>
                <w:rFonts w:hint="eastAsia" w:ascii="宋体" w:hAnsi="宋体" w:cs="宋体"/>
                <w:color w:val="auto"/>
                <w:sz w:val="24"/>
                <w:highlight w:val="none"/>
              </w:rPr>
              <w:t>响应文件页码</w:t>
            </w:r>
          </w:p>
        </w:tc>
      </w:tr>
      <w:tr w14:paraId="6C5F8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982" w:type="dxa"/>
            <w:vAlign w:val="center"/>
          </w:tcPr>
          <w:p w14:paraId="78BBBA7C">
            <w:pPr>
              <w:jc w:val="center"/>
              <w:rPr>
                <w:rFonts w:ascii="宋体" w:hAnsi="宋体" w:cs="宋体"/>
                <w:color w:val="auto"/>
                <w:sz w:val="24"/>
                <w:highlight w:val="none"/>
              </w:rPr>
            </w:pPr>
            <w:r>
              <w:rPr>
                <w:rFonts w:hint="eastAsia" w:ascii="宋体" w:hAnsi="宋体" w:cs="宋体"/>
                <w:color w:val="auto"/>
                <w:sz w:val="24"/>
                <w:highlight w:val="none"/>
              </w:rPr>
              <w:t>1</w:t>
            </w:r>
          </w:p>
        </w:tc>
        <w:tc>
          <w:tcPr>
            <w:tcW w:w="2387" w:type="dxa"/>
          </w:tcPr>
          <w:p w14:paraId="1568A5F2">
            <w:pPr>
              <w:jc w:val="center"/>
              <w:rPr>
                <w:rFonts w:ascii="宋体" w:hAnsi="宋体" w:cs="宋体"/>
                <w:color w:val="auto"/>
                <w:sz w:val="24"/>
                <w:highlight w:val="none"/>
              </w:rPr>
            </w:pPr>
          </w:p>
        </w:tc>
        <w:tc>
          <w:tcPr>
            <w:tcW w:w="1462" w:type="dxa"/>
          </w:tcPr>
          <w:p w14:paraId="727C56FD">
            <w:pPr>
              <w:jc w:val="center"/>
              <w:rPr>
                <w:rFonts w:ascii="宋体" w:hAnsi="宋体" w:cs="宋体"/>
                <w:color w:val="auto"/>
                <w:sz w:val="24"/>
                <w:highlight w:val="none"/>
              </w:rPr>
            </w:pPr>
          </w:p>
        </w:tc>
        <w:tc>
          <w:tcPr>
            <w:tcW w:w="2415" w:type="dxa"/>
            <w:tcBorders>
              <w:right w:val="single" w:color="auto" w:sz="4" w:space="0"/>
            </w:tcBorders>
          </w:tcPr>
          <w:p w14:paraId="34E0033D">
            <w:pPr>
              <w:jc w:val="center"/>
              <w:rPr>
                <w:rFonts w:ascii="宋体" w:hAnsi="宋体" w:cs="宋体"/>
                <w:color w:val="auto"/>
                <w:sz w:val="24"/>
                <w:highlight w:val="none"/>
              </w:rPr>
            </w:pPr>
          </w:p>
        </w:tc>
        <w:tc>
          <w:tcPr>
            <w:tcW w:w="1746" w:type="dxa"/>
            <w:tcBorders>
              <w:left w:val="single" w:color="auto" w:sz="4" w:space="0"/>
            </w:tcBorders>
          </w:tcPr>
          <w:p w14:paraId="010C6CD8">
            <w:pPr>
              <w:jc w:val="center"/>
              <w:rPr>
                <w:rFonts w:ascii="宋体" w:hAnsi="宋体" w:cs="宋体"/>
                <w:color w:val="auto"/>
                <w:sz w:val="24"/>
                <w:highlight w:val="none"/>
              </w:rPr>
            </w:pPr>
          </w:p>
        </w:tc>
      </w:tr>
      <w:tr w14:paraId="2C10C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982" w:type="dxa"/>
            <w:vAlign w:val="center"/>
          </w:tcPr>
          <w:p w14:paraId="530665E3">
            <w:pPr>
              <w:jc w:val="center"/>
              <w:rPr>
                <w:rFonts w:ascii="宋体" w:hAnsi="宋体" w:cs="宋体"/>
                <w:color w:val="auto"/>
                <w:sz w:val="24"/>
                <w:highlight w:val="none"/>
              </w:rPr>
            </w:pPr>
            <w:r>
              <w:rPr>
                <w:rFonts w:hint="eastAsia" w:ascii="宋体" w:hAnsi="宋体" w:cs="宋体"/>
                <w:color w:val="auto"/>
                <w:sz w:val="24"/>
                <w:highlight w:val="none"/>
              </w:rPr>
              <w:t>2</w:t>
            </w:r>
          </w:p>
        </w:tc>
        <w:tc>
          <w:tcPr>
            <w:tcW w:w="2387" w:type="dxa"/>
          </w:tcPr>
          <w:p w14:paraId="7211C123">
            <w:pPr>
              <w:jc w:val="center"/>
              <w:rPr>
                <w:rFonts w:ascii="宋体" w:hAnsi="宋体" w:cs="宋体"/>
                <w:color w:val="auto"/>
                <w:sz w:val="24"/>
                <w:highlight w:val="none"/>
              </w:rPr>
            </w:pPr>
          </w:p>
        </w:tc>
        <w:tc>
          <w:tcPr>
            <w:tcW w:w="1462" w:type="dxa"/>
          </w:tcPr>
          <w:p w14:paraId="5B96BEB0">
            <w:pPr>
              <w:jc w:val="center"/>
              <w:rPr>
                <w:rFonts w:ascii="宋体" w:hAnsi="宋体" w:cs="宋体"/>
                <w:color w:val="auto"/>
                <w:sz w:val="24"/>
                <w:highlight w:val="none"/>
              </w:rPr>
            </w:pPr>
          </w:p>
        </w:tc>
        <w:tc>
          <w:tcPr>
            <w:tcW w:w="2415" w:type="dxa"/>
            <w:tcBorders>
              <w:right w:val="single" w:color="auto" w:sz="4" w:space="0"/>
            </w:tcBorders>
          </w:tcPr>
          <w:p w14:paraId="4A689FF2">
            <w:pPr>
              <w:jc w:val="center"/>
              <w:rPr>
                <w:rFonts w:ascii="宋体" w:hAnsi="宋体" w:cs="宋体"/>
                <w:color w:val="auto"/>
                <w:sz w:val="24"/>
                <w:highlight w:val="none"/>
              </w:rPr>
            </w:pPr>
          </w:p>
        </w:tc>
        <w:tc>
          <w:tcPr>
            <w:tcW w:w="1746" w:type="dxa"/>
            <w:tcBorders>
              <w:left w:val="single" w:color="auto" w:sz="4" w:space="0"/>
            </w:tcBorders>
          </w:tcPr>
          <w:p w14:paraId="4F184700">
            <w:pPr>
              <w:jc w:val="center"/>
              <w:rPr>
                <w:rFonts w:ascii="宋体" w:hAnsi="宋体" w:cs="宋体"/>
                <w:color w:val="auto"/>
                <w:sz w:val="24"/>
                <w:highlight w:val="none"/>
              </w:rPr>
            </w:pPr>
          </w:p>
        </w:tc>
      </w:tr>
      <w:tr w14:paraId="3A17F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982" w:type="dxa"/>
            <w:vAlign w:val="center"/>
          </w:tcPr>
          <w:p w14:paraId="60FAD1F7">
            <w:pPr>
              <w:jc w:val="center"/>
              <w:rPr>
                <w:rFonts w:ascii="宋体" w:hAnsi="宋体" w:cs="宋体"/>
                <w:color w:val="auto"/>
                <w:sz w:val="24"/>
                <w:highlight w:val="none"/>
              </w:rPr>
            </w:pPr>
            <w:r>
              <w:rPr>
                <w:rFonts w:hint="eastAsia" w:ascii="宋体" w:hAnsi="宋体" w:cs="宋体"/>
                <w:color w:val="auto"/>
                <w:sz w:val="24"/>
                <w:highlight w:val="none"/>
              </w:rPr>
              <w:t>3</w:t>
            </w:r>
          </w:p>
        </w:tc>
        <w:tc>
          <w:tcPr>
            <w:tcW w:w="2387" w:type="dxa"/>
          </w:tcPr>
          <w:p w14:paraId="44587007">
            <w:pPr>
              <w:jc w:val="center"/>
              <w:rPr>
                <w:rFonts w:ascii="宋体" w:hAnsi="宋体" w:cs="宋体"/>
                <w:color w:val="auto"/>
                <w:sz w:val="24"/>
                <w:highlight w:val="none"/>
              </w:rPr>
            </w:pPr>
          </w:p>
        </w:tc>
        <w:tc>
          <w:tcPr>
            <w:tcW w:w="1462" w:type="dxa"/>
          </w:tcPr>
          <w:p w14:paraId="33AA95F2">
            <w:pPr>
              <w:jc w:val="center"/>
              <w:rPr>
                <w:rFonts w:ascii="宋体" w:hAnsi="宋体" w:cs="宋体"/>
                <w:color w:val="auto"/>
                <w:sz w:val="24"/>
                <w:highlight w:val="none"/>
              </w:rPr>
            </w:pPr>
          </w:p>
        </w:tc>
        <w:tc>
          <w:tcPr>
            <w:tcW w:w="2415" w:type="dxa"/>
            <w:tcBorders>
              <w:right w:val="single" w:color="auto" w:sz="4" w:space="0"/>
            </w:tcBorders>
          </w:tcPr>
          <w:p w14:paraId="71515B8E">
            <w:pPr>
              <w:jc w:val="center"/>
              <w:rPr>
                <w:rFonts w:ascii="宋体" w:hAnsi="宋体" w:cs="宋体"/>
                <w:color w:val="auto"/>
                <w:sz w:val="24"/>
                <w:highlight w:val="none"/>
              </w:rPr>
            </w:pPr>
          </w:p>
        </w:tc>
        <w:tc>
          <w:tcPr>
            <w:tcW w:w="1746" w:type="dxa"/>
            <w:tcBorders>
              <w:left w:val="single" w:color="auto" w:sz="4" w:space="0"/>
            </w:tcBorders>
          </w:tcPr>
          <w:p w14:paraId="399AB7FD">
            <w:pPr>
              <w:jc w:val="center"/>
              <w:rPr>
                <w:rFonts w:ascii="宋体" w:hAnsi="宋体" w:cs="宋体"/>
                <w:color w:val="auto"/>
                <w:sz w:val="24"/>
                <w:highlight w:val="none"/>
              </w:rPr>
            </w:pPr>
          </w:p>
        </w:tc>
      </w:tr>
      <w:tr w14:paraId="1E0F9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982" w:type="dxa"/>
            <w:vAlign w:val="center"/>
          </w:tcPr>
          <w:p w14:paraId="6764466E">
            <w:pPr>
              <w:jc w:val="center"/>
              <w:rPr>
                <w:rFonts w:ascii="宋体" w:hAnsi="宋体" w:cs="宋体"/>
                <w:color w:val="auto"/>
                <w:sz w:val="24"/>
                <w:highlight w:val="none"/>
              </w:rPr>
            </w:pPr>
            <w:r>
              <w:rPr>
                <w:rFonts w:hint="eastAsia" w:ascii="宋体" w:hAnsi="宋体" w:cs="宋体"/>
                <w:color w:val="auto"/>
                <w:sz w:val="24"/>
                <w:highlight w:val="none"/>
              </w:rPr>
              <w:t>4</w:t>
            </w:r>
          </w:p>
        </w:tc>
        <w:tc>
          <w:tcPr>
            <w:tcW w:w="2387" w:type="dxa"/>
          </w:tcPr>
          <w:p w14:paraId="74BB5D39">
            <w:pPr>
              <w:jc w:val="center"/>
              <w:rPr>
                <w:rFonts w:ascii="宋体" w:hAnsi="宋体" w:cs="宋体"/>
                <w:color w:val="auto"/>
                <w:sz w:val="24"/>
                <w:highlight w:val="none"/>
              </w:rPr>
            </w:pPr>
          </w:p>
        </w:tc>
        <w:tc>
          <w:tcPr>
            <w:tcW w:w="1462" w:type="dxa"/>
          </w:tcPr>
          <w:p w14:paraId="5B45C1A9">
            <w:pPr>
              <w:jc w:val="center"/>
              <w:rPr>
                <w:rFonts w:ascii="宋体" w:hAnsi="宋体" w:cs="宋体"/>
                <w:color w:val="auto"/>
                <w:sz w:val="24"/>
                <w:highlight w:val="none"/>
              </w:rPr>
            </w:pPr>
          </w:p>
        </w:tc>
        <w:tc>
          <w:tcPr>
            <w:tcW w:w="2415" w:type="dxa"/>
            <w:tcBorders>
              <w:right w:val="single" w:color="auto" w:sz="4" w:space="0"/>
            </w:tcBorders>
          </w:tcPr>
          <w:p w14:paraId="4AD09F9B">
            <w:pPr>
              <w:jc w:val="center"/>
              <w:rPr>
                <w:rFonts w:ascii="宋体" w:hAnsi="宋体" w:cs="宋体"/>
                <w:color w:val="auto"/>
                <w:sz w:val="24"/>
                <w:highlight w:val="none"/>
              </w:rPr>
            </w:pPr>
          </w:p>
        </w:tc>
        <w:tc>
          <w:tcPr>
            <w:tcW w:w="1746" w:type="dxa"/>
            <w:tcBorders>
              <w:left w:val="single" w:color="auto" w:sz="4" w:space="0"/>
            </w:tcBorders>
          </w:tcPr>
          <w:p w14:paraId="424E29E8">
            <w:pPr>
              <w:jc w:val="center"/>
              <w:rPr>
                <w:rFonts w:ascii="宋体" w:hAnsi="宋体" w:cs="宋体"/>
                <w:color w:val="auto"/>
                <w:sz w:val="24"/>
                <w:highlight w:val="none"/>
              </w:rPr>
            </w:pPr>
          </w:p>
        </w:tc>
      </w:tr>
      <w:tr w14:paraId="63FB3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982" w:type="dxa"/>
            <w:vAlign w:val="center"/>
          </w:tcPr>
          <w:p w14:paraId="1C6F5BC5">
            <w:pPr>
              <w:jc w:val="center"/>
              <w:rPr>
                <w:rFonts w:ascii="宋体" w:hAnsi="宋体" w:cs="宋体"/>
                <w:color w:val="auto"/>
                <w:sz w:val="24"/>
                <w:highlight w:val="none"/>
              </w:rPr>
            </w:pPr>
            <w:r>
              <w:rPr>
                <w:rFonts w:hint="eastAsia" w:ascii="宋体" w:hAnsi="宋体" w:cs="宋体"/>
                <w:color w:val="auto"/>
                <w:sz w:val="24"/>
                <w:highlight w:val="none"/>
              </w:rPr>
              <w:t>5</w:t>
            </w:r>
          </w:p>
        </w:tc>
        <w:tc>
          <w:tcPr>
            <w:tcW w:w="2387" w:type="dxa"/>
          </w:tcPr>
          <w:p w14:paraId="702921AD">
            <w:pPr>
              <w:jc w:val="center"/>
              <w:rPr>
                <w:rFonts w:ascii="宋体" w:hAnsi="宋体" w:cs="宋体"/>
                <w:color w:val="auto"/>
                <w:sz w:val="24"/>
                <w:highlight w:val="none"/>
              </w:rPr>
            </w:pPr>
          </w:p>
        </w:tc>
        <w:tc>
          <w:tcPr>
            <w:tcW w:w="1462" w:type="dxa"/>
          </w:tcPr>
          <w:p w14:paraId="25B0D662">
            <w:pPr>
              <w:jc w:val="center"/>
              <w:rPr>
                <w:rFonts w:ascii="宋体" w:hAnsi="宋体" w:cs="宋体"/>
                <w:color w:val="auto"/>
                <w:sz w:val="24"/>
                <w:highlight w:val="none"/>
              </w:rPr>
            </w:pPr>
          </w:p>
        </w:tc>
        <w:tc>
          <w:tcPr>
            <w:tcW w:w="2415" w:type="dxa"/>
            <w:tcBorders>
              <w:right w:val="single" w:color="auto" w:sz="4" w:space="0"/>
            </w:tcBorders>
          </w:tcPr>
          <w:p w14:paraId="35C6C931">
            <w:pPr>
              <w:jc w:val="center"/>
              <w:rPr>
                <w:rFonts w:ascii="宋体" w:hAnsi="宋体" w:cs="宋体"/>
                <w:color w:val="auto"/>
                <w:sz w:val="24"/>
                <w:highlight w:val="none"/>
              </w:rPr>
            </w:pPr>
          </w:p>
        </w:tc>
        <w:tc>
          <w:tcPr>
            <w:tcW w:w="1746" w:type="dxa"/>
            <w:tcBorders>
              <w:left w:val="single" w:color="auto" w:sz="4" w:space="0"/>
            </w:tcBorders>
          </w:tcPr>
          <w:p w14:paraId="23A41809">
            <w:pPr>
              <w:jc w:val="center"/>
              <w:rPr>
                <w:rFonts w:ascii="宋体" w:hAnsi="宋体" w:cs="宋体"/>
                <w:color w:val="auto"/>
                <w:sz w:val="24"/>
                <w:highlight w:val="none"/>
              </w:rPr>
            </w:pPr>
          </w:p>
        </w:tc>
      </w:tr>
      <w:tr w14:paraId="0D65E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982" w:type="dxa"/>
            <w:vAlign w:val="center"/>
          </w:tcPr>
          <w:p w14:paraId="1AECB39E">
            <w:pPr>
              <w:jc w:val="center"/>
              <w:rPr>
                <w:rFonts w:ascii="宋体" w:hAnsi="宋体" w:cs="宋体"/>
                <w:color w:val="auto"/>
                <w:sz w:val="24"/>
                <w:highlight w:val="none"/>
              </w:rPr>
            </w:pPr>
            <w:r>
              <w:rPr>
                <w:rFonts w:hint="eastAsia" w:ascii="宋体" w:hAnsi="宋体" w:cs="宋体"/>
                <w:color w:val="auto"/>
                <w:sz w:val="24"/>
                <w:highlight w:val="none"/>
              </w:rPr>
              <w:t>6</w:t>
            </w:r>
          </w:p>
        </w:tc>
        <w:tc>
          <w:tcPr>
            <w:tcW w:w="2387" w:type="dxa"/>
          </w:tcPr>
          <w:p w14:paraId="164C1D3E">
            <w:pPr>
              <w:jc w:val="center"/>
              <w:rPr>
                <w:rFonts w:ascii="宋体" w:hAnsi="宋体" w:cs="宋体"/>
                <w:color w:val="auto"/>
                <w:sz w:val="24"/>
                <w:highlight w:val="none"/>
              </w:rPr>
            </w:pPr>
          </w:p>
        </w:tc>
        <w:tc>
          <w:tcPr>
            <w:tcW w:w="1462" w:type="dxa"/>
          </w:tcPr>
          <w:p w14:paraId="7AE5F76B">
            <w:pPr>
              <w:jc w:val="center"/>
              <w:rPr>
                <w:rFonts w:ascii="宋体" w:hAnsi="宋体" w:cs="宋体"/>
                <w:color w:val="auto"/>
                <w:sz w:val="24"/>
                <w:highlight w:val="none"/>
              </w:rPr>
            </w:pPr>
          </w:p>
        </w:tc>
        <w:tc>
          <w:tcPr>
            <w:tcW w:w="2415" w:type="dxa"/>
            <w:tcBorders>
              <w:right w:val="single" w:color="auto" w:sz="4" w:space="0"/>
            </w:tcBorders>
          </w:tcPr>
          <w:p w14:paraId="0689E051">
            <w:pPr>
              <w:jc w:val="center"/>
              <w:rPr>
                <w:rFonts w:ascii="宋体" w:hAnsi="宋体" w:cs="宋体"/>
                <w:color w:val="auto"/>
                <w:sz w:val="24"/>
                <w:highlight w:val="none"/>
              </w:rPr>
            </w:pPr>
          </w:p>
        </w:tc>
        <w:tc>
          <w:tcPr>
            <w:tcW w:w="1746" w:type="dxa"/>
            <w:tcBorders>
              <w:left w:val="single" w:color="auto" w:sz="4" w:space="0"/>
            </w:tcBorders>
          </w:tcPr>
          <w:p w14:paraId="33E66F78">
            <w:pPr>
              <w:jc w:val="center"/>
              <w:rPr>
                <w:rFonts w:ascii="宋体" w:hAnsi="宋体" w:cs="宋体"/>
                <w:color w:val="auto"/>
                <w:sz w:val="24"/>
                <w:highlight w:val="none"/>
              </w:rPr>
            </w:pPr>
          </w:p>
        </w:tc>
      </w:tr>
      <w:tr w14:paraId="1A984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982" w:type="dxa"/>
            <w:vAlign w:val="center"/>
          </w:tcPr>
          <w:p w14:paraId="7F29B657">
            <w:pPr>
              <w:jc w:val="center"/>
              <w:rPr>
                <w:rFonts w:ascii="宋体" w:hAnsi="宋体" w:cs="宋体"/>
                <w:color w:val="auto"/>
                <w:sz w:val="24"/>
                <w:highlight w:val="none"/>
              </w:rPr>
            </w:pPr>
            <w:r>
              <w:rPr>
                <w:rFonts w:hint="eastAsia" w:ascii="宋体" w:hAnsi="宋体" w:cs="宋体"/>
                <w:color w:val="auto"/>
                <w:sz w:val="24"/>
                <w:highlight w:val="none"/>
              </w:rPr>
              <w:t>7</w:t>
            </w:r>
          </w:p>
        </w:tc>
        <w:tc>
          <w:tcPr>
            <w:tcW w:w="2387" w:type="dxa"/>
          </w:tcPr>
          <w:p w14:paraId="3559E396">
            <w:pPr>
              <w:jc w:val="center"/>
              <w:rPr>
                <w:rFonts w:ascii="宋体" w:hAnsi="宋体" w:cs="宋体"/>
                <w:color w:val="auto"/>
                <w:sz w:val="24"/>
                <w:highlight w:val="none"/>
              </w:rPr>
            </w:pPr>
          </w:p>
        </w:tc>
        <w:tc>
          <w:tcPr>
            <w:tcW w:w="1462" w:type="dxa"/>
          </w:tcPr>
          <w:p w14:paraId="2776BFB4">
            <w:pPr>
              <w:jc w:val="center"/>
              <w:rPr>
                <w:rFonts w:ascii="宋体" w:hAnsi="宋体" w:cs="宋体"/>
                <w:color w:val="auto"/>
                <w:sz w:val="24"/>
                <w:highlight w:val="none"/>
              </w:rPr>
            </w:pPr>
          </w:p>
        </w:tc>
        <w:tc>
          <w:tcPr>
            <w:tcW w:w="2415" w:type="dxa"/>
            <w:tcBorders>
              <w:right w:val="single" w:color="auto" w:sz="4" w:space="0"/>
            </w:tcBorders>
          </w:tcPr>
          <w:p w14:paraId="58A0508A">
            <w:pPr>
              <w:jc w:val="center"/>
              <w:rPr>
                <w:rFonts w:ascii="宋体" w:hAnsi="宋体" w:cs="宋体"/>
                <w:color w:val="auto"/>
                <w:sz w:val="24"/>
                <w:highlight w:val="none"/>
              </w:rPr>
            </w:pPr>
          </w:p>
        </w:tc>
        <w:tc>
          <w:tcPr>
            <w:tcW w:w="1746" w:type="dxa"/>
            <w:tcBorders>
              <w:left w:val="single" w:color="auto" w:sz="4" w:space="0"/>
            </w:tcBorders>
          </w:tcPr>
          <w:p w14:paraId="49330415">
            <w:pPr>
              <w:jc w:val="center"/>
              <w:rPr>
                <w:rFonts w:ascii="宋体" w:hAnsi="宋体" w:cs="宋体"/>
                <w:color w:val="auto"/>
                <w:sz w:val="24"/>
                <w:highlight w:val="none"/>
              </w:rPr>
            </w:pPr>
          </w:p>
        </w:tc>
      </w:tr>
      <w:tr w14:paraId="65E8D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982" w:type="dxa"/>
            <w:vAlign w:val="center"/>
          </w:tcPr>
          <w:p w14:paraId="09C875FD">
            <w:pPr>
              <w:jc w:val="center"/>
              <w:rPr>
                <w:rFonts w:ascii="宋体" w:hAnsi="宋体" w:cs="宋体"/>
                <w:color w:val="auto"/>
                <w:sz w:val="24"/>
                <w:highlight w:val="none"/>
              </w:rPr>
            </w:pPr>
            <w:r>
              <w:rPr>
                <w:rFonts w:hint="eastAsia" w:ascii="宋体" w:hAnsi="宋体" w:cs="宋体"/>
                <w:color w:val="auto"/>
                <w:sz w:val="24"/>
                <w:highlight w:val="none"/>
              </w:rPr>
              <w:t>8</w:t>
            </w:r>
          </w:p>
        </w:tc>
        <w:tc>
          <w:tcPr>
            <w:tcW w:w="2387" w:type="dxa"/>
          </w:tcPr>
          <w:p w14:paraId="57126391">
            <w:pPr>
              <w:jc w:val="center"/>
              <w:rPr>
                <w:rFonts w:ascii="宋体" w:hAnsi="宋体" w:cs="宋体"/>
                <w:color w:val="auto"/>
                <w:sz w:val="24"/>
                <w:highlight w:val="none"/>
              </w:rPr>
            </w:pPr>
          </w:p>
        </w:tc>
        <w:tc>
          <w:tcPr>
            <w:tcW w:w="1462" w:type="dxa"/>
          </w:tcPr>
          <w:p w14:paraId="25E38E5E">
            <w:pPr>
              <w:jc w:val="center"/>
              <w:rPr>
                <w:rFonts w:ascii="宋体" w:hAnsi="宋体" w:cs="宋体"/>
                <w:color w:val="auto"/>
                <w:sz w:val="24"/>
                <w:highlight w:val="none"/>
              </w:rPr>
            </w:pPr>
          </w:p>
        </w:tc>
        <w:tc>
          <w:tcPr>
            <w:tcW w:w="2415" w:type="dxa"/>
            <w:tcBorders>
              <w:right w:val="single" w:color="auto" w:sz="4" w:space="0"/>
            </w:tcBorders>
          </w:tcPr>
          <w:p w14:paraId="2FFCAD59">
            <w:pPr>
              <w:jc w:val="center"/>
              <w:rPr>
                <w:rFonts w:ascii="宋体" w:hAnsi="宋体" w:cs="宋体"/>
                <w:color w:val="auto"/>
                <w:sz w:val="24"/>
                <w:highlight w:val="none"/>
              </w:rPr>
            </w:pPr>
          </w:p>
        </w:tc>
        <w:tc>
          <w:tcPr>
            <w:tcW w:w="1746" w:type="dxa"/>
            <w:tcBorders>
              <w:left w:val="single" w:color="auto" w:sz="4" w:space="0"/>
            </w:tcBorders>
          </w:tcPr>
          <w:p w14:paraId="7368822E">
            <w:pPr>
              <w:jc w:val="center"/>
              <w:rPr>
                <w:rFonts w:ascii="宋体" w:hAnsi="宋体" w:cs="宋体"/>
                <w:color w:val="auto"/>
                <w:sz w:val="24"/>
                <w:highlight w:val="none"/>
              </w:rPr>
            </w:pPr>
          </w:p>
        </w:tc>
      </w:tr>
      <w:tr w14:paraId="7294C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982" w:type="dxa"/>
            <w:vAlign w:val="center"/>
          </w:tcPr>
          <w:p w14:paraId="62273685">
            <w:pPr>
              <w:jc w:val="center"/>
              <w:rPr>
                <w:rFonts w:ascii="宋体" w:hAnsi="宋体" w:cs="宋体"/>
                <w:color w:val="auto"/>
                <w:sz w:val="24"/>
                <w:highlight w:val="none"/>
              </w:rPr>
            </w:pPr>
            <w:r>
              <w:rPr>
                <w:rFonts w:hint="eastAsia" w:ascii="宋体" w:hAnsi="宋体" w:cs="宋体"/>
                <w:color w:val="auto"/>
                <w:sz w:val="24"/>
                <w:highlight w:val="none"/>
              </w:rPr>
              <w:t>合计</w:t>
            </w:r>
          </w:p>
        </w:tc>
        <w:tc>
          <w:tcPr>
            <w:tcW w:w="2387" w:type="dxa"/>
          </w:tcPr>
          <w:p w14:paraId="7ABD3AC5">
            <w:pPr>
              <w:jc w:val="center"/>
              <w:rPr>
                <w:rFonts w:ascii="宋体" w:hAnsi="宋体" w:cs="宋体"/>
                <w:color w:val="auto"/>
                <w:sz w:val="24"/>
                <w:highlight w:val="none"/>
              </w:rPr>
            </w:pPr>
          </w:p>
        </w:tc>
        <w:tc>
          <w:tcPr>
            <w:tcW w:w="1462" w:type="dxa"/>
          </w:tcPr>
          <w:p w14:paraId="63F917CA">
            <w:pPr>
              <w:jc w:val="center"/>
              <w:rPr>
                <w:rFonts w:ascii="宋体" w:hAnsi="宋体" w:cs="宋体"/>
                <w:color w:val="auto"/>
                <w:sz w:val="24"/>
                <w:highlight w:val="none"/>
              </w:rPr>
            </w:pPr>
          </w:p>
        </w:tc>
        <w:tc>
          <w:tcPr>
            <w:tcW w:w="2415" w:type="dxa"/>
            <w:tcBorders>
              <w:right w:val="single" w:color="auto" w:sz="4" w:space="0"/>
            </w:tcBorders>
          </w:tcPr>
          <w:p w14:paraId="24BD4F75">
            <w:pPr>
              <w:jc w:val="center"/>
              <w:rPr>
                <w:rFonts w:ascii="宋体" w:hAnsi="宋体" w:cs="宋体"/>
                <w:color w:val="auto"/>
                <w:sz w:val="24"/>
                <w:highlight w:val="none"/>
              </w:rPr>
            </w:pPr>
          </w:p>
        </w:tc>
        <w:tc>
          <w:tcPr>
            <w:tcW w:w="1746" w:type="dxa"/>
            <w:tcBorders>
              <w:left w:val="single" w:color="auto" w:sz="4" w:space="0"/>
            </w:tcBorders>
          </w:tcPr>
          <w:p w14:paraId="70BC44ED">
            <w:pPr>
              <w:jc w:val="center"/>
              <w:rPr>
                <w:rFonts w:ascii="宋体" w:hAnsi="宋体" w:cs="宋体"/>
                <w:color w:val="auto"/>
                <w:sz w:val="24"/>
                <w:highlight w:val="none"/>
              </w:rPr>
            </w:pPr>
          </w:p>
        </w:tc>
      </w:tr>
    </w:tbl>
    <w:p w14:paraId="10A4EE42">
      <w:pPr>
        <w:spacing w:line="360" w:lineRule="auto"/>
        <w:ind w:firstLine="480" w:firstLineChars="200"/>
        <w:rPr>
          <w:rFonts w:ascii="宋体" w:hAnsi="宋体" w:cs="宋体"/>
          <w:color w:val="auto"/>
          <w:sz w:val="24"/>
          <w:highlight w:val="none"/>
        </w:rPr>
      </w:pPr>
    </w:p>
    <w:p w14:paraId="09129D1A">
      <w:pPr>
        <w:spacing w:line="360" w:lineRule="auto"/>
        <w:ind w:left="3600" w:leftChars="1800" w:firstLine="480" w:firstLineChars="200"/>
        <w:rPr>
          <w:rFonts w:ascii="宋体" w:hAnsi="宋体" w:cs="宋体"/>
          <w:color w:val="auto"/>
          <w:sz w:val="24"/>
          <w:highlight w:val="none"/>
        </w:rPr>
      </w:pPr>
    </w:p>
    <w:p w14:paraId="25DB4C71">
      <w:pPr>
        <w:spacing w:line="360" w:lineRule="auto"/>
        <w:ind w:left="3600" w:leftChars="1800" w:firstLine="480" w:firstLineChars="200"/>
        <w:rPr>
          <w:rFonts w:ascii="宋体" w:hAnsi="宋体" w:cs="宋体"/>
          <w:color w:val="auto"/>
          <w:sz w:val="24"/>
          <w:highlight w:val="none"/>
        </w:rPr>
      </w:pPr>
      <w:r>
        <w:rPr>
          <w:rFonts w:hint="eastAsia" w:ascii="宋体" w:hAnsi="宋体" w:cs="宋体"/>
          <w:color w:val="auto"/>
          <w:sz w:val="24"/>
          <w:highlight w:val="none"/>
        </w:rPr>
        <w:t xml:space="preserve">法定代表人签名（或签名章）：                       </w:t>
      </w:r>
    </w:p>
    <w:p w14:paraId="32E51F4F">
      <w:pPr>
        <w:spacing w:line="360" w:lineRule="auto"/>
        <w:ind w:left="3600" w:leftChars="1800" w:firstLine="480" w:firstLineChars="200"/>
        <w:rPr>
          <w:rFonts w:ascii="宋体" w:hAnsi="宋体" w:cs="宋体"/>
          <w:color w:val="auto"/>
          <w:sz w:val="24"/>
          <w:highlight w:val="none"/>
        </w:rPr>
      </w:pPr>
      <w:r>
        <w:rPr>
          <w:rFonts w:hint="eastAsia" w:ascii="宋体" w:hAnsi="宋体" w:cs="宋体"/>
          <w:color w:val="auto"/>
          <w:sz w:val="24"/>
          <w:highlight w:val="none"/>
        </w:rPr>
        <w:t>日 期：</w:t>
      </w:r>
    </w:p>
    <w:p w14:paraId="3A36936B">
      <w:pPr>
        <w:spacing w:line="360" w:lineRule="auto"/>
        <w:ind w:left="3600" w:leftChars="1800" w:firstLine="480" w:firstLineChars="200"/>
        <w:rPr>
          <w:rFonts w:ascii="宋体" w:hAnsi="宋体" w:cs="宋体"/>
          <w:color w:val="auto"/>
          <w:sz w:val="24"/>
          <w:highlight w:val="none"/>
        </w:rPr>
      </w:pPr>
      <w:r>
        <w:rPr>
          <w:rFonts w:hint="eastAsia" w:ascii="宋体" w:hAnsi="宋体" w:cs="宋体"/>
          <w:color w:val="auto"/>
          <w:sz w:val="24"/>
          <w:highlight w:val="none"/>
        </w:rPr>
        <w:t>供应商全称（公章）：</w:t>
      </w:r>
    </w:p>
    <w:p w14:paraId="1B28DA39">
      <w:pPr>
        <w:pStyle w:val="13"/>
        <w:ind w:firstLine="560"/>
        <w:rPr>
          <w:rFonts w:cs="宋体"/>
          <w:color w:val="auto"/>
          <w:sz w:val="28"/>
          <w:szCs w:val="28"/>
          <w:highlight w:val="none"/>
        </w:rPr>
      </w:pPr>
    </w:p>
    <w:p w14:paraId="16FBD40D">
      <w:pPr>
        <w:snapToGrid w:val="0"/>
        <w:spacing w:before="50" w:after="120" w:afterLines="50"/>
        <w:jc w:val="left"/>
        <w:rPr>
          <w:rFonts w:ascii="宋体" w:hAnsi="宋体" w:cs="宋体"/>
          <w:b/>
          <w:bCs/>
          <w:color w:val="auto"/>
          <w:sz w:val="24"/>
          <w:highlight w:val="none"/>
          <w:lang w:val="zh-CN"/>
        </w:rPr>
      </w:pPr>
      <w:r>
        <w:rPr>
          <w:rFonts w:hint="eastAsia" w:ascii="宋体" w:hAnsi="宋体" w:cs="宋体"/>
          <w:b/>
          <w:bCs/>
          <w:color w:val="auto"/>
          <w:sz w:val="30"/>
          <w:szCs w:val="30"/>
          <w:highlight w:val="none"/>
        </w:rPr>
        <w:br w:type="page"/>
      </w:r>
      <w:r>
        <w:rPr>
          <w:rFonts w:hint="eastAsia" w:ascii="宋体" w:hAnsi="宋体" w:cs="宋体"/>
          <w:b/>
          <w:bCs/>
          <w:color w:val="auto"/>
          <w:sz w:val="24"/>
          <w:highlight w:val="none"/>
          <w:lang w:val="zh-CN"/>
        </w:rPr>
        <w:t>附件</w:t>
      </w:r>
      <w:r>
        <w:rPr>
          <w:rFonts w:hint="eastAsia" w:ascii="宋体" w:hAnsi="宋体" w:cs="宋体"/>
          <w:b/>
          <w:bCs/>
          <w:color w:val="auto"/>
          <w:sz w:val="24"/>
          <w:highlight w:val="none"/>
          <w:lang w:val="en-US" w:eastAsia="zh-CN"/>
        </w:rPr>
        <w:t>九</w:t>
      </w:r>
      <w:r>
        <w:rPr>
          <w:rFonts w:hint="eastAsia" w:ascii="宋体" w:hAnsi="宋体" w:cs="宋体"/>
          <w:b/>
          <w:bCs/>
          <w:color w:val="auto"/>
          <w:sz w:val="24"/>
          <w:highlight w:val="none"/>
          <w:lang w:val="zh-CN"/>
        </w:rPr>
        <w:t>：</w:t>
      </w:r>
    </w:p>
    <w:p w14:paraId="688CD74F">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lang w:eastAsia="zh-CN"/>
        </w:rPr>
        <w:t>磋商</w:t>
      </w:r>
      <w:r>
        <w:rPr>
          <w:rFonts w:hint="eastAsia" w:ascii="宋体" w:hAnsi="宋体" w:cs="宋体"/>
          <w:b/>
          <w:bCs/>
          <w:color w:val="auto"/>
          <w:sz w:val="32"/>
          <w:szCs w:val="32"/>
          <w:highlight w:val="none"/>
        </w:rPr>
        <w:t>项目明细清单</w:t>
      </w:r>
    </w:p>
    <w:p w14:paraId="7BA3E050">
      <w:pPr>
        <w:spacing w:line="360" w:lineRule="auto"/>
        <w:ind w:firstLine="480" w:firstLineChars="200"/>
        <w:rPr>
          <w:rFonts w:ascii="宋体" w:hAnsi="宋体" w:cs="宋体"/>
          <w:color w:val="auto"/>
          <w:sz w:val="24"/>
          <w:highlight w:val="none"/>
        </w:rPr>
      </w:pPr>
    </w:p>
    <w:p w14:paraId="77DE4C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项目名称：</w:t>
      </w:r>
    </w:p>
    <w:p w14:paraId="2BBF86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采购编号：</w:t>
      </w:r>
    </w:p>
    <w:tbl>
      <w:tblPr>
        <w:tblStyle w:val="28"/>
        <w:tblW w:w="90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2829"/>
        <w:gridCol w:w="2829"/>
        <w:gridCol w:w="2830"/>
      </w:tblGrid>
      <w:tr w14:paraId="21A8E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799CA331">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序号</w:t>
            </w:r>
          </w:p>
        </w:tc>
        <w:tc>
          <w:tcPr>
            <w:tcW w:w="2829" w:type="dxa"/>
            <w:tcBorders>
              <w:top w:val="single" w:color="auto" w:sz="4" w:space="0"/>
              <w:left w:val="single" w:color="auto" w:sz="4" w:space="0"/>
              <w:bottom w:val="single" w:color="auto" w:sz="4" w:space="0"/>
              <w:right w:val="single" w:color="auto" w:sz="4" w:space="0"/>
            </w:tcBorders>
            <w:vAlign w:val="center"/>
          </w:tcPr>
          <w:p w14:paraId="5C9C3D1C">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服务内容</w:t>
            </w:r>
          </w:p>
        </w:tc>
        <w:tc>
          <w:tcPr>
            <w:tcW w:w="2829" w:type="dxa"/>
            <w:tcBorders>
              <w:top w:val="single" w:color="auto" w:sz="4" w:space="0"/>
              <w:left w:val="single" w:color="auto" w:sz="4" w:space="0"/>
              <w:bottom w:val="single" w:color="auto" w:sz="4" w:space="0"/>
              <w:right w:val="single" w:color="auto" w:sz="4" w:space="0"/>
            </w:tcBorders>
            <w:vAlign w:val="center"/>
          </w:tcPr>
          <w:p w14:paraId="33580AFB">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服务人员数量</w:t>
            </w:r>
          </w:p>
        </w:tc>
        <w:tc>
          <w:tcPr>
            <w:tcW w:w="2830" w:type="dxa"/>
            <w:tcBorders>
              <w:top w:val="single" w:color="auto" w:sz="4" w:space="0"/>
              <w:left w:val="single" w:color="auto" w:sz="4" w:space="0"/>
              <w:bottom w:val="single" w:color="auto" w:sz="4" w:space="0"/>
              <w:right w:val="single" w:color="auto" w:sz="4" w:space="0"/>
            </w:tcBorders>
            <w:vAlign w:val="center"/>
          </w:tcPr>
          <w:p w14:paraId="15B4B4B0">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工作量</w:t>
            </w:r>
          </w:p>
        </w:tc>
      </w:tr>
      <w:tr w14:paraId="21DCA3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6B6CEB4C">
            <w:pPr>
              <w:snapToGrid w:val="0"/>
              <w:spacing w:before="50" w:after="50"/>
              <w:jc w:val="center"/>
              <w:rPr>
                <w:rFonts w:ascii="宋体" w:hAnsi="宋体" w:cs="宋体"/>
                <w:color w:val="auto"/>
                <w:sz w:val="24"/>
                <w:highlight w:val="none"/>
              </w:rPr>
            </w:pPr>
          </w:p>
        </w:tc>
        <w:tc>
          <w:tcPr>
            <w:tcW w:w="2829" w:type="dxa"/>
            <w:tcBorders>
              <w:top w:val="single" w:color="auto" w:sz="4" w:space="0"/>
              <w:left w:val="single" w:color="auto" w:sz="4" w:space="0"/>
              <w:bottom w:val="single" w:color="auto" w:sz="4" w:space="0"/>
              <w:right w:val="single" w:color="auto" w:sz="4" w:space="0"/>
            </w:tcBorders>
            <w:vAlign w:val="center"/>
          </w:tcPr>
          <w:p w14:paraId="5299D907">
            <w:pPr>
              <w:snapToGrid w:val="0"/>
              <w:spacing w:before="50" w:after="50"/>
              <w:jc w:val="center"/>
              <w:rPr>
                <w:rFonts w:ascii="宋体" w:hAnsi="宋体" w:cs="宋体"/>
                <w:color w:val="auto"/>
                <w:sz w:val="24"/>
                <w:highlight w:val="none"/>
              </w:rPr>
            </w:pPr>
          </w:p>
        </w:tc>
        <w:tc>
          <w:tcPr>
            <w:tcW w:w="2829" w:type="dxa"/>
            <w:tcBorders>
              <w:top w:val="single" w:color="auto" w:sz="4" w:space="0"/>
              <w:left w:val="single" w:color="auto" w:sz="4" w:space="0"/>
              <w:bottom w:val="single" w:color="auto" w:sz="4" w:space="0"/>
              <w:right w:val="single" w:color="auto" w:sz="4" w:space="0"/>
            </w:tcBorders>
            <w:vAlign w:val="center"/>
          </w:tcPr>
          <w:p w14:paraId="3E4C93A2">
            <w:pPr>
              <w:snapToGrid w:val="0"/>
              <w:spacing w:before="50" w:after="50"/>
              <w:ind w:left="480" w:hanging="480"/>
              <w:jc w:val="center"/>
              <w:rPr>
                <w:rFonts w:ascii="宋体" w:hAnsi="宋体" w:cs="宋体"/>
                <w:color w:val="auto"/>
                <w:sz w:val="24"/>
                <w:highlight w:val="none"/>
              </w:rPr>
            </w:pPr>
          </w:p>
        </w:tc>
        <w:tc>
          <w:tcPr>
            <w:tcW w:w="2830" w:type="dxa"/>
            <w:tcBorders>
              <w:top w:val="single" w:color="auto" w:sz="4" w:space="0"/>
              <w:left w:val="single" w:color="auto" w:sz="4" w:space="0"/>
              <w:bottom w:val="single" w:color="auto" w:sz="4" w:space="0"/>
              <w:right w:val="single" w:color="auto" w:sz="4" w:space="0"/>
            </w:tcBorders>
            <w:vAlign w:val="center"/>
          </w:tcPr>
          <w:p w14:paraId="09A9C4D7">
            <w:pPr>
              <w:snapToGrid w:val="0"/>
              <w:spacing w:before="50" w:after="50"/>
              <w:jc w:val="center"/>
              <w:rPr>
                <w:rFonts w:ascii="宋体" w:hAnsi="宋体" w:cs="宋体"/>
                <w:color w:val="auto"/>
                <w:sz w:val="24"/>
                <w:highlight w:val="none"/>
              </w:rPr>
            </w:pPr>
          </w:p>
        </w:tc>
      </w:tr>
      <w:tr w14:paraId="08AE99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63E7969E">
            <w:pPr>
              <w:snapToGrid w:val="0"/>
              <w:spacing w:before="50" w:after="50"/>
              <w:jc w:val="center"/>
              <w:rPr>
                <w:rFonts w:ascii="宋体" w:hAnsi="宋体" w:cs="宋体"/>
                <w:color w:val="auto"/>
                <w:sz w:val="24"/>
                <w:highlight w:val="none"/>
              </w:rPr>
            </w:pPr>
          </w:p>
        </w:tc>
        <w:tc>
          <w:tcPr>
            <w:tcW w:w="2829" w:type="dxa"/>
            <w:tcBorders>
              <w:top w:val="single" w:color="auto" w:sz="4" w:space="0"/>
              <w:left w:val="single" w:color="auto" w:sz="4" w:space="0"/>
              <w:bottom w:val="single" w:color="auto" w:sz="4" w:space="0"/>
              <w:right w:val="single" w:color="auto" w:sz="4" w:space="0"/>
            </w:tcBorders>
            <w:vAlign w:val="center"/>
          </w:tcPr>
          <w:p w14:paraId="6C5F8A8F">
            <w:pPr>
              <w:snapToGrid w:val="0"/>
              <w:spacing w:before="50" w:after="50"/>
              <w:jc w:val="center"/>
              <w:rPr>
                <w:rFonts w:ascii="宋体" w:hAnsi="宋体" w:cs="宋体"/>
                <w:color w:val="auto"/>
                <w:sz w:val="24"/>
                <w:highlight w:val="none"/>
              </w:rPr>
            </w:pPr>
          </w:p>
        </w:tc>
        <w:tc>
          <w:tcPr>
            <w:tcW w:w="2829" w:type="dxa"/>
            <w:tcBorders>
              <w:top w:val="single" w:color="auto" w:sz="4" w:space="0"/>
              <w:left w:val="single" w:color="auto" w:sz="4" w:space="0"/>
              <w:bottom w:val="single" w:color="auto" w:sz="4" w:space="0"/>
              <w:right w:val="single" w:color="auto" w:sz="4" w:space="0"/>
            </w:tcBorders>
            <w:vAlign w:val="center"/>
          </w:tcPr>
          <w:p w14:paraId="2A24880E">
            <w:pPr>
              <w:snapToGrid w:val="0"/>
              <w:spacing w:before="50" w:after="50"/>
              <w:ind w:left="480" w:hanging="480"/>
              <w:jc w:val="center"/>
              <w:rPr>
                <w:rFonts w:ascii="宋体" w:hAnsi="宋体" w:cs="宋体"/>
                <w:color w:val="auto"/>
                <w:sz w:val="24"/>
                <w:highlight w:val="none"/>
              </w:rPr>
            </w:pPr>
          </w:p>
        </w:tc>
        <w:tc>
          <w:tcPr>
            <w:tcW w:w="2830" w:type="dxa"/>
            <w:tcBorders>
              <w:top w:val="single" w:color="auto" w:sz="4" w:space="0"/>
              <w:left w:val="single" w:color="auto" w:sz="4" w:space="0"/>
              <w:bottom w:val="single" w:color="auto" w:sz="4" w:space="0"/>
              <w:right w:val="single" w:color="auto" w:sz="4" w:space="0"/>
            </w:tcBorders>
            <w:vAlign w:val="center"/>
          </w:tcPr>
          <w:p w14:paraId="2B9C7E4C">
            <w:pPr>
              <w:snapToGrid w:val="0"/>
              <w:spacing w:before="50" w:after="50"/>
              <w:jc w:val="center"/>
              <w:rPr>
                <w:rFonts w:ascii="宋体" w:hAnsi="宋体" w:cs="宋体"/>
                <w:color w:val="auto"/>
                <w:sz w:val="24"/>
                <w:highlight w:val="none"/>
              </w:rPr>
            </w:pPr>
          </w:p>
        </w:tc>
      </w:tr>
    </w:tbl>
    <w:p w14:paraId="6B362021">
      <w:pPr>
        <w:snapToGrid w:val="0"/>
        <w:spacing w:before="120" w:beforeLines="5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注：在填写时，如上表不适合本项目的实际情况，可在确保投标明细内容完整的情况下，根据上表格式自行划表填写。</w:t>
      </w:r>
    </w:p>
    <w:p w14:paraId="27B0E3A0">
      <w:pPr>
        <w:pStyle w:val="13"/>
        <w:rPr>
          <w:rFonts w:cs="宋体"/>
          <w:color w:val="auto"/>
          <w:highlight w:val="none"/>
        </w:rPr>
      </w:pPr>
    </w:p>
    <w:p w14:paraId="485F50C6">
      <w:pPr>
        <w:pStyle w:val="13"/>
        <w:rPr>
          <w:rFonts w:cs="宋体"/>
          <w:color w:val="auto"/>
          <w:highlight w:val="none"/>
        </w:rPr>
      </w:pPr>
    </w:p>
    <w:p w14:paraId="08BE8BB8">
      <w:pPr>
        <w:pStyle w:val="13"/>
        <w:rPr>
          <w:rFonts w:cs="宋体"/>
          <w:color w:val="auto"/>
          <w:highlight w:val="none"/>
        </w:rPr>
      </w:pPr>
    </w:p>
    <w:p w14:paraId="687EB13D">
      <w:pPr>
        <w:snapToGrid w:val="0"/>
        <w:spacing w:before="120" w:beforeLines="50"/>
        <w:rPr>
          <w:rFonts w:ascii="宋体" w:hAnsi="宋体" w:cs="宋体"/>
          <w:color w:val="auto"/>
          <w:sz w:val="24"/>
          <w:highlight w:val="none"/>
        </w:rPr>
      </w:pPr>
    </w:p>
    <w:p w14:paraId="6EBFD605">
      <w:pPr>
        <w:spacing w:line="360" w:lineRule="auto"/>
        <w:ind w:left="3600" w:leftChars="1800" w:firstLine="480" w:firstLineChars="200"/>
        <w:rPr>
          <w:rFonts w:ascii="宋体" w:hAnsi="宋体" w:cs="宋体"/>
          <w:color w:val="auto"/>
          <w:sz w:val="24"/>
          <w:highlight w:val="none"/>
        </w:rPr>
      </w:pPr>
      <w:r>
        <w:rPr>
          <w:rFonts w:hint="eastAsia" w:ascii="宋体" w:hAnsi="宋体" w:cs="宋体"/>
          <w:color w:val="auto"/>
          <w:sz w:val="24"/>
          <w:highlight w:val="none"/>
        </w:rPr>
        <w:t xml:space="preserve">法定代表人签名（或签名章）：                       </w:t>
      </w:r>
    </w:p>
    <w:p w14:paraId="565DDF5A">
      <w:pPr>
        <w:spacing w:line="360" w:lineRule="auto"/>
        <w:ind w:left="3600" w:leftChars="1800" w:firstLine="480" w:firstLineChars="200"/>
        <w:rPr>
          <w:rFonts w:ascii="宋体" w:hAnsi="宋体" w:cs="宋体"/>
          <w:color w:val="auto"/>
          <w:sz w:val="24"/>
          <w:highlight w:val="none"/>
        </w:rPr>
      </w:pPr>
      <w:r>
        <w:rPr>
          <w:rFonts w:hint="eastAsia" w:ascii="宋体" w:hAnsi="宋体" w:cs="宋体"/>
          <w:color w:val="auto"/>
          <w:sz w:val="24"/>
          <w:highlight w:val="none"/>
        </w:rPr>
        <w:t>日 期：</w:t>
      </w:r>
    </w:p>
    <w:p w14:paraId="68A7F848">
      <w:pPr>
        <w:spacing w:line="360" w:lineRule="auto"/>
        <w:ind w:left="3600" w:leftChars="1800" w:firstLine="480" w:firstLineChars="200"/>
        <w:rPr>
          <w:rFonts w:ascii="宋体" w:hAnsi="宋体" w:cs="宋体"/>
          <w:color w:val="auto"/>
          <w:sz w:val="24"/>
          <w:highlight w:val="none"/>
        </w:rPr>
      </w:pPr>
      <w:r>
        <w:rPr>
          <w:rFonts w:hint="eastAsia" w:ascii="宋体" w:hAnsi="宋体" w:cs="宋体"/>
          <w:color w:val="auto"/>
          <w:sz w:val="24"/>
          <w:highlight w:val="none"/>
        </w:rPr>
        <w:t>供应商全称（公章）：</w:t>
      </w:r>
    </w:p>
    <w:p w14:paraId="56024F64">
      <w:pPr>
        <w:snapToGrid w:val="0"/>
        <w:spacing w:before="50" w:after="50"/>
        <w:rPr>
          <w:rFonts w:ascii="宋体" w:hAnsi="宋体" w:cs="宋体"/>
          <w:color w:val="auto"/>
          <w:spacing w:val="20"/>
          <w:sz w:val="24"/>
          <w:highlight w:val="none"/>
        </w:rPr>
      </w:pPr>
    </w:p>
    <w:p w14:paraId="6914040C">
      <w:pPr>
        <w:snapToGrid w:val="0"/>
        <w:spacing w:before="50" w:after="50"/>
        <w:rPr>
          <w:rFonts w:ascii="宋体" w:hAnsi="宋体" w:cs="宋体"/>
          <w:color w:val="auto"/>
          <w:spacing w:val="20"/>
          <w:sz w:val="30"/>
          <w:szCs w:val="30"/>
          <w:highlight w:val="none"/>
        </w:rPr>
      </w:pPr>
    </w:p>
    <w:p w14:paraId="247EAED8">
      <w:pPr>
        <w:pStyle w:val="13"/>
        <w:ind w:firstLine="680"/>
        <w:rPr>
          <w:rFonts w:cs="宋体"/>
          <w:color w:val="auto"/>
          <w:spacing w:val="20"/>
          <w:sz w:val="30"/>
          <w:szCs w:val="30"/>
          <w:highlight w:val="none"/>
        </w:rPr>
      </w:pPr>
    </w:p>
    <w:p w14:paraId="116EC988">
      <w:pPr>
        <w:pStyle w:val="13"/>
        <w:ind w:firstLine="680"/>
        <w:rPr>
          <w:rFonts w:cs="宋体"/>
          <w:color w:val="auto"/>
          <w:spacing w:val="20"/>
          <w:sz w:val="30"/>
          <w:szCs w:val="30"/>
          <w:highlight w:val="none"/>
        </w:rPr>
      </w:pPr>
    </w:p>
    <w:p w14:paraId="4979D9FB">
      <w:pPr>
        <w:pStyle w:val="13"/>
        <w:ind w:firstLine="680"/>
        <w:rPr>
          <w:rFonts w:cs="宋体"/>
          <w:color w:val="auto"/>
          <w:spacing w:val="20"/>
          <w:sz w:val="30"/>
          <w:szCs w:val="30"/>
          <w:highlight w:val="none"/>
        </w:rPr>
      </w:pPr>
    </w:p>
    <w:p w14:paraId="67683114">
      <w:pPr>
        <w:pStyle w:val="13"/>
        <w:ind w:firstLine="680"/>
        <w:rPr>
          <w:rFonts w:cs="宋体"/>
          <w:color w:val="auto"/>
          <w:spacing w:val="20"/>
          <w:sz w:val="30"/>
          <w:szCs w:val="30"/>
          <w:highlight w:val="none"/>
        </w:rPr>
      </w:pPr>
    </w:p>
    <w:p w14:paraId="2D4ACC9E">
      <w:pPr>
        <w:rPr>
          <w:color w:val="auto"/>
          <w:sz w:val="24"/>
          <w:szCs w:val="18"/>
          <w:highlight w:val="none"/>
        </w:rPr>
      </w:pPr>
      <w:bookmarkStart w:id="181" w:name="_Toc2823"/>
      <w:r>
        <w:rPr>
          <w:rFonts w:hint="eastAsia"/>
          <w:color w:val="auto"/>
          <w:sz w:val="24"/>
          <w:szCs w:val="18"/>
          <w:highlight w:val="none"/>
        </w:rPr>
        <w:br w:type="page"/>
      </w:r>
    </w:p>
    <w:p w14:paraId="7CEAF854">
      <w:pPr>
        <w:rPr>
          <w:b/>
          <w:bCs/>
          <w:color w:val="auto"/>
          <w:sz w:val="24"/>
          <w:szCs w:val="32"/>
          <w:highlight w:val="none"/>
        </w:rPr>
      </w:pPr>
      <w:r>
        <w:rPr>
          <w:rFonts w:hint="eastAsia"/>
          <w:b/>
          <w:bCs/>
          <w:color w:val="auto"/>
          <w:sz w:val="24"/>
          <w:szCs w:val="32"/>
          <w:highlight w:val="none"/>
        </w:rPr>
        <w:t>附件</w:t>
      </w:r>
      <w:r>
        <w:rPr>
          <w:rFonts w:hint="eastAsia"/>
          <w:b/>
          <w:bCs/>
          <w:color w:val="auto"/>
          <w:sz w:val="24"/>
          <w:szCs w:val="32"/>
          <w:highlight w:val="none"/>
          <w:lang w:val="en-US" w:eastAsia="zh-CN"/>
        </w:rPr>
        <w:t>十</w:t>
      </w:r>
      <w:r>
        <w:rPr>
          <w:rFonts w:hint="eastAsia"/>
          <w:b/>
          <w:bCs/>
          <w:color w:val="auto"/>
          <w:sz w:val="24"/>
          <w:szCs w:val="32"/>
          <w:highlight w:val="none"/>
        </w:rPr>
        <w:t>：</w:t>
      </w:r>
    </w:p>
    <w:p w14:paraId="33E06490">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技术响应及建议表</w:t>
      </w:r>
      <w:bookmarkEnd w:id="181"/>
    </w:p>
    <w:p w14:paraId="548DBAE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p>
    <w:p w14:paraId="413C8F2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项目名称：</w:t>
      </w:r>
    </w:p>
    <w:p w14:paraId="55B72AF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采购编号：</w:t>
      </w:r>
    </w:p>
    <w:tbl>
      <w:tblPr>
        <w:tblStyle w:val="28"/>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1980"/>
        <w:gridCol w:w="2520"/>
        <w:gridCol w:w="1953"/>
      </w:tblGrid>
      <w:tr w14:paraId="0C7B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0" w:type="dxa"/>
            <w:vAlign w:val="center"/>
          </w:tcPr>
          <w:p w14:paraId="05A2EDC9">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序号</w:t>
            </w:r>
          </w:p>
        </w:tc>
        <w:tc>
          <w:tcPr>
            <w:tcW w:w="1440" w:type="dxa"/>
            <w:vAlign w:val="center"/>
          </w:tcPr>
          <w:p w14:paraId="1187CC09">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名称</w:t>
            </w:r>
          </w:p>
        </w:tc>
        <w:tc>
          <w:tcPr>
            <w:tcW w:w="1980" w:type="dxa"/>
            <w:vAlign w:val="center"/>
          </w:tcPr>
          <w:p w14:paraId="677E86BC">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磋商文件要求</w:t>
            </w:r>
          </w:p>
        </w:tc>
        <w:tc>
          <w:tcPr>
            <w:tcW w:w="2520" w:type="dxa"/>
            <w:vAlign w:val="center"/>
          </w:tcPr>
          <w:p w14:paraId="63312C61">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响应文件响应</w:t>
            </w:r>
          </w:p>
        </w:tc>
        <w:tc>
          <w:tcPr>
            <w:tcW w:w="1953" w:type="dxa"/>
            <w:vAlign w:val="center"/>
          </w:tcPr>
          <w:p w14:paraId="20970659">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偏离情况</w:t>
            </w:r>
          </w:p>
        </w:tc>
      </w:tr>
      <w:tr w14:paraId="04E8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0" w:type="dxa"/>
            <w:vAlign w:val="center"/>
          </w:tcPr>
          <w:p w14:paraId="4AA83A0F">
            <w:pPr>
              <w:snapToGrid w:val="0"/>
              <w:spacing w:before="50" w:after="50"/>
              <w:jc w:val="center"/>
              <w:rPr>
                <w:rFonts w:ascii="宋体" w:hAnsi="宋体" w:cs="宋体"/>
                <w:color w:val="auto"/>
                <w:sz w:val="24"/>
                <w:highlight w:val="none"/>
              </w:rPr>
            </w:pPr>
          </w:p>
        </w:tc>
        <w:tc>
          <w:tcPr>
            <w:tcW w:w="1440" w:type="dxa"/>
            <w:vAlign w:val="center"/>
          </w:tcPr>
          <w:p w14:paraId="48A22D2E">
            <w:pPr>
              <w:snapToGrid w:val="0"/>
              <w:spacing w:before="50" w:after="50"/>
              <w:jc w:val="center"/>
              <w:rPr>
                <w:rFonts w:ascii="宋体" w:hAnsi="宋体" w:cs="宋体"/>
                <w:color w:val="auto"/>
                <w:sz w:val="24"/>
                <w:highlight w:val="none"/>
              </w:rPr>
            </w:pPr>
          </w:p>
        </w:tc>
        <w:tc>
          <w:tcPr>
            <w:tcW w:w="1980" w:type="dxa"/>
            <w:vAlign w:val="center"/>
          </w:tcPr>
          <w:p w14:paraId="127A8034">
            <w:pPr>
              <w:snapToGrid w:val="0"/>
              <w:spacing w:before="50" w:after="50"/>
              <w:jc w:val="center"/>
              <w:rPr>
                <w:rFonts w:ascii="宋体" w:hAnsi="宋体" w:cs="宋体"/>
                <w:color w:val="auto"/>
                <w:sz w:val="24"/>
                <w:highlight w:val="none"/>
              </w:rPr>
            </w:pPr>
          </w:p>
        </w:tc>
        <w:tc>
          <w:tcPr>
            <w:tcW w:w="2520" w:type="dxa"/>
            <w:vAlign w:val="center"/>
          </w:tcPr>
          <w:p w14:paraId="0509B616">
            <w:pPr>
              <w:snapToGrid w:val="0"/>
              <w:spacing w:before="50" w:after="50"/>
              <w:jc w:val="center"/>
              <w:rPr>
                <w:rFonts w:ascii="宋体" w:hAnsi="宋体" w:cs="宋体"/>
                <w:color w:val="auto"/>
                <w:sz w:val="24"/>
                <w:highlight w:val="none"/>
              </w:rPr>
            </w:pPr>
          </w:p>
        </w:tc>
        <w:tc>
          <w:tcPr>
            <w:tcW w:w="1953" w:type="dxa"/>
            <w:vAlign w:val="center"/>
          </w:tcPr>
          <w:p w14:paraId="5C740886">
            <w:pPr>
              <w:snapToGrid w:val="0"/>
              <w:spacing w:before="50" w:after="50"/>
              <w:jc w:val="center"/>
              <w:rPr>
                <w:rFonts w:ascii="宋体" w:hAnsi="宋体" w:cs="宋体"/>
                <w:color w:val="auto"/>
                <w:sz w:val="24"/>
                <w:highlight w:val="none"/>
              </w:rPr>
            </w:pPr>
          </w:p>
        </w:tc>
      </w:tr>
      <w:tr w14:paraId="09BD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0" w:type="dxa"/>
            <w:vAlign w:val="center"/>
          </w:tcPr>
          <w:p w14:paraId="261A78CA">
            <w:pPr>
              <w:snapToGrid w:val="0"/>
              <w:spacing w:before="50" w:after="50"/>
              <w:jc w:val="center"/>
              <w:rPr>
                <w:rFonts w:ascii="宋体" w:hAnsi="宋体" w:cs="宋体"/>
                <w:color w:val="auto"/>
                <w:sz w:val="24"/>
                <w:highlight w:val="none"/>
              </w:rPr>
            </w:pPr>
          </w:p>
        </w:tc>
        <w:tc>
          <w:tcPr>
            <w:tcW w:w="1440" w:type="dxa"/>
            <w:vAlign w:val="center"/>
          </w:tcPr>
          <w:p w14:paraId="6A5E1716">
            <w:pPr>
              <w:snapToGrid w:val="0"/>
              <w:spacing w:before="50" w:after="50"/>
              <w:jc w:val="center"/>
              <w:rPr>
                <w:rFonts w:ascii="宋体" w:hAnsi="宋体" w:cs="宋体"/>
                <w:color w:val="auto"/>
                <w:sz w:val="24"/>
                <w:highlight w:val="none"/>
              </w:rPr>
            </w:pPr>
          </w:p>
        </w:tc>
        <w:tc>
          <w:tcPr>
            <w:tcW w:w="1980" w:type="dxa"/>
            <w:vAlign w:val="center"/>
          </w:tcPr>
          <w:p w14:paraId="4A78C35E">
            <w:pPr>
              <w:snapToGrid w:val="0"/>
              <w:spacing w:before="50" w:after="50"/>
              <w:jc w:val="center"/>
              <w:rPr>
                <w:rFonts w:ascii="宋体" w:hAnsi="宋体" w:cs="宋体"/>
                <w:color w:val="auto"/>
                <w:sz w:val="24"/>
                <w:highlight w:val="none"/>
              </w:rPr>
            </w:pPr>
          </w:p>
        </w:tc>
        <w:tc>
          <w:tcPr>
            <w:tcW w:w="2520" w:type="dxa"/>
            <w:vAlign w:val="center"/>
          </w:tcPr>
          <w:p w14:paraId="1917E1DE">
            <w:pPr>
              <w:snapToGrid w:val="0"/>
              <w:spacing w:before="50" w:after="50"/>
              <w:jc w:val="center"/>
              <w:rPr>
                <w:rFonts w:ascii="宋体" w:hAnsi="宋体" w:cs="宋体"/>
                <w:color w:val="auto"/>
                <w:sz w:val="24"/>
                <w:highlight w:val="none"/>
              </w:rPr>
            </w:pPr>
          </w:p>
        </w:tc>
        <w:tc>
          <w:tcPr>
            <w:tcW w:w="1953" w:type="dxa"/>
            <w:vAlign w:val="center"/>
          </w:tcPr>
          <w:p w14:paraId="5444C1A0">
            <w:pPr>
              <w:snapToGrid w:val="0"/>
              <w:spacing w:before="50" w:after="50"/>
              <w:jc w:val="center"/>
              <w:rPr>
                <w:rFonts w:ascii="宋体" w:hAnsi="宋体" w:cs="宋体"/>
                <w:color w:val="auto"/>
                <w:sz w:val="24"/>
                <w:highlight w:val="none"/>
              </w:rPr>
            </w:pPr>
          </w:p>
        </w:tc>
      </w:tr>
      <w:tr w14:paraId="73A8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0" w:type="dxa"/>
            <w:vAlign w:val="center"/>
          </w:tcPr>
          <w:p w14:paraId="56D3D70C">
            <w:pPr>
              <w:snapToGrid w:val="0"/>
              <w:spacing w:before="50" w:after="50"/>
              <w:jc w:val="center"/>
              <w:rPr>
                <w:rFonts w:ascii="宋体" w:hAnsi="宋体" w:cs="宋体"/>
                <w:color w:val="auto"/>
                <w:sz w:val="24"/>
                <w:highlight w:val="none"/>
              </w:rPr>
            </w:pPr>
          </w:p>
        </w:tc>
        <w:tc>
          <w:tcPr>
            <w:tcW w:w="1440" w:type="dxa"/>
            <w:vAlign w:val="center"/>
          </w:tcPr>
          <w:p w14:paraId="69B0F88B">
            <w:pPr>
              <w:snapToGrid w:val="0"/>
              <w:spacing w:before="50" w:after="50"/>
              <w:jc w:val="center"/>
              <w:rPr>
                <w:rFonts w:ascii="宋体" w:hAnsi="宋体" w:cs="宋体"/>
                <w:color w:val="auto"/>
                <w:sz w:val="24"/>
                <w:highlight w:val="none"/>
              </w:rPr>
            </w:pPr>
          </w:p>
        </w:tc>
        <w:tc>
          <w:tcPr>
            <w:tcW w:w="1980" w:type="dxa"/>
            <w:vAlign w:val="center"/>
          </w:tcPr>
          <w:p w14:paraId="7483A3B7">
            <w:pPr>
              <w:snapToGrid w:val="0"/>
              <w:spacing w:before="50" w:after="50"/>
              <w:jc w:val="center"/>
              <w:rPr>
                <w:rFonts w:ascii="宋体" w:hAnsi="宋体" w:cs="宋体"/>
                <w:color w:val="auto"/>
                <w:sz w:val="24"/>
                <w:highlight w:val="none"/>
              </w:rPr>
            </w:pPr>
          </w:p>
        </w:tc>
        <w:tc>
          <w:tcPr>
            <w:tcW w:w="2520" w:type="dxa"/>
            <w:vAlign w:val="center"/>
          </w:tcPr>
          <w:p w14:paraId="0D28474C">
            <w:pPr>
              <w:snapToGrid w:val="0"/>
              <w:spacing w:before="50" w:after="50"/>
              <w:jc w:val="center"/>
              <w:rPr>
                <w:rFonts w:ascii="宋体" w:hAnsi="宋体" w:cs="宋体"/>
                <w:color w:val="auto"/>
                <w:sz w:val="24"/>
                <w:highlight w:val="none"/>
              </w:rPr>
            </w:pPr>
          </w:p>
        </w:tc>
        <w:tc>
          <w:tcPr>
            <w:tcW w:w="1953" w:type="dxa"/>
            <w:vAlign w:val="center"/>
          </w:tcPr>
          <w:p w14:paraId="5108B970">
            <w:pPr>
              <w:snapToGrid w:val="0"/>
              <w:spacing w:before="50" w:after="50"/>
              <w:jc w:val="center"/>
              <w:rPr>
                <w:rFonts w:ascii="宋体" w:hAnsi="宋体" w:cs="宋体"/>
                <w:color w:val="auto"/>
                <w:sz w:val="24"/>
                <w:highlight w:val="none"/>
              </w:rPr>
            </w:pPr>
          </w:p>
        </w:tc>
      </w:tr>
      <w:tr w14:paraId="0F54A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0" w:type="dxa"/>
            <w:vAlign w:val="center"/>
          </w:tcPr>
          <w:p w14:paraId="177B5328">
            <w:pPr>
              <w:snapToGrid w:val="0"/>
              <w:spacing w:before="50" w:after="50"/>
              <w:jc w:val="center"/>
              <w:rPr>
                <w:rFonts w:ascii="宋体" w:hAnsi="宋体" w:cs="宋体"/>
                <w:color w:val="auto"/>
                <w:sz w:val="24"/>
                <w:highlight w:val="none"/>
              </w:rPr>
            </w:pPr>
          </w:p>
        </w:tc>
        <w:tc>
          <w:tcPr>
            <w:tcW w:w="1440" w:type="dxa"/>
            <w:vAlign w:val="center"/>
          </w:tcPr>
          <w:p w14:paraId="4419CFE7">
            <w:pPr>
              <w:snapToGrid w:val="0"/>
              <w:spacing w:before="50" w:after="50"/>
              <w:jc w:val="center"/>
              <w:rPr>
                <w:rFonts w:ascii="宋体" w:hAnsi="宋体" w:cs="宋体"/>
                <w:color w:val="auto"/>
                <w:sz w:val="24"/>
                <w:highlight w:val="none"/>
              </w:rPr>
            </w:pPr>
          </w:p>
        </w:tc>
        <w:tc>
          <w:tcPr>
            <w:tcW w:w="1980" w:type="dxa"/>
            <w:vAlign w:val="center"/>
          </w:tcPr>
          <w:p w14:paraId="4191EB7C">
            <w:pPr>
              <w:snapToGrid w:val="0"/>
              <w:spacing w:before="50" w:after="50"/>
              <w:jc w:val="center"/>
              <w:rPr>
                <w:rFonts w:ascii="宋体" w:hAnsi="宋体" w:cs="宋体"/>
                <w:color w:val="auto"/>
                <w:sz w:val="24"/>
                <w:highlight w:val="none"/>
              </w:rPr>
            </w:pPr>
          </w:p>
        </w:tc>
        <w:tc>
          <w:tcPr>
            <w:tcW w:w="2520" w:type="dxa"/>
            <w:vAlign w:val="center"/>
          </w:tcPr>
          <w:p w14:paraId="11EFDA22">
            <w:pPr>
              <w:snapToGrid w:val="0"/>
              <w:spacing w:before="50" w:after="50"/>
              <w:jc w:val="center"/>
              <w:rPr>
                <w:rFonts w:ascii="宋体" w:hAnsi="宋体" w:cs="宋体"/>
                <w:color w:val="auto"/>
                <w:sz w:val="24"/>
                <w:highlight w:val="none"/>
              </w:rPr>
            </w:pPr>
          </w:p>
        </w:tc>
        <w:tc>
          <w:tcPr>
            <w:tcW w:w="1953" w:type="dxa"/>
            <w:vAlign w:val="center"/>
          </w:tcPr>
          <w:p w14:paraId="455B6443">
            <w:pPr>
              <w:snapToGrid w:val="0"/>
              <w:spacing w:before="50" w:after="50"/>
              <w:jc w:val="center"/>
              <w:rPr>
                <w:rFonts w:ascii="宋体" w:hAnsi="宋体" w:cs="宋体"/>
                <w:color w:val="auto"/>
                <w:sz w:val="24"/>
                <w:highlight w:val="none"/>
              </w:rPr>
            </w:pPr>
          </w:p>
        </w:tc>
      </w:tr>
      <w:tr w14:paraId="52DA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0" w:type="dxa"/>
            <w:vAlign w:val="center"/>
          </w:tcPr>
          <w:p w14:paraId="3A046ADD">
            <w:pPr>
              <w:snapToGrid w:val="0"/>
              <w:spacing w:before="50" w:after="50"/>
              <w:jc w:val="center"/>
              <w:rPr>
                <w:rFonts w:ascii="宋体" w:hAnsi="宋体" w:cs="宋体"/>
                <w:color w:val="auto"/>
                <w:sz w:val="24"/>
                <w:highlight w:val="none"/>
              </w:rPr>
            </w:pPr>
          </w:p>
        </w:tc>
        <w:tc>
          <w:tcPr>
            <w:tcW w:w="1440" w:type="dxa"/>
            <w:vAlign w:val="center"/>
          </w:tcPr>
          <w:p w14:paraId="7352B020">
            <w:pPr>
              <w:snapToGrid w:val="0"/>
              <w:spacing w:before="50" w:after="50"/>
              <w:jc w:val="center"/>
              <w:rPr>
                <w:rFonts w:ascii="宋体" w:hAnsi="宋体" w:cs="宋体"/>
                <w:color w:val="auto"/>
                <w:sz w:val="24"/>
                <w:highlight w:val="none"/>
              </w:rPr>
            </w:pPr>
          </w:p>
        </w:tc>
        <w:tc>
          <w:tcPr>
            <w:tcW w:w="1980" w:type="dxa"/>
            <w:vAlign w:val="center"/>
          </w:tcPr>
          <w:p w14:paraId="3DB27AB5">
            <w:pPr>
              <w:snapToGrid w:val="0"/>
              <w:spacing w:before="50" w:after="50"/>
              <w:jc w:val="center"/>
              <w:rPr>
                <w:rFonts w:ascii="宋体" w:hAnsi="宋体" w:cs="宋体"/>
                <w:color w:val="auto"/>
                <w:sz w:val="24"/>
                <w:highlight w:val="none"/>
              </w:rPr>
            </w:pPr>
          </w:p>
        </w:tc>
        <w:tc>
          <w:tcPr>
            <w:tcW w:w="2520" w:type="dxa"/>
            <w:vAlign w:val="center"/>
          </w:tcPr>
          <w:p w14:paraId="13170E68">
            <w:pPr>
              <w:snapToGrid w:val="0"/>
              <w:spacing w:before="50" w:after="50"/>
              <w:jc w:val="center"/>
              <w:rPr>
                <w:rFonts w:ascii="宋体" w:hAnsi="宋体" w:cs="宋体"/>
                <w:color w:val="auto"/>
                <w:sz w:val="24"/>
                <w:highlight w:val="none"/>
              </w:rPr>
            </w:pPr>
          </w:p>
        </w:tc>
        <w:tc>
          <w:tcPr>
            <w:tcW w:w="1953" w:type="dxa"/>
            <w:vAlign w:val="center"/>
          </w:tcPr>
          <w:p w14:paraId="65BD1BD8">
            <w:pPr>
              <w:snapToGrid w:val="0"/>
              <w:spacing w:before="50" w:after="50"/>
              <w:jc w:val="center"/>
              <w:rPr>
                <w:rFonts w:ascii="宋体" w:hAnsi="宋体" w:cs="宋体"/>
                <w:color w:val="auto"/>
                <w:sz w:val="24"/>
                <w:highlight w:val="none"/>
              </w:rPr>
            </w:pPr>
          </w:p>
        </w:tc>
      </w:tr>
      <w:tr w14:paraId="2725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160" w:type="dxa"/>
            <w:gridSpan w:val="2"/>
            <w:vAlign w:val="center"/>
          </w:tcPr>
          <w:p w14:paraId="5FB59ADE">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投标建议</w:t>
            </w:r>
          </w:p>
        </w:tc>
        <w:tc>
          <w:tcPr>
            <w:tcW w:w="6453" w:type="dxa"/>
            <w:gridSpan w:val="3"/>
            <w:vAlign w:val="center"/>
          </w:tcPr>
          <w:p w14:paraId="7650F0B9">
            <w:pPr>
              <w:spacing w:line="360" w:lineRule="auto"/>
              <w:jc w:val="center"/>
              <w:rPr>
                <w:rFonts w:ascii="宋体" w:hAnsi="宋体" w:cs="宋体"/>
                <w:color w:val="auto"/>
                <w:sz w:val="24"/>
                <w:highlight w:val="none"/>
              </w:rPr>
            </w:pPr>
          </w:p>
        </w:tc>
      </w:tr>
    </w:tbl>
    <w:p w14:paraId="3D36AB4C">
      <w:pPr>
        <w:snapToGrid w:val="0"/>
        <w:spacing w:line="360" w:lineRule="auto"/>
        <w:rPr>
          <w:rFonts w:ascii="宋体" w:hAnsi="宋体" w:cs="宋体"/>
          <w:color w:val="auto"/>
          <w:sz w:val="24"/>
          <w:highlight w:val="none"/>
        </w:rPr>
      </w:pPr>
    </w:p>
    <w:p w14:paraId="088FEBDD">
      <w:pPr>
        <w:pStyle w:val="15"/>
        <w:spacing w:line="360" w:lineRule="auto"/>
        <w:rPr>
          <w:rFonts w:hAnsi="宋体" w:cs="宋体"/>
          <w:color w:val="auto"/>
          <w:sz w:val="24"/>
          <w:highlight w:val="none"/>
        </w:rPr>
      </w:pPr>
      <w:r>
        <w:rPr>
          <w:rFonts w:hint="eastAsia" w:hAnsi="宋体" w:cs="宋体"/>
          <w:color w:val="auto"/>
          <w:sz w:val="24"/>
          <w:highlight w:val="none"/>
        </w:rPr>
        <w:t>注：名称可基于项目清单根据供应商实际情况调整。</w:t>
      </w:r>
    </w:p>
    <w:p w14:paraId="7821E40E">
      <w:pPr>
        <w:rPr>
          <w:rFonts w:ascii="宋体" w:hAnsi="宋体" w:cs="宋体"/>
          <w:color w:val="auto"/>
          <w:sz w:val="24"/>
          <w:highlight w:val="none"/>
        </w:rPr>
      </w:pPr>
    </w:p>
    <w:p w14:paraId="3BD0CD09">
      <w:pPr>
        <w:pStyle w:val="13"/>
        <w:rPr>
          <w:color w:val="auto"/>
          <w:highlight w:val="none"/>
        </w:rPr>
      </w:pPr>
    </w:p>
    <w:p w14:paraId="103EE173">
      <w:pPr>
        <w:snapToGrid w:val="0"/>
        <w:spacing w:line="360" w:lineRule="auto"/>
        <w:rPr>
          <w:rFonts w:ascii="宋体" w:hAnsi="宋体" w:cs="宋体"/>
          <w:color w:val="auto"/>
          <w:sz w:val="24"/>
          <w:highlight w:val="none"/>
        </w:rPr>
      </w:pPr>
    </w:p>
    <w:p w14:paraId="20008598">
      <w:pPr>
        <w:spacing w:line="360" w:lineRule="auto"/>
        <w:ind w:left="3600" w:leftChars="1800" w:firstLine="480" w:firstLineChars="200"/>
        <w:rPr>
          <w:rFonts w:ascii="宋体" w:hAnsi="宋体" w:cs="宋体"/>
          <w:color w:val="auto"/>
          <w:sz w:val="24"/>
          <w:highlight w:val="none"/>
        </w:rPr>
      </w:pPr>
      <w:r>
        <w:rPr>
          <w:rFonts w:hint="eastAsia" w:ascii="宋体" w:hAnsi="宋体" w:cs="宋体"/>
          <w:color w:val="auto"/>
          <w:sz w:val="24"/>
          <w:highlight w:val="none"/>
        </w:rPr>
        <w:t xml:space="preserve">法定代表人签名（或签名章）：                       </w:t>
      </w:r>
    </w:p>
    <w:p w14:paraId="47E6745D">
      <w:pPr>
        <w:spacing w:line="360" w:lineRule="auto"/>
        <w:ind w:left="3600" w:leftChars="1800" w:firstLine="480" w:firstLineChars="200"/>
        <w:rPr>
          <w:rFonts w:ascii="宋体" w:hAnsi="宋体" w:cs="宋体"/>
          <w:color w:val="auto"/>
          <w:sz w:val="24"/>
          <w:highlight w:val="none"/>
        </w:rPr>
      </w:pPr>
      <w:r>
        <w:rPr>
          <w:rFonts w:hint="eastAsia" w:ascii="宋体" w:hAnsi="宋体" w:cs="宋体"/>
          <w:color w:val="auto"/>
          <w:sz w:val="24"/>
          <w:highlight w:val="none"/>
        </w:rPr>
        <w:t>日 期：</w:t>
      </w:r>
    </w:p>
    <w:p w14:paraId="029E5017">
      <w:pPr>
        <w:spacing w:line="360" w:lineRule="auto"/>
        <w:ind w:left="3600" w:leftChars="1800" w:firstLine="480" w:firstLineChars="200"/>
        <w:rPr>
          <w:rFonts w:ascii="宋体" w:hAnsi="宋体" w:cs="宋体"/>
          <w:color w:val="auto"/>
          <w:sz w:val="24"/>
          <w:highlight w:val="none"/>
        </w:rPr>
      </w:pPr>
      <w:r>
        <w:rPr>
          <w:rFonts w:hint="eastAsia" w:ascii="宋体" w:hAnsi="宋体" w:cs="宋体"/>
          <w:color w:val="auto"/>
          <w:sz w:val="24"/>
          <w:highlight w:val="none"/>
        </w:rPr>
        <w:t>供应商全称（公章）：</w:t>
      </w:r>
    </w:p>
    <w:p w14:paraId="4CD589FF">
      <w:pPr>
        <w:rPr>
          <w:color w:val="auto"/>
          <w:sz w:val="24"/>
          <w:szCs w:val="18"/>
          <w:highlight w:val="none"/>
        </w:rPr>
      </w:pPr>
      <w:r>
        <w:rPr>
          <w:rFonts w:hint="eastAsia"/>
          <w:color w:val="auto"/>
          <w:sz w:val="24"/>
          <w:szCs w:val="18"/>
          <w:highlight w:val="none"/>
        </w:rPr>
        <w:br w:type="page"/>
      </w:r>
    </w:p>
    <w:p w14:paraId="70D4C55C">
      <w:pPr>
        <w:rPr>
          <w:b/>
          <w:bCs/>
          <w:color w:val="auto"/>
          <w:sz w:val="24"/>
          <w:szCs w:val="32"/>
          <w:highlight w:val="none"/>
        </w:rPr>
      </w:pPr>
      <w:r>
        <w:rPr>
          <w:rFonts w:hint="eastAsia"/>
          <w:b/>
          <w:bCs/>
          <w:color w:val="auto"/>
          <w:sz w:val="24"/>
          <w:szCs w:val="32"/>
          <w:highlight w:val="none"/>
        </w:rPr>
        <w:t>附件</w:t>
      </w:r>
      <w:r>
        <w:rPr>
          <w:rFonts w:hint="eastAsia"/>
          <w:b/>
          <w:bCs/>
          <w:color w:val="auto"/>
          <w:sz w:val="24"/>
          <w:szCs w:val="32"/>
          <w:highlight w:val="none"/>
          <w:lang w:val="en-US" w:eastAsia="zh-CN"/>
        </w:rPr>
        <w:t>十一</w:t>
      </w:r>
      <w:r>
        <w:rPr>
          <w:rFonts w:hint="eastAsia"/>
          <w:b/>
          <w:bCs/>
          <w:color w:val="auto"/>
          <w:sz w:val="24"/>
          <w:szCs w:val="32"/>
          <w:highlight w:val="none"/>
        </w:rPr>
        <w:t>：</w:t>
      </w:r>
    </w:p>
    <w:p w14:paraId="5D3B121E">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商务响应表</w:t>
      </w:r>
    </w:p>
    <w:p w14:paraId="256966EA">
      <w:pPr>
        <w:snapToGrid w:val="0"/>
        <w:spacing w:before="50"/>
        <w:jc w:val="center"/>
        <w:rPr>
          <w:rFonts w:ascii="宋体" w:hAnsi="宋体" w:cs="宋体"/>
          <w:b/>
          <w:color w:val="auto"/>
          <w:sz w:val="32"/>
          <w:szCs w:val="32"/>
          <w:highlight w:val="none"/>
        </w:rPr>
      </w:pPr>
    </w:p>
    <w:p w14:paraId="435029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项目名称：</w:t>
      </w:r>
    </w:p>
    <w:p w14:paraId="12EBEEF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采购编号：</w:t>
      </w:r>
    </w:p>
    <w:tbl>
      <w:tblPr>
        <w:tblStyle w:val="28"/>
        <w:tblW w:w="943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54"/>
        <w:gridCol w:w="2700"/>
        <w:gridCol w:w="1260"/>
        <w:gridCol w:w="3020"/>
      </w:tblGrid>
      <w:tr w14:paraId="4AF028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4" w:type="dxa"/>
            <w:tcBorders>
              <w:top w:val="single" w:color="auto" w:sz="4" w:space="0"/>
              <w:left w:val="single" w:color="auto" w:sz="4" w:space="0"/>
              <w:bottom w:val="single" w:color="auto" w:sz="4" w:space="0"/>
              <w:right w:val="single" w:color="auto" w:sz="4" w:space="0"/>
            </w:tcBorders>
            <w:vAlign w:val="center"/>
          </w:tcPr>
          <w:p w14:paraId="16738909">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项目</w:t>
            </w:r>
          </w:p>
        </w:tc>
        <w:tc>
          <w:tcPr>
            <w:tcW w:w="2700" w:type="dxa"/>
            <w:tcBorders>
              <w:top w:val="single" w:color="auto" w:sz="4" w:space="0"/>
              <w:left w:val="single" w:color="auto" w:sz="4" w:space="0"/>
              <w:bottom w:val="single" w:color="auto" w:sz="4" w:space="0"/>
              <w:right w:val="single" w:color="auto" w:sz="4" w:space="0"/>
            </w:tcBorders>
            <w:vAlign w:val="center"/>
          </w:tcPr>
          <w:p w14:paraId="0717A82A">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磋商文件要求</w:t>
            </w:r>
          </w:p>
        </w:tc>
        <w:tc>
          <w:tcPr>
            <w:tcW w:w="1260" w:type="dxa"/>
            <w:tcBorders>
              <w:top w:val="single" w:color="auto" w:sz="4" w:space="0"/>
              <w:left w:val="single" w:color="auto" w:sz="4" w:space="0"/>
              <w:bottom w:val="single" w:color="auto" w:sz="4" w:space="0"/>
              <w:right w:val="single" w:color="auto" w:sz="4" w:space="0"/>
            </w:tcBorders>
            <w:vAlign w:val="center"/>
          </w:tcPr>
          <w:p w14:paraId="6AB1C77E">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是否</w:t>
            </w:r>
          </w:p>
          <w:p w14:paraId="09BF88AA">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响应</w:t>
            </w:r>
          </w:p>
        </w:tc>
        <w:tc>
          <w:tcPr>
            <w:tcW w:w="3020" w:type="dxa"/>
            <w:tcBorders>
              <w:top w:val="single" w:color="auto" w:sz="4" w:space="0"/>
              <w:left w:val="single" w:color="auto" w:sz="4" w:space="0"/>
              <w:bottom w:val="single" w:color="auto" w:sz="4" w:space="0"/>
              <w:right w:val="single" w:color="auto" w:sz="4" w:space="0"/>
            </w:tcBorders>
            <w:vAlign w:val="center"/>
          </w:tcPr>
          <w:p w14:paraId="143739D1">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供应商的承诺或说明</w:t>
            </w:r>
          </w:p>
        </w:tc>
      </w:tr>
      <w:tr w14:paraId="0BB8B0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4" w:type="dxa"/>
            <w:tcBorders>
              <w:top w:val="single" w:color="auto" w:sz="4" w:space="0"/>
              <w:left w:val="single" w:color="auto" w:sz="4" w:space="0"/>
              <w:bottom w:val="single" w:color="auto" w:sz="4" w:space="0"/>
              <w:right w:val="single" w:color="auto" w:sz="4" w:space="0"/>
            </w:tcBorders>
            <w:vAlign w:val="center"/>
          </w:tcPr>
          <w:p w14:paraId="0696019A">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服务时间及地点</w:t>
            </w:r>
          </w:p>
        </w:tc>
        <w:tc>
          <w:tcPr>
            <w:tcW w:w="2700" w:type="dxa"/>
            <w:tcBorders>
              <w:top w:val="single" w:color="auto" w:sz="4" w:space="0"/>
              <w:left w:val="single" w:color="auto" w:sz="4" w:space="0"/>
              <w:bottom w:val="single" w:color="auto" w:sz="4" w:space="0"/>
              <w:right w:val="single" w:color="auto" w:sz="4" w:space="0"/>
            </w:tcBorders>
            <w:vAlign w:val="center"/>
          </w:tcPr>
          <w:p w14:paraId="7D0DD692">
            <w:pPr>
              <w:snapToGrid w:val="0"/>
              <w:spacing w:before="50" w:after="50"/>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B7576A2">
            <w:pPr>
              <w:snapToGrid w:val="0"/>
              <w:spacing w:before="50" w:after="50"/>
              <w:jc w:val="center"/>
              <w:rPr>
                <w:rFonts w:ascii="宋体" w:hAnsi="宋体" w:cs="宋体"/>
                <w:color w:val="auto"/>
                <w:sz w:val="24"/>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189D1C00">
            <w:pPr>
              <w:snapToGrid w:val="0"/>
              <w:spacing w:before="50" w:after="50"/>
              <w:jc w:val="center"/>
              <w:rPr>
                <w:rFonts w:ascii="宋体" w:hAnsi="宋体" w:cs="宋体"/>
                <w:color w:val="auto"/>
                <w:sz w:val="24"/>
                <w:highlight w:val="none"/>
              </w:rPr>
            </w:pPr>
          </w:p>
        </w:tc>
      </w:tr>
      <w:tr w14:paraId="55C55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4" w:type="dxa"/>
            <w:tcBorders>
              <w:top w:val="single" w:color="auto" w:sz="4" w:space="0"/>
              <w:left w:val="single" w:color="auto" w:sz="4" w:space="0"/>
              <w:bottom w:val="single" w:color="auto" w:sz="4" w:space="0"/>
              <w:right w:val="single" w:color="auto" w:sz="4" w:space="0"/>
            </w:tcBorders>
            <w:vAlign w:val="center"/>
          </w:tcPr>
          <w:p w14:paraId="0D2AB5B7">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付款条件</w:t>
            </w:r>
          </w:p>
        </w:tc>
        <w:tc>
          <w:tcPr>
            <w:tcW w:w="2700" w:type="dxa"/>
            <w:tcBorders>
              <w:top w:val="single" w:color="auto" w:sz="4" w:space="0"/>
              <w:left w:val="single" w:color="auto" w:sz="4" w:space="0"/>
              <w:bottom w:val="single" w:color="auto" w:sz="4" w:space="0"/>
              <w:right w:val="single" w:color="auto" w:sz="4" w:space="0"/>
            </w:tcBorders>
            <w:vAlign w:val="center"/>
          </w:tcPr>
          <w:p w14:paraId="3FD6ACC3">
            <w:pPr>
              <w:snapToGrid w:val="0"/>
              <w:spacing w:before="50" w:after="50"/>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A906CCF">
            <w:pPr>
              <w:snapToGrid w:val="0"/>
              <w:spacing w:before="50" w:after="50"/>
              <w:jc w:val="center"/>
              <w:rPr>
                <w:rFonts w:ascii="宋体" w:hAnsi="宋体" w:cs="宋体"/>
                <w:color w:val="auto"/>
                <w:sz w:val="24"/>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29972AC4">
            <w:pPr>
              <w:snapToGrid w:val="0"/>
              <w:spacing w:before="50" w:after="50"/>
              <w:jc w:val="center"/>
              <w:rPr>
                <w:rFonts w:ascii="宋体" w:hAnsi="宋体" w:cs="宋体"/>
                <w:color w:val="auto"/>
                <w:sz w:val="24"/>
                <w:highlight w:val="none"/>
              </w:rPr>
            </w:pPr>
          </w:p>
        </w:tc>
      </w:tr>
      <w:tr w14:paraId="2CEF1E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4" w:type="dxa"/>
            <w:tcBorders>
              <w:top w:val="single" w:color="auto" w:sz="4" w:space="0"/>
              <w:left w:val="single" w:color="auto" w:sz="4" w:space="0"/>
              <w:bottom w:val="single" w:color="auto" w:sz="4" w:space="0"/>
              <w:right w:val="single" w:color="auto" w:sz="4" w:space="0"/>
            </w:tcBorders>
            <w:vAlign w:val="center"/>
          </w:tcPr>
          <w:p w14:paraId="04D5D70C">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违约责任及争议解决方式</w:t>
            </w:r>
          </w:p>
        </w:tc>
        <w:tc>
          <w:tcPr>
            <w:tcW w:w="2700" w:type="dxa"/>
            <w:tcBorders>
              <w:top w:val="single" w:color="auto" w:sz="4" w:space="0"/>
              <w:left w:val="single" w:color="auto" w:sz="4" w:space="0"/>
              <w:bottom w:val="single" w:color="auto" w:sz="4" w:space="0"/>
              <w:right w:val="single" w:color="auto" w:sz="4" w:space="0"/>
            </w:tcBorders>
            <w:vAlign w:val="center"/>
          </w:tcPr>
          <w:p w14:paraId="07BD006C">
            <w:pPr>
              <w:snapToGrid w:val="0"/>
              <w:spacing w:before="50" w:after="50"/>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1899252">
            <w:pPr>
              <w:snapToGrid w:val="0"/>
              <w:spacing w:before="50" w:after="50"/>
              <w:jc w:val="center"/>
              <w:rPr>
                <w:rFonts w:ascii="宋体" w:hAnsi="宋体" w:cs="宋体"/>
                <w:color w:val="auto"/>
                <w:sz w:val="24"/>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32FAA291">
            <w:pPr>
              <w:snapToGrid w:val="0"/>
              <w:spacing w:before="50" w:after="50"/>
              <w:jc w:val="center"/>
              <w:rPr>
                <w:rFonts w:ascii="宋体" w:hAnsi="宋体" w:cs="宋体"/>
                <w:color w:val="auto"/>
                <w:sz w:val="24"/>
                <w:highlight w:val="none"/>
              </w:rPr>
            </w:pPr>
          </w:p>
        </w:tc>
      </w:tr>
      <w:tr w14:paraId="3BA658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4" w:type="dxa"/>
            <w:tcBorders>
              <w:top w:val="single" w:color="auto" w:sz="4" w:space="0"/>
              <w:left w:val="single" w:color="auto" w:sz="4" w:space="0"/>
              <w:bottom w:val="single" w:color="auto" w:sz="4" w:space="0"/>
              <w:right w:val="single" w:color="auto" w:sz="4" w:space="0"/>
            </w:tcBorders>
            <w:vAlign w:val="center"/>
          </w:tcPr>
          <w:p w14:paraId="1A464A1D">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售后服务响应情况</w:t>
            </w:r>
          </w:p>
        </w:tc>
        <w:tc>
          <w:tcPr>
            <w:tcW w:w="2700" w:type="dxa"/>
            <w:tcBorders>
              <w:top w:val="single" w:color="auto" w:sz="4" w:space="0"/>
              <w:left w:val="single" w:color="auto" w:sz="4" w:space="0"/>
              <w:bottom w:val="single" w:color="auto" w:sz="4" w:space="0"/>
              <w:right w:val="single" w:color="auto" w:sz="4" w:space="0"/>
            </w:tcBorders>
            <w:vAlign w:val="center"/>
          </w:tcPr>
          <w:p w14:paraId="0DCB705E">
            <w:pPr>
              <w:snapToGrid w:val="0"/>
              <w:spacing w:before="50" w:after="50"/>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EF0479F">
            <w:pPr>
              <w:snapToGrid w:val="0"/>
              <w:spacing w:before="50" w:after="50"/>
              <w:jc w:val="center"/>
              <w:rPr>
                <w:rFonts w:ascii="宋体" w:hAnsi="宋体" w:cs="宋体"/>
                <w:color w:val="auto"/>
                <w:sz w:val="24"/>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1E8EC545">
            <w:pPr>
              <w:snapToGrid w:val="0"/>
              <w:spacing w:before="50" w:after="50"/>
              <w:jc w:val="center"/>
              <w:rPr>
                <w:rFonts w:ascii="宋体" w:hAnsi="宋体" w:cs="宋体"/>
                <w:color w:val="auto"/>
                <w:sz w:val="24"/>
                <w:highlight w:val="none"/>
              </w:rPr>
            </w:pPr>
          </w:p>
        </w:tc>
      </w:tr>
      <w:tr w14:paraId="612A87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4" w:type="dxa"/>
            <w:tcBorders>
              <w:top w:val="single" w:color="auto" w:sz="4" w:space="0"/>
              <w:left w:val="single" w:color="auto" w:sz="4" w:space="0"/>
              <w:bottom w:val="single" w:color="auto" w:sz="4" w:space="0"/>
              <w:right w:val="single" w:color="auto" w:sz="4" w:space="0"/>
            </w:tcBorders>
            <w:vAlign w:val="center"/>
          </w:tcPr>
          <w:p w14:paraId="4D11F499">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经验或业绩要求</w:t>
            </w:r>
          </w:p>
        </w:tc>
        <w:tc>
          <w:tcPr>
            <w:tcW w:w="2700" w:type="dxa"/>
            <w:tcBorders>
              <w:top w:val="single" w:color="auto" w:sz="4" w:space="0"/>
              <w:left w:val="single" w:color="auto" w:sz="4" w:space="0"/>
              <w:bottom w:val="single" w:color="auto" w:sz="4" w:space="0"/>
              <w:right w:val="single" w:color="auto" w:sz="4" w:space="0"/>
            </w:tcBorders>
            <w:vAlign w:val="center"/>
          </w:tcPr>
          <w:p w14:paraId="03C57B77">
            <w:pPr>
              <w:snapToGrid w:val="0"/>
              <w:spacing w:before="50" w:after="50"/>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2B8155F">
            <w:pPr>
              <w:snapToGrid w:val="0"/>
              <w:spacing w:before="50" w:after="50"/>
              <w:jc w:val="center"/>
              <w:rPr>
                <w:rFonts w:ascii="宋体" w:hAnsi="宋体" w:cs="宋体"/>
                <w:color w:val="auto"/>
                <w:sz w:val="24"/>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6DB6F4A6">
            <w:pPr>
              <w:snapToGrid w:val="0"/>
              <w:spacing w:before="50" w:after="50"/>
              <w:jc w:val="center"/>
              <w:rPr>
                <w:rFonts w:ascii="宋体" w:hAnsi="宋体" w:cs="宋体"/>
                <w:color w:val="auto"/>
                <w:sz w:val="24"/>
                <w:highlight w:val="none"/>
              </w:rPr>
            </w:pPr>
          </w:p>
        </w:tc>
      </w:tr>
      <w:tr w14:paraId="75D6B4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4" w:type="dxa"/>
            <w:tcBorders>
              <w:top w:val="single" w:color="auto" w:sz="4" w:space="0"/>
              <w:left w:val="single" w:color="auto" w:sz="4" w:space="0"/>
              <w:bottom w:val="single" w:color="auto" w:sz="4" w:space="0"/>
              <w:right w:val="single" w:color="auto" w:sz="4" w:space="0"/>
            </w:tcBorders>
            <w:vAlign w:val="center"/>
          </w:tcPr>
          <w:p w14:paraId="79D84DE8">
            <w:pPr>
              <w:snapToGrid w:val="0"/>
              <w:spacing w:before="50" w:after="50"/>
              <w:jc w:val="center"/>
              <w:rPr>
                <w:rFonts w:ascii="宋体" w:hAnsi="宋体" w:cs="宋体"/>
                <w:color w:val="auto"/>
                <w:sz w:val="24"/>
                <w:highlight w:val="none"/>
              </w:rPr>
            </w:pPr>
          </w:p>
        </w:tc>
        <w:tc>
          <w:tcPr>
            <w:tcW w:w="2700" w:type="dxa"/>
            <w:tcBorders>
              <w:top w:val="single" w:color="auto" w:sz="4" w:space="0"/>
              <w:left w:val="single" w:color="auto" w:sz="4" w:space="0"/>
              <w:bottom w:val="single" w:color="auto" w:sz="4" w:space="0"/>
              <w:right w:val="single" w:color="auto" w:sz="4" w:space="0"/>
            </w:tcBorders>
            <w:vAlign w:val="center"/>
          </w:tcPr>
          <w:p w14:paraId="1202C984">
            <w:pPr>
              <w:snapToGrid w:val="0"/>
              <w:spacing w:before="50" w:after="50"/>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74F6217">
            <w:pPr>
              <w:snapToGrid w:val="0"/>
              <w:spacing w:before="50" w:after="50"/>
              <w:jc w:val="center"/>
              <w:rPr>
                <w:rFonts w:ascii="宋体" w:hAnsi="宋体" w:cs="宋体"/>
                <w:color w:val="auto"/>
                <w:sz w:val="24"/>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72D12656">
            <w:pPr>
              <w:snapToGrid w:val="0"/>
              <w:spacing w:before="50" w:after="50"/>
              <w:jc w:val="center"/>
              <w:rPr>
                <w:rFonts w:ascii="宋体" w:hAnsi="宋体" w:cs="宋体"/>
                <w:color w:val="auto"/>
                <w:sz w:val="24"/>
                <w:highlight w:val="none"/>
              </w:rPr>
            </w:pPr>
          </w:p>
        </w:tc>
      </w:tr>
      <w:tr w14:paraId="503288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4" w:type="dxa"/>
            <w:tcBorders>
              <w:top w:val="single" w:color="auto" w:sz="4" w:space="0"/>
              <w:left w:val="single" w:color="auto" w:sz="4" w:space="0"/>
              <w:bottom w:val="single" w:color="auto" w:sz="4" w:space="0"/>
              <w:right w:val="single" w:color="auto" w:sz="4" w:space="0"/>
            </w:tcBorders>
            <w:vAlign w:val="center"/>
          </w:tcPr>
          <w:p w14:paraId="2E27E3F7">
            <w:pPr>
              <w:snapToGrid w:val="0"/>
              <w:spacing w:before="50" w:after="50"/>
              <w:jc w:val="center"/>
              <w:rPr>
                <w:rFonts w:ascii="宋体" w:hAnsi="宋体" w:cs="宋体"/>
                <w:color w:val="auto"/>
                <w:sz w:val="24"/>
                <w:highlight w:val="none"/>
              </w:rPr>
            </w:pPr>
          </w:p>
        </w:tc>
        <w:tc>
          <w:tcPr>
            <w:tcW w:w="2700" w:type="dxa"/>
            <w:tcBorders>
              <w:top w:val="single" w:color="auto" w:sz="4" w:space="0"/>
              <w:left w:val="single" w:color="auto" w:sz="4" w:space="0"/>
              <w:bottom w:val="single" w:color="auto" w:sz="4" w:space="0"/>
              <w:right w:val="single" w:color="auto" w:sz="4" w:space="0"/>
            </w:tcBorders>
            <w:vAlign w:val="center"/>
          </w:tcPr>
          <w:p w14:paraId="0446F595">
            <w:pPr>
              <w:snapToGrid w:val="0"/>
              <w:spacing w:before="50" w:after="50"/>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9FB9C3C">
            <w:pPr>
              <w:snapToGrid w:val="0"/>
              <w:spacing w:before="50" w:after="50"/>
              <w:jc w:val="center"/>
              <w:rPr>
                <w:rFonts w:ascii="宋体" w:hAnsi="宋体" w:cs="宋体"/>
                <w:color w:val="auto"/>
                <w:sz w:val="24"/>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07A17178">
            <w:pPr>
              <w:snapToGrid w:val="0"/>
              <w:spacing w:before="50" w:after="50"/>
              <w:jc w:val="center"/>
              <w:rPr>
                <w:rFonts w:ascii="宋体" w:hAnsi="宋体" w:cs="宋体"/>
                <w:color w:val="auto"/>
                <w:sz w:val="24"/>
                <w:highlight w:val="none"/>
              </w:rPr>
            </w:pPr>
          </w:p>
        </w:tc>
      </w:tr>
      <w:tr w14:paraId="70915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4" w:type="dxa"/>
            <w:tcBorders>
              <w:top w:val="single" w:color="auto" w:sz="4" w:space="0"/>
              <w:left w:val="single" w:color="auto" w:sz="4" w:space="0"/>
              <w:bottom w:val="single" w:color="auto" w:sz="4" w:space="0"/>
              <w:right w:val="single" w:color="auto" w:sz="4" w:space="0"/>
            </w:tcBorders>
            <w:vAlign w:val="center"/>
          </w:tcPr>
          <w:p w14:paraId="5CDCDE3D">
            <w:pPr>
              <w:snapToGrid w:val="0"/>
              <w:spacing w:before="50" w:after="50"/>
              <w:jc w:val="center"/>
              <w:rPr>
                <w:rFonts w:ascii="宋体" w:hAnsi="宋体" w:cs="宋体"/>
                <w:color w:val="auto"/>
                <w:sz w:val="24"/>
                <w:highlight w:val="none"/>
              </w:rPr>
            </w:pPr>
          </w:p>
        </w:tc>
        <w:tc>
          <w:tcPr>
            <w:tcW w:w="2700" w:type="dxa"/>
            <w:tcBorders>
              <w:top w:val="single" w:color="auto" w:sz="4" w:space="0"/>
              <w:left w:val="single" w:color="auto" w:sz="4" w:space="0"/>
              <w:bottom w:val="single" w:color="auto" w:sz="4" w:space="0"/>
              <w:right w:val="single" w:color="auto" w:sz="4" w:space="0"/>
            </w:tcBorders>
            <w:vAlign w:val="center"/>
          </w:tcPr>
          <w:p w14:paraId="3D62F777">
            <w:pPr>
              <w:snapToGrid w:val="0"/>
              <w:spacing w:before="50" w:after="50"/>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9EB584B">
            <w:pPr>
              <w:snapToGrid w:val="0"/>
              <w:spacing w:before="50" w:after="50"/>
              <w:jc w:val="center"/>
              <w:rPr>
                <w:rFonts w:ascii="宋体" w:hAnsi="宋体" w:cs="宋体"/>
                <w:color w:val="auto"/>
                <w:sz w:val="24"/>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1A071591">
            <w:pPr>
              <w:snapToGrid w:val="0"/>
              <w:spacing w:before="50" w:after="50"/>
              <w:jc w:val="center"/>
              <w:rPr>
                <w:rFonts w:ascii="宋体" w:hAnsi="宋体" w:cs="宋体"/>
                <w:color w:val="auto"/>
                <w:sz w:val="24"/>
                <w:highlight w:val="none"/>
              </w:rPr>
            </w:pPr>
          </w:p>
        </w:tc>
      </w:tr>
      <w:tr w14:paraId="7BC916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4" w:type="dxa"/>
            <w:tcBorders>
              <w:top w:val="single" w:color="auto" w:sz="4" w:space="0"/>
              <w:left w:val="single" w:color="auto" w:sz="4" w:space="0"/>
              <w:bottom w:val="single" w:color="auto" w:sz="4" w:space="0"/>
              <w:right w:val="single" w:color="auto" w:sz="4" w:space="0"/>
            </w:tcBorders>
            <w:vAlign w:val="center"/>
          </w:tcPr>
          <w:p w14:paraId="3E3E9990">
            <w:pPr>
              <w:snapToGrid w:val="0"/>
              <w:spacing w:before="50" w:after="50"/>
              <w:jc w:val="center"/>
              <w:rPr>
                <w:rFonts w:ascii="宋体" w:hAnsi="宋体" w:cs="宋体"/>
                <w:color w:val="auto"/>
                <w:sz w:val="24"/>
                <w:highlight w:val="none"/>
              </w:rPr>
            </w:pPr>
          </w:p>
        </w:tc>
        <w:tc>
          <w:tcPr>
            <w:tcW w:w="2700" w:type="dxa"/>
            <w:tcBorders>
              <w:top w:val="single" w:color="auto" w:sz="4" w:space="0"/>
              <w:left w:val="single" w:color="auto" w:sz="4" w:space="0"/>
              <w:bottom w:val="single" w:color="auto" w:sz="4" w:space="0"/>
              <w:right w:val="single" w:color="auto" w:sz="4" w:space="0"/>
            </w:tcBorders>
            <w:vAlign w:val="center"/>
          </w:tcPr>
          <w:p w14:paraId="7ECB6EFD">
            <w:pPr>
              <w:snapToGrid w:val="0"/>
              <w:spacing w:before="50" w:after="50"/>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9E4AFF9">
            <w:pPr>
              <w:snapToGrid w:val="0"/>
              <w:spacing w:before="50" w:after="50"/>
              <w:jc w:val="center"/>
              <w:rPr>
                <w:rFonts w:ascii="宋体" w:hAnsi="宋体" w:cs="宋体"/>
                <w:color w:val="auto"/>
                <w:sz w:val="24"/>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69A0E37C">
            <w:pPr>
              <w:snapToGrid w:val="0"/>
              <w:spacing w:before="50" w:after="50"/>
              <w:jc w:val="center"/>
              <w:rPr>
                <w:rFonts w:ascii="宋体" w:hAnsi="宋体" w:cs="宋体"/>
                <w:color w:val="auto"/>
                <w:sz w:val="24"/>
                <w:highlight w:val="none"/>
              </w:rPr>
            </w:pPr>
          </w:p>
        </w:tc>
      </w:tr>
      <w:tr w14:paraId="1E8AC0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4" w:type="dxa"/>
            <w:tcBorders>
              <w:top w:val="single" w:color="auto" w:sz="4" w:space="0"/>
              <w:left w:val="single" w:color="auto" w:sz="4" w:space="0"/>
              <w:bottom w:val="single" w:color="auto" w:sz="4" w:space="0"/>
              <w:right w:val="single" w:color="auto" w:sz="4" w:space="0"/>
            </w:tcBorders>
            <w:vAlign w:val="center"/>
          </w:tcPr>
          <w:p w14:paraId="5DC9BA0A">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w:t>
            </w:r>
          </w:p>
        </w:tc>
        <w:tc>
          <w:tcPr>
            <w:tcW w:w="2700" w:type="dxa"/>
            <w:tcBorders>
              <w:top w:val="single" w:color="auto" w:sz="4" w:space="0"/>
              <w:left w:val="single" w:color="auto" w:sz="4" w:space="0"/>
              <w:bottom w:val="single" w:color="auto" w:sz="4" w:space="0"/>
              <w:right w:val="single" w:color="auto" w:sz="4" w:space="0"/>
            </w:tcBorders>
            <w:vAlign w:val="center"/>
          </w:tcPr>
          <w:p w14:paraId="04E3666D">
            <w:pPr>
              <w:snapToGrid w:val="0"/>
              <w:spacing w:before="50" w:after="50"/>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42FCD7C">
            <w:pPr>
              <w:snapToGrid w:val="0"/>
              <w:spacing w:before="50" w:after="50"/>
              <w:jc w:val="center"/>
              <w:rPr>
                <w:rFonts w:ascii="宋体" w:hAnsi="宋体" w:cs="宋体"/>
                <w:color w:val="auto"/>
                <w:sz w:val="24"/>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025C9EB2">
            <w:pPr>
              <w:snapToGrid w:val="0"/>
              <w:spacing w:before="50" w:after="50"/>
              <w:jc w:val="center"/>
              <w:rPr>
                <w:rFonts w:ascii="宋体" w:hAnsi="宋体" w:cs="宋体"/>
                <w:color w:val="auto"/>
                <w:sz w:val="24"/>
                <w:highlight w:val="none"/>
              </w:rPr>
            </w:pPr>
          </w:p>
        </w:tc>
      </w:tr>
    </w:tbl>
    <w:p w14:paraId="018F4C52">
      <w:pPr>
        <w:spacing w:line="360" w:lineRule="auto"/>
        <w:ind w:left="3600" w:leftChars="1800" w:firstLine="480" w:firstLineChars="200"/>
        <w:rPr>
          <w:rFonts w:ascii="宋体" w:hAnsi="宋体" w:cs="宋体"/>
          <w:color w:val="auto"/>
          <w:sz w:val="24"/>
          <w:highlight w:val="none"/>
        </w:rPr>
      </w:pPr>
    </w:p>
    <w:p w14:paraId="5A2AFF5D">
      <w:pPr>
        <w:spacing w:line="360" w:lineRule="auto"/>
        <w:ind w:left="3600" w:leftChars="1800" w:firstLine="480" w:firstLineChars="200"/>
        <w:rPr>
          <w:rFonts w:ascii="宋体" w:hAnsi="宋体" w:cs="宋体"/>
          <w:color w:val="auto"/>
          <w:sz w:val="24"/>
          <w:highlight w:val="none"/>
        </w:rPr>
      </w:pPr>
    </w:p>
    <w:p w14:paraId="6D6F76EF">
      <w:pPr>
        <w:spacing w:line="360" w:lineRule="auto"/>
        <w:ind w:left="3600" w:leftChars="1800" w:firstLine="480" w:firstLineChars="200"/>
        <w:rPr>
          <w:rFonts w:ascii="宋体" w:hAnsi="宋体" w:cs="宋体"/>
          <w:color w:val="auto"/>
          <w:sz w:val="24"/>
          <w:highlight w:val="none"/>
        </w:rPr>
      </w:pPr>
    </w:p>
    <w:p w14:paraId="179F799B">
      <w:pPr>
        <w:spacing w:line="360" w:lineRule="auto"/>
        <w:ind w:left="3600" w:leftChars="1800" w:firstLine="480" w:firstLineChars="200"/>
        <w:rPr>
          <w:rFonts w:ascii="宋体" w:hAnsi="宋体" w:cs="宋体"/>
          <w:color w:val="auto"/>
          <w:sz w:val="24"/>
          <w:highlight w:val="none"/>
        </w:rPr>
      </w:pPr>
      <w:r>
        <w:rPr>
          <w:rFonts w:hint="eastAsia" w:ascii="宋体" w:hAnsi="宋体" w:cs="宋体"/>
          <w:color w:val="auto"/>
          <w:sz w:val="24"/>
          <w:highlight w:val="none"/>
        </w:rPr>
        <w:t xml:space="preserve">法定代表人签名（或签名章）：                       </w:t>
      </w:r>
    </w:p>
    <w:p w14:paraId="42C48903">
      <w:pPr>
        <w:spacing w:line="360" w:lineRule="auto"/>
        <w:ind w:left="3600" w:leftChars="1800" w:firstLine="480" w:firstLineChars="200"/>
        <w:rPr>
          <w:rFonts w:ascii="宋体" w:hAnsi="宋体" w:cs="宋体"/>
          <w:color w:val="auto"/>
          <w:sz w:val="24"/>
          <w:highlight w:val="none"/>
        </w:rPr>
      </w:pPr>
      <w:r>
        <w:rPr>
          <w:rFonts w:hint="eastAsia" w:ascii="宋体" w:hAnsi="宋体" w:cs="宋体"/>
          <w:color w:val="auto"/>
          <w:sz w:val="24"/>
          <w:highlight w:val="none"/>
        </w:rPr>
        <w:t>日 期：</w:t>
      </w:r>
    </w:p>
    <w:p w14:paraId="16C18274">
      <w:pPr>
        <w:spacing w:line="360" w:lineRule="auto"/>
        <w:ind w:left="3600" w:leftChars="1800" w:firstLine="480" w:firstLineChars="200"/>
        <w:rPr>
          <w:rFonts w:ascii="宋体" w:hAnsi="宋体" w:cs="宋体"/>
          <w:color w:val="auto"/>
          <w:sz w:val="24"/>
          <w:highlight w:val="none"/>
        </w:rPr>
      </w:pPr>
      <w:r>
        <w:rPr>
          <w:rFonts w:hint="eastAsia" w:ascii="宋体" w:hAnsi="宋体" w:cs="宋体"/>
          <w:color w:val="auto"/>
          <w:sz w:val="24"/>
          <w:highlight w:val="none"/>
        </w:rPr>
        <w:t>供应商全称（公章）：</w:t>
      </w:r>
    </w:p>
    <w:p w14:paraId="632C2591">
      <w:pPr>
        <w:spacing w:line="360" w:lineRule="auto"/>
        <w:jc w:val="center"/>
        <w:rPr>
          <w:rFonts w:ascii="宋体"/>
          <w:b/>
          <w:bCs/>
          <w:color w:val="auto"/>
          <w:sz w:val="36"/>
          <w:szCs w:val="36"/>
          <w:highlight w:val="none"/>
        </w:rPr>
      </w:pPr>
      <w:r>
        <w:rPr>
          <w:rFonts w:hint="eastAsia" w:ascii="宋体" w:hAnsi="宋体" w:cs="宋体"/>
          <w:color w:val="auto"/>
          <w:spacing w:val="20"/>
          <w:sz w:val="30"/>
          <w:szCs w:val="30"/>
          <w:highlight w:val="none"/>
        </w:rPr>
        <w:br w:type="page"/>
      </w:r>
      <w:r>
        <w:rPr>
          <w:rFonts w:hint="eastAsia" w:ascii="宋体" w:hAnsi="宋体" w:cs="宋体"/>
          <w:b/>
          <w:bCs/>
          <w:color w:val="auto"/>
          <w:sz w:val="36"/>
          <w:szCs w:val="36"/>
          <w:highlight w:val="none"/>
        </w:rPr>
        <w:t>报价文件</w:t>
      </w:r>
    </w:p>
    <w:p w14:paraId="613E726E">
      <w:pPr>
        <w:spacing w:line="360" w:lineRule="auto"/>
        <w:jc w:val="center"/>
        <w:rPr>
          <w:rFonts w:ascii="宋体"/>
          <w:b/>
          <w:bCs/>
          <w:color w:val="auto"/>
          <w:sz w:val="36"/>
          <w:szCs w:val="36"/>
          <w:highlight w:val="none"/>
        </w:rPr>
      </w:pPr>
    </w:p>
    <w:p w14:paraId="29D43297">
      <w:pPr>
        <w:spacing w:line="360" w:lineRule="auto"/>
        <w:jc w:val="center"/>
        <w:rPr>
          <w:rFonts w:ascii="宋体"/>
          <w:b/>
          <w:bCs/>
          <w:color w:val="auto"/>
          <w:sz w:val="36"/>
          <w:szCs w:val="36"/>
          <w:highlight w:val="none"/>
        </w:rPr>
      </w:pPr>
      <w:r>
        <w:rPr>
          <w:rFonts w:hint="eastAsia" w:ascii="宋体" w:hAnsi="宋体" w:cs="宋体"/>
          <w:b/>
          <w:bCs/>
          <w:color w:val="auto"/>
          <w:sz w:val="36"/>
          <w:szCs w:val="36"/>
          <w:highlight w:val="none"/>
        </w:rPr>
        <w:t>目录</w:t>
      </w:r>
    </w:p>
    <w:p w14:paraId="29001A55">
      <w:pPr>
        <w:pStyle w:val="13"/>
        <w:ind w:firstLine="723"/>
        <w:rPr>
          <w:rFonts w:cs="Times New Roman"/>
          <w:b/>
          <w:bCs/>
          <w:color w:val="auto"/>
          <w:sz w:val="36"/>
          <w:szCs w:val="36"/>
          <w:highlight w:val="none"/>
        </w:rPr>
      </w:pPr>
    </w:p>
    <w:p w14:paraId="5812BAA8">
      <w:pPr>
        <w:numPr>
          <w:ilvl w:val="0"/>
          <w:numId w:val="33"/>
        </w:numPr>
        <w:spacing w:line="360" w:lineRule="auto"/>
        <w:ind w:left="425" w:leftChars="0" w:hanging="425" w:firstLineChars="0"/>
        <w:rPr>
          <w:rFonts w:ascii="宋体"/>
          <w:color w:val="auto"/>
          <w:sz w:val="24"/>
          <w:szCs w:val="24"/>
          <w:highlight w:val="none"/>
        </w:rPr>
      </w:pPr>
      <w:r>
        <w:rPr>
          <w:rFonts w:hint="eastAsia" w:ascii="宋体" w:hAnsi="宋体" w:cs="宋体"/>
          <w:color w:val="auto"/>
          <w:sz w:val="24"/>
          <w:szCs w:val="24"/>
          <w:highlight w:val="none"/>
        </w:rPr>
        <w:t>磋商函（格式见附件）；</w:t>
      </w:r>
    </w:p>
    <w:p w14:paraId="1786CFB4">
      <w:pPr>
        <w:numPr>
          <w:ilvl w:val="0"/>
          <w:numId w:val="33"/>
        </w:numPr>
        <w:spacing w:line="360" w:lineRule="auto"/>
        <w:ind w:left="425" w:leftChars="0" w:hanging="425" w:firstLineChars="0"/>
        <w:rPr>
          <w:rFonts w:ascii="宋体"/>
          <w:color w:val="auto"/>
          <w:sz w:val="24"/>
          <w:szCs w:val="24"/>
          <w:highlight w:val="none"/>
        </w:rPr>
      </w:pPr>
      <w:r>
        <w:rPr>
          <w:rFonts w:hint="eastAsia" w:ascii="宋体" w:hAnsi="宋体" w:cs="宋体"/>
          <w:color w:val="auto"/>
          <w:sz w:val="24"/>
          <w:szCs w:val="24"/>
          <w:highlight w:val="none"/>
        </w:rPr>
        <w:t>报价一览表（格式见附件）；</w:t>
      </w:r>
    </w:p>
    <w:p w14:paraId="5776265D">
      <w:pPr>
        <w:numPr>
          <w:ilvl w:val="0"/>
          <w:numId w:val="33"/>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磋商报价明细表（格式见附件）。</w:t>
      </w:r>
    </w:p>
    <w:p w14:paraId="6851A9D9">
      <w:pPr>
        <w:rPr>
          <w:rFonts w:ascii="宋体"/>
          <w:color w:val="auto"/>
          <w:highlight w:val="none"/>
        </w:rPr>
      </w:pPr>
      <w:r>
        <w:rPr>
          <w:rFonts w:ascii="宋体"/>
          <w:color w:val="auto"/>
          <w:highlight w:val="none"/>
        </w:rPr>
        <w:br w:type="page"/>
      </w:r>
    </w:p>
    <w:p w14:paraId="3CC9C08C">
      <w:pPr>
        <w:rPr>
          <w:rFonts w:ascii="宋体" w:hAnsi="宋体" w:cs="宋体"/>
          <w:b/>
          <w:bCs/>
          <w:color w:val="auto"/>
          <w:highlight w:val="none"/>
          <w:lang w:val="zh-CN"/>
        </w:rPr>
      </w:pPr>
      <w:bookmarkStart w:id="182" w:name="_Toc3094"/>
      <w:bookmarkStart w:id="183" w:name="_Toc12011"/>
      <w:r>
        <w:rPr>
          <w:rFonts w:hint="eastAsia"/>
          <w:b/>
          <w:bCs/>
          <w:color w:val="auto"/>
          <w:sz w:val="24"/>
          <w:szCs w:val="32"/>
          <w:highlight w:val="none"/>
          <w:lang w:val="zh-CN"/>
        </w:rPr>
        <w:t>附件</w:t>
      </w:r>
      <w:bookmarkStart w:id="184" w:name="_Toc98731770"/>
      <w:bookmarkStart w:id="185" w:name="_Toc130094924"/>
      <w:r>
        <w:rPr>
          <w:rFonts w:hint="eastAsia"/>
          <w:b/>
          <w:bCs/>
          <w:color w:val="auto"/>
          <w:sz w:val="24"/>
          <w:szCs w:val="32"/>
          <w:highlight w:val="none"/>
          <w:lang w:val="en-US" w:eastAsia="zh-CN"/>
        </w:rPr>
        <w:t>十二</w:t>
      </w:r>
      <w:r>
        <w:rPr>
          <w:rFonts w:hint="eastAsia"/>
          <w:b/>
          <w:bCs/>
          <w:color w:val="auto"/>
          <w:sz w:val="24"/>
          <w:szCs w:val="32"/>
          <w:highlight w:val="none"/>
        </w:rPr>
        <w:t>：</w:t>
      </w:r>
    </w:p>
    <w:p w14:paraId="3202077F">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磋 商 函</w:t>
      </w:r>
      <w:bookmarkEnd w:id="182"/>
      <w:bookmarkEnd w:id="184"/>
      <w:bookmarkEnd w:id="185"/>
    </w:p>
    <w:p w14:paraId="552FA07B">
      <w:pPr>
        <w:spacing w:line="360" w:lineRule="auto"/>
        <w:ind w:firstLine="480" w:firstLineChars="200"/>
        <w:rPr>
          <w:rFonts w:ascii="宋体" w:hAnsi="宋体" w:cs="宋体"/>
          <w:color w:val="auto"/>
          <w:sz w:val="24"/>
          <w:highlight w:val="none"/>
          <w:u w:val="single"/>
        </w:rPr>
      </w:pPr>
    </w:p>
    <w:p w14:paraId="0E4B484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绍兴市上虞区应急管理局</w:t>
      </w:r>
      <w:r>
        <w:rPr>
          <w:rFonts w:hint="eastAsia" w:ascii="宋体" w:hAnsi="宋体" w:cs="宋体"/>
          <w:color w:val="auto"/>
          <w:sz w:val="24"/>
          <w:highlight w:val="none"/>
        </w:rPr>
        <w:t>：</w:t>
      </w:r>
    </w:p>
    <w:p w14:paraId="19829FE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绍兴成言工程咨询管理有限公司</w:t>
      </w:r>
      <w:r>
        <w:rPr>
          <w:rFonts w:hint="eastAsia" w:ascii="宋体" w:hAnsi="宋体" w:cs="宋体"/>
          <w:color w:val="auto"/>
          <w:sz w:val="24"/>
          <w:highlight w:val="none"/>
        </w:rPr>
        <w:t>：</w:t>
      </w:r>
    </w:p>
    <w:p w14:paraId="225755D1">
      <w:pPr>
        <w:spacing w:line="360" w:lineRule="auto"/>
        <w:ind w:firstLine="480"/>
        <w:jc w:val="left"/>
        <w:rPr>
          <w:rFonts w:ascii="宋体"/>
          <w:color w:val="auto"/>
          <w:sz w:val="24"/>
          <w:szCs w:val="24"/>
          <w:highlight w:val="none"/>
        </w:rPr>
      </w:pPr>
      <w:r>
        <w:rPr>
          <w:rFonts w:hint="eastAsia" w:ascii="宋体" w:hAnsi="宋体" w:cs="宋体"/>
          <w:color w:val="auto"/>
          <w:sz w:val="24"/>
          <w:szCs w:val="24"/>
          <w:highlight w:val="none"/>
        </w:rPr>
        <w:t>我单位认真研究了关于</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的磋商文件，包括修改文件（如有的话）以及全部参考资料和有关附件。我们完全理解并接受磋商文件的各项规定和要求，对磋商文件的合理性、合法性不再有异议。如磋商文件前后有矛盾的，我方完全同意按贵方的理解处理。我单位承诺：</w:t>
      </w:r>
    </w:p>
    <w:p w14:paraId="44A3662C">
      <w:pPr>
        <w:numPr>
          <w:ilvl w:val="0"/>
          <w:numId w:val="34"/>
        </w:num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一旦我单位</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，我单位愿意承接报价一览表中所列的技术服务，服务期为：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7AC13002">
      <w:pPr>
        <w:numPr>
          <w:ilvl w:val="0"/>
          <w:numId w:val="34"/>
        </w:num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我方同意在投标人须知规定的开标日期起遵守本</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文件中的承诺且在有效期满之前均具有约束力。</w:t>
      </w:r>
    </w:p>
    <w:p w14:paraId="394E3B16">
      <w:pPr>
        <w:numPr>
          <w:ilvl w:val="0"/>
          <w:numId w:val="34"/>
        </w:num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我方承诺已经具备《中华人民共和国政府采购法》中规定的参加政府采购活动的供应商应当具备的条件。</w:t>
      </w:r>
    </w:p>
    <w:p w14:paraId="1393EBBA">
      <w:pPr>
        <w:numPr>
          <w:ilvl w:val="0"/>
          <w:numId w:val="34"/>
        </w:num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本公司</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文件中填列的服务、数量等相关内容都是真实、准确的。保证在本次项目中所提供的资料全部真实和合法。同意向</w:t>
      </w:r>
      <w:r>
        <w:rPr>
          <w:rFonts w:hint="eastAsia" w:ascii="宋体" w:hAnsi="宋体" w:cs="宋体"/>
          <w:color w:val="auto"/>
          <w:sz w:val="24"/>
          <w:szCs w:val="24"/>
          <w:highlight w:val="none"/>
          <w:lang w:eastAsia="zh-CN"/>
        </w:rPr>
        <w:t>采购代理机构</w:t>
      </w:r>
      <w:r>
        <w:rPr>
          <w:rFonts w:hint="eastAsia" w:ascii="宋体" w:hAnsi="宋体" w:cs="宋体"/>
          <w:color w:val="auto"/>
          <w:sz w:val="24"/>
          <w:szCs w:val="24"/>
          <w:highlight w:val="none"/>
        </w:rPr>
        <w:t>提供可能另外要求的与投标有关的任何数据或资料。</w:t>
      </w:r>
    </w:p>
    <w:p w14:paraId="463D2A38">
      <w:pPr>
        <w:numPr>
          <w:ilvl w:val="0"/>
          <w:numId w:val="34"/>
        </w:num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我方理解贵方将不受你们所收到的最低报价的约束。</w:t>
      </w:r>
    </w:p>
    <w:p w14:paraId="5E6EA36E">
      <w:pPr>
        <w:numPr>
          <w:ilvl w:val="0"/>
          <w:numId w:val="34"/>
        </w:num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本投标自开标之日（投标截止之日）起90天内有效。</w:t>
      </w:r>
    </w:p>
    <w:p w14:paraId="7058AE8A">
      <w:pPr>
        <w:numPr>
          <w:ilvl w:val="0"/>
          <w:numId w:val="34"/>
        </w:num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我方将严格遵守《中华人民共和国政府采购法》第七十七条规定，供应商有下列情形之一的，处以采购金额5</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以上10</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4EEA1B60">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a)提供虚假材料谋取中标、成交的；</w:t>
      </w:r>
    </w:p>
    <w:p w14:paraId="00388786">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b)采取不正当手段诋毁、排挤其他供应商的；</w:t>
      </w:r>
    </w:p>
    <w:p w14:paraId="694DA7E9">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c)与采购人、其它供应商或者采购代理机构恶意串通的；</w:t>
      </w:r>
    </w:p>
    <w:p w14:paraId="62A954BC">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d)向采购人、采购代理机构行贿或者提供其他不正当利益的；</w:t>
      </w:r>
    </w:p>
    <w:p w14:paraId="6AED17FF">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e)在招标采购过程中与采购人进行</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的；</w:t>
      </w:r>
    </w:p>
    <w:p w14:paraId="2E82667D">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f)拒绝有关部门监督检查或提供虚假情况的。</w:t>
      </w:r>
    </w:p>
    <w:p w14:paraId="69112808">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供应商有前款第a)至e)项情形之一的，成交无效。</w:t>
      </w:r>
    </w:p>
    <w:p w14:paraId="56D6B490">
      <w:pPr>
        <w:spacing w:line="360" w:lineRule="auto"/>
        <w:ind w:firstLine="576" w:firstLineChars="240"/>
        <w:rPr>
          <w:rFonts w:ascii="宋体" w:hAnsi="宋体" w:cs="宋体"/>
          <w:color w:val="auto"/>
          <w:sz w:val="24"/>
          <w:szCs w:val="24"/>
          <w:highlight w:val="none"/>
        </w:rPr>
      </w:pPr>
    </w:p>
    <w:p w14:paraId="248F2C37">
      <w:pPr>
        <w:pStyle w:val="15"/>
        <w:snapToGrid w:val="0"/>
        <w:spacing w:line="360" w:lineRule="auto"/>
        <w:ind w:left="480"/>
        <w:jc w:val="left"/>
        <w:rPr>
          <w:rFonts w:hAnsi="宋体"/>
          <w:color w:val="auto"/>
          <w:sz w:val="24"/>
          <w:szCs w:val="24"/>
          <w:highlight w:val="none"/>
        </w:rPr>
      </w:pPr>
      <w:r>
        <w:rPr>
          <w:rFonts w:hAnsi="宋体"/>
          <w:color w:val="auto"/>
          <w:sz w:val="24"/>
          <w:szCs w:val="24"/>
          <w:highlight w:val="none"/>
        </w:rPr>
        <w:t xml:space="preserve"> </w:t>
      </w:r>
    </w:p>
    <w:p w14:paraId="0B86B2D0">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地址：</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邮编：</w:t>
      </w:r>
      <w:r>
        <w:rPr>
          <w:rFonts w:ascii="宋体" w:hAnsi="宋体" w:cs="宋体"/>
          <w:color w:val="auto"/>
          <w:sz w:val="24"/>
          <w:szCs w:val="24"/>
          <w:highlight w:val="none"/>
          <w:u w:val="single"/>
        </w:rPr>
        <w:t xml:space="preserve">                 </w:t>
      </w:r>
    </w:p>
    <w:p w14:paraId="143A276E">
      <w:pPr>
        <w:spacing w:line="360" w:lineRule="auto"/>
        <w:ind w:firstLine="480" w:firstLineChars="200"/>
        <w:rPr>
          <w:rFonts w:ascii="宋体"/>
          <w:color w:val="auto"/>
          <w:sz w:val="24"/>
          <w:szCs w:val="24"/>
          <w:highlight w:val="none"/>
          <w:u w:val="single"/>
        </w:rPr>
      </w:pPr>
      <w:r>
        <w:rPr>
          <w:rFonts w:hint="eastAsia" w:ascii="宋体" w:hAnsi="宋体" w:cs="宋体"/>
          <w:color w:val="auto"/>
          <w:sz w:val="24"/>
          <w:szCs w:val="24"/>
          <w:highlight w:val="none"/>
        </w:rPr>
        <w:t>电话：</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传真：</w:t>
      </w:r>
      <w:r>
        <w:rPr>
          <w:rFonts w:ascii="宋体" w:hAnsi="宋体" w:cs="宋体"/>
          <w:color w:val="auto"/>
          <w:sz w:val="24"/>
          <w:szCs w:val="24"/>
          <w:highlight w:val="none"/>
          <w:u w:val="single"/>
        </w:rPr>
        <w:t xml:space="preserve">                 </w:t>
      </w:r>
    </w:p>
    <w:p w14:paraId="13EBE7D4">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供应商代表姓名：</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职务：</w:t>
      </w:r>
      <w:r>
        <w:rPr>
          <w:rFonts w:ascii="宋体" w:hAnsi="宋体" w:cs="宋体"/>
          <w:color w:val="auto"/>
          <w:sz w:val="24"/>
          <w:szCs w:val="24"/>
          <w:highlight w:val="none"/>
          <w:u w:val="single"/>
        </w:rPr>
        <w:t xml:space="preserve">                 </w:t>
      </w:r>
    </w:p>
    <w:p w14:paraId="2A532B3B">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供应商名称</w:t>
      </w:r>
      <w:r>
        <w:rPr>
          <w:rFonts w:hint="eastAsia" w:ascii="宋体" w:hAnsi="宋体" w:cs="宋体"/>
          <w:color w:val="auto"/>
          <w:sz w:val="24"/>
          <w:szCs w:val="24"/>
          <w:highlight w:val="none"/>
          <w:u w:val="non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w:t>
      </w:r>
    </w:p>
    <w:p w14:paraId="5C05D841">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（公章）：</w:t>
      </w:r>
      <w:r>
        <w:rPr>
          <w:rFonts w:ascii="宋体" w:hAnsi="宋体" w:cs="宋体"/>
          <w:color w:val="auto"/>
          <w:sz w:val="24"/>
          <w:szCs w:val="24"/>
          <w:highlight w:val="none"/>
        </w:rPr>
        <w:t xml:space="preserve">                   </w:t>
      </w:r>
    </w:p>
    <w:p w14:paraId="55E6478A">
      <w:pPr>
        <w:spacing w:line="360" w:lineRule="auto"/>
        <w:ind w:left="3600" w:leftChars="1800" w:firstLine="480" w:firstLineChars="200"/>
        <w:rPr>
          <w:rFonts w:ascii="宋体"/>
          <w:color w:val="auto"/>
          <w:sz w:val="24"/>
          <w:szCs w:val="24"/>
          <w:highlight w:val="none"/>
        </w:rPr>
      </w:pPr>
      <w:r>
        <w:rPr>
          <w:rFonts w:hint="eastAsia" w:ascii="宋体" w:hAnsi="宋体" w:cs="宋体"/>
          <w:color w:val="auto"/>
          <w:sz w:val="24"/>
          <w:szCs w:val="24"/>
          <w:highlight w:val="none"/>
        </w:rPr>
        <w:t>法定代表人签名（或签名章）：</w:t>
      </w:r>
      <w:r>
        <w:rPr>
          <w:rFonts w:ascii="宋体" w:hAnsi="宋体" w:cs="宋体"/>
          <w:color w:val="auto"/>
          <w:sz w:val="24"/>
          <w:szCs w:val="24"/>
          <w:highlight w:val="none"/>
        </w:rPr>
        <w:t xml:space="preserve">                       </w:t>
      </w:r>
    </w:p>
    <w:p w14:paraId="3DCCF537">
      <w:pPr>
        <w:ind w:firstLine="4080" w:firstLineChars="1700"/>
        <w:rPr>
          <w:rFonts w:hint="eastAsia" w:cs="宋体"/>
          <w:b/>
          <w:bCs/>
          <w:color w:val="auto"/>
          <w:sz w:val="24"/>
          <w:szCs w:val="24"/>
          <w:highlight w:val="none"/>
          <w:lang w:val="zh-CN"/>
        </w:rPr>
      </w:pP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期：</w:t>
      </w:r>
    </w:p>
    <w:p w14:paraId="29FE257A">
      <w:pPr>
        <w:rPr>
          <w:rFonts w:hint="eastAsia" w:cs="宋体"/>
          <w:b/>
          <w:bCs/>
          <w:color w:val="auto"/>
          <w:sz w:val="24"/>
          <w:szCs w:val="24"/>
          <w:highlight w:val="none"/>
          <w:lang w:val="zh-CN"/>
        </w:rPr>
      </w:pPr>
    </w:p>
    <w:p w14:paraId="49572239">
      <w:pPr>
        <w:rPr>
          <w:rFonts w:hint="eastAsia" w:cs="宋体"/>
          <w:b/>
          <w:bCs/>
          <w:color w:val="auto"/>
          <w:sz w:val="24"/>
          <w:szCs w:val="24"/>
          <w:highlight w:val="none"/>
          <w:lang w:val="zh-CN"/>
        </w:rPr>
      </w:pPr>
    </w:p>
    <w:p w14:paraId="55964F4D">
      <w:pPr>
        <w:rPr>
          <w:rFonts w:hint="eastAsia" w:cs="宋体"/>
          <w:b/>
          <w:bCs/>
          <w:color w:val="auto"/>
          <w:sz w:val="24"/>
          <w:szCs w:val="24"/>
          <w:highlight w:val="none"/>
          <w:lang w:val="zh-CN"/>
        </w:rPr>
      </w:pPr>
    </w:p>
    <w:p w14:paraId="4837B004">
      <w:pPr>
        <w:rPr>
          <w:rFonts w:hint="eastAsia" w:cs="宋体"/>
          <w:b/>
          <w:bCs/>
          <w:color w:val="auto"/>
          <w:sz w:val="24"/>
          <w:szCs w:val="24"/>
          <w:highlight w:val="none"/>
          <w:lang w:val="zh-CN"/>
        </w:rPr>
      </w:pPr>
    </w:p>
    <w:p w14:paraId="19668CAA">
      <w:pPr>
        <w:rPr>
          <w:rFonts w:hint="eastAsia" w:cs="宋体"/>
          <w:b/>
          <w:bCs/>
          <w:color w:val="auto"/>
          <w:sz w:val="24"/>
          <w:szCs w:val="24"/>
          <w:highlight w:val="none"/>
          <w:lang w:val="zh-CN"/>
        </w:rPr>
      </w:pPr>
    </w:p>
    <w:p w14:paraId="75B35FB3">
      <w:pPr>
        <w:rPr>
          <w:rFonts w:hint="eastAsia" w:cs="宋体"/>
          <w:b/>
          <w:bCs/>
          <w:color w:val="auto"/>
          <w:sz w:val="24"/>
          <w:szCs w:val="24"/>
          <w:highlight w:val="none"/>
          <w:lang w:val="zh-CN"/>
        </w:rPr>
      </w:pPr>
    </w:p>
    <w:p w14:paraId="62AC58D4">
      <w:pPr>
        <w:rPr>
          <w:rFonts w:hint="eastAsia" w:cs="宋体"/>
          <w:b/>
          <w:bCs/>
          <w:color w:val="auto"/>
          <w:sz w:val="24"/>
          <w:szCs w:val="24"/>
          <w:highlight w:val="none"/>
          <w:lang w:val="zh-CN"/>
        </w:rPr>
      </w:pPr>
    </w:p>
    <w:p w14:paraId="519AEFC5">
      <w:pPr>
        <w:rPr>
          <w:rFonts w:hint="eastAsia" w:cs="宋体"/>
          <w:b/>
          <w:bCs/>
          <w:color w:val="auto"/>
          <w:sz w:val="24"/>
          <w:szCs w:val="24"/>
          <w:highlight w:val="none"/>
          <w:lang w:val="zh-CN"/>
        </w:rPr>
      </w:pPr>
    </w:p>
    <w:p w14:paraId="06CA836A">
      <w:pPr>
        <w:rPr>
          <w:rFonts w:hint="eastAsia" w:cs="宋体"/>
          <w:b/>
          <w:bCs/>
          <w:color w:val="auto"/>
          <w:sz w:val="24"/>
          <w:szCs w:val="24"/>
          <w:highlight w:val="none"/>
          <w:lang w:val="zh-CN"/>
        </w:rPr>
      </w:pPr>
    </w:p>
    <w:p w14:paraId="59A47743">
      <w:pPr>
        <w:rPr>
          <w:rFonts w:hint="eastAsia" w:cs="宋体"/>
          <w:b/>
          <w:bCs/>
          <w:color w:val="auto"/>
          <w:sz w:val="24"/>
          <w:szCs w:val="24"/>
          <w:highlight w:val="none"/>
          <w:lang w:val="zh-CN"/>
        </w:rPr>
      </w:pPr>
    </w:p>
    <w:p w14:paraId="54072910">
      <w:pPr>
        <w:rPr>
          <w:rFonts w:hint="eastAsia" w:cs="宋体"/>
          <w:b/>
          <w:bCs/>
          <w:color w:val="auto"/>
          <w:sz w:val="24"/>
          <w:szCs w:val="24"/>
          <w:highlight w:val="none"/>
          <w:lang w:val="zh-CN"/>
        </w:rPr>
      </w:pPr>
    </w:p>
    <w:p w14:paraId="287E110E">
      <w:pPr>
        <w:rPr>
          <w:rFonts w:hint="eastAsia" w:cs="宋体"/>
          <w:b/>
          <w:bCs/>
          <w:color w:val="auto"/>
          <w:sz w:val="24"/>
          <w:szCs w:val="24"/>
          <w:highlight w:val="none"/>
          <w:lang w:val="zh-CN"/>
        </w:rPr>
      </w:pPr>
    </w:p>
    <w:p w14:paraId="2A01EC32">
      <w:pPr>
        <w:rPr>
          <w:rFonts w:hint="eastAsia" w:cs="宋体"/>
          <w:b/>
          <w:bCs/>
          <w:color w:val="auto"/>
          <w:sz w:val="24"/>
          <w:szCs w:val="24"/>
          <w:highlight w:val="none"/>
          <w:lang w:val="zh-CN"/>
        </w:rPr>
      </w:pPr>
    </w:p>
    <w:p w14:paraId="4E607801">
      <w:pPr>
        <w:rPr>
          <w:rFonts w:hint="eastAsia" w:cs="宋体"/>
          <w:b/>
          <w:bCs/>
          <w:color w:val="auto"/>
          <w:sz w:val="24"/>
          <w:szCs w:val="24"/>
          <w:highlight w:val="none"/>
          <w:lang w:val="zh-CN"/>
        </w:rPr>
      </w:pPr>
    </w:p>
    <w:p w14:paraId="34030630">
      <w:pPr>
        <w:rPr>
          <w:rFonts w:hint="eastAsia" w:cs="宋体"/>
          <w:b/>
          <w:bCs/>
          <w:color w:val="auto"/>
          <w:sz w:val="24"/>
          <w:szCs w:val="24"/>
          <w:highlight w:val="none"/>
          <w:lang w:val="zh-CN"/>
        </w:rPr>
      </w:pPr>
    </w:p>
    <w:p w14:paraId="301FADB3">
      <w:pPr>
        <w:rPr>
          <w:rFonts w:hint="eastAsia" w:cs="宋体"/>
          <w:b/>
          <w:bCs/>
          <w:color w:val="auto"/>
          <w:sz w:val="24"/>
          <w:szCs w:val="24"/>
          <w:highlight w:val="none"/>
          <w:lang w:val="zh-CN"/>
        </w:rPr>
      </w:pPr>
    </w:p>
    <w:p w14:paraId="1A1CBF91">
      <w:pPr>
        <w:rPr>
          <w:rFonts w:hint="eastAsia" w:cs="宋体"/>
          <w:b/>
          <w:bCs/>
          <w:color w:val="auto"/>
          <w:sz w:val="24"/>
          <w:szCs w:val="24"/>
          <w:highlight w:val="none"/>
          <w:lang w:val="zh-CN"/>
        </w:rPr>
      </w:pPr>
    </w:p>
    <w:p w14:paraId="5CB5D0A9">
      <w:pPr>
        <w:rPr>
          <w:rFonts w:hint="eastAsia" w:cs="宋体"/>
          <w:b/>
          <w:bCs/>
          <w:color w:val="auto"/>
          <w:sz w:val="24"/>
          <w:szCs w:val="24"/>
          <w:highlight w:val="none"/>
          <w:lang w:val="zh-CN"/>
        </w:rPr>
      </w:pPr>
    </w:p>
    <w:p w14:paraId="4FA059CE">
      <w:pPr>
        <w:rPr>
          <w:rFonts w:hint="eastAsia" w:cs="宋体"/>
          <w:b/>
          <w:bCs/>
          <w:color w:val="auto"/>
          <w:sz w:val="24"/>
          <w:szCs w:val="24"/>
          <w:highlight w:val="none"/>
          <w:lang w:val="zh-CN"/>
        </w:rPr>
      </w:pPr>
    </w:p>
    <w:p w14:paraId="3B7C1F66">
      <w:pPr>
        <w:rPr>
          <w:rFonts w:hint="eastAsia" w:cs="宋体"/>
          <w:b/>
          <w:bCs/>
          <w:color w:val="auto"/>
          <w:sz w:val="24"/>
          <w:szCs w:val="24"/>
          <w:highlight w:val="none"/>
          <w:lang w:val="zh-CN"/>
        </w:rPr>
      </w:pPr>
    </w:p>
    <w:p w14:paraId="0636CF71">
      <w:pPr>
        <w:rPr>
          <w:rFonts w:hint="eastAsia" w:cs="宋体"/>
          <w:b/>
          <w:bCs/>
          <w:color w:val="auto"/>
          <w:sz w:val="24"/>
          <w:szCs w:val="24"/>
          <w:highlight w:val="none"/>
          <w:lang w:val="zh-CN"/>
        </w:rPr>
      </w:pPr>
    </w:p>
    <w:p w14:paraId="1E497620">
      <w:pPr>
        <w:rPr>
          <w:rFonts w:hint="eastAsia" w:cs="宋体"/>
          <w:b/>
          <w:bCs/>
          <w:color w:val="auto"/>
          <w:sz w:val="24"/>
          <w:szCs w:val="24"/>
          <w:highlight w:val="none"/>
          <w:lang w:val="zh-CN"/>
        </w:rPr>
      </w:pPr>
    </w:p>
    <w:p w14:paraId="751F8EFD">
      <w:pPr>
        <w:rPr>
          <w:rFonts w:hint="eastAsia" w:cs="宋体"/>
          <w:b/>
          <w:bCs/>
          <w:color w:val="auto"/>
          <w:sz w:val="24"/>
          <w:szCs w:val="24"/>
          <w:highlight w:val="none"/>
          <w:lang w:val="zh-CN"/>
        </w:rPr>
      </w:pPr>
    </w:p>
    <w:p w14:paraId="3384121A">
      <w:pPr>
        <w:rPr>
          <w:rFonts w:hint="eastAsia" w:cs="宋体"/>
          <w:b/>
          <w:bCs/>
          <w:color w:val="auto"/>
          <w:sz w:val="24"/>
          <w:szCs w:val="24"/>
          <w:highlight w:val="none"/>
          <w:lang w:val="zh-CN"/>
        </w:rPr>
      </w:pPr>
    </w:p>
    <w:p w14:paraId="1BAFB7F0">
      <w:pPr>
        <w:rPr>
          <w:rFonts w:hint="eastAsia" w:cs="宋体"/>
          <w:b/>
          <w:bCs/>
          <w:color w:val="auto"/>
          <w:sz w:val="24"/>
          <w:szCs w:val="24"/>
          <w:highlight w:val="none"/>
          <w:lang w:val="zh-CN"/>
        </w:rPr>
      </w:pPr>
    </w:p>
    <w:p w14:paraId="1268936E">
      <w:pPr>
        <w:rPr>
          <w:rFonts w:hint="eastAsia" w:cs="宋体"/>
          <w:b/>
          <w:bCs/>
          <w:color w:val="auto"/>
          <w:sz w:val="24"/>
          <w:szCs w:val="24"/>
          <w:highlight w:val="none"/>
          <w:lang w:val="zh-CN"/>
        </w:rPr>
      </w:pPr>
    </w:p>
    <w:p w14:paraId="19CF166F">
      <w:pPr>
        <w:rPr>
          <w:rFonts w:hint="eastAsia" w:cs="宋体"/>
          <w:b/>
          <w:bCs/>
          <w:color w:val="auto"/>
          <w:sz w:val="24"/>
          <w:szCs w:val="24"/>
          <w:highlight w:val="none"/>
          <w:lang w:val="zh-CN"/>
        </w:rPr>
      </w:pPr>
    </w:p>
    <w:bookmarkEnd w:id="183"/>
    <w:p w14:paraId="5CA88258">
      <w:pPr>
        <w:rPr>
          <w:b/>
          <w:bCs/>
          <w:color w:val="auto"/>
          <w:sz w:val="24"/>
          <w:szCs w:val="32"/>
          <w:highlight w:val="none"/>
          <w:lang w:val="zh-CN"/>
        </w:rPr>
      </w:pPr>
      <w:r>
        <w:rPr>
          <w:rFonts w:hint="eastAsia"/>
          <w:b/>
          <w:bCs/>
          <w:color w:val="auto"/>
          <w:sz w:val="24"/>
          <w:szCs w:val="32"/>
          <w:highlight w:val="none"/>
          <w:lang w:val="zh-CN"/>
        </w:rPr>
        <w:t>附件</w:t>
      </w:r>
      <w:bookmarkStart w:id="186" w:name="_Toc98731771"/>
      <w:bookmarkStart w:id="187" w:name="_Toc130094925"/>
      <w:r>
        <w:rPr>
          <w:rFonts w:hint="eastAsia"/>
          <w:b/>
          <w:bCs/>
          <w:color w:val="auto"/>
          <w:sz w:val="24"/>
          <w:szCs w:val="32"/>
          <w:highlight w:val="none"/>
        </w:rPr>
        <w:t>十</w:t>
      </w:r>
      <w:r>
        <w:rPr>
          <w:rFonts w:hint="eastAsia"/>
          <w:b/>
          <w:bCs/>
          <w:color w:val="auto"/>
          <w:sz w:val="24"/>
          <w:szCs w:val="32"/>
          <w:highlight w:val="none"/>
          <w:lang w:val="en-US" w:eastAsia="zh-CN"/>
        </w:rPr>
        <w:t>三</w:t>
      </w:r>
      <w:r>
        <w:rPr>
          <w:rFonts w:hint="eastAsia"/>
          <w:b/>
          <w:bCs/>
          <w:color w:val="auto"/>
          <w:sz w:val="24"/>
          <w:szCs w:val="32"/>
          <w:highlight w:val="none"/>
        </w:rPr>
        <w:t>：</w:t>
      </w:r>
    </w:p>
    <w:p w14:paraId="4B374DCE">
      <w:pPr>
        <w:bidi w:val="0"/>
        <w:jc w:val="center"/>
        <w:rPr>
          <w:b/>
          <w:bCs/>
          <w:sz w:val="32"/>
          <w:szCs w:val="32"/>
        </w:rPr>
      </w:pPr>
      <w:bookmarkStart w:id="188" w:name="_Toc18450"/>
      <w:bookmarkStart w:id="189" w:name="_Toc24380"/>
      <w:bookmarkStart w:id="190" w:name="_Toc3109"/>
      <w:r>
        <w:rPr>
          <w:rFonts w:hint="eastAsia"/>
          <w:b/>
          <w:bCs/>
          <w:sz w:val="32"/>
          <w:szCs w:val="32"/>
        </w:rPr>
        <w:t>报价一览表</w:t>
      </w:r>
      <w:bookmarkEnd w:id="186"/>
      <w:bookmarkEnd w:id="187"/>
      <w:bookmarkEnd w:id="188"/>
      <w:bookmarkEnd w:id="189"/>
      <w:bookmarkEnd w:id="190"/>
    </w:p>
    <w:p w14:paraId="7E8FFA32">
      <w:pPr>
        <w:pStyle w:val="15"/>
        <w:spacing w:line="360" w:lineRule="auto"/>
        <w:rPr>
          <w:rFonts w:hAnsi="宋体" w:cs="宋体"/>
          <w:color w:val="auto"/>
          <w:sz w:val="24"/>
          <w:highlight w:val="none"/>
        </w:rPr>
      </w:pPr>
    </w:p>
    <w:p w14:paraId="609559A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项目名称：</w:t>
      </w:r>
    </w:p>
    <w:p w14:paraId="05202C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采购编号：               </w:t>
      </w:r>
    </w:p>
    <w:tbl>
      <w:tblPr>
        <w:tblStyle w:val="28"/>
        <w:tblW w:w="8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9"/>
        <w:gridCol w:w="6707"/>
      </w:tblGrid>
      <w:tr w14:paraId="2D28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9" w:hRule="atLeast"/>
          <w:jc w:val="center"/>
        </w:trPr>
        <w:tc>
          <w:tcPr>
            <w:tcW w:w="2089" w:type="dxa"/>
            <w:vAlign w:val="center"/>
          </w:tcPr>
          <w:p w14:paraId="5E357CAC">
            <w:pPr>
              <w:pStyle w:val="15"/>
              <w:spacing w:line="360" w:lineRule="auto"/>
              <w:jc w:val="center"/>
              <w:rPr>
                <w:rFonts w:hAnsi="宋体" w:cs="宋体"/>
                <w:b/>
                <w:bCs/>
                <w:color w:val="auto"/>
                <w:sz w:val="24"/>
                <w:highlight w:val="none"/>
              </w:rPr>
            </w:pPr>
            <w:r>
              <w:rPr>
                <w:rFonts w:hint="eastAsia" w:hAnsi="宋体" w:cs="宋体"/>
                <w:b/>
                <w:bCs/>
                <w:color w:val="auto"/>
                <w:sz w:val="24"/>
                <w:highlight w:val="none"/>
              </w:rPr>
              <w:t>投标总价</w:t>
            </w:r>
          </w:p>
        </w:tc>
        <w:tc>
          <w:tcPr>
            <w:tcW w:w="6707" w:type="dxa"/>
            <w:vAlign w:val="center"/>
          </w:tcPr>
          <w:p w14:paraId="4C54B139">
            <w:pPr>
              <w:pStyle w:val="15"/>
              <w:spacing w:line="360" w:lineRule="auto"/>
              <w:jc w:val="center"/>
              <w:rPr>
                <w:rFonts w:hAnsi="宋体" w:cs="宋体"/>
                <w:b/>
                <w:bCs/>
                <w:color w:val="auto"/>
                <w:sz w:val="24"/>
                <w:highlight w:val="none"/>
              </w:rPr>
            </w:pPr>
            <w:r>
              <w:rPr>
                <w:rFonts w:hint="eastAsia" w:hAnsi="宋体" w:cs="宋体"/>
                <w:b/>
                <w:bCs/>
                <w:color w:val="auto"/>
                <w:sz w:val="24"/>
                <w:highlight w:val="none"/>
              </w:rPr>
              <w:t>大写：</w:t>
            </w:r>
            <w:r>
              <w:rPr>
                <w:rFonts w:hint="eastAsia" w:hAnsi="宋体" w:cs="宋体"/>
                <w:b/>
                <w:bCs/>
                <w:color w:val="auto"/>
                <w:sz w:val="24"/>
                <w:highlight w:val="none"/>
                <w:u w:val="single"/>
              </w:rPr>
              <w:t xml:space="preserve">　　　　            </w:t>
            </w:r>
            <w:r>
              <w:rPr>
                <w:rFonts w:hint="eastAsia" w:hAnsi="宋体" w:cs="宋体"/>
                <w:b/>
                <w:bCs/>
                <w:color w:val="auto"/>
                <w:sz w:val="24"/>
                <w:highlight w:val="none"/>
              </w:rPr>
              <w:t>元（小写：</w:t>
            </w:r>
            <w:r>
              <w:rPr>
                <w:rFonts w:hint="eastAsia" w:hAnsi="宋体" w:cs="宋体"/>
                <w:b/>
                <w:bCs/>
                <w:color w:val="auto"/>
                <w:sz w:val="24"/>
                <w:highlight w:val="none"/>
                <w:u w:val="single"/>
              </w:rPr>
              <w:t xml:space="preserve">　　　　 </w:t>
            </w:r>
            <w:r>
              <w:rPr>
                <w:rFonts w:hint="eastAsia" w:hAnsi="宋体" w:cs="宋体"/>
                <w:b/>
                <w:bCs/>
                <w:color w:val="auto"/>
                <w:sz w:val="24"/>
                <w:highlight w:val="none"/>
              </w:rPr>
              <w:t>）</w:t>
            </w:r>
          </w:p>
        </w:tc>
      </w:tr>
      <w:tr w14:paraId="4292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8" w:hRule="atLeast"/>
          <w:jc w:val="center"/>
        </w:trPr>
        <w:tc>
          <w:tcPr>
            <w:tcW w:w="8796" w:type="dxa"/>
            <w:gridSpan w:val="2"/>
            <w:vAlign w:val="center"/>
          </w:tcPr>
          <w:p w14:paraId="0B80C81D">
            <w:pPr>
              <w:pStyle w:val="15"/>
              <w:spacing w:line="360" w:lineRule="auto"/>
              <w:ind w:firstLine="482" w:firstLineChars="200"/>
              <w:rPr>
                <w:rFonts w:hint="eastAsia" w:hAnsi="宋体" w:eastAsia="宋体" w:cs="宋体"/>
                <w:b/>
                <w:bCs/>
                <w:color w:val="auto"/>
                <w:sz w:val="24"/>
                <w:highlight w:val="none"/>
                <w:lang w:eastAsia="zh-CN"/>
              </w:rPr>
            </w:pPr>
            <w:r>
              <w:rPr>
                <w:rFonts w:hint="eastAsia" w:hAnsi="宋体" w:cs="Times New Roman"/>
                <w:b/>
                <w:bCs/>
                <w:color w:val="auto"/>
                <w:sz w:val="24"/>
                <w:szCs w:val="24"/>
                <w:highlight w:val="none"/>
              </w:rPr>
              <w:t>本次报价应包含项目所需全部服务，不得缺漏，是履行合同的最终价格（包括但不限于本次采购项目所需的人员工资、福利、员工服装费、利润、税金、保险</w:t>
            </w:r>
            <w:r>
              <w:rPr>
                <w:rFonts w:hint="eastAsia" w:hAnsi="宋体" w:cs="Times New Roman"/>
                <w:b/>
                <w:bCs/>
                <w:color w:val="auto"/>
                <w:sz w:val="24"/>
                <w:szCs w:val="24"/>
                <w:highlight w:val="none"/>
                <w:lang w:eastAsia="zh-CN"/>
              </w:rPr>
              <w:t>、</w:t>
            </w:r>
            <w:r>
              <w:rPr>
                <w:rFonts w:hint="eastAsia" w:hAnsi="宋体" w:cs="Times New Roman"/>
                <w:b/>
                <w:bCs/>
                <w:color w:val="auto"/>
                <w:sz w:val="24"/>
                <w:szCs w:val="24"/>
                <w:highlight w:val="none"/>
                <w:lang w:val="en-US" w:eastAsia="zh-CN"/>
              </w:rPr>
              <w:t>招标代理费</w:t>
            </w:r>
            <w:r>
              <w:rPr>
                <w:rFonts w:hint="eastAsia" w:hAnsi="宋体" w:cs="Times New Roman"/>
                <w:b/>
                <w:bCs/>
                <w:color w:val="auto"/>
                <w:sz w:val="24"/>
                <w:szCs w:val="24"/>
                <w:highlight w:val="none"/>
              </w:rPr>
              <w:t>及不可预见费用（如突击工作费，防台、抗旱、抗雪、抗暴风雨等措施费，人工增加费及其它等）等一切费用）。</w:t>
            </w:r>
          </w:p>
        </w:tc>
      </w:tr>
    </w:tbl>
    <w:p w14:paraId="41C4EE2B">
      <w:pPr>
        <w:pStyle w:val="15"/>
        <w:spacing w:line="360" w:lineRule="auto"/>
        <w:rPr>
          <w:rFonts w:hAnsi="宋体" w:cs="宋体"/>
          <w:color w:val="auto"/>
          <w:sz w:val="24"/>
          <w:highlight w:val="none"/>
        </w:rPr>
      </w:pPr>
    </w:p>
    <w:p w14:paraId="3376244D">
      <w:pPr>
        <w:pStyle w:val="15"/>
        <w:spacing w:line="360" w:lineRule="auto"/>
        <w:rPr>
          <w:rFonts w:hAnsi="宋体" w:cs="宋体"/>
          <w:color w:val="auto"/>
          <w:sz w:val="24"/>
          <w:highlight w:val="none"/>
        </w:rPr>
      </w:pPr>
    </w:p>
    <w:p w14:paraId="03AE4D3A">
      <w:pPr>
        <w:pStyle w:val="15"/>
        <w:spacing w:line="360" w:lineRule="auto"/>
        <w:rPr>
          <w:rFonts w:hAnsi="宋体" w:cs="宋体"/>
          <w:color w:val="auto"/>
          <w:sz w:val="24"/>
          <w:highlight w:val="none"/>
        </w:rPr>
      </w:pPr>
    </w:p>
    <w:p w14:paraId="00ECF0B6">
      <w:pPr>
        <w:spacing w:line="360" w:lineRule="auto"/>
        <w:ind w:left="3600" w:leftChars="1800" w:firstLine="480" w:firstLineChars="200"/>
        <w:rPr>
          <w:rFonts w:ascii="宋体" w:hAnsi="宋体" w:cs="宋体"/>
          <w:color w:val="auto"/>
          <w:sz w:val="24"/>
          <w:highlight w:val="none"/>
        </w:rPr>
      </w:pPr>
      <w:r>
        <w:rPr>
          <w:rFonts w:hint="eastAsia" w:ascii="宋体" w:hAnsi="宋体" w:cs="宋体"/>
          <w:color w:val="auto"/>
          <w:sz w:val="24"/>
          <w:highlight w:val="none"/>
        </w:rPr>
        <w:t xml:space="preserve">法定代表人签名（或签名章）：                       </w:t>
      </w:r>
    </w:p>
    <w:p w14:paraId="6B4D86CF">
      <w:pPr>
        <w:spacing w:line="360" w:lineRule="auto"/>
        <w:ind w:left="3600" w:leftChars="1800" w:firstLine="480" w:firstLineChars="200"/>
        <w:rPr>
          <w:rFonts w:ascii="宋体" w:hAnsi="宋体" w:cs="宋体"/>
          <w:color w:val="auto"/>
          <w:sz w:val="24"/>
          <w:highlight w:val="none"/>
        </w:rPr>
      </w:pPr>
      <w:r>
        <w:rPr>
          <w:rFonts w:hint="eastAsia" w:ascii="宋体" w:hAnsi="宋体" w:cs="宋体"/>
          <w:color w:val="auto"/>
          <w:sz w:val="24"/>
          <w:highlight w:val="none"/>
        </w:rPr>
        <w:t>日 期：</w:t>
      </w:r>
    </w:p>
    <w:p w14:paraId="31DB4CEB">
      <w:pPr>
        <w:spacing w:line="360" w:lineRule="auto"/>
        <w:ind w:left="3600" w:leftChars="1800" w:firstLine="480" w:firstLineChars="200"/>
        <w:rPr>
          <w:rFonts w:ascii="宋体" w:hAnsi="宋体" w:cs="宋体"/>
          <w:color w:val="auto"/>
          <w:sz w:val="24"/>
          <w:highlight w:val="none"/>
        </w:rPr>
      </w:pPr>
      <w:r>
        <w:rPr>
          <w:rFonts w:hint="eastAsia" w:ascii="宋体" w:hAnsi="宋体" w:cs="宋体"/>
          <w:color w:val="auto"/>
          <w:sz w:val="24"/>
          <w:highlight w:val="none"/>
        </w:rPr>
        <w:t>供应商全称（公章）：</w:t>
      </w:r>
    </w:p>
    <w:p w14:paraId="6FC0DEE6">
      <w:pPr>
        <w:snapToGrid w:val="0"/>
        <w:spacing w:line="360" w:lineRule="auto"/>
        <w:ind w:firstLine="435"/>
        <w:rPr>
          <w:rFonts w:ascii="宋体"/>
          <w:color w:val="auto"/>
          <w:highlight w:val="none"/>
        </w:rPr>
      </w:pPr>
    </w:p>
    <w:p w14:paraId="233E100C">
      <w:pPr>
        <w:snapToGrid w:val="0"/>
        <w:spacing w:line="360" w:lineRule="auto"/>
        <w:ind w:firstLine="435"/>
        <w:rPr>
          <w:rFonts w:ascii="宋体"/>
          <w:color w:val="auto"/>
          <w:highlight w:val="none"/>
        </w:rPr>
      </w:pPr>
    </w:p>
    <w:p w14:paraId="3DFFBF1E">
      <w:pPr>
        <w:snapToGrid w:val="0"/>
        <w:spacing w:line="360" w:lineRule="auto"/>
        <w:ind w:firstLine="435"/>
        <w:rPr>
          <w:rFonts w:ascii="宋体"/>
          <w:color w:val="auto"/>
          <w:highlight w:val="none"/>
        </w:rPr>
      </w:pPr>
    </w:p>
    <w:p w14:paraId="26217458">
      <w:pPr>
        <w:snapToGrid w:val="0"/>
        <w:spacing w:line="360" w:lineRule="auto"/>
        <w:ind w:firstLine="435"/>
        <w:rPr>
          <w:rFonts w:ascii="宋体"/>
          <w:color w:val="auto"/>
          <w:highlight w:val="none"/>
        </w:rPr>
      </w:pPr>
    </w:p>
    <w:p w14:paraId="7001B7C0">
      <w:pPr>
        <w:snapToGrid w:val="0"/>
        <w:spacing w:line="360" w:lineRule="auto"/>
        <w:ind w:firstLine="435"/>
        <w:rPr>
          <w:rFonts w:ascii="宋体"/>
          <w:color w:val="auto"/>
          <w:highlight w:val="none"/>
        </w:rPr>
      </w:pPr>
    </w:p>
    <w:p w14:paraId="5EC81F66">
      <w:pPr>
        <w:spacing w:line="360" w:lineRule="auto"/>
        <w:jc w:val="left"/>
        <w:rPr>
          <w:rFonts w:ascii="宋体" w:hAnsi="宋体" w:cs="宋体"/>
          <w:b/>
          <w:bCs/>
          <w:color w:val="auto"/>
          <w:sz w:val="24"/>
          <w:highlight w:val="none"/>
          <w:lang w:val="zh-CN"/>
        </w:rPr>
      </w:pPr>
      <w:r>
        <w:rPr>
          <w:rFonts w:ascii="宋体"/>
          <w:color w:val="auto"/>
          <w:highlight w:val="none"/>
        </w:rPr>
        <w:br w:type="page"/>
      </w:r>
      <w:bookmarkStart w:id="191" w:name="_Toc7196"/>
      <w:r>
        <w:rPr>
          <w:rFonts w:hint="eastAsia" w:ascii="宋体" w:hAnsi="宋体" w:cs="宋体"/>
          <w:b/>
          <w:bCs/>
          <w:color w:val="auto"/>
          <w:sz w:val="24"/>
          <w:highlight w:val="none"/>
          <w:lang w:val="zh-CN"/>
        </w:rPr>
        <w:t>附件十</w:t>
      </w:r>
      <w:r>
        <w:rPr>
          <w:rFonts w:hint="eastAsia" w:hAnsi="宋体" w:cs="宋体"/>
          <w:b/>
          <w:bCs/>
          <w:color w:val="auto"/>
          <w:sz w:val="24"/>
          <w:highlight w:val="none"/>
          <w:lang w:val="en-US" w:eastAsia="zh-CN"/>
        </w:rPr>
        <w:t>四</w:t>
      </w:r>
      <w:r>
        <w:rPr>
          <w:rFonts w:hint="eastAsia" w:ascii="宋体" w:hAnsi="宋体" w:cs="宋体"/>
          <w:b/>
          <w:bCs/>
          <w:color w:val="auto"/>
          <w:sz w:val="24"/>
          <w:highlight w:val="none"/>
          <w:lang w:val="zh-CN"/>
        </w:rPr>
        <w:t>：</w:t>
      </w:r>
    </w:p>
    <w:p w14:paraId="4B4D638E">
      <w:pPr>
        <w:bidi w:val="0"/>
        <w:jc w:val="center"/>
        <w:rPr>
          <w:b/>
          <w:bCs/>
          <w:sz w:val="32"/>
          <w:szCs w:val="32"/>
        </w:rPr>
      </w:pPr>
      <w:bookmarkStart w:id="192" w:name="_Toc15340"/>
      <w:bookmarkStart w:id="193" w:name="_Toc10713"/>
      <w:bookmarkStart w:id="194" w:name="_Toc11327"/>
      <w:r>
        <w:rPr>
          <w:rFonts w:hint="eastAsia"/>
          <w:b/>
          <w:bCs/>
          <w:sz w:val="32"/>
          <w:szCs w:val="32"/>
        </w:rPr>
        <w:t>磋商报价明细表</w:t>
      </w:r>
      <w:bookmarkEnd w:id="192"/>
      <w:bookmarkEnd w:id="193"/>
      <w:bookmarkEnd w:id="194"/>
    </w:p>
    <w:p w14:paraId="1D3835C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项目名称：</w:t>
      </w:r>
    </w:p>
    <w:p w14:paraId="486899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采购编号：               </w:t>
      </w:r>
    </w:p>
    <w:tbl>
      <w:tblPr>
        <w:tblStyle w:val="28"/>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2284"/>
        <w:gridCol w:w="1490"/>
        <w:gridCol w:w="720"/>
        <w:gridCol w:w="648"/>
        <w:gridCol w:w="1147"/>
        <w:gridCol w:w="1123"/>
      </w:tblGrid>
      <w:tr w14:paraId="7846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Merge w:val="restart"/>
            <w:vAlign w:val="center"/>
          </w:tcPr>
          <w:p w14:paraId="18BF7C0C">
            <w:pPr>
              <w:pStyle w:val="15"/>
              <w:spacing w:line="360" w:lineRule="auto"/>
              <w:jc w:val="center"/>
              <w:rPr>
                <w:rFonts w:hAnsi="宋体" w:cs="宋体"/>
                <w:color w:val="auto"/>
                <w:sz w:val="24"/>
                <w:highlight w:val="none"/>
              </w:rPr>
            </w:pPr>
            <w:r>
              <w:rPr>
                <w:rFonts w:hint="eastAsia" w:hAnsi="宋体" w:cs="宋体"/>
                <w:color w:val="auto"/>
                <w:sz w:val="24"/>
                <w:highlight w:val="none"/>
              </w:rPr>
              <w:t>序</w:t>
            </w:r>
          </w:p>
          <w:p w14:paraId="2E3CE5BD">
            <w:pPr>
              <w:pStyle w:val="15"/>
              <w:spacing w:line="360" w:lineRule="auto"/>
              <w:jc w:val="center"/>
              <w:rPr>
                <w:rFonts w:hAnsi="宋体" w:cs="宋体"/>
                <w:color w:val="auto"/>
                <w:sz w:val="24"/>
                <w:highlight w:val="none"/>
              </w:rPr>
            </w:pPr>
            <w:r>
              <w:rPr>
                <w:rFonts w:hint="eastAsia" w:hAnsi="宋体" w:cs="宋体"/>
                <w:color w:val="auto"/>
                <w:sz w:val="24"/>
                <w:highlight w:val="none"/>
              </w:rPr>
              <w:t>号</w:t>
            </w:r>
          </w:p>
        </w:tc>
        <w:tc>
          <w:tcPr>
            <w:tcW w:w="1080" w:type="dxa"/>
            <w:vMerge w:val="restart"/>
            <w:vAlign w:val="center"/>
          </w:tcPr>
          <w:p w14:paraId="03B5F691">
            <w:pPr>
              <w:pStyle w:val="15"/>
              <w:spacing w:line="360" w:lineRule="auto"/>
              <w:jc w:val="center"/>
              <w:rPr>
                <w:rFonts w:hAnsi="宋体" w:cs="宋体"/>
                <w:color w:val="auto"/>
                <w:sz w:val="24"/>
                <w:highlight w:val="none"/>
              </w:rPr>
            </w:pPr>
            <w:r>
              <w:rPr>
                <w:rFonts w:hint="eastAsia" w:hAnsi="宋体" w:cs="宋体"/>
                <w:color w:val="auto"/>
                <w:sz w:val="24"/>
                <w:highlight w:val="none"/>
              </w:rPr>
              <w:t>名称</w:t>
            </w:r>
          </w:p>
        </w:tc>
        <w:tc>
          <w:tcPr>
            <w:tcW w:w="2284" w:type="dxa"/>
            <w:vMerge w:val="restart"/>
            <w:vAlign w:val="center"/>
          </w:tcPr>
          <w:p w14:paraId="552B9324">
            <w:pPr>
              <w:pStyle w:val="15"/>
              <w:spacing w:line="360" w:lineRule="auto"/>
              <w:jc w:val="center"/>
              <w:rPr>
                <w:rFonts w:hAnsi="宋体" w:cs="宋体"/>
                <w:color w:val="auto"/>
                <w:sz w:val="24"/>
                <w:highlight w:val="none"/>
              </w:rPr>
            </w:pPr>
            <w:r>
              <w:rPr>
                <w:rFonts w:hint="eastAsia" w:hAnsi="宋体" w:cs="宋体"/>
                <w:color w:val="auto"/>
                <w:sz w:val="24"/>
                <w:highlight w:val="none"/>
              </w:rPr>
              <w:t>内容</w:t>
            </w:r>
          </w:p>
        </w:tc>
        <w:tc>
          <w:tcPr>
            <w:tcW w:w="1490" w:type="dxa"/>
            <w:vMerge w:val="restart"/>
            <w:vAlign w:val="center"/>
          </w:tcPr>
          <w:p w14:paraId="70728B5D">
            <w:pPr>
              <w:pStyle w:val="15"/>
              <w:spacing w:line="360" w:lineRule="auto"/>
              <w:jc w:val="center"/>
              <w:rPr>
                <w:rFonts w:hAnsi="宋体" w:cs="宋体"/>
                <w:color w:val="auto"/>
                <w:sz w:val="24"/>
                <w:highlight w:val="none"/>
              </w:rPr>
            </w:pPr>
            <w:r>
              <w:rPr>
                <w:rFonts w:hint="eastAsia" w:hAnsi="宋体" w:cs="宋体"/>
                <w:color w:val="auto"/>
                <w:sz w:val="24"/>
                <w:highlight w:val="none"/>
              </w:rPr>
              <w:t>其他</w:t>
            </w:r>
          </w:p>
        </w:tc>
        <w:tc>
          <w:tcPr>
            <w:tcW w:w="720" w:type="dxa"/>
            <w:vMerge w:val="restart"/>
            <w:vAlign w:val="center"/>
          </w:tcPr>
          <w:p w14:paraId="6A4EF468">
            <w:pPr>
              <w:pStyle w:val="15"/>
              <w:spacing w:line="360" w:lineRule="auto"/>
              <w:jc w:val="center"/>
              <w:rPr>
                <w:rFonts w:hAnsi="宋体" w:cs="宋体"/>
                <w:color w:val="auto"/>
                <w:sz w:val="24"/>
                <w:highlight w:val="none"/>
              </w:rPr>
            </w:pPr>
            <w:r>
              <w:rPr>
                <w:rFonts w:hint="eastAsia" w:hAnsi="宋体" w:cs="宋体"/>
                <w:color w:val="auto"/>
                <w:sz w:val="24"/>
                <w:highlight w:val="none"/>
              </w:rPr>
              <w:t>单</w:t>
            </w:r>
          </w:p>
          <w:p w14:paraId="1314B84E">
            <w:pPr>
              <w:pStyle w:val="15"/>
              <w:spacing w:line="360" w:lineRule="auto"/>
              <w:jc w:val="center"/>
              <w:rPr>
                <w:rFonts w:hAnsi="宋体" w:cs="宋体"/>
                <w:color w:val="auto"/>
                <w:highlight w:val="none"/>
              </w:rPr>
            </w:pPr>
            <w:r>
              <w:rPr>
                <w:rFonts w:hint="eastAsia" w:hAnsi="宋体" w:cs="宋体"/>
                <w:color w:val="auto"/>
                <w:sz w:val="24"/>
                <w:highlight w:val="none"/>
              </w:rPr>
              <w:t>位</w:t>
            </w:r>
          </w:p>
        </w:tc>
        <w:tc>
          <w:tcPr>
            <w:tcW w:w="648" w:type="dxa"/>
            <w:vMerge w:val="restart"/>
            <w:vAlign w:val="center"/>
          </w:tcPr>
          <w:p w14:paraId="2C089582">
            <w:pPr>
              <w:pStyle w:val="15"/>
              <w:spacing w:line="360" w:lineRule="auto"/>
              <w:jc w:val="center"/>
              <w:rPr>
                <w:rFonts w:hAnsi="宋体" w:cs="宋体"/>
                <w:color w:val="auto"/>
                <w:sz w:val="24"/>
                <w:highlight w:val="none"/>
              </w:rPr>
            </w:pPr>
            <w:r>
              <w:rPr>
                <w:rFonts w:hint="eastAsia" w:hAnsi="宋体" w:cs="宋体"/>
                <w:color w:val="auto"/>
                <w:sz w:val="24"/>
                <w:highlight w:val="none"/>
              </w:rPr>
              <w:t>数量</w:t>
            </w:r>
          </w:p>
        </w:tc>
        <w:tc>
          <w:tcPr>
            <w:tcW w:w="2270" w:type="dxa"/>
            <w:gridSpan w:val="2"/>
            <w:vAlign w:val="center"/>
          </w:tcPr>
          <w:p w14:paraId="2AEE2387">
            <w:pPr>
              <w:pStyle w:val="15"/>
              <w:spacing w:line="360" w:lineRule="auto"/>
              <w:jc w:val="center"/>
              <w:rPr>
                <w:rFonts w:hAnsi="宋体" w:cs="宋体"/>
                <w:color w:val="auto"/>
                <w:sz w:val="24"/>
                <w:highlight w:val="none"/>
              </w:rPr>
            </w:pPr>
            <w:r>
              <w:rPr>
                <w:rFonts w:hint="eastAsia" w:hAnsi="宋体" w:cs="宋体"/>
                <w:color w:val="auto"/>
                <w:sz w:val="24"/>
                <w:highlight w:val="none"/>
              </w:rPr>
              <w:t>投标报价（元）</w:t>
            </w:r>
          </w:p>
        </w:tc>
      </w:tr>
      <w:tr w14:paraId="0848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Merge w:val="continue"/>
            <w:vAlign w:val="center"/>
          </w:tcPr>
          <w:p w14:paraId="408AFD50">
            <w:pPr>
              <w:pStyle w:val="15"/>
              <w:spacing w:line="360" w:lineRule="auto"/>
              <w:jc w:val="center"/>
              <w:rPr>
                <w:rFonts w:hAnsi="宋体" w:cs="宋体"/>
                <w:color w:val="auto"/>
                <w:sz w:val="24"/>
                <w:highlight w:val="none"/>
              </w:rPr>
            </w:pPr>
          </w:p>
        </w:tc>
        <w:tc>
          <w:tcPr>
            <w:tcW w:w="1080" w:type="dxa"/>
            <w:vMerge w:val="continue"/>
            <w:vAlign w:val="center"/>
          </w:tcPr>
          <w:p w14:paraId="5D444F59">
            <w:pPr>
              <w:pStyle w:val="15"/>
              <w:spacing w:line="360" w:lineRule="auto"/>
              <w:jc w:val="center"/>
              <w:rPr>
                <w:rFonts w:hAnsi="宋体" w:cs="宋体"/>
                <w:color w:val="auto"/>
                <w:sz w:val="24"/>
                <w:highlight w:val="none"/>
              </w:rPr>
            </w:pPr>
          </w:p>
        </w:tc>
        <w:tc>
          <w:tcPr>
            <w:tcW w:w="2284" w:type="dxa"/>
            <w:vMerge w:val="continue"/>
            <w:vAlign w:val="center"/>
          </w:tcPr>
          <w:p w14:paraId="541E242A">
            <w:pPr>
              <w:pStyle w:val="15"/>
              <w:spacing w:line="360" w:lineRule="auto"/>
              <w:jc w:val="center"/>
              <w:rPr>
                <w:rFonts w:hAnsi="宋体" w:cs="宋体"/>
                <w:color w:val="auto"/>
                <w:sz w:val="24"/>
                <w:highlight w:val="none"/>
              </w:rPr>
            </w:pPr>
          </w:p>
        </w:tc>
        <w:tc>
          <w:tcPr>
            <w:tcW w:w="1490" w:type="dxa"/>
            <w:vMerge w:val="continue"/>
            <w:vAlign w:val="center"/>
          </w:tcPr>
          <w:p w14:paraId="0690280B">
            <w:pPr>
              <w:pStyle w:val="15"/>
              <w:spacing w:line="360" w:lineRule="auto"/>
              <w:jc w:val="center"/>
              <w:rPr>
                <w:rFonts w:hAnsi="宋体" w:cs="宋体"/>
                <w:color w:val="auto"/>
                <w:sz w:val="24"/>
                <w:highlight w:val="none"/>
              </w:rPr>
            </w:pPr>
          </w:p>
        </w:tc>
        <w:tc>
          <w:tcPr>
            <w:tcW w:w="720" w:type="dxa"/>
            <w:vMerge w:val="continue"/>
            <w:vAlign w:val="center"/>
          </w:tcPr>
          <w:p w14:paraId="5FE9B8BD">
            <w:pPr>
              <w:pStyle w:val="15"/>
              <w:spacing w:line="360" w:lineRule="auto"/>
              <w:jc w:val="center"/>
              <w:rPr>
                <w:rFonts w:hAnsi="宋体" w:cs="宋体"/>
                <w:color w:val="auto"/>
                <w:sz w:val="24"/>
                <w:highlight w:val="none"/>
              </w:rPr>
            </w:pPr>
          </w:p>
        </w:tc>
        <w:tc>
          <w:tcPr>
            <w:tcW w:w="648" w:type="dxa"/>
            <w:vMerge w:val="continue"/>
            <w:vAlign w:val="center"/>
          </w:tcPr>
          <w:p w14:paraId="561307D9">
            <w:pPr>
              <w:pStyle w:val="15"/>
              <w:spacing w:line="360" w:lineRule="auto"/>
              <w:jc w:val="center"/>
              <w:rPr>
                <w:rFonts w:hAnsi="宋体" w:cs="宋体"/>
                <w:color w:val="auto"/>
                <w:sz w:val="24"/>
                <w:highlight w:val="none"/>
              </w:rPr>
            </w:pPr>
          </w:p>
        </w:tc>
        <w:tc>
          <w:tcPr>
            <w:tcW w:w="1147" w:type="dxa"/>
            <w:vAlign w:val="center"/>
          </w:tcPr>
          <w:p w14:paraId="3D8D5B3D">
            <w:pPr>
              <w:pStyle w:val="15"/>
              <w:spacing w:line="360" w:lineRule="auto"/>
              <w:jc w:val="center"/>
              <w:rPr>
                <w:rFonts w:hAnsi="宋体" w:cs="宋体"/>
                <w:color w:val="auto"/>
                <w:sz w:val="24"/>
                <w:highlight w:val="none"/>
              </w:rPr>
            </w:pPr>
            <w:r>
              <w:rPr>
                <w:rFonts w:hint="eastAsia" w:hAnsi="宋体" w:cs="宋体"/>
                <w:color w:val="auto"/>
                <w:sz w:val="24"/>
                <w:highlight w:val="none"/>
              </w:rPr>
              <w:t>单价</w:t>
            </w:r>
          </w:p>
        </w:tc>
        <w:tc>
          <w:tcPr>
            <w:tcW w:w="1123" w:type="dxa"/>
            <w:vAlign w:val="center"/>
          </w:tcPr>
          <w:p w14:paraId="4EB56FC4">
            <w:pPr>
              <w:pStyle w:val="15"/>
              <w:spacing w:line="360" w:lineRule="auto"/>
              <w:jc w:val="center"/>
              <w:rPr>
                <w:rFonts w:hAnsi="宋体" w:cs="宋体"/>
                <w:color w:val="auto"/>
                <w:sz w:val="24"/>
                <w:highlight w:val="none"/>
              </w:rPr>
            </w:pPr>
            <w:r>
              <w:rPr>
                <w:rFonts w:hint="eastAsia" w:hAnsi="宋体" w:cs="宋体"/>
                <w:color w:val="auto"/>
                <w:sz w:val="24"/>
                <w:highlight w:val="none"/>
              </w:rPr>
              <w:t>小计</w:t>
            </w:r>
          </w:p>
        </w:tc>
      </w:tr>
      <w:tr w14:paraId="3AA8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540" w:type="dxa"/>
            <w:vAlign w:val="center"/>
          </w:tcPr>
          <w:p w14:paraId="6991ED07">
            <w:pPr>
              <w:pStyle w:val="15"/>
              <w:spacing w:line="360" w:lineRule="auto"/>
              <w:jc w:val="center"/>
              <w:rPr>
                <w:rFonts w:hAnsi="宋体" w:cs="宋体"/>
                <w:b/>
                <w:color w:val="auto"/>
                <w:sz w:val="24"/>
                <w:highlight w:val="none"/>
              </w:rPr>
            </w:pPr>
          </w:p>
        </w:tc>
        <w:tc>
          <w:tcPr>
            <w:tcW w:w="1080" w:type="dxa"/>
            <w:vAlign w:val="center"/>
          </w:tcPr>
          <w:p w14:paraId="34737981">
            <w:pPr>
              <w:pStyle w:val="15"/>
              <w:spacing w:line="360" w:lineRule="auto"/>
              <w:rPr>
                <w:rFonts w:hAnsi="宋体" w:cs="宋体"/>
                <w:b/>
                <w:color w:val="auto"/>
                <w:sz w:val="24"/>
                <w:highlight w:val="none"/>
              </w:rPr>
            </w:pPr>
          </w:p>
        </w:tc>
        <w:tc>
          <w:tcPr>
            <w:tcW w:w="2284" w:type="dxa"/>
            <w:vAlign w:val="center"/>
          </w:tcPr>
          <w:p w14:paraId="20AE94DB">
            <w:pPr>
              <w:pStyle w:val="15"/>
              <w:spacing w:line="360" w:lineRule="auto"/>
              <w:rPr>
                <w:rFonts w:hAnsi="宋体" w:cs="宋体"/>
                <w:b/>
                <w:color w:val="auto"/>
                <w:sz w:val="24"/>
                <w:highlight w:val="none"/>
              </w:rPr>
            </w:pPr>
          </w:p>
        </w:tc>
        <w:tc>
          <w:tcPr>
            <w:tcW w:w="1490" w:type="dxa"/>
            <w:vAlign w:val="center"/>
          </w:tcPr>
          <w:p w14:paraId="163152E4">
            <w:pPr>
              <w:pStyle w:val="15"/>
              <w:spacing w:line="360" w:lineRule="auto"/>
              <w:rPr>
                <w:rFonts w:hAnsi="宋体" w:cs="宋体"/>
                <w:b/>
                <w:color w:val="auto"/>
                <w:sz w:val="24"/>
                <w:highlight w:val="none"/>
              </w:rPr>
            </w:pPr>
          </w:p>
        </w:tc>
        <w:tc>
          <w:tcPr>
            <w:tcW w:w="720" w:type="dxa"/>
            <w:vAlign w:val="center"/>
          </w:tcPr>
          <w:p w14:paraId="62B7829B">
            <w:pPr>
              <w:pStyle w:val="15"/>
              <w:spacing w:line="360" w:lineRule="auto"/>
              <w:rPr>
                <w:rFonts w:hAnsi="宋体" w:cs="宋体"/>
                <w:b/>
                <w:color w:val="auto"/>
                <w:sz w:val="24"/>
                <w:highlight w:val="none"/>
              </w:rPr>
            </w:pPr>
          </w:p>
        </w:tc>
        <w:tc>
          <w:tcPr>
            <w:tcW w:w="648" w:type="dxa"/>
            <w:vAlign w:val="center"/>
          </w:tcPr>
          <w:p w14:paraId="71081542">
            <w:pPr>
              <w:pStyle w:val="15"/>
              <w:spacing w:line="360" w:lineRule="auto"/>
              <w:rPr>
                <w:rFonts w:hAnsi="宋体" w:cs="宋体"/>
                <w:b/>
                <w:color w:val="auto"/>
                <w:sz w:val="24"/>
                <w:highlight w:val="none"/>
              </w:rPr>
            </w:pPr>
          </w:p>
        </w:tc>
        <w:tc>
          <w:tcPr>
            <w:tcW w:w="1147" w:type="dxa"/>
          </w:tcPr>
          <w:p w14:paraId="041C0666">
            <w:pPr>
              <w:pStyle w:val="15"/>
              <w:spacing w:line="360" w:lineRule="auto"/>
              <w:rPr>
                <w:rFonts w:hAnsi="宋体" w:cs="宋体"/>
                <w:color w:val="auto"/>
                <w:sz w:val="24"/>
                <w:highlight w:val="none"/>
              </w:rPr>
            </w:pPr>
          </w:p>
        </w:tc>
        <w:tc>
          <w:tcPr>
            <w:tcW w:w="1123" w:type="dxa"/>
          </w:tcPr>
          <w:p w14:paraId="67669072">
            <w:pPr>
              <w:pStyle w:val="15"/>
              <w:spacing w:line="360" w:lineRule="auto"/>
              <w:rPr>
                <w:rFonts w:hAnsi="宋体" w:cs="宋体"/>
                <w:color w:val="auto"/>
                <w:sz w:val="24"/>
                <w:highlight w:val="none"/>
              </w:rPr>
            </w:pPr>
          </w:p>
        </w:tc>
      </w:tr>
      <w:tr w14:paraId="2365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540" w:type="dxa"/>
            <w:vAlign w:val="center"/>
          </w:tcPr>
          <w:p w14:paraId="5339457C">
            <w:pPr>
              <w:pStyle w:val="15"/>
              <w:spacing w:line="360" w:lineRule="auto"/>
              <w:jc w:val="center"/>
              <w:rPr>
                <w:rFonts w:hAnsi="宋体" w:cs="宋体"/>
                <w:b/>
                <w:color w:val="auto"/>
                <w:sz w:val="24"/>
                <w:highlight w:val="none"/>
              </w:rPr>
            </w:pPr>
          </w:p>
        </w:tc>
        <w:tc>
          <w:tcPr>
            <w:tcW w:w="1080" w:type="dxa"/>
            <w:vAlign w:val="center"/>
          </w:tcPr>
          <w:p w14:paraId="5F226CD2">
            <w:pPr>
              <w:pStyle w:val="15"/>
              <w:spacing w:line="360" w:lineRule="auto"/>
              <w:rPr>
                <w:rFonts w:hAnsi="宋体" w:cs="宋体"/>
                <w:b/>
                <w:color w:val="auto"/>
                <w:sz w:val="24"/>
                <w:highlight w:val="none"/>
              </w:rPr>
            </w:pPr>
          </w:p>
        </w:tc>
        <w:tc>
          <w:tcPr>
            <w:tcW w:w="2284" w:type="dxa"/>
            <w:vAlign w:val="center"/>
          </w:tcPr>
          <w:p w14:paraId="76F195F6">
            <w:pPr>
              <w:pStyle w:val="15"/>
              <w:spacing w:line="360" w:lineRule="auto"/>
              <w:rPr>
                <w:rFonts w:hAnsi="宋体" w:cs="宋体"/>
                <w:b/>
                <w:color w:val="auto"/>
                <w:sz w:val="24"/>
                <w:highlight w:val="none"/>
              </w:rPr>
            </w:pPr>
          </w:p>
        </w:tc>
        <w:tc>
          <w:tcPr>
            <w:tcW w:w="1490" w:type="dxa"/>
            <w:vAlign w:val="center"/>
          </w:tcPr>
          <w:p w14:paraId="32160AC8">
            <w:pPr>
              <w:pStyle w:val="15"/>
              <w:spacing w:line="360" w:lineRule="auto"/>
              <w:rPr>
                <w:rFonts w:hAnsi="宋体" w:cs="宋体"/>
                <w:b/>
                <w:color w:val="auto"/>
                <w:sz w:val="24"/>
                <w:highlight w:val="none"/>
              </w:rPr>
            </w:pPr>
          </w:p>
        </w:tc>
        <w:tc>
          <w:tcPr>
            <w:tcW w:w="720" w:type="dxa"/>
            <w:vAlign w:val="center"/>
          </w:tcPr>
          <w:p w14:paraId="7E1C772B">
            <w:pPr>
              <w:pStyle w:val="15"/>
              <w:spacing w:line="360" w:lineRule="auto"/>
              <w:rPr>
                <w:rFonts w:hAnsi="宋体" w:cs="宋体"/>
                <w:b/>
                <w:color w:val="auto"/>
                <w:sz w:val="24"/>
                <w:highlight w:val="none"/>
              </w:rPr>
            </w:pPr>
          </w:p>
        </w:tc>
        <w:tc>
          <w:tcPr>
            <w:tcW w:w="648" w:type="dxa"/>
            <w:vAlign w:val="center"/>
          </w:tcPr>
          <w:p w14:paraId="4BF69340">
            <w:pPr>
              <w:pStyle w:val="15"/>
              <w:spacing w:line="360" w:lineRule="auto"/>
              <w:rPr>
                <w:rFonts w:hAnsi="宋体" w:cs="宋体"/>
                <w:b/>
                <w:color w:val="auto"/>
                <w:sz w:val="24"/>
                <w:highlight w:val="none"/>
              </w:rPr>
            </w:pPr>
          </w:p>
        </w:tc>
        <w:tc>
          <w:tcPr>
            <w:tcW w:w="1147" w:type="dxa"/>
          </w:tcPr>
          <w:p w14:paraId="3A5D22AB">
            <w:pPr>
              <w:pStyle w:val="15"/>
              <w:spacing w:line="360" w:lineRule="auto"/>
              <w:rPr>
                <w:rFonts w:hAnsi="宋体" w:cs="宋体"/>
                <w:color w:val="auto"/>
                <w:sz w:val="24"/>
                <w:highlight w:val="none"/>
              </w:rPr>
            </w:pPr>
          </w:p>
        </w:tc>
        <w:tc>
          <w:tcPr>
            <w:tcW w:w="1123" w:type="dxa"/>
          </w:tcPr>
          <w:p w14:paraId="5A19CE9D">
            <w:pPr>
              <w:pStyle w:val="15"/>
              <w:spacing w:line="360" w:lineRule="auto"/>
              <w:rPr>
                <w:rFonts w:hAnsi="宋体" w:cs="宋体"/>
                <w:color w:val="auto"/>
                <w:sz w:val="24"/>
                <w:highlight w:val="none"/>
              </w:rPr>
            </w:pPr>
          </w:p>
        </w:tc>
      </w:tr>
      <w:tr w14:paraId="21E1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540" w:type="dxa"/>
            <w:vAlign w:val="center"/>
          </w:tcPr>
          <w:p w14:paraId="652B6D42">
            <w:pPr>
              <w:pStyle w:val="15"/>
              <w:spacing w:line="360" w:lineRule="auto"/>
              <w:jc w:val="center"/>
              <w:rPr>
                <w:rFonts w:hAnsi="宋体" w:cs="宋体"/>
                <w:b/>
                <w:color w:val="auto"/>
                <w:sz w:val="24"/>
                <w:highlight w:val="none"/>
              </w:rPr>
            </w:pPr>
          </w:p>
        </w:tc>
        <w:tc>
          <w:tcPr>
            <w:tcW w:w="1080" w:type="dxa"/>
            <w:vAlign w:val="center"/>
          </w:tcPr>
          <w:p w14:paraId="5F09F991">
            <w:pPr>
              <w:pStyle w:val="15"/>
              <w:spacing w:line="360" w:lineRule="auto"/>
              <w:rPr>
                <w:rFonts w:hAnsi="宋体" w:cs="宋体"/>
                <w:b/>
                <w:color w:val="auto"/>
                <w:sz w:val="24"/>
                <w:highlight w:val="none"/>
              </w:rPr>
            </w:pPr>
          </w:p>
        </w:tc>
        <w:tc>
          <w:tcPr>
            <w:tcW w:w="2284" w:type="dxa"/>
            <w:vAlign w:val="center"/>
          </w:tcPr>
          <w:p w14:paraId="0055F3D9">
            <w:pPr>
              <w:pStyle w:val="15"/>
              <w:spacing w:line="360" w:lineRule="auto"/>
              <w:rPr>
                <w:rFonts w:hAnsi="宋体" w:cs="宋体"/>
                <w:b/>
                <w:color w:val="auto"/>
                <w:sz w:val="24"/>
                <w:highlight w:val="none"/>
              </w:rPr>
            </w:pPr>
          </w:p>
        </w:tc>
        <w:tc>
          <w:tcPr>
            <w:tcW w:w="1490" w:type="dxa"/>
            <w:vAlign w:val="center"/>
          </w:tcPr>
          <w:p w14:paraId="7E41FF3E">
            <w:pPr>
              <w:pStyle w:val="15"/>
              <w:spacing w:line="360" w:lineRule="auto"/>
              <w:rPr>
                <w:rFonts w:hAnsi="宋体" w:cs="宋体"/>
                <w:b/>
                <w:color w:val="auto"/>
                <w:sz w:val="24"/>
                <w:highlight w:val="none"/>
              </w:rPr>
            </w:pPr>
          </w:p>
        </w:tc>
        <w:tc>
          <w:tcPr>
            <w:tcW w:w="720" w:type="dxa"/>
            <w:vAlign w:val="center"/>
          </w:tcPr>
          <w:p w14:paraId="111E6D3F">
            <w:pPr>
              <w:pStyle w:val="15"/>
              <w:spacing w:line="360" w:lineRule="auto"/>
              <w:rPr>
                <w:rFonts w:hAnsi="宋体" w:cs="宋体"/>
                <w:b/>
                <w:color w:val="auto"/>
                <w:sz w:val="24"/>
                <w:highlight w:val="none"/>
              </w:rPr>
            </w:pPr>
          </w:p>
        </w:tc>
        <w:tc>
          <w:tcPr>
            <w:tcW w:w="648" w:type="dxa"/>
            <w:vAlign w:val="center"/>
          </w:tcPr>
          <w:p w14:paraId="4421053B">
            <w:pPr>
              <w:pStyle w:val="15"/>
              <w:spacing w:line="360" w:lineRule="auto"/>
              <w:rPr>
                <w:rFonts w:hAnsi="宋体" w:cs="宋体"/>
                <w:b/>
                <w:color w:val="auto"/>
                <w:sz w:val="24"/>
                <w:highlight w:val="none"/>
              </w:rPr>
            </w:pPr>
          </w:p>
        </w:tc>
        <w:tc>
          <w:tcPr>
            <w:tcW w:w="1147" w:type="dxa"/>
          </w:tcPr>
          <w:p w14:paraId="123C59A0">
            <w:pPr>
              <w:pStyle w:val="15"/>
              <w:spacing w:line="360" w:lineRule="auto"/>
              <w:rPr>
                <w:rFonts w:hAnsi="宋体" w:cs="宋体"/>
                <w:color w:val="auto"/>
                <w:sz w:val="24"/>
                <w:highlight w:val="none"/>
              </w:rPr>
            </w:pPr>
          </w:p>
        </w:tc>
        <w:tc>
          <w:tcPr>
            <w:tcW w:w="1123" w:type="dxa"/>
          </w:tcPr>
          <w:p w14:paraId="3615B2A6">
            <w:pPr>
              <w:pStyle w:val="15"/>
              <w:spacing w:line="360" w:lineRule="auto"/>
              <w:rPr>
                <w:rFonts w:hAnsi="宋体" w:cs="宋体"/>
                <w:color w:val="auto"/>
                <w:sz w:val="24"/>
                <w:highlight w:val="none"/>
              </w:rPr>
            </w:pPr>
          </w:p>
        </w:tc>
      </w:tr>
      <w:tr w14:paraId="6B05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540" w:type="dxa"/>
            <w:vAlign w:val="center"/>
          </w:tcPr>
          <w:p w14:paraId="4D249862">
            <w:pPr>
              <w:pStyle w:val="15"/>
              <w:spacing w:line="360" w:lineRule="auto"/>
              <w:jc w:val="center"/>
              <w:rPr>
                <w:rFonts w:hAnsi="宋体" w:cs="宋体"/>
                <w:b/>
                <w:color w:val="auto"/>
                <w:sz w:val="24"/>
                <w:highlight w:val="none"/>
              </w:rPr>
            </w:pPr>
          </w:p>
        </w:tc>
        <w:tc>
          <w:tcPr>
            <w:tcW w:w="1080" w:type="dxa"/>
            <w:vAlign w:val="center"/>
          </w:tcPr>
          <w:p w14:paraId="2C7BCAF2">
            <w:pPr>
              <w:pStyle w:val="15"/>
              <w:spacing w:line="360" w:lineRule="auto"/>
              <w:rPr>
                <w:rFonts w:hAnsi="宋体" w:cs="宋体"/>
                <w:b/>
                <w:color w:val="auto"/>
                <w:sz w:val="24"/>
                <w:highlight w:val="none"/>
              </w:rPr>
            </w:pPr>
          </w:p>
        </w:tc>
        <w:tc>
          <w:tcPr>
            <w:tcW w:w="2284" w:type="dxa"/>
            <w:vAlign w:val="center"/>
          </w:tcPr>
          <w:p w14:paraId="7B08FC51">
            <w:pPr>
              <w:pStyle w:val="15"/>
              <w:spacing w:line="360" w:lineRule="auto"/>
              <w:rPr>
                <w:rFonts w:hAnsi="宋体" w:cs="宋体"/>
                <w:b/>
                <w:color w:val="auto"/>
                <w:sz w:val="24"/>
                <w:highlight w:val="none"/>
              </w:rPr>
            </w:pPr>
          </w:p>
        </w:tc>
        <w:tc>
          <w:tcPr>
            <w:tcW w:w="1490" w:type="dxa"/>
            <w:vAlign w:val="center"/>
          </w:tcPr>
          <w:p w14:paraId="069B821F">
            <w:pPr>
              <w:pStyle w:val="15"/>
              <w:spacing w:line="360" w:lineRule="auto"/>
              <w:rPr>
                <w:rFonts w:hAnsi="宋体" w:cs="宋体"/>
                <w:b/>
                <w:color w:val="auto"/>
                <w:sz w:val="24"/>
                <w:highlight w:val="none"/>
              </w:rPr>
            </w:pPr>
          </w:p>
        </w:tc>
        <w:tc>
          <w:tcPr>
            <w:tcW w:w="720" w:type="dxa"/>
            <w:vAlign w:val="center"/>
          </w:tcPr>
          <w:p w14:paraId="73ADDC57">
            <w:pPr>
              <w:pStyle w:val="15"/>
              <w:spacing w:line="360" w:lineRule="auto"/>
              <w:rPr>
                <w:rFonts w:hAnsi="宋体" w:cs="宋体"/>
                <w:b/>
                <w:color w:val="auto"/>
                <w:sz w:val="24"/>
                <w:highlight w:val="none"/>
              </w:rPr>
            </w:pPr>
          </w:p>
        </w:tc>
        <w:tc>
          <w:tcPr>
            <w:tcW w:w="648" w:type="dxa"/>
            <w:vAlign w:val="center"/>
          </w:tcPr>
          <w:p w14:paraId="6CF9A131">
            <w:pPr>
              <w:pStyle w:val="15"/>
              <w:spacing w:line="360" w:lineRule="auto"/>
              <w:rPr>
                <w:rFonts w:hAnsi="宋体" w:cs="宋体"/>
                <w:b/>
                <w:color w:val="auto"/>
                <w:sz w:val="24"/>
                <w:highlight w:val="none"/>
              </w:rPr>
            </w:pPr>
          </w:p>
        </w:tc>
        <w:tc>
          <w:tcPr>
            <w:tcW w:w="1147" w:type="dxa"/>
          </w:tcPr>
          <w:p w14:paraId="4CEE7F76">
            <w:pPr>
              <w:pStyle w:val="15"/>
              <w:spacing w:line="360" w:lineRule="auto"/>
              <w:rPr>
                <w:rFonts w:hAnsi="宋体" w:cs="宋体"/>
                <w:color w:val="auto"/>
                <w:sz w:val="24"/>
                <w:highlight w:val="none"/>
              </w:rPr>
            </w:pPr>
          </w:p>
        </w:tc>
        <w:tc>
          <w:tcPr>
            <w:tcW w:w="1123" w:type="dxa"/>
          </w:tcPr>
          <w:p w14:paraId="7B7177CC">
            <w:pPr>
              <w:pStyle w:val="15"/>
              <w:spacing w:line="360" w:lineRule="auto"/>
              <w:rPr>
                <w:rFonts w:hAnsi="宋体" w:cs="宋体"/>
                <w:color w:val="auto"/>
                <w:sz w:val="24"/>
                <w:highlight w:val="none"/>
              </w:rPr>
            </w:pPr>
          </w:p>
        </w:tc>
      </w:tr>
      <w:tr w14:paraId="577A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540" w:type="dxa"/>
            <w:vAlign w:val="center"/>
          </w:tcPr>
          <w:p w14:paraId="0B5AD187">
            <w:pPr>
              <w:pStyle w:val="15"/>
              <w:spacing w:line="360" w:lineRule="auto"/>
              <w:jc w:val="center"/>
              <w:rPr>
                <w:rFonts w:hAnsi="宋体" w:cs="宋体"/>
                <w:b/>
                <w:color w:val="auto"/>
                <w:sz w:val="24"/>
                <w:highlight w:val="none"/>
              </w:rPr>
            </w:pPr>
          </w:p>
        </w:tc>
        <w:tc>
          <w:tcPr>
            <w:tcW w:w="1080" w:type="dxa"/>
            <w:vAlign w:val="center"/>
          </w:tcPr>
          <w:p w14:paraId="2E8374F8">
            <w:pPr>
              <w:pStyle w:val="15"/>
              <w:spacing w:line="360" w:lineRule="auto"/>
              <w:rPr>
                <w:rFonts w:hAnsi="宋体" w:cs="宋体"/>
                <w:b/>
                <w:color w:val="auto"/>
                <w:sz w:val="24"/>
                <w:highlight w:val="none"/>
              </w:rPr>
            </w:pPr>
          </w:p>
        </w:tc>
        <w:tc>
          <w:tcPr>
            <w:tcW w:w="2284" w:type="dxa"/>
            <w:vAlign w:val="center"/>
          </w:tcPr>
          <w:p w14:paraId="46AB67BF">
            <w:pPr>
              <w:pStyle w:val="15"/>
              <w:spacing w:line="360" w:lineRule="auto"/>
              <w:rPr>
                <w:rFonts w:hAnsi="宋体" w:cs="宋体"/>
                <w:b/>
                <w:color w:val="auto"/>
                <w:sz w:val="24"/>
                <w:highlight w:val="none"/>
              </w:rPr>
            </w:pPr>
          </w:p>
        </w:tc>
        <w:tc>
          <w:tcPr>
            <w:tcW w:w="1490" w:type="dxa"/>
            <w:vAlign w:val="center"/>
          </w:tcPr>
          <w:p w14:paraId="49576EC3">
            <w:pPr>
              <w:pStyle w:val="15"/>
              <w:spacing w:line="360" w:lineRule="auto"/>
              <w:rPr>
                <w:rFonts w:hAnsi="宋体" w:cs="宋体"/>
                <w:b/>
                <w:color w:val="auto"/>
                <w:sz w:val="24"/>
                <w:highlight w:val="none"/>
              </w:rPr>
            </w:pPr>
          </w:p>
        </w:tc>
        <w:tc>
          <w:tcPr>
            <w:tcW w:w="720" w:type="dxa"/>
            <w:vAlign w:val="center"/>
          </w:tcPr>
          <w:p w14:paraId="47C4588A">
            <w:pPr>
              <w:pStyle w:val="15"/>
              <w:spacing w:line="360" w:lineRule="auto"/>
              <w:rPr>
                <w:rFonts w:hAnsi="宋体" w:cs="宋体"/>
                <w:b/>
                <w:color w:val="auto"/>
                <w:sz w:val="24"/>
                <w:highlight w:val="none"/>
              </w:rPr>
            </w:pPr>
          </w:p>
        </w:tc>
        <w:tc>
          <w:tcPr>
            <w:tcW w:w="648" w:type="dxa"/>
            <w:vAlign w:val="center"/>
          </w:tcPr>
          <w:p w14:paraId="4E93AB61">
            <w:pPr>
              <w:pStyle w:val="15"/>
              <w:spacing w:line="360" w:lineRule="auto"/>
              <w:rPr>
                <w:rFonts w:hAnsi="宋体" w:cs="宋体"/>
                <w:b/>
                <w:color w:val="auto"/>
                <w:sz w:val="24"/>
                <w:highlight w:val="none"/>
              </w:rPr>
            </w:pPr>
          </w:p>
        </w:tc>
        <w:tc>
          <w:tcPr>
            <w:tcW w:w="1147" w:type="dxa"/>
          </w:tcPr>
          <w:p w14:paraId="505340B5">
            <w:pPr>
              <w:pStyle w:val="15"/>
              <w:spacing w:line="360" w:lineRule="auto"/>
              <w:rPr>
                <w:rFonts w:hAnsi="宋体" w:cs="宋体"/>
                <w:color w:val="auto"/>
                <w:sz w:val="24"/>
                <w:highlight w:val="none"/>
              </w:rPr>
            </w:pPr>
          </w:p>
        </w:tc>
        <w:tc>
          <w:tcPr>
            <w:tcW w:w="1123" w:type="dxa"/>
          </w:tcPr>
          <w:p w14:paraId="7DEC0C5B">
            <w:pPr>
              <w:pStyle w:val="15"/>
              <w:spacing w:line="360" w:lineRule="auto"/>
              <w:rPr>
                <w:rFonts w:hAnsi="宋体" w:cs="宋体"/>
                <w:color w:val="auto"/>
                <w:sz w:val="24"/>
                <w:highlight w:val="none"/>
              </w:rPr>
            </w:pPr>
          </w:p>
        </w:tc>
      </w:tr>
      <w:tr w14:paraId="588C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540" w:type="dxa"/>
            <w:vAlign w:val="center"/>
          </w:tcPr>
          <w:p w14:paraId="3E9679F6">
            <w:pPr>
              <w:pStyle w:val="15"/>
              <w:spacing w:line="360" w:lineRule="auto"/>
              <w:jc w:val="center"/>
              <w:rPr>
                <w:rFonts w:hAnsi="宋体" w:cs="宋体"/>
                <w:b/>
                <w:color w:val="auto"/>
                <w:sz w:val="24"/>
                <w:highlight w:val="none"/>
              </w:rPr>
            </w:pPr>
          </w:p>
        </w:tc>
        <w:tc>
          <w:tcPr>
            <w:tcW w:w="1080" w:type="dxa"/>
            <w:vAlign w:val="center"/>
          </w:tcPr>
          <w:p w14:paraId="79722CB9">
            <w:pPr>
              <w:pStyle w:val="15"/>
              <w:spacing w:line="360" w:lineRule="auto"/>
              <w:rPr>
                <w:rFonts w:hAnsi="宋体" w:cs="宋体"/>
                <w:b/>
                <w:color w:val="auto"/>
                <w:sz w:val="24"/>
                <w:highlight w:val="none"/>
              </w:rPr>
            </w:pPr>
          </w:p>
        </w:tc>
        <w:tc>
          <w:tcPr>
            <w:tcW w:w="2284" w:type="dxa"/>
            <w:vAlign w:val="center"/>
          </w:tcPr>
          <w:p w14:paraId="40E92838">
            <w:pPr>
              <w:pStyle w:val="15"/>
              <w:spacing w:line="360" w:lineRule="auto"/>
              <w:rPr>
                <w:rFonts w:hAnsi="宋体" w:cs="宋体"/>
                <w:b/>
                <w:color w:val="auto"/>
                <w:highlight w:val="none"/>
              </w:rPr>
            </w:pPr>
          </w:p>
        </w:tc>
        <w:tc>
          <w:tcPr>
            <w:tcW w:w="1490" w:type="dxa"/>
            <w:vAlign w:val="center"/>
          </w:tcPr>
          <w:p w14:paraId="6F623E08">
            <w:pPr>
              <w:pStyle w:val="15"/>
              <w:spacing w:line="360" w:lineRule="auto"/>
              <w:rPr>
                <w:rFonts w:hAnsi="宋体" w:cs="宋体"/>
                <w:b/>
                <w:color w:val="auto"/>
                <w:sz w:val="24"/>
                <w:highlight w:val="none"/>
              </w:rPr>
            </w:pPr>
          </w:p>
        </w:tc>
        <w:tc>
          <w:tcPr>
            <w:tcW w:w="720" w:type="dxa"/>
            <w:vAlign w:val="center"/>
          </w:tcPr>
          <w:p w14:paraId="08677EB7">
            <w:pPr>
              <w:pStyle w:val="15"/>
              <w:spacing w:line="360" w:lineRule="auto"/>
              <w:rPr>
                <w:rFonts w:hAnsi="宋体" w:cs="宋体"/>
                <w:b/>
                <w:color w:val="auto"/>
                <w:sz w:val="24"/>
                <w:highlight w:val="none"/>
              </w:rPr>
            </w:pPr>
          </w:p>
        </w:tc>
        <w:tc>
          <w:tcPr>
            <w:tcW w:w="648" w:type="dxa"/>
            <w:vAlign w:val="center"/>
          </w:tcPr>
          <w:p w14:paraId="296A05B0">
            <w:pPr>
              <w:pStyle w:val="15"/>
              <w:spacing w:line="360" w:lineRule="auto"/>
              <w:rPr>
                <w:rFonts w:hAnsi="宋体" w:cs="宋体"/>
                <w:b/>
                <w:color w:val="auto"/>
                <w:sz w:val="24"/>
                <w:highlight w:val="none"/>
              </w:rPr>
            </w:pPr>
          </w:p>
        </w:tc>
        <w:tc>
          <w:tcPr>
            <w:tcW w:w="1147" w:type="dxa"/>
          </w:tcPr>
          <w:p w14:paraId="1B2BCE4B">
            <w:pPr>
              <w:pStyle w:val="15"/>
              <w:spacing w:line="360" w:lineRule="auto"/>
              <w:rPr>
                <w:rFonts w:hAnsi="宋体" w:cs="宋体"/>
                <w:color w:val="auto"/>
                <w:sz w:val="24"/>
                <w:highlight w:val="none"/>
              </w:rPr>
            </w:pPr>
          </w:p>
        </w:tc>
        <w:tc>
          <w:tcPr>
            <w:tcW w:w="1123" w:type="dxa"/>
          </w:tcPr>
          <w:p w14:paraId="2A94569A">
            <w:pPr>
              <w:pStyle w:val="15"/>
              <w:spacing w:line="360" w:lineRule="auto"/>
              <w:rPr>
                <w:rFonts w:hAnsi="宋体" w:cs="宋体"/>
                <w:color w:val="auto"/>
                <w:sz w:val="24"/>
                <w:highlight w:val="none"/>
              </w:rPr>
            </w:pPr>
          </w:p>
        </w:tc>
      </w:tr>
      <w:tr w14:paraId="6FD9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40" w:type="dxa"/>
          </w:tcPr>
          <w:p w14:paraId="10D9F339">
            <w:pPr>
              <w:pStyle w:val="15"/>
              <w:spacing w:line="360" w:lineRule="auto"/>
              <w:rPr>
                <w:rFonts w:hAnsi="宋体" w:cs="宋体"/>
                <w:color w:val="auto"/>
                <w:sz w:val="24"/>
                <w:highlight w:val="none"/>
              </w:rPr>
            </w:pPr>
          </w:p>
        </w:tc>
        <w:tc>
          <w:tcPr>
            <w:tcW w:w="1080" w:type="dxa"/>
          </w:tcPr>
          <w:p w14:paraId="1E370B7B">
            <w:pPr>
              <w:pStyle w:val="15"/>
              <w:spacing w:line="360" w:lineRule="auto"/>
              <w:rPr>
                <w:rFonts w:hAnsi="宋体" w:cs="宋体"/>
                <w:color w:val="auto"/>
                <w:sz w:val="24"/>
                <w:highlight w:val="none"/>
              </w:rPr>
            </w:pPr>
          </w:p>
        </w:tc>
        <w:tc>
          <w:tcPr>
            <w:tcW w:w="2284" w:type="dxa"/>
          </w:tcPr>
          <w:p w14:paraId="52044FAD">
            <w:pPr>
              <w:pStyle w:val="15"/>
              <w:spacing w:line="360" w:lineRule="auto"/>
              <w:rPr>
                <w:rFonts w:hAnsi="宋体" w:cs="宋体"/>
                <w:color w:val="auto"/>
                <w:sz w:val="24"/>
                <w:highlight w:val="none"/>
              </w:rPr>
            </w:pPr>
          </w:p>
        </w:tc>
        <w:tc>
          <w:tcPr>
            <w:tcW w:w="1490" w:type="dxa"/>
          </w:tcPr>
          <w:p w14:paraId="611760ED">
            <w:pPr>
              <w:pStyle w:val="15"/>
              <w:spacing w:line="360" w:lineRule="auto"/>
              <w:rPr>
                <w:rFonts w:hAnsi="宋体" w:cs="宋体"/>
                <w:color w:val="auto"/>
                <w:sz w:val="24"/>
                <w:highlight w:val="none"/>
              </w:rPr>
            </w:pPr>
          </w:p>
        </w:tc>
        <w:tc>
          <w:tcPr>
            <w:tcW w:w="720" w:type="dxa"/>
          </w:tcPr>
          <w:p w14:paraId="4993B0CC">
            <w:pPr>
              <w:pStyle w:val="15"/>
              <w:spacing w:line="360" w:lineRule="auto"/>
              <w:rPr>
                <w:rFonts w:hAnsi="宋体" w:cs="宋体"/>
                <w:color w:val="auto"/>
                <w:sz w:val="24"/>
                <w:highlight w:val="none"/>
              </w:rPr>
            </w:pPr>
          </w:p>
        </w:tc>
        <w:tc>
          <w:tcPr>
            <w:tcW w:w="648" w:type="dxa"/>
          </w:tcPr>
          <w:p w14:paraId="56851BEC">
            <w:pPr>
              <w:pStyle w:val="15"/>
              <w:spacing w:line="360" w:lineRule="auto"/>
              <w:rPr>
                <w:rFonts w:hAnsi="宋体" w:cs="宋体"/>
                <w:color w:val="auto"/>
                <w:sz w:val="24"/>
                <w:highlight w:val="none"/>
              </w:rPr>
            </w:pPr>
          </w:p>
        </w:tc>
        <w:tc>
          <w:tcPr>
            <w:tcW w:w="1147" w:type="dxa"/>
          </w:tcPr>
          <w:p w14:paraId="5EFB0042">
            <w:pPr>
              <w:pStyle w:val="15"/>
              <w:spacing w:line="360" w:lineRule="auto"/>
              <w:rPr>
                <w:rFonts w:hAnsi="宋体" w:cs="宋体"/>
                <w:color w:val="auto"/>
                <w:sz w:val="24"/>
                <w:highlight w:val="none"/>
              </w:rPr>
            </w:pPr>
          </w:p>
        </w:tc>
        <w:tc>
          <w:tcPr>
            <w:tcW w:w="1123" w:type="dxa"/>
          </w:tcPr>
          <w:p w14:paraId="5105A176">
            <w:pPr>
              <w:pStyle w:val="15"/>
              <w:spacing w:line="360" w:lineRule="auto"/>
              <w:rPr>
                <w:rFonts w:hAnsi="宋体" w:cs="宋体"/>
                <w:color w:val="auto"/>
                <w:sz w:val="24"/>
                <w:highlight w:val="none"/>
              </w:rPr>
            </w:pPr>
          </w:p>
        </w:tc>
      </w:tr>
      <w:tr w14:paraId="1AFC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1620" w:type="dxa"/>
            <w:gridSpan w:val="2"/>
            <w:vAlign w:val="center"/>
          </w:tcPr>
          <w:p w14:paraId="067AFB14">
            <w:pPr>
              <w:pStyle w:val="15"/>
              <w:spacing w:line="360" w:lineRule="auto"/>
              <w:jc w:val="center"/>
              <w:rPr>
                <w:rFonts w:hAnsi="宋体" w:cs="宋体"/>
                <w:color w:val="auto"/>
                <w:sz w:val="24"/>
                <w:highlight w:val="none"/>
              </w:rPr>
            </w:pPr>
            <w:r>
              <w:rPr>
                <w:rFonts w:hint="eastAsia" w:hAnsi="宋体" w:cs="宋体"/>
                <w:color w:val="auto"/>
                <w:sz w:val="24"/>
                <w:highlight w:val="none"/>
              </w:rPr>
              <w:t>投标总价</w:t>
            </w:r>
          </w:p>
        </w:tc>
        <w:tc>
          <w:tcPr>
            <w:tcW w:w="7412" w:type="dxa"/>
            <w:gridSpan w:val="6"/>
            <w:vAlign w:val="center"/>
          </w:tcPr>
          <w:p w14:paraId="4C55273A">
            <w:pPr>
              <w:pStyle w:val="15"/>
              <w:spacing w:line="360" w:lineRule="auto"/>
              <w:jc w:val="center"/>
              <w:rPr>
                <w:rFonts w:hAnsi="宋体" w:cs="宋体"/>
                <w:color w:val="auto"/>
                <w:sz w:val="24"/>
                <w:highlight w:val="none"/>
              </w:rPr>
            </w:pPr>
            <w:r>
              <w:rPr>
                <w:rFonts w:hint="eastAsia" w:hAnsi="宋体" w:cs="宋体"/>
                <w:color w:val="auto"/>
                <w:sz w:val="24"/>
                <w:highlight w:val="none"/>
              </w:rPr>
              <w:t>大写：</w:t>
            </w:r>
            <w:r>
              <w:rPr>
                <w:rFonts w:hint="eastAsia" w:hAnsi="宋体" w:cs="宋体"/>
                <w:color w:val="auto"/>
                <w:sz w:val="24"/>
                <w:highlight w:val="none"/>
                <w:u w:val="single"/>
              </w:rPr>
              <w:t xml:space="preserve">　　　　                </w:t>
            </w:r>
            <w:r>
              <w:rPr>
                <w:rFonts w:hint="eastAsia" w:hAnsi="宋体" w:cs="宋体"/>
                <w:color w:val="auto"/>
                <w:sz w:val="24"/>
                <w:highlight w:val="none"/>
              </w:rPr>
              <w:t>元（小写：</w:t>
            </w:r>
            <w:r>
              <w:rPr>
                <w:rFonts w:hint="eastAsia" w:hAnsi="宋体" w:cs="宋体"/>
                <w:color w:val="auto"/>
                <w:sz w:val="24"/>
                <w:highlight w:val="none"/>
                <w:u w:val="single"/>
              </w:rPr>
              <w:t>　　　　　</w:t>
            </w:r>
            <w:r>
              <w:rPr>
                <w:rFonts w:hint="eastAsia" w:hAnsi="宋体" w:cs="宋体"/>
                <w:color w:val="auto"/>
                <w:sz w:val="24"/>
                <w:highlight w:val="none"/>
              </w:rPr>
              <w:t>）</w:t>
            </w:r>
          </w:p>
        </w:tc>
      </w:tr>
      <w:tr w14:paraId="1DF8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032" w:type="dxa"/>
            <w:gridSpan w:val="8"/>
            <w:vAlign w:val="center"/>
          </w:tcPr>
          <w:p w14:paraId="479D3889">
            <w:pPr>
              <w:pStyle w:val="15"/>
              <w:spacing w:line="360" w:lineRule="auto"/>
              <w:ind w:firstLine="482" w:firstLineChars="200"/>
              <w:jc w:val="center"/>
              <w:rPr>
                <w:rFonts w:hint="eastAsia" w:hAnsi="宋体" w:eastAsia="宋体" w:cs="宋体"/>
                <w:color w:val="auto"/>
                <w:sz w:val="24"/>
                <w:highlight w:val="none"/>
                <w:lang w:eastAsia="zh-CN"/>
              </w:rPr>
            </w:pPr>
            <w:r>
              <w:rPr>
                <w:rFonts w:hint="eastAsia" w:hAnsi="宋体" w:cs="Times New Roman"/>
                <w:b/>
                <w:bCs/>
                <w:color w:val="auto"/>
                <w:sz w:val="24"/>
                <w:szCs w:val="24"/>
                <w:highlight w:val="none"/>
              </w:rPr>
              <w:t>本次报价应包含项目所需全部服务，不得缺漏，是履行合同的最终价格（包括但不限于本次采购项目所需的人员工资、福利、员工服装费、利润、税金、保险</w:t>
            </w:r>
            <w:r>
              <w:rPr>
                <w:rFonts w:hint="eastAsia" w:hAnsi="宋体" w:cs="Times New Roman"/>
                <w:b/>
                <w:bCs/>
                <w:color w:val="auto"/>
                <w:sz w:val="24"/>
                <w:szCs w:val="24"/>
                <w:highlight w:val="none"/>
                <w:lang w:eastAsia="zh-CN"/>
              </w:rPr>
              <w:t>、</w:t>
            </w:r>
            <w:r>
              <w:rPr>
                <w:rFonts w:hint="eastAsia" w:hAnsi="宋体" w:cs="Times New Roman"/>
                <w:b/>
                <w:bCs/>
                <w:color w:val="auto"/>
                <w:sz w:val="24"/>
                <w:szCs w:val="24"/>
                <w:highlight w:val="none"/>
                <w:lang w:val="en-US" w:eastAsia="zh-CN"/>
              </w:rPr>
              <w:t>招标代理费</w:t>
            </w:r>
            <w:r>
              <w:rPr>
                <w:rFonts w:hint="eastAsia" w:hAnsi="宋体" w:cs="Times New Roman"/>
                <w:b/>
                <w:bCs/>
                <w:color w:val="auto"/>
                <w:sz w:val="24"/>
                <w:szCs w:val="24"/>
                <w:highlight w:val="none"/>
              </w:rPr>
              <w:t>及不可预见费用（如突击工作费，防台、抗旱、抗雪、抗暴风雨等措施费，人工增加费及其它等）等一切费用）。</w:t>
            </w:r>
          </w:p>
        </w:tc>
      </w:tr>
    </w:tbl>
    <w:p w14:paraId="3B3B7067">
      <w:pPr>
        <w:pStyle w:val="15"/>
        <w:spacing w:line="360" w:lineRule="auto"/>
        <w:ind w:firstLine="480" w:firstLineChars="200"/>
        <w:rPr>
          <w:rFonts w:hAnsi="宋体" w:cs="宋体"/>
          <w:color w:val="auto"/>
          <w:sz w:val="24"/>
          <w:highlight w:val="none"/>
        </w:rPr>
      </w:pPr>
      <w:r>
        <w:rPr>
          <w:rFonts w:hint="eastAsia" w:hAnsi="宋体" w:cs="宋体"/>
          <w:color w:val="auto"/>
          <w:sz w:val="24"/>
          <w:highlight w:val="none"/>
        </w:rPr>
        <w:t>注：内容可根据供应商实际情况自行调整。</w:t>
      </w:r>
    </w:p>
    <w:p w14:paraId="5E6B2992">
      <w:pPr>
        <w:spacing w:line="360" w:lineRule="auto"/>
        <w:ind w:left="3600" w:leftChars="1800" w:firstLine="480" w:firstLineChars="200"/>
        <w:rPr>
          <w:rFonts w:ascii="宋体" w:hAnsi="宋体" w:cs="宋体"/>
          <w:color w:val="auto"/>
          <w:sz w:val="24"/>
          <w:highlight w:val="none"/>
        </w:rPr>
      </w:pPr>
      <w:r>
        <w:rPr>
          <w:rFonts w:hint="eastAsia" w:ascii="宋体" w:hAnsi="宋体" w:cs="宋体"/>
          <w:color w:val="auto"/>
          <w:sz w:val="24"/>
          <w:highlight w:val="none"/>
        </w:rPr>
        <w:t xml:space="preserve">法定代表人签名（或签名章）：                       </w:t>
      </w:r>
    </w:p>
    <w:p w14:paraId="53D99D79">
      <w:pPr>
        <w:spacing w:line="360" w:lineRule="auto"/>
        <w:ind w:left="3600" w:leftChars="1800" w:firstLine="480" w:firstLineChars="200"/>
        <w:rPr>
          <w:rFonts w:ascii="宋体" w:hAnsi="宋体" w:cs="宋体"/>
          <w:color w:val="auto"/>
          <w:sz w:val="24"/>
          <w:highlight w:val="none"/>
        </w:rPr>
      </w:pPr>
      <w:r>
        <w:rPr>
          <w:rFonts w:hint="eastAsia" w:ascii="宋体" w:hAnsi="宋体" w:cs="宋体"/>
          <w:color w:val="auto"/>
          <w:sz w:val="24"/>
          <w:highlight w:val="none"/>
        </w:rPr>
        <w:t>日 期：</w:t>
      </w:r>
    </w:p>
    <w:p w14:paraId="63302BDE">
      <w:pPr>
        <w:spacing w:line="360" w:lineRule="auto"/>
        <w:jc w:val="center"/>
        <w:rPr>
          <w:rFonts w:ascii="宋体" w:hAnsi="宋体" w:cs="宋体"/>
          <w:color w:val="auto"/>
          <w:sz w:val="24"/>
          <w:szCs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供应商全称（公章）：</w:t>
      </w:r>
      <w:bookmarkEnd w:id="191"/>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2D1D7">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F74720">
                          <w:pPr>
                            <w:pStyle w:val="19"/>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CF74720">
                    <w:pPr>
                      <w:pStyle w:val="19"/>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3234F">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F8D5FA">
                          <w:pPr>
                            <w:pStyle w:val="19"/>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AF8D5FA">
                    <w:pPr>
                      <w:pStyle w:val="19"/>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76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19FF0">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EF6EBE">
                          <w:pPr>
                            <w:pStyle w:val="19"/>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4EF6EBE">
                    <w:pPr>
                      <w:pStyle w:val="19"/>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76</w:t>
                    </w:r>
                    <w: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2C222">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77890">
                          <w:pPr>
                            <w:pStyle w:val="19"/>
                          </w:pPr>
                          <w:r>
                            <w:fldChar w:fldCharType="begin"/>
                          </w:r>
                          <w:r>
                            <w:instrText xml:space="preserve"> PAGE  \* MERGEFORMAT </w:instrText>
                          </w:r>
                          <w:r>
                            <w:fldChar w:fldCharType="separate"/>
                          </w:r>
                          <w:r>
                            <w:t>55</w:t>
                          </w:r>
                          <w:r>
                            <w:fldChar w:fldCharType="end"/>
                          </w:r>
                          <w:r>
                            <w:t xml:space="preserve"> / </w:t>
                          </w:r>
                          <w:r>
                            <w:fldChar w:fldCharType="begin"/>
                          </w:r>
                          <w:r>
                            <w:instrText xml:space="preserve"> NUMPAGES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C877890">
                    <w:pPr>
                      <w:pStyle w:val="19"/>
                    </w:pPr>
                    <w:r>
                      <w:fldChar w:fldCharType="begin"/>
                    </w:r>
                    <w:r>
                      <w:instrText xml:space="preserve"> PAGE  \* MERGEFORMAT </w:instrText>
                    </w:r>
                    <w:r>
                      <w:fldChar w:fldCharType="separate"/>
                    </w:r>
                    <w:r>
                      <w:t>55</w:t>
                    </w:r>
                    <w:r>
                      <w:fldChar w:fldCharType="end"/>
                    </w:r>
                    <w:r>
                      <w:t xml:space="preserve"> / </w:t>
                    </w:r>
                    <w:r>
                      <w:fldChar w:fldCharType="begin"/>
                    </w:r>
                    <w:r>
                      <w:instrText xml:space="preserve"> NUMPAGES  \* MERGEFORMAT </w:instrText>
                    </w:r>
                    <w:r>
                      <w:fldChar w:fldCharType="separate"/>
                    </w:r>
                    <w:r>
                      <w:t>76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D614B"/>
    <w:multiLevelType w:val="singleLevel"/>
    <w:tmpl w:val="80DD614B"/>
    <w:lvl w:ilvl="0" w:tentative="0">
      <w:start w:val="1"/>
      <w:numFmt w:val="decimal"/>
      <w:suff w:val="nothing"/>
      <w:lvlText w:val="%1．"/>
      <w:lvlJc w:val="left"/>
      <w:pPr>
        <w:ind w:left="0" w:firstLine="1134"/>
      </w:pPr>
      <w:rPr>
        <w:rFonts w:hint="default"/>
      </w:rPr>
    </w:lvl>
  </w:abstractNum>
  <w:abstractNum w:abstractNumId="1">
    <w:nsid w:val="8BDFB267"/>
    <w:multiLevelType w:val="singleLevel"/>
    <w:tmpl w:val="8BDFB267"/>
    <w:lvl w:ilvl="0" w:tentative="0">
      <w:start w:val="1"/>
      <w:numFmt w:val="chineseCounting"/>
      <w:suff w:val="space"/>
      <w:lvlText w:val="第%1条"/>
      <w:lvlJc w:val="left"/>
      <w:rPr>
        <w:rFonts w:hint="eastAsia"/>
      </w:rPr>
    </w:lvl>
  </w:abstractNum>
  <w:abstractNum w:abstractNumId="2">
    <w:nsid w:val="9C3D3EAF"/>
    <w:multiLevelType w:val="singleLevel"/>
    <w:tmpl w:val="9C3D3EAF"/>
    <w:lvl w:ilvl="0" w:tentative="0">
      <w:start w:val="1"/>
      <w:numFmt w:val="decimal"/>
      <w:suff w:val="nothing"/>
      <w:lvlText w:val="%1．"/>
      <w:lvlJc w:val="left"/>
      <w:pPr>
        <w:ind w:left="0" w:firstLine="1134"/>
      </w:pPr>
      <w:rPr>
        <w:rFonts w:hint="default"/>
      </w:rPr>
    </w:lvl>
  </w:abstractNum>
  <w:abstractNum w:abstractNumId="3">
    <w:nsid w:val="9F81A041"/>
    <w:multiLevelType w:val="singleLevel"/>
    <w:tmpl w:val="9F81A041"/>
    <w:lvl w:ilvl="0" w:tentative="0">
      <w:start w:val="1"/>
      <w:numFmt w:val="chineseCounting"/>
      <w:suff w:val="nothing"/>
      <w:lvlText w:val="%1、"/>
      <w:lvlJc w:val="left"/>
      <w:pPr>
        <w:ind w:left="0" w:firstLine="420"/>
      </w:pPr>
      <w:rPr>
        <w:rFonts w:hint="eastAsia"/>
      </w:rPr>
    </w:lvl>
  </w:abstractNum>
  <w:abstractNum w:abstractNumId="4">
    <w:nsid w:val="EB6AB935"/>
    <w:multiLevelType w:val="singleLevel"/>
    <w:tmpl w:val="EB6AB935"/>
    <w:lvl w:ilvl="0" w:tentative="0">
      <w:start w:val="1"/>
      <w:numFmt w:val="decimal"/>
      <w:suff w:val="nothing"/>
      <w:lvlText w:val="%1．"/>
      <w:lvlJc w:val="left"/>
      <w:pPr>
        <w:ind w:left="0" w:firstLine="1134"/>
      </w:pPr>
      <w:rPr>
        <w:rFonts w:hint="default"/>
      </w:rPr>
    </w:lvl>
  </w:abstractNum>
  <w:abstractNum w:abstractNumId="5">
    <w:nsid w:val="F042B3D7"/>
    <w:multiLevelType w:val="singleLevel"/>
    <w:tmpl w:val="F042B3D7"/>
    <w:lvl w:ilvl="0" w:tentative="0">
      <w:start w:val="1"/>
      <w:numFmt w:val="decimal"/>
      <w:suff w:val="space"/>
      <w:lvlText w:val="%1."/>
      <w:lvlJc w:val="left"/>
    </w:lvl>
  </w:abstractNum>
  <w:abstractNum w:abstractNumId="6">
    <w:nsid w:val="F43F7E74"/>
    <w:multiLevelType w:val="singleLevel"/>
    <w:tmpl w:val="F43F7E74"/>
    <w:lvl w:ilvl="0" w:tentative="0">
      <w:start w:val="1"/>
      <w:numFmt w:val="decimal"/>
      <w:suff w:val="nothing"/>
      <w:lvlText w:val="%1．"/>
      <w:lvlJc w:val="left"/>
      <w:pPr>
        <w:ind w:left="0" w:firstLine="1134"/>
      </w:pPr>
      <w:rPr>
        <w:rFonts w:hint="default"/>
      </w:rPr>
    </w:lvl>
  </w:abstractNum>
  <w:abstractNum w:abstractNumId="7">
    <w:nsid w:val="00000001"/>
    <w:multiLevelType w:val="singleLevel"/>
    <w:tmpl w:val="00000001"/>
    <w:lvl w:ilvl="0" w:tentative="0">
      <w:start w:val="1"/>
      <w:numFmt w:val="decimal"/>
      <w:suff w:val="nothing"/>
      <w:lvlText w:val="14.%1 "/>
      <w:lvlJc w:val="left"/>
      <w:pPr>
        <w:tabs>
          <w:tab w:val="left" w:pos="0"/>
        </w:tabs>
        <w:ind w:firstLine="40"/>
      </w:pPr>
      <w:rPr>
        <w:rFonts w:hint="default" w:ascii="宋体" w:hAnsi="宋体" w:eastAsia="宋体"/>
      </w:rPr>
    </w:lvl>
  </w:abstractNum>
  <w:abstractNum w:abstractNumId="8">
    <w:nsid w:val="00000002"/>
    <w:multiLevelType w:val="singleLevel"/>
    <w:tmpl w:val="00000002"/>
    <w:lvl w:ilvl="0" w:tentative="0">
      <w:start w:val="1"/>
      <w:numFmt w:val="chineseCounting"/>
      <w:suff w:val="nothing"/>
      <w:lvlText w:val="%1、"/>
      <w:lvlJc w:val="left"/>
      <w:rPr>
        <w:rFonts w:hint="eastAsia"/>
      </w:rPr>
    </w:lvl>
  </w:abstractNum>
  <w:abstractNum w:abstractNumId="9">
    <w:nsid w:val="00000003"/>
    <w:multiLevelType w:val="singleLevel"/>
    <w:tmpl w:val="00000003"/>
    <w:lvl w:ilvl="0" w:tentative="0">
      <w:start w:val="1"/>
      <w:numFmt w:val="decimalEnclosedCircleChinese"/>
      <w:suff w:val="nothing"/>
      <w:lvlText w:val="%1　"/>
      <w:lvlJc w:val="left"/>
      <w:pPr>
        <w:ind w:firstLine="1134"/>
      </w:pPr>
      <w:rPr>
        <w:rFonts w:hint="eastAsia"/>
      </w:rPr>
    </w:lvl>
  </w:abstractNum>
  <w:abstractNum w:abstractNumId="10">
    <w:nsid w:val="00000004"/>
    <w:multiLevelType w:val="singleLevel"/>
    <w:tmpl w:val="00000004"/>
    <w:lvl w:ilvl="0" w:tentative="0">
      <w:start w:val="1"/>
      <w:numFmt w:val="decimal"/>
      <w:suff w:val="nothing"/>
      <w:lvlText w:val="%1．"/>
      <w:lvlJc w:val="left"/>
      <w:pPr>
        <w:ind w:firstLine="397"/>
      </w:pPr>
      <w:rPr>
        <w:rFonts w:hint="default" w:ascii="宋体" w:hAnsi="宋体" w:eastAsia="宋体" w:cs="宋体"/>
        <w:sz w:val="24"/>
        <w:szCs w:val="24"/>
      </w:rPr>
    </w:lvl>
  </w:abstractNum>
  <w:abstractNum w:abstractNumId="11">
    <w:nsid w:val="00000005"/>
    <w:multiLevelType w:val="singleLevel"/>
    <w:tmpl w:val="00000005"/>
    <w:lvl w:ilvl="0" w:tentative="0">
      <w:start w:val="1"/>
      <w:numFmt w:val="chineseCounting"/>
      <w:suff w:val="nothing"/>
      <w:lvlText w:val="%1、"/>
      <w:lvlJc w:val="left"/>
      <w:rPr>
        <w:rFonts w:hint="eastAsia"/>
      </w:rPr>
    </w:lvl>
  </w:abstractNum>
  <w:abstractNum w:abstractNumId="12">
    <w:nsid w:val="00000006"/>
    <w:multiLevelType w:val="singleLevel"/>
    <w:tmpl w:val="00000006"/>
    <w:lvl w:ilvl="0" w:tentative="0">
      <w:start w:val="1"/>
      <w:numFmt w:val="decimal"/>
      <w:suff w:val="nothing"/>
      <w:lvlText w:val="9.%1 "/>
      <w:lvlJc w:val="left"/>
      <w:pPr>
        <w:tabs>
          <w:tab w:val="left" w:pos="0"/>
        </w:tabs>
        <w:ind w:firstLine="40"/>
      </w:pPr>
      <w:rPr>
        <w:rFonts w:hint="default" w:ascii="宋体" w:hAnsi="宋体" w:eastAsia="宋体"/>
      </w:rPr>
    </w:lvl>
  </w:abstractNum>
  <w:abstractNum w:abstractNumId="13">
    <w:nsid w:val="00000007"/>
    <w:multiLevelType w:val="singleLevel"/>
    <w:tmpl w:val="00000007"/>
    <w:lvl w:ilvl="0" w:tentative="0">
      <w:start w:val="1"/>
      <w:numFmt w:val="decimalEnclosedCircleChinese"/>
      <w:suff w:val="nothing"/>
      <w:lvlText w:val="%1　"/>
      <w:lvlJc w:val="left"/>
      <w:pPr>
        <w:ind w:firstLine="397"/>
      </w:pPr>
      <w:rPr>
        <w:rFonts w:hint="eastAsia"/>
      </w:rPr>
    </w:lvl>
  </w:abstractNum>
  <w:abstractNum w:abstractNumId="14">
    <w:nsid w:val="00000009"/>
    <w:multiLevelType w:val="singleLevel"/>
    <w:tmpl w:val="00000009"/>
    <w:lvl w:ilvl="0" w:tentative="0">
      <w:start w:val="1"/>
      <w:numFmt w:val="decimalEnclosedCircleChinese"/>
      <w:suff w:val="nothing"/>
      <w:lvlText w:val="%1　"/>
      <w:lvlJc w:val="left"/>
      <w:pPr>
        <w:ind w:firstLine="1134"/>
      </w:pPr>
      <w:rPr>
        <w:rFonts w:hint="eastAsia"/>
      </w:rPr>
    </w:lvl>
  </w:abstractNum>
  <w:abstractNum w:abstractNumId="15">
    <w:nsid w:val="0000000A"/>
    <w:multiLevelType w:val="singleLevel"/>
    <w:tmpl w:val="0000000A"/>
    <w:lvl w:ilvl="0" w:tentative="0">
      <w:start w:val="4"/>
      <w:numFmt w:val="chineseCounting"/>
      <w:suff w:val="nothing"/>
      <w:lvlText w:val="%1、"/>
      <w:lvlJc w:val="left"/>
      <w:rPr>
        <w:rFonts w:hint="eastAsia"/>
      </w:rPr>
    </w:lvl>
  </w:abstractNum>
  <w:abstractNum w:abstractNumId="16">
    <w:nsid w:val="0000000C"/>
    <w:multiLevelType w:val="multilevel"/>
    <w:tmpl w:val="0000000C"/>
    <w:lvl w:ilvl="0" w:tentative="0">
      <w:start w:val="1"/>
      <w:numFmt w:val="upperLetter"/>
      <w:pStyle w:val="5"/>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7">
    <w:nsid w:val="0000000D"/>
    <w:multiLevelType w:val="singleLevel"/>
    <w:tmpl w:val="0000000D"/>
    <w:lvl w:ilvl="0" w:tentative="0">
      <w:start w:val="1"/>
      <w:numFmt w:val="decimalEnclosedCircleChinese"/>
      <w:suff w:val="nothing"/>
      <w:lvlText w:val="%1　"/>
      <w:lvlJc w:val="left"/>
      <w:pPr>
        <w:ind w:firstLine="1134"/>
      </w:pPr>
      <w:rPr>
        <w:rFonts w:hint="eastAsia"/>
      </w:rPr>
    </w:lvl>
  </w:abstractNum>
  <w:abstractNum w:abstractNumId="18">
    <w:nsid w:val="0000000E"/>
    <w:multiLevelType w:val="singleLevel"/>
    <w:tmpl w:val="0000000E"/>
    <w:lvl w:ilvl="0" w:tentative="0">
      <w:start w:val="1"/>
      <w:numFmt w:val="decimal"/>
      <w:suff w:val="nothing"/>
      <w:lvlText w:val="%1．"/>
      <w:lvlJc w:val="left"/>
      <w:pPr>
        <w:ind w:firstLine="397"/>
      </w:pPr>
      <w:rPr>
        <w:rFonts w:hint="default"/>
      </w:rPr>
    </w:lvl>
  </w:abstractNum>
  <w:abstractNum w:abstractNumId="19">
    <w:nsid w:val="12AABD23"/>
    <w:multiLevelType w:val="singleLevel"/>
    <w:tmpl w:val="12AABD23"/>
    <w:lvl w:ilvl="0" w:tentative="0">
      <w:start w:val="1"/>
      <w:numFmt w:val="decimal"/>
      <w:suff w:val="nothing"/>
      <w:lvlText w:val="%1．"/>
      <w:lvlJc w:val="left"/>
      <w:pPr>
        <w:ind w:left="0" w:firstLine="1134"/>
      </w:pPr>
      <w:rPr>
        <w:rFonts w:hint="default"/>
      </w:rPr>
    </w:lvl>
  </w:abstractNum>
  <w:abstractNum w:abstractNumId="20">
    <w:nsid w:val="12B1ECB6"/>
    <w:multiLevelType w:val="singleLevel"/>
    <w:tmpl w:val="12B1ECB6"/>
    <w:lvl w:ilvl="0" w:tentative="0">
      <w:start w:val="1"/>
      <w:numFmt w:val="decimal"/>
      <w:suff w:val="nothing"/>
      <w:lvlText w:val="%1．"/>
      <w:lvlJc w:val="left"/>
      <w:pPr>
        <w:ind w:left="0" w:firstLine="1134"/>
      </w:pPr>
      <w:rPr>
        <w:rFonts w:hint="default"/>
      </w:rPr>
    </w:lvl>
  </w:abstractNum>
  <w:abstractNum w:abstractNumId="21">
    <w:nsid w:val="16CF7C64"/>
    <w:multiLevelType w:val="singleLevel"/>
    <w:tmpl w:val="16CF7C64"/>
    <w:lvl w:ilvl="0" w:tentative="0">
      <w:start w:val="1"/>
      <w:numFmt w:val="decimalEnclosedCircleChinese"/>
      <w:suff w:val="nothing"/>
      <w:lvlText w:val="%1　"/>
      <w:lvlJc w:val="left"/>
      <w:pPr>
        <w:ind w:left="0" w:firstLine="1134"/>
      </w:pPr>
      <w:rPr>
        <w:rFonts w:hint="eastAsia"/>
      </w:rPr>
    </w:lvl>
  </w:abstractNum>
  <w:abstractNum w:abstractNumId="22">
    <w:nsid w:val="2C5917C3"/>
    <w:multiLevelType w:val="multilevel"/>
    <w:tmpl w:val="2C5917C3"/>
    <w:lvl w:ilvl="0" w:tentative="0">
      <w:start w:val="1"/>
      <w:numFmt w:val="none"/>
      <w:suff w:val="nothing"/>
      <w:lvlText w:val="%1——"/>
      <w:lvlJc w:val="left"/>
      <w:pPr>
        <w:ind w:left="3348"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pStyle w:val="35"/>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3">
    <w:nsid w:val="31767A1B"/>
    <w:multiLevelType w:val="singleLevel"/>
    <w:tmpl w:val="31767A1B"/>
    <w:lvl w:ilvl="0" w:tentative="0">
      <w:start w:val="1"/>
      <w:numFmt w:val="chineseCounting"/>
      <w:suff w:val="nothing"/>
      <w:lvlText w:val="%1、"/>
      <w:lvlJc w:val="left"/>
      <w:pPr>
        <w:ind w:left="0" w:firstLine="420"/>
      </w:pPr>
      <w:rPr>
        <w:rFonts w:hint="eastAsia"/>
      </w:rPr>
    </w:lvl>
  </w:abstractNum>
  <w:abstractNum w:abstractNumId="24">
    <w:nsid w:val="3AFDAC36"/>
    <w:multiLevelType w:val="multilevel"/>
    <w:tmpl w:val="3AFDAC36"/>
    <w:lvl w:ilvl="0" w:tentative="0">
      <w:start w:val="1"/>
      <w:numFmt w:val="chineseCountingThousand"/>
      <w:suff w:val="nothing"/>
      <w:lvlText w:val="第%1章 "/>
      <w:lvlJc w:val="left"/>
      <w:rPr>
        <w:rFonts w:hint="eastAsia" w:cs="Times New Roman"/>
      </w:rPr>
    </w:lvl>
    <w:lvl w:ilvl="1" w:tentative="0">
      <w:start w:val="1"/>
      <w:numFmt w:val="decimal"/>
      <w:isLgl/>
      <w:lvlText w:val="%1.%2"/>
      <w:lvlJc w:val="left"/>
      <w:rPr>
        <w:rFonts w:hint="eastAsia" w:ascii="黑体" w:hAnsi="黑体" w:eastAsia="黑体" w:cs="Times New Roman"/>
        <w:sz w:val="32"/>
        <w:szCs w:val="32"/>
      </w:rPr>
    </w:lvl>
    <w:lvl w:ilvl="2" w:tentative="0">
      <w:start w:val="1"/>
      <w:numFmt w:val="decimal"/>
      <w:isLgl/>
      <w:lvlText w:val="%1.%2.%3."/>
      <w:lvlJc w:val="left"/>
      <w:rPr>
        <w:rFonts w:hint="eastAsia" w:ascii="黑体" w:hAnsi="黑体" w:eastAsia="黑体" w:cs="Times New Roman"/>
      </w:rPr>
    </w:lvl>
    <w:lvl w:ilvl="3" w:tentative="0">
      <w:start w:val="1"/>
      <w:numFmt w:val="decimal"/>
      <w:isLgl/>
      <w:lvlText w:val="%1.%2.%3.%4."/>
      <w:lvlJc w:val="left"/>
      <w:rPr>
        <w:rFonts w:hint="eastAsia" w:ascii="宋体" w:hAnsi="宋体" w:eastAsia="宋体" w:cs="Times New Roman"/>
      </w:rPr>
    </w:lvl>
    <w:lvl w:ilvl="4" w:tentative="0">
      <w:start w:val="1"/>
      <w:numFmt w:val="decimal"/>
      <w:isLgl/>
      <w:lvlText w:val="%1.%2.%3.%4.%5."/>
      <w:lvlJc w:val="left"/>
      <w:rPr>
        <w:rFonts w:hint="eastAsia" w:cs="Times New Roman"/>
        <w:b/>
        <w:bCs w:val="0"/>
        <w:i w:val="0"/>
        <w:iCs w:val="0"/>
        <w:caps w:val="0"/>
        <w:smallCaps w:val="0"/>
        <w:strike w:val="0"/>
        <w:dstrike w:val="0"/>
        <w:vanish w:val="0"/>
        <w:spacing w:val="0"/>
        <w:position w:val="0"/>
        <w:u w:val="none"/>
        <w:vertAlign w:val="baseline"/>
      </w:rPr>
    </w:lvl>
    <w:lvl w:ilvl="5" w:tentative="0">
      <w:start w:val="1"/>
      <w:numFmt w:val="decimal"/>
      <w:pStyle w:val="7"/>
      <w:isLgl/>
      <w:lvlText w:val="%1.%2.%3.%4.%5.%6."/>
      <w:lvlJc w:val="left"/>
    </w:lvl>
    <w:lvl w:ilvl="6" w:tentative="0">
      <w:start w:val="1"/>
      <w:numFmt w:val="decimal"/>
      <w:isLgl/>
      <w:lvlText w:val="%1.%2.%3.%4.%5.%6.%7"/>
      <w:lvlJc w:val="left"/>
      <w:rPr>
        <w:rFonts w:hint="eastAsia" w:cs="Times New Roman"/>
      </w:rPr>
    </w:lvl>
    <w:lvl w:ilvl="7" w:tentative="0">
      <w:start w:val="1"/>
      <w:numFmt w:val="decimal"/>
      <w:isLgl/>
      <w:lvlText w:val="%1.%2.%3.%4.%5.%6.%7.%8."/>
      <w:lvlJc w:val="left"/>
      <w:rPr>
        <w:rFonts w:cs="Times New Roman"/>
        <w:b/>
        <w:bCs w:val="0"/>
        <w:i w:val="0"/>
        <w:iCs w:val="0"/>
        <w:caps w:val="0"/>
        <w:smallCaps w:val="0"/>
        <w:strike w:val="0"/>
        <w:dstrike w:val="0"/>
        <w:vanish w:val="0"/>
        <w:spacing w:val="0"/>
        <w:position w:val="0"/>
        <w:u w:val="none"/>
        <w:vertAlign w:val="baseline"/>
      </w:rPr>
    </w:lvl>
    <w:lvl w:ilvl="8" w:tentative="0">
      <w:start w:val="1"/>
      <w:numFmt w:val="decimal"/>
      <w:isLgl/>
      <w:lvlText w:val="%1.%2.%3.%4.%5.%6.%7.%8.%9."/>
      <w:lvlJc w:val="left"/>
      <w:rPr>
        <w:rFonts w:hint="eastAsia" w:ascii="宋体" w:hAnsi="宋体" w:eastAsia="宋体" w:cs="Times New Roman"/>
      </w:rPr>
    </w:lvl>
  </w:abstractNum>
  <w:abstractNum w:abstractNumId="25">
    <w:nsid w:val="438B5F3B"/>
    <w:multiLevelType w:val="singleLevel"/>
    <w:tmpl w:val="438B5F3B"/>
    <w:lvl w:ilvl="0" w:tentative="0">
      <w:start w:val="1"/>
      <w:numFmt w:val="decimal"/>
      <w:lvlText w:val="(%1)"/>
      <w:lvlJc w:val="left"/>
      <w:pPr>
        <w:ind w:left="425" w:hanging="425"/>
      </w:pPr>
      <w:rPr>
        <w:rFonts w:hint="default"/>
      </w:rPr>
    </w:lvl>
  </w:abstractNum>
  <w:abstractNum w:abstractNumId="26">
    <w:nsid w:val="43F94463"/>
    <w:multiLevelType w:val="singleLevel"/>
    <w:tmpl w:val="43F94463"/>
    <w:lvl w:ilvl="0" w:tentative="0">
      <w:start w:val="1"/>
      <w:numFmt w:val="decimalEnclosedCircleChinese"/>
      <w:suff w:val="nothing"/>
      <w:lvlText w:val="%1　"/>
      <w:lvlJc w:val="left"/>
      <w:pPr>
        <w:ind w:left="0" w:firstLine="1134"/>
      </w:pPr>
      <w:rPr>
        <w:rFonts w:hint="eastAsia"/>
      </w:rPr>
    </w:lvl>
  </w:abstractNum>
  <w:abstractNum w:abstractNumId="27">
    <w:nsid w:val="49510FB6"/>
    <w:multiLevelType w:val="singleLevel"/>
    <w:tmpl w:val="49510FB6"/>
    <w:lvl w:ilvl="0" w:tentative="0">
      <w:start w:val="1"/>
      <w:numFmt w:val="decimal"/>
      <w:suff w:val="space"/>
      <w:lvlText w:val="%1."/>
      <w:lvlJc w:val="left"/>
    </w:lvl>
  </w:abstractNum>
  <w:abstractNum w:abstractNumId="28">
    <w:nsid w:val="5149012D"/>
    <w:multiLevelType w:val="multilevel"/>
    <w:tmpl w:val="5149012D"/>
    <w:lvl w:ilvl="0" w:tentative="0">
      <w:start w:val="1"/>
      <w:numFmt w:val="chineseCounting"/>
      <w:suff w:val="nothing"/>
      <w:lvlText w:val="%1、"/>
      <w:lvlJc w:val="left"/>
      <w:pPr>
        <w:ind w:left="0" w:firstLine="397"/>
      </w:pPr>
      <w:rPr>
        <w:rFonts w:hint="eastAsia"/>
      </w:rPr>
    </w:lvl>
    <w:lvl w:ilvl="1" w:tentative="0">
      <w:start w:val="1"/>
      <w:numFmt w:val="decimal"/>
      <w:suff w:val="nothing"/>
      <w:lvlText w:val="%2．"/>
      <w:lvlJc w:val="left"/>
      <w:pPr>
        <w:ind w:left="0" w:firstLine="397"/>
      </w:pPr>
      <w:rPr>
        <w:rFonts w:hint="eastAsia"/>
      </w:rPr>
    </w:lvl>
    <w:lvl w:ilvl="2" w:tentative="0">
      <w:start w:val="1"/>
      <w:numFmt w:val="decimal"/>
      <w:suff w:val="nothing"/>
      <w:lvlText w:val="（%3）"/>
      <w:lvlJc w:val="left"/>
      <w:pPr>
        <w:ind w:left="0" w:firstLine="397"/>
      </w:pPr>
      <w:rPr>
        <w:rFonts w:hint="eastAsia"/>
      </w:rPr>
    </w:lvl>
    <w:lvl w:ilvl="3" w:tentative="0">
      <w:start w:val="1"/>
      <w:numFmt w:val="decimalEnclosedCircleChinese"/>
      <w:suff w:val="nothing"/>
      <w:lvlText w:val="%4"/>
      <w:lvlJc w:val="left"/>
      <w:pPr>
        <w:ind w:left="0" w:firstLine="397"/>
      </w:pPr>
      <w:rPr>
        <w:rFonts w:hint="eastAsia"/>
      </w:rPr>
    </w:lvl>
    <w:lvl w:ilvl="4" w:tentative="0">
      <w:start w:val="1"/>
      <w:numFmt w:val="decimal"/>
      <w:suff w:val="nothing"/>
      <w:lvlText w:val="%5）"/>
      <w:lvlJc w:val="left"/>
      <w:pPr>
        <w:ind w:left="0" w:firstLine="397"/>
      </w:pPr>
      <w:rPr>
        <w:rFonts w:hint="eastAsia"/>
      </w:rPr>
    </w:lvl>
    <w:lvl w:ilvl="5" w:tentative="0">
      <w:start w:val="1"/>
      <w:numFmt w:val="lowerLetter"/>
      <w:suff w:val="nothing"/>
      <w:lvlText w:val="%6．"/>
      <w:lvlJc w:val="left"/>
      <w:pPr>
        <w:ind w:left="0" w:firstLine="397"/>
      </w:pPr>
      <w:rPr>
        <w:rFonts w:hint="eastAsia"/>
      </w:rPr>
    </w:lvl>
    <w:lvl w:ilvl="6" w:tentative="0">
      <w:start w:val="1"/>
      <w:numFmt w:val="lowerLetter"/>
      <w:suff w:val="nothing"/>
      <w:lvlText w:val="%7）"/>
      <w:lvlJc w:val="left"/>
      <w:pPr>
        <w:ind w:left="0" w:firstLine="397"/>
      </w:pPr>
      <w:rPr>
        <w:rFonts w:hint="eastAsia"/>
      </w:rPr>
    </w:lvl>
    <w:lvl w:ilvl="7" w:tentative="0">
      <w:start w:val="1"/>
      <w:numFmt w:val="lowerRoman"/>
      <w:suff w:val="nothing"/>
      <w:lvlText w:val="%8．"/>
      <w:lvlJc w:val="left"/>
      <w:pPr>
        <w:ind w:left="0" w:firstLine="397"/>
      </w:pPr>
      <w:rPr>
        <w:rFonts w:hint="eastAsia"/>
      </w:rPr>
    </w:lvl>
    <w:lvl w:ilvl="8" w:tentative="0">
      <w:start w:val="1"/>
      <w:numFmt w:val="lowerRoman"/>
      <w:suff w:val="nothing"/>
      <w:lvlText w:val="%9）"/>
      <w:lvlJc w:val="left"/>
      <w:pPr>
        <w:ind w:left="0" w:firstLine="397"/>
      </w:pPr>
      <w:rPr>
        <w:rFonts w:hint="eastAsia"/>
      </w:rPr>
    </w:lvl>
  </w:abstractNum>
  <w:abstractNum w:abstractNumId="29">
    <w:nsid w:val="585CFBA4"/>
    <w:multiLevelType w:val="singleLevel"/>
    <w:tmpl w:val="585CFBA4"/>
    <w:lvl w:ilvl="0" w:tentative="0">
      <w:start w:val="1"/>
      <w:numFmt w:val="decimal"/>
      <w:lvlText w:val="%1."/>
      <w:lvlJc w:val="left"/>
      <w:pPr>
        <w:tabs>
          <w:tab w:val="left" w:pos="312"/>
        </w:tabs>
      </w:pPr>
    </w:lvl>
  </w:abstractNum>
  <w:abstractNum w:abstractNumId="30">
    <w:nsid w:val="60B1176A"/>
    <w:multiLevelType w:val="singleLevel"/>
    <w:tmpl w:val="60B1176A"/>
    <w:lvl w:ilvl="0" w:tentative="0">
      <w:start w:val="1"/>
      <w:numFmt w:val="decimal"/>
      <w:suff w:val="nothing"/>
      <w:lvlText w:val="%1．"/>
      <w:lvlJc w:val="left"/>
      <w:pPr>
        <w:ind w:left="0" w:firstLine="1134"/>
      </w:pPr>
      <w:rPr>
        <w:rFonts w:hint="default"/>
      </w:rPr>
    </w:lvl>
  </w:abstractNum>
  <w:abstractNum w:abstractNumId="31">
    <w:nsid w:val="74F73AF8"/>
    <w:multiLevelType w:val="singleLevel"/>
    <w:tmpl w:val="74F73AF8"/>
    <w:lvl w:ilvl="0" w:tentative="0">
      <w:start w:val="1"/>
      <w:numFmt w:val="chineseCounting"/>
      <w:suff w:val="nothing"/>
      <w:lvlText w:val="%1、"/>
      <w:lvlJc w:val="left"/>
      <w:pPr>
        <w:ind w:left="0" w:firstLine="420"/>
      </w:pPr>
      <w:rPr>
        <w:rFonts w:hint="eastAsia"/>
      </w:rPr>
    </w:lvl>
  </w:abstractNum>
  <w:abstractNum w:abstractNumId="32">
    <w:nsid w:val="7897930A"/>
    <w:multiLevelType w:val="singleLevel"/>
    <w:tmpl w:val="7897930A"/>
    <w:lvl w:ilvl="0" w:tentative="0">
      <w:start w:val="1"/>
      <w:numFmt w:val="decimal"/>
      <w:suff w:val="nothing"/>
      <w:lvlText w:val="%1．"/>
      <w:lvlJc w:val="left"/>
      <w:pPr>
        <w:ind w:left="0" w:firstLine="1134"/>
      </w:pPr>
      <w:rPr>
        <w:rFonts w:hint="default"/>
      </w:rPr>
    </w:lvl>
  </w:abstractNum>
  <w:abstractNum w:abstractNumId="33">
    <w:nsid w:val="7B684E54"/>
    <w:multiLevelType w:val="singleLevel"/>
    <w:tmpl w:val="7B684E54"/>
    <w:lvl w:ilvl="0" w:tentative="0">
      <w:start w:val="1"/>
      <w:numFmt w:val="decimalEnclosedCircleChinese"/>
      <w:suff w:val="nothing"/>
      <w:lvlText w:val="%1　"/>
      <w:lvlJc w:val="left"/>
      <w:pPr>
        <w:ind w:left="0" w:firstLine="400"/>
      </w:pPr>
      <w:rPr>
        <w:rFonts w:hint="eastAsia"/>
      </w:rPr>
    </w:lvl>
  </w:abstractNum>
  <w:num w:numId="1">
    <w:abstractNumId w:val="16"/>
  </w:num>
  <w:num w:numId="2">
    <w:abstractNumId w:val="24"/>
  </w:num>
  <w:num w:numId="3">
    <w:abstractNumId w:val="22"/>
  </w:num>
  <w:num w:numId="4">
    <w:abstractNumId w:val="10"/>
  </w:num>
  <w:num w:numId="5">
    <w:abstractNumId w:val="18"/>
  </w:num>
  <w:num w:numId="6">
    <w:abstractNumId w:val="13"/>
  </w:num>
  <w:num w:numId="7">
    <w:abstractNumId w:val="11"/>
  </w:num>
  <w:num w:numId="8">
    <w:abstractNumId w:val="12"/>
  </w:num>
  <w:num w:numId="9">
    <w:abstractNumId w:val="17"/>
  </w:num>
  <w:num w:numId="10">
    <w:abstractNumId w:val="26"/>
  </w:num>
  <w:num w:numId="11">
    <w:abstractNumId w:val="9"/>
  </w:num>
  <w:num w:numId="12">
    <w:abstractNumId w:val="7"/>
  </w:num>
  <w:num w:numId="13">
    <w:abstractNumId w:val="14"/>
  </w:num>
  <w:num w:numId="14">
    <w:abstractNumId w:val="31"/>
  </w:num>
  <w:num w:numId="15">
    <w:abstractNumId w:val="19"/>
  </w:num>
  <w:num w:numId="16">
    <w:abstractNumId w:val="0"/>
  </w:num>
  <w:num w:numId="17">
    <w:abstractNumId w:val="20"/>
  </w:num>
  <w:num w:numId="18">
    <w:abstractNumId w:val="32"/>
  </w:num>
  <w:num w:numId="19">
    <w:abstractNumId w:val="3"/>
  </w:num>
  <w:num w:numId="20">
    <w:abstractNumId w:val="8"/>
  </w:num>
  <w:num w:numId="21">
    <w:abstractNumId w:val="15"/>
  </w:num>
  <w:num w:numId="22">
    <w:abstractNumId w:val="23"/>
  </w:num>
  <w:num w:numId="23">
    <w:abstractNumId w:val="4"/>
  </w:num>
  <w:num w:numId="24">
    <w:abstractNumId w:val="30"/>
  </w:num>
  <w:num w:numId="25">
    <w:abstractNumId w:val="2"/>
  </w:num>
  <w:num w:numId="26">
    <w:abstractNumId w:val="6"/>
  </w:num>
  <w:num w:numId="27">
    <w:abstractNumId w:val="1"/>
  </w:num>
  <w:num w:numId="28">
    <w:abstractNumId w:val="27"/>
  </w:num>
  <w:num w:numId="29">
    <w:abstractNumId w:val="5"/>
  </w:num>
  <w:num w:numId="30">
    <w:abstractNumId w:val="28"/>
  </w:num>
  <w:num w:numId="31">
    <w:abstractNumId w:val="33"/>
  </w:num>
  <w:num w:numId="32">
    <w:abstractNumId w:val="21"/>
  </w:num>
  <w:num w:numId="33">
    <w:abstractNumId w:val="25"/>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trackRevisions w:val="1"/>
  <w:documentProtection w:enforcement="0"/>
  <w:defaultTabStop w:val="420"/>
  <w:doNotHyphenateCaps/>
  <w:drawingGridHorizontalSpacing w:val="10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0Yjc2MzdjMzNlOTYwYmU2MzlkZjg2MzRhMDA5MTgifQ=="/>
  </w:docVars>
  <w:rsids>
    <w:rsidRoot w:val="009238AE"/>
    <w:rsid w:val="00005CCA"/>
    <w:rsid w:val="000203FD"/>
    <w:rsid w:val="00024E8A"/>
    <w:rsid w:val="0006698C"/>
    <w:rsid w:val="0007016B"/>
    <w:rsid w:val="00085977"/>
    <w:rsid w:val="000A118A"/>
    <w:rsid w:val="000A79C7"/>
    <w:rsid w:val="000B3ED2"/>
    <w:rsid w:val="000E253D"/>
    <w:rsid w:val="00104083"/>
    <w:rsid w:val="0011189F"/>
    <w:rsid w:val="0015334C"/>
    <w:rsid w:val="00155EC9"/>
    <w:rsid w:val="00162F4F"/>
    <w:rsid w:val="001B53CA"/>
    <w:rsid w:val="001C462B"/>
    <w:rsid w:val="0020596C"/>
    <w:rsid w:val="00241844"/>
    <w:rsid w:val="0028336A"/>
    <w:rsid w:val="00284BAC"/>
    <w:rsid w:val="002C77B0"/>
    <w:rsid w:val="002D0F58"/>
    <w:rsid w:val="003027E9"/>
    <w:rsid w:val="00303700"/>
    <w:rsid w:val="0032770A"/>
    <w:rsid w:val="003410EC"/>
    <w:rsid w:val="00370C7E"/>
    <w:rsid w:val="003A688A"/>
    <w:rsid w:val="003B0FBD"/>
    <w:rsid w:val="003E654D"/>
    <w:rsid w:val="00421375"/>
    <w:rsid w:val="00440364"/>
    <w:rsid w:val="00444CA1"/>
    <w:rsid w:val="0044577A"/>
    <w:rsid w:val="00451447"/>
    <w:rsid w:val="004762C8"/>
    <w:rsid w:val="0047670C"/>
    <w:rsid w:val="0048177D"/>
    <w:rsid w:val="004E31A0"/>
    <w:rsid w:val="004F00E1"/>
    <w:rsid w:val="004F5BEC"/>
    <w:rsid w:val="00505860"/>
    <w:rsid w:val="00515DC6"/>
    <w:rsid w:val="00521AD2"/>
    <w:rsid w:val="005672F4"/>
    <w:rsid w:val="005A38CC"/>
    <w:rsid w:val="005B4B0B"/>
    <w:rsid w:val="005C4CFE"/>
    <w:rsid w:val="005C7898"/>
    <w:rsid w:val="00637E3F"/>
    <w:rsid w:val="00664F5E"/>
    <w:rsid w:val="00697B9C"/>
    <w:rsid w:val="006D79B5"/>
    <w:rsid w:val="00702E43"/>
    <w:rsid w:val="00705638"/>
    <w:rsid w:val="00715EF9"/>
    <w:rsid w:val="00716322"/>
    <w:rsid w:val="00723887"/>
    <w:rsid w:val="007455BE"/>
    <w:rsid w:val="00754D5C"/>
    <w:rsid w:val="0078092C"/>
    <w:rsid w:val="00796F9A"/>
    <w:rsid w:val="007B2EAC"/>
    <w:rsid w:val="007B3B5A"/>
    <w:rsid w:val="007D144C"/>
    <w:rsid w:val="00802745"/>
    <w:rsid w:val="00845C29"/>
    <w:rsid w:val="00846033"/>
    <w:rsid w:val="008578AA"/>
    <w:rsid w:val="00867CCF"/>
    <w:rsid w:val="00873316"/>
    <w:rsid w:val="0087730C"/>
    <w:rsid w:val="0088699A"/>
    <w:rsid w:val="008B3887"/>
    <w:rsid w:val="008C5044"/>
    <w:rsid w:val="008C72CC"/>
    <w:rsid w:val="008E34EF"/>
    <w:rsid w:val="009050C0"/>
    <w:rsid w:val="009238AE"/>
    <w:rsid w:val="009443F5"/>
    <w:rsid w:val="009444C8"/>
    <w:rsid w:val="00981653"/>
    <w:rsid w:val="00994F88"/>
    <w:rsid w:val="009D13B3"/>
    <w:rsid w:val="009E2834"/>
    <w:rsid w:val="00A1456B"/>
    <w:rsid w:val="00A15D82"/>
    <w:rsid w:val="00A230E7"/>
    <w:rsid w:val="00A4033D"/>
    <w:rsid w:val="00A56072"/>
    <w:rsid w:val="00A82D20"/>
    <w:rsid w:val="00A830A7"/>
    <w:rsid w:val="00A87EB2"/>
    <w:rsid w:val="00A97C7C"/>
    <w:rsid w:val="00AC29B4"/>
    <w:rsid w:val="00AE4A15"/>
    <w:rsid w:val="00B023F7"/>
    <w:rsid w:val="00B07915"/>
    <w:rsid w:val="00B248A9"/>
    <w:rsid w:val="00B2593F"/>
    <w:rsid w:val="00B7326F"/>
    <w:rsid w:val="00BD7BC2"/>
    <w:rsid w:val="00BF24EF"/>
    <w:rsid w:val="00BF782E"/>
    <w:rsid w:val="00C071E7"/>
    <w:rsid w:val="00C53929"/>
    <w:rsid w:val="00C62746"/>
    <w:rsid w:val="00C665DD"/>
    <w:rsid w:val="00C66A5A"/>
    <w:rsid w:val="00C82A9E"/>
    <w:rsid w:val="00C93B35"/>
    <w:rsid w:val="00CA05DC"/>
    <w:rsid w:val="00CA116E"/>
    <w:rsid w:val="00CB6D03"/>
    <w:rsid w:val="00CD0983"/>
    <w:rsid w:val="00D1074B"/>
    <w:rsid w:val="00D1598B"/>
    <w:rsid w:val="00D32FE0"/>
    <w:rsid w:val="00D40FE2"/>
    <w:rsid w:val="00D84DC1"/>
    <w:rsid w:val="00DA33C7"/>
    <w:rsid w:val="00DD2C96"/>
    <w:rsid w:val="00DD70BA"/>
    <w:rsid w:val="00DF7FAD"/>
    <w:rsid w:val="00E17F8F"/>
    <w:rsid w:val="00E759DE"/>
    <w:rsid w:val="00E8363E"/>
    <w:rsid w:val="00E863FE"/>
    <w:rsid w:val="00E877D2"/>
    <w:rsid w:val="00EA0CE7"/>
    <w:rsid w:val="00EF3768"/>
    <w:rsid w:val="00F031A7"/>
    <w:rsid w:val="00F11E73"/>
    <w:rsid w:val="00F37C15"/>
    <w:rsid w:val="00F40FD7"/>
    <w:rsid w:val="00F41FDC"/>
    <w:rsid w:val="00F66B7B"/>
    <w:rsid w:val="012D1043"/>
    <w:rsid w:val="01A5508F"/>
    <w:rsid w:val="01C04E49"/>
    <w:rsid w:val="01F9035B"/>
    <w:rsid w:val="022C6982"/>
    <w:rsid w:val="02447828"/>
    <w:rsid w:val="02887703"/>
    <w:rsid w:val="02BC3862"/>
    <w:rsid w:val="02C10E79"/>
    <w:rsid w:val="03A74512"/>
    <w:rsid w:val="03F60FF6"/>
    <w:rsid w:val="040218DF"/>
    <w:rsid w:val="04932222"/>
    <w:rsid w:val="04B844FD"/>
    <w:rsid w:val="04BE0075"/>
    <w:rsid w:val="05134417"/>
    <w:rsid w:val="051C4A8C"/>
    <w:rsid w:val="05616943"/>
    <w:rsid w:val="05832379"/>
    <w:rsid w:val="058D5735"/>
    <w:rsid w:val="06154F77"/>
    <w:rsid w:val="061A5470"/>
    <w:rsid w:val="068154EF"/>
    <w:rsid w:val="068943A3"/>
    <w:rsid w:val="068D129B"/>
    <w:rsid w:val="06D4768D"/>
    <w:rsid w:val="070076F3"/>
    <w:rsid w:val="070163BD"/>
    <w:rsid w:val="0750564C"/>
    <w:rsid w:val="07520C39"/>
    <w:rsid w:val="0764271A"/>
    <w:rsid w:val="076A3D53"/>
    <w:rsid w:val="0797489E"/>
    <w:rsid w:val="07C33E31"/>
    <w:rsid w:val="07C37441"/>
    <w:rsid w:val="07D07BCF"/>
    <w:rsid w:val="07FCB73D"/>
    <w:rsid w:val="081A743B"/>
    <w:rsid w:val="084D079F"/>
    <w:rsid w:val="0857273B"/>
    <w:rsid w:val="086623E5"/>
    <w:rsid w:val="08B1373D"/>
    <w:rsid w:val="09353BD7"/>
    <w:rsid w:val="093A1985"/>
    <w:rsid w:val="095C7F3B"/>
    <w:rsid w:val="099D3788"/>
    <w:rsid w:val="09DE5453"/>
    <w:rsid w:val="0A785CAB"/>
    <w:rsid w:val="0A7D68CB"/>
    <w:rsid w:val="0A805ABD"/>
    <w:rsid w:val="0AED4CFD"/>
    <w:rsid w:val="0B24469B"/>
    <w:rsid w:val="0C2B72BD"/>
    <w:rsid w:val="0C5F0057"/>
    <w:rsid w:val="0C947E70"/>
    <w:rsid w:val="0CEC553C"/>
    <w:rsid w:val="0D183D8B"/>
    <w:rsid w:val="0D215336"/>
    <w:rsid w:val="0D2C7836"/>
    <w:rsid w:val="0D5154EF"/>
    <w:rsid w:val="0D907DC5"/>
    <w:rsid w:val="0E1C5AFD"/>
    <w:rsid w:val="0E286250"/>
    <w:rsid w:val="0EA55D13"/>
    <w:rsid w:val="0EC341CA"/>
    <w:rsid w:val="0F225395"/>
    <w:rsid w:val="0FBF1CE2"/>
    <w:rsid w:val="0FC41FA8"/>
    <w:rsid w:val="10345524"/>
    <w:rsid w:val="10606175"/>
    <w:rsid w:val="10DA3734"/>
    <w:rsid w:val="10E93D4E"/>
    <w:rsid w:val="10FC3DEE"/>
    <w:rsid w:val="11230CF7"/>
    <w:rsid w:val="11257205"/>
    <w:rsid w:val="11610104"/>
    <w:rsid w:val="117B2B3A"/>
    <w:rsid w:val="11A32626"/>
    <w:rsid w:val="11A752F3"/>
    <w:rsid w:val="11D337D5"/>
    <w:rsid w:val="11D96613"/>
    <w:rsid w:val="12136E27"/>
    <w:rsid w:val="12170AB5"/>
    <w:rsid w:val="12A367ED"/>
    <w:rsid w:val="12D1693C"/>
    <w:rsid w:val="12F820F0"/>
    <w:rsid w:val="13241104"/>
    <w:rsid w:val="13370CE3"/>
    <w:rsid w:val="134F021D"/>
    <w:rsid w:val="13A55A1C"/>
    <w:rsid w:val="143E35BB"/>
    <w:rsid w:val="14BF5434"/>
    <w:rsid w:val="150E3ABD"/>
    <w:rsid w:val="15246428"/>
    <w:rsid w:val="153638BB"/>
    <w:rsid w:val="15855928"/>
    <w:rsid w:val="15DE6996"/>
    <w:rsid w:val="15E16D29"/>
    <w:rsid w:val="16201F02"/>
    <w:rsid w:val="163A0A31"/>
    <w:rsid w:val="169D62EE"/>
    <w:rsid w:val="177E0A01"/>
    <w:rsid w:val="178076FA"/>
    <w:rsid w:val="17881E7C"/>
    <w:rsid w:val="180C6BE2"/>
    <w:rsid w:val="18C51A85"/>
    <w:rsid w:val="18E52DDF"/>
    <w:rsid w:val="18E7126B"/>
    <w:rsid w:val="190E784A"/>
    <w:rsid w:val="19304397"/>
    <w:rsid w:val="19697EAD"/>
    <w:rsid w:val="19AC7D2F"/>
    <w:rsid w:val="19D246EC"/>
    <w:rsid w:val="19FB0881"/>
    <w:rsid w:val="1A27385F"/>
    <w:rsid w:val="1A931E7A"/>
    <w:rsid w:val="1AD339E7"/>
    <w:rsid w:val="1AD67034"/>
    <w:rsid w:val="1ADC0AEE"/>
    <w:rsid w:val="1B3277E5"/>
    <w:rsid w:val="1B81456E"/>
    <w:rsid w:val="1BE539D2"/>
    <w:rsid w:val="1C220782"/>
    <w:rsid w:val="1C527621"/>
    <w:rsid w:val="1CD13F56"/>
    <w:rsid w:val="1CD557F5"/>
    <w:rsid w:val="1CD6156D"/>
    <w:rsid w:val="1CE77446"/>
    <w:rsid w:val="1D3E15EC"/>
    <w:rsid w:val="1D6A0633"/>
    <w:rsid w:val="1D9D670D"/>
    <w:rsid w:val="1E256A0D"/>
    <w:rsid w:val="1E6B472F"/>
    <w:rsid w:val="1EC154C0"/>
    <w:rsid w:val="1F6D7F66"/>
    <w:rsid w:val="1F715EB6"/>
    <w:rsid w:val="1F7755F3"/>
    <w:rsid w:val="20084133"/>
    <w:rsid w:val="206550E2"/>
    <w:rsid w:val="20670E5A"/>
    <w:rsid w:val="20D94EF4"/>
    <w:rsid w:val="21C36564"/>
    <w:rsid w:val="21D40771"/>
    <w:rsid w:val="21D52DE3"/>
    <w:rsid w:val="21F13119"/>
    <w:rsid w:val="22237002"/>
    <w:rsid w:val="22431452"/>
    <w:rsid w:val="227852E3"/>
    <w:rsid w:val="22CC640C"/>
    <w:rsid w:val="23005595"/>
    <w:rsid w:val="23045ABA"/>
    <w:rsid w:val="2314638F"/>
    <w:rsid w:val="23434D46"/>
    <w:rsid w:val="23952804"/>
    <w:rsid w:val="23B02B18"/>
    <w:rsid w:val="23DE078D"/>
    <w:rsid w:val="240F5A90"/>
    <w:rsid w:val="242A0B1C"/>
    <w:rsid w:val="247753E3"/>
    <w:rsid w:val="24AA32E6"/>
    <w:rsid w:val="24B77ED6"/>
    <w:rsid w:val="2500362B"/>
    <w:rsid w:val="25033821"/>
    <w:rsid w:val="25180974"/>
    <w:rsid w:val="254C6870"/>
    <w:rsid w:val="256516E0"/>
    <w:rsid w:val="25A916A1"/>
    <w:rsid w:val="26323CB8"/>
    <w:rsid w:val="26ED422C"/>
    <w:rsid w:val="27062E70"/>
    <w:rsid w:val="27533EE6"/>
    <w:rsid w:val="27B613A3"/>
    <w:rsid w:val="27B84691"/>
    <w:rsid w:val="283830DC"/>
    <w:rsid w:val="28E514B5"/>
    <w:rsid w:val="28F93757"/>
    <w:rsid w:val="29192F0D"/>
    <w:rsid w:val="29646755"/>
    <w:rsid w:val="29991744"/>
    <w:rsid w:val="2A4E5C47"/>
    <w:rsid w:val="2A51422D"/>
    <w:rsid w:val="2A8B3997"/>
    <w:rsid w:val="2A9156A2"/>
    <w:rsid w:val="2AA25646"/>
    <w:rsid w:val="2AD03A9F"/>
    <w:rsid w:val="2BA8213A"/>
    <w:rsid w:val="2BAD08B5"/>
    <w:rsid w:val="2C163734"/>
    <w:rsid w:val="2C271DE5"/>
    <w:rsid w:val="2C38632B"/>
    <w:rsid w:val="2C9A4365"/>
    <w:rsid w:val="2D2C76B3"/>
    <w:rsid w:val="2D377E34"/>
    <w:rsid w:val="2D6649A5"/>
    <w:rsid w:val="2D780B48"/>
    <w:rsid w:val="2D9C2560"/>
    <w:rsid w:val="2DE33AEA"/>
    <w:rsid w:val="2E1A575D"/>
    <w:rsid w:val="2EA27501"/>
    <w:rsid w:val="2EBD0E37"/>
    <w:rsid w:val="2EDF2503"/>
    <w:rsid w:val="2F17377A"/>
    <w:rsid w:val="2F1E5313"/>
    <w:rsid w:val="2F996B56"/>
    <w:rsid w:val="2FAB58C1"/>
    <w:rsid w:val="2FD22068"/>
    <w:rsid w:val="2FE14059"/>
    <w:rsid w:val="305A3199"/>
    <w:rsid w:val="31A737AC"/>
    <w:rsid w:val="324F79A0"/>
    <w:rsid w:val="327505AE"/>
    <w:rsid w:val="32D3237F"/>
    <w:rsid w:val="335608C6"/>
    <w:rsid w:val="33941B0E"/>
    <w:rsid w:val="33A25EE3"/>
    <w:rsid w:val="33B3552E"/>
    <w:rsid w:val="343E1A7A"/>
    <w:rsid w:val="34907349"/>
    <w:rsid w:val="349B6ECC"/>
    <w:rsid w:val="35C661CB"/>
    <w:rsid w:val="35F5260C"/>
    <w:rsid w:val="3667350A"/>
    <w:rsid w:val="36E37651"/>
    <w:rsid w:val="36F80606"/>
    <w:rsid w:val="37132365"/>
    <w:rsid w:val="3720737E"/>
    <w:rsid w:val="376300D4"/>
    <w:rsid w:val="377C627A"/>
    <w:rsid w:val="378177FA"/>
    <w:rsid w:val="37AE6F16"/>
    <w:rsid w:val="37FE3BB5"/>
    <w:rsid w:val="38D429AD"/>
    <w:rsid w:val="391D07F7"/>
    <w:rsid w:val="39311BAD"/>
    <w:rsid w:val="39406294"/>
    <w:rsid w:val="39463128"/>
    <w:rsid w:val="394A1468"/>
    <w:rsid w:val="394C69E7"/>
    <w:rsid w:val="395843EC"/>
    <w:rsid w:val="39761CB6"/>
    <w:rsid w:val="39B5458C"/>
    <w:rsid w:val="39BE5B37"/>
    <w:rsid w:val="39DF785B"/>
    <w:rsid w:val="39E84962"/>
    <w:rsid w:val="3A064DE8"/>
    <w:rsid w:val="3A4257C1"/>
    <w:rsid w:val="3A7022ED"/>
    <w:rsid w:val="3AA60379"/>
    <w:rsid w:val="3AAF722D"/>
    <w:rsid w:val="3AD4138A"/>
    <w:rsid w:val="3B31208C"/>
    <w:rsid w:val="3B842468"/>
    <w:rsid w:val="3BB801EB"/>
    <w:rsid w:val="3BFD1FA1"/>
    <w:rsid w:val="3BFD221A"/>
    <w:rsid w:val="3C0E3BCD"/>
    <w:rsid w:val="3CB774FD"/>
    <w:rsid w:val="3D244C48"/>
    <w:rsid w:val="3D45468A"/>
    <w:rsid w:val="3D7A32C1"/>
    <w:rsid w:val="3D850E88"/>
    <w:rsid w:val="3DB633CE"/>
    <w:rsid w:val="3E263949"/>
    <w:rsid w:val="3E5F0BC8"/>
    <w:rsid w:val="3E7569E0"/>
    <w:rsid w:val="3EA6303D"/>
    <w:rsid w:val="3EF94CDF"/>
    <w:rsid w:val="3F0338BD"/>
    <w:rsid w:val="3F1921C0"/>
    <w:rsid w:val="3F6D089B"/>
    <w:rsid w:val="401D2662"/>
    <w:rsid w:val="408918AE"/>
    <w:rsid w:val="40A435AC"/>
    <w:rsid w:val="40A610D2"/>
    <w:rsid w:val="40D93256"/>
    <w:rsid w:val="413C1A16"/>
    <w:rsid w:val="41911D83"/>
    <w:rsid w:val="41CC63C4"/>
    <w:rsid w:val="41E77D4E"/>
    <w:rsid w:val="41EF0857"/>
    <w:rsid w:val="4248348E"/>
    <w:rsid w:val="425734E9"/>
    <w:rsid w:val="425752A0"/>
    <w:rsid w:val="427B2750"/>
    <w:rsid w:val="428E0070"/>
    <w:rsid w:val="4293772E"/>
    <w:rsid w:val="42AE6605"/>
    <w:rsid w:val="42D57A4D"/>
    <w:rsid w:val="43506260"/>
    <w:rsid w:val="43AE2740"/>
    <w:rsid w:val="43B33FD4"/>
    <w:rsid w:val="43C91018"/>
    <w:rsid w:val="446C0568"/>
    <w:rsid w:val="44B0193B"/>
    <w:rsid w:val="44E67CEF"/>
    <w:rsid w:val="450D1720"/>
    <w:rsid w:val="451F76A5"/>
    <w:rsid w:val="45684BA8"/>
    <w:rsid w:val="45B1654F"/>
    <w:rsid w:val="45D50007"/>
    <w:rsid w:val="45E952C1"/>
    <w:rsid w:val="460D0F7A"/>
    <w:rsid w:val="4613720A"/>
    <w:rsid w:val="462B72EB"/>
    <w:rsid w:val="467A2DE5"/>
    <w:rsid w:val="469B5F8A"/>
    <w:rsid w:val="46AB2EEC"/>
    <w:rsid w:val="46D22C21"/>
    <w:rsid w:val="46FA5CD4"/>
    <w:rsid w:val="47086AD3"/>
    <w:rsid w:val="47463507"/>
    <w:rsid w:val="477D3C0C"/>
    <w:rsid w:val="47AB5220"/>
    <w:rsid w:val="47B47B3D"/>
    <w:rsid w:val="486F624E"/>
    <w:rsid w:val="4891224F"/>
    <w:rsid w:val="48A04659"/>
    <w:rsid w:val="490E445B"/>
    <w:rsid w:val="491134DD"/>
    <w:rsid w:val="49D40A5E"/>
    <w:rsid w:val="49E60792"/>
    <w:rsid w:val="4B1530DD"/>
    <w:rsid w:val="4B212CAE"/>
    <w:rsid w:val="4B216D17"/>
    <w:rsid w:val="4B2C0426"/>
    <w:rsid w:val="4B3A0D95"/>
    <w:rsid w:val="4B603F89"/>
    <w:rsid w:val="4B867D66"/>
    <w:rsid w:val="4BA23145"/>
    <w:rsid w:val="4BC6475E"/>
    <w:rsid w:val="4C2F1992"/>
    <w:rsid w:val="4C3752D5"/>
    <w:rsid w:val="4C771B75"/>
    <w:rsid w:val="4C981AC7"/>
    <w:rsid w:val="4CB45BBD"/>
    <w:rsid w:val="4DDA5E53"/>
    <w:rsid w:val="4E4361B3"/>
    <w:rsid w:val="4F675674"/>
    <w:rsid w:val="4F6E05EC"/>
    <w:rsid w:val="4F7C3585"/>
    <w:rsid w:val="4F816C21"/>
    <w:rsid w:val="4FA72F38"/>
    <w:rsid w:val="4FFC6C46"/>
    <w:rsid w:val="50316AFD"/>
    <w:rsid w:val="50611726"/>
    <w:rsid w:val="50903205"/>
    <w:rsid w:val="50E753FB"/>
    <w:rsid w:val="50F70163"/>
    <w:rsid w:val="512630B2"/>
    <w:rsid w:val="5139014B"/>
    <w:rsid w:val="514359C6"/>
    <w:rsid w:val="51854036"/>
    <w:rsid w:val="51CB2747"/>
    <w:rsid w:val="520E2829"/>
    <w:rsid w:val="524A0E47"/>
    <w:rsid w:val="53755060"/>
    <w:rsid w:val="539841AD"/>
    <w:rsid w:val="53BE6DFC"/>
    <w:rsid w:val="541D1ECF"/>
    <w:rsid w:val="543640C4"/>
    <w:rsid w:val="545033D7"/>
    <w:rsid w:val="545A4256"/>
    <w:rsid w:val="54696A0D"/>
    <w:rsid w:val="549D5966"/>
    <w:rsid w:val="54D97871"/>
    <w:rsid w:val="551C775D"/>
    <w:rsid w:val="555315B8"/>
    <w:rsid w:val="5563538C"/>
    <w:rsid w:val="55A25EB5"/>
    <w:rsid w:val="560B7461"/>
    <w:rsid w:val="5621327D"/>
    <w:rsid w:val="566C4D15"/>
    <w:rsid w:val="56A47A0A"/>
    <w:rsid w:val="57454D4A"/>
    <w:rsid w:val="57827D4C"/>
    <w:rsid w:val="57A177C7"/>
    <w:rsid w:val="57ED39CE"/>
    <w:rsid w:val="57EE1192"/>
    <w:rsid w:val="57F64296"/>
    <w:rsid w:val="58155FF3"/>
    <w:rsid w:val="5839498E"/>
    <w:rsid w:val="588C0756"/>
    <w:rsid w:val="58A94BE5"/>
    <w:rsid w:val="58C16652"/>
    <w:rsid w:val="58EC3E20"/>
    <w:rsid w:val="591A3FB4"/>
    <w:rsid w:val="595444FC"/>
    <w:rsid w:val="59637709"/>
    <w:rsid w:val="597A4A53"/>
    <w:rsid w:val="599179CD"/>
    <w:rsid w:val="5A0F2267"/>
    <w:rsid w:val="5A3D7DFB"/>
    <w:rsid w:val="5A455061"/>
    <w:rsid w:val="5A5E2E5F"/>
    <w:rsid w:val="5A8C2C8F"/>
    <w:rsid w:val="5AB21CD6"/>
    <w:rsid w:val="5AFC62FE"/>
    <w:rsid w:val="5BE80399"/>
    <w:rsid w:val="5BF40AEC"/>
    <w:rsid w:val="5C6A3D14"/>
    <w:rsid w:val="5CFA3752"/>
    <w:rsid w:val="5CFA4828"/>
    <w:rsid w:val="5D582069"/>
    <w:rsid w:val="5DBC1ADE"/>
    <w:rsid w:val="5DD15589"/>
    <w:rsid w:val="5DD62D10"/>
    <w:rsid w:val="5EB82F9B"/>
    <w:rsid w:val="5ECC5D50"/>
    <w:rsid w:val="5F7F7AD7"/>
    <w:rsid w:val="5FCA7075"/>
    <w:rsid w:val="60116375"/>
    <w:rsid w:val="607C050A"/>
    <w:rsid w:val="60C76BAD"/>
    <w:rsid w:val="6129252B"/>
    <w:rsid w:val="617032A7"/>
    <w:rsid w:val="618B5A4F"/>
    <w:rsid w:val="61E12825"/>
    <w:rsid w:val="62A766D6"/>
    <w:rsid w:val="62CE0B39"/>
    <w:rsid w:val="62D41677"/>
    <w:rsid w:val="632C3261"/>
    <w:rsid w:val="6350790D"/>
    <w:rsid w:val="635D166D"/>
    <w:rsid w:val="63A24205"/>
    <w:rsid w:val="63BD3EBA"/>
    <w:rsid w:val="63C27722"/>
    <w:rsid w:val="64754794"/>
    <w:rsid w:val="64C0117D"/>
    <w:rsid w:val="64D64FF8"/>
    <w:rsid w:val="64DE2926"/>
    <w:rsid w:val="6524387C"/>
    <w:rsid w:val="65377593"/>
    <w:rsid w:val="653B605D"/>
    <w:rsid w:val="655874CF"/>
    <w:rsid w:val="65FA7647"/>
    <w:rsid w:val="66402691"/>
    <w:rsid w:val="667D5043"/>
    <w:rsid w:val="66B07D06"/>
    <w:rsid w:val="66FF570B"/>
    <w:rsid w:val="670755B5"/>
    <w:rsid w:val="670D42A8"/>
    <w:rsid w:val="670D6F2C"/>
    <w:rsid w:val="67270AFC"/>
    <w:rsid w:val="67DD5273"/>
    <w:rsid w:val="67E61C31"/>
    <w:rsid w:val="68122A28"/>
    <w:rsid w:val="685327C0"/>
    <w:rsid w:val="69AA2417"/>
    <w:rsid w:val="6A0B3BD1"/>
    <w:rsid w:val="6A740BDF"/>
    <w:rsid w:val="6A7554EE"/>
    <w:rsid w:val="6AA933EA"/>
    <w:rsid w:val="6AAE36B0"/>
    <w:rsid w:val="6AC12A02"/>
    <w:rsid w:val="6B3A2BB7"/>
    <w:rsid w:val="6B480E55"/>
    <w:rsid w:val="6B551715"/>
    <w:rsid w:val="6B623CC4"/>
    <w:rsid w:val="6B8754D9"/>
    <w:rsid w:val="6BE566A3"/>
    <w:rsid w:val="6C8163CC"/>
    <w:rsid w:val="6D050DAB"/>
    <w:rsid w:val="6D0D4676"/>
    <w:rsid w:val="6D6A6E60"/>
    <w:rsid w:val="6D723F67"/>
    <w:rsid w:val="6D9E6B0A"/>
    <w:rsid w:val="6DFE6BFE"/>
    <w:rsid w:val="6E435AAD"/>
    <w:rsid w:val="6E7D5DF0"/>
    <w:rsid w:val="6EF332AE"/>
    <w:rsid w:val="6EFF299C"/>
    <w:rsid w:val="6F503755"/>
    <w:rsid w:val="6FBE633E"/>
    <w:rsid w:val="7004621E"/>
    <w:rsid w:val="70182BA3"/>
    <w:rsid w:val="70D41E8E"/>
    <w:rsid w:val="71063344"/>
    <w:rsid w:val="713734FD"/>
    <w:rsid w:val="71B81C2B"/>
    <w:rsid w:val="71DC40DB"/>
    <w:rsid w:val="72133F6A"/>
    <w:rsid w:val="72480C3E"/>
    <w:rsid w:val="72593186"/>
    <w:rsid w:val="72A723C4"/>
    <w:rsid w:val="72C2329A"/>
    <w:rsid w:val="72F53670"/>
    <w:rsid w:val="72F71196"/>
    <w:rsid w:val="72F86CBC"/>
    <w:rsid w:val="72FF44EF"/>
    <w:rsid w:val="7304120F"/>
    <w:rsid w:val="73056C94"/>
    <w:rsid w:val="73133AF6"/>
    <w:rsid w:val="731410BE"/>
    <w:rsid w:val="73410663"/>
    <w:rsid w:val="735F4F8D"/>
    <w:rsid w:val="737F118B"/>
    <w:rsid w:val="738E1F21"/>
    <w:rsid w:val="739130AC"/>
    <w:rsid w:val="742B02D3"/>
    <w:rsid w:val="7451545A"/>
    <w:rsid w:val="74911176"/>
    <w:rsid w:val="75B50E95"/>
    <w:rsid w:val="75DA6B4D"/>
    <w:rsid w:val="75F95225"/>
    <w:rsid w:val="76A5680E"/>
    <w:rsid w:val="76C577E3"/>
    <w:rsid w:val="76D637B8"/>
    <w:rsid w:val="77DB5DA8"/>
    <w:rsid w:val="77EB2CC5"/>
    <w:rsid w:val="77EE02F4"/>
    <w:rsid w:val="7835388F"/>
    <w:rsid w:val="78574485"/>
    <w:rsid w:val="78782D79"/>
    <w:rsid w:val="78C36C63"/>
    <w:rsid w:val="78F543CA"/>
    <w:rsid w:val="79224A93"/>
    <w:rsid w:val="79F15C6F"/>
    <w:rsid w:val="79FA1F02"/>
    <w:rsid w:val="7AC51B7A"/>
    <w:rsid w:val="7AE04C06"/>
    <w:rsid w:val="7AE364A4"/>
    <w:rsid w:val="7B1C223C"/>
    <w:rsid w:val="7B332F87"/>
    <w:rsid w:val="7B835FAF"/>
    <w:rsid w:val="7BC41E31"/>
    <w:rsid w:val="7BD34156"/>
    <w:rsid w:val="7BFD5343"/>
    <w:rsid w:val="7C2B5911"/>
    <w:rsid w:val="7CE16A13"/>
    <w:rsid w:val="7D00333D"/>
    <w:rsid w:val="7D0970D9"/>
    <w:rsid w:val="7D1961AD"/>
    <w:rsid w:val="7D2012E9"/>
    <w:rsid w:val="7D3B4375"/>
    <w:rsid w:val="7D431C3D"/>
    <w:rsid w:val="7D747887"/>
    <w:rsid w:val="7D8775BA"/>
    <w:rsid w:val="7DE06322"/>
    <w:rsid w:val="7DF45C8E"/>
    <w:rsid w:val="7DFA0B29"/>
    <w:rsid w:val="7E066731"/>
    <w:rsid w:val="7E0A192A"/>
    <w:rsid w:val="7E512856"/>
    <w:rsid w:val="7E6006FA"/>
    <w:rsid w:val="7EC46E34"/>
    <w:rsid w:val="7EFE3F33"/>
    <w:rsid w:val="7F5F6418"/>
    <w:rsid w:val="7F983D01"/>
    <w:rsid w:val="7FB0104A"/>
    <w:rsid w:val="7FB349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39"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link w:val="49"/>
    <w:qFormat/>
    <w:uiPriority w:val="99"/>
    <w:pPr>
      <w:keepNext/>
      <w:keepLines/>
      <w:spacing w:line="576" w:lineRule="auto"/>
      <w:outlineLvl w:val="0"/>
    </w:pPr>
    <w:rPr>
      <w:rFonts w:ascii="Calibri" w:hAnsi="Calibri" w:eastAsia="宋体" w:cs="Calibri"/>
      <w:b/>
      <w:bCs/>
      <w:kern w:val="44"/>
      <w:sz w:val="36"/>
      <w:szCs w:val="44"/>
    </w:rPr>
  </w:style>
  <w:style w:type="paragraph" w:styleId="3">
    <w:name w:val="heading 2"/>
    <w:basedOn w:val="1"/>
    <w:next w:val="4"/>
    <w:link w:val="50"/>
    <w:qFormat/>
    <w:uiPriority w:val="99"/>
    <w:pPr>
      <w:keepNext/>
      <w:spacing w:line="216" w:lineRule="auto"/>
      <w:outlineLvl w:val="1"/>
    </w:pPr>
    <w:rPr>
      <w:rFonts w:ascii="宋体" w:hAnsi="宋体" w:eastAsia="宋体" w:cs="宋体"/>
      <w:b/>
      <w:bCs/>
      <w:sz w:val="28"/>
      <w:szCs w:val="28"/>
    </w:rPr>
  </w:style>
  <w:style w:type="paragraph" w:styleId="5">
    <w:name w:val="heading 3"/>
    <w:basedOn w:val="1"/>
    <w:next w:val="1"/>
    <w:link w:val="51"/>
    <w:qFormat/>
    <w:uiPriority w:val="99"/>
    <w:pPr>
      <w:keepNext/>
      <w:numPr>
        <w:ilvl w:val="0"/>
        <w:numId w:val="1"/>
      </w:numPr>
      <w:spacing w:line="216" w:lineRule="auto"/>
      <w:outlineLvl w:val="2"/>
    </w:pPr>
    <w:rPr>
      <w:rFonts w:ascii="宋体" w:hAnsi="宋体" w:cs="宋体"/>
      <w:b/>
      <w:bCs/>
      <w:sz w:val="24"/>
      <w:szCs w:val="28"/>
    </w:rPr>
  </w:style>
  <w:style w:type="paragraph" w:styleId="6">
    <w:name w:val="heading 4"/>
    <w:next w:val="1"/>
    <w:qFormat/>
    <w:uiPriority w:val="0"/>
    <w:pPr>
      <w:keepLines/>
      <w:autoSpaceDE w:val="0"/>
      <w:autoSpaceDN w:val="0"/>
      <w:adjustRightInd w:val="0"/>
      <w:textAlignment w:val="baseline"/>
      <w:outlineLvl w:val="3"/>
    </w:pPr>
    <w:rPr>
      <w:rFonts w:ascii="Times New Roman" w:hAnsi="Times New Roman" w:eastAsia="楷体_GB2312" w:cs="Times New Roman"/>
      <w:b/>
      <w:snapToGrid w:val="0"/>
      <w:sz w:val="24"/>
      <w:lang w:val="en-US" w:eastAsia="zh-CN" w:bidi="ar-SA"/>
    </w:rPr>
  </w:style>
  <w:style w:type="paragraph" w:styleId="7">
    <w:name w:val="heading 6"/>
    <w:basedOn w:val="1"/>
    <w:next w:val="1"/>
    <w:qFormat/>
    <w:uiPriority w:val="0"/>
    <w:pPr>
      <w:numPr>
        <w:ilvl w:val="5"/>
        <w:numId w:val="2"/>
      </w:numPr>
      <w:tabs>
        <w:tab w:val="left" w:pos="0"/>
        <w:tab w:val="left" w:leader="dot" w:pos="420"/>
      </w:tabs>
      <w:adjustRightInd w:val="0"/>
      <w:spacing w:before="64" w:after="64" w:line="317" w:lineRule="auto"/>
      <w:ind w:firstLine="0" w:firstLineChars="0"/>
      <w:outlineLvl w:val="5"/>
    </w:pPr>
    <w:rPr>
      <w:rFonts w:ascii="Arial" w:hAnsi="Arial"/>
      <w:b/>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rFonts w:ascii="Times New Roman" w:hAnsi="Times New Roman" w:eastAsia="宋体" w:cs="Times New Roman"/>
      <w:lang w:val="en-US" w:eastAsia="zh-CN" w:bidi="ar-SA"/>
    </w:rPr>
  </w:style>
  <w:style w:type="paragraph" w:styleId="8">
    <w:name w:val="annotation text"/>
    <w:basedOn w:val="1"/>
    <w:qFormat/>
    <w:uiPriority w:val="0"/>
    <w:pPr>
      <w:adjustRightInd/>
      <w:jc w:val="left"/>
    </w:pPr>
  </w:style>
  <w:style w:type="paragraph" w:styleId="9">
    <w:name w:val="Body Text 3"/>
    <w:basedOn w:val="1"/>
    <w:qFormat/>
    <w:uiPriority w:val="0"/>
    <w:pPr>
      <w:widowControl w:val="0"/>
      <w:spacing w:before="0" w:after="120"/>
      <w:ind w:left="0" w:right="0"/>
      <w:jc w:val="both"/>
    </w:pPr>
    <w:rPr>
      <w:sz w:val="16"/>
      <w:szCs w:val="16"/>
    </w:rPr>
  </w:style>
  <w:style w:type="paragraph" w:styleId="10">
    <w:name w:val="Body Text"/>
    <w:basedOn w:val="1"/>
    <w:next w:val="11"/>
    <w:link w:val="52"/>
    <w:qFormat/>
    <w:uiPriority w:val="99"/>
    <w:rPr>
      <w:rFonts w:ascii="Times New Roman" w:hAnsi="Times New Roman" w:eastAsia="宋体" w:cs="Times New Roman"/>
      <w:lang w:val="en-US" w:eastAsia="zh-CN" w:bidi="ar-SA"/>
    </w:rPr>
  </w:style>
  <w:style w:type="paragraph" w:styleId="11">
    <w:name w:val="Body Text First Indent"/>
    <w:basedOn w:val="10"/>
    <w:next w:val="12"/>
    <w:link w:val="60"/>
    <w:qFormat/>
    <w:uiPriority w:val="99"/>
    <w:pPr>
      <w:ind w:firstLine="420" w:firstLineChars="100"/>
    </w:pPr>
  </w:style>
  <w:style w:type="paragraph" w:styleId="12">
    <w:name w:val="toc 6"/>
    <w:basedOn w:val="1"/>
    <w:next w:val="1"/>
    <w:qFormat/>
    <w:uiPriority w:val="0"/>
    <w:pPr>
      <w:ind w:left="2100" w:leftChars="1000"/>
    </w:pPr>
    <w:rPr>
      <w:kern w:val="2"/>
      <w:sz w:val="21"/>
      <w:szCs w:val="24"/>
    </w:rPr>
  </w:style>
  <w:style w:type="paragraph" w:styleId="13">
    <w:name w:val="Body Text Indent"/>
    <w:basedOn w:val="1"/>
    <w:next w:val="1"/>
    <w:link w:val="54"/>
    <w:qFormat/>
    <w:uiPriority w:val="99"/>
    <w:pPr>
      <w:adjustRightInd w:val="0"/>
      <w:spacing w:line="360" w:lineRule="auto"/>
      <w:ind w:firstLine="490"/>
    </w:pPr>
    <w:rPr>
      <w:rFonts w:ascii="宋体" w:hAnsi="宋体" w:eastAsia="宋体" w:cs="宋体"/>
      <w:sz w:val="24"/>
      <w:szCs w:val="24"/>
      <w:lang w:val="en-US" w:eastAsia="zh-CN" w:bidi="ar-SA"/>
    </w:rPr>
  </w:style>
  <w:style w:type="paragraph" w:styleId="14">
    <w:name w:val="toc 3"/>
    <w:next w:val="1"/>
    <w:qFormat/>
    <w:uiPriority w:val="99"/>
    <w:pPr>
      <w:ind w:left="840" w:leftChars="400"/>
    </w:pPr>
    <w:rPr>
      <w:rFonts w:ascii="Times New Roman" w:hAnsi="Times New Roman" w:eastAsia="宋体" w:cs="Times New Roman"/>
      <w:lang w:val="en-US" w:eastAsia="zh-CN" w:bidi="ar-SA"/>
    </w:rPr>
  </w:style>
  <w:style w:type="paragraph" w:styleId="15">
    <w:name w:val="Plain Text"/>
    <w:basedOn w:val="1"/>
    <w:next w:val="1"/>
    <w:link w:val="55"/>
    <w:qFormat/>
    <w:uiPriority w:val="0"/>
    <w:rPr>
      <w:rFonts w:ascii="宋体" w:hAnsi="Courier New" w:eastAsia="宋体" w:cs="宋体"/>
      <w:lang w:val="en-US" w:eastAsia="zh-CN" w:bidi="ar-SA"/>
    </w:rPr>
  </w:style>
  <w:style w:type="paragraph" w:styleId="16">
    <w:name w:val="Date"/>
    <w:basedOn w:val="1"/>
    <w:next w:val="1"/>
    <w:link w:val="56"/>
    <w:qFormat/>
    <w:uiPriority w:val="99"/>
    <w:pPr>
      <w:ind w:left="100" w:leftChars="2500"/>
    </w:pPr>
    <w:rPr>
      <w:rFonts w:ascii="宋体" w:hAnsi="宋体" w:eastAsia="宋体" w:cs="宋体"/>
      <w:color w:val="000000"/>
      <w:sz w:val="24"/>
      <w:szCs w:val="24"/>
      <w:lang w:val="en-US" w:eastAsia="zh-CN" w:bidi="ar-SA"/>
    </w:rPr>
  </w:style>
  <w:style w:type="paragraph" w:styleId="17">
    <w:name w:val="endnote text"/>
    <w:basedOn w:val="1"/>
    <w:qFormat/>
    <w:uiPriority w:val="99"/>
    <w:rPr>
      <w:rFonts w:ascii="Times New Roman" w:hAnsi="Times New Roman"/>
    </w:rPr>
  </w:style>
  <w:style w:type="paragraph" w:styleId="18">
    <w:name w:val="Balloon Text"/>
    <w:link w:val="57"/>
    <w:qFormat/>
    <w:uiPriority w:val="99"/>
    <w:rPr>
      <w:rFonts w:ascii="Times New Roman" w:hAnsi="Times New Roman" w:eastAsia="宋体" w:cs="Times New Roman"/>
      <w:sz w:val="18"/>
      <w:szCs w:val="18"/>
      <w:lang w:val="en-US" w:eastAsia="zh-CN" w:bidi="ar-SA"/>
    </w:rPr>
  </w:style>
  <w:style w:type="paragraph" w:styleId="19">
    <w:name w:val="footer"/>
    <w:basedOn w:val="1"/>
    <w:link w:val="58"/>
    <w:qFormat/>
    <w:uiPriority w:val="99"/>
    <w:pPr>
      <w:tabs>
        <w:tab w:val="center" w:pos="4153"/>
        <w:tab w:val="right" w:pos="8306"/>
      </w:tabs>
      <w:snapToGrid w:val="0"/>
    </w:pPr>
    <w:rPr>
      <w:rFonts w:ascii="Times New Roman" w:hAnsi="Times New Roman" w:eastAsia="宋体" w:cs="Times New Roman"/>
      <w:sz w:val="18"/>
      <w:szCs w:val="18"/>
      <w:lang w:val="en-US" w:eastAsia="zh-CN" w:bidi="ar-SA"/>
    </w:rPr>
  </w:style>
  <w:style w:type="paragraph" w:styleId="20">
    <w:name w:val="header"/>
    <w:link w:val="59"/>
    <w:qFormat/>
    <w:uiPriority w:val="99"/>
    <w:pPr>
      <w:pBdr>
        <w:bottom w:val="single" w:color="auto" w:sz="6" w:space="1"/>
      </w:pBdr>
      <w:tabs>
        <w:tab w:val="center" w:pos="4153"/>
        <w:tab w:val="right" w:pos="8306"/>
      </w:tabs>
      <w:adjustRightInd w:val="0"/>
      <w:snapToGrid w:val="0"/>
      <w:spacing w:line="240" w:lineRule="atLeast"/>
      <w:jc w:val="center"/>
      <w:textAlignment w:val="baseline"/>
    </w:pPr>
    <w:rPr>
      <w:rFonts w:ascii="宋体" w:hAnsi="Times New Roman" w:eastAsia="宋体" w:cs="宋体"/>
      <w:sz w:val="18"/>
      <w:szCs w:val="18"/>
      <w:lang w:val="en-US" w:eastAsia="zh-CN" w:bidi="ar-SA"/>
    </w:rPr>
  </w:style>
  <w:style w:type="paragraph" w:styleId="21">
    <w:name w:val="toc 1"/>
    <w:next w:val="1"/>
    <w:qFormat/>
    <w:uiPriority w:val="99"/>
    <w:pPr>
      <w:spacing w:line="360" w:lineRule="auto"/>
    </w:pPr>
    <w:rPr>
      <w:rFonts w:ascii="Times New Roman" w:hAnsi="Times New Roman" w:eastAsia="宋体" w:cs="Times New Roman"/>
      <w:sz w:val="24"/>
      <w:lang w:val="en-US" w:eastAsia="zh-CN" w:bidi="ar-SA"/>
    </w:rPr>
  </w:style>
  <w:style w:type="paragraph" w:styleId="22">
    <w:name w:val="toc 4"/>
    <w:basedOn w:val="1"/>
    <w:next w:val="1"/>
    <w:qFormat/>
    <w:uiPriority w:val="39"/>
    <w:pPr>
      <w:ind w:left="1260" w:leftChars="600"/>
    </w:pPr>
    <w:rPr>
      <w:szCs w:val="24"/>
    </w:rPr>
  </w:style>
  <w:style w:type="paragraph" w:styleId="23">
    <w:name w:val="Subtitle"/>
    <w:basedOn w:val="1"/>
    <w:next w:val="1"/>
    <w:link w:val="80"/>
    <w:qFormat/>
    <w:uiPriority w:val="0"/>
    <w:pPr>
      <w:spacing w:before="240" w:after="60" w:line="312" w:lineRule="auto"/>
      <w:jc w:val="center"/>
      <w:outlineLvl w:val="1"/>
    </w:pPr>
    <w:rPr>
      <w:rFonts w:ascii="等线 Light" w:hAnsi="等线 Light"/>
      <w:b/>
      <w:bCs/>
      <w:snapToGrid w:val="0"/>
      <w:kern w:val="28"/>
      <w:sz w:val="32"/>
      <w:szCs w:val="32"/>
    </w:rPr>
  </w:style>
  <w:style w:type="paragraph" w:styleId="24">
    <w:name w:val="toc 2"/>
    <w:next w:val="1"/>
    <w:qFormat/>
    <w:uiPriority w:val="99"/>
    <w:pPr>
      <w:spacing w:line="360" w:lineRule="auto"/>
      <w:ind w:left="420" w:leftChars="200"/>
    </w:pPr>
    <w:rPr>
      <w:rFonts w:ascii="Times New Roman" w:hAnsi="Times New Roman" w:eastAsia="宋体" w:cs="Times New Roman"/>
      <w:sz w:val="24"/>
      <w:lang w:val="en-US" w:eastAsia="zh-CN" w:bidi="ar-SA"/>
    </w:rPr>
  </w:style>
  <w:style w:type="paragraph" w:styleId="25">
    <w:name w:val="Normal (Web)"/>
    <w:qFormat/>
    <w:uiPriority w:val="99"/>
    <w:pPr>
      <w:spacing w:before="100" w:beforeAutospacing="1" w:after="100" w:afterAutospacing="1"/>
    </w:pPr>
    <w:rPr>
      <w:rFonts w:ascii="宋体" w:hAnsi="宋体" w:eastAsia="宋体" w:cs="宋体"/>
      <w:sz w:val="24"/>
      <w:szCs w:val="24"/>
      <w:lang w:val="en-US" w:eastAsia="zh-CN" w:bidi="ar-SA"/>
    </w:rPr>
  </w:style>
  <w:style w:type="paragraph" w:styleId="26">
    <w:name w:val="Title"/>
    <w:basedOn w:val="1"/>
    <w:qFormat/>
    <w:uiPriority w:val="0"/>
    <w:pPr>
      <w:widowControl/>
      <w:overflowPunct w:val="0"/>
      <w:autoSpaceDE w:val="0"/>
      <w:autoSpaceDN w:val="0"/>
      <w:adjustRightInd w:val="0"/>
      <w:jc w:val="center"/>
      <w:textAlignment w:val="baseline"/>
    </w:pPr>
    <w:rPr>
      <w:b/>
      <w:sz w:val="24"/>
      <w:lang w:val="en-GB"/>
    </w:rPr>
  </w:style>
  <w:style w:type="paragraph" w:styleId="27">
    <w:name w:val="Body Text First Indent 2"/>
    <w:basedOn w:val="13"/>
    <w:qFormat/>
    <w:uiPriority w:val="0"/>
    <w:pPr>
      <w:ind w:firstLine="420"/>
    </w:pPr>
  </w:style>
  <w:style w:type="table" w:styleId="29">
    <w:name w:val="Table Grid"/>
    <w:basedOn w:val="28"/>
    <w:qFormat/>
    <w:uiPriority w:val="3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99"/>
    <w:rPr>
      <w:b/>
      <w:bCs/>
    </w:rPr>
  </w:style>
  <w:style w:type="character" w:styleId="32">
    <w:name w:val="page number"/>
    <w:basedOn w:val="30"/>
    <w:qFormat/>
    <w:uiPriority w:val="99"/>
  </w:style>
  <w:style w:type="character" w:styleId="33">
    <w:name w:val="Hyperlink"/>
    <w:basedOn w:val="30"/>
    <w:qFormat/>
    <w:uiPriority w:val="99"/>
    <w:rPr>
      <w:color w:val="0000FF"/>
      <w:u w:val="single"/>
    </w:rPr>
  </w:style>
  <w:style w:type="paragraph" w:customStyle="1" w:styleId="34">
    <w:name w:val="正文首行缩进1"/>
    <w:basedOn w:val="10"/>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35">
    <w:name w:val="标题 5（有编号）（绿盟科技）"/>
    <w:basedOn w:val="1"/>
    <w:next w:val="36"/>
    <w:qFormat/>
    <w:uiPriority w:val="0"/>
    <w:pPr>
      <w:keepNext/>
      <w:keepLines/>
      <w:numPr>
        <w:ilvl w:val="4"/>
        <w:numId w:val="3"/>
      </w:numPr>
      <w:tabs>
        <w:tab w:val="left" w:pos="0"/>
      </w:tabs>
      <w:spacing w:before="280" w:after="156" w:line="377" w:lineRule="auto"/>
      <w:jc w:val="left"/>
      <w:outlineLvl w:val="4"/>
    </w:pPr>
    <w:rPr>
      <w:rFonts w:ascii="Arial" w:hAnsi="Arial" w:eastAsia="黑体"/>
      <w:b/>
      <w:kern w:val="0"/>
      <w:sz w:val="24"/>
      <w:szCs w:val="28"/>
    </w:rPr>
  </w:style>
  <w:style w:type="paragraph" w:customStyle="1" w:styleId="36">
    <w:name w:val="正文（绿盟科技）"/>
    <w:qFormat/>
    <w:uiPriority w:val="99"/>
    <w:pPr>
      <w:spacing w:line="300" w:lineRule="auto"/>
    </w:pPr>
    <w:rPr>
      <w:rFonts w:ascii="Arial" w:hAnsi="Arial" w:eastAsia="宋体" w:cs="Times New Roman"/>
      <w:sz w:val="21"/>
      <w:szCs w:val="21"/>
      <w:lang w:val="en-US" w:eastAsia="zh-CN" w:bidi="ar-SA"/>
    </w:rPr>
  </w:style>
  <w:style w:type="paragraph" w:customStyle="1" w:styleId="37">
    <w:name w:val="Default"/>
    <w:next w:val="38"/>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8">
    <w:name w:val="目录 71"/>
    <w:next w:val="1"/>
    <w:qFormat/>
    <w:uiPriority w:val="0"/>
    <w:pPr>
      <w:wordWrap w:val="0"/>
      <w:ind w:left="2550"/>
      <w:jc w:val="both"/>
    </w:pPr>
    <w:rPr>
      <w:rFonts w:ascii="宋体" w:hAnsi="宋体" w:eastAsia="Times New Roman" w:cs="Times New Roman"/>
      <w:sz w:val="21"/>
      <w:lang w:val="en-US" w:eastAsia="zh-CN" w:bidi="ar-SA"/>
    </w:rPr>
  </w:style>
  <w:style w:type="paragraph" w:customStyle="1" w:styleId="39">
    <w:name w:val="正文1"/>
    <w:next w:val="40"/>
    <w:qFormat/>
    <w:uiPriority w:val="99"/>
    <w:pPr>
      <w:snapToGrid w:val="0"/>
      <w:spacing w:line="500" w:lineRule="exact"/>
      <w:ind w:firstLine="567"/>
    </w:pPr>
    <w:rPr>
      <w:rFonts w:ascii="楷体_GB2312" w:hAnsi="Times New Roman" w:eastAsia="楷体_GB2312" w:cs="楷体_GB2312"/>
      <w:sz w:val="28"/>
      <w:szCs w:val="28"/>
      <w:lang w:val="en-US" w:eastAsia="zh-CN" w:bidi="ar-SA"/>
    </w:rPr>
  </w:style>
  <w:style w:type="paragraph" w:customStyle="1" w:styleId="40">
    <w:name w:val="自动更正"/>
    <w:next w:val="4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41">
    <w:name w:val="xl39"/>
    <w:next w:val="42"/>
    <w:qFormat/>
    <w:uiPriority w:val="99"/>
    <w:pPr>
      <w:pBdr>
        <w:top w:val="single" w:color="auto" w:sz="4" w:space="0"/>
        <w:bottom w:val="single" w:color="auto" w:sz="4" w:space="0"/>
        <w:right w:val="single" w:color="auto" w:sz="4" w:space="0"/>
      </w:pBdr>
      <w:spacing w:before="100" w:after="100"/>
      <w:textAlignment w:val="center"/>
    </w:pPr>
    <w:rPr>
      <w:rFonts w:ascii="Times New Roman" w:hAnsi="Times New Roman" w:eastAsia="宋体" w:cs="Times New Roman"/>
      <w:lang w:val="en-US" w:eastAsia="zh-CN" w:bidi="ar-SA"/>
    </w:rPr>
  </w:style>
  <w:style w:type="paragraph" w:customStyle="1" w:styleId="42">
    <w:name w:val="分手多日，近况如何？"/>
    <w:qFormat/>
    <w:uiPriority w:val="0"/>
    <w:pPr>
      <w:widowControl w:val="0"/>
      <w:jc w:val="both"/>
    </w:pPr>
    <w:rPr>
      <w:rFonts w:ascii="Times New Roman" w:hAnsi="Times New Roman" w:eastAsia="宋体" w:cs="Times New Roman"/>
      <w:sz w:val="21"/>
      <w:szCs w:val="21"/>
      <w:lang w:val="en-US" w:eastAsia="zh-CN" w:bidi="ar-SA"/>
    </w:rPr>
  </w:style>
  <w:style w:type="paragraph" w:styleId="43">
    <w:name w:val="List Paragraph"/>
    <w:basedOn w:val="1"/>
    <w:qFormat/>
    <w:uiPriority w:val="99"/>
    <w:pPr>
      <w:ind w:firstLine="420" w:firstLineChars="200"/>
    </w:pPr>
  </w:style>
  <w:style w:type="paragraph" w:customStyle="1" w:styleId="44">
    <w:name w:val="xl53"/>
    <w:basedOn w:val="1"/>
    <w:next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styleId="45">
    <w:name w:val="Quote"/>
    <w:basedOn w:val="1"/>
    <w:next w:val="1"/>
    <w:qFormat/>
    <w:uiPriority w:val="0"/>
    <w:pPr>
      <w:wordWrap w:val="0"/>
      <w:spacing w:before="200" w:after="160"/>
      <w:ind w:left="864" w:right="864"/>
      <w:jc w:val="center"/>
    </w:pPr>
    <w:rPr>
      <w:i/>
    </w:rPr>
  </w:style>
  <w:style w:type="paragraph" w:customStyle="1" w:styleId="46">
    <w:name w:val="Body Text First Indent1"/>
    <w:basedOn w:val="10"/>
    <w:qFormat/>
    <w:uiPriority w:val="0"/>
    <w:pPr>
      <w:tabs>
        <w:tab w:val="left" w:pos="1275"/>
      </w:tabs>
      <w:ind w:firstLine="420" w:firstLineChars="100"/>
    </w:pPr>
  </w:style>
  <w:style w:type="paragraph" w:customStyle="1" w:styleId="47">
    <w:name w:val="正文缩进1"/>
    <w:qFormat/>
    <w:uiPriority w:val="0"/>
    <w:pPr>
      <w:ind w:firstLine="420" w:firstLineChars="200"/>
    </w:pPr>
    <w:rPr>
      <w:rFonts w:ascii="Times New Roman" w:hAnsi="Times New Roman" w:eastAsia="宋体" w:cs="Times New Roman"/>
      <w:lang w:val="en-US" w:eastAsia="zh-CN" w:bidi="ar-SA"/>
    </w:rPr>
  </w:style>
  <w:style w:type="paragraph" w:customStyle="1" w:styleId="48">
    <w:name w:val="表格文字"/>
    <w:basedOn w:val="15"/>
    <w:next w:val="10"/>
    <w:qFormat/>
    <w:uiPriority w:val="0"/>
    <w:pPr>
      <w:adjustRightInd w:val="0"/>
      <w:spacing w:line="420" w:lineRule="atLeast"/>
      <w:textAlignment w:val="baseline"/>
    </w:pPr>
    <w:rPr>
      <w:rFonts w:ascii="Times New Roman" w:hAnsi="Times New Roman" w:eastAsia="宋体" w:cs="Times New Roman"/>
      <w:lang w:val="en-US" w:eastAsia="zh-CN" w:bidi="ar-SA"/>
    </w:rPr>
  </w:style>
  <w:style w:type="character" w:customStyle="1" w:styleId="49">
    <w:name w:val="标题 1 字符"/>
    <w:basedOn w:val="30"/>
    <w:link w:val="2"/>
    <w:qFormat/>
    <w:uiPriority w:val="99"/>
    <w:rPr>
      <w:rFonts w:eastAsia="宋体"/>
      <w:b/>
      <w:bCs/>
      <w:kern w:val="44"/>
      <w:sz w:val="36"/>
      <w:szCs w:val="44"/>
    </w:rPr>
  </w:style>
  <w:style w:type="character" w:customStyle="1" w:styleId="50">
    <w:name w:val="标题 2 字符"/>
    <w:basedOn w:val="30"/>
    <w:link w:val="3"/>
    <w:qFormat/>
    <w:uiPriority w:val="99"/>
    <w:rPr>
      <w:rFonts w:ascii="宋体" w:hAnsi="宋体" w:eastAsia="宋体" w:cs="宋体"/>
      <w:b/>
      <w:bCs/>
      <w:kern w:val="2"/>
      <w:sz w:val="28"/>
      <w:szCs w:val="28"/>
    </w:rPr>
  </w:style>
  <w:style w:type="character" w:customStyle="1" w:styleId="51">
    <w:name w:val="标题 3 字符"/>
    <w:basedOn w:val="30"/>
    <w:link w:val="5"/>
    <w:qFormat/>
    <w:uiPriority w:val="99"/>
    <w:rPr>
      <w:rFonts w:ascii="宋体" w:hAnsi="宋体" w:eastAsia="宋体" w:cs="宋体"/>
      <w:b/>
      <w:bCs/>
      <w:kern w:val="2"/>
      <w:sz w:val="24"/>
      <w:szCs w:val="28"/>
    </w:rPr>
  </w:style>
  <w:style w:type="character" w:customStyle="1" w:styleId="52">
    <w:name w:val="正文文本 字符"/>
    <w:basedOn w:val="30"/>
    <w:link w:val="10"/>
    <w:qFormat/>
    <w:uiPriority w:val="99"/>
    <w:rPr>
      <w:rFonts w:ascii="Times New Roman" w:hAnsi="Times New Roman"/>
      <w:szCs w:val="21"/>
    </w:rPr>
  </w:style>
  <w:style w:type="paragraph" w:customStyle="1" w:styleId="53">
    <w:name w:val="样式 表格正文 + 两端对齐"/>
    <w:next w:val="39"/>
    <w:qFormat/>
    <w:uiPriority w:val="99"/>
    <w:pPr>
      <w:spacing w:line="300" w:lineRule="auto"/>
    </w:pPr>
    <w:rPr>
      <w:rFonts w:ascii="Times New Roman" w:hAnsi="Times New Roman" w:eastAsia="宋体" w:cs="Times New Roman"/>
      <w:sz w:val="24"/>
      <w:szCs w:val="24"/>
      <w:lang w:val="en-US" w:eastAsia="zh-CN" w:bidi="ar-SA"/>
    </w:rPr>
  </w:style>
  <w:style w:type="character" w:customStyle="1" w:styleId="54">
    <w:name w:val="正文文本缩进 字符"/>
    <w:basedOn w:val="30"/>
    <w:link w:val="13"/>
    <w:qFormat/>
    <w:uiPriority w:val="99"/>
    <w:rPr>
      <w:rFonts w:ascii="Times New Roman" w:hAnsi="Times New Roman"/>
      <w:szCs w:val="21"/>
    </w:rPr>
  </w:style>
  <w:style w:type="character" w:customStyle="1" w:styleId="55">
    <w:name w:val="纯文本 字符"/>
    <w:basedOn w:val="30"/>
    <w:link w:val="15"/>
    <w:qFormat/>
    <w:uiPriority w:val="99"/>
    <w:rPr>
      <w:rFonts w:ascii="宋体" w:hAnsi="Courier New" w:cs="Courier New"/>
      <w:szCs w:val="21"/>
    </w:rPr>
  </w:style>
  <w:style w:type="character" w:customStyle="1" w:styleId="56">
    <w:name w:val="日期 字符"/>
    <w:basedOn w:val="30"/>
    <w:link w:val="16"/>
    <w:qFormat/>
    <w:uiPriority w:val="99"/>
    <w:rPr>
      <w:rFonts w:ascii="Times New Roman" w:hAnsi="Times New Roman"/>
      <w:szCs w:val="21"/>
    </w:rPr>
  </w:style>
  <w:style w:type="character" w:customStyle="1" w:styleId="57">
    <w:name w:val="批注框文本 字符"/>
    <w:basedOn w:val="30"/>
    <w:link w:val="18"/>
    <w:qFormat/>
    <w:uiPriority w:val="99"/>
    <w:rPr>
      <w:kern w:val="2"/>
      <w:sz w:val="18"/>
      <w:szCs w:val="18"/>
    </w:rPr>
  </w:style>
  <w:style w:type="character" w:customStyle="1" w:styleId="58">
    <w:name w:val="页脚 字符"/>
    <w:basedOn w:val="30"/>
    <w:link w:val="19"/>
    <w:qFormat/>
    <w:uiPriority w:val="99"/>
    <w:rPr>
      <w:rFonts w:ascii="Times New Roman" w:hAnsi="Times New Roman"/>
      <w:sz w:val="18"/>
      <w:szCs w:val="18"/>
    </w:rPr>
  </w:style>
  <w:style w:type="character" w:customStyle="1" w:styleId="59">
    <w:name w:val="页眉 字符"/>
    <w:basedOn w:val="30"/>
    <w:link w:val="20"/>
    <w:qFormat/>
    <w:uiPriority w:val="99"/>
    <w:rPr>
      <w:rFonts w:ascii="Times New Roman" w:hAnsi="Times New Roman"/>
      <w:sz w:val="18"/>
      <w:szCs w:val="18"/>
    </w:rPr>
  </w:style>
  <w:style w:type="character" w:customStyle="1" w:styleId="60">
    <w:name w:val="正文文本首行缩进 字符"/>
    <w:basedOn w:val="52"/>
    <w:link w:val="11"/>
    <w:qFormat/>
    <w:uiPriority w:val="99"/>
    <w:rPr>
      <w:rFonts w:ascii="Times New Roman" w:hAnsi="Times New Roman"/>
      <w:szCs w:val="21"/>
    </w:rPr>
  </w:style>
  <w:style w:type="paragraph" w:customStyle="1" w:styleId="61">
    <w:name w:val="正文2"/>
    <w:link w:val="83"/>
    <w:qFormat/>
    <w:uiPriority w:val="0"/>
    <w:pPr>
      <w:adjustRightInd w:val="0"/>
      <w:spacing w:before="156" w:line="360" w:lineRule="auto"/>
      <w:ind w:firstLine="510" w:firstLineChars="200"/>
    </w:pPr>
    <w:rPr>
      <w:rFonts w:ascii="Times New Roman" w:hAnsi="Times New Roman" w:eastAsia="宋体" w:cs="Times New Roman"/>
      <w:sz w:val="24"/>
      <w:szCs w:val="24"/>
      <w:lang w:val="en-US" w:eastAsia="zh-CN" w:bidi="ar-SA"/>
    </w:rPr>
  </w:style>
  <w:style w:type="paragraph" w:customStyle="1" w:styleId="62">
    <w:name w:val="List Paragraph1"/>
    <w:qFormat/>
    <w:uiPriority w:val="99"/>
    <w:pPr>
      <w:ind w:firstLine="420" w:firstLineChars="200"/>
    </w:pPr>
    <w:rPr>
      <w:rFonts w:ascii="Calibri" w:hAnsi="Calibri" w:eastAsia="宋体" w:cs="Calibri"/>
      <w:lang w:val="en-US" w:eastAsia="zh-CN" w:bidi="ar-SA"/>
    </w:rPr>
  </w:style>
  <w:style w:type="character" w:customStyle="1" w:styleId="63">
    <w:name w:val="style81"/>
    <w:qFormat/>
    <w:uiPriority w:val="99"/>
    <w:rPr>
      <w:sz w:val="20"/>
      <w:szCs w:val="20"/>
    </w:rPr>
  </w:style>
  <w:style w:type="paragraph" w:customStyle="1" w:styleId="64">
    <w:name w:val="列出段落1"/>
    <w:qFormat/>
    <w:uiPriority w:val="99"/>
    <w:pPr>
      <w:ind w:firstLine="420"/>
    </w:pPr>
    <w:rPr>
      <w:rFonts w:ascii="Times New Roman" w:hAnsi="Times New Roman" w:eastAsia="宋体" w:cs="Times New Roman"/>
      <w:lang w:val="en-US" w:eastAsia="zh-CN" w:bidi="ar-SA"/>
    </w:rPr>
  </w:style>
  <w:style w:type="paragraph" w:customStyle="1" w:styleId="65">
    <w:name w:val="表格"/>
    <w:qFormat/>
    <w:uiPriority w:val="99"/>
    <w:pPr>
      <w:autoSpaceDE w:val="0"/>
      <w:autoSpaceDN w:val="0"/>
      <w:jc w:val="center"/>
      <w:textAlignment w:val="baseline"/>
    </w:pPr>
    <w:rPr>
      <w:rFonts w:ascii="Times New Roman" w:hAnsi="Times New Roman" w:eastAsia="宋体" w:cs="Times New Roman"/>
      <w:color w:val="000000"/>
      <w:lang w:val="en-US" w:eastAsia="zh-CN" w:bidi="ar-SA"/>
    </w:rPr>
  </w:style>
  <w:style w:type="character" w:customStyle="1" w:styleId="66">
    <w:name w:val="02 Char"/>
    <w:link w:val="67"/>
    <w:qFormat/>
    <w:uiPriority w:val="99"/>
    <w:rPr>
      <w:rFonts w:ascii="宋体" w:cs="宋体"/>
      <w:b/>
      <w:bCs/>
      <w:color w:val="FF0000"/>
      <w:kern w:val="2"/>
      <w:sz w:val="28"/>
      <w:szCs w:val="28"/>
    </w:rPr>
  </w:style>
  <w:style w:type="paragraph" w:customStyle="1" w:styleId="67">
    <w:name w:val="02"/>
    <w:basedOn w:val="3"/>
    <w:link w:val="66"/>
    <w:qFormat/>
    <w:uiPriority w:val="99"/>
    <w:pPr>
      <w:jc w:val="center"/>
    </w:pPr>
    <w:rPr>
      <w:color w:val="FF0000"/>
    </w:rPr>
  </w:style>
  <w:style w:type="character" w:customStyle="1" w:styleId="68">
    <w:name w:val="03 Char"/>
    <w:link w:val="69"/>
    <w:qFormat/>
    <w:uiPriority w:val="99"/>
    <w:rPr>
      <w:rFonts w:ascii="宋体" w:cs="宋体"/>
      <w:b/>
      <w:bCs/>
      <w:kern w:val="2"/>
      <w:sz w:val="28"/>
      <w:szCs w:val="28"/>
    </w:rPr>
  </w:style>
  <w:style w:type="paragraph" w:customStyle="1" w:styleId="69">
    <w:name w:val="03"/>
    <w:basedOn w:val="5"/>
    <w:link w:val="68"/>
    <w:qFormat/>
    <w:uiPriority w:val="99"/>
    <w:pPr>
      <w:numPr>
        <w:ilvl w:val="0"/>
        <w:numId w:val="0"/>
      </w:numPr>
    </w:pPr>
  </w:style>
  <w:style w:type="character" w:customStyle="1" w:styleId="70">
    <w:name w:val="宋体小四 Char"/>
    <w:link w:val="71"/>
    <w:qFormat/>
    <w:uiPriority w:val="99"/>
    <w:rPr>
      <w:rFonts w:ascii="宋体" w:eastAsia="宋体" w:cs="宋体"/>
      <w:kern w:val="2"/>
      <w:sz w:val="24"/>
      <w:szCs w:val="24"/>
    </w:rPr>
  </w:style>
  <w:style w:type="paragraph" w:customStyle="1" w:styleId="71">
    <w:name w:val="宋体小四"/>
    <w:link w:val="70"/>
    <w:qFormat/>
    <w:uiPriority w:val="99"/>
    <w:pPr>
      <w:spacing w:line="360" w:lineRule="auto"/>
      <w:ind w:firstLine="480" w:firstLineChars="200"/>
    </w:pPr>
    <w:rPr>
      <w:rFonts w:ascii="宋体" w:hAnsi="宋体" w:eastAsia="宋体" w:cs="宋体"/>
      <w:sz w:val="24"/>
      <w:szCs w:val="24"/>
      <w:lang w:val="en-US" w:eastAsia="zh-CN" w:bidi="ar-SA"/>
    </w:rPr>
  </w:style>
  <w:style w:type="character" w:customStyle="1" w:styleId="72">
    <w:name w:val="fontstyle01"/>
    <w:basedOn w:val="30"/>
    <w:qFormat/>
    <w:uiPriority w:val="99"/>
    <w:rPr>
      <w:rFonts w:ascii="宋体" w:eastAsia="宋体" w:cs="宋体"/>
      <w:color w:val="000000"/>
      <w:sz w:val="22"/>
      <w:szCs w:val="22"/>
    </w:rPr>
  </w:style>
  <w:style w:type="paragraph" w:customStyle="1" w:styleId="73">
    <w:name w:val="正文首行缩进2字符"/>
    <w:qFormat/>
    <w:uiPriority w:val="99"/>
    <w:pPr>
      <w:spacing w:line="360" w:lineRule="auto"/>
      <w:ind w:firstLine="200" w:firstLineChars="200"/>
    </w:pPr>
    <w:rPr>
      <w:rFonts w:ascii="Times New Roman" w:hAnsi="Times New Roman" w:eastAsia="宋体" w:cs="Times New Roman"/>
      <w:lang w:val="en-US" w:eastAsia="zh-CN" w:bidi="ar-SA"/>
    </w:rPr>
  </w:style>
  <w:style w:type="paragraph" w:customStyle="1" w:styleId="74">
    <w:name w:val="居中表格内容标题"/>
    <w:basedOn w:val="75"/>
    <w:qFormat/>
    <w:uiPriority w:val="0"/>
    <w:pPr>
      <w:jc w:val="center"/>
    </w:pPr>
    <w:rPr>
      <w:b/>
    </w:rPr>
  </w:style>
  <w:style w:type="paragraph" w:customStyle="1" w:styleId="75">
    <w:name w:val="居中表格内容"/>
    <w:qFormat/>
    <w:uiPriority w:val="0"/>
    <w:rPr>
      <w:rFonts w:ascii="Times New Roman" w:hAnsi="Times New Roman" w:eastAsia="宋体" w:cs="Times New Roman"/>
      <w:szCs w:val="28"/>
      <w:lang w:val="en-US" w:eastAsia="zh-CN" w:bidi="ar-SA"/>
    </w:rPr>
  </w:style>
  <w:style w:type="paragraph" w:customStyle="1" w:styleId="76">
    <w:name w:val="列表段落1"/>
    <w:link w:val="77"/>
    <w:qFormat/>
    <w:uiPriority w:val="34"/>
    <w:pPr>
      <w:ind w:firstLine="420" w:firstLineChars="200"/>
    </w:pPr>
    <w:rPr>
      <w:rFonts w:ascii="Times New Roman" w:hAnsi="Times New Roman" w:eastAsia="宋体" w:cs="Times New Roman"/>
      <w:lang w:val="en-US" w:eastAsia="zh-CN" w:bidi="ar-SA"/>
    </w:rPr>
  </w:style>
  <w:style w:type="character" w:customStyle="1" w:styleId="77">
    <w:name w:val="列表段落 字符"/>
    <w:basedOn w:val="30"/>
    <w:link w:val="76"/>
    <w:qFormat/>
    <w:uiPriority w:val="34"/>
  </w:style>
  <w:style w:type="table" w:customStyle="1" w:styleId="78">
    <w:name w:val="网格型浅色1"/>
    <w:basedOn w:val="28"/>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customStyle="1" w:styleId="79">
    <w:name w:val="正文（首行缩进2字符）"/>
    <w:basedOn w:val="1"/>
    <w:qFormat/>
    <w:uiPriority w:val="0"/>
    <w:pPr>
      <w:spacing w:line="360" w:lineRule="auto"/>
      <w:ind w:firstLine="480" w:firstLineChars="200"/>
    </w:pPr>
    <w:rPr>
      <w:kern w:val="2"/>
      <w:sz w:val="24"/>
    </w:rPr>
  </w:style>
  <w:style w:type="character" w:customStyle="1" w:styleId="80">
    <w:name w:val="副标题 字符"/>
    <w:basedOn w:val="30"/>
    <w:link w:val="23"/>
    <w:qFormat/>
    <w:uiPriority w:val="0"/>
    <w:rPr>
      <w:rFonts w:ascii="等线 Light" w:hAnsi="等线 Light"/>
      <w:b/>
      <w:bCs/>
      <w:snapToGrid w:val="0"/>
      <w:kern w:val="28"/>
      <w:sz w:val="32"/>
      <w:szCs w:val="32"/>
    </w:rPr>
  </w:style>
  <w:style w:type="paragraph" w:customStyle="1" w:styleId="81">
    <w:name w:val="正文小四"/>
    <w:basedOn w:val="1"/>
    <w:qFormat/>
    <w:uiPriority w:val="0"/>
    <w:pPr>
      <w:widowControl/>
      <w:spacing w:line="360" w:lineRule="auto"/>
      <w:ind w:firstLine="200" w:firstLineChars="200"/>
      <w:jc w:val="left"/>
    </w:pPr>
    <w:rPr>
      <w:rFonts w:ascii="Calibri" w:hAnsi="Calibri" w:eastAsia="仿宋"/>
      <w:snapToGrid w:val="0"/>
      <w:sz w:val="24"/>
      <w:szCs w:val="21"/>
    </w:rPr>
  </w:style>
  <w:style w:type="paragraph" w:customStyle="1" w:styleId="82">
    <w:name w:val="样式x"/>
    <w:basedOn w:val="5"/>
    <w:qFormat/>
    <w:uiPriority w:val="0"/>
    <w:pPr>
      <w:widowControl w:val="0"/>
      <w:numPr>
        <w:numId w:val="0"/>
      </w:numPr>
      <w:ind w:left="1275" w:hanging="720"/>
      <w:jc w:val="both"/>
    </w:pPr>
    <w:rPr>
      <w:rFonts w:hAnsi="Times New Roman" w:eastAsia="仿宋" w:cs="Times New Roman"/>
      <w:bCs w:val="0"/>
      <w:snapToGrid w:val="0"/>
      <w:kern w:val="2"/>
      <w:szCs w:val="20"/>
    </w:rPr>
  </w:style>
  <w:style w:type="character" w:customStyle="1" w:styleId="83">
    <w:name w:val="正文2 Char Char"/>
    <w:link w:val="61"/>
    <w:qFormat/>
    <w:uiPriority w:val="0"/>
    <w:rPr>
      <w:sz w:val="24"/>
      <w:szCs w:val="24"/>
    </w:rPr>
  </w:style>
  <w:style w:type="paragraph" w:customStyle="1" w:styleId="84">
    <w:name w:val="WPSOffice手动目录 1"/>
    <w:qFormat/>
    <w:uiPriority w:val="0"/>
    <w:pPr>
      <w:ind w:leftChars="0"/>
    </w:pPr>
    <w:rPr>
      <w:rFonts w:ascii="Times New Roman" w:hAnsi="Times New Roman" w:eastAsia="宋体" w:cs="Times New Roman"/>
      <w:sz w:val="20"/>
      <w:szCs w:val="20"/>
    </w:rPr>
  </w:style>
  <w:style w:type="paragraph" w:customStyle="1" w:styleId="85">
    <w:name w:val="WPSOffice手动目录 2"/>
    <w:qFormat/>
    <w:uiPriority w:val="0"/>
    <w:pPr>
      <w:ind w:leftChars="200"/>
    </w:pPr>
    <w:rPr>
      <w:rFonts w:ascii="Times New Roman" w:hAnsi="Times New Roman" w:eastAsia="宋体" w:cs="Times New Roman"/>
      <w:sz w:val="20"/>
      <w:szCs w:val="20"/>
    </w:rPr>
  </w:style>
  <w:style w:type="character" w:customStyle="1" w:styleId="86">
    <w:name w:val="NormalCharacter"/>
    <w:qFormat/>
    <w:uiPriority w:val="0"/>
    <w:rPr>
      <w:rFonts w:ascii="Tahoma" w:hAnsi="Tahoma"/>
      <w:sz w:val="24"/>
      <w:szCs w:val="20"/>
    </w:rPr>
  </w:style>
  <w:style w:type="paragraph" w:customStyle="1" w:styleId="87">
    <w:name w:val="表格正文"/>
    <w:basedOn w:val="1"/>
    <w:qFormat/>
    <w:uiPriority w:val="0"/>
    <w:pPr>
      <w:spacing w:before="0" w:beforeLines="0" w:line="240" w:lineRule="auto"/>
      <w:ind w:firstLine="0" w:firstLineChars="0"/>
      <w:jc w:val="center"/>
    </w:pPr>
    <w:rPr>
      <w:sz w:val="21"/>
      <w:szCs w:val="24"/>
    </w:rPr>
  </w:style>
  <w:style w:type="table" w:customStyle="1" w:styleId="88">
    <w:name w:val="Table Normal"/>
    <w:semiHidden/>
    <w:unhideWhenUsed/>
    <w:qFormat/>
    <w:uiPriority w:val="0"/>
    <w:tblPr>
      <w:tblCellMar>
        <w:top w:w="0" w:type="dxa"/>
        <w:left w:w="0" w:type="dxa"/>
        <w:bottom w:w="0" w:type="dxa"/>
        <w:right w:w="0" w:type="dxa"/>
      </w:tblCellMar>
    </w:tblPr>
  </w:style>
  <w:style w:type="paragraph" w:customStyle="1" w:styleId="89">
    <w:name w:val="内容"/>
    <w:basedOn w:val="1"/>
    <w:qFormat/>
    <w:uiPriority w:val="0"/>
    <w:pPr>
      <w:spacing w:line="560" w:lineRule="exact"/>
      <w:ind w:left="141" w:leftChars="67" w:firstLine="480" w:firstLineChars="200"/>
    </w:pPr>
    <w:rPr>
      <w:rFonts w:ascii="楷体_GB2312" w:hAnsi="楷体_GB2312" w:eastAsia="楷体_GB2312"/>
      <w:kern w:val="0"/>
      <w:sz w:val="24"/>
    </w:rPr>
  </w:style>
  <w:style w:type="character" w:customStyle="1" w:styleId="90">
    <w:name w:val="font31"/>
    <w:qFormat/>
    <w:uiPriority w:val="0"/>
    <w:rPr>
      <w:rFonts w:ascii="Calibri" w:hAnsi="Calibri" w:cs="Calibri"/>
      <w:color w:val="000000"/>
      <w:sz w:val="24"/>
      <w:szCs w:val="24"/>
      <w:u w:val="none"/>
    </w:rPr>
  </w:style>
  <w:style w:type="character" w:customStyle="1" w:styleId="91">
    <w:name w:val="font01"/>
    <w:qFormat/>
    <w:uiPriority w:val="0"/>
    <w:rPr>
      <w:rFonts w:hint="eastAsia" w:ascii="宋体" w:hAnsi="宋体" w:eastAsia="宋体" w:cs="宋体"/>
      <w:color w:val="000000"/>
      <w:sz w:val="24"/>
      <w:szCs w:val="24"/>
      <w:u w:val="none"/>
    </w:rPr>
  </w:style>
  <w:style w:type="paragraph" w:customStyle="1" w:styleId="92">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93">
    <w:name w:val="font11"/>
    <w:qFormat/>
    <w:uiPriority w:val="0"/>
    <w:rPr>
      <w:rFonts w:hint="eastAsia" w:ascii="宋体" w:hAnsi="宋体" w:eastAsia="宋体" w:cs="宋体"/>
      <w:b/>
      <w:iCs/>
      <w:color w:val="FF0000"/>
      <w:kern w:val="0"/>
      <w:sz w:val="20"/>
      <w:szCs w:val="20"/>
      <w:u w:val="none"/>
      <w:lang w:eastAsia="en-US"/>
    </w:rPr>
  </w:style>
  <w:style w:type="paragraph" w:customStyle="1" w:styleId="94">
    <w:name w:val="BodyText1I2"/>
    <w:basedOn w:val="95"/>
    <w:qFormat/>
    <w:uiPriority w:val="0"/>
    <w:pPr>
      <w:ind w:firstLine="420"/>
    </w:pPr>
    <w:rPr>
      <w:sz w:val="21"/>
    </w:rPr>
  </w:style>
  <w:style w:type="paragraph" w:customStyle="1" w:styleId="95">
    <w:name w:val="BodyTextIndent"/>
    <w:basedOn w:val="1"/>
    <w:next w:val="94"/>
    <w:qFormat/>
    <w:uiPriority w:val="0"/>
    <w:pPr>
      <w:spacing w:line="360" w:lineRule="auto"/>
      <w:ind w:firstLine="490"/>
      <w:jc w:val="left"/>
    </w:pPr>
    <w:rPr>
      <w:rFonts w:ascii="宋体" w:hAnsi="宋体"/>
      <w:sz w:val="24"/>
    </w:rPr>
  </w:style>
  <w:style w:type="paragraph" w:customStyle="1" w:styleId="96">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97">
    <w:name w:val="4正-b"/>
    <w:basedOn w:val="1"/>
    <w:qFormat/>
    <w:uiPriority w:val="0"/>
    <w:pPr>
      <w:adjustRightInd/>
      <w:snapToGrid/>
      <w:spacing w:before="120" w:after="120"/>
      <w:jc w:val="left"/>
    </w:pPr>
    <w:rPr>
      <w:rFonts w:ascii="Arial" w:hAnsi="Arial"/>
      <w:iCs/>
      <w:szCs w:val="24"/>
    </w:rPr>
  </w:style>
  <w:style w:type="paragraph" w:customStyle="1" w:styleId="98">
    <w:name w:val="表格-b"/>
    <w:basedOn w:val="1"/>
    <w:qFormat/>
    <w:uiPriority w:val="6"/>
    <w:pPr>
      <w:spacing w:line="240" w:lineRule="auto"/>
      <w:ind w:firstLine="0" w:firstLineChars="0"/>
      <w:jc w:val="center"/>
      <w:textAlignment w:val="center"/>
    </w:pPr>
    <w:rPr>
      <w:sz w:val="21"/>
    </w:rPr>
  </w:style>
  <w:style w:type="paragraph" w:customStyle="1" w:styleId="99">
    <w:name w:val="CM26"/>
    <w:basedOn w:val="1"/>
    <w:next w:val="1"/>
    <w:qFormat/>
    <w:uiPriority w:val="0"/>
    <w:pPr>
      <w:autoSpaceDE w:val="0"/>
      <w:autoSpaceDN w:val="0"/>
      <w:adjustRightInd w:val="0"/>
      <w:spacing w:line="400" w:lineRule="atLeast"/>
      <w:jc w:val="left"/>
    </w:pPr>
    <w:rPr>
      <w:rFonts w:ascii="宋体" w:hAnsi="宋体"/>
      <w:kern w:val="0"/>
      <w:sz w:val="24"/>
    </w:rPr>
  </w:style>
  <w:style w:type="paragraph" w:customStyle="1" w:styleId="10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80</Pages>
  <Words>22558</Words>
  <Characters>23763</Characters>
  <Lines>243</Lines>
  <Paragraphs>68</Paragraphs>
  <TotalTime>74</TotalTime>
  <ScaleCrop>false</ScaleCrop>
  <LinksUpToDate>false</LinksUpToDate>
  <CharactersWithSpaces>24083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2021-11-22T16:07:00Z</dcterms:created>
  <dc:creator>陈圣楠</dc:creator>
  <cp:lastModifiedBy>WPS_1776742645</cp:lastModifiedBy>
  <cp:lastPrinted>2022-08-22T18:21:00Z</cp:lastPrinted>
  <dcterms:modified xsi:type="dcterms:W3CDTF">2026-05-08T00:31:49Z</dcterms:modified>
  <dc:title>浙江绍兴上虞人民调解服务标准化</dc:title>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D7895CCE932D476CB2070CCC14EA31FD_13</vt:lpwstr>
  </property>
  <property fmtid="{D5CDD505-2E9C-101B-9397-08002B2CF9AE}" pid="4" name="KSOTemplateDocerSaveRecord">
    <vt:lpwstr>eyJoZGlkIjoiZjlmYWNlZTE2ZjYzODFjODg2YWM1NzRjNTc5ODk2MTEiLCJ1c2VySWQiOiIxODI1MjQwOTc2In0=</vt:lpwstr>
  </property>
</Properties>
</file>