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F2E99">
      <w:pPr>
        <w:pStyle w:val="44"/>
        <w:spacing w:line="400" w:lineRule="atLeast"/>
        <w:ind w:firstLine="420"/>
        <w:jc w:val="center"/>
        <w:rPr>
          <w:rFonts w:hAnsi="宋体" w:cs="宋体"/>
          <w:b/>
          <w:color w:val="000000" w:themeColor="text1"/>
          <w:sz w:val="52"/>
          <w:highlight w:val="none"/>
          <w14:textFill>
            <w14:solidFill>
              <w14:schemeClr w14:val="tx1"/>
            </w14:solidFill>
          </w14:textFill>
        </w:rPr>
      </w:pPr>
    </w:p>
    <w:p w14:paraId="35B8701E">
      <w:pPr>
        <w:pStyle w:val="44"/>
        <w:spacing w:line="400" w:lineRule="atLeast"/>
        <w:jc w:val="center"/>
        <w:rPr>
          <w:rFonts w:hAnsi="宋体" w:cs="宋体"/>
          <w:b/>
          <w:color w:val="000000" w:themeColor="text1"/>
          <w:sz w:val="72"/>
          <w:szCs w:val="18"/>
          <w:highlight w:val="none"/>
          <w14:textFill>
            <w14:solidFill>
              <w14:schemeClr w14:val="tx1"/>
            </w14:solidFill>
          </w14:textFill>
        </w:rPr>
      </w:pPr>
      <w:r>
        <w:rPr>
          <w:rFonts w:hint="eastAsia" w:hAnsi="宋体" w:cs="宋体"/>
          <w:b/>
          <w:color w:val="000000" w:themeColor="text1"/>
          <w:sz w:val="72"/>
          <w:szCs w:val="18"/>
          <w:highlight w:val="none"/>
          <w14:textFill>
            <w14:solidFill>
              <w14:schemeClr w14:val="tx1"/>
            </w14:solidFill>
          </w14:textFill>
        </w:rPr>
        <w:t>招  标  文  件</w:t>
      </w:r>
    </w:p>
    <w:p w14:paraId="75E771CC">
      <w:pPr>
        <w:pStyle w:val="44"/>
        <w:spacing w:line="400" w:lineRule="atLeast"/>
        <w:rPr>
          <w:rFonts w:hAnsi="宋体" w:cs="宋体"/>
          <w:b/>
          <w:color w:val="000000" w:themeColor="text1"/>
          <w:sz w:val="52"/>
          <w:highlight w:val="none"/>
          <w14:textFill>
            <w14:solidFill>
              <w14:schemeClr w14:val="tx1"/>
            </w14:solidFill>
          </w14:textFill>
        </w:rPr>
      </w:pPr>
    </w:p>
    <w:p w14:paraId="553CF7F2">
      <w:pPr>
        <w:pStyle w:val="44"/>
        <w:spacing w:line="400" w:lineRule="atLeast"/>
        <w:rPr>
          <w:rFonts w:hAnsi="宋体" w:cs="宋体"/>
          <w:b/>
          <w:color w:val="000000" w:themeColor="text1"/>
          <w:sz w:val="52"/>
          <w:highlight w:val="none"/>
          <w14:textFill>
            <w14:solidFill>
              <w14:schemeClr w14:val="tx1"/>
            </w14:solidFill>
          </w14:textFill>
        </w:rPr>
      </w:pPr>
    </w:p>
    <w:p w14:paraId="07660A84">
      <w:pPr>
        <w:pStyle w:val="44"/>
        <w:spacing w:line="400" w:lineRule="atLeast"/>
        <w:rPr>
          <w:rFonts w:hAnsi="宋体" w:cs="宋体"/>
          <w:b/>
          <w:color w:val="000000" w:themeColor="text1"/>
          <w:sz w:val="36"/>
          <w:highlight w:val="none"/>
          <w14:textFill>
            <w14:solidFill>
              <w14:schemeClr w14:val="tx1"/>
            </w14:solidFill>
          </w14:textFill>
        </w:rPr>
      </w:pPr>
    </w:p>
    <w:p w14:paraId="131F548D">
      <w:pPr>
        <w:pStyle w:val="44"/>
        <w:spacing w:line="800" w:lineRule="exact"/>
        <w:ind w:left="1680" w:leftChars="800"/>
        <w:rPr>
          <w:rFonts w:hAnsi="宋体" w:cs="宋体"/>
          <w:b/>
          <w:color w:val="000000" w:themeColor="text1"/>
          <w:sz w:val="32"/>
          <w:szCs w:val="18"/>
          <w:highlight w:val="none"/>
          <w14:textFill>
            <w14:solidFill>
              <w14:schemeClr w14:val="tx1"/>
            </w14:solidFill>
          </w14:textFill>
        </w:rPr>
      </w:pPr>
      <w:r>
        <w:rPr>
          <w:rFonts w:hint="eastAsia" w:hAnsi="宋体" w:cs="宋体"/>
          <w:b/>
          <w:color w:val="000000" w:themeColor="text1"/>
          <w:sz w:val="32"/>
          <w:szCs w:val="18"/>
          <w:highlight w:val="none"/>
          <w14:textFill>
            <w14:solidFill>
              <w14:schemeClr w14:val="tx1"/>
            </w14:solidFill>
          </w14:textFill>
        </w:rPr>
        <w:t>项目编号：</w:t>
      </w:r>
      <w:r>
        <w:rPr>
          <w:rFonts w:hint="eastAsia" w:hAnsi="宋体" w:cs="宋体"/>
          <w:b/>
          <w:color w:val="000000" w:themeColor="text1"/>
          <w:sz w:val="32"/>
          <w:szCs w:val="18"/>
          <w:highlight w:val="none"/>
          <w:lang w:val="en-US" w:eastAsia="zh-CN"/>
          <w14:textFill>
            <w14:solidFill>
              <w14:schemeClr w14:val="tx1"/>
            </w14:solidFill>
          </w14:textFill>
        </w:rPr>
        <w:t>0634-264XZHTZH011</w:t>
      </w:r>
    </w:p>
    <w:p w14:paraId="6E287257">
      <w:pPr>
        <w:pStyle w:val="44"/>
        <w:spacing w:line="800" w:lineRule="exact"/>
        <w:ind w:left="1680" w:leftChars="800"/>
        <w:rPr>
          <w:rFonts w:hint="eastAsia" w:hAnsi="宋体" w:eastAsia="宋体" w:cs="宋体"/>
          <w:b/>
          <w:color w:val="000000" w:themeColor="text1"/>
          <w:sz w:val="32"/>
          <w:szCs w:val="18"/>
          <w:highlight w:val="none"/>
          <w:lang w:eastAsia="zh-CN"/>
          <w14:textFill>
            <w14:solidFill>
              <w14:schemeClr w14:val="tx1"/>
            </w14:solidFill>
          </w14:textFill>
        </w:rPr>
      </w:pPr>
      <w:r>
        <w:rPr>
          <w:rFonts w:hint="eastAsia" w:hAnsi="宋体" w:cs="宋体"/>
          <w:b/>
          <w:color w:val="000000" w:themeColor="text1"/>
          <w:sz w:val="32"/>
          <w:szCs w:val="18"/>
          <w:highlight w:val="none"/>
          <w14:textFill>
            <w14:solidFill>
              <w14:schemeClr w14:val="tx1"/>
            </w14:solidFill>
          </w14:textFill>
        </w:rPr>
        <w:t>项目名称：</w:t>
      </w:r>
      <w:r>
        <w:rPr>
          <w:rFonts w:hint="eastAsia" w:hAnsi="宋体" w:cs="宋体"/>
          <w:b/>
          <w:color w:val="000000" w:themeColor="text1"/>
          <w:sz w:val="32"/>
          <w:szCs w:val="18"/>
          <w:highlight w:val="none"/>
          <w:lang w:eastAsia="zh-CN"/>
          <w14:textFill>
            <w14:solidFill>
              <w14:schemeClr w14:val="tx1"/>
            </w14:solidFill>
          </w14:textFill>
        </w:rPr>
        <w:t>和田地区洛浦县县域医共体资源共享中心强化提升建设项目（综合中心设备）</w:t>
      </w:r>
    </w:p>
    <w:p w14:paraId="702A92B8">
      <w:pPr>
        <w:pStyle w:val="44"/>
        <w:spacing w:line="800" w:lineRule="exact"/>
        <w:ind w:left="1680" w:leftChars="800"/>
        <w:rPr>
          <w:rFonts w:hAnsi="宋体" w:cs="宋体"/>
          <w:b/>
          <w:color w:val="000000" w:themeColor="text1"/>
          <w:sz w:val="32"/>
          <w:szCs w:val="18"/>
          <w:highlight w:val="none"/>
          <w14:textFill>
            <w14:solidFill>
              <w14:schemeClr w14:val="tx1"/>
            </w14:solidFill>
          </w14:textFill>
        </w:rPr>
      </w:pPr>
      <w:r>
        <w:rPr>
          <w:rFonts w:hint="eastAsia" w:hAnsi="宋体" w:cs="宋体"/>
          <w:b/>
          <w:color w:val="000000" w:themeColor="text1"/>
          <w:sz w:val="32"/>
          <w:szCs w:val="18"/>
          <w:highlight w:val="none"/>
          <w14:textFill>
            <w14:solidFill>
              <w14:schemeClr w14:val="tx1"/>
            </w14:solidFill>
          </w14:textFill>
        </w:rPr>
        <w:t>采购人：洛浦县人民医院</w:t>
      </w:r>
    </w:p>
    <w:p w14:paraId="19100EAA">
      <w:pPr>
        <w:pStyle w:val="44"/>
        <w:spacing w:line="800" w:lineRule="exact"/>
        <w:ind w:left="1680" w:leftChars="800"/>
        <w:rPr>
          <w:rFonts w:hAnsi="宋体" w:cs="宋体"/>
          <w:b/>
          <w:color w:val="000000" w:themeColor="text1"/>
          <w:sz w:val="32"/>
          <w:szCs w:val="18"/>
          <w:highlight w:val="none"/>
          <w14:textFill>
            <w14:solidFill>
              <w14:schemeClr w14:val="tx1"/>
            </w14:solidFill>
          </w14:textFill>
        </w:rPr>
      </w:pPr>
      <w:r>
        <w:rPr>
          <w:rFonts w:hint="eastAsia" w:hAnsi="宋体" w:cs="宋体"/>
          <w:b/>
          <w:color w:val="000000" w:themeColor="text1"/>
          <w:sz w:val="32"/>
          <w:szCs w:val="18"/>
          <w:highlight w:val="none"/>
          <w14:textFill>
            <w14:solidFill>
              <w14:schemeClr w14:val="tx1"/>
            </w14:solidFill>
          </w14:textFill>
        </w:rPr>
        <w:t>采购代理机构：新疆招标有限公司</w:t>
      </w:r>
    </w:p>
    <w:p w14:paraId="4E273AB7">
      <w:pPr>
        <w:pStyle w:val="44"/>
        <w:spacing w:line="400" w:lineRule="atLeast"/>
        <w:rPr>
          <w:rFonts w:hAnsi="宋体" w:cs="宋体"/>
          <w:b/>
          <w:color w:val="000000" w:themeColor="text1"/>
          <w:sz w:val="52"/>
          <w:highlight w:val="none"/>
          <w14:textFill>
            <w14:solidFill>
              <w14:schemeClr w14:val="tx1"/>
            </w14:solidFill>
          </w14:textFill>
        </w:rPr>
      </w:pPr>
    </w:p>
    <w:p w14:paraId="24A26A0A">
      <w:pPr>
        <w:pStyle w:val="44"/>
        <w:spacing w:line="400" w:lineRule="atLeast"/>
        <w:rPr>
          <w:rFonts w:hAnsi="宋体" w:cs="宋体"/>
          <w:b/>
          <w:color w:val="000000" w:themeColor="text1"/>
          <w:sz w:val="52"/>
          <w:highlight w:val="none"/>
          <w14:textFill>
            <w14:solidFill>
              <w14:schemeClr w14:val="tx1"/>
            </w14:solidFill>
          </w14:textFill>
        </w:rPr>
      </w:pPr>
    </w:p>
    <w:p w14:paraId="2AA485C2">
      <w:pPr>
        <w:pStyle w:val="44"/>
        <w:spacing w:line="400" w:lineRule="atLeast"/>
        <w:rPr>
          <w:rFonts w:hAnsi="宋体" w:cs="宋体"/>
          <w:b/>
          <w:color w:val="000000" w:themeColor="text1"/>
          <w:highlight w:val="none"/>
          <w14:textFill>
            <w14:solidFill>
              <w14:schemeClr w14:val="tx1"/>
            </w14:solidFill>
          </w14:textFill>
        </w:rPr>
      </w:pPr>
    </w:p>
    <w:p w14:paraId="4C469171">
      <w:pPr>
        <w:pStyle w:val="44"/>
        <w:spacing w:line="400" w:lineRule="atLeast"/>
        <w:rPr>
          <w:rFonts w:hAnsi="宋体" w:cs="宋体"/>
          <w:b/>
          <w:color w:val="000000" w:themeColor="text1"/>
          <w:highlight w:val="none"/>
          <w14:textFill>
            <w14:solidFill>
              <w14:schemeClr w14:val="tx1"/>
            </w14:solidFill>
          </w14:textFill>
        </w:rPr>
      </w:pPr>
    </w:p>
    <w:p w14:paraId="35567AEC">
      <w:pPr>
        <w:pStyle w:val="44"/>
        <w:spacing w:line="400" w:lineRule="atLeast"/>
        <w:rPr>
          <w:rFonts w:hAnsi="宋体" w:cs="宋体"/>
          <w:b/>
          <w:color w:val="000000" w:themeColor="text1"/>
          <w:highlight w:val="none"/>
          <w14:textFill>
            <w14:solidFill>
              <w14:schemeClr w14:val="tx1"/>
            </w14:solidFill>
          </w14:textFill>
        </w:rPr>
      </w:pPr>
    </w:p>
    <w:p w14:paraId="3F10D7C4">
      <w:pPr>
        <w:pStyle w:val="44"/>
        <w:spacing w:line="400" w:lineRule="atLeast"/>
        <w:rPr>
          <w:rFonts w:hAnsi="宋体" w:cs="宋体"/>
          <w:b/>
          <w:color w:val="000000" w:themeColor="text1"/>
          <w:highlight w:val="none"/>
          <w14:textFill>
            <w14:solidFill>
              <w14:schemeClr w14:val="tx1"/>
            </w14:solidFill>
          </w14:textFill>
        </w:rPr>
      </w:pPr>
    </w:p>
    <w:tbl>
      <w:tblPr>
        <w:tblStyle w:val="87"/>
        <w:tblW w:w="0" w:type="auto"/>
        <w:tblInd w:w="0" w:type="dxa"/>
        <w:tblBorders>
          <w:top w:val="single" w:color="auto" w:sz="8"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63"/>
      </w:tblGrid>
      <w:tr w14:paraId="0C56AC01">
        <w:tblPrEx>
          <w:tblBorders>
            <w:top w:val="single" w:color="auto" w:sz="8"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9963" w:type="dxa"/>
          </w:tcPr>
          <w:p w14:paraId="6618F9BD">
            <w:pPr>
              <w:pStyle w:val="44"/>
              <w:spacing w:line="400" w:lineRule="atLeast"/>
              <w:rPr>
                <w:rFonts w:hAnsi="宋体" w:cs="宋体"/>
                <w:b/>
                <w:color w:val="000000" w:themeColor="text1"/>
                <w:highlight w:val="none"/>
                <w14:textFill>
                  <w14:solidFill>
                    <w14:schemeClr w14:val="tx1"/>
                  </w14:solidFill>
                </w14:textFill>
              </w:rPr>
            </w:pPr>
          </w:p>
        </w:tc>
      </w:tr>
    </w:tbl>
    <w:p w14:paraId="5ECA5BF3">
      <w:pPr>
        <w:spacing w:line="400" w:lineRule="atLeas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新疆招标有限公司编制</w:t>
      </w:r>
    </w:p>
    <w:p w14:paraId="5E450A9D">
      <w:pPr>
        <w:spacing w:line="400" w:lineRule="atLeast"/>
        <w:jc w:val="center"/>
        <w:rPr>
          <w:rFonts w:ascii="宋体" w:hAnsi="宋体" w:cs="宋体"/>
          <w:b/>
          <w:color w:val="000000" w:themeColor="text1"/>
          <w:sz w:val="36"/>
          <w:highlight w:val="none"/>
          <w14:textFill>
            <w14:solidFill>
              <w14:schemeClr w14:val="tx1"/>
            </w14:solidFill>
          </w14:textFill>
        </w:rPr>
        <w:sectPr>
          <w:headerReference r:id="rId4" w:type="first"/>
          <w:footerReference r:id="rId5" w:type="default"/>
          <w:pgSz w:w="11907" w:h="16840"/>
          <w:pgMar w:top="1276" w:right="1080" w:bottom="1440" w:left="1080" w:header="851" w:footer="454" w:gutter="0"/>
          <w:cols w:space="720" w:num="1"/>
          <w:docGrid w:type="lines" w:linePitch="409" w:charSpace="0"/>
        </w:sectPr>
      </w:pPr>
    </w:p>
    <w:p w14:paraId="66EEDE95">
      <w:pPr>
        <w:spacing w:line="400" w:lineRule="atLeast"/>
        <w:jc w:val="center"/>
        <w:rPr>
          <w:rFonts w:ascii="宋体" w:hAnsi="宋体" w:cs="宋体"/>
          <w:b/>
          <w:color w:val="000000" w:themeColor="text1"/>
          <w:sz w:val="36"/>
          <w:highlight w:val="none"/>
          <w14:textFill>
            <w14:solidFill>
              <w14:schemeClr w14:val="tx1"/>
            </w14:solidFill>
          </w14:textFill>
        </w:rPr>
      </w:pPr>
      <w:r>
        <w:rPr>
          <w:rFonts w:hint="eastAsia" w:ascii="宋体" w:hAnsi="宋体" w:cs="宋体"/>
          <w:b/>
          <w:color w:val="000000" w:themeColor="text1"/>
          <w:sz w:val="36"/>
          <w:highlight w:val="none"/>
          <w14:textFill>
            <w14:solidFill>
              <w14:schemeClr w14:val="tx1"/>
            </w14:solidFill>
          </w14:textFill>
        </w:rPr>
        <w:t>目     录</w:t>
      </w:r>
    </w:p>
    <w:p w14:paraId="051067E3">
      <w:pPr>
        <w:pStyle w:val="58"/>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TOC \o "1-3" \h \u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_Toc25249 </w:instrText>
      </w:r>
      <w:r>
        <w:rPr>
          <w:rFonts w:hint="eastAsia" w:ascii="宋体" w:hAnsi="宋体" w:cs="宋体"/>
          <w:highlight w:val="none"/>
        </w:rPr>
        <w:fldChar w:fldCharType="separate"/>
      </w:r>
      <w:r>
        <w:rPr>
          <w:rFonts w:hint="eastAsia" w:ascii="宋体" w:hAnsi="宋体" w:cs="宋体"/>
          <w:szCs w:val="32"/>
          <w:highlight w:val="none"/>
        </w:rPr>
        <w:t>第一部分 投标邀请</w:t>
      </w:r>
      <w:r>
        <w:rPr>
          <w:highlight w:val="none"/>
        </w:rPr>
        <w:tab/>
      </w:r>
      <w:r>
        <w:rPr>
          <w:highlight w:val="none"/>
        </w:rPr>
        <w:fldChar w:fldCharType="begin"/>
      </w:r>
      <w:r>
        <w:rPr>
          <w:highlight w:val="none"/>
        </w:rPr>
        <w:instrText xml:space="preserve"> PAGEREF _Toc25249 \h </w:instrText>
      </w:r>
      <w:r>
        <w:rPr>
          <w:highlight w:val="none"/>
        </w:rPr>
        <w:fldChar w:fldCharType="separate"/>
      </w:r>
      <w:r>
        <w:rPr>
          <w:highlight w:val="none"/>
        </w:rPr>
        <w:t>1</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2D0B91BA">
      <w:pPr>
        <w:pStyle w:val="58"/>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_Toc22708 </w:instrText>
      </w:r>
      <w:r>
        <w:rPr>
          <w:rFonts w:hint="eastAsia" w:ascii="宋体" w:hAnsi="宋体" w:cs="宋体"/>
          <w:highlight w:val="none"/>
        </w:rPr>
        <w:fldChar w:fldCharType="separate"/>
      </w:r>
      <w:r>
        <w:rPr>
          <w:rFonts w:hint="eastAsia" w:ascii="宋体" w:hAnsi="宋体" w:cs="宋体"/>
          <w:highlight w:val="none"/>
        </w:rPr>
        <w:t>第二部分 供应商须知</w:t>
      </w:r>
      <w:r>
        <w:rPr>
          <w:highlight w:val="none"/>
        </w:rPr>
        <w:tab/>
      </w:r>
      <w:r>
        <w:rPr>
          <w:highlight w:val="none"/>
        </w:rPr>
        <w:fldChar w:fldCharType="begin"/>
      </w:r>
      <w:r>
        <w:rPr>
          <w:highlight w:val="none"/>
        </w:rPr>
        <w:instrText xml:space="preserve"> PAGEREF _Toc22708 \h </w:instrText>
      </w:r>
      <w:r>
        <w:rPr>
          <w:highlight w:val="none"/>
        </w:rPr>
        <w:fldChar w:fldCharType="separate"/>
      </w:r>
      <w:r>
        <w:rPr>
          <w:highlight w:val="none"/>
        </w:rPr>
        <w:t>4</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20C56AF1">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_Toc9987 </w:instrText>
      </w:r>
      <w:r>
        <w:rPr>
          <w:rFonts w:hint="eastAsia" w:ascii="宋体" w:hAnsi="宋体" w:cs="宋体"/>
          <w:highlight w:val="none"/>
        </w:rPr>
        <w:fldChar w:fldCharType="separate"/>
      </w:r>
      <w:r>
        <w:rPr>
          <w:rFonts w:hint="eastAsia" w:ascii="宋体" w:hAnsi="宋体" w:cs="宋体"/>
          <w:szCs w:val="28"/>
          <w:highlight w:val="none"/>
        </w:rPr>
        <w:t>供应商须知附表</w:t>
      </w:r>
      <w:r>
        <w:rPr>
          <w:highlight w:val="none"/>
        </w:rPr>
        <w:tab/>
      </w:r>
      <w:r>
        <w:rPr>
          <w:highlight w:val="none"/>
        </w:rPr>
        <w:fldChar w:fldCharType="begin"/>
      </w:r>
      <w:r>
        <w:rPr>
          <w:highlight w:val="none"/>
        </w:rPr>
        <w:instrText xml:space="preserve"> PAGEREF _Toc9987 \h </w:instrText>
      </w:r>
      <w:r>
        <w:rPr>
          <w:highlight w:val="none"/>
        </w:rPr>
        <w:fldChar w:fldCharType="separate"/>
      </w:r>
      <w:r>
        <w:rPr>
          <w:highlight w:val="none"/>
        </w:rPr>
        <w:t>6</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2DC0BA92">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_Toc17714 </w:instrText>
      </w:r>
      <w:r>
        <w:rPr>
          <w:rFonts w:hint="eastAsia" w:ascii="宋体" w:hAnsi="宋体" w:cs="宋体"/>
          <w:highlight w:val="none"/>
        </w:rPr>
        <w:fldChar w:fldCharType="separate"/>
      </w:r>
      <w:r>
        <w:rPr>
          <w:rFonts w:hint="eastAsia" w:ascii="宋体" w:hAnsi="宋体" w:cs="宋体"/>
          <w:szCs w:val="28"/>
          <w:highlight w:val="none"/>
        </w:rPr>
        <w:t>A  说　明</w:t>
      </w:r>
      <w:r>
        <w:rPr>
          <w:highlight w:val="none"/>
        </w:rPr>
        <w:tab/>
      </w:r>
      <w:r>
        <w:rPr>
          <w:highlight w:val="none"/>
        </w:rPr>
        <w:fldChar w:fldCharType="begin"/>
      </w:r>
      <w:r>
        <w:rPr>
          <w:highlight w:val="none"/>
        </w:rPr>
        <w:instrText xml:space="preserve"> PAGEREF _Toc17714 \h </w:instrText>
      </w:r>
      <w:r>
        <w:rPr>
          <w:highlight w:val="none"/>
        </w:rPr>
        <w:fldChar w:fldCharType="separate"/>
      </w:r>
      <w:r>
        <w:rPr>
          <w:highlight w:val="none"/>
        </w:rPr>
        <w:t>11</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452D5CE3">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_Toc16195 </w:instrText>
      </w:r>
      <w:r>
        <w:rPr>
          <w:rFonts w:hint="eastAsia" w:ascii="宋体" w:hAnsi="宋体" w:cs="宋体"/>
          <w:highlight w:val="none"/>
        </w:rPr>
        <w:fldChar w:fldCharType="separate"/>
      </w:r>
      <w:r>
        <w:rPr>
          <w:rFonts w:hint="eastAsia" w:ascii="宋体" w:hAnsi="宋体" w:cs="宋体"/>
          <w:highlight w:val="none"/>
        </w:rPr>
        <w:t>B  招标文件</w:t>
      </w:r>
      <w:r>
        <w:rPr>
          <w:highlight w:val="none"/>
        </w:rPr>
        <w:tab/>
      </w:r>
      <w:r>
        <w:rPr>
          <w:highlight w:val="none"/>
        </w:rPr>
        <w:fldChar w:fldCharType="begin"/>
      </w:r>
      <w:r>
        <w:rPr>
          <w:highlight w:val="none"/>
        </w:rPr>
        <w:instrText xml:space="preserve"> PAGEREF _Toc16195 \h </w:instrText>
      </w:r>
      <w:r>
        <w:rPr>
          <w:highlight w:val="none"/>
        </w:rPr>
        <w:fldChar w:fldCharType="separate"/>
      </w:r>
      <w:r>
        <w:rPr>
          <w:highlight w:val="none"/>
        </w:rPr>
        <w:t>12</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666791B6">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_Toc17253 </w:instrText>
      </w:r>
      <w:r>
        <w:rPr>
          <w:rFonts w:hint="eastAsia" w:ascii="宋体" w:hAnsi="宋体" w:cs="宋体"/>
          <w:highlight w:val="none"/>
        </w:rPr>
        <w:fldChar w:fldCharType="separate"/>
      </w:r>
      <w:r>
        <w:rPr>
          <w:rFonts w:hint="eastAsia" w:ascii="宋体" w:hAnsi="宋体" w:cs="宋体"/>
          <w:highlight w:val="none"/>
        </w:rPr>
        <w:t>C  投标文件的编写</w:t>
      </w:r>
      <w:r>
        <w:rPr>
          <w:highlight w:val="none"/>
        </w:rPr>
        <w:tab/>
      </w:r>
      <w:r>
        <w:rPr>
          <w:highlight w:val="none"/>
        </w:rPr>
        <w:fldChar w:fldCharType="begin"/>
      </w:r>
      <w:r>
        <w:rPr>
          <w:highlight w:val="none"/>
        </w:rPr>
        <w:instrText xml:space="preserve"> PAGEREF _Toc17253 \h </w:instrText>
      </w:r>
      <w:r>
        <w:rPr>
          <w:highlight w:val="none"/>
        </w:rPr>
        <w:fldChar w:fldCharType="separate"/>
      </w:r>
      <w:r>
        <w:rPr>
          <w:highlight w:val="none"/>
        </w:rPr>
        <w:t>13</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3A3B544E">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_Toc20335 </w:instrText>
      </w:r>
      <w:r>
        <w:rPr>
          <w:rFonts w:hint="eastAsia" w:ascii="宋体" w:hAnsi="宋体" w:cs="宋体"/>
          <w:highlight w:val="none"/>
        </w:rPr>
        <w:fldChar w:fldCharType="separate"/>
      </w:r>
      <w:r>
        <w:rPr>
          <w:rFonts w:hint="eastAsia" w:ascii="宋体" w:hAnsi="宋体" w:cs="宋体"/>
          <w:highlight w:val="none"/>
        </w:rPr>
        <w:t>D  投标文件的递交</w:t>
      </w:r>
      <w:r>
        <w:rPr>
          <w:highlight w:val="none"/>
        </w:rPr>
        <w:tab/>
      </w:r>
      <w:r>
        <w:rPr>
          <w:highlight w:val="none"/>
        </w:rPr>
        <w:fldChar w:fldCharType="begin"/>
      </w:r>
      <w:r>
        <w:rPr>
          <w:highlight w:val="none"/>
        </w:rPr>
        <w:instrText xml:space="preserve"> PAGEREF _Toc20335 \h </w:instrText>
      </w:r>
      <w:r>
        <w:rPr>
          <w:highlight w:val="none"/>
        </w:rPr>
        <w:fldChar w:fldCharType="separate"/>
      </w:r>
      <w:r>
        <w:rPr>
          <w:highlight w:val="none"/>
        </w:rPr>
        <w:t>17</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4FD68A2E">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_Toc21423 </w:instrText>
      </w:r>
      <w:r>
        <w:rPr>
          <w:rFonts w:hint="eastAsia" w:ascii="宋体" w:hAnsi="宋体" w:cs="宋体"/>
          <w:highlight w:val="none"/>
        </w:rPr>
        <w:fldChar w:fldCharType="separate"/>
      </w:r>
      <w:r>
        <w:rPr>
          <w:rFonts w:hint="eastAsia" w:ascii="宋体" w:hAnsi="宋体" w:cs="宋体"/>
          <w:highlight w:val="none"/>
        </w:rPr>
        <w:t>E  采购程序</w:t>
      </w:r>
      <w:r>
        <w:rPr>
          <w:highlight w:val="none"/>
        </w:rPr>
        <w:tab/>
      </w:r>
      <w:r>
        <w:rPr>
          <w:highlight w:val="none"/>
        </w:rPr>
        <w:fldChar w:fldCharType="begin"/>
      </w:r>
      <w:r>
        <w:rPr>
          <w:highlight w:val="none"/>
        </w:rPr>
        <w:instrText xml:space="preserve"> PAGEREF _Toc21423 \h </w:instrText>
      </w:r>
      <w:r>
        <w:rPr>
          <w:highlight w:val="none"/>
        </w:rPr>
        <w:fldChar w:fldCharType="separate"/>
      </w:r>
      <w:r>
        <w:rPr>
          <w:highlight w:val="none"/>
        </w:rPr>
        <w:t>18</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034F42B8">
      <w:pPr>
        <w:pStyle w:val="4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_Toc14534 </w:instrText>
      </w:r>
      <w:r>
        <w:rPr>
          <w:rFonts w:hint="eastAsia" w:ascii="宋体" w:hAnsi="宋体" w:cs="宋体"/>
          <w:highlight w:val="none"/>
        </w:rPr>
        <w:fldChar w:fldCharType="separate"/>
      </w:r>
      <w:r>
        <w:rPr>
          <w:rFonts w:hint="eastAsia" w:ascii="宋体" w:hAnsi="宋体" w:cs="宋体"/>
          <w:highlight w:val="none"/>
        </w:rPr>
        <w:t>资格审查</w:t>
      </w:r>
      <w:r>
        <w:rPr>
          <w:highlight w:val="none"/>
        </w:rPr>
        <w:tab/>
      </w:r>
      <w:r>
        <w:rPr>
          <w:highlight w:val="none"/>
        </w:rPr>
        <w:fldChar w:fldCharType="begin"/>
      </w:r>
      <w:r>
        <w:rPr>
          <w:highlight w:val="none"/>
        </w:rPr>
        <w:instrText xml:space="preserve"> PAGEREF _Toc14534 \h </w:instrText>
      </w:r>
      <w:r>
        <w:rPr>
          <w:highlight w:val="none"/>
        </w:rPr>
        <w:fldChar w:fldCharType="separate"/>
      </w:r>
      <w:r>
        <w:rPr>
          <w:highlight w:val="none"/>
        </w:rPr>
        <w:t>19</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3ABCE7A5">
      <w:pPr>
        <w:pStyle w:val="4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_Toc13102 </w:instrText>
      </w:r>
      <w:r>
        <w:rPr>
          <w:rFonts w:hint="eastAsia" w:ascii="宋体" w:hAnsi="宋体" w:cs="宋体"/>
          <w:highlight w:val="none"/>
        </w:rPr>
        <w:fldChar w:fldCharType="separate"/>
      </w:r>
      <w:r>
        <w:rPr>
          <w:rFonts w:hint="eastAsia" w:ascii="宋体" w:hAnsi="宋体" w:eastAsia="宋体" w:cs="宋体"/>
          <w:bCs/>
          <w:kern w:val="2"/>
          <w:highlight w:val="none"/>
          <w:lang w:val="en-US" w:eastAsia="zh-CN" w:bidi="ar-SA"/>
        </w:rPr>
        <w:t>符合性审查</w:t>
      </w:r>
      <w:r>
        <w:rPr>
          <w:highlight w:val="none"/>
        </w:rPr>
        <w:tab/>
      </w:r>
      <w:r>
        <w:rPr>
          <w:highlight w:val="none"/>
        </w:rPr>
        <w:fldChar w:fldCharType="begin"/>
      </w:r>
      <w:r>
        <w:rPr>
          <w:highlight w:val="none"/>
        </w:rPr>
        <w:instrText xml:space="preserve"> PAGEREF _Toc13102 \h </w:instrText>
      </w:r>
      <w:r>
        <w:rPr>
          <w:highlight w:val="none"/>
        </w:rPr>
        <w:fldChar w:fldCharType="separate"/>
      </w:r>
      <w:r>
        <w:rPr>
          <w:highlight w:val="none"/>
        </w:rPr>
        <w:t>21</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442632A0">
      <w:pPr>
        <w:pStyle w:val="4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_Toc2398 </w:instrText>
      </w:r>
      <w:r>
        <w:rPr>
          <w:rFonts w:hint="eastAsia" w:ascii="宋体" w:hAnsi="宋体" w:cs="宋体"/>
          <w:highlight w:val="none"/>
        </w:rPr>
        <w:fldChar w:fldCharType="separate"/>
      </w:r>
      <w:r>
        <w:rPr>
          <w:rFonts w:hint="eastAsia" w:asciiTheme="majorEastAsia" w:hAnsiTheme="majorEastAsia" w:eastAsiaTheme="majorEastAsia" w:cstheme="majorEastAsia"/>
          <w:bCs/>
          <w:szCs w:val="24"/>
          <w:highlight w:val="none"/>
        </w:rPr>
        <w:t>价格部分（30分）</w:t>
      </w:r>
      <w:r>
        <w:rPr>
          <w:highlight w:val="none"/>
        </w:rPr>
        <w:tab/>
      </w:r>
      <w:r>
        <w:rPr>
          <w:highlight w:val="none"/>
        </w:rPr>
        <w:fldChar w:fldCharType="begin"/>
      </w:r>
      <w:r>
        <w:rPr>
          <w:highlight w:val="none"/>
        </w:rPr>
        <w:instrText xml:space="preserve"> PAGEREF _Toc2398 \h </w:instrText>
      </w:r>
      <w:r>
        <w:rPr>
          <w:highlight w:val="none"/>
        </w:rPr>
        <w:fldChar w:fldCharType="separate"/>
      </w:r>
      <w:r>
        <w:rPr>
          <w:highlight w:val="none"/>
        </w:rPr>
        <w:t>22</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02B1F922">
      <w:pPr>
        <w:pStyle w:val="4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_Toc12106 </w:instrText>
      </w:r>
      <w:r>
        <w:rPr>
          <w:rFonts w:hint="eastAsia" w:ascii="宋体" w:hAnsi="宋体" w:cs="宋体"/>
          <w:highlight w:val="none"/>
        </w:rPr>
        <w:fldChar w:fldCharType="separate"/>
      </w:r>
      <w:r>
        <w:rPr>
          <w:rFonts w:hint="eastAsia" w:ascii="宋体" w:hAnsi="宋体" w:cs="宋体"/>
          <w:highlight w:val="none"/>
          <w:lang w:val="en-US" w:eastAsia="zh-CN"/>
        </w:rPr>
        <w:t>详细</w:t>
      </w:r>
      <w:r>
        <w:rPr>
          <w:rFonts w:hint="eastAsia" w:ascii="宋体" w:hAnsi="宋体" w:cs="宋体"/>
          <w:highlight w:val="none"/>
        </w:rPr>
        <w:t>评审：</w:t>
      </w:r>
      <w:r>
        <w:rPr>
          <w:highlight w:val="none"/>
        </w:rPr>
        <w:tab/>
      </w:r>
      <w:r>
        <w:rPr>
          <w:highlight w:val="none"/>
        </w:rPr>
        <w:fldChar w:fldCharType="begin"/>
      </w:r>
      <w:r>
        <w:rPr>
          <w:highlight w:val="none"/>
        </w:rPr>
        <w:instrText xml:space="preserve"> PAGEREF _Toc12106 \h </w:instrText>
      </w:r>
      <w:r>
        <w:rPr>
          <w:highlight w:val="none"/>
        </w:rPr>
        <w:fldChar w:fldCharType="separate"/>
      </w:r>
      <w:r>
        <w:rPr>
          <w:highlight w:val="none"/>
        </w:rPr>
        <w:t>22</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1624D1AF">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_Toc6655 </w:instrText>
      </w:r>
      <w:r>
        <w:rPr>
          <w:rFonts w:hint="eastAsia" w:ascii="宋体" w:hAnsi="宋体" w:cs="宋体"/>
          <w:highlight w:val="none"/>
        </w:rPr>
        <w:fldChar w:fldCharType="separate"/>
      </w:r>
      <w:r>
        <w:rPr>
          <w:rFonts w:hint="eastAsia" w:ascii="宋体" w:hAnsi="宋体" w:cs="宋体"/>
          <w:highlight w:val="none"/>
        </w:rPr>
        <w:t>F  授予合同</w:t>
      </w:r>
      <w:r>
        <w:rPr>
          <w:highlight w:val="none"/>
        </w:rPr>
        <w:tab/>
      </w:r>
      <w:r>
        <w:rPr>
          <w:highlight w:val="none"/>
        </w:rPr>
        <w:fldChar w:fldCharType="begin"/>
      </w:r>
      <w:r>
        <w:rPr>
          <w:highlight w:val="none"/>
        </w:rPr>
        <w:instrText xml:space="preserve"> PAGEREF _Toc6655 \h </w:instrText>
      </w:r>
      <w:r>
        <w:rPr>
          <w:highlight w:val="none"/>
        </w:rPr>
        <w:fldChar w:fldCharType="separate"/>
      </w:r>
      <w:r>
        <w:rPr>
          <w:highlight w:val="none"/>
        </w:rPr>
        <w:t>26</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7BD0D203">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_Toc675 </w:instrText>
      </w:r>
      <w:r>
        <w:rPr>
          <w:rFonts w:hint="eastAsia" w:ascii="宋体" w:hAnsi="宋体" w:cs="宋体"/>
          <w:highlight w:val="none"/>
        </w:rPr>
        <w:fldChar w:fldCharType="separate"/>
      </w:r>
      <w:r>
        <w:rPr>
          <w:rFonts w:hint="eastAsia" w:ascii="宋体" w:hAnsi="宋体" w:cs="宋体"/>
          <w:szCs w:val="28"/>
          <w:highlight w:val="none"/>
        </w:rPr>
        <w:t>G  采购失败条件</w:t>
      </w:r>
      <w:r>
        <w:rPr>
          <w:highlight w:val="none"/>
        </w:rPr>
        <w:tab/>
      </w:r>
      <w:r>
        <w:rPr>
          <w:highlight w:val="none"/>
        </w:rPr>
        <w:fldChar w:fldCharType="begin"/>
      </w:r>
      <w:r>
        <w:rPr>
          <w:highlight w:val="none"/>
        </w:rPr>
        <w:instrText xml:space="preserve"> PAGEREF _Toc675 \h </w:instrText>
      </w:r>
      <w:r>
        <w:rPr>
          <w:highlight w:val="none"/>
        </w:rPr>
        <w:fldChar w:fldCharType="separate"/>
      </w:r>
      <w:r>
        <w:rPr>
          <w:highlight w:val="none"/>
        </w:rPr>
        <w:t>27</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20FE424E">
      <w:pPr>
        <w:pStyle w:val="58"/>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_Toc21470 </w:instrText>
      </w:r>
      <w:r>
        <w:rPr>
          <w:rFonts w:hint="eastAsia" w:ascii="宋体" w:hAnsi="宋体" w:cs="宋体"/>
          <w:highlight w:val="none"/>
        </w:rPr>
        <w:fldChar w:fldCharType="separate"/>
      </w:r>
      <w:r>
        <w:rPr>
          <w:rFonts w:hint="eastAsia" w:ascii="宋体" w:hAnsi="宋体" w:cs="宋体"/>
          <w:highlight w:val="none"/>
        </w:rPr>
        <w:t>第三部分 货物需求一览表及技术要求</w:t>
      </w:r>
      <w:r>
        <w:rPr>
          <w:highlight w:val="none"/>
        </w:rPr>
        <w:tab/>
      </w:r>
      <w:r>
        <w:rPr>
          <w:highlight w:val="none"/>
        </w:rPr>
        <w:fldChar w:fldCharType="begin"/>
      </w:r>
      <w:r>
        <w:rPr>
          <w:highlight w:val="none"/>
        </w:rPr>
        <w:instrText xml:space="preserve"> PAGEREF _Toc21470 \h </w:instrText>
      </w:r>
      <w:r>
        <w:rPr>
          <w:highlight w:val="none"/>
        </w:rPr>
        <w:fldChar w:fldCharType="separate"/>
      </w:r>
      <w:r>
        <w:rPr>
          <w:highlight w:val="none"/>
        </w:rPr>
        <w:t>29</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15C6E7BC">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_Toc28261 </w:instrText>
      </w:r>
      <w:r>
        <w:rPr>
          <w:rFonts w:hint="eastAsia" w:ascii="宋体" w:hAnsi="宋体" w:cs="宋体"/>
          <w:highlight w:val="none"/>
        </w:rPr>
        <w:fldChar w:fldCharType="separate"/>
      </w:r>
      <w:r>
        <w:rPr>
          <w:rFonts w:hint="eastAsia" w:ascii="宋体" w:hAnsi="宋体" w:cs="宋体"/>
          <w:bCs/>
          <w:szCs w:val="22"/>
          <w:highlight w:val="none"/>
          <w:lang w:val="en-US" w:eastAsia="zh-CN"/>
        </w:rPr>
        <w:t>第一包：</w:t>
      </w:r>
      <w:r>
        <w:rPr>
          <w:highlight w:val="none"/>
        </w:rPr>
        <w:tab/>
      </w:r>
      <w:r>
        <w:rPr>
          <w:highlight w:val="none"/>
        </w:rPr>
        <w:fldChar w:fldCharType="begin"/>
      </w:r>
      <w:r>
        <w:rPr>
          <w:highlight w:val="none"/>
        </w:rPr>
        <w:instrText xml:space="preserve"> PAGEREF _Toc28261 \h </w:instrText>
      </w:r>
      <w:r>
        <w:rPr>
          <w:highlight w:val="none"/>
        </w:rPr>
        <w:fldChar w:fldCharType="separate"/>
      </w:r>
      <w:r>
        <w:rPr>
          <w:highlight w:val="none"/>
        </w:rPr>
        <w:t>29</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415CDB7D">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_Toc9498 </w:instrText>
      </w:r>
      <w:r>
        <w:rPr>
          <w:rFonts w:hint="eastAsia" w:ascii="宋体" w:hAnsi="宋体" w:cs="宋体"/>
          <w:highlight w:val="none"/>
        </w:rPr>
        <w:fldChar w:fldCharType="separate"/>
      </w:r>
      <w:r>
        <w:rPr>
          <w:rFonts w:hint="eastAsia" w:ascii="宋体" w:hAnsi="宋体" w:eastAsia="宋体" w:cs="宋体"/>
          <w:bCs/>
          <w:szCs w:val="24"/>
          <w:highlight w:val="none"/>
          <w:lang w:val="en-US" w:eastAsia="zh-CN"/>
        </w:rPr>
        <w:t>1、超声诊断设备（B超）</w:t>
      </w:r>
      <w:r>
        <w:rPr>
          <w:highlight w:val="none"/>
        </w:rPr>
        <w:tab/>
      </w:r>
      <w:r>
        <w:rPr>
          <w:highlight w:val="none"/>
        </w:rPr>
        <w:fldChar w:fldCharType="begin"/>
      </w:r>
      <w:r>
        <w:rPr>
          <w:highlight w:val="none"/>
        </w:rPr>
        <w:instrText xml:space="preserve"> PAGEREF _Toc9498 \h </w:instrText>
      </w:r>
      <w:r>
        <w:rPr>
          <w:highlight w:val="none"/>
        </w:rPr>
        <w:fldChar w:fldCharType="separate"/>
      </w:r>
      <w:r>
        <w:rPr>
          <w:highlight w:val="none"/>
        </w:rPr>
        <w:t>30</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28486D6D">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_Toc6992 </w:instrText>
      </w:r>
      <w:r>
        <w:rPr>
          <w:rFonts w:hint="eastAsia" w:ascii="宋体" w:hAnsi="宋体" w:cs="宋体"/>
          <w:highlight w:val="none"/>
        </w:rPr>
        <w:fldChar w:fldCharType="separate"/>
      </w:r>
      <w:r>
        <w:rPr>
          <w:rFonts w:hint="eastAsia" w:ascii="宋体" w:hAnsi="宋体" w:eastAsia="宋体" w:cs="宋体"/>
          <w:bCs/>
          <w:szCs w:val="24"/>
          <w:highlight w:val="none"/>
          <w:lang w:val="en-US" w:eastAsia="zh-CN"/>
        </w:rPr>
        <w:t>2、便携式彩超</w:t>
      </w:r>
      <w:r>
        <w:rPr>
          <w:highlight w:val="none"/>
        </w:rPr>
        <w:tab/>
      </w:r>
      <w:r>
        <w:rPr>
          <w:highlight w:val="none"/>
        </w:rPr>
        <w:fldChar w:fldCharType="begin"/>
      </w:r>
      <w:r>
        <w:rPr>
          <w:highlight w:val="none"/>
        </w:rPr>
        <w:instrText xml:space="preserve"> PAGEREF _Toc6992 \h </w:instrText>
      </w:r>
      <w:r>
        <w:rPr>
          <w:highlight w:val="none"/>
        </w:rPr>
        <w:fldChar w:fldCharType="separate"/>
      </w:r>
      <w:r>
        <w:rPr>
          <w:highlight w:val="none"/>
        </w:rPr>
        <w:t>35</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01E5316F">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_Toc8739 </w:instrText>
      </w:r>
      <w:r>
        <w:rPr>
          <w:rFonts w:hint="eastAsia" w:ascii="宋体" w:hAnsi="宋体" w:cs="宋体"/>
          <w:highlight w:val="none"/>
        </w:rPr>
        <w:fldChar w:fldCharType="separate"/>
      </w:r>
      <w:r>
        <w:rPr>
          <w:rFonts w:hint="eastAsia" w:ascii="宋体" w:hAnsi="宋体" w:eastAsia="宋体" w:cs="宋体"/>
          <w:bCs/>
          <w:szCs w:val="24"/>
          <w:highlight w:val="none"/>
          <w:lang w:val="en-US" w:eastAsia="zh-CN"/>
        </w:rPr>
        <w:t>3、彩超</w:t>
      </w:r>
      <w:r>
        <w:rPr>
          <w:highlight w:val="none"/>
        </w:rPr>
        <w:tab/>
      </w:r>
      <w:r>
        <w:rPr>
          <w:highlight w:val="none"/>
        </w:rPr>
        <w:fldChar w:fldCharType="begin"/>
      </w:r>
      <w:r>
        <w:rPr>
          <w:highlight w:val="none"/>
        </w:rPr>
        <w:instrText xml:space="preserve"> PAGEREF _Toc8739 \h </w:instrText>
      </w:r>
      <w:r>
        <w:rPr>
          <w:highlight w:val="none"/>
        </w:rPr>
        <w:fldChar w:fldCharType="separate"/>
      </w:r>
      <w:r>
        <w:rPr>
          <w:highlight w:val="none"/>
        </w:rPr>
        <w:t>37</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5CFD8B3D">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_Toc26615 </w:instrText>
      </w:r>
      <w:r>
        <w:rPr>
          <w:rFonts w:hint="eastAsia" w:ascii="宋体" w:hAnsi="宋体" w:cs="宋体"/>
          <w:highlight w:val="none"/>
        </w:rPr>
        <w:fldChar w:fldCharType="separate"/>
      </w:r>
      <w:r>
        <w:rPr>
          <w:rFonts w:hint="eastAsia" w:ascii="宋体" w:hAnsi="宋体" w:eastAsia="宋体" w:cs="宋体"/>
          <w:bCs/>
          <w:szCs w:val="24"/>
          <w:highlight w:val="none"/>
          <w:lang w:val="en-US" w:eastAsia="zh-CN"/>
        </w:rPr>
        <w:t>4、血管内超声</w:t>
      </w:r>
      <w:r>
        <w:rPr>
          <w:highlight w:val="none"/>
        </w:rPr>
        <w:tab/>
      </w:r>
      <w:r>
        <w:rPr>
          <w:highlight w:val="none"/>
        </w:rPr>
        <w:fldChar w:fldCharType="begin"/>
      </w:r>
      <w:r>
        <w:rPr>
          <w:highlight w:val="none"/>
        </w:rPr>
        <w:instrText xml:space="preserve"> PAGEREF _Toc26615 \h </w:instrText>
      </w:r>
      <w:r>
        <w:rPr>
          <w:highlight w:val="none"/>
        </w:rPr>
        <w:fldChar w:fldCharType="separate"/>
      </w:r>
      <w:r>
        <w:rPr>
          <w:highlight w:val="none"/>
        </w:rPr>
        <w:t>41</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7CF46CA9">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_Toc896 </w:instrText>
      </w:r>
      <w:r>
        <w:rPr>
          <w:rFonts w:hint="eastAsia" w:ascii="宋体" w:hAnsi="宋体" w:cs="宋体"/>
          <w:highlight w:val="none"/>
        </w:rPr>
        <w:fldChar w:fldCharType="separate"/>
      </w:r>
      <w:r>
        <w:rPr>
          <w:rFonts w:hint="eastAsia" w:ascii="宋体" w:hAnsi="宋体" w:eastAsia="宋体" w:cs="宋体"/>
          <w:bCs/>
          <w:szCs w:val="24"/>
          <w:highlight w:val="none"/>
          <w:lang w:val="en-US" w:eastAsia="zh-CN"/>
        </w:rPr>
        <w:t>5、 床旁彩超</w:t>
      </w:r>
      <w:r>
        <w:rPr>
          <w:highlight w:val="none"/>
        </w:rPr>
        <w:tab/>
      </w:r>
      <w:r>
        <w:rPr>
          <w:highlight w:val="none"/>
        </w:rPr>
        <w:fldChar w:fldCharType="begin"/>
      </w:r>
      <w:r>
        <w:rPr>
          <w:highlight w:val="none"/>
        </w:rPr>
        <w:instrText xml:space="preserve"> PAGEREF _Toc896 \h </w:instrText>
      </w:r>
      <w:r>
        <w:rPr>
          <w:highlight w:val="none"/>
        </w:rPr>
        <w:fldChar w:fldCharType="separate"/>
      </w:r>
      <w:r>
        <w:rPr>
          <w:highlight w:val="none"/>
        </w:rPr>
        <w:t>43</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35134AB8">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_Toc13829 </w:instrText>
      </w:r>
      <w:r>
        <w:rPr>
          <w:rFonts w:hint="eastAsia" w:ascii="宋体" w:hAnsi="宋体" w:cs="宋体"/>
          <w:highlight w:val="none"/>
        </w:rPr>
        <w:fldChar w:fldCharType="separate"/>
      </w:r>
      <w:r>
        <w:rPr>
          <w:rFonts w:hint="eastAsia" w:ascii="宋体" w:hAnsi="宋体" w:eastAsia="宋体" w:cs="宋体"/>
          <w:bCs/>
          <w:szCs w:val="24"/>
          <w:highlight w:val="none"/>
          <w:lang w:val="en-US" w:eastAsia="zh-CN"/>
        </w:rPr>
        <w:t>6、高端彩超（心血管彩色多普勒超声波诊断仪）（1台）</w:t>
      </w:r>
      <w:r>
        <w:rPr>
          <w:highlight w:val="none"/>
        </w:rPr>
        <w:tab/>
      </w:r>
      <w:r>
        <w:rPr>
          <w:highlight w:val="none"/>
        </w:rPr>
        <w:fldChar w:fldCharType="begin"/>
      </w:r>
      <w:r>
        <w:rPr>
          <w:highlight w:val="none"/>
        </w:rPr>
        <w:instrText xml:space="preserve"> PAGEREF _Toc13829 \h </w:instrText>
      </w:r>
      <w:r>
        <w:rPr>
          <w:highlight w:val="none"/>
        </w:rPr>
        <w:fldChar w:fldCharType="separate"/>
      </w:r>
      <w:r>
        <w:rPr>
          <w:highlight w:val="none"/>
        </w:rPr>
        <w:t>47</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0941F783">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_Toc27271 </w:instrText>
      </w:r>
      <w:r>
        <w:rPr>
          <w:rFonts w:hint="eastAsia" w:ascii="宋体" w:hAnsi="宋体" w:cs="宋体"/>
          <w:highlight w:val="none"/>
        </w:rPr>
        <w:fldChar w:fldCharType="separate"/>
      </w:r>
      <w:r>
        <w:rPr>
          <w:rFonts w:hint="eastAsia" w:ascii="宋体" w:hAnsi="宋体" w:eastAsia="宋体" w:cs="宋体"/>
          <w:bCs/>
          <w:szCs w:val="24"/>
          <w:highlight w:val="none"/>
          <w:lang w:val="en-US" w:eastAsia="zh-CN"/>
        </w:rPr>
        <w:t>7、高端彩超（全数字化高端彩色多普勒超声诊断仪）（核心设备）（2台）</w:t>
      </w:r>
      <w:r>
        <w:rPr>
          <w:highlight w:val="none"/>
        </w:rPr>
        <w:tab/>
      </w:r>
      <w:r>
        <w:rPr>
          <w:highlight w:val="none"/>
        </w:rPr>
        <w:fldChar w:fldCharType="begin"/>
      </w:r>
      <w:r>
        <w:rPr>
          <w:highlight w:val="none"/>
        </w:rPr>
        <w:instrText xml:space="preserve"> PAGEREF _Toc27271 \h </w:instrText>
      </w:r>
      <w:r>
        <w:rPr>
          <w:highlight w:val="none"/>
        </w:rPr>
        <w:fldChar w:fldCharType="separate"/>
      </w:r>
      <w:r>
        <w:rPr>
          <w:highlight w:val="none"/>
        </w:rPr>
        <w:t>52</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77C98CD1">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_Toc5762 </w:instrText>
      </w:r>
      <w:r>
        <w:rPr>
          <w:rFonts w:hint="eastAsia" w:ascii="宋体" w:hAnsi="宋体" w:cs="宋体"/>
          <w:highlight w:val="none"/>
        </w:rPr>
        <w:fldChar w:fldCharType="separate"/>
      </w:r>
      <w:r>
        <w:rPr>
          <w:rFonts w:hint="eastAsia" w:ascii="宋体" w:hAnsi="宋体" w:cs="宋体"/>
          <w:bCs/>
          <w:szCs w:val="22"/>
          <w:highlight w:val="none"/>
          <w:lang w:val="en-US" w:eastAsia="zh-CN"/>
        </w:rPr>
        <w:t>第二包：</w:t>
      </w:r>
      <w:r>
        <w:rPr>
          <w:highlight w:val="none"/>
        </w:rPr>
        <w:tab/>
      </w:r>
      <w:r>
        <w:rPr>
          <w:highlight w:val="none"/>
        </w:rPr>
        <w:fldChar w:fldCharType="begin"/>
      </w:r>
      <w:r>
        <w:rPr>
          <w:highlight w:val="none"/>
        </w:rPr>
        <w:instrText xml:space="preserve"> PAGEREF _Toc5762 \h </w:instrText>
      </w:r>
      <w:r>
        <w:rPr>
          <w:highlight w:val="none"/>
        </w:rPr>
        <w:fldChar w:fldCharType="separate"/>
      </w:r>
      <w:r>
        <w:rPr>
          <w:highlight w:val="none"/>
        </w:rPr>
        <w:t>58</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732764CA">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_Toc27903 </w:instrText>
      </w:r>
      <w:r>
        <w:rPr>
          <w:rFonts w:hint="eastAsia" w:ascii="宋体" w:hAnsi="宋体" w:cs="宋体"/>
          <w:highlight w:val="none"/>
        </w:rPr>
        <w:fldChar w:fldCharType="separate"/>
      </w:r>
      <w:r>
        <w:rPr>
          <w:rFonts w:hint="eastAsia"/>
          <w:bCs/>
          <w:szCs w:val="36"/>
          <w:highlight w:val="none"/>
          <w:lang w:val="en-US" w:eastAsia="zh-CN"/>
        </w:rPr>
        <w:t>1、心电监护仪</w:t>
      </w:r>
      <w:r>
        <w:rPr>
          <w:rFonts w:hint="eastAsia" w:asciiTheme="minorHAnsi" w:hAnsiTheme="minorHAnsi" w:eastAsiaTheme="minorEastAsia" w:cstheme="minorBidi"/>
          <w:bCs/>
          <w:i w:val="0"/>
          <w:iCs w:val="0"/>
          <w:kern w:val="2"/>
          <w:szCs w:val="36"/>
          <w:highlight w:val="none"/>
          <w:lang w:val="en-US" w:eastAsia="zh-CN" w:bidi="ar"/>
        </w:rPr>
        <w:t>（核心设备）</w:t>
      </w:r>
      <w:r>
        <w:rPr>
          <w:highlight w:val="none"/>
        </w:rPr>
        <w:tab/>
      </w:r>
      <w:r>
        <w:rPr>
          <w:highlight w:val="none"/>
        </w:rPr>
        <w:fldChar w:fldCharType="begin"/>
      </w:r>
      <w:r>
        <w:rPr>
          <w:highlight w:val="none"/>
        </w:rPr>
        <w:instrText xml:space="preserve"> PAGEREF _Toc27903 \h </w:instrText>
      </w:r>
      <w:r>
        <w:rPr>
          <w:highlight w:val="none"/>
        </w:rPr>
        <w:fldChar w:fldCharType="separate"/>
      </w:r>
      <w:r>
        <w:rPr>
          <w:highlight w:val="none"/>
        </w:rPr>
        <w:t>59</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2BFC20D0">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_Toc30065 </w:instrText>
      </w:r>
      <w:r>
        <w:rPr>
          <w:rFonts w:hint="eastAsia" w:ascii="宋体" w:hAnsi="宋体" w:cs="宋体"/>
          <w:highlight w:val="none"/>
        </w:rPr>
        <w:fldChar w:fldCharType="separate"/>
      </w:r>
      <w:r>
        <w:rPr>
          <w:rFonts w:hint="eastAsia" w:ascii="宋体" w:hAnsi="宋体" w:eastAsia="宋体" w:cs="宋体"/>
          <w:bCs/>
          <w:szCs w:val="28"/>
          <w:highlight w:val="none"/>
          <w:lang w:val="en-US" w:eastAsia="zh-CN"/>
        </w:rPr>
        <w:t>2、 动态心电记录盒（20台）</w:t>
      </w:r>
      <w:r>
        <w:rPr>
          <w:highlight w:val="none"/>
        </w:rPr>
        <w:tab/>
      </w:r>
      <w:r>
        <w:rPr>
          <w:highlight w:val="none"/>
        </w:rPr>
        <w:fldChar w:fldCharType="begin"/>
      </w:r>
      <w:r>
        <w:rPr>
          <w:highlight w:val="none"/>
        </w:rPr>
        <w:instrText xml:space="preserve"> PAGEREF _Toc30065 \h </w:instrText>
      </w:r>
      <w:r>
        <w:rPr>
          <w:highlight w:val="none"/>
        </w:rPr>
        <w:fldChar w:fldCharType="separate"/>
      </w:r>
      <w:r>
        <w:rPr>
          <w:highlight w:val="none"/>
        </w:rPr>
        <w:t>61</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1F19218E">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_Toc9935 </w:instrText>
      </w:r>
      <w:r>
        <w:rPr>
          <w:rFonts w:hint="eastAsia" w:ascii="宋体" w:hAnsi="宋体" w:cs="宋体"/>
          <w:highlight w:val="none"/>
        </w:rPr>
        <w:fldChar w:fldCharType="separate"/>
      </w:r>
      <w:r>
        <w:rPr>
          <w:rFonts w:hint="eastAsia" w:ascii="宋体" w:hAnsi="宋体" w:eastAsia="宋体" w:cs="宋体"/>
          <w:bCs/>
          <w:szCs w:val="28"/>
          <w:highlight w:val="none"/>
          <w:lang w:val="en-US" w:eastAsia="zh-CN"/>
        </w:rPr>
        <w:t>3、动态血压记录盒（20台）</w:t>
      </w:r>
      <w:r>
        <w:rPr>
          <w:highlight w:val="none"/>
        </w:rPr>
        <w:tab/>
      </w:r>
      <w:r>
        <w:rPr>
          <w:highlight w:val="none"/>
        </w:rPr>
        <w:fldChar w:fldCharType="begin"/>
      </w:r>
      <w:r>
        <w:rPr>
          <w:highlight w:val="none"/>
        </w:rPr>
        <w:instrText xml:space="preserve"> PAGEREF _Toc9935 \h </w:instrText>
      </w:r>
      <w:r>
        <w:rPr>
          <w:highlight w:val="none"/>
        </w:rPr>
        <w:fldChar w:fldCharType="separate"/>
      </w:r>
      <w:r>
        <w:rPr>
          <w:highlight w:val="none"/>
        </w:rPr>
        <w:t>63</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5CC7B1F6">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_Toc10053 </w:instrText>
      </w:r>
      <w:r>
        <w:rPr>
          <w:rFonts w:hint="eastAsia" w:ascii="宋体" w:hAnsi="宋体" w:cs="宋体"/>
          <w:highlight w:val="none"/>
        </w:rPr>
        <w:fldChar w:fldCharType="separate"/>
      </w:r>
      <w:r>
        <w:rPr>
          <w:rFonts w:hint="eastAsia" w:ascii="宋体" w:hAnsi="宋体" w:cs="宋体"/>
          <w:bCs/>
          <w:szCs w:val="22"/>
          <w:highlight w:val="none"/>
          <w:lang w:val="en-US" w:eastAsia="zh-CN"/>
        </w:rPr>
        <w:t>第三包：</w:t>
      </w:r>
      <w:r>
        <w:rPr>
          <w:highlight w:val="none"/>
        </w:rPr>
        <w:tab/>
      </w:r>
      <w:r>
        <w:rPr>
          <w:highlight w:val="none"/>
        </w:rPr>
        <w:fldChar w:fldCharType="begin"/>
      </w:r>
      <w:r>
        <w:rPr>
          <w:highlight w:val="none"/>
        </w:rPr>
        <w:instrText xml:space="preserve"> PAGEREF _Toc10053 \h </w:instrText>
      </w:r>
      <w:r>
        <w:rPr>
          <w:highlight w:val="none"/>
        </w:rPr>
        <w:fldChar w:fldCharType="separate"/>
      </w:r>
      <w:r>
        <w:rPr>
          <w:highlight w:val="none"/>
        </w:rPr>
        <w:t>65</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3EBC086F">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_Toc18981 </w:instrText>
      </w:r>
      <w:r>
        <w:rPr>
          <w:rFonts w:hint="eastAsia" w:ascii="宋体" w:hAnsi="宋体" w:cs="宋体"/>
          <w:highlight w:val="none"/>
        </w:rPr>
        <w:fldChar w:fldCharType="separate"/>
      </w:r>
      <w:r>
        <w:rPr>
          <w:rFonts w:hint="eastAsia" w:ascii="宋体" w:hAnsi="宋体" w:eastAsia="宋体" w:cs="宋体"/>
          <w:bCs/>
          <w:szCs w:val="24"/>
          <w:highlight w:val="none"/>
          <w:lang w:val="en-US" w:eastAsia="zh-CN"/>
        </w:rPr>
        <w:t>1、 超声波清洗机</w:t>
      </w:r>
      <w:r>
        <w:rPr>
          <w:highlight w:val="none"/>
        </w:rPr>
        <w:tab/>
      </w:r>
      <w:r>
        <w:rPr>
          <w:highlight w:val="none"/>
        </w:rPr>
        <w:fldChar w:fldCharType="begin"/>
      </w:r>
      <w:r>
        <w:rPr>
          <w:highlight w:val="none"/>
        </w:rPr>
        <w:instrText xml:space="preserve"> PAGEREF _Toc18981 \h </w:instrText>
      </w:r>
      <w:r>
        <w:rPr>
          <w:highlight w:val="none"/>
        </w:rPr>
        <w:fldChar w:fldCharType="separate"/>
      </w:r>
      <w:r>
        <w:rPr>
          <w:highlight w:val="none"/>
        </w:rPr>
        <w:t>66</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4B4E72D7">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_Toc3826 </w:instrText>
      </w:r>
      <w:r>
        <w:rPr>
          <w:rFonts w:hint="eastAsia" w:ascii="宋体" w:hAnsi="宋体" w:cs="宋体"/>
          <w:highlight w:val="none"/>
        </w:rPr>
        <w:fldChar w:fldCharType="separate"/>
      </w:r>
      <w:r>
        <w:rPr>
          <w:rFonts w:hint="eastAsia" w:ascii="宋体" w:hAnsi="宋体" w:eastAsia="宋体" w:cs="宋体"/>
          <w:bCs/>
          <w:szCs w:val="24"/>
          <w:highlight w:val="none"/>
          <w:lang w:val="en-US" w:eastAsia="zh-CN"/>
        </w:rPr>
        <w:t>2、热风枪</w:t>
      </w:r>
      <w:r>
        <w:rPr>
          <w:highlight w:val="none"/>
        </w:rPr>
        <w:tab/>
      </w:r>
      <w:r>
        <w:rPr>
          <w:highlight w:val="none"/>
        </w:rPr>
        <w:fldChar w:fldCharType="begin"/>
      </w:r>
      <w:r>
        <w:rPr>
          <w:highlight w:val="none"/>
        </w:rPr>
        <w:instrText xml:space="preserve"> PAGEREF _Toc3826 \h </w:instrText>
      </w:r>
      <w:r>
        <w:rPr>
          <w:highlight w:val="none"/>
        </w:rPr>
        <w:fldChar w:fldCharType="separate"/>
      </w:r>
      <w:r>
        <w:rPr>
          <w:highlight w:val="none"/>
        </w:rPr>
        <w:t>67</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7A791E27">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_Toc10672 </w:instrText>
      </w:r>
      <w:r>
        <w:rPr>
          <w:rFonts w:hint="eastAsia" w:ascii="宋体" w:hAnsi="宋体" w:cs="宋体"/>
          <w:highlight w:val="none"/>
        </w:rPr>
        <w:fldChar w:fldCharType="separate"/>
      </w:r>
      <w:r>
        <w:rPr>
          <w:rFonts w:hint="eastAsia" w:ascii="宋体" w:hAnsi="宋体" w:eastAsia="宋体" w:cs="宋体"/>
          <w:bCs/>
          <w:szCs w:val="24"/>
          <w:highlight w:val="none"/>
          <w:lang w:val="en-US" w:eastAsia="zh-CN"/>
        </w:rPr>
        <w:t>3、蒸汽发生器</w:t>
      </w:r>
      <w:r>
        <w:rPr>
          <w:highlight w:val="none"/>
        </w:rPr>
        <w:tab/>
      </w:r>
      <w:r>
        <w:rPr>
          <w:highlight w:val="none"/>
        </w:rPr>
        <w:fldChar w:fldCharType="begin"/>
      </w:r>
      <w:r>
        <w:rPr>
          <w:highlight w:val="none"/>
        </w:rPr>
        <w:instrText xml:space="preserve"> PAGEREF _Toc10672 \h </w:instrText>
      </w:r>
      <w:r>
        <w:rPr>
          <w:highlight w:val="none"/>
        </w:rPr>
        <w:fldChar w:fldCharType="separate"/>
      </w:r>
      <w:r>
        <w:rPr>
          <w:highlight w:val="none"/>
        </w:rPr>
        <w:t>68</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09AF1F71">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_Toc2482 </w:instrText>
      </w:r>
      <w:r>
        <w:rPr>
          <w:rFonts w:hint="eastAsia" w:ascii="宋体" w:hAnsi="宋体" w:cs="宋体"/>
          <w:highlight w:val="none"/>
        </w:rPr>
        <w:fldChar w:fldCharType="separate"/>
      </w:r>
      <w:r>
        <w:rPr>
          <w:rFonts w:hint="eastAsia" w:ascii="宋体" w:hAnsi="宋体" w:eastAsia="宋体" w:cs="宋体"/>
          <w:bCs/>
          <w:szCs w:val="24"/>
          <w:highlight w:val="none"/>
          <w:lang w:val="en-US" w:eastAsia="zh-CN"/>
        </w:rPr>
        <w:t>4、真空灭菌锅（核心设备）</w:t>
      </w:r>
      <w:r>
        <w:rPr>
          <w:highlight w:val="none"/>
        </w:rPr>
        <w:tab/>
      </w:r>
      <w:r>
        <w:rPr>
          <w:highlight w:val="none"/>
        </w:rPr>
        <w:fldChar w:fldCharType="begin"/>
      </w:r>
      <w:r>
        <w:rPr>
          <w:highlight w:val="none"/>
        </w:rPr>
        <w:instrText xml:space="preserve"> PAGEREF _Toc2482 \h </w:instrText>
      </w:r>
      <w:r>
        <w:rPr>
          <w:highlight w:val="none"/>
        </w:rPr>
        <w:fldChar w:fldCharType="separate"/>
      </w:r>
      <w:r>
        <w:rPr>
          <w:highlight w:val="none"/>
        </w:rPr>
        <w:t>69</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3CDDF711">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_Toc21996 </w:instrText>
      </w:r>
      <w:r>
        <w:rPr>
          <w:rFonts w:hint="eastAsia" w:ascii="宋体" w:hAnsi="宋体" w:cs="宋体"/>
          <w:highlight w:val="none"/>
        </w:rPr>
        <w:fldChar w:fldCharType="separate"/>
      </w:r>
      <w:r>
        <w:rPr>
          <w:rFonts w:hint="eastAsia" w:ascii="宋体" w:hAnsi="宋体" w:eastAsia="宋体" w:cs="宋体"/>
          <w:bCs/>
          <w:kern w:val="2"/>
          <w:szCs w:val="24"/>
          <w:highlight w:val="none"/>
          <w:lang w:val="en-US" w:eastAsia="zh-CN" w:bidi="ar-SA"/>
        </w:rPr>
        <w:t>5、</w:t>
      </w:r>
      <w:r>
        <w:rPr>
          <w:rFonts w:hint="eastAsia" w:ascii="宋体" w:hAnsi="宋体" w:eastAsia="宋体" w:cs="宋体"/>
          <w:bCs/>
          <w:szCs w:val="24"/>
          <w:highlight w:val="none"/>
          <w:lang w:val="en-US" w:eastAsia="zh-CN"/>
        </w:rPr>
        <w:t>纯水机</w:t>
      </w:r>
      <w:r>
        <w:rPr>
          <w:highlight w:val="none"/>
        </w:rPr>
        <w:tab/>
      </w:r>
      <w:r>
        <w:rPr>
          <w:highlight w:val="none"/>
        </w:rPr>
        <w:fldChar w:fldCharType="begin"/>
      </w:r>
      <w:r>
        <w:rPr>
          <w:highlight w:val="none"/>
        </w:rPr>
        <w:instrText xml:space="preserve"> PAGEREF _Toc21996 \h </w:instrText>
      </w:r>
      <w:r>
        <w:rPr>
          <w:highlight w:val="none"/>
        </w:rPr>
        <w:fldChar w:fldCharType="separate"/>
      </w:r>
      <w:r>
        <w:rPr>
          <w:highlight w:val="none"/>
        </w:rPr>
        <w:t>71</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78C6BFBB">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_Toc30124 </w:instrText>
      </w:r>
      <w:r>
        <w:rPr>
          <w:rFonts w:hint="eastAsia" w:ascii="宋体" w:hAnsi="宋体" w:cs="宋体"/>
          <w:highlight w:val="none"/>
        </w:rPr>
        <w:fldChar w:fldCharType="separate"/>
      </w:r>
      <w:r>
        <w:rPr>
          <w:rFonts w:hint="eastAsia" w:ascii="宋体" w:hAnsi="宋体" w:eastAsia="宋体" w:cs="宋体"/>
          <w:bCs/>
          <w:kern w:val="2"/>
          <w:szCs w:val="24"/>
          <w:highlight w:val="none"/>
          <w:lang w:val="en-US" w:eastAsia="zh-CN" w:bidi="ar-SA"/>
        </w:rPr>
        <w:t>6、</w:t>
      </w:r>
      <w:r>
        <w:rPr>
          <w:rFonts w:hint="eastAsia" w:ascii="宋体" w:hAnsi="宋体" w:eastAsia="宋体" w:cs="宋体"/>
          <w:bCs/>
          <w:szCs w:val="24"/>
          <w:highlight w:val="none"/>
          <w:lang w:val="en-US" w:eastAsia="zh-CN"/>
        </w:rPr>
        <w:t>煮沸槽</w:t>
      </w:r>
      <w:r>
        <w:rPr>
          <w:highlight w:val="none"/>
        </w:rPr>
        <w:tab/>
      </w:r>
      <w:r>
        <w:rPr>
          <w:highlight w:val="none"/>
        </w:rPr>
        <w:fldChar w:fldCharType="begin"/>
      </w:r>
      <w:r>
        <w:rPr>
          <w:highlight w:val="none"/>
        </w:rPr>
        <w:instrText xml:space="preserve"> PAGEREF _Toc30124 \h </w:instrText>
      </w:r>
      <w:r>
        <w:rPr>
          <w:highlight w:val="none"/>
        </w:rPr>
        <w:fldChar w:fldCharType="separate"/>
      </w:r>
      <w:r>
        <w:rPr>
          <w:highlight w:val="none"/>
        </w:rPr>
        <w:t>73</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7A97947A">
      <w:pPr>
        <w:pStyle w:val="58"/>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_Toc28050 </w:instrText>
      </w:r>
      <w:r>
        <w:rPr>
          <w:rFonts w:hint="eastAsia" w:ascii="宋体" w:hAnsi="宋体" w:cs="宋体"/>
          <w:highlight w:val="none"/>
        </w:rPr>
        <w:fldChar w:fldCharType="separate"/>
      </w:r>
      <w:r>
        <w:rPr>
          <w:rFonts w:hint="eastAsia" w:ascii="宋体" w:hAnsi="宋体" w:cs="宋体"/>
          <w:highlight w:val="none"/>
        </w:rPr>
        <w:t>第四部分 合同部分</w:t>
      </w:r>
      <w:r>
        <w:rPr>
          <w:highlight w:val="none"/>
        </w:rPr>
        <w:tab/>
      </w:r>
      <w:r>
        <w:rPr>
          <w:highlight w:val="none"/>
        </w:rPr>
        <w:fldChar w:fldCharType="begin"/>
      </w:r>
      <w:r>
        <w:rPr>
          <w:highlight w:val="none"/>
        </w:rPr>
        <w:instrText xml:space="preserve"> PAGEREF _Toc28050 \h </w:instrText>
      </w:r>
      <w:r>
        <w:rPr>
          <w:highlight w:val="none"/>
        </w:rPr>
        <w:fldChar w:fldCharType="separate"/>
      </w:r>
      <w:r>
        <w:rPr>
          <w:highlight w:val="none"/>
        </w:rPr>
        <w:t>75</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0F13A549">
      <w:pPr>
        <w:pStyle w:val="58"/>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_Toc4898 </w:instrText>
      </w:r>
      <w:r>
        <w:rPr>
          <w:rFonts w:hint="eastAsia" w:ascii="宋体" w:hAnsi="宋体" w:cs="宋体"/>
          <w:highlight w:val="none"/>
        </w:rPr>
        <w:fldChar w:fldCharType="separate"/>
      </w:r>
      <w:r>
        <w:rPr>
          <w:rFonts w:hint="eastAsia" w:ascii="宋体" w:hAnsi="宋体" w:cs="宋体"/>
          <w:highlight w:val="none"/>
        </w:rPr>
        <w:t>第五部分 范本格式</w:t>
      </w:r>
      <w:r>
        <w:rPr>
          <w:highlight w:val="none"/>
        </w:rPr>
        <w:tab/>
      </w:r>
      <w:r>
        <w:rPr>
          <w:highlight w:val="none"/>
        </w:rPr>
        <w:fldChar w:fldCharType="begin"/>
      </w:r>
      <w:r>
        <w:rPr>
          <w:highlight w:val="none"/>
        </w:rPr>
        <w:instrText xml:space="preserve"> PAGEREF _Toc4898 \h </w:instrText>
      </w:r>
      <w:r>
        <w:rPr>
          <w:highlight w:val="none"/>
        </w:rPr>
        <w:fldChar w:fldCharType="separate"/>
      </w:r>
      <w:r>
        <w:rPr>
          <w:highlight w:val="none"/>
        </w:rPr>
        <w:t>90</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2C7BEBBA">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_Toc669 </w:instrText>
      </w:r>
      <w:r>
        <w:rPr>
          <w:rFonts w:hint="eastAsia" w:ascii="宋体" w:hAnsi="宋体" w:cs="宋体"/>
          <w:highlight w:val="none"/>
        </w:rPr>
        <w:fldChar w:fldCharType="separate"/>
      </w:r>
      <w:r>
        <w:rPr>
          <w:rFonts w:hint="eastAsia" w:ascii="宋体" w:hAnsi="宋体" w:cs="宋体"/>
          <w:highlight w:val="none"/>
        </w:rPr>
        <w:t>1、投标书</w:t>
      </w:r>
      <w:r>
        <w:rPr>
          <w:highlight w:val="none"/>
        </w:rPr>
        <w:tab/>
      </w:r>
      <w:r>
        <w:rPr>
          <w:highlight w:val="none"/>
        </w:rPr>
        <w:fldChar w:fldCharType="begin"/>
      </w:r>
      <w:r>
        <w:rPr>
          <w:highlight w:val="none"/>
        </w:rPr>
        <w:instrText xml:space="preserve"> PAGEREF _Toc669 \h </w:instrText>
      </w:r>
      <w:r>
        <w:rPr>
          <w:highlight w:val="none"/>
        </w:rPr>
        <w:fldChar w:fldCharType="separate"/>
      </w:r>
      <w:r>
        <w:rPr>
          <w:highlight w:val="none"/>
        </w:rPr>
        <w:t>90</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237C8089">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_Toc15321 </w:instrText>
      </w:r>
      <w:r>
        <w:rPr>
          <w:rFonts w:hint="eastAsia" w:ascii="宋体" w:hAnsi="宋体" w:cs="宋体"/>
          <w:highlight w:val="none"/>
        </w:rPr>
        <w:fldChar w:fldCharType="separate"/>
      </w:r>
      <w:r>
        <w:rPr>
          <w:rFonts w:hint="eastAsia" w:ascii="宋体" w:hAnsi="宋体" w:cs="宋体"/>
          <w:highlight w:val="none"/>
        </w:rPr>
        <w:t>2、报价一览表</w:t>
      </w:r>
      <w:r>
        <w:rPr>
          <w:highlight w:val="none"/>
        </w:rPr>
        <w:tab/>
      </w:r>
      <w:r>
        <w:rPr>
          <w:highlight w:val="none"/>
        </w:rPr>
        <w:fldChar w:fldCharType="begin"/>
      </w:r>
      <w:r>
        <w:rPr>
          <w:highlight w:val="none"/>
        </w:rPr>
        <w:instrText xml:space="preserve"> PAGEREF _Toc15321 \h </w:instrText>
      </w:r>
      <w:r>
        <w:rPr>
          <w:highlight w:val="none"/>
        </w:rPr>
        <w:fldChar w:fldCharType="separate"/>
      </w:r>
      <w:r>
        <w:rPr>
          <w:highlight w:val="none"/>
        </w:rPr>
        <w:t>91</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6CEFE48A">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_Toc16531 </w:instrText>
      </w:r>
      <w:r>
        <w:rPr>
          <w:rFonts w:hint="eastAsia" w:ascii="宋体" w:hAnsi="宋体" w:cs="宋体"/>
          <w:highlight w:val="none"/>
        </w:rPr>
        <w:fldChar w:fldCharType="separate"/>
      </w:r>
      <w:r>
        <w:rPr>
          <w:rFonts w:hint="eastAsia" w:ascii="宋体" w:hAnsi="宋体" w:cs="宋体"/>
          <w:highlight w:val="none"/>
        </w:rPr>
        <w:t>3、分项报价表</w:t>
      </w:r>
      <w:r>
        <w:rPr>
          <w:highlight w:val="none"/>
        </w:rPr>
        <w:tab/>
      </w:r>
      <w:r>
        <w:rPr>
          <w:highlight w:val="none"/>
        </w:rPr>
        <w:fldChar w:fldCharType="begin"/>
      </w:r>
      <w:r>
        <w:rPr>
          <w:highlight w:val="none"/>
        </w:rPr>
        <w:instrText xml:space="preserve"> PAGEREF _Toc16531 \h </w:instrText>
      </w:r>
      <w:r>
        <w:rPr>
          <w:highlight w:val="none"/>
        </w:rPr>
        <w:fldChar w:fldCharType="separate"/>
      </w:r>
      <w:r>
        <w:rPr>
          <w:highlight w:val="none"/>
        </w:rPr>
        <w:t>92</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60471F2A">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_Toc2760 </w:instrText>
      </w:r>
      <w:r>
        <w:rPr>
          <w:rFonts w:hint="eastAsia" w:ascii="宋体" w:hAnsi="宋体" w:cs="宋体"/>
          <w:highlight w:val="none"/>
        </w:rPr>
        <w:fldChar w:fldCharType="separate"/>
      </w:r>
      <w:r>
        <w:rPr>
          <w:rFonts w:hint="eastAsia" w:ascii="宋体" w:hAnsi="宋体" w:cs="宋体"/>
          <w:szCs w:val="24"/>
          <w:highlight w:val="none"/>
          <w:lang w:bidi="ar"/>
        </w:rPr>
        <w:t>4、法定代表人身份证明书</w:t>
      </w:r>
      <w:r>
        <w:rPr>
          <w:highlight w:val="none"/>
        </w:rPr>
        <w:tab/>
      </w:r>
      <w:r>
        <w:rPr>
          <w:highlight w:val="none"/>
        </w:rPr>
        <w:fldChar w:fldCharType="begin"/>
      </w:r>
      <w:r>
        <w:rPr>
          <w:highlight w:val="none"/>
        </w:rPr>
        <w:instrText xml:space="preserve"> PAGEREF _Toc2760 \h </w:instrText>
      </w:r>
      <w:r>
        <w:rPr>
          <w:highlight w:val="none"/>
        </w:rPr>
        <w:fldChar w:fldCharType="separate"/>
      </w:r>
      <w:r>
        <w:rPr>
          <w:highlight w:val="none"/>
        </w:rPr>
        <w:t>93</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4AB5999A">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_Toc9710 </w:instrText>
      </w:r>
      <w:r>
        <w:rPr>
          <w:rFonts w:hint="eastAsia" w:ascii="宋体" w:hAnsi="宋体" w:cs="宋体"/>
          <w:highlight w:val="none"/>
        </w:rPr>
        <w:fldChar w:fldCharType="separate"/>
      </w:r>
      <w:r>
        <w:rPr>
          <w:rFonts w:hint="eastAsia" w:ascii="宋体" w:hAnsi="宋体" w:cs="宋体"/>
          <w:szCs w:val="24"/>
          <w:highlight w:val="none"/>
          <w:lang w:bidi="ar"/>
        </w:rPr>
        <w:t>5、法人代表授权委托书</w:t>
      </w:r>
      <w:r>
        <w:rPr>
          <w:highlight w:val="none"/>
        </w:rPr>
        <w:tab/>
      </w:r>
      <w:r>
        <w:rPr>
          <w:highlight w:val="none"/>
        </w:rPr>
        <w:fldChar w:fldCharType="begin"/>
      </w:r>
      <w:r>
        <w:rPr>
          <w:highlight w:val="none"/>
        </w:rPr>
        <w:instrText xml:space="preserve"> PAGEREF _Toc9710 \h </w:instrText>
      </w:r>
      <w:r>
        <w:rPr>
          <w:highlight w:val="none"/>
        </w:rPr>
        <w:fldChar w:fldCharType="separate"/>
      </w:r>
      <w:r>
        <w:rPr>
          <w:highlight w:val="none"/>
        </w:rPr>
        <w:t>94</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41122B37">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_Toc7775 </w:instrText>
      </w:r>
      <w:r>
        <w:rPr>
          <w:rFonts w:hint="eastAsia" w:ascii="宋体" w:hAnsi="宋体" w:cs="宋体"/>
          <w:highlight w:val="none"/>
        </w:rPr>
        <w:fldChar w:fldCharType="separate"/>
      </w:r>
      <w:r>
        <w:rPr>
          <w:rFonts w:hint="eastAsia" w:ascii="宋体" w:hAnsi="宋体" w:cs="宋体"/>
          <w:highlight w:val="none"/>
        </w:rPr>
        <w:t>6、技术参数、功能偏离表</w:t>
      </w:r>
      <w:r>
        <w:rPr>
          <w:highlight w:val="none"/>
        </w:rPr>
        <w:tab/>
      </w:r>
      <w:r>
        <w:rPr>
          <w:highlight w:val="none"/>
        </w:rPr>
        <w:fldChar w:fldCharType="begin"/>
      </w:r>
      <w:r>
        <w:rPr>
          <w:highlight w:val="none"/>
        </w:rPr>
        <w:instrText xml:space="preserve"> PAGEREF _Toc7775 \h </w:instrText>
      </w:r>
      <w:r>
        <w:rPr>
          <w:highlight w:val="none"/>
        </w:rPr>
        <w:fldChar w:fldCharType="separate"/>
      </w:r>
      <w:r>
        <w:rPr>
          <w:highlight w:val="none"/>
        </w:rPr>
        <w:t>95</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323458E4">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_Toc29135 </w:instrText>
      </w:r>
      <w:r>
        <w:rPr>
          <w:rFonts w:hint="eastAsia" w:ascii="宋体" w:hAnsi="宋体" w:cs="宋体"/>
          <w:highlight w:val="none"/>
        </w:rPr>
        <w:fldChar w:fldCharType="separate"/>
      </w:r>
      <w:r>
        <w:rPr>
          <w:rFonts w:hint="eastAsia" w:ascii="宋体" w:hAnsi="宋体" w:cs="宋体"/>
          <w:highlight w:val="none"/>
        </w:rPr>
        <w:t>7、商务条款偏离表</w:t>
      </w:r>
      <w:r>
        <w:rPr>
          <w:highlight w:val="none"/>
        </w:rPr>
        <w:tab/>
      </w:r>
      <w:r>
        <w:rPr>
          <w:highlight w:val="none"/>
        </w:rPr>
        <w:fldChar w:fldCharType="begin"/>
      </w:r>
      <w:r>
        <w:rPr>
          <w:highlight w:val="none"/>
        </w:rPr>
        <w:instrText xml:space="preserve"> PAGEREF _Toc29135 \h </w:instrText>
      </w:r>
      <w:r>
        <w:rPr>
          <w:highlight w:val="none"/>
        </w:rPr>
        <w:fldChar w:fldCharType="separate"/>
      </w:r>
      <w:r>
        <w:rPr>
          <w:highlight w:val="none"/>
        </w:rPr>
        <w:t>96</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39F10F5B">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_Toc12771 </w:instrText>
      </w:r>
      <w:r>
        <w:rPr>
          <w:rFonts w:hint="eastAsia" w:ascii="宋体" w:hAnsi="宋体" w:cs="宋体"/>
          <w:highlight w:val="none"/>
        </w:rPr>
        <w:fldChar w:fldCharType="separate"/>
      </w:r>
      <w:r>
        <w:rPr>
          <w:rFonts w:hint="eastAsia" w:ascii="宋体" w:hAnsi="宋体" w:cs="宋体"/>
          <w:highlight w:val="none"/>
        </w:rPr>
        <w:t>8、近三年经营业绩</w:t>
      </w:r>
      <w:r>
        <w:rPr>
          <w:highlight w:val="none"/>
        </w:rPr>
        <w:tab/>
      </w:r>
      <w:r>
        <w:rPr>
          <w:highlight w:val="none"/>
        </w:rPr>
        <w:fldChar w:fldCharType="begin"/>
      </w:r>
      <w:r>
        <w:rPr>
          <w:highlight w:val="none"/>
        </w:rPr>
        <w:instrText xml:space="preserve"> PAGEREF _Toc12771 \h </w:instrText>
      </w:r>
      <w:r>
        <w:rPr>
          <w:highlight w:val="none"/>
        </w:rPr>
        <w:fldChar w:fldCharType="separate"/>
      </w:r>
      <w:r>
        <w:rPr>
          <w:highlight w:val="none"/>
        </w:rPr>
        <w:t>97</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761FF580">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_Toc12397 </w:instrText>
      </w:r>
      <w:r>
        <w:rPr>
          <w:rFonts w:hint="eastAsia" w:ascii="宋体" w:hAnsi="宋体" w:cs="宋体"/>
          <w:highlight w:val="none"/>
        </w:rPr>
        <w:fldChar w:fldCharType="separate"/>
      </w:r>
      <w:r>
        <w:rPr>
          <w:rFonts w:hint="eastAsia" w:ascii="宋体" w:hAnsi="宋体" w:eastAsia="宋体" w:cs="宋体"/>
          <w:kern w:val="2"/>
          <w:highlight w:val="none"/>
          <w:lang w:val="en-US" w:eastAsia="zh-CN" w:bidi="ar-SA"/>
        </w:rPr>
        <w:t>需附业绩对应产品的中标（成交）通知书、全套采购合同及采购人的项目验收单(报告)并加盖投标人公章</w:t>
      </w:r>
      <w:r>
        <w:rPr>
          <w:highlight w:val="none"/>
        </w:rPr>
        <w:tab/>
      </w:r>
      <w:r>
        <w:rPr>
          <w:highlight w:val="none"/>
        </w:rPr>
        <w:fldChar w:fldCharType="begin"/>
      </w:r>
      <w:r>
        <w:rPr>
          <w:highlight w:val="none"/>
        </w:rPr>
        <w:instrText xml:space="preserve"> PAGEREF _Toc12397 \h </w:instrText>
      </w:r>
      <w:r>
        <w:rPr>
          <w:highlight w:val="none"/>
        </w:rPr>
        <w:fldChar w:fldCharType="separate"/>
      </w:r>
      <w:r>
        <w:rPr>
          <w:highlight w:val="none"/>
        </w:rPr>
        <w:t>97</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1583F22A">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_Toc28328 </w:instrText>
      </w:r>
      <w:r>
        <w:rPr>
          <w:rFonts w:hint="eastAsia" w:ascii="宋体" w:hAnsi="宋体" w:cs="宋体"/>
          <w:highlight w:val="none"/>
        </w:rPr>
        <w:fldChar w:fldCharType="separate"/>
      </w:r>
      <w:r>
        <w:rPr>
          <w:rFonts w:hint="eastAsia" w:ascii="宋体" w:hAnsi="宋体" w:cs="宋体"/>
          <w:highlight w:val="none"/>
        </w:rPr>
        <w:t>9、资格证明文件</w:t>
      </w:r>
      <w:r>
        <w:rPr>
          <w:highlight w:val="none"/>
        </w:rPr>
        <w:tab/>
      </w:r>
      <w:r>
        <w:rPr>
          <w:highlight w:val="none"/>
        </w:rPr>
        <w:fldChar w:fldCharType="begin"/>
      </w:r>
      <w:r>
        <w:rPr>
          <w:highlight w:val="none"/>
        </w:rPr>
        <w:instrText xml:space="preserve"> PAGEREF _Toc28328 \h </w:instrText>
      </w:r>
      <w:r>
        <w:rPr>
          <w:highlight w:val="none"/>
        </w:rPr>
        <w:fldChar w:fldCharType="separate"/>
      </w:r>
      <w:r>
        <w:rPr>
          <w:highlight w:val="none"/>
        </w:rPr>
        <w:t>97</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5F3865ED">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_Toc25567 </w:instrText>
      </w:r>
      <w:r>
        <w:rPr>
          <w:rFonts w:hint="eastAsia" w:ascii="宋体" w:hAnsi="宋体" w:cs="宋体"/>
          <w:highlight w:val="none"/>
        </w:rPr>
        <w:fldChar w:fldCharType="separate"/>
      </w:r>
      <w:r>
        <w:rPr>
          <w:rFonts w:hint="eastAsia" w:ascii="宋体" w:hAnsi="宋体" w:cs="宋体"/>
          <w:highlight w:val="none"/>
        </w:rPr>
        <w:t>10、</w:t>
      </w:r>
      <w:r>
        <w:rPr>
          <w:rFonts w:hint="eastAsia" w:ascii="宋体" w:hAnsi="宋体" w:cs="宋体"/>
          <w:highlight w:val="none"/>
          <w:lang w:val="en-US" w:eastAsia="zh-CN"/>
        </w:rPr>
        <w:t>配置情况</w:t>
      </w:r>
      <w:r>
        <w:rPr>
          <w:highlight w:val="none"/>
        </w:rPr>
        <w:tab/>
      </w:r>
      <w:r>
        <w:rPr>
          <w:highlight w:val="none"/>
        </w:rPr>
        <w:fldChar w:fldCharType="begin"/>
      </w:r>
      <w:r>
        <w:rPr>
          <w:highlight w:val="none"/>
        </w:rPr>
        <w:instrText xml:space="preserve"> PAGEREF _Toc25567 \h </w:instrText>
      </w:r>
      <w:r>
        <w:rPr>
          <w:highlight w:val="none"/>
        </w:rPr>
        <w:fldChar w:fldCharType="separate"/>
      </w:r>
      <w:r>
        <w:rPr>
          <w:highlight w:val="none"/>
        </w:rPr>
        <w:t>97</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04B3AA05">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_Toc7224 </w:instrText>
      </w:r>
      <w:r>
        <w:rPr>
          <w:rFonts w:hint="eastAsia" w:ascii="宋体" w:hAnsi="宋体" w:cs="宋体"/>
          <w:highlight w:val="none"/>
        </w:rPr>
        <w:fldChar w:fldCharType="separate"/>
      </w:r>
      <w:r>
        <w:rPr>
          <w:rFonts w:hint="eastAsia" w:ascii="宋体" w:hAnsi="宋体" w:cs="宋体"/>
          <w:highlight w:val="none"/>
        </w:rPr>
        <w:t>11、供货、安装、调试方案</w:t>
      </w:r>
      <w:r>
        <w:rPr>
          <w:highlight w:val="none"/>
        </w:rPr>
        <w:tab/>
      </w:r>
      <w:r>
        <w:rPr>
          <w:highlight w:val="none"/>
        </w:rPr>
        <w:fldChar w:fldCharType="begin"/>
      </w:r>
      <w:r>
        <w:rPr>
          <w:highlight w:val="none"/>
        </w:rPr>
        <w:instrText xml:space="preserve"> PAGEREF _Toc7224 \h </w:instrText>
      </w:r>
      <w:r>
        <w:rPr>
          <w:highlight w:val="none"/>
        </w:rPr>
        <w:fldChar w:fldCharType="separate"/>
      </w:r>
      <w:r>
        <w:rPr>
          <w:highlight w:val="none"/>
        </w:rPr>
        <w:t>97</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40342526">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_Toc29730 </w:instrText>
      </w:r>
      <w:r>
        <w:rPr>
          <w:rFonts w:hint="eastAsia" w:ascii="宋体" w:hAnsi="宋体" w:cs="宋体"/>
          <w:highlight w:val="none"/>
        </w:rPr>
        <w:fldChar w:fldCharType="separate"/>
      </w:r>
      <w:r>
        <w:rPr>
          <w:rFonts w:hint="eastAsia" w:ascii="宋体" w:hAnsi="宋体" w:eastAsia="宋体" w:cs="宋体"/>
          <w:kern w:val="2"/>
          <w:highlight w:val="none"/>
          <w:lang w:val="en-US" w:eastAsia="zh-CN" w:bidi="ar-SA"/>
        </w:rPr>
        <w:t>12、实施方案</w:t>
      </w:r>
      <w:r>
        <w:rPr>
          <w:highlight w:val="none"/>
        </w:rPr>
        <w:tab/>
      </w:r>
      <w:r>
        <w:rPr>
          <w:highlight w:val="none"/>
        </w:rPr>
        <w:fldChar w:fldCharType="begin"/>
      </w:r>
      <w:r>
        <w:rPr>
          <w:highlight w:val="none"/>
        </w:rPr>
        <w:instrText xml:space="preserve"> PAGEREF _Toc29730 \h </w:instrText>
      </w:r>
      <w:r>
        <w:rPr>
          <w:highlight w:val="none"/>
        </w:rPr>
        <w:fldChar w:fldCharType="separate"/>
      </w:r>
      <w:r>
        <w:rPr>
          <w:highlight w:val="none"/>
        </w:rPr>
        <w:t>97</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78055650">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_Toc20142 </w:instrText>
      </w:r>
      <w:r>
        <w:rPr>
          <w:rFonts w:hint="eastAsia" w:ascii="宋体" w:hAnsi="宋体" w:cs="宋体"/>
          <w:highlight w:val="none"/>
        </w:rPr>
        <w:fldChar w:fldCharType="separate"/>
      </w:r>
      <w:r>
        <w:rPr>
          <w:rFonts w:hint="eastAsia" w:ascii="宋体" w:hAnsi="宋体" w:eastAsia="宋体" w:cs="宋体"/>
          <w:kern w:val="2"/>
          <w:highlight w:val="none"/>
          <w:lang w:val="en-US" w:eastAsia="zh-CN" w:bidi="ar-SA"/>
        </w:rPr>
        <w:t>13、 售后服务体系</w:t>
      </w:r>
      <w:r>
        <w:rPr>
          <w:highlight w:val="none"/>
        </w:rPr>
        <w:tab/>
      </w:r>
      <w:r>
        <w:rPr>
          <w:highlight w:val="none"/>
        </w:rPr>
        <w:fldChar w:fldCharType="begin"/>
      </w:r>
      <w:r>
        <w:rPr>
          <w:highlight w:val="none"/>
        </w:rPr>
        <w:instrText xml:space="preserve"> PAGEREF _Toc20142 \h </w:instrText>
      </w:r>
      <w:r>
        <w:rPr>
          <w:highlight w:val="none"/>
        </w:rPr>
        <w:fldChar w:fldCharType="separate"/>
      </w:r>
      <w:r>
        <w:rPr>
          <w:highlight w:val="none"/>
        </w:rPr>
        <w:t>97</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5C6EDD41">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_Toc10399 </w:instrText>
      </w:r>
      <w:r>
        <w:rPr>
          <w:rFonts w:hint="eastAsia" w:ascii="宋体" w:hAnsi="宋体" w:cs="宋体"/>
          <w:highlight w:val="none"/>
        </w:rPr>
        <w:fldChar w:fldCharType="separate"/>
      </w:r>
      <w:r>
        <w:rPr>
          <w:rFonts w:hint="eastAsia" w:ascii="宋体" w:hAnsi="宋体" w:cs="宋体"/>
          <w:highlight w:val="none"/>
        </w:rPr>
        <w:t>1</w:t>
      </w:r>
      <w:r>
        <w:rPr>
          <w:rFonts w:hint="eastAsia" w:ascii="宋体" w:hAnsi="宋体" w:cs="宋体"/>
          <w:highlight w:val="none"/>
          <w:lang w:val="en-US" w:eastAsia="zh-CN"/>
        </w:rPr>
        <w:t>4</w:t>
      </w:r>
      <w:r>
        <w:rPr>
          <w:rFonts w:hint="eastAsia" w:ascii="宋体" w:hAnsi="宋体" w:cs="宋体"/>
          <w:highlight w:val="none"/>
        </w:rPr>
        <w:t>、</w:t>
      </w:r>
      <w:r>
        <w:rPr>
          <w:rFonts w:hint="eastAsia" w:ascii="宋体" w:hAnsi="宋体" w:cs="宋体"/>
          <w:highlight w:val="none"/>
          <w:lang w:val="zh-CN"/>
        </w:rPr>
        <w:t>监狱企业证明文件（如有）、残疾人福利性单位声明函（如有）、</w:t>
      </w:r>
      <w:r>
        <w:rPr>
          <w:rFonts w:hint="eastAsia" w:ascii="宋体" w:hAnsi="宋体" w:cs="宋体"/>
          <w:highlight w:val="none"/>
        </w:rPr>
        <w:t>中小企业</w:t>
      </w:r>
      <w:r>
        <w:rPr>
          <w:rFonts w:hint="eastAsia" w:ascii="宋体" w:hAnsi="宋体" w:cs="宋体"/>
          <w:highlight w:val="none"/>
          <w:lang w:val="zh-CN"/>
        </w:rPr>
        <w:t>声明函（如有）、关于符合本国产品标准的声明函</w:t>
      </w:r>
      <w:r>
        <w:rPr>
          <w:highlight w:val="none"/>
        </w:rPr>
        <w:tab/>
      </w:r>
      <w:r>
        <w:rPr>
          <w:highlight w:val="none"/>
        </w:rPr>
        <w:fldChar w:fldCharType="begin"/>
      </w:r>
      <w:r>
        <w:rPr>
          <w:highlight w:val="none"/>
        </w:rPr>
        <w:instrText xml:space="preserve"> PAGEREF _Toc10399 \h </w:instrText>
      </w:r>
      <w:r>
        <w:rPr>
          <w:highlight w:val="none"/>
        </w:rPr>
        <w:fldChar w:fldCharType="separate"/>
      </w:r>
      <w:r>
        <w:rPr>
          <w:highlight w:val="none"/>
        </w:rPr>
        <w:t>98</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299D849D">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_Toc27840 </w:instrText>
      </w:r>
      <w:r>
        <w:rPr>
          <w:rFonts w:hint="eastAsia" w:ascii="宋体" w:hAnsi="宋体" w:cs="宋体"/>
          <w:highlight w:val="none"/>
        </w:rPr>
        <w:fldChar w:fldCharType="separate"/>
      </w:r>
      <w:r>
        <w:rPr>
          <w:rFonts w:hint="eastAsia" w:ascii="宋体" w:hAnsi="宋体" w:cs="宋体"/>
          <w:highlight w:val="none"/>
        </w:rPr>
        <w:t>1</w:t>
      </w:r>
      <w:r>
        <w:rPr>
          <w:rFonts w:hint="eastAsia" w:ascii="宋体" w:hAnsi="宋体" w:cs="宋体"/>
          <w:highlight w:val="none"/>
          <w:lang w:val="en-US" w:eastAsia="zh-CN"/>
        </w:rPr>
        <w:t>5</w:t>
      </w:r>
      <w:r>
        <w:rPr>
          <w:rFonts w:hint="eastAsia" w:ascii="宋体" w:hAnsi="宋体" w:cs="宋体"/>
          <w:highlight w:val="none"/>
        </w:rPr>
        <w:t>、供应商诚信承诺书</w:t>
      </w:r>
      <w:r>
        <w:rPr>
          <w:highlight w:val="none"/>
        </w:rPr>
        <w:tab/>
      </w:r>
      <w:r>
        <w:rPr>
          <w:highlight w:val="none"/>
        </w:rPr>
        <w:fldChar w:fldCharType="begin"/>
      </w:r>
      <w:r>
        <w:rPr>
          <w:highlight w:val="none"/>
        </w:rPr>
        <w:instrText xml:space="preserve"> PAGEREF _Toc27840 \h </w:instrText>
      </w:r>
      <w:r>
        <w:rPr>
          <w:highlight w:val="none"/>
        </w:rPr>
        <w:fldChar w:fldCharType="separate"/>
      </w:r>
      <w:r>
        <w:rPr>
          <w:highlight w:val="none"/>
        </w:rPr>
        <w:t>100</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05369B3D">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_Toc15984 </w:instrText>
      </w:r>
      <w:r>
        <w:rPr>
          <w:rFonts w:hint="eastAsia" w:ascii="宋体" w:hAnsi="宋体" w:cs="宋体"/>
          <w:highlight w:val="none"/>
        </w:rPr>
        <w:fldChar w:fldCharType="separate"/>
      </w:r>
      <w:r>
        <w:rPr>
          <w:rFonts w:hint="eastAsia" w:ascii="宋体" w:hAnsi="宋体" w:cs="宋体"/>
          <w:highlight w:val="none"/>
        </w:rPr>
        <w:t>1</w:t>
      </w:r>
      <w:r>
        <w:rPr>
          <w:rFonts w:hint="eastAsia" w:ascii="宋体" w:hAnsi="宋体" w:cs="宋体"/>
          <w:highlight w:val="none"/>
          <w:lang w:val="en-US" w:eastAsia="zh-CN"/>
        </w:rPr>
        <w:t>6</w:t>
      </w:r>
      <w:r>
        <w:rPr>
          <w:rFonts w:hint="eastAsia" w:ascii="宋体" w:hAnsi="宋体" w:cs="宋体"/>
          <w:highlight w:val="none"/>
        </w:rPr>
        <w:t>、保证金凭证</w:t>
      </w:r>
      <w:r>
        <w:rPr>
          <w:highlight w:val="none"/>
        </w:rPr>
        <w:tab/>
      </w:r>
      <w:r>
        <w:rPr>
          <w:highlight w:val="none"/>
        </w:rPr>
        <w:fldChar w:fldCharType="begin"/>
      </w:r>
      <w:r>
        <w:rPr>
          <w:highlight w:val="none"/>
        </w:rPr>
        <w:instrText xml:space="preserve"> PAGEREF _Toc15984 \h </w:instrText>
      </w:r>
      <w:r>
        <w:rPr>
          <w:highlight w:val="none"/>
        </w:rPr>
        <w:fldChar w:fldCharType="separate"/>
      </w:r>
      <w:r>
        <w:rPr>
          <w:highlight w:val="none"/>
        </w:rPr>
        <w:t>101</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174242F9">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_Toc29525 </w:instrText>
      </w:r>
      <w:r>
        <w:rPr>
          <w:rFonts w:hint="eastAsia" w:ascii="宋体" w:hAnsi="宋体" w:cs="宋体"/>
          <w:highlight w:val="none"/>
        </w:rPr>
        <w:fldChar w:fldCharType="separate"/>
      </w:r>
      <w:r>
        <w:rPr>
          <w:rFonts w:hint="eastAsia" w:ascii="宋体" w:hAnsi="宋体" w:cs="宋体"/>
          <w:highlight w:val="none"/>
        </w:rPr>
        <w:t>1</w:t>
      </w:r>
      <w:r>
        <w:rPr>
          <w:rFonts w:hint="eastAsia" w:ascii="宋体" w:hAnsi="宋体" w:cs="宋体"/>
          <w:highlight w:val="none"/>
          <w:lang w:val="en-US" w:eastAsia="zh-CN"/>
        </w:rPr>
        <w:t>7</w:t>
      </w:r>
      <w:r>
        <w:rPr>
          <w:rFonts w:hint="eastAsia" w:ascii="宋体" w:hAnsi="宋体" w:cs="宋体"/>
          <w:highlight w:val="none"/>
        </w:rPr>
        <w:t>、投标人认为可以提供的其他资料</w:t>
      </w:r>
      <w:r>
        <w:rPr>
          <w:highlight w:val="none"/>
        </w:rPr>
        <w:tab/>
      </w:r>
      <w:r>
        <w:rPr>
          <w:highlight w:val="none"/>
        </w:rPr>
        <w:fldChar w:fldCharType="begin"/>
      </w:r>
      <w:r>
        <w:rPr>
          <w:highlight w:val="none"/>
        </w:rPr>
        <w:instrText xml:space="preserve"> PAGEREF _Toc29525 \h </w:instrText>
      </w:r>
      <w:r>
        <w:rPr>
          <w:highlight w:val="none"/>
        </w:rPr>
        <w:fldChar w:fldCharType="separate"/>
      </w:r>
      <w:r>
        <w:rPr>
          <w:highlight w:val="none"/>
        </w:rPr>
        <w:t>101</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4015366F">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fldChar w:fldCharType="end"/>
      </w:r>
    </w:p>
    <w:p w14:paraId="41BD2646">
      <w:pPr>
        <w:rPr>
          <w:rFonts w:ascii="宋体" w:hAnsi="宋体" w:cs="宋体"/>
          <w:color w:val="000000" w:themeColor="text1"/>
          <w:highlight w:val="none"/>
          <w14:textFill>
            <w14:solidFill>
              <w14:schemeClr w14:val="tx1"/>
            </w14:solidFill>
          </w14:textFill>
        </w:rPr>
      </w:pPr>
    </w:p>
    <w:p w14:paraId="3AC48FD3">
      <w:pPr>
        <w:pStyle w:val="3"/>
        <w:rPr>
          <w:rFonts w:ascii="宋体" w:hAnsi="宋体" w:cs="宋体"/>
          <w:color w:val="000000" w:themeColor="text1"/>
          <w:szCs w:val="32"/>
          <w:highlight w:val="none"/>
          <w14:textFill>
            <w14:solidFill>
              <w14:schemeClr w14:val="tx1"/>
            </w14:solidFill>
          </w14:textFill>
        </w:rPr>
        <w:sectPr>
          <w:footerReference r:id="rId6" w:type="default"/>
          <w:pgSz w:w="11907" w:h="16840"/>
          <w:pgMar w:top="1276" w:right="1080" w:bottom="1440" w:left="1080" w:header="851" w:footer="283" w:gutter="0"/>
          <w:pgNumType w:start="1"/>
          <w:cols w:space="720" w:num="1"/>
          <w:docGrid w:type="lines" w:linePitch="409" w:charSpace="0"/>
        </w:sectPr>
      </w:pPr>
      <w:bookmarkStart w:id="0" w:name="_Toc349637917"/>
      <w:bookmarkStart w:id="1" w:name="_Toc349573118"/>
      <w:bookmarkStart w:id="2" w:name="_Toc533096037"/>
      <w:bookmarkStart w:id="3" w:name="_Toc298240402"/>
    </w:p>
    <w:p w14:paraId="7B042843">
      <w:pPr>
        <w:pStyle w:val="3"/>
        <w:rPr>
          <w:rFonts w:ascii="宋体" w:hAnsi="宋体" w:cs="宋体"/>
          <w:color w:val="000000" w:themeColor="text1"/>
          <w:szCs w:val="32"/>
          <w:highlight w:val="none"/>
          <w14:textFill>
            <w14:solidFill>
              <w14:schemeClr w14:val="tx1"/>
            </w14:solidFill>
          </w14:textFill>
        </w:rPr>
      </w:pPr>
      <w:bookmarkStart w:id="4" w:name="_Toc25249"/>
      <w:r>
        <w:rPr>
          <w:rFonts w:hint="eastAsia" w:ascii="宋体" w:hAnsi="宋体" w:cs="宋体"/>
          <w:color w:val="000000" w:themeColor="text1"/>
          <w:szCs w:val="32"/>
          <w:highlight w:val="none"/>
          <w14:textFill>
            <w14:solidFill>
              <w14:schemeClr w14:val="tx1"/>
            </w14:solidFill>
          </w14:textFill>
        </w:rPr>
        <w:t xml:space="preserve">第一部分 </w:t>
      </w:r>
      <w:bookmarkEnd w:id="0"/>
      <w:bookmarkEnd w:id="1"/>
      <w:bookmarkEnd w:id="2"/>
      <w:bookmarkEnd w:id="3"/>
      <w:r>
        <w:rPr>
          <w:rFonts w:hint="eastAsia" w:ascii="宋体" w:hAnsi="宋体" w:cs="宋体"/>
          <w:color w:val="000000" w:themeColor="text1"/>
          <w:szCs w:val="32"/>
          <w:highlight w:val="none"/>
          <w14:textFill>
            <w14:solidFill>
              <w14:schemeClr w14:val="tx1"/>
            </w14:solidFill>
          </w14:textFill>
        </w:rPr>
        <w:t>投标邀请</w:t>
      </w:r>
      <w:bookmarkEnd w:id="4"/>
    </w:p>
    <w:p w14:paraId="0813DD09">
      <w:pPr>
        <w:spacing w:line="360" w:lineRule="auto"/>
        <w:rPr>
          <w:rFonts w:hint="eastAsia" w:ascii="宋体" w:hAnsi="宋体" w:eastAsia="宋体" w:cs="宋体"/>
          <w:color w:val="000000" w:themeColor="text1"/>
          <w:sz w:val="24"/>
          <w:szCs w:val="22"/>
          <w:highlight w:val="none"/>
          <w:lang w:eastAsia="zh-CN"/>
          <w14:textFill>
            <w14:solidFill>
              <w14:schemeClr w14:val="tx1"/>
            </w14:solidFill>
          </w14:textFill>
        </w:rPr>
      </w:pPr>
      <w:bookmarkStart w:id="5" w:name="_Toc533096038"/>
      <w:bookmarkStart w:id="6" w:name="_Toc298240403"/>
      <w:bookmarkStart w:id="7" w:name="_Toc349637918"/>
      <w:bookmarkStart w:id="8" w:name="_Toc267301280"/>
      <w:bookmarkStart w:id="9" w:name="_Toc349573119"/>
      <w:r>
        <w:rPr>
          <w:rFonts w:hint="eastAsia" w:ascii="宋体" w:hAnsi="宋体" w:cs="宋体"/>
          <w:color w:val="000000" w:themeColor="text1"/>
          <w:sz w:val="24"/>
          <w:highlight w:val="none"/>
          <w14:textFill>
            <w14:solidFill>
              <w14:schemeClr w14:val="tx1"/>
            </w14:solidFill>
          </w14:textFill>
        </w:rPr>
        <w:t>项目编号：</w:t>
      </w:r>
      <w:r>
        <w:rPr>
          <w:rFonts w:hint="eastAsia" w:ascii="宋体" w:hAnsi="宋体" w:cs="宋体"/>
          <w:color w:val="000000" w:themeColor="text1"/>
          <w:sz w:val="24"/>
          <w:szCs w:val="24"/>
          <w:highlight w:val="none"/>
          <w:lang w:eastAsia="zh-CN"/>
          <w14:textFill>
            <w14:solidFill>
              <w14:schemeClr w14:val="tx1"/>
            </w14:solidFill>
          </w14:textFill>
        </w:rPr>
        <w:t>0634-264XZHTZH011</w:t>
      </w:r>
    </w:p>
    <w:p w14:paraId="78E4DCE8">
      <w:pPr>
        <w:spacing w:line="360" w:lineRule="auto"/>
        <w:ind w:left="240" w:hanging="240" w:hanging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1、新疆招标有限公司受洛浦县人民医院的委托，对</w:t>
      </w:r>
      <w:r>
        <w:rPr>
          <w:rFonts w:hint="eastAsia" w:ascii="宋体" w:hAnsi="宋体" w:cs="宋体"/>
          <w:color w:val="000000" w:themeColor="text1"/>
          <w:sz w:val="24"/>
          <w:szCs w:val="24"/>
          <w:highlight w:val="none"/>
          <w:lang w:eastAsia="zh-CN"/>
          <w14:textFill>
            <w14:solidFill>
              <w14:schemeClr w14:val="tx1"/>
            </w14:solidFill>
          </w14:textFill>
        </w:rPr>
        <w:t>和田地区洛浦县县域医共体资源共享中心强化提升建设项目（综合中心设备）</w:t>
      </w:r>
      <w:r>
        <w:rPr>
          <w:rFonts w:hint="eastAsia" w:ascii="宋体" w:hAnsi="宋体" w:cs="宋体"/>
          <w:color w:val="000000" w:themeColor="text1"/>
          <w:sz w:val="24"/>
          <w:szCs w:val="24"/>
          <w:highlight w:val="none"/>
          <w14:textFill>
            <w14:solidFill>
              <w14:schemeClr w14:val="tx1"/>
            </w14:solidFill>
          </w14:textFill>
        </w:rPr>
        <w:t>及其相关服务组织公开招标；兹邀请合格供应商以密封标书的形式前来投标。</w:t>
      </w:r>
    </w:p>
    <w:p w14:paraId="3A4702CA">
      <w:pPr>
        <w:spacing w:line="360" w:lineRule="auto"/>
        <w:ind w:firstLine="723" w:firstLineChars="3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项目内容：</w:t>
      </w:r>
    </w:p>
    <w:tbl>
      <w:tblPr>
        <w:tblStyle w:val="87"/>
        <w:tblW w:w="9238" w:type="dxa"/>
        <w:tblInd w:w="3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4009"/>
        <w:gridCol w:w="1712"/>
        <w:gridCol w:w="1872"/>
        <w:gridCol w:w="699"/>
      </w:tblGrid>
      <w:tr w14:paraId="1B522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946" w:type="dxa"/>
            <w:tcBorders>
              <w:top w:val="single" w:color="auto" w:sz="4" w:space="0"/>
              <w:left w:val="single" w:color="auto" w:sz="4" w:space="0"/>
              <w:bottom w:val="single" w:color="auto" w:sz="4" w:space="0"/>
              <w:right w:val="single" w:color="auto" w:sz="4" w:space="0"/>
            </w:tcBorders>
            <w:vAlign w:val="center"/>
          </w:tcPr>
          <w:p w14:paraId="31997A3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包号</w:t>
            </w:r>
          </w:p>
        </w:tc>
        <w:tc>
          <w:tcPr>
            <w:tcW w:w="4009" w:type="dxa"/>
            <w:tcBorders>
              <w:top w:val="single" w:color="auto" w:sz="4" w:space="0"/>
              <w:left w:val="single" w:color="auto" w:sz="4" w:space="0"/>
              <w:bottom w:val="single" w:color="auto" w:sz="4" w:space="0"/>
              <w:right w:val="single" w:color="auto" w:sz="4" w:space="0"/>
            </w:tcBorders>
            <w:vAlign w:val="center"/>
          </w:tcPr>
          <w:p w14:paraId="2752E8E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名称</w:t>
            </w:r>
          </w:p>
        </w:tc>
        <w:tc>
          <w:tcPr>
            <w:tcW w:w="1712" w:type="dxa"/>
            <w:tcBorders>
              <w:top w:val="single" w:color="auto" w:sz="4" w:space="0"/>
              <w:left w:val="single" w:color="auto" w:sz="4" w:space="0"/>
              <w:bottom w:val="single" w:color="auto" w:sz="4" w:space="0"/>
              <w:right w:val="single" w:color="auto" w:sz="4" w:space="0"/>
            </w:tcBorders>
            <w:vAlign w:val="center"/>
          </w:tcPr>
          <w:p w14:paraId="46F4E15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数量</w:t>
            </w:r>
          </w:p>
        </w:tc>
        <w:tc>
          <w:tcPr>
            <w:tcW w:w="1872" w:type="dxa"/>
            <w:tcBorders>
              <w:top w:val="single" w:color="auto" w:sz="4" w:space="0"/>
              <w:left w:val="single" w:color="auto" w:sz="4" w:space="0"/>
              <w:bottom w:val="single" w:color="auto" w:sz="4" w:space="0"/>
              <w:right w:val="single" w:color="auto" w:sz="4" w:space="0"/>
            </w:tcBorders>
            <w:vAlign w:val="center"/>
          </w:tcPr>
          <w:p w14:paraId="3DCB574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预算金额（</w:t>
            </w:r>
            <w:r>
              <w:rPr>
                <w:rFonts w:hint="eastAsia" w:ascii="宋体" w:hAnsi="宋体" w:cs="宋体"/>
                <w:color w:val="000000" w:themeColor="text1"/>
                <w:szCs w:val="21"/>
                <w:highlight w:val="none"/>
                <w:lang w:val="en-US" w:eastAsia="zh-CN"/>
                <w14:textFill>
                  <w14:solidFill>
                    <w14:schemeClr w14:val="tx1"/>
                  </w14:solidFill>
                </w14:textFill>
              </w:rPr>
              <w:t>万</w:t>
            </w:r>
            <w:r>
              <w:rPr>
                <w:rFonts w:hint="eastAsia" w:ascii="宋体" w:hAnsi="宋体" w:cs="宋体"/>
                <w:color w:val="000000" w:themeColor="text1"/>
                <w:szCs w:val="21"/>
                <w:highlight w:val="none"/>
                <w14:textFill>
                  <w14:solidFill>
                    <w14:schemeClr w14:val="tx1"/>
                  </w14:solidFill>
                </w14:textFill>
              </w:rPr>
              <w:t>元）</w:t>
            </w:r>
          </w:p>
        </w:tc>
        <w:tc>
          <w:tcPr>
            <w:tcW w:w="699" w:type="dxa"/>
            <w:tcBorders>
              <w:top w:val="single" w:color="auto" w:sz="4" w:space="0"/>
              <w:left w:val="single" w:color="auto" w:sz="4" w:space="0"/>
              <w:bottom w:val="single" w:color="auto" w:sz="4" w:space="0"/>
              <w:right w:val="single" w:color="auto" w:sz="4" w:space="0"/>
            </w:tcBorders>
            <w:vAlign w:val="center"/>
          </w:tcPr>
          <w:p w14:paraId="5729147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tc>
      </w:tr>
      <w:tr w14:paraId="5F515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946" w:type="dxa"/>
            <w:tcBorders>
              <w:top w:val="single" w:color="auto" w:sz="4" w:space="0"/>
              <w:left w:val="single" w:color="auto" w:sz="4" w:space="0"/>
              <w:bottom w:val="single" w:color="auto" w:sz="4" w:space="0"/>
              <w:right w:val="single" w:color="auto" w:sz="4" w:space="0"/>
            </w:tcBorders>
            <w:vAlign w:val="center"/>
          </w:tcPr>
          <w:p w14:paraId="6565529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第</w:t>
            </w:r>
            <w:r>
              <w:rPr>
                <w:rFonts w:hint="eastAsia" w:ascii="宋体" w:hAnsi="宋体" w:cs="宋体"/>
                <w:color w:val="000000" w:themeColor="text1"/>
                <w:szCs w:val="21"/>
                <w:highlight w:val="none"/>
                <w:lang w:val="en-US" w:eastAsia="zh-CN" w:bidi="ar"/>
                <w14:textFill>
                  <w14:solidFill>
                    <w14:schemeClr w14:val="tx1"/>
                  </w14:solidFill>
                </w14:textFill>
              </w:rPr>
              <w:t>一</w:t>
            </w:r>
            <w:r>
              <w:rPr>
                <w:rFonts w:hint="eastAsia" w:ascii="宋体" w:hAnsi="宋体" w:cs="宋体"/>
                <w:color w:val="000000" w:themeColor="text1"/>
                <w:szCs w:val="21"/>
                <w:highlight w:val="none"/>
                <w:lang w:bidi="ar"/>
                <w14:textFill>
                  <w14:solidFill>
                    <w14:schemeClr w14:val="tx1"/>
                  </w14:solidFill>
                </w14:textFill>
              </w:rPr>
              <w:t>包</w:t>
            </w:r>
          </w:p>
        </w:tc>
        <w:tc>
          <w:tcPr>
            <w:tcW w:w="4009" w:type="dxa"/>
            <w:tcBorders>
              <w:top w:val="single" w:color="auto" w:sz="4" w:space="0"/>
              <w:left w:val="single" w:color="auto" w:sz="4" w:space="0"/>
              <w:bottom w:val="single" w:color="auto" w:sz="4" w:space="0"/>
              <w:right w:val="single" w:color="auto" w:sz="4" w:space="0"/>
            </w:tcBorders>
            <w:vAlign w:val="center"/>
          </w:tcPr>
          <w:p w14:paraId="337159F0">
            <w:pPr>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超声诊断设备（B超）</w:t>
            </w:r>
            <w:r>
              <w:rPr>
                <w:rFonts w:hint="eastAsia" w:ascii="宋体" w:hAnsi="宋体" w:cs="宋体"/>
                <w:color w:val="000000" w:themeColor="text1"/>
                <w:szCs w:val="21"/>
                <w:highlight w:val="none"/>
                <w:lang w:eastAsia="zh-CN"/>
                <w14:textFill>
                  <w14:solidFill>
                    <w14:schemeClr w14:val="tx1"/>
                  </w14:solidFill>
                </w14:textFill>
              </w:rPr>
              <w:t>、便携式彩超、彩超</w:t>
            </w:r>
            <w:r>
              <w:rPr>
                <w:rFonts w:hint="eastAsia" w:ascii="宋体" w:hAnsi="宋体" w:cs="宋体"/>
                <w:color w:val="000000" w:themeColor="text1"/>
                <w:szCs w:val="21"/>
                <w:highlight w:val="none"/>
                <w:lang w:val="en-US" w:eastAsia="zh-CN"/>
                <w14:textFill>
                  <w14:solidFill>
                    <w14:schemeClr w14:val="tx1"/>
                  </w14:solidFill>
                </w14:textFill>
              </w:rPr>
              <w:t>等设备</w:t>
            </w:r>
          </w:p>
        </w:tc>
        <w:tc>
          <w:tcPr>
            <w:tcW w:w="1712" w:type="dxa"/>
            <w:tcBorders>
              <w:top w:val="single" w:color="auto" w:sz="4" w:space="0"/>
              <w:left w:val="single" w:color="auto" w:sz="4" w:space="0"/>
              <w:bottom w:val="single" w:color="auto" w:sz="4" w:space="0"/>
              <w:right w:val="single" w:color="auto" w:sz="4" w:space="0"/>
            </w:tcBorders>
            <w:vAlign w:val="center"/>
          </w:tcPr>
          <w:p w14:paraId="5330D73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1批</w:t>
            </w:r>
          </w:p>
        </w:tc>
        <w:tc>
          <w:tcPr>
            <w:tcW w:w="1872" w:type="dxa"/>
            <w:tcBorders>
              <w:top w:val="single" w:color="auto" w:sz="4" w:space="0"/>
              <w:left w:val="single" w:color="auto" w:sz="4" w:space="0"/>
              <w:bottom w:val="single" w:color="auto" w:sz="4" w:space="0"/>
              <w:right w:val="single" w:color="auto" w:sz="4" w:space="0"/>
            </w:tcBorders>
            <w:vAlign w:val="center"/>
          </w:tcPr>
          <w:p w14:paraId="3335F06E">
            <w:pPr>
              <w:widowControl/>
              <w:jc w:val="center"/>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1146</w:t>
            </w:r>
          </w:p>
        </w:tc>
        <w:tc>
          <w:tcPr>
            <w:tcW w:w="699" w:type="dxa"/>
            <w:tcBorders>
              <w:top w:val="single" w:color="auto" w:sz="4" w:space="0"/>
              <w:left w:val="single" w:color="auto" w:sz="4" w:space="0"/>
              <w:bottom w:val="single" w:color="auto" w:sz="4" w:space="0"/>
              <w:right w:val="single" w:color="auto" w:sz="4" w:space="0"/>
            </w:tcBorders>
            <w:vAlign w:val="center"/>
          </w:tcPr>
          <w:p w14:paraId="4A2A13BF">
            <w:pPr>
              <w:jc w:val="left"/>
              <w:rPr>
                <w:rFonts w:hint="eastAsia" w:ascii="宋体" w:hAnsi="宋体" w:eastAsia="宋体" w:cs="宋体"/>
                <w:color w:val="000000" w:themeColor="text1"/>
                <w:szCs w:val="21"/>
                <w:highlight w:val="none"/>
                <w:lang w:eastAsia="zh-CN"/>
                <w14:textFill>
                  <w14:solidFill>
                    <w14:schemeClr w14:val="tx1"/>
                  </w14:solidFill>
                </w14:textFill>
              </w:rPr>
            </w:pPr>
          </w:p>
        </w:tc>
      </w:tr>
      <w:tr w14:paraId="1CDB1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946" w:type="dxa"/>
            <w:tcBorders>
              <w:top w:val="single" w:color="auto" w:sz="4" w:space="0"/>
              <w:left w:val="single" w:color="auto" w:sz="4" w:space="0"/>
              <w:bottom w:val="single" w:color="auto" w:sz="4" w:space="0"/>
              <w:right w:val="single" w:color="auto" w:sz="4" w:space="0"/>
            </w:tcBorders>
            <w:vAlign w:val="center"/>
          </w:tcPr>
          <w:p w14:paraId="3AF851F6">
            <w:pPr>
              <w:jc w:val="center"/>
              <w:rPr>
                <w:rFonts w:hint="eastAsia"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第</w:t>
            </w:r>
            <w:r>
              <w:rPr>
                <w:rFonts w:hint="eastAsia" w:ascii="宋体" w:hAnsi="宋体" w:cs="宋体"/>
                <w:color w:val="000000" w:themeColor="text1"/>
                <w:szCs w:val="21"/>
                <w:highlight w:val="none"/>
                <w:lang w:val="en-US" w:eastAsia="zh-CN" w:bidi="ar"/>
                <w14:textFill>
                  <w14:solidFill>
                    <w14:schemeClr w14:val="tx1"/>
                  </w14:solidFill>
                </w14:textFill>
              </w:rPr>
              <w:t>二</w:t>
            </w:r>
            <w:r>
              <w:rPr>
                <w:rFonts w:hint="eastAsia" w:ascii="宋体" w:hAnsi="宋体" w:cs="宋体"/>
                <w:color w:val="000000" w:themeColor="text1"/>
                <w:szCs w:val="21"/>
                <w:highlight w:val="none"/>
                <w:lang w:bidi="ar"/>
                <w14:textFill>
                  <w14:solidFill>
                    <w14:schemeClr w14:val="tx1"/>
                  </w14:solidFill>
                </w14:textFill>
              </w:rPr>
              <w:t>包</w:t>
            </w:r>
          </w:p>
        </w:tc>
        <w:tc>
          <w:tcPr>
            <w:tcW w:w="4009" w:type="dxa"/>
            <w:tcBorders>
              <w:top w:val="single" w:color="auto" w:sz="4" w:space="0"/>
              <w:left w:val="single" w:color="auto" w:sz="4" w:space="0"/>
              <w:bottom w:val="single" w:color="auto" w:sz="4" w:space="0"/>
              <w:right w:val="single" w:color="auto" w:sz="4" w:space="0"/>
            </w:tcBorders>
            <w:vAlign w:val="center"/>
          </w:tcPr>
          <w:p w14:paraId="5C2748B8">
            <w:pPr>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心电监护仪</w:t>
            </w:r>
            <w:r>
              <w:rPr>
                <w:rFonts w:hint="eastAsia" w:ascii="宋体" w:hAnsi="宋体" w:cs="宋体"/>
                <w:color w:val="000000" w:themeColor="text1"/>
                <w:szCs w:val="21"/>
                <w:highlight w:val="none"/>
                <w:lang w:eastAsia="zh-CN"/>
                <w14:textFill>
                  <w14:solidFill>
                    <w14:schemeClr w14:val="tx1"/>
                  </w14:solidFill>
                </w14:textFill>
              </w:rPr>
              <w:t>、动态心电记录盒、动态血压记录盒</w:t>
            </w:r>
          </w:p>
        </w:tc>
        <w:tc>
          <w:tcPr>
            <w:tcW w:w="1712" w:type="dxa"/>
            <w:tcBorders>
              <w:top w:val="single" w:color="auto" w:sz="4" w:space="0"/>
              <w:left w:val="single" w:color="auto" w:sz="4" w:space="0"/>
              <w:bottom w:val="single" w:color="auto" w:sz="4" w:space="0"/>
              <w:right w:val="single" w:color="auto" w:sz="4" w:space="0"/>
            </w:tcBorders>
            <w:vAlign w:val="center"/>
          </w:tcPr>
          <w:p w14:paraId="193994CF">
            <w:pPr>
              <w:jc w:val="center"/>
              <w:rPr>
                <w:rFonts w:hint="eastAsia"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1批</w:t>
            </w:r>
          </w:p>
        </w:tc>
        <w:tc>
          <w:tcPr>
            <w:tcW w:w="1872" w:type="dxa"/>
            <w:tcBorders>
              <w:top w:val="single" w:color="auto" w:sz="4" w:space="0"/>
              <w:left w:val="single" w:color="auto" w:sz="4" w:space="0"/>
              <w:bottom w:val="single" w:color="auto" w:sz="4" w:space="0"/>
              <w:right w:val="single" w:color="auto" w:sz="4" w:space="0"/>
            </w:tcBorders>
            <w:vAlign w:val="center"/>
          </w:tcPr>
          <w:p w14:paraId="71F345F1">
            <w:pPr>
              <w:widowControl/>
              <w:jc w:val="center"/>
              <w:textAlignment w:val="center"/>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174.4</w:t>
            </w:r>
          </w:p>
        </w:tc>
        <w:tc>
          <w:tcPr>
            <w:tcW w:w="699" w:type="dxa"/>
            <w:tcBorders>
              <w:top w:val="single" w:color="auto" w:sz="4" w:space="0"/>
              <w:left w:val="single" w:color="auto" w:sz="4" w:space="0"/>
              <w:bottom w:val="single" w:color="auto" w:sz="4" w:space="0"/>
              <w:right w:val="single" w:color="auto" w:sz="4" w:space="0"/>
            </w:tcBorders>
            <w:vAlign w:val="center"/>
          </w:tcPr>
          <w:p w14:paraId="5993AE97">
            <w:pPr>
              <w:jc w:val="left"/>
              <w:rPr>
                <w:rFonts w:hint="eastAsia" w:ascii="宋体" w:hAnsi="宋体" w:eastAsia="宋体" w:cs="宋体"/>
                <w:color w:val="000000" w:themeColor="text1"/>
                <w:szCs w:val="21"/>
                <w:highlight w:val="none"/>
                <w:lang w:eastAsia="zh-CN"/>
                <w14:textFill>
                  <w14:solidFill>
                    <w14:schemeClr w14:val="tx1"/>
                  </w14:solidFill>
                </w14:textFill>
              </w:rPr>
            </w:pPr>
          </w:p>
        </w:tc>
      </w:tr>
      <w:tr w14:paraId="22FA0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946" w:type="dxa"/>
            <w:tcBorders>
              <w:top w:val="single" w:color="auto" w:sz="4" w:space="0"/>
              <w:left w:val="single" w:color="auto" w:sz="4" w:space="0"/>
              <w:bottom w:val="single" w:color="auto" w:sz="4" w:space="0"/>
              <w:right w:val="single" w:color="auto" w:sz="4" w:space="0"/>
            </w:tcBorders>
            <w:vAlign w:val="center"/>
          </w:tcPr>
          <w:p w14:paraId="7A58DF71">
            <w:pPr>
              <w:jc w:val="center"/>
              <w:rPr>
                <w:rFonts w:hint="eastAsia"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第</w:t>
            </w:r>
            <w:r>
              <w:rPr>
                <w:rFonts w:hint="eastAsia" w:ascii="宋体" w:hAnsi="宋体" w:cs="宋体"/>
                <w:color w:val="000000" w:themeColor="text1"/>
                <w:szCs w:val="21"/>
                <w:highlight w:val="none"/>
                <w:lang w:val="en-US" w:eastAsia="zh-CN" w:bidi="ar"/>
                <w14:textFill>
                  <w14:solidFill>
                    <w14:schemeClr w14:val="tx1"/>
                  </w14:solidFill>
                </w14:textFill>
              </w:rPr>
              <w:t>三</w:t>
            </w:r>
            <w:r>
              <w:rPr>
                <w:rFonts w:hint="eastAsia" w:ascii="宋体" w:hAnsi="宋体" w:cs="宋体"/>
                <w:color w:val="000000" w:themeColor="text1"/>
                <w:szCs w:val="21"/>
                <w:highlight w:val="none"/>
                <w:lang w:bidi="ar"/>
                <w14:textFill>
                  <w14:solidFill>
                    <w14:schemeClr w14:val="tx1"/>
                  </w14:solidFill>
                </w14:textFill>
              </w:rPr>
              <w:t>包</w:t>
            </w:r>
          </w:p>
        </w:tc>
        <w:tc>
          <w:tcPr>
            <w:tcW w:w="4009" w:type="dxa"/>
            <w:tcBorders>
              <w:top w:val="single" w:color="auto" w:sz="4" w:space="0"/>
              <w:left w:val="single" w:color="auto" w:sz="4" w:space="0"/>
              <w:bottom w:val="single" w:color="auto" w:sz="4" w:space="0"/>
              <w:right w:val="single" w:color="auto" w:sz="4" w:space="0"/>
            </w:tcBorders>
            <w:vAlign w:val="center"/>
          </w:tcPr>
          <w:p w14:paraId="103DBD8B">
            <w:pPr>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超声波清洗机</w:t>
            </w:r>
            <w:r>
              <w:rPr>
                <w:rFonts w:hint="eastAsia" w:ascii="宋体" w:hAnsi="宋体" w:cs="宋体"/>
                <w:color w:val="000000" w:themeColor="text1"/>
                <w:szCs w:val="21"/>
                <w:highlight w:val="none"/>
                <w:lang w:eastAsia="zh-CN"/>
                <w14:textFill>
                  <w14:solidFill>
                    <w14:schemeClr w14:val="tx1"/>
                  </w14:solidFill>
                </w14:textFill>
              </w:rPr>
              <w:t>、热风枪、蒸汽发生器</w:t>
            </w:r>
            <w:r>
              <w:rPr>
                <w:rFonts w:hint="eastAsia" w:ascii="宋体" w:hAnsi="宋体" w:cs="宋体"/>
                <w:color w:val="000000" w:themeColor="text1"/>
                <w:szCs w:val="21"/>
                <w:highlight w:val="none"/>
                <w:lang w:val="en-US" w:eastAsia="zh-CN"/>
                <w14:textFill>
                  <w14:solidFill>
                    <w14:schemeClr w14:val="tx1"/>
                  </w14:solidFill>
                </w14:textFill>
              </w:rPr>
              <w:t>等设备</w:t>
            </w:r>
          </w:p>
        </w:tc>
        <w:tc>
          <w:tcPr>
            <w:tcW w:w="1712" w:type="dxa"/>
            <w:tcBorders>
              <w:top w:val="single" w:color="auto" w:sz="4" w:space="0"/>
              <w:left w:val="single" w:color="auto" w:sz="4" w:space="0"/>
              <w:bottom w:val="single" w:color="auto" w:sz="4" w:space="0"/>
              <w:right w:val="single" w:color="auto" w:sz="4" w:space="0"/>
            </w:tcBorders>
            <w:vAlign w:val="center"/>
          </w:tcPr>
          <w:p w14:paraId="54CCED9F">
            <w:pPr>
              <w:jc w:val="center"/>
              <w:rPr>
                <w:rFonts w:hint="eastAsia"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1批</w:t>
            </w:r>
          </w:p>
        </w:tc>
        <w:tc>
          <w:tcPr>
            <w:tcW w:w="1872" w:type="dxa"/>
            <w:tcBorders>
              <w:top w:val="single" w:color="auto" w:sz="4" w:space="0"/>
              <w:left w:val="single" w:color="auto" w:sz="4" w:space="0"/>
              <w:bottom w:val="single" w:color="auto" w:sz="4" w:space="0"/>
              <w:right w:val="single" w:color="auto" w:sz="4" w:space="0"/>
            </w:tcBorders>
            <w:vAlign w:val="center"/>
          </w:tcPr>
          <w:p w14:paraId="13AB19BE">
            <w:pPr>
              <w:widowControl/>
              <w:jc w:val="center"/>
              <w:textAlignment w:val="center"/>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124.2</w:t>
            </w:r>
          </w:p>
        </w:tc>
        <w:tc>
          <w:tcPr>
            <w:tcW w:w="699" w:type="dxa"/>
            <w:tcBorders>
              <w:top w:val="single" w:color="auto" w:sz="4" w:space="0"/>
              <w:left w:val="single" w:color="auto" w:sz="4" w:space="0"/>
              <w:bottom w:val="single" w:color="auto" w:sz="4" w:space="0"/>
              <w:right w:val="single" w:color="auto" w:sz="4" w:space="0"/>
            </w:tcBorders>
            <w:vAlign w:val="center"/>
          </w:tcPr>
          <w:p w14:paraId="2A34715A">
            <w:pPr>
              <w:jc w:val="left"/>
              <w:rPr>
                <w:rFonts w:hint="eastAsia" w:ascii="宋体" w:hAnsi="宋体" w:eastAsia="宋体" w:cs="宋体"/>
                <w:color w:val="000000" w:themeColor="text1"/>
                <w:szCs w:val="21"/>
                <w:highlight w:val="none"/>
                <w:lang w:eastAsia="zh-CN"/>
                <w14:textFill>
                  <w14:solidFill>
                    <w14:schemeClr w14:val="tx1"/>
                  </w14:solidFill>
                </w14:textFill>
              </w:rPr>
            </w:pPr>
          </w:p>
        </w:tc>
      </w:tr>
      <w:tr w14:paraId="4EE6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667" w:type="dxa"/>
            <w:gridSpan w:val="3"/>
            <w:tcBorders>
              <w:top w:val="single" w:color="auto" w:sz="4" w:space="0"/>
              <w:left w:val="single" w:color="auto" w:sz="4" w:space="0"/>
              <w:bottom w:val="single" w:color="auto" w:sz="4" w:space="0"/>
              <w:right w:val="single" w:color="auto" w:sz="4" w:space="0"/>
            </w:tcBorders>
            <w:vAlign w:val="center"/>
          </w:tcPr>
          <w:p w14:paraId="2086D01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合计</w:t>
            </w:r>
          </w:p>
        </w:tc>
        <w:tc>
          <w:tcPr>
            <w:tcW w:w="1872" w:type="dxa"/>
            <w:tcBorders>
              <w:top w:val="single" w:color="auto" w:sz="4" w:space="0"/>
              <w:left w:val="single" w:color="auto" w:sz="4" w:space="0"/>
              <w:bottom w:val="single" w:color="auto" w:sz="4" w:space="0"/>
              <w:right w:val="single" w:color="auto" w:sz="4" w:space="0"/>
            </w:tcBorders>
            <w:vAlign w:val="center"/>
          </w:tcPr>
          <w:p w14:paraId="52240E28">
            <w:pPr>
              <w:widowControl/>
              <w:jc w:val="center"/>
              <w:textAlignment w:val="center"/>
              <w:rPr>
                <w:rFonts w:hint="default" w:ascii="宋体" w:hAnsi="宋体" w:eastAsia="宋体" w:cs="宋体"/>
                <w:color w:val="000000" w:themeColor="text1"/>
                <w:kern w:val="0"/>
                <w:szCs w:val="21"/>
                <w:highlight w:val="none"/>
                <w:lang w:val="en-US" w:eastAsia="zh-CN" w:bidi="ar"/>
                <w14:textFill>
                  <w14:solidFill>
                    <w14:schemeClr w14:val="tx1"/>
                  </w14:solidFill>
                </w14:textFill>
              </w:rPr>
            </w:pPr>
            <w:r>
              <w:rPr>
                <w:rFonts w:hint="eastAsia" w:ascii="宋体" w:hAnsi="宋体" w:cs="宋体"/>
                <w:color w:val="000000" w:themeColor="text1"/>
                <w:kern w:val="0"/>
                <w:szCs w:val="21"/>
                <w:highlight w:val="none"/>
                <w:lang w:val="en-US" w:eastAsia="zh-CN" w:bidi="ar"/>
                <w14:textFill>
                  <w14:solidFill>
                    <w14:schemeClr w14:val="tx1"/>
                  </w14:solidFill>
                </w14:textFill>
              </w:rPr>
              <w:t>1444.6</w:t>
            </w:r>
          </w:p>
        </w:tc>
        <w:tc>
          <w:tcPr>
            <w:tcW w:w="699" w:type="dxa"/>
            <w:tcBorders>
              <w:top w:val="single" w:color="auto" w:sz="4" w:space="0"/>
              <w:left w:val="single" w:color="auto" w:sz="4" w:space="0"/>
              <w:bottom w:val="single" w:color="auto" w:sz="4" w:space="0"/>
              <w:right w:val="single" w:color="auto" w:sz="4" w:space="0"/>
            </w:tcBorders>
            <w:vAlign w:val="center"/>
          </w:tcPr>
          <w:p w14:paraId="56D11624">
            <w:pPr>
              <w:widowControl/>
              <w:jc w:val="left"/>
              <w:textAlignment w:val="center"/>
              <w:rPr>
                <w:rFonts w:ascii="宋体" w:hAnsi="宋体" w:cs="宋体"/>
                <w:color w:val="000000" w:themeColor="text1"/>
                <w:szCs w:val="21"/>
                <w:highlight w:val="none"/>
                <w14:textFill>
                  <w14:solidFill>
                    <w14:schemeClr w14:val="tx1"/>
                  </w14:solidFill>
                </w14:textFill>
              </w:rPr>
            </w:pPr>
          </w:p>
        </w:tc>
      </w:tr>
    </w:tbl>
    <w:p w14:paraId="417DF12D">
      <w:pPr>
        <w:spacing w:line="360" w:lineRule="auto"/>
        <w:ind w:left="360" w:hanging="360" w:hanging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2、供应商资格要求： </w:t>
      </w:r>
    </w:p>
    <w:p w14:paraId="39E61C6E">
      <w:pPr>
        <w:spacing w:line="360" w:lineRule="auto"/>
        <w:ind w:left="420" w:left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2.1具有独立承担民事责任的能力；</w:t>
      </w:r>
      <w:r>
        <w:rPr>
          <w:rFonts w:hint="eastAsia" w:ascii="宋体" w:hAnsi="宋体" w:cs="宋体"/>
          <w:color w:val="000000" w:themeColor="text1"/>
          <w:sz w:val="24"/>
          <w:szCs w:val="24"/>
          <w:highlight w:val="none"/>
          <w:lang w:bidi="ar"/>
          <w14:textFill>
            <w14:solidFill>
              <w14:schemeClr w14:val="tx1"/>
            </w14:solidFill>
          </w14:textFill>
        </w:rPr>
        <w:tab/>
      </w:r>
    </w:p>
    <w:p w14:paraId="0AD3F232">
      <w:pPr>
        <w:spacing w:line="360" w:lineRule="auto"/>
        <w:ind w:left="420" w:left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2.2具有良好的商业信誉和健全的财务会计制度；</w:t>
      </w:r>
    </w:p>
    <w:p w14:paraId="0D2D6508">
      <w:pPr>
        <w:spacing w:line="360" w:lineRule="auto"/>
        <w:ind w:left="420" w:left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 xml:space="preserve">2.3具有履行合同所必需的设备和专业技术能力； </w:t>
      </w:r>
    </w:p>
    <w:p w14:paraId="6A9F2F83">
      <w:pPr>
        <w:spacing w:line="360" w:lineRule="auto"/>
        <w:ind w:left="420" w:left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2.4有依法缴纳税收和社会保障资金的良好纪录；</w:t>
      </w:r>
    </w:p>
    <w:p w14:paraId="5ABB2F8A">
      <w:pPr>
        <w:spacing w:line="360" w:lineRule="auto"/>
        <w:ind w:left="420" w:leftChars="200"/>
        <w:rPr>
          <w:rFonts w:hint="eastAsia" w:ascii="宋体" w:hAnsi="宋体" w:eastAsia="宋体" w:cs="宋体"/>
          <w:color w:val="000000" w:themeColor="text1"/>
          <w:sz w:val="24"/>
          <w:szCs w:val="24"/>
          <w:highlight w:val="none"/>
          <w:lang w:eastAsia="zh-CN" w:bidi="ar"/>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2.5</w:t>
      </w:r>
      <w:r>
        <w:rPr>
          <w:rFonts w:hint="eastAsia" w:ascii="宋体" w:hAnsi="宋体" w:cs="宋体"/>
          <w:color w:val="000000" w:themeColor="text1"/>
          <w:sz w:val="24"/>
          <w:szCs w:val="24"/>
          <w:highlight w:val="none"/>
          <w:lang w:eastAsia="zh-CN" w:bidi="ar"/>
          <w14:textFill>
            <w14:solidFill>
              <w14:schemeClr w14:val="tx1"/>
            </w14:solidFill>
          </w14:textFill>
        </w:rPr>
        <w:t>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p w14:paraId="47328C2D">
      <w:pPr>
        <w:spacing w:line="360" w:lineRule="auto"/>
        <w:ind w:left="420" w:left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2.6本项目不接受联合体；</w:t>
      </w:r>
    </w:p>
    <w:p w14:paraId="748FD20E">
      <w:pPr>
        <w:spacing w:line="360" w:lineRule="auto"/>
        <w:ind w:left="420" w:leftChars="200"/>
        <w:rPr>
          <w:rFonts w:hint="eastAsia" w:ascii="宋体" w:hAnsi="宋体" w:cs="宋体"/>
          <w:color w:val="000000" w:themeColor="text1"/>
          <w:sz w:val="24"/>
          <w:szCs w:val="24"/>
          <w:highlight w:val="none"/>
          <w:lang w:bidi="ar"/>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w:t>
      </w:r>
      <w:r>
        <w:rPr>
          <w:rFonts w:hint="eastAsia" w:ascii="宋体" w:hAnsi="宋体" w:cs="宋体"/>
          <w:color w:val="000000" w:themeColor="text1"/>
          <w:sz w:val="24"/>
          <w:szCs w:val="24"/>
          <w:highlight w:val="none"/>
          <w:lang w:val="en-US" w:eastAsia="zh-CN" w:bidi="ar"/>
          <w14:textFill>
            <w14:solidFill>
              <w14:schemeClr w14:val="tx1"/>
            </w14:solidFill>
          </w14:textFill>
        </w:rPr>
        <w:t>7</w:t>
      </w:r>
      <w:r>
        <w:rPr>
          <w:rFonts w:hint="eastAsia" w:ascii="宋体" w:hAnsi="宋体" w:cs="宋体"/>
          <w:color w:val="000000" w:themeColor="text1"/>
          <w:sz w:val="24"/>
          <w:szCs w:val="24"/>
          <w:highlight w:val="none"/>
          <w:lang w:bidi="ar"/>
          <w14:textFill>
            <w14:solidFill>
              <w14:schemeClr w14:val="tx1"/>
            </w14:solidFill>
          </w14:textFill>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CB0F8D9">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2.</w:t>
      </w:r>
      <w:r>
        <w:rPr>
          <w:rFonts w:hint="eastAsia" w:ascii="宋体" w:hAnsi="宋体" w:cs="宋体"/>
          <w:color w:val="000000" w:themeColor="text1"/>
          <w:kern w:val="2"/>
          <w:sz w:val="24"/>
          <w:szCs w:val="24"/>
          <w:highlight w:val="none"/>
          <w:lang w:val="en-US" w:eastAsia="zh-CN" w:bidi="ar"/>
          <w14:textFill>
            <w14:solidFill>
              <w14:schemeClr w14:val="tx1"/>
            </w14:solidFill>
          </w14:textFill>
        </w:rPr>
        <w:t>8</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本项目不专门面向中小企业</w:t>
      </w:r>
    </w:p>
    <w:p w14:paraId="2306B031">
      <w:pPr>
        <w:spacing w:line="360" w:lineRule="auto"/>
        <w:ind w:left="420" w:leftChars="200"/>
        <w:rPr>
          <w:rFonts w:ascii="宋体" w:hAnsi="宋体" w:cs="宋体"/>
          <w:color w:val="000000" w:themeColor="text1"/>
          <w:sz w:val="24"/>
          <w:szCs w:val="24"/>
          <w:highlight w:val="none"/>
          <w:lang w:bidi="ar"/>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w:t>
      </w:r>
      <w:r>
        <w:rPr>
          <w:rFonts w:hint="eastAsia" w:ascii="宋体" w:hAnsi="宋体" w:cs="宋体"/>
          <w:color w:val="000000" w:themeColor="text1"/>
          <w:sz w:val="24"/>
          <w:szCs w:val="24"/>
          <w:highlight w:val="none"/>
          <w:lang w:val="en-US" w:eastAsia="zh-CN" w:bidi="ar"/>
          <w14:textFill>
            <w14:solidFill>
              <w14:schemeClr w14:val="tx1"/>
            </w14:solidFill>
          </w14:textFill>
        </w:rPr>
        <w:t>9</w:t>
      </w:r>
      <w:r>
        <w:rPr>
          <w:rFonts w:hint="eastAsia" w:ascii="宋体" w:hAnsi="宋体" w:cs="宋体"/>
          <w:color w:val="000000" w:themeColor="text1"/>
          <w:sz w:val="24"/>
          <w:szCs w:val="24"/>
          <w:highlight w:val="none"/>
          <w:lang w:bidi="ar"/>
          <w14:textFill>
            <w14:solidFill>
              <w14:schemeClr w14:val="tx1"/>
            </w14:solidFill>
          </w14:textFill>
        </w:rPr>
        <w:t>本项目特殊资格要求：</w:t>
      </w:r>
    </w:p>
    <w:p w14:paraId="22F37B1C">
      <w:pPr>
        <w:spacing w:line="360" w:lineRule="auto"/>
        <w:ind w:firstLine="480" w:firstLineChars="200"/>
        <w:rPr>
          <w:rFonts w:hint="eastAsia" w:ascii="宋体" w:hAnsi="宋体" w:eastAsia="宋体" w:cs="Arial"/>
          <w:color w:val="000000"/>
          <w:sz w:val="24"/>
          <w:szCs w:val="24"/>
          <w:highlight w:val="none"/>
        </w:rPr>
      </w:pPr>
      <w:r>
        <w:rPr>
          <w:rFonts w:hint="eastAsia" w:ascii="宋体" w:hAnsi="宋体" w:eastAsia="宋体" w:cs="Arial"/>
          <w:color w:val="000000"/>
          <w:sz w:val="24"/>
          <w:szCs w:val="24"/>
          <w:highlight w:val="none"/>
        </w:rPr>
        <w:t>具有医疗器械经营资格；</w:t>
      </w:r>
    </w:p>
    <w:p w14:paraId="0335849A">
      <w:pPr>
        <w:spacing w:line="360" w:lineRule="auto"/>
        <w:ind w:firstLine="480" w:firstLineChars="200"/>
        <w:rPr>
          <w:rFonts w:hint="eastAsia" w:ascii="宋体" w:hAnsi="宋体" w:eastAsia="宋体" w:cs="Arial"/>
          <w:color w:val="000000"/>
          <w:sz w:val="24"/>
          <w:szCs w:val="24"/>
          <w:highlight w:val="none"/>
        </w:rPr>
      </w:pPr>
      <w:r>
        <w:rPr>
          <w:rFonts w:hint="eastAsia" w:ascii="宋体" w:hAnsi="宋体" w:eastAsia="宋体" w:cs="Arial"/>
          <w:color w:val="000000"/>
          <w:sz w:val="24"/>
          <w:szCs w:val="24"/>
          <w:highlight w:val="none"/>
        </w:rPr>
        <w:t>属于医疗器械管理的产品需根据《医疗器械监督管理条例》（国务院令第650号）有关内容办理医疗器械产品注册或备案。</w:t>
      </w:r>
    </w:p>
    <w:p w14:paraId="36B451A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3、获取招标文件的时间期限、方式：</w:t>
      </w:r>
    </w:p>
    <w:p w14:paraId="6F4B3CBA">
      <w:pPr>
        <w:spacing w:line="360" w:lineRule="auto"/>
        <w:ind w:left="359" w:leftChars="171"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供应商可从</w:t>
      </w:r>
      <w:r>
        <w:rPr>
          <w:rFonts w:hint="eastAsia" w:ascii="宋体" w:hAnsi="宋体" w:cs="宋体"/>
          <w:color w:val="000000" w:themeColor="text1"/>
          <w:sz w:val="24"/>
          <w:szCs w:val="24"/>
          <w:highlight w:val="none"/>
          <w:lang w:eastAsia="zh-CN"/>
          <w14:textFill>
            <w14:solidFill>
              <w14:schemeClr w14:val="tx1"/>
            </w14:solidFill>
          </w14:textFill>
        </w:rPr>
        <w:t>2026年</w:t>
      </w:r>
      <w:r>
        <w:rPr>
          <w:rFonts w:hint="eastAsia" w:ascii="宋体" w:hAnsi="宋体" w:cs="宋体"/>
          <w:color w:val="000000" w:themeColor="text1"/>
          <w:sz w:val="24"/>
          <w:szCs w:val="24"/>
          <w:highlight w:val="none"/>
          <w:lang w:val="en-US" w:eastAsia="zh-CN"/>
          <w14:textFill>
            <w14:solidFill>
              <w14:schemeClr w14:val="tx1"/>
            </w14:solidFill>
          </w14:textFill>
        </w:rPr>
        <w:t>05</w:t>
      </w:r>
      <w:r>
        <w:rPr>
          <w:rFonts w:hint="eastAsia" w:ascii="宋体" w:hAnsi="宋体" w:cs="宋体"/>
          <w:color w:val="000000" w:themeColor="text1"/>
          <w:sz w:val="24"/>
          <w:szCs w:val="24"/>
          <w:highlight w:val="none"/>
          <w:lang w:eastAsia="zh-CN"/>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18</w:t>
      </w:r>
      <w:r>
        <w:rPr>
          <w:rFonts w:hint="eastAsia" w:ascii="宋体" w:hAnsi="宋体" w:cs="宋体"/>
          <w:color w:val="000000" w:themeColor="text1"/>
          <w:sz w:val="24"/>
          <w:szCs w:val="24"/>
          <w:highlight w:val="none"/>
          <w14:textFill>
            <w14:solidFill>
              <w14:schemeClr w14:val="tx1"/>
            </w14:solidFill>
          </w14:textFill>
        </w:rPr>
        <w:t>日至</w:t>
      </w:r>
      <w:r>
        <w:rPr>
          <w:rFonts w:hint="eastAsia" w:ascii="宋体" w:hAnsi="宋体" w:cs="宋体"/>
          <w:color w:val="000000" w:themeColor="text1"/>
          <w:sz w:val="24"/>
          <w:szCs w:val="24"/>
          <w:highlight w:val="none"/>
          <w:lang w:eastAsia="zh-CN"/>
          <w14:textFill>
            <w14:solidFill>
              <w14:schemeClr w14:val="tx1"/>
            </w14:solidFill>
          </w14:textFill>
        </w:rPr>
        <w:t>2026年</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lang w:eastAsia="zh-CN"/>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25</w:t>
      </w:r>
      <w:r>
        <w:rPr>
          <w:rFonts w:hint="eastAsia" w:ascii="宋体" w:hAnsi="宋体" w:cs="宋体"/>
          <w:color w:val="000000" w:themeColor="text1"/>
          <w:sz w:val="24"/>
          <w:szCs w:val="24"/>
          <w:highlight w:val="none"/>
          <w14:textFill>
            <w14:solidFill>
              <w14:schemeClr w14:val="tx1"/>
            </w14:solidFill>
          </w14:textFill>
        </w:rPr>
        <w:t>日，每天上午</w:t>
      </w:r>
      <w:r>
        <w:rPr>
          <w:rFonts w:hint="eastAsia" w:ascii="宋体" w:hAnsi="宋体" w:cs="宋体"/>
          <w:color w:val="000000" w:themeColor="text1"/>
          <w:sz w:val="24"/>
          <w:szCs w:val="24"/>
          <w:highlight w:val="none"/>
          <w:lang w:val="en-US" w:eastAsia="zh-CN"/>
          <w14:textFill>
            <w14:solidFill>
              <w14:schemeClr w14:val="tx1"/>
            </w14:solidFill>
          </w14:textFill>
        </w:rPr>
        <w:t>0</w:t>
      </w:r>
      <w:r>
        <w:rPr>
          <w:rFonts w:hint="eastAsia" w:ascii="宋体" w:hAnsi="宋体" w:cs="宋体"/>
          <w:color w:val="000000" w:themeColor="text1"/>
          <w:sz w:val="24"/>
          <w:szCs w:val="24"/>
          <w:highlight w:val="none"/>
          <w14:textFill>
            <w14:solidFill>
              <w14:schemeClr w14:val="tx1"/>
            </w14:solidFill>
          </w14:textFill>
        </w:rPr>
        <w:t>0:00至14:00，下午14:00至23:59（北京时间），在政采云平台（www.zcygov.cn）在线申请获取招标文件（进入“项目采购”应用，在获取招标文件菜单中选择项目，申请获取招标文件），过期不予受理，法定节假日除外。</w:t>
      </w:r>
    </w:p>
    <w:p w14:paraId="0C0344D9">
      <w:pPr>
        <w:spacing w:line="360" w:lineRule="auto"/>
        <w:ind w:left="360" w:hanging="360" w:hanging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4、公告期限：5个工作日。 </w:t>
      </w:r>
    </w:p>
    <w:p w14:paraId="0DD05B84">
      <w:pPr>
        <w:spacing w:line="360" w:lineRule="auto"/>
        <w:ind w:left="360" w:hanging="360" w:hanging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5、投标截止时间及开标时间：</w:t>
      </w:r>
      <w:r>
        <w:rPr>
          <w:rFonts w:hint="eastAsia" w:ascii="宋体" w:hAnsi="宋体" w:cs="宋体"/>
          <w:color w:val="000000" w:themeColor="text1"/>
          <w:sz w:val="24"/>
          <w:szCs w:val="24"/>
          <w:highlight w:val="none"/>
          <w:lang w:eastAsia="zh-CN"/>
          <w14:textFill>
            <w14:solidFill>
              <w14:schemeClr w14:val="tx1"/>
            </w14:solidFill>
          </w14:textFill>
        </w:rPr>
        <w:t>2026年6月8日10 ：30时</w:t>
      </w:r>
      <w:r>
        <w:rPr>
          <w:rFonts w:hint="eastAsia" w:ascii="宋体" w:hAnsi="宋体" w:cs="宋体"/>
          <w:color w:val="000000" w:themeColor="text1"/>
          <w:sz w:val="24"/>
          <w:szCs w:val="24"/>
          <w:highlight w:val="none"/>
          <w14:textFill>
            <w14:solidFill>
              <w14:schemeClr w14:val="tx1"/>
            </w14:solidFill>
          </w14:textFill>
        </w:rPr>
        <w:t>（北京时间）</w:t>
      </w:r>
    </w:p>
    <w:p w14:paraId="7CB5D69F">
      <w:pPr>
        <w:pStyle w:val="50"/>
        <w:ind w:firstLine="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6、开标地点：政采云线上（www.zcygov.cn）</w:t>
      </w:r>
    </w:p>
    <w:p w14:paraId="23EBDBC4">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7、评标地址：</w:t>
      </w:r>
      <w:r>
        <w:rPr>
          <w:rFonts w:hint="eastAsia" w:ascii="宋体" w:hAnsi="宋体" w:cs="宋体"/>
          <w:color w:val="000000" w:themeColor="text1"/>
          <w:sz w:val="24"/>
          <w:highlight w:val="none"/>
          <w14:textFill>
            <w14:solidFill>
              <w14:schemeClr w14:val="tx1"/>
            </w14:solidFill>
          </w14:textFill>
        </w:rPr>
        <w:t>洛浦县政务服务和资源交易中心（洛浦县北京工业园区北园区振兴路10号）</w:t>
      </w:r>
    </w:p>
    <w:p w14:paraId="541A2C08">
      <w:pPr>
        <w:spacing w:line="360" w:lineRule="auto"/>
        <w:ind w:left="315" w:hanging="315" w:hangingChars="150"/>
        <w:rPr>
          <w:rFonts w:ascii="宋体" w:hAnsi="宋体" w:cs="宋体"/>
          <w:color w:val="000000" w:themeColor="text1"/>
          <w:highlight w:val="none"/>
          <w:u w:val="thick"/>
          <w14:textFill>
            <w14:solidFill>
              <w14:schemeClr w14:val="tx1"/>
            </w14:solidFill>
          </w14:textFill>
        </w:rPr>
      </w:pPr>
      <w:r>
        <w:rPr>
          <w:rFonts w:hint="eastAsia" w:ascii="宋体" w:hAnsi="宋体" w:cs="宋体"/>
          <w:color w:val="000000" w:themeColor="text1"/>
          <w:highlight w:val="none"/>
          <w:u w:val="thick"/>
          <w14:textFill>
            <w14:solidFill>
              <w14:schemeClr w14:val="tx1"/>
            </w14:solidFill>
          </w14:textFill>
        </w:rPr>
        <w:t xml:space="preserve">                                                                              </w:t>
      </w:r>
    </w:p>
    <w:p w14:paraId="11E9070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采购人：洛浦县人民医院</w:t>
      </w:r>
    </w:p>
    <w:p w14:paraId="2AF51EF3">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地址：洛浦县双拥路66号</w:t>
      </w:r>
    </w:p>
    <w:p w14:paraId="415DDEEE">
      <w:pPr>
        <w:spacing w:line="360" w:lineRule="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lang w:val="en-US" w:eastAsia="zh-CN"/>
          <w14:textFill>
            <w14:solidFill>
              <w14:schemeClr w14:val="tx1"/>
            </w14:solidFill>
          </w14:textFill>
        </w:rPr>
        <w:t>熊女士</w:t>
      </w:r>
    </w:p>
    <w:p w14:paraId="40E38555">
      <w:pPr>
        <w:spacing w:line="360" w:lineRule="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联系方式：</w:t>
      </w:r>
      <w:r>
        <w:rPr>
          <w:rFonts w:hint="eastAsia" w:ascii="宋体" w:hAnsi="宋体" w:cs="宋体"/>
          <w:color w:val="000000" w:themeColor="text1"/>
          <w:sz w:val="24"/>
          <w:highlight w:val="none"/>
          <w:lang w:val="en-US" w:eastAsia="zh-CN"/>
          <w14:textFill>
            <w14:solidFill>
              <w14:schemeClr w14:val="tx1"/>
            </w14:solidFill>
          </w14:textFill>
        </w:rPr>
        <w:t>15292818005</w:t>
      </w:r>
    </w:p>
    <w:p w14:paraId="195E782A">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采购代理机构名称：</w:t>
      </w:r>
      <w:r>
        <w:rPr>
          <w:rFonts w:hint="eastAsia" w:ascii="宋体" w:hAnsi="宋体" w:cs="宋体"/>
          <w:color w:val="000000" w:themeColor="text1"/>
          <w:sz w:val="24"/>
          <w:highlight w:val="none"/>
          <w:u w:val="none"/>
          <w14:textFill>
            <w14:solidFill>
              <w14:schemeClr w14:val="tx1"/>
            </w14:solidFill>
          </w14:textFill>
        </w:rPr>
        <w:t>新疆招标有限公司</w:t>
      </w:r>
    </w:p>
    <w:p w14:paraId="6A782B5D">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详细地址：新疆乌鲁木齐市昆仑东街789号金融大厦11楼</w:t>
      </w:r>
    </w:p>
    <w:p w14:paraId="76553F04">
      <w:pPr>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电子信箱：</w:t>
      </w:r>
      <w:r>
        <w:rPr>
          <w:rFonts w:hint="eastAsia" w:ascii="宋体" w:hAnsi="宋体" w:cs="宋体"/>
          <w:color w:val="000000" w:themeColor="text1"/>
          <w:sz w:val="24"/>
          <w:highlight w:val="none"/>
          <w:lang w:eastAsia="zh-CN"/>
          <w14:textFill>
            <w14:solidFill>
              <w14:schemeClr w14:val="tx1"/>
            </w14:solidFill>
          </w14:textFill>
        </w:rPr>
        <w:t>1376153062@qq.com</w:t>
      </w:r>
    </w:p>
    <w:p w14:paraId="12EB73A6">
      <w:pPr>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 系 人：</w:t>
      </w:r>
      <w:r>
        <w:rPr>
          <w:rFonts w:hint="eastAsia" w:ascii="宋体" w:hAnsi="宋体" w:cs="宋体"/>
          <w:color w:val="000000" w:themeColor="text1"/>
          <w:sz w:val="24"/>
          <w:highlight w:val="none"/>
          <w:lang w:eastAsia="zh-CN"/>
          <w14:textFill>
            <w14:solidFill>
              <w14:schemeClr w14:val="tx1"/>
            </w14:solidFill>
          </w14:textFill>
        </w:rPr>
        <w:t>许瑞、王巧钰</w:t>
      </w:r>
    </w:p>
    <w:p w14:paraId="231490BA">
      <w:pPr>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    话：</w:t>
      </w:r>
      <w:r>
        <w:rPr>
          <w:rFonts w:hint="eastAsia" w:ascii="宋体" w:hAnsi="宋体" w:cs="宋体"/>
          <w:color w:val="000000" w:themeColor="text1"/>
          <w:sz w:val="24"/>
          <w:highlight w:val="none"/>
          <w:lang w:eastAsia="zh-CN"/>
          <w14:textFill>
            <w14:solidFill>
              <w14:schemeClr w14:val="tx1"/>
            </w14:solidFill>
          </w14:textFill>
        </w:rPr>
        <w:t>15899145435、13609989033</w:t>
      </w:r>
    </w:p>
    <w:p w14:paraId="26C19ED4">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政府采购监督管理部门：洛浦县政府采购管理办公室 </w:t>
      </w:r>
    </w:p>
    <w:p w14:paraId="234B95F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联系人：孙先生</w:t>
      </w:r>
    </w:p>
    <w:p w14:paraId="3447C116">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联系电话：0903-6622186</w:t>
      </w:r>
    </w:p>
    <w:p w14:paraId="0E92A989">
      <w:pPr>
        <w:pStyle w:val="33"/>
        <w:rPr>
          <w:rFonts w:ascii="宋体" w:hAnsi="宋体" w:cs="宋体"/>
          <w:color w:val="000000" w:themeColor="text1"/>
          <w:highlight w:val="none"/>
          <w14:textFill>
            <w14:solidFill>
              <w14:schemeClr w14:val="tx1"/>
            </w14:solidFill>
          </w14:textFill>
        </w:rPr>
      </w:pPr>
    </w:p>
    <w:p w14:paraId="099EAD8E">
      <w:pPr>
        <w:pStyle w:val="3"/>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bookmarkStart w:id="10" w:name="_Toc22708"/>
      <w:r>
        <w:rPr>
          <w:rFonts w:hint="eastAsia" w:ascii="宋体" w:hAnsi="宋体" w:cs="宋体"/>
          <w:color w:val="000000" w:themeColor="text1"/>
          <w:highlight w:val="none"/>
          <w14:textFill>
            <w14:solidFill>
              <w14:schemeClr w14:val="tx1"/>
            </w14:solidFill>
          </w14:textFill>
        </w:rPr>
        <w:t>第二部分 供应商须知</w:t>
      </w:r>
      <w:bookmarkEnd w:id="5"/>
      <w:bookmarkEnd w:id="6"/>
      <w:bookmarkEnd w:id="7"/>
      <w:bookmarkEnd w:id="8"/>
      <w:bookmarkEnd w:id="9"/>
      <w:bookmarkEnd w:id="10"/>
    </w:p>
    <w:p w14:paraId="6535F769">
      <w:pPr>
        <w:spacing w:line="400" w:lineRule="atLeas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目    录</w:t>
      </w:r>
    </w:p>
    <w:p w14:paraId="2ACD35B0">
      <w:pPr>
        <w:pStyle w:val="44"/>
        <w:numPr>
          <w:ilvl w:val="0"/>
          <w:numId w:val="51"/>
        </w:numPr>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说明</w:t>
      </w:r>
    </w:p>
    <w:p w14:paraId="7F65B9E6">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1.适用范围</w:t>
      </w:r>
    </w:p>
    <w:p w14:paraId="46DF6D63">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2.定义</w:t>
      </w:r>
    </w:p>
    <w:p w14:paraId="6D291BBA">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3.合格的供应商</w:t>
      </w:r>
    </w:p>
    <w:p w14:paraId="3B65496F">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4.供应商资格</w:t>
      </w:r>
    </w:p>
    <w:p w14:paraId="42316C83">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5.投标费用</w:t>
      </w:r>
    </w:p>
    <w:p w14:paraId="2BABAFDF">
      <w:pPr>
        <w:pStyle w:val="44"/>
        <w:numPr>
          <w:ilvl w:val="0"/>
          <w:numId w:val="51"/>
        </w:numPr>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招标文件</w:t>
      </w:r>
    </w:p>
    <w:p w14:paraId="60EFE023">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6.招标文件构成</w:t>
      </w:r>
    </w:p>
    <w:p w14:paraId="06A2C0DC">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7.招标文件澄清</w:t>
      </w:r>
    </w:p>
    <w:p w14:paraId="79EC7688">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8.招标文件的修改</w:t>
      </w:r>
    </w:p>
    <w:p w14:paraId="7C4D1F63">
      <w:pPr>
        <w:pStyle w:val="44"/>
        <w:numPr>
          <w:ilvl w:val="0"/>
          <w:numId w:val="51"/>
        </w:numPr>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投标文件的编写</w:t>
      </w:r>
    </w:p>
    <w:p w14:paraId="698CD6FE">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9.要求</w:t>
      </w:r>
    </w:p>
    <w:p w14:paraId="0876F3AC">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10.投标语言</w:t>
      </w:r>
    </w:p>
    <w:p w14:paraId="0641FEF1">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11.投标文件的构成</w:t>
      </w:r>
    </w:p>
    <w:p w14:paraId="6A9FC179">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12.投标文件格式</w:t>
      </w:r>
    </w:p>
    <w:p w14:paraId="76AB6BA2">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13.投标报价</w:t>
      </w:r>
    </w:p>
    <w:p w14:paraId="57E25F1D">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14.投标货币</w:t>
      </w:r>
    </w:p>
    <w:p w14:paraId="1F9F30C2">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15.供应商资格的证明文件</w:t>
      </w:r>
    </w:p>
    <w:p w14:paraId="52537FAE">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16.投标货物符合招标文件规定的技术响应文件</w:t>
      </w:r>
    </w:p>
    <w:p w14:paraId="46AEEC87">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17.投标有效期</w:t>
      </w:r>
    </w:p>
    <w:p w14:paraId="7830EA59">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18.投标文件的书写要求</w:t>
      </w:r>
    </w:p>
    <w:p w14:paraId="411C0D8F">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19.投标保证金</w:t>
      </w:r>
    </w:p>
    <w:p w14:paraId="53A3460E">
      <w:pPr>
        <w:pStyle w:val="44"/>
        <w:numPr>
          <w:ilvl w:val="0"/>
          <w:numId w:val="51"/>
        </w:numPr>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投标文件的递交</w:t>
      </w:r>
    </w:p>
    <w:p w14:paraId="768D88C1">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20.投标文件的密封与标记</w:t>
      </w:r>
    </w:p>
    <w:p w14:paraId="795351D9">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21.投标截止时间</w:t>
      </w:r>
    </w:p>
    <w:p w14:paraId="73B3FEFC">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22.投标文件的修改和撤销</w:t>
      </w:r>
    </w:p>
    <w:p w14:paraId="6CA4F7BF">
      <w:pPr>
        <w:pStyle w:val="44"/>
        <w:numPr>
          <w:ilvl w:val="0"/>
          <w:numId w:val="51"/>
        </w:numPr>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评标程序</w:t>
      </w:r>
    </w:p>
    <w:p w14:paraId="1FC5D370">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23.开标</w:t>
      </w:r>
    </w:p>
    <w:p w14:paraId="0E427E7F">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24.评标过程</w:t>
      </w:r>
    </w:p>
    <w:p w14:paraId="2C7E15FE">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25.投标文件的澄清</w:t>
      </w:r>
    </w:p>
    <w:p w14:paraId="12B88DD0">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26.对投标文件的评标</w:t>
      </w:r>
    </w:p>
    <w:p w14:paraId="2B3D9A9F">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27.评标过程的保密性</w:t>
      </w:r>
    </w:p>
    <w:p w14:paraId="4F70EE50">
      <w:pPr>
        <w:pStyle w:val="44"/>
        <w:numPr>
          <w:ilvl w:val="0"/>
          <w:numId w:val="51"/>
        </w:numPr>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授予合同</w:t>
      </w:r>
    </w:p>
    <w:p w14:paraId="0A31362D">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28.合同授予标准</w:t>
      </w:r>
    </w:p>
    <w:p w14:paraId="078CDAB4">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29.接受和拒绝任何或所有投标的权力</w:t>
      </w:r>
    </w:p>
    <w:p w14:paraId="2A367E00">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30.中标通知书</w:t>
      </w:r>
    </w:p>
    <w:p w14:paraId="4F127B72">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31.签订合同</w:t>
      </w:r>
    </w:p>
    <w:p w14:paraId="51DCAE2C">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32.履约保证金（如适用）</w:t>
      </w:r>
    </w:p>
    <w:p w14:paraId="603AC566">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33.招标代理标服务费</w:t>
      </w:r>
    </w:p>
    <w:p w14:paraId="00190D98">
      <w:pPr>
        <w:pStyle w:val="44"/>
        <w:numPr>
          <w:ilvl w:val="0"/>
          <w:numId w:val="51"/>
        </w:numPr>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招标失败条件</w:t>
      </w:r>
    </w:p>
    <w:p w14:paraId="6FFDB0F4">
      <w:pPr>
        <w:pStyle w:val="4"/>
        <w:rPr>
          <w:rFonts w:ascii="宋体" w:hAnsi="宋体" w:cs="宋体"/>
          <w:color w:val="000000" w:themeColor="text1"/>
          <w:sz w:val="28"/>
          <w:szCs w:val="28"/>
          <w:highlight w:val="none"/>
          <w14:textFill>
            <w14:solidFill>
              <w14:schemeClr w14:val="tx1"/>
            </w14:solidFill>
          </w14:textFill>
        </w:rPr>
      </w:pPr>
      <w:r>
        <w:rPr>
          <w:rFonts w:hint="eastAsia" w:ascii="宋体" w:hAnsi="宋体" w:cs="宋体"/>
          <w:b w:val="0"/>
          <w:color w:val="000000" w:themeColor="text1"/>
          <w:sz w:val="24"/>
          <w:highlight w:val="none"/>
          <w14:textFill>
            <w14:solidFill>
              <w14:schemeClr w14:val="tx1"/>
            </w14:solidFill>
          </w14:textFill>
        </w:rPr>
        <w:br w:type="page"/>
      </w:r>
      <w:bookmarkStart w:id="11" w:name="_Toc9987"/>
      <w:bookmarkStart w:id="12" w:name="_Toc533096039"/>
      <w:bookmarkStart w:id="13" w:name="_Toc349637919"/>
      <w:bookmarkStart w:id="14" w:name="_Toc349573120"/>
      <w:bookmarkStart w:id="15" w:name="_Toc267301281"/>
      <w:bookmarkStart w:id="16" w:name="_Toc298240404"/>
      <w:r>
        <w:rPr>
          <w:rFonts w:hint="eastAsia" w:ascii="宋体" w:hAnsi="宋体" w:cs="宋体"/>
          <w:color w:val="000000" w:themeColor="text1"/>
          <w:sz w:val="28"/>
          <w:szCs w:val="28"/>
          <w:highlight w:val="none"/>
          <w14:textFill>
            <w14:solidFill>
              <w14:schemeClr w14:val="tx1"/>
            </w14:solidFill>
          </w14:textFill>
        </w:rPr>
        <w:t>供应商须知附表</w:t>
      </w:r>
      <w:bookmarkEnd w:id="11"/>
      <w:bookmarkEnd w:id="12"/>
      <w:bookmarkEnd w:id="13"/>
      <w:bookmarkEnd w:id="14"/>
      <w:bookmarkEnd w:id="15"/>
      <w:bookmarkEnd w:id="16"/>
    </w:p>
    <w:tbl>
      <w:tblPr>
        <w:tblStyle w:val="87"/>
        <w:tblW w:w="1043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3"/>
        <w:gridCol w:w="9628"/>
      </w:tblGrid>
      <w:tr w14:paraId="5ABCF9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3" w:type="dxa"/>
            <w:tcBorders>
              <w:top w:val="single" w:color="auto" w:sz="4" w:space="0"/>
              <w:left w:val="single" w:color="auto" w:sz="4" w:space="0"/>
              <w:bottom w:val="single" w:color="auto" w:sz="4" w:space="0"/>
              <w:right w:val="single" w:color="auto" w:sz="4" w:space="0"/>
            </w:tcBorders>
            <w:vAlign w:val="center"/>
          </w:tcPr>
          <w:p w14:paraId="25F7F6F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序号</w:t>
            </w:r>
          </w:p>
        </w:tc>
        <w:tc>
          <w:tcPr>
            <w:tcW w:w="9628" w:type="dxa"/>
            <w:tcBorders>
              <w:top w:val="single" w:color="auto" w:sz="4" w:space="0"/>
              <w:left w:val="single" w:color="auto" w:sz="4" w:space="0"/>
              <w:bottom w:val="single" w:color="auto" w:sz="4" w:space="0"/>
              <w:right w:val="single" w:color="auto" w:sz="4" w:space="0"/>
            </w:tcBorders>
            <w:vAlign w:val="center"/>
          </w:tcPr>
          <w:p w14:paraId="623AC36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内      容</w:t>
            </w:r>
          </w:p>
        </w:tc>
      </w:tr>
      <w:tr w14:paraId="537CEB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31" w:type="dxa"/>
            <w:gridSpan w:val="2"/>
            <w:tcBorders>
              <w:top w:val="single" w:color="auto" w:sz="4" w:space="0"/>
              <w:left w:val="single" w:color="auto" w:sz="4" w:space="0"/>
              <w:bottom w:val="single" w:color="auto" w:sz="4" w:space="0"/>
              <w:right w:val="single" w:color="auto" w:sz="4" w:space="0"/>
            </w:tcBorders>
            <w:vAlign w:val="center"/>
          </w:tcPr>
          <w:p w14:paraId="227FA666">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说          明</w:t>
            </w:r>
          </w:p>
        </w:tc>
      </w:tr>
      <w:tr w14:paraId="1148F7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03" w:type="dxa"/>
            <w:tcBorders>
              <w:top w:val="single" w:color="auto" w:sz="4" w:space="0"/>
              <w:left w:val="single" w:color="auto" w:sz="4" w:space="0"/>
              <w:bottom w:val="single" w:color="auto" w:sz="4" w:space="0"/>
              <w:right w:val="single" w:color="auto" w:sz="4" w:space="0"/>
            </w:tcBorders>
            <w:vAlign w:val="center"/>
          </w:tcPr>
          <w:p w14:paraId="0B3E14E0">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9628" w:type="dxa"/>
            <w:tcBorders>
              <w:top w:val="single" w:color="auto" w:sz="4" w:space="0"/>
              <w:left w:val="single" w:color="auto" w:sz="4" w:space="0"/>
              <w:bottom w:val="single" w:color="auto" w:sz="4" w:space="0"/>
              <w:right w:val="single" w:color="auto" w:sz="4" w:space="0"/>
            </w:tcBorders>
            <w:vAlign w:val="center"/>
          </w:tcPr>
          <w:p w14:paraId="637BABF0">
            <w:pP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项目名称：</w:t>
            </w:r>
            <w:r>
              <w:rPr>
                <w:rFonts w:hint="eastAsia" w:ascii="宋体" w:hAnsi="宋体" w:cs="宋体"/>
                <w:color w:val="000000" w:themeColor="text1"/>
                <w:sz w:val="24"/>
                <w:highlight w:val="none"/>
                <w:lang w:eastAsia="zh-CN"/>
                <w14:textFill>
                  <w14:solidFill>
                    <w14:schemeClr w14:val="tx1"/>
                  </w14:solidFill>
                </w14:textFill>
              </w:rPr>
              <w:t>和田地区洛浦县县域医共体资源共享中心强化提升建设项目（综合中心设备）</w:t>
            </w:r>
          </w:p>
          <w:p w14:paraId="523F2714">
            <w:pP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项目编号：</w:t>
            </w:r>
            <w:r>
              <w:rPr>
                <w:rFonts w:hint="eastAsia" w:ascii="宋体" w:hAnsi="宋体" w:cs="宋体"/>
                <w:color w:val="000000" w:themeColor="text1"/>
                <w:sz w:val="24"/>
                <w:szCs w:val="24"/>
                <w:highlight w:val="none"/>
                <w:lang w:eastAsia="zh-CN"/>
                <w14:textFill>
                  <w14:solidFill>
                    <w14:schemeClr w14:val="tx1"/>
                  </w14:solidFill>
                </w14:textFill>
              </w:rPr>
              <w:t>0634-264XZHTZH011</w:t>
            </w:r>
          </w:p>
        </w:tc>
      </w:tr>
      <w:tr w14:paraId="440588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803" w:type="dxa"/>
            <w:tcBorders>
              <w:top w:val="single" w:color="auto" w:sz="4" w:space="0"/>
              <w:left w:val="single" w:color="auto" w:sz="4" w:space="0"/>
              <w:bottom w:val="single" w:color="auto" w:sz="4" w:space="0"/>
              <w:right w:val="single" w:color="auto" w:sz="4" w:space="0"/>
            </w:tcBorders>
            <w:vAlign w:val="center"/>
          </w:tcPr>
          <w:p w14:paraId="5E2A6B0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p>
        </w:tc>
        <w:tc>
          <w:tcPr>
            <w:tcW w:w="9628" w:type="dxa"/>
            <w:tcBorders>
              <w:top w:val="single" w:color="auto" w:sz="4" w:space="0"/>
              <w:left w:val="single" w:color="auto" w:sz="4" w:space="0"/>
              <w:bottom w:val="single" w:color="auto" w:sz="4" w:space="0"/>
              <w:right w:val="single" w:color="auto" w:sz="4" w:space="0"/>
            </w:tcBorders>
            <w:vAlign w:val="center"/>
          </w:tcPr>
          <w:p w14:paraId="0072E5BF">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采购人名称：洛浦县人民医院</w:t>
            </w:r>
          </w:p>
        </w:tc>
      </w:tr>
      <w:tr w14:paraId="5B44F9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3" w:type="dxa"/>
            <w:tcBorders>
              <w:top w:val="single" w:color="auto" w:sz="4" w:space="0"/>
              <w:left w:val="single" w:color="auto" w:sz="4" w:space="0"/>
              <w:bottom w:val="single" w:color="auto" w:sz="4" w:space="0"/>
              <w:right w:val="single" w:color="auto" w:sz="4" w:space="0"/>
            </w:tcBorders>
            <w:vAlign w:val="center"/>
          </w:tcPr>
          <w:p w14:paraId="77DBDC2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9628" w:type="dxa"/>
            <w:tcBorders>
              <w:top w:val="single" w:color="auto" w:sz="4" w:space="0"/>
              <w:left w:val="single" w:color="auto" w:sz="4" w:space="0"/>
              <w:bottom w:val="single" w:color="auto" w:sz="4" w:space="0"/>
              <w:right w:val="single" w:color="auto" w:sz="4" w:space="0"/>
            </w:tcBorders>
            <w:vAlign w:val="center"/>
          </w:tcPr>
          <w:p w14:paraId="059CC678">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采购代理机构：新疆招标有限公司</w:t>
            </w:r>
          </w:p>
          <w:p w14:paraId="1361E388">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单位地址：新疆乌鲁木齐市水磨沟区昆仑东街789号金融大厦11楼</w:t>
            </w:r>
          </w:p>
          <w:p w14:paraId="0FF1E360">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邮编：830000</w:t>
            </w:r>
          </w:p>
          <w:p w14:paraId="5A248984">
            <w:pPr>
              <w:pStyle w:val="50"/>
              <w:ind w:firstLine="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电话：</w:t>
            </w:r>
            <w:r>
              <w:rPr>
                <w:rFonts w:hint="eastAsia" w:cs="宋体"/>
                <w:color w:val="000000" w:themeColor="text1"/>
                <w:sz w:val="24"/>
                <w:highlight w:val="none"/>
                <w:lang w:eastAsia="zh-CN"/>
                <w14:textFill>
                  <w14:solidFill>
                    <w14:schemeClr w14:val="tx1"/>
                  </w14:solidFill>
                </w14:textFill>
              </w:rPr>
              <w:t>15899145435、13609989033</w:t>
            </w:r>
          </w:p>
        </w:tc>
      </w:tr>
      <w:tr w14:paraId="5DA2C2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3" w:type="dxa"/>
            <w:tcBorders>
              <w:top w:val="single" w:color="auto" w:sz="4" w:space="0"/>
              <w:left w:val="single" w:color="auto" w:sz="4" w:space="0"/>
              <w:bottom w:val="single" w:color="auto" w:sz="4" w:space="0"/>
              <w:right w:val="single" w:color="auto" w:sz="4" w:space="0"/>
            </w:tcBorders>
            <w:vAlign w:val="center"/>
          </w:tcPr>
          <w:p w14:paraId="31D131BA">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p>
        </w:tc>
        <w:tc>
          <w:tcPr>
            <w:tcW w:w="9628" w:type="dxa"/>
            <w:tcBorders>
              <w:top w:val="single" w:color="auto" w:sz="4" w:space="0"/>
              <w:left w:val="single" w:color="auto" w:sz="4" w:space="0"/>
              <w:bottom w:val="single" w:color="auto" w:sz="4" w:space="0"/>
              <w:right w:val="single" w:color="auto" w:sz="4" w:space="0"/>
            </w:tcBorders>
            <w:vAlign w:val="center"/>
          </w:tcPr>
          <w:p w14:paraId="08FD760D">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投标保证金：</w:t>
            </w:r>
          </w:p>
          <w:tbl>
            <w:tblPr>
              <w:tblStyle w:val="87"/>
              <w:tblW w:w="7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0"/>
            </w:tblGrid>
            <w:tr w14:paraId="7BE3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20" w:type="dxa"/>
                  <w:shd w:val="clear" w:color="auto" w:fill="auto"/>
                  <w:noWrap/>
                  <w:vAlign w:val="center"/>
                </w:tcPr>
                <w:p w14:paraId="7E324D00">
                  <w:pPr>
                    <w:widowControl/>
                    <w:jc w:val="left"/>
                    <w:textAlignment w:val="center"/>
                    <w:rPr>
                      <w:rFonts w:hint="eastAsia" w:ascii="宋体" w:hAnsi="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第</w:t>
                  </w:r>
                  <w:r>
                    <w:rPr>
                      <w:rFonts w:hint="eastAsia" w:ascii="宋体" w:hAnsi="宋体" w:cs="宋体"/>
                      <w:color w:val="000000" w:themeColor="text1"/>
                      <w:kern w:val="0"/>
                      <w:sz w:val="22"/>
                      <w:szCs w:val="22"/>
                      <w:highlight w:val="none"/>
                      <w:lang w:val="en-US" w:eastAsia="zh-CN" w:bidi="ar"/>
                      <w14:textFill>
                        <w14:solidFill>
                          <w14:schemeClr w14:val="tx1"/>
                        </w14:solidFill>
                      </w14:textFill>
                    </w:rPr>
                    <w:t>一</w:t>
                  </w:r>
                  <w:r>
                    <w:rPr>
                      <w:rFonts w:hint="eastAsia" w:ascii="宋体" w:hAnsi="宋体" w:cs="宋体"/>
                      <w:color w:val="000000" w:themeColor="text1"/>
                      <w:kern w:val="0"/>
                      <w:sz w:val="22"/>
                      <w:szCs w:val="22"/>
                      <w:highlight w:val="none"/>
                      <w:lang w:bidi="ar"/>
                      <w14:textFill>
                        <w14:solidFill>
                          <w14:schemeClr w14:val="tx1"/>
                        </w14:solidFill>
                      </w14:textFill>
                    </w:rPr>
                    <w:t>包：</w:t>
                  </w:r>
                  <w:r>
                    <w:rPr>
                      <w:rFonts w:hint="eastAsia" w:ascii="宋体" w:hAnsi="宋体" w:cs="宋体"/>
                      <w:color w:val="000000" w:themeColor="text1"/>
                      <w:kern w:val="0"/>
                      <w:sz w:val="22"/>
                      <w:szCs w:val="22"/>
                      <w:highlight w:val="none"/>
                      <w:lang w:val="en-US" w:eastAsia="zh-CN" w:bidi="ar"/>
                      <w14:textFill>
                        <w14:solidFill>
                          <w14:schemeClr w14:val="tx1"/>
                        </w14:solidFill>
                      </w14:textFill>
                    </w:rPr>
                    <w:t>11万元</w:t>
                  </w:r>
                </w:p>
                <w:p w14:paraId="4068136F">
                  <w:pPr>
                    <w:pStyle w:val="150"/>
                    <w:jc w:val="both"/>
                    <w:rPr>
                      <w:rFonts w:hint="eastAsia" w:ascii="宋体" w:hAnsi="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cs="宋体"/>
                      <w:color w:val="000000" w:themeColor="text1"/>
                      <w:kern w:val="0"/>
                      <w:sz w:val="22"/>
                      <w:szCs w:val="22"/>
                      <w:highlight w:val="none"/>
                      <w:lang w:val="en-US" w:eastAsia="zh-CN" w:bidi="ar"/>
                      <w14:textFill>
                        <w14:solidFill>
                          <w14:schemeClr w14:val="tx1"/>
                        </w14:solidFill>
                      </w14:textFill>
                    </w:rPr>
                    <w:t>第二包：1.7万元</w:t>
                  </w:r>
                </w:p>
                <w:p w14:paraId="7882BA8C">
                  <w:pPr>
                    <w:pStyle w:val="150"/>
                    <w:jc w:val="both"/>
                    <w:rPr>
                      <w:rFonts w:hint="default" w:ascii="宋体" w:hAnsi="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cs="宋体"/>
                      <w:color w:val="000000" w:themeColor="text1"/>
                      <w:kern w:val="0"/>
                      <w:sz w:val="22"/>
                      <w:szCs w:val="22"/>
                      <w:highlight w:val="none"/>
                      <w:lang w:val="en-US" w:eastAsia="zh-CN" w:bidi="ar"/>
                      <w14:textFill>
                        <w14:solidFill>
                          <w14:schemeClr w14:val="tx1"/>
                        </w14:solidFill>
                      </w14:textFill>
                    </w:rPr>
                    <w:t>第三包：1.2万元</w:t>
                  </w:r>
                </w:p>
              </w:tc>
            </w:tr>
          </w:tbl>
          <w:p w14:paraId="30ABC61E">
            <w:pP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投标保证金形式：</w:t>
            </w:r>
            <w:r>
              <w:rPr>
                <w:rFonts w:hint="eastAsia" w:ascii="宋体" w:hAnsi="宋体" w:cs="宋体"/>
                <w:color w:val="000000" w:themeColor="text1"/>
                <w:sz w:val="24"/>
                <w:szCs w:val="24"/>
                <w:highlight w:val="none"/>
                <w14:textFill>
                  <w14:solidFill>
                    <w14:schemeClr w14:val="tx1"/>
                  </w14:solidFill>
                </w14:textFill>
              </w:rPr>
              <w:t>以支票、汇票、本票或者金融机构、担保机构出具的保函等非现金形式提交；投标保证金有效期与投标有效期一致。</w:t>
            </w:r>
          </w:p>
          <w:p w14:paraId="732F8FD2">
            <w:pPr>
              <w:pStyle w:val="33"/>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收</w:t>
            </w:r>
            <w:r>
              <w:rPr>
                <w:rFonts w:ascii="宋体" w:hAnsi="宋体" w:cs="宋体"/>
                <w:color w:val="000000" w:themeColor="text1"/>
                <w:szCs w:val="24"/>
                <w:highlight w:val="none"/>
                <w14:textFill>
                  <w14:solidFill>
                    <w14:schemeClr w14:val="tx1"/>
                  </w14:solidFill>
                </w14:textFill>
              </w:rPr>
              <w:t xml:space="preserve">款单位：洛浦县公共资源交易中心 </w:t>
            </w:r>
          </w:p>
          <w:p w14:paraId="57ADEBA1">
            <w:pPr>
              <w:pStyle w:val="33"/>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 xml:space="preserve">开户行：中国农业银行股份有限公司洛浦县支行 </w:t>
            </w:r>
          </w:p>
          <w:p w14:paraId="4A852BBB">
            <w:pPr>
              <w:pStyle w:val="33"/>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 xml:space="preserve">帐 号：30581601040888887 </w:t>
            </w:r>
          </w:p>
          <w:p w14:paraId="4A70EBCB">
            <w:pPr>
              <w:pStyle w:val="33"/>
              <w:rPr>
                <w:color w:val="000000" w:themeColor="text1"/>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 xml:space="preserve">行 </w:t>
            </w:r>
            <w:r>
              <w:rPr>
                <w:rFonts w:ascii="宋体" w:hAnsi="宋体" w:cs="宋体"/>
                <w:color w:val="000000" w:themeColor="text1"/>
                <w:szCs w:val="24"/>
                <w:highlight w:val="none"/>
                <w14:textFill>
                  <w14:solidFill>
                    <w14:schemeClr w14:val="tx1"/>
                  </w14:solidFill>
                </w14:textFill>
              </w:rPr>
              <w:t>号:103896558162</w:t>
            </w:r>
          </w:p>
          <w:p w14:paraId="7B6D6517">
            <w:pPr>
              <w:pStyle w:val="33"/>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说明一：转账、电汇使用方法：</w:t>
            </w:r>
          </w:p>
          <w:p w14:paraId="18019B23">
            <w:pPr>
              <w:pStyle w:val="33"/>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1、投标保证金请于</w:t>
            </w:r>
            <w:r>
              <w:rPr>
                <w:rFonts w:hint="eastAsia" w:ascii="宋体" w:hAnsi="宋体" w:cs="宋体"/>
                <w:color w:val="000000" w:themeColor="text1"/>
                <w:sz w:val="24"/>
                <w:szCs w:val="24"/>
                <w:highlight w:val="none"/>
                <w:lang w:eastAsia="zh-CN"/>
                <w14:textFill>
                  <w14:solidFill>
                    <w14:schemeClr w14:val="tx1"/>
                  </w14:solidFill>
                </w14:textFill>
              </w:rPr>
              <w:t>2026年6月8日10 ：30时</w:t>
            </w:r>
            <w:r>
              <w:rPr>
                <w:rFonts w:hint="eastAsia" w:ascii="宋体" w:hAnsi="宋体" w:cs="宋体"/>
                <w:color w:val="000000" w:themeColor="text1"/>
                <w:sz w:val="24"/>
                <w:szCs w:val="24"/>
                <w:highlight w:val="none"/>
                <w14:textFill>
                  <w14:solidFill>
                    <w14:schemeClr w14:val="tx1"/>
                  </w14:solidFill>
                </w14:textFill>
              </w:rPr>
              <w:t>（北京时间）</w:t>
            </w:r>
            <w:r>
              <w:rPr>
                <w:rFonts w:ascii="宋体" w:hAnsi="宋体" w:cs="宋体"/>
                <w:color w:val="000000" w:themeColor="text1"/>
                <w:szCs w:val="24"/>
                <w:highlight w:val="none"/>
                <w14:textFill>
                  <w14:solidFill>
                    <w14:schemeClr w14:val="tx1"/>
                  </w14:solidFill>
                </w14:textFill>
              </w:rPr>
              <w:t>缴入指定账户，各</w:t>
            </w:r>
            <w:r>
              <w:rPr>
                <w:rFonts w:hint="eastAsia" w:ascii="宋体" w:hAnsi="宋体" w:cs="宋体"/>
                <w:color w:val="000000" w:themeColor="text1"/>
                <w:szCs w:val="24"/>
                <w:highlight w:val="none"/>
                <w14:textFill>
                  <w14:solidFill>
                    <w14:schemeClr w14:val="tx1"/>
                  </w14:solidFill>
                </w14:textFill>
              </w:rPr>
              <w:t>投标人</w:t>
            </w:r>
            <w:r>
              <w:rPr>
                <w:rFonts w:ascii="宋体" w:hAnsi="宋体" w:cs="宋体"/>
                <w:color w:val="000000" w:themeColor="text1"/>
                <w:szCs w:val="24"/>
                <w:highlight w:val="none"/>
                <w14:textFill>
                  <w14:solidFill>
                    <w14:schemeClr w14:val="tx1"/>
                  </w14:solidFill>
                </w14:textFill>
              </w:rPr>
              <w:t>保证金缴纳只接受</w:t>
            </w:r>
            <w:r>
              <w:rPr>
                <w:rFonts w:hint="eastAsia" w:ascii="宋体" w:hAnsi="宋体" w:cs="宋体"/>
                <w:color w:val="000000" w:themeColor="text1"/>
                <w:szCs w:val="24"/>
                <w:highlight w:val="none"/>
                <w14:textFill>
                  <w14:solidFill>
                    <w14:schemeClr w14:val="tx1"/>
                  </w14:solidFill>
                </w14:textFill>
              </w:rPr>
              <w:t>投标人</w:t>
            </w:r>
            <w:r>
              <w:rPr>
                <w:rFonts w:ascii="宋体" w:hAnsi="宋体" w:cs="宋体"/>
                <w:color w:val="000000" w:themeColor="text1"/>
                <w:szCs w:val="24"/>
                <w:highlight w:val="none"/>
                <w14:textFill>
                  <w14:solidFill>
                    <w14:schemeClr w14:val="tx1"/>
                  </w14:solidFill>
                </w14:textFill>
              </w:rPr>
              <w:t>基本帐户足额对公转帐，其他以私人名义或现金缴纳等存入、汇款 方式均视为无效投标保证金，未按规定时间交保证金的</w:t>
            </w:r>
            <w:r>
              <w:rPr>
                <w:rFonts w:hint="eastAsia" w:ascii="宋体" w:hAnsi="宋体" w:cs="宋体"/>
                <w:color w:val="000000" w:themeColor="text1"/>
                <w:szCs w:val="24"/>
                <w:highlight w:val="none"/>
                <w14:textFill>
                  <w14:solidFill>
                    <w14:schemeClr w14:val="tx1"/>
                  </w14:solidFill>
                </w14:textFill>
              </w:rPr>
              <w:t>投标人</w:t>
            </w:r>
            <w:r>
              <w:rPr>
                <w:rFonts w:ascii="宋体" w:hAnsi="宋体" w:cs="宋体"/>
                <w:color w:val="000000" w:themeColor="text1"/>
                <w:szCs w:val="24"/>
                <w:highlight w:val="none"/>
                <w14:textFill>
                  <w14:solidFill>
                    <w14:schemeClr w14:val="tx1"/>
                  </w14:solidFill>
                </w14:textFill>
              </w:rPr>
              <w:t xml:space="preserve">不得参加 本次投标（以到账时间为准）。 </w:t>
            </w:r>
          </w:p>
          <w:p w14:paraId="3EA9A06A">
            <w:pPr>
              <w:pStyle w:val="33"/>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 xml:space="preserve">2、投标单位须在汇款单备注栏标明：XXX 项目 XXX 包段（标段）或采购项目（招标文件）编号。如果项目名称太长可以缩写或者写招标文件编号，如没有备注或者只写三个字“保证金”的，导致帐号后台无法辨别、统计，其投标保证金无效。 </w:t>
            </w:r>
          </w:p>
          <w:p w14:paraId="3D61D24F">
            <w:pPr>
              <w:pStyle w:val="33"/>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3、投标保证金以进账时间为准，</w:t>
            </w:r>
            <w:r>
              <w:rPr>
                <w:rFonts w:hint="eastAsia" w:ascii="宋体" w:hAnsi="宋体" w:cs="宋体"/>
                <w:color w:val="000000" w:themeColor="text1"/>
                <w:szCs w:val="24"/>
                <w:highlight w:val="none"/>
                <w14:textFill>
                  <w14:solidFill>
                    <w14:schemeClr w14:val="tx1"/>
                  </w14:solidFill>
                </w14:textFill>
              </w:rPr>
              <w:t>投标人</w:t>
            </w:r>
            <w:r>
              <w:rPr>
                <w:rFonts w:ascii="宋体" w:hAnsi="宋体" w:cs="宋体"/>
                <w:color w:val="000000" w:themeColor="text1"/>
                <w:szCs w:val="24"/>
                <w:highlight w:val="none"/>
                <w14:textFill>
                  <w14:solidFill>
                    <w14:schemeClr w14:val="tx1"/>
                  </w14:solidFill>
                </w14:textFill>
              </w:rPr>
              <w:t xml:space="preserve">在缴纳投标保证金时，应充分考虑资金到账时间。投标保证金以到账时间确定其有效性，否则按废标处理。 </w:t>
            </w:r>
          </w:p>
          <w:p w14:paraId="4EF9690E">
            <w:pPr>
              <w:pStyle w:val="33"/>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4、由</w:t>
            </w:r>
            <w:r>
              <w:rPr>
                <w:rFonts w:hint="eastAsia" w:ascii="宋体" w:hAnsi="宋体" w:cs="宋体"/>
                <w:color w:val="000000" w:themeColor="text1"/>
                <w:szCs w:val="24"/>
                <w:highlight w:val="none"/>
                <w14:textFill>
                  <w14:solidFill>
                    <w14:schemeClr w14:val="tx1"/>
                  </w14:solidFill>
                </w14:textFill>
              </w:rPr>
              <w:t>投标人</w:t>
            </w:r>
            <w:r>
              <w:rPr>
                <w:rFonts w:ascii="宋体" w:hAnsi="宋体" w:cs="宋体"/>
                <w:color w:val="000000" w:themeColor="text1"/>
                <w:szCs w:val="24"/>
                <w:highlight w:val="none"/>
                <w14:textFill>
                  <w14:solidFill>
                    <w14:schemeClr w14:val="tx1"/>
                  </w14:solidFill>
                </w14:textFill>
              </w:rPr>
              <w:t xml:space="preserve">基本账户汇出，且不得以分公司的名义转账。 </w:t>
            </w:r>
          </w:p>
          <w:p w14:paraId="0A06138D">
            <w:pPr>
              <w:pStyle w:val="33"/>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 xml:space="preserve">5、投标单位投标时提供投标保证金电子回单。 </w:t>
            </w:r>
          </w:p>
          <w:p w14:paraId="187DD8E4">
            <w:pPr>
              <w:pStyle w:val="33"/>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（注：废标项目投标保证金在后续项目再次招标时银行系统不做统计， 如</w:t>
            </w:r>
            <w:r>
              <w:rPr>
                <w:rFonts w:hint="eastAsia" w:ascii="宋体" w:hAnsi="宋体" w:cs="宋体"/>
                <w:color w:val="000000" w:themeColor="text1"/>
                <w:szCs w:val="24"/>
                <w:highlight w:val="none"/>
                <w14:textFill>
                  <w14:solidFill>
                    <w14:schemeClr w14:val="tx1"/>
                  </w14:solidFill>
                </w14:textFill>
              </w:rPr>
              <w:t>投标人</w:t>
            </w:r>
            <w:r>
              <w:rPr>
                <w:rFonts w:ascii="宋体" w:hAnsi="宋体" w:cs="宋体"/>
                <w:color w:val="000000" w:themeColor="text1"/>
                <w:szCs w:val="24"/>
                <w:highlight w:val="none"/>
                <w14:textFill>
                  <w14:solidFill>
                    <w14:schemeClr w14:val="tx1"/>
                  </w14:solidFill>
                </w14:textFill>
              </w:rPr>
              <w:t xml:space="preserve">再次投标，需按以上条款缴纳投标保证金，原投标保证金在废标公示发布后三日内原路退回） </w:t>
            </w:r>
          </w:p>
          <w:p w14:paraId="203EFDD7">
            <w:pPr>
              <w:pStyle w:val="33"/>
              <w:numPr>
                <w:ilvl w:val="0"/>
                <w:numId w:val="52"/>
              </w:numPr>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退付保证金提交资料：</w:t>
            </w:r>
          </w:p>
          <w:p w14:paraId="5BF396B7">
            <w:pPr>
              <w:pStyle w:val="33"/>
              <w:numPr>
                <w:ilvl w:val="0"/>
                <w:numId w:val="53"/>
              </w:numPr>
              <w:ind w:firstLine="480" w:firstLineChars="200"/>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未中标:1.企业开个收据原件。2.付款回执单复印件，加盖公章。3.回执单上的账户信息，备注好行号，联系人电话，复印件一份，加盖公章。</w:t>
            </w:r>
          </w:p>
          <w:p w14:paraId="7570140D">
            <w:pPr>
              <w:pStyle w:val="33"/>
              <w:numPr>
                <w:ilvl w:val="0"/>
                <w:numId w:val="53"/>
              </w:numPr>
              <w:ind w:firstLine="480" w:firstLineChars="200"/>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中标:1.企业开个收据，原件。 2.付款回执单复印件，加盖公章。3.回执单上的账户信息，备注好行号， 联系人电话，复印件一份，加盖公章。4.中标通知书复印件一份，加盖公章。合同复印件一份，加盖公章。 6</w:t>
            </w:r>
            <w:r>
              <w:rPr>
                <w:rFonts w:hint="eastAsia" w:ascii="宋体" w:hAnsi="宋体" w:cs="宋体"/>
                <w:color w:val="000000" w:themeColor="text1"/>
                <w:szCs w:val="24"/>
                <w:highlight w:val="none"/>
                <w14:textFill>
                  <w14:solidFill>
                    <w14:schemeClr w14:val="tx1"/>
                  </w14:solidFill>
                </w14:textFill>
              </w:rPr>
              <w:t>.</w:t>
            </w:r>
            <w:r>
              <w:rPr>
                <w:rFonts w:ascii="宋体" w:hAnsi="宋体" w:cs="宋体"/>
                <w:color w:val="000000" w:themeColor="text1"/>
                <w:szCs w:val="24"/>
                <w:highlight w:val="none"/>
                <w14:textFill>
                  <w14:solidFill>
                    <w14:schemeClr w14:val="tx1"/>
                  </w14:solidFill>
                </w14:textFill>
              </w:rPr>
              <w:t>邮寄地址:洛浦县政务服务和公共资源交易中心(洛浦县北京工业园区北园区振兴路9号308室） 收件人:</w:t>
            </w:r>
            <w:r>
              <w:rPr>
                <w:rFonts w:hint="eastAsia" w:ascii="宋体" w:hAnsi="宋体" w:cs="宋体"/>
                <w:szCs w:val="24"/>
                <w:highlight w:val="none"/>
                <w:lang w:val="en-US" w:eastAsia="zh-CN"/>
              </w:rPr>
              <w:t>刘主任</w:t>
            </w:r>
            <w:r>
              <w:rPr>
                <w:rFonts w:ascii="宋体" w:hAnsi="宋体" w:cs="宋体"/>
                <w:szCs w:val="24"/>
                <w:highlight w:val="none"/>
              </w:rPr>
              <w:t>。 电话</w:t>
            </w:r>
            <w:r>
              <w:rPr>
                <w:rFonts w:hint="eastAsia" w:ascii="宋体" w:hAnsi="宋体" w:cs="宋体"/>
                <w:szCs w:val="24"/>
                <w:highlight w:val="none"/>
                <w:lang w:eastAsia="zh-CN"/>
              </w:rPr>
              <w:t>：</w:t>
            </w:r>
            <w:r>
              <w:rPr>
                <w:rFonts w:hint="eastAsia" w:ascii="宋体" w:hAnsi="宋体" w:cs="宋体"/>
                <w:szCs w:val="24"/>
                <w:highlight w:val="none"/>
                <w:lang w:val="en-US" w:eastAsia="zh-CN"/>
              </w:rPr>
              <w:t>18690336182</w:t>
            </w:r>
            <w:r>
              <w:rPr>
                <w:rFonts w:ascii="宋体" w:hAnsi="宋体" w:cs="宋体"/>
                <w:szCs w:val="24"/>
                <w:highlight w:val="none"/>
              </w:rPr>
              <w:t xml:space="preserve"> </w:t>
            </w:r>
            <w:r>
              <w:rPr>
                <w:rFonts w:ascii="宋体" w:hAnsi="宋体" w:cs="宋体"/>
                <w:color w:val="000000" w:themeColor="text1"/>
                <w:szCs w:val="24"/>
                <w:highlight w:val="none"/>
                <w14:textFill>
                  <w14:solidFill>
                    <w14:schemeClr w14:val="tx1"/>
                  </w14:solidFill>
                </w14:textFill>
              </w:rPr>
              <w:t xml:space="preserve"> </w:t>
            </w:r>
          </w:p>
          <w:p w14:paraId="1F2E8357">
            <w:pPr>
              <w:pStyle w:val="33"/>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 xml:space="preserve">说明二、电子保函使用方法： </w:t>
            </w:r>
          </w:p>
          <w:p w14:paraId="1BCED753">
            <w:pPr>
              <w:pStyle w:val="33"/>
              <w:ind w:firstLine="480" w:firstLineChars="200"/>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在线递交电子保函</w:t>
            </w:r>
            <w:r>
              <w:rPr>
                <w:rFonts w:hint="eastAsia" w:ascii="宋体" w:hAnsi="宋体" w:cs="宋体"/>
                <w:color w:val="000000" w:themeColor="text1"/>
                <w:szCs w:val="24"/>
                <w:highlight w:val="none"/>
                <w14:textFill>
                  <w14:solidFill>
                    <w14:schemeClr w14:val="tx1"/>
                  </w14:solidFill>
                </w14:textFill>
              </w:rPr>
              <w:t>,</w:t>
            </w:r>
            <w:r>
              <w:rPr>
                <w:rFonts w:ascii="宋体" w:hAnsi="宋体" w:cs="宋体"/>
                <w:color w:val="000000" w:themeColor="text1"/>
                <w:szCs w:val="24"/>
                <w:highlight w:val="none"/>
                <w14:textFill>
                  <w14:solidFill>
                    <w14:schemeClr w14:val="tx1"/>
                  </w14:solidFill>
                </w14:textFill>
              </w:rPr>
              <w:t xml:space="preserve"> （1）登录新疆自治区政府采购网，首页点击“电子保函”直接进入新疆政府采购电子保函申请页，点击【立即申请】。 （2）依次完善页面显示的投保人信息（</w:t>
            </w:r>
            <w:r>
              <w:rPr>
                <w:rFonts w:hint="eastAsia" w:ascii="宋体" w:hAnsi="宋体" w:cs="宋体"/>
                <w:color w:val="000000" w:themeColor="text1"/>
                <w:szCs w:val="24"/>
                <w:highlight w:val="none"/>
                <w14:textFill>
                  <w14:solidFill>
                    <w14:schemeClr w14:val="tx1"/>
                  </w14:solidFill>
                </w14:textFill>
              </w:rPr>
              <w:t>投标人</w:t>
            </w:r>
            <w:r>
              <w:rPr>
                <w:rFonts w:ascii="宋体" w:hAnsi="宋体" w:cs="宋体"/>
                <w:color w:val="000000" w:themeColor="text1"/>
                <w:szCs w:val="24"/>
                <w:highlight w:val="none"/>
                <w14:textFill>
                  <w14:solidFill>
                    <w14:schemeClr w14:val="tx1"/>
                  </w14:solidFill>
                </w14:textFill>
              </w:rPr>
              <w:t>信息），确认您要投保 的项目信息，在投标项目选择页面选择您需要投保的项目（可根据项目名称或项目保函进行搜索），选择投保项目后填写被保险人信息及投保内容。服务热线:95763。 （3）保函承保期限：成功办理保函之日-</w:t>
            </w:r>
            <w:r>
              <w:rPr>
                <w:rFonts w:hint="eastAsia" w:ascii="宋体" w:hAnsi="宋体" w:cs="宋体"/>
                <w:color w:val="000000" w:themeColor="text1"/>
                <w:szCs w:val="24"/>
                <w:highlight w:val="none"/>
                <w:lang w:eastAsia="zh-CN"/>
                <w14:textFill>
                  <w14:solidFill>
                    <w14:schemeClr w14:val="tx1"/>
                  </w14:solidFill>
                </w14:textFill>
              </w:rPr>
              <w:t>2026年</w:t>
            </w:r>
            <w:r>
              <w:rPr>
                <w:rFonts w:ascii="宋体" w:hAnsi="宋体" w:cs="宋体"/>
                <w:color w:val="000000" w:themeColor="text1"/>
                <w:szCs w:val="24"/>
                <w:highlight w:val="none"/>
                <w14:textFill>
                  <w14:solidFill>
                    <w14:schemeClr w14:val="tx1"/>
                  </w14:solidFill>
                </w14:textFill>
              </w:rPr>
              <w:t>XX月XX日</w:t>
            </w:r>
            <w:r>
              <w:rPr>
                <w:rFonts w:hint="eastAsia" w:ascii="宋体" w:hAnsi="宋体" w:cs="宋体"/>
                <w:color w:val="000000" w:themeColor="text1"/>
                <w:szCs w:val="24"/>
                <w:highlight w:val="none"/>
                <w14:textFill>
                  <w14:solidFill>
                    <w14:schemeClr w14:val="tx1"/>
                  </w14:solidFill>
                </w14:textFill>
              </w:rPr>
              <w:t>投标人</w:t>
            </w:r>
            <w:r>
              <w:rPr>
                <w:rFonts w:ascii="宋体" w:hAnsi="宋体" w:cs="宋体"/>
                <w:color w:val="000000" w:themeColor="text1"/>
                <w:szCs w:val="24"/>
                <w:highlight w:val="none"/>
                <w14:textFill>
                  <w14:solidFill>
                    <w14:schemeClr w14:val="tx1"/>
                  </w14:solidFill>
                </w14:textFill>
              </w:rPr>
              <w:t>以保函形式缴纳投标保证金的，向保证人购买电子投标保函所支付的费用应从</w:t>
            </w:r>
            <w:r>
              <w:rPr>
                <w:rFonts w:hint="eastAsia" w:ascii="宋体" w:hAnsi="宋体" w:cs="宋体"/>
                <w:color w:val="000000" w:themeColor="text1"/>
                <w:szCs w:val="24"/>
                <w:highlight w:val="none"/>
                <w14:textFill>
                  <w14:solidFill>
                    <w14:schemeClr w14:val="tx1"/>
                  </w14:solidFill>
                </w14:textFill>
              </w:rPr>
              <w:t>投标人</w:t>
            </w:r>
            <w:r>
              <w:rPr>
                <w:rFonts w:ascii="宋体" w:hAnsi="宋体" w:cs="宋体"/>
                <w:color w:val="000000" w:themeColor="text1"/>
                <w:szCs w:val="24"/>
                <w:highlight w:val="none"/>
                <w14:textFill>
                  <w14:solidFill>
                    <w14:schemeClr w14:val="tx1"/>
                  </w14:solidFill>
                </w14:textFill>
              </w:rPr>
              <w:t>的企业账户汇出(个体工商户除外)，保函办理成功后将保函以及基本账户转账支付凭证放入投标文件中。未按规定时间缴 纳保证金的</w:t>
            </w:r>
            <w:r>
              <w:rPr>
                <w:rFonts w:hint="eastAsia" w:ascii="宋体" w:hAnsi="宋体" w:cs="宋体"/>
                <w:color w:val="000000" w:themeColor="text1"/>
                <w:szCs w:val="24"/>
                <w:highlight w:val="none"/>
                <w14:textFill>
                  <w14:solidFill>
                    <w14:schemeClr w14:val="tx1"/>
                  </w14:solidFill>
                </w14:textFill>
              </w:rPr>
              <w:t>投标人</w:t>
            </w:r>
            <w:r>
              <w:rPr>
                <w:rFonts w:ascii="宋体" w:hAnsi="宋体" w:cs="宋体"/>
                <w:color w:val="000000" w:themeColor="text1"/>
                <w:szCs w:val="24"/>
                <w:highlight w:val="none"/>
                <w14:textFill>
                  <w14:solidFill>
                    <w14:schemeClr w14:val="tx1"/>
                  </w14:solidFill>
                </w14:textFill>
              </w:rPr>
              <w:t xml:space="preserve">不得参加本次投标。 </w:t>
            </w:r>
          </w:p>
          <w:p w14:paraId="0AFB07A1">
            <w:pPr>
              <w:pStyle w:val="33"/>
              <w:ind w:firstLine="48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*采用保函业务的</w:t>
            </w:r>
            <w:r>
              <w:rPr>
                <w:rFonts w:hint="eastAsia" w:ascii="宋体" w:hAnsi="宋体" w:cs="宋体"/>
                <w:color w:val="000000" w:themeColor="text1"/>
                <w:szCs w:val="24"/>
                <w:highlight w:val="none"/>
                <w14:textFill>
                  <w14:solidFill>
                    <w14:schemeClr w14:val="tx1"/>
                  </w14:solidFill>
                </w14:textFill>
              </w:rPr>
              <w:t>投标人</w:t>
            </w:r>
            <w:r>
              <w:rPr>
                <w:rFonts w:ascii="宋体" w:hAnsi="宋体" w:cs="宋体"/>
                <w:color w:val="000000" w:themeColor="text1"/>
                <w:szCs w:val="24"/>
                <w:highlight w:val="none"/>
                <w14:textFill>
                  <w14:solidFill>
                    <w14:schemeClr w14:val="tx1"/>
                  </w14:solidFill>
                </w14:textFill>
              </w:rPr>
              <w:t>，开标时间截止后,查询在新疆维吾尔自治区政府采购网保函业务目录下未查询到本项目缴纳投标保证金保函信息的</w:t>
            </w:r>
            <w:r>
              <w:rPr>
                <w:rFonts w:hint="eastAsia" w:ascii="宋体" w:hAnsi="宋体" w:cs="宋体"/>
                <w:color w:val="000000" w:themeColor="text1"/>
                <w:szCs w:val="24"/>
                <w:highlight w:val="none"/>
                <w14:textFill>
                  <w14:solidFill>
                    <w14:schemeClr w14:val="tx1"/>
                  </w14:solidFill>
                </w14:textFill>
              </w:rPr>
              <w:t>投标人</w:t>
            </w:r>
            <w:r>
              <w:rPr>
                <w:rFonts w:ascii="宋体" w:hAnsi="宋体" w:cs="宋体"/>
                <w:color w:val="000000" w:themeColor="text1"/>
                <w:szCs w:val="24"/>
                <w:highlight w:val="none"/>
                <w14:textFill>
                  <w14:solidFill>
                    <w14:schemeClr w14:val="tx1"/>
                  </w14:solidFill>
                </w14:textFill>
              </w:rPr>
              <w:t>，视为无效保函。如对保函业务咨询，请拨打95763。</w:t>
            </w:r>
          </w:p>
        </w:tc>
      </w:tr>
      <w:tr w14:paraId="6D1FF2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03" w:type="dxa"/>
            <w:tcBorders>
              <w:top w:val="single" w:color="auto" w:sz="4" w:space="0"/>
              <w:left w:val="single" w:color="auto" w:sz="4" w:space="0"/>
              <w:bottom w:val="single" w:color="auto" w:sz="4" w:space="0"/>
              <w:right w:val="single" w:color="auto" w:sz="4" w:space="0"/>
            </w:tcBorders>
            <w:vAlign w:val="center"/>
          </w:tcPr>
          <w:p w14:paraId="3210B717">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9628" w:type="dxa"/>
            <w:tcBorders>
              <w:top w:val="single" w:color="auto" w:sz="4" w:space="0"/>
              <w:left w:val="single" w:color="auto" w:sz="4" w:space="0"/>
              <w:bottom w:val="single" w:color="auto" w:sz="4" w:space="0"/>
              <w:right w:val="single" w:color="auto" w:sz="4" w:space="0"/>
            </w:tcBorders>
            <w:vAlign w:val="center"/>
          </w:tcPr>
          <w:p w14:paraId="02095FFF">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投标语言：中文</w:t>
            </w:r>
          </w:p>
        </w:tc>
      </w:tr>
      <w:tr w14:paraId="67754D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1" w:hRule="atLeast"/>
        </w:trPr>
        <w:tc>
          <w:tcPr>
            <w:tcW w:w="10431" w:type="dxa"/>
            <w:gridSpan w:val="2"/>
            <w:tcBorders>
              <w:top w:val="single" w:color="auto" w:sz="4" w:space="0"/>
              <w:left w:val="single" w:color="auto" w:sz="4" w:space="0"/>
              <w:bottom w:val="single" w:color="auto" w:sz="4" w:space="0"/>
              <w:right w:val="single" w:color="auto" w:sz="4" w:space="0"/>
            </w:tcBorders>
            <w:vAlign w:val="center"/>
          </w:tcPr>
          <w:p w14:paraId="1438152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 标 文 件 的 编 制 和 递 交</w:t>
            </w:r>
          </w:p>
        </w:tc>
      </w:tr>
      <w:tr w14:paraId="7A3912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3" w:type="dxa"/>
            <w:tcBorders>
              <w:top w:val="single" w:color="auto" w:sz="4" w:space="0"/>
              <w:left w:val="single" w:color="auto" w:sz="4" w:space="0"/>
              <w:bottom w:val="single" w:color="auto" w:sz="4" w:space="0"/>
              <w:right w:val="single" w:color="auto" w:sz="4" w:space="0"/>
            </w:tcBorders>
            <w:vAlign w:val="center"/>
          </w:tcPr>
          <w:p w14:paraId="5963BD48">
            <w:pPr>
              <w:pStyle w:val="44"/>
              <w:spacing w:line="360" w:lineRule="auto"/>
              <w:ind w:left="209" w:hanging="208" w:hangingChars="87"/>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6</w:t>
            </w:r>
          </w:p>
        </w:tc>
        <w:tc>
          <w:tcPr>
            <w:tcW w:w="9628" w:type="dxa"/>
            <w:tcBorders>
              <w:top w:val="single" w:color="auto" w:sz="4" w:space="0"/>
              <w:left w:val="single" w:color="auto" w:sz="4" w:space="0"/>
              <w:bottom w:val="single" w:color="auto" w:sz="4" w:space="0"/>
              <w:right w:val="single" w:color="auto" w:sz="4" w:space="0"/>
            </w:tcBorders>
            <w:vAlign w:val="center"/>
          </w:tcPr>
          <w:p w14:paraId="64385767">
            <w:pPr>
              <w:pStyle w:val="44"/>
              <w:ind w:left="209" w:hanging="208" w:hangingChars="87"/>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供应商资格标准：（资格审查标准）</w:t>
            </w:r>
          </w:p>
          <w:p w14:paraId="6AF67AB2">
            <w:pPr>
              <w:ind w:left="360" w:hanging="360" w:hanging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1.具有独立承担民事责任的能力；</w:t>
            </w:r>
            <w:r>
              <w:rPr>
                <w:rFonts w:hint="eastAsia" w:ascii="宋体" w:hAnsi="宋体" w:cs="宋体"/>
                <w:sz w:val="24"/>
                <w:szCs w:val="24"/>
                <w:highlight w:val="none"/>
                <w:lang w:eastAsia="zh-CN"/>
              </w:rPr>
              <w:t>（</w:t>
            </w:r>
            <w:r>
              <w:rPr>
                <w:rFonts w:hint="eastAsia" w:hAnsi="宋体" w:cs="宋体"/>
                <w:sz w:val="24"/>
                <w:szCs w:val="24"/>
                <w:highlight w:val="none"/>
              </w:rPr>
              <w:t>投标人</w:t>
            </w:r>
            <w:r>
              <w:rPr>
                <w:rFonts w:hint="eastAsia" w:ascii="宋体" w:hAnsi="宋体" w:cs="宋体"/>
                <w:sz w:val="24"/>
                <w:szCs w:val="24"/>
                <w:highlight w:val="none"/>
              </w:rPr>
              <w:t>为企业(包括合伙企业)的，应提供有效的“营业执照”;</w:t>
            </w:r>
            <w:r>
              <w:rPr>
                <w:rFonts w:hint="eastAsia" w:hAnsi="宋体" w:cs="宋体"/>
                <w:sz w:val="24"/>
                <w:szCs w:val="24"/>
                <w:highlight w:val="none"/>
              </w:rPr>
              <w:t>投标人</w:t>
            </w:r>
            <w:r>
              <w:rPr>
                <w:rFonts w:hint="eastAsia" w:ascii="宋体" w:hAnsi="宋体" w:cs="宋体"/>
                <w:sz w:val="24"/>
                <w:szCs w:val="24"/>
                <w:highlight w:val="none"/>
              </w:rPr>
              <w:t>是非企业机构的，应提供有效的“执业许可证、记证书，等证明文件;</w:t>
            </w:r>
            <w:r>
              <w:rPr>
                <w:rFonts w:hint="eastAsia" w:hAnsi="宋体" w:cs="宋体"/>
                <w:sz w:val="24"/>
                <w:szCs w:val="24"/>
                <w:highlight w:val="none"/>
              </w:rPr>
              <w:t>投标人</w:t>
            </w:r>
            <w:r>
              <w:rPr>
                <w:rFonts w:hint="eastAsia" w:ascii="宋体" w:hAnsi="宋体" w:cs="宋体"/>
                <w:sz w:val="24"/>
                <w:szCs w:val="24"/>
                <w:highlight w:val="none"/>
              </w:rPr>
              <w:t>是个体工商户的，应提供有效的“个体工商户营业执照”;</w:t>
            </w:r>
            <w:r>
              <w:rPr>
                <w:rFonts w:hint="eastAsia" w:hAnsi="宋体" w:cs="宋体"/>
                <w:sz w:val="24"/>
                <w:szCs w:val="24"/>
                <w:highlight w:val="none"/>
              </w:rPr>
              <w:t>投标人</w:t>
            </w:r>
            <w:r>
              <w:rPr>
                <w:rFonts w:hint="eastAsia" w:ascii="宋体" w:hAnsi="宋体" w:cs="宋体"/>
                <w:sz w:val="24"/>
                <w:szCs w:val="24"/>
                <w:highlight w:val="none"/>
              </w:rPr>
              <w:t>是自然人的，应提供有效的自然人身份证明。分支机构参加响应的，应提供该分支机构或其所属法人其他组织的相应证明文件;同时还应提供其所属法人/其他组织出具的授权其参与本项目的授权书(格式自拟，须加盖其所属法人其他组织的公章)</w:t>
            </w:r>
          </w:p>
          <w:p w14:paraId="26711435">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lang w:eastAsia="zh-CN"/>
                <w14:textFill>
                  <w14:solidFill>
                    <w14:schemeClr w14:val="tx1"/>
                  </w14:solidFill>
                </w14:textFill>
              </w:rPr>
              <w:t>具有良好的商业信誉和健全的财务会计制度；提供经外部审计的近3年（2023年、2024年、2025年）内任意一年的财务报告或2025年度公司财务报表（成立不满一年的企业需提供（公司成立起至投标截止时间上一月）财务报表）</w:t>
            </w:r>
            <w:r>
              <w:rPr>
                <w:rFonts w:hint="eastAsia" w:ascii="宋体" w:hAnsi="宋体" w:cs="宋体"/>
                <w:color w:val="000000" w:themeColor="text1"/>
                <w:sz w:val="24"/>
                <w:szCs w:val="24"/>
                <w:highlight w:val="none"/>
                <w14:textFill>
                  <w14:solidFill>
                    <w14:schemeClr w14:val="tx1"/>
                  </w14:solidFill>
                </w14:textFill>
              </w:rPr>
              <w:t>；</w:t>
            </w:r>
          </w:p>
          <w:p w14:paraId="3BEBB423">
            <w:pPr>
              <w:ind w:left="360" w:hanging="360" w:hanging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3.具有履行合同所必需的设备和专业技术能力；（提供承诺函，格式自拟）； </w:t>
            </w:r>
          </w:p>
          <w:p w14:paraId="5E64465A">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有依法缴纳税收和社会保障资金的良好纪录；提供近半年内任意三个月缴纳税收证明及社保缴纳证明；（新成立公司提供成立之日起至今的缴税记录及社保缴纳证明，若供应商的纳税记录为零申报的，需提供相应证明材料）；</w:t>
            </w:r>
          </w:p>
          <w:p w14:paraId="61318DD7">
            <w:pP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eastAsia="zh-CN"/>
                <w14:textFill>
                  <w14:solidFill>
                    <w14:schemeClr w14:val="tx1"/>
                  </w14:solidFill>
                </w14:textFill>
              </w:rPr>
              <w:t>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p w14:paraId="539D17F8">
            <w:pPr>
              <w:ind w:left="360" w:hanging="360" w:hanging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6.符合国家有关法律法规的规定；（提供承诺函</w:t>
            </w:r>
            <w:r>
              <w:rPr>
                <w:rFonts w:hint="eastAsia" w:ascii="宋体" w:hAnsi="宋体" w:cs="宋体"/>
                <w:color w:val="000000" w:themeColor="text1"/>
                <w:sz w:val="24"/>
                <w:szCs w:val="24"/>
                <w:highlight w:val="none"/>
                <w:lang w:val="en-US" w:eastAsia="zh-CN"/>
                <w14:textFill>
                  <w14:solidFill>
                    <w14:schemeClr w14:val="tx1"/>
                  </w14:solidFill>
                </w14:textFill>
              </w:rPr>
              <w:t>加盖公章</w:t>
            </w:r>
            <w:r>
              <w:rPr>
                <w:rFonts w:hint="eastAsia" w:ascii="宋体" w:hAnsi="宋体" w:cs="宋体"/>
                <w:color w:val="000000" w:themeColor="text1"/>
                <w:sz w:val="24"/>
                <w:szCs w:val="24"/>
                <w:highlight w:val="none"/>
                <w14:textFill>
                  <w14:solidFill>
                    <w14:schemeClr w14:val="tx1"/>
                  </w14:solidFill>
                </w14:textFill>
              </w:rPr>
              <w:t>，格式自拟）；</w:t>
            </w:r>
          </w:p>
          <w:p w14:paraId="6A32F2B8">
            <w:pPr>
              <w:ind w:left="360" w:hanging="360" w:hanging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.本项目不接受联合体；（提供承诺函</w:t>
            </w:r>
            <w:r>
              <w:rPr>
                <w:rFonts w:hint="eastAsia" w:ascii="宋体" w:hAnsi="宋体" w:cs="宋体"/>
                <w:color w:val="000000" w:themeColor="text1"/>
                <w:sz w:val="24"/>
                <w:szCs w:val="24"/>
                <w:highlight w:val="none"/>
                <w:lang w:val="en-US" w:eastAsia="zh-CN"/>
                <w14:textFill>
                  <w14:solidFill>
                    <w14:schemeClr w14:val="tx1"/>
                  </w14:solidFill>
                </w14:textFill>
              </w:rPr>
              <w:t>加盖公章</w:t>
            </w:r>
            <w:r>
              <w:rPr>
                <w:rFonts w:hint="eastAsia" w:ascii="宋体" w:hAnsi="宋体" w:cs="宋体"/>
                <w:color w:val="000000" w:themeColor="text1"/>
                <w:sz w:val="24"/>
                <w:szCs w:val="24"/>
                <w:highlight w:val="none"/>
                <w14:textFill>
                  <w14:solidFill>
                    <w14:schemeClr w14:val="tx1"/>
                  </w14:solidFill>
                </w14:textFill>
              </w:rPr>
              <w:t xml:space="preserve">，格式自拟）； </w:t>
            </w:r>
          </w:p>
          <w:p w14:paraId="76B1E892">
            <w:pPr>
              <w:ind w:left="360" w:hanging="360" w:hanging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cs="宋体"/>
                <w:color w:val="000000" w:themeColor="text1"/>
                <w:sz w:val="24"/>
                <w:szCs w:val="24"/>
                <w:highlight w:val="none"/>
                <w14:textFill>
                  <w14:solidFill>
                    <w14:schemeClr w14:val="tx1"/>
                  </w14:solidFill>
                </w14:textFill>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提供承诺函</w:t>
            </w:r>
            <w:r>
              <w:rPr>
                <w:rFonts w:hint="eastAsia" w:ascii="宋体" w:hAnsi="宋体" w:cs="宋体"/>
                <w:color w:val="000000" w:themeColor="text1"/>
                <w:sz w:val="24"/>
                <w:szCs w:val="24"/>
                <w:highlight w:val="none"/>
                <w:lang w:val="en-US" w:eastAsia="zh-CN"/>
                <w14:textFill>
                  <w14:solidFill>
                    <w14:schemeClr w14:val="tx1"/>
                  </w14:solidFill>
                </w14:textFill>
              </w:rPr>
              <w:t>加盖公章</w:t>
            </w:r>
            <w:r>
              <w:rPr>
                <w:rFonts w:hint="eastAsia" w:ascii="宋体" w:hAnsi="宋体" w:cs="宋体"/>
                <w:color w:val="000000" w:themeColor="text1"/>
                <w:sz w:val="24"/>
                <w:szCs w:val="24"/>
                <w:highlight w:val="none"/>
                <w14:textFill>
                  <w14:solidFill>
                    <w14:schemeClr w14:val="tx1"/>
                  </w14:solidFill>
                </w14:textFill>
              </w:rPr>
              <w:t xml:space="preserve">，格式自拟）； </w:t>
            </w:r>
          </w:p>
          <w:p w14:paraId="6EB55B77">
            <w:pPr>
              <w:pStyle w:val="5"/>
              <w:ind w:left="0" w:leftChars="0" w:firstLine="0" w:firstLineChars="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cs="宋体"/>
                <w:color w:val="000000" w:themeColor="text1"/>
                <w:sz w:val="24"/>
                <w:szCs w:val="24"/>
                <w:highlight w:val="none"/>
                <w14:textFill>
                  <w14:solidFill>
                    <w14:schemeClr w14:val="tx1"/>
                  </w14:solidFill>
                </w14:textFill>
              </w:rPr>
              <w:t>本项目特殊资格要求：</w:t>
            </w:r>
          </w:p>
          <w:p w14:paraId="5972DB26">
            <w:pPr>
              <w:pStyle w:val="50"/>
              <w:ind w:firstLine="0"/>
              <w:rPr>
                <w:rFonts w:hint="eastAsia" w:cs="Arial"/>
                <w:color w:val="000000"/>
                <w:sz w:val="24"/>
                <w:szCs w:val="24"/>
                <w:highlight w:val="none"/>
                <w:lang w:eastAsia="zh-CN"/>
              </w:rPr>
            </w:pPr>
            <w:r>
              <w:rPr>
                <w:rFonts w:hint="eastAsia" w:ascii="宋体" w:hAnsi="宋体" w:eastAsia="宋体" w:cs="Arial"/>
                <w:color w:val="000000"/>
                <w:sz w:val="24"/>
                <w:szCs w:val="24"/>
                <w:highlight w:val="none"/>
              </w:rPr>
              <w:t>具有医疗器械经营资格</w:t>
            </w:r>
            <w:r>
              <w:rPr>
                <w:rFonts w:hint="eastAsia" w:cs="Arial"/>
                <w:color w:val="000000"/>
                <w:sz w:val="24"/>
                <w:szCs w:val="24"/>
                <w:highlight w:val="none"/>
                <w:lang w:eastAsia="zh-CN"/>
              </w:rPr>
              <w:t>（</w:t>
            </w:r>
            <w:r>
              <w:rPr>
                <w:rFonts w:hint="eastAsia" w:cs="Arial"/>
                <w:color w:val="000000"/>
                <w:sz w:val="24"/>
                <w:szCs w:val="24"/>
                <w:highlight w:val="none"/>
                <w:lang w:val="en-US" w:eastAsia="zh-CN"/>
              </w:rPr>
              <w:t>提供</w:t>
            </w:r>
            <w:r>
              <w:rPr>
                <w:rFonts w:ascii="宋体" w:hAnsi="宋体" w:eastAsia="宋体" w:cs="宋体"/>
                <w:sz w:val="24"/>
                <w:szCs w:val="24"/>
              </w:rPr>
              <w:t>医疗器械经营许可证</w:t>
            </w:r>
            <w:r>
              <w:rPr>
                <w:rFonts w:hint="eastAsia" w:ascii="宋体" w:hAnsi="宋体" w:eastAsia="宋体" w:cs="宋体"/>
                <w:sz w:val="24"/>
                <w:szCs w:val="24"/>
                <w:lang w:val="en-US" w:eastAsia="zh-CN"/>
              </w:rPr>
              <w:t>复印件并加盖公章</w:t>
            </w:r>
            <w:r>
              <w:rPr>
                <w:rFonts w:hint="eastAsia" w:cs="Arial"/>
                <w:color w:val="000000"/>
                <w:sz w:val="24"/>
                <w:szCs w:val="24"/>
                <w:highlight w:val="none"/>
                <w:lang w:eastAsia="zh-CN"/>
              </w:rPr>
              <w:t>）；</w:t>
            </w:r>
          </w:p>
          <w:p w14:paraId="59894103">
            <w:pPr>
              <w:pStyle w:val="50"/>
              <w:ind w:firstLine="0"/>
              <w:rPr>
                <w:rFonts w:hint="eastAsia" w:eastAsia="宋体" w:cs="宋体"/>
                <w:b/>
                <w:bCs/>
                <w:color w:val="000000" w:themeColor="text1"/>
                <w:highlight w:val="none"/>
                <w:lang w:eastAsia="zh-CN"/>
                <w14:textFill>
                  <w14:solidFill>
                    <w14:schemeClr w14:val="tx1"/>
                  </w14:solidFill>
                </w14:textFill>
              </w:rPr>
            </w:pPr>
            <w:r>
              <w:rPr>
                <w:rFonts w:hint="eastAsia" w:ascii="宋体" w:hAnsi="宋体" w:eastAsia="宋体" w:cs="Arial"/>
                <w:color w:val="000000"/>
                <w:sz w:val="24"/>
                <w:szCs w:val="24"/>
                <w:highlight w:val="none"/>
              </w:rPr>
              <w:t>属于医疗器械管理的产品需根据《医疗器械监督管理条例》（国务院令第650号）有关内容办理医疗器械产品注册或备案（提供</w:t>
            </w:r>
            <w:r>
              <w:rPr>
                <w:rFonts w:ascii="宋体" w:hAnsi="宋体" w:eastAsia="宋体" w:cs="宋体"/>
                <w:sz w:val="24"/>
                <w:szCs w:val="24"/>
              </w:rPr>
              <w:t>医疗器械注册证</w:t>
            </w:r>
            <w:r>
              <w:rPr>
                <w:rFonts w:hint="eastAsia" w:ascii="宋体" w:hAnsi="宋体" w:eastAsia="宋体" w:cs="宋体"/>
                <w:sz w:val="24"/>
                <w:szCs w:val="24"/>
                <w:lang w:val="en-US" w:eastAsia="zh-CN"/>
              </w:rPr>
              <w:t>或</w:t>
            </w:r>
            <w:r>
              <w:rPr>
                <w:rFonts w:ascii="宋体" w:hAnsi="宋体" w:eastAsia="宋体" w:cs="宋体"/>
                <w:sz w:val="24"/>
                <w:szCs w:val="24"/>
              </w:rPr>
              <w:t>医疗器械备案凭证</w:t>
            </w:r>
            <w:r>
              <w:rPr>
                <w:rFonts w:hint="eastAsia" w:ascii="宋体" w:hAnsi="宋体" w:eastAsia="宋体" w:cs="宋体"/>
                <w:sz w:val="24"/>
                <w:szCs w:val="24"/>
                <w:lang w:val="en-US" w:eastAsia="zh-CN"/>
              </w:rPr>
              <w:t>复印件</w:t>
            </w:r>
            <w:r>
              <w:rPr>
                <w:rFonts w:hint="eastAsia" w:ascii="宋体" w:hAnsi="宋体" w:eastAsia="宋体" w:cs="Arial"/>
                <w:color w:val="000000"/>
                <w:sz w:val="24"/>
                <w:szCs w:val="24"/>
                <w:highlight w:val="none"/>
              </w:rPr>
              <w:t>并加盖公章）</w:t>
            </w:r>
            <w:r>
              <w:rPr>
                <w:rFonts w:hint="eastAsia" w:cs="Arial"/>
                <w:color w:val="000000"/>
                <w:sz w:val="24"/>
                <w:szCs w:val="24"/>
                <w:highlight w:val="none"/>
                <w:lang w:eastAsia="zh-CN"/>
              </w:rPr>
              <w:t>。</w:t>
            </w:r>
          </w:p>
          <w:p w14:paraId="4956AC3A">
            <w:pPr>
              <w:pStyle w:val="50"/>
              <w:ind w:firstLine="0"/>
              <w:rPr>
                <w:rFonts w:cs="宋体"/>
                <w:color w:val="000000" w:themeColor="text1"/>
                <w:highlight w:val="none"/>
                <w14:textFill>
                  <w14:solidFill>
                    <w14:schemeClr w14:val="tx1"/>
                  </w14:solidFill>
                </w14:textFill>
              </w:rPr>
            </w:pPr>
            <w:r>
              <w:rPr>
                <w:rFonts w:hint="eastAsia" w:cs="宋体"/>
                <w:b/>
                <w:bCs/>
                <w:color w:val="000000" w:themeColor="text1"/>
                <w:highlight w:val="none"/>
                <w14:textFill>
                  <w14:solidFill>
                    <w14:schemeClr w14:val="tx1"/>
                  </w14:solidFill>
                </w14:textFill>
              </w:rPr>
              <w:t>说明：以上资格证明材料均须在投标文件中提供，缺项将被拒绝。</w:t>
            </w:r>
          </w:p>
        </w:tc>
      </w:tr>
      <w:tr w14:paraId="544A94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3" w:type="dxa"/>
            <w:tcBorders>
              <w:top w:val="single" w:color="auto" w:sz="4" w:space="0"/>
              <w:left w:val="single" w:color="auto" w:sz="4" w:space="0"/>
              <w:bottom w:val="single" w:color="auto" w:sz="4" w:space="0"/>
              <w:right w:val="single" w:color="auto" w:sz="4" w:space="0"/>
            </w:tcBorders>
            <w:vAlign w:val="center"/>
          </w:tcPr>
          <w:p w14:paraId="57C0EB78">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w:t>
            </w:r>
          </w:p>
        </w:tc>
        <w:tc>
          <w:tcPr>
            <w:tcW w:w="9628" w:type="dxa"/>
            <w:tcBorders>
              <w:top w:val="single" w:color="auto" w:sz="4" w:space="0"/>
              <w:left w:val="single" w:color="auto" w:sz="4" w:space="0"/>
              <w:bottom w:val="single" w:color="auto" w:sz="4" w:space="0"/>
              <w:right w:val="single" w:color="auto" w:sz="4" w:space="0"/>
            </w:tcBorders>
            <w:vAlign w:val="center"/>
          </w:tcPr>
          <w:p w14:paraId="220FFB95">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投标保证金形式：以支票、汇票、本票或者金融机构、担保机构出具的保函等非现金形式提交；投标保证金有效期与投标有效期一致。</w:t>
            </w:r>
          </w:p>
        </w:tc>
      </w:tr>
      <w:tr w14:paraId="5D5360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3" w:type="dxa"/>
            <w:tcBorders>
              <w:top w:val="single" w:color="auto" w:sz="4" w:space="0"/>
              <w:left w:val="single" w:color="auto" w:sz="4" w:space="0"/>
              <w:bottom w:val="single" w:color="auto" w:sz="4" w:space="0"/>
              <w:right w:val="single" w:color="auto" w:sz="4" w:space="0"/>
            </w:tcBorders>
            <w:vAlign w:val="center"/>
          </w:tcPr>
          <w:p w14:paraId="7D780A17">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p>
        </w:tc>
        <w:tc>
          <w:tcPr>
            <w:tcW w:w="9628" w:type="dxa"/>
            <w:tcBorders>
              <w:top w:val="single" w:color="auto" w:sz="4" w:space="0"/>
              <w:left w:val="single" w:color="auto" w:sz="4" w:space="0"/>
              <w:bottom w:val="single" w:color="auto" w:sz="4" w:space="0"/>
              <w:right w:val="single" w:color="auto" w:sz="4" w:space="0"/>
            </w:tcBorders>
            <w:vAlign w:val="center"/>
          </w:tcPr>
          <w:p w14:paraId="60171F94">
            <w:pPr>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投标有效期90天（如不满足将导致废标）</w:t>
            </w:r>
          </w:p>
        </w:tc>
      </w:tr>
      <w:tr w14:paraId="4FF44C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803" w:type="dxa"/>
            <w:tcBorders>
              <w:top w:val="single" w:color="auto" w:sz="4" w:space="0"/>
              <w:left w:val="single" w:color="auto" w:sz="4" w:space="0"/>
              <w:bottom w:val="single" w:color="auto" w:sz="4" w:space="0"/>
              <w:right w:val="single" w:color="auto" w:sz="4" w:space="0"/>
            </w:tcBorders>
            <w:vAlign w:val="center"/>
          </w:tcPr>
          <w:p w14:paraId="7F3CC341">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w:t>
            </w:r>
          </w:p>
        </w:tc>
        <w:tc>
          <w:tcPr>
            <w:tcW w:w="9628" w:type="dxa"/>
            <w:tcBorders>
              <w:top w:val="single" w:color="auto" w:sz="4" w:space="0"/>
              <w:left w:val="single" w:color="auto" w:sz="4" w:space="0"/>
              <w:bottom w:val="single" w:color="auto" w:sz="4" w:space="0"/>
              <w:right w:val="single" w:color="auto" w:sz="4" w:space="0"/>
            </w:tcBorders>
            <w:vAlign w:val="center"/>
          </w:tcPr>
          <w:p w14:paraId="7F888A9F">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电子投标文件以密封形式递交至：政采云线上（www.zcygov.cn）</w:t>
            </w:r>
          </w:p>
          <w:p w14:paraId="4C73BD75">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投标文件递交截止时间：</w:t>
            </w:r>
            <w:r>
              <w:rPr>
                <w:rFonts w:hint="eastAsia" w:ascii="宋体" w:hAnsi="宋体" w:cs="宋体"/>
                <w:color w:val="000000" w:themeColor="text1"/>
                <w:sz w:val="24"/>
                <w:szCs w:val="24"/>
                <w:highlight w:val="none"/>
                <w:lang w:eastAsia="zh-CN"/>
                <w14:textFill>
                  <w14:solidFill>
                    <w14:schemeClr w14:val="tx1"/>
                  </w14:solidFill>
                </w14:textFill>
              </w:rPr>
              <w:t>2026年6月8日10 ：30时</w:t>
            </w:r>
            <w:r>
              <w:rPr>
                <w:rFonts w:hint="eastAsia" w:ascii="宋体" w:hAnsi="宋体" w:cs="宋体"/>
                <w:color w:val="000000" w:themeColor="text1"/>
                <w:sz w:val="24"/>
                <w:szCs w:val="24"/>
                <w:highlight w:val="none"/>
                <w14:textFill>
                  <w14:solidFill>
                    <w14:schemeClr w14:val="tx1"/>
                  </w14:solidFill>
                </w14:textFill>
              </w:rPr>
              <w:t>（北京时间）</w:t>
            </w:r>
          </w:p>
        </w:tc>
      </w:tr>
      <w:tr w14:paraId="1EC423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803" w:type="dxa"/>
            <w:tcBorders>
              <w:top w:val="single" w:color="auto" w:sz="4" w:space="0"/>
              <w:left w:val="single" w:color="auto" w:sz="4" w:space="0"/>
              <w:bottom w:val="single" w:color="auto" w:sz="4" w:space="0"/>
              <w:right w:val="single" w:color="auto" w:sz="4" w:space="0"/>
            </w:tcBorders>
            <w:vAlign w:val="center"/>
          </w:tcPr>
          <w:p w14:paraId="58BEA94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w:t>
            </w:r>
          </w:p>
        </w:tc>
        <w:tc>
          <w:tcPr>
            <w:tcW w:w="9628" w:type="dxa"/>
            <w:tcBorders>
              <w:top w:val="single" w:color="auto" w:sz="4" w:space="0"/>
              <w:left w:val="single" w:color="auto" w:sz="4" w:space="0"/>
              <w:bottom w:val="single" w:color="auto" w:sz="4" w:space="0"/>
              <w:right w:val="single" w:color="auto" w:sz="4" w:space="0"/>
            </w:tcBorders>
            <w:vAlign w:val="center"/>
          </w:tcPr>
          <w:p w14:paraId="0D9311EF">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开标日期：</w:t>
            </w:r>
            <w:r>
              <w:rPr>
                <w:rFonts w:hint="eastAsia" w:ascii="宋体" w:hAnsi="宋体" w:cs="宋体"/>
                <w:color w:val="000000" w:themeColor="text1"/>
                <w:sz w:val="24"/>
                <w:szCs w:val="24"/>
                <w:highlight w:val="none"/>
                <w:lang w:eastAsia="zh-CN"/>
                <w14:textFill>
                  <w14:solidFill>
                    <w14:schemeClr w14:val="tx1"/>
                  </w14:solidFill>
                </w14:textFill>
              </w:rPr>
              <w:t>2026年6月8日10 ：30时</w:t>
            </w:r>
            <w:r>
              <w:rPr>
                <w:rFonts w:hint="eastAsia" w:ascii="宋体" w:hAnsi="宋体" w:cs="宋体"/>
                <w:color w:val="000000" w:themeColor="text1"/>
                <w:sz w:val="24"/>
                <w:szCs w:val="24"/>
                <w:highlight w:val="none"/>
                <w14:textFill>
                  <w14:solidFill>
                    <w14:schemeClr w14:val="tx1"/>
                  </w14:solidFill>
                </w14:textFill>
              </w:rPr>
              <w:t>（北京时间）</w:t>
            </w:r>
          </w:p>
          <w:p w14:paraId="1F7CD21A">
            <w:pPr>
              <w:pStyle w:val="50"/>
              <w:ind w:firstLine="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开标地点：政采云线上（www.zcygov.cn）</w:t>
            </w:r>
          </w:p>
          <w:p w14:paraId="4B5DA08F">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评标地址：</w:t>
            </w:r>
            <w:r>
              <w:rPr>
                <w:rFonts w:hint="eastAsia" w:ascii="宋体" w:hAnsi="宋体" w:cs="宋体"/>
                <w:color w:val="000000" w:themeColor="text1"/>
                <w:sz w:val="24"/>
                <w:highlight w:val="none"/>
                <w14:textFill>
                  <w14:solidFill>
                    <w14:schemeClr w14:val="tx1"/>
                  </w14:solidFill>
                </w14:textFill>
              </w:rPr>
              <w:t>洛浦县政务服务和公共资源交易中心（洛浦县北京工业园区北园区振兴路 10</w:t>
            </w:r>
          </w:p>
          <w:p w14:paraId="55A9AFBE">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号）</w:t>
            </w:r>
          </w:p>
        </w:tc>
      </w:tr>
      <w:tr w14:paraId="09267A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803" w:type="dxa"/>
            <w:tcBorders>
              <w:top w:val="single" w:color="auto" w:sz="4" w:space="0"/>
              <w:left w:val="single" w:color="auto" w:sz="4" w:space="0"/>
              <w:bottom w:val="single" w:color="auto" w:sz="4" w:space="0"/>
              <w:right w:val="single" w:color="auto" w:sz="4" w:space="0"/>
            </w:tcBorders>
            <w:vAlign w:val="center"/>
          </w:tcPr>
          <w:p w14:paraId="6FE07759">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w:t>
            </w:r>
          </w:p>
        </w:tc>
        <w:tc>
          <w:tcPr>
            <w:tcW w:w="9628" w:type="dxa"/>
            <w:tcBorders>
              <w:top w:val="single" w:color="auto" w:sz="4" w:space="0"/>
              <w:left w:val="single" w:color="auto" w:sz="4" w:space="0"/>
              <w:bottom w:val="single" w:color="auto" w:sz="4" w:space="0"/>
              <w:right w:val="single" w:color="auto" w:sz="4" w:space="0"/>
            </w:tcBorders>
            <w:vAlign w:val="center"/>
          </w:tcPr>
          <w:p w14:paraId="3DFD513A">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投标语言：中文</w:t>
            </w:r>
          </w:p>
        </w:tc>
      </w:tr>
      <w:tr w14:paraId="01AE85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803" w:type="dxa"/>
            <w:tcBorders>
              <w:top w:val="single" w:color="auto" w:sz="4" w:space="0"/>
              <w:left w:val="single" w:color="auto" w:sz="4" w:space="0"/>
              <w:bottom w:val="single" w:color="auto" w:sz="4" w:space="0"/>
              <w:right w:val="single" w:color="auto" w:sz="4" w:space="0"/>
            </w:tcBorders>
            <w:vAlign w:val="center"/>
          </w:tcPr>
          <w:p w14:paraId="53E34FA9">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w:t>
            </w:r>
          </w:p>
        </w:tc>
        <w:tc>
          <w:tcPr>
            <w:tcW w:w="9628" w:type="dxa"/>
            <w:tcBorders>
              <w:top w:val="single" w:color="auto" w:sz="4" w:space="0"/>
              <w:left w:val="single" w:color="auto" w:sz="4" w:space="0"/>
              <w:bottom w:val="single" w:color="auto" w:sz="4" w:space="0"/>
              <w:right w:val="single" w:color="auto" w:sz="4" w:space="0"/>
            </w:tcBorders>
            <w:vAlign w:val="center"/>
          </w:tcPr>
          <w:p w14:paraId="57E9606F">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投标货币：人民币</w:t>
            </w:r>
          </w:p>
        </w:tc>
      </w:tr>
      <w:tr w14:paraId="6C7FDC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803" w:type="dxa"/>
            <w:tcBorders>
              <w:top w:val="single" w:color="auto" w:sz="4" w:space="0"/>
              <w:left w:val="single" w:color="auto" w:sz="4" w:space="0"/>
              <w:bottom w:val="single" w:color="auto" w:sz="4" w:space="0"/>
              <w:right w:val="single" w:color="auto" w:sz="4" w:space="0"/>
            </w:tcBorders>
            <w:vAlign w:val="center"/>
          </w:tcPr>
          <w:p w14:paraId="7E4D7C9A">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w:t>
            </w:r>
          </w:p>
        </w:tc>
        <w:tc>
          <w:tcPr>
            <w:tcW w:w="9628" w:type="dxa"/>
            <w:tcBorders>
              <w:top w:val="single" w:color="auto" w:sz="4" w:space="0"/>
              <w:left w:val="single" w:color="auto" w:sz="4" w:space="0"/>
              <w:bottom w:val="single" w:color="auto" w:sz="4" w:space="0"/>
              <w:right w:val="single" w:color="auto" w:sz="4" w:space="0"/>
            </w:tcBorders>
            <w:vAlign w:val="center"/>
          </w:tcPr>
          <w:p w14:paraId="71DE4ADC">
            <w:pPr>
              <w:spacing w:line="360" w:lineRule="auto"/>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资金来源：</w:t>
            </w:r>
            <w:r>
              <w:rPr>
                <w:rFonts w:hint="eastAsia" w:ascii="宋体" w:hAnsi="宋体" w:cs="宋体"/>
                <w:color w:val="000000" w:themeColor="text1"/>
                <w:sz w:val="24"/>
                <w:szCs w:val="24"/>
                <w:highlight w:val="none"/>
                <w:lang w:eastAsia="zh-CN"/>
                <w14:textFill>
                  <w14:solidFill>
                    <w14:schemeClr w14:val="tx1"/>
                  </w14:solidFill>
                </w14:textFill>
              </w:rPr>
              <w:t>中央预算内资金</w:t>
            </w:r>
          </w:p>
        </w:tc>
      </w:tr>
      <w:tr w14:paraId="051370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803" w:type="dxa"/>
            <w:tcBorders>
              <w:top w:val="single" w:color="auto" w:sz="4" w:space="0"/>
              <w:left w:val="single" w:color="auto" w:sz="4" w:space="0"/>
              <w:bottom w:val="single" w:color="auto" w:sz="4" w:space="0"/>
              <w:right w:val="single" w:color="auto" w:sz="4" w:space="0"/>
            </w:tcBorders>
            <w:vAlign w:val="center"/>
          </w:tcPr>
          <w:p w14:paraId="111E4EF6">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w:t>
            </w:r>
          </w:p>
        </w:tc>
        <w:tc>
          <w:tcPr>
            <w:tcW w:w="9628" w:type="dxa"/>
            <w:tcBorders>
              <w:top w:val="single" w:color="auto" w:sz="4" w:space="0"/>
              <w:left w:val="single" w:color="auto" w:sz="4" w:space="0"/>
              <w:bottom w:val="single" w:color="auto" w:sz="4" w:space="0"/>
              <w:right w:val="single" w:color="auto" w:sz="4" w:space="0"/>
            </w:tcBorders>
            <w:vAlign w:val="center"/>
          </w:tcPr>
          <w:p w14:paraId="5BA28043">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评标办法：综合评分法</w:t>
            </w:r>
          </w:p>
        </w:tc>
      </w:tr>
      <w:tr w14:paraId="49F241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803" w:type="dxa"/>
            <w:tcBorders>
              <w:top w:val="single" w:color="auto" w:sz="4" w:space="0"/>
              <w:left w:val="single" w:color="auto" w:sz="4" w:space="0"/>
              <w:bottom w:val="single" w:color="auto" w:sz="4" w:space="0"/>
              <w:right w:val="single" w:color="auto" w:sz="4" w:space="0"/>
            </w:tcBorders>
            <w:vAlign w:val="center"/>
          </w:tcPr>
          <w:p w14:paraId="1229AF4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15</w:t>
            </w:r>
          </w:p>
        </w:tc>
        <w:tc>
          <w:tcPr>
            <w:tcW w:w="9628" w:type="dxa"/>
            <w:tcBorders>
              <w:top w:val="single" w:color="auto" w:sz="4" w:space="0"/>
              <w:left w:val="single" w:color="auto" w:sz="4" w:space="0"/>
              <w:bottom w:val="single" w:color="auto" w:sz="4" w:space="0"/>
              <w:right w:val="single" w:color="auto" w:sz="4" w:space="0"/>
            </w:tcBorders>
            <w:vAlign w:val="center"/>
          </w:tcPr>
          <w:p w14:paraId="609B6272">
            <w:pPr>
              <w:spacing w:line="360" w:lineRule="auto"/>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招标范围：和田地区洛浦县县域医共体资源共享中心强化提升建设项目（综合中心设备）</w:t>
            </w:r>
            <w:r>
              <w:rPr>
                <w:rFonts w:hint="eastAsia" w:ascii="宋体" w:hAnsi="宋体" w:cs="宋体"/>
                <w:b w:val="0"/>
                <w:bCs w:val="0"/>
                <w:color w:val="000000" w:themeColor="text1"/>
                <w:sz w:val="24"/>
                <w:szCs w:val="24"/>
                <w:highlight w:val="none"/>
                <w:lang w:bidi="ar"/>
                <w14:textFill>
                  <w14:solidFill>
                    <w14:schemeClr w14:val="tx1"/>
                  </w14:solidFill>
                </w14:textFill>
              </w:rPr>
              <w:t>第</w:t>
            </w:r>
            <w:r>
              <w:rPr>
                <w:rFonts w:hint="eastAsia" w:ascii="宋体" w:hAnsi="宋体" w:cs="宋体"/>
                <w:b w:val="0"/>
                <w:bCs w:val="0"/>
                <w:color w:val="000000" w:themeColor="text1"/>
                <w:sz w:val="24"/>
                <w:szCs w:val="24"/>
                <w:highlight w:val="none"/>
                <w:lang w:val="en-US" w:eastAsia="zh-CN" w:bidi="ar"/>
                <w14:textFill>
                  <w14:solidFill>
                    <w14:schemeClr w14:val="tx1"/>
                  </w14:solidFill>
                </w14:textFill>
              </w:rPr>
              <w:t>一</w:t>
            </w:r>
            <w:r>
              <w:rPr>
                <w:rFonts w:hint="eastAsia" w:ascii="宋体" w:hAnsi="宋体" w:cs="宋体"/>
                <w:b w:val="0"/>
                <w:bCs w:val="0"/>
                <w:color w:val="000000" w:themeColor="text1"/>
                <w:sz w:val="24"/>
                <w:szCs w:val="24"/>
                <w:highlight w:val="none"/>
                <w:lang w:bidi="ar"/>
                <w14:textFill>
                  <w14:solidFill>
                    <w14:schemeClr w14:val="tx1"/>
                  </w14:solidFill>
                </w14:textFill>
              </w:rPr>
              <w:t>包</w:t>
            </w:r>
            <w:r>
              <w:rPr>
                <w:rFonts w:hint="eastAsia" w:ascii="宋体" w:hAnsi="宋体" w:cs="宋体"/>
                <w:b w:val="0"/>
                <w:bCs w:val="0"/>
                <w:color w:val="000000" w:themeColor="text1"/>
                <w:sz w:val="24"/>
                <w:szCs w:val="24"/>
                <w:highlight w:val="none"/>
                <w:lang w:eastAsia="zh-CN" w:bidi="ar"/>
                <w14:textFill>
                  <w14:solidFill>
                    <w14:schemeClr w14:val="tx1"/>
                  </w14:solidFill>
                </w14:textFill>
              </w:rPr>
              <w:t>：</w:t>
            </w:r>
            <w:r>
              <w:rPr>
                <w:rFonts w:hint="eastAsia" w:ascii="宋体" w:hAnsi="宋体" w:cs="宋体"/>
                <w:b w:val="0"/>
                <w:bCs w:val="0"/>
                <w:color w:val="000000" w:themeColor="text1"/>
                <w:sz w:val="24"/>
                <w:szCs w:val="24"/>
                <w:highlight w:val="none"/>
                <w14:textFill>
                  <w14:solidFill>
                    <w14:schemeClr w14:val="tx1"/>
                  </w14:solidFill>
                </w14:textFill>
              </w:rPr>
              <w:t>超声诊断设备（B超）</w:t>
            </w:r>
            <w:r>
              <w:rPr>
                <w:rFonts w:hint="eastAsia" w:ascii="宋体" w:hAnsi="宋体" w:cs="宋体"/>
                <w:b w:val="0"/>
                <w:bCs w:val="0"/>
                <w:color w:val="000000" w:themeColor="text1"/>
                <w:sz w:val="24"/>
                <w:szCs w:val="24"/>
                <w:highlight w:val="none"/>
                <w:lang w:eastAsia="zh-CN"/>
                <w14:textFill>
                  <w14:solidFill>
                    <w14:schemeClr w14:val="tx1"/>
                  </w14:solidFill>
                </w14:textFill>
              </w:rPr>
              <w:t>、便携式彩超、彩超</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等设备</w:t>
            </w:r>
          </w:p>
          <w:p w14:paraId="5E43D170">
            <w:pPr>
              <w:spacing w:line="360" w:lineRule="auto"/>
              <w:rPr>
                <w:rFonts w:hint="eastAsia" w:ascii="宋体" w:hAnsi="宋体" w:cs="宋体"/>
                <w:b w:val="0"/>
                <w:bCs w:val="0"/>
                <w:color w:val="000000" w:themeColor="text1"/>
                <w:sz w:val="24"/>
                <w:szCs w:val="24"/>
                <w:highlight w:val="none"/>
                <w:lang w:eastAsia="zh-CN"/>
                <w14:textFill>
                  <w14:solidFill>
                    <w14:schemeClr w14:val="tx1"/>
                  </w14:solidFill>
                </w14:textFill>
              </w:rPr>
            </w:pPr>
            <w:r>
              <w:rPr>
                <w:rFonts w:hint="eastAsia" w:ascii="宋体" w:hAnsi="宋体" w:cs="宋体"/>
                <w:b w:val="0"/>
                <w:bCs w:val="0"/>
                <w:color w:val="000000" w:themeColor="text1"/>
                <w:sz w:val="24"/>
                <w:szCs w:val="24"/>
                <w:highlight w:val="none"/>
                <w:lang w:bidi="ar"/>
                <w14:textFill>
                  <w14:solidFill>
                    <w14:schemeClr w14:val="tx1"/>
                  </w14:solidFill>
                </w14:textFill>
              </w:rPr>
              <w:t>第</w:t>
            </w:r>
            <w:r>
              <w:rPr>
                <w:rFonts w:hint="eastAsia" w:ascii="宋体" w:hAnsi="宋体" w:cs="宋体"/>
                <w:b w:val="0"/>
                <w:bCs w:val="0"/>
                <w:color w:val="000000" w:themeColor="text1"/>
                <w:sz w:val="24"/>
                <w:szCs w:val="24"/>
                <w:highlight w:val="none"/>
                <w:lang w:val="en-US" w:eastAsia="zh-CN" w:bidi="ar"/>
                <w14:textFill>
                  <w14:solidFill>
                    <w14:schemeClr w14:val="tx1"/>
                  </w14:solidFill>
                </w14:textFill>
              </w:rPr>
              <w:t>二</w:t>
            </w:r>
            <w:r>
              <w:rPr>
                <w:rFonts w:hint="eastAsia" w:ascii="宋体" w:hAnsi="宋体" w:cs="宋体"/>
                <w:b w:val="0"/>
                <w:bCs w:val="0"/>
                <w:color w:val="000000" w:themeColor="text1"/>
                <w:sz w:val="24"/>
                <w:szCs w:val="24"/>
                <w:highlight w:val="none"/>
                <w:lang w:bidi="ar"/>
                <w14:textFill>
                  <w14:solidFill>
                    <w14:schemeClr w14:val="tx1"/>
                  </w14:solidFill>
                </w14:textFill>
              </w:rPr>
              <w:t>包</w:t>
            </w:r>
            <w:r>
              <w:rPr>
                <w:rFonts w:hint="eastAsia" w:ascii="宋体" w:hAnsi="宋体" w:cs="宋体"/>
                <w:b w:val="0"/>
                <w:bCs w:val="0"/>
                <w:color w:val="000000" w:themeColor="text1"/>
                <w:sz w:val="24"/>
                <w:szCs w:val="24"/>
                <w:highlight w:val="none"/>
                <w:lang w:eastAsia="zh-CN" w:bidi="ar"/>
                <w14:textFill>
                  <w14:solidFill>
                    <w14:schemeClr w14:val="tx1"/>
                  </w14:solidFill>
                </w14:textFill>
              </w:rPr>
              <w:t>：</w:t>
            </w:r>
            <w:r>
              <w:rPr>
                <w:rFonts w:hint="eastAsia" w:ascii="宋体" w:hAnsi="宋体" w:cs="宋体"/>
                <w:b w:val="0"/>
                <w:bCs w:val="0"/>
                <w:color w:val="000000" w:themeColor="text1"/>
                <w:sz w:val="24"/>
                <w:szCs w:val="24"/>
                <w:highlight w:val="none"/>
                <w14:textFill>
                  <w14:solidFill>
                    <w14:schemeClr w14:val="tx1"/>
                  </w14:solidFill>
                </w14:textFill>
              </w:rPr>
              <w:t>心电监护仪</w:t>
            </w:r>
            <w:r>
              <w:rPr>
                <w:rFonts w:hint="eastAsia" w:ascii="宋体" w:hAnsi="宋体" w:cs="宋体"/>
                <w:b w:val="0"/>
                <w:bCs w:val="0"/>
                <w:color w:val="000000" w:themeColor="text1"/>
                <w:sz w:val="24"/>
                <w:szCs w:val="24"/>
                <w:highlight w:val="none"/>
                <w:lang w:eastAsia="zh-CN"/>
                <w14:textFill>
                  <w14:solidFill>
                    <w14:schemeClr w14:val="tx1"/>
                  </w14:solidFill>
                </w14:textFill>
              </w:rPr>
              <w:t>、动态心电记录盒、动态血压记录盒</w:t>
            </w:r>
          </w:p>
          <w:p w14:paraId="6001C96F">
            <w:pPr>
              <w:spacing w:line="360" w:lineRule="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bidi="ar"/>
                <w14:textFill>
                  <w14:solidFill>
                    <w14:schemeClr w14:val="tx1"/>
                  </w14:solidFill>
                </w14:textFill>
              </w:rPr>
              <w:t>第</w:t>
            </w:r>
            <w:r>
              <w:rPr>
                <w:rFonts w:hint="eastAsia" w:ascii="宋体" w:hAnsi="宋体" w:cs="宋体"/>
                <w:b w:val="0"/>
                <w:bCs w:val="0"/>
                <w:color w:val="000000" w:themeColor="text1"/>
                <w:sz w:val="24"/>
                <w:szCs w:val="24"/>
                <w:highlight w:val="none"/>
                <w:lang w:val="en-US" w:eastAsia="zh-CN" w:bidi="ar"/>
                <w14:textFill>
                  <w14:solidFill>
                    <w14:schemeClr w14:val="tx1"/>
                  </w14:solidFill>
                </w14:textFill>
              </w:rPr>
              <w:t>三</w:t>
            </w:r>
            <w:r>
              <w:rPr>
                <w:rFonts w:hint="eastAsia" w:ascii="宋体" w:hAnsi="宋体" w:cs="宋体"/>
                <w:b w:val="0"/>
                <w:bCs w:val="0"/>
                <w:color w:val="000000" w:themeColor="text1"/>
                <w:sz w:val="24"/>
                <w:szCs w:val="24"/>
                <w:highlight w:val="none"/>
                <w:lang w:bidi="ar"/>
                <w14:textFill>
                  <w14:solidFill>
                    <w14:schemeClr w14:val="tx1"/>
                  </w14:solidFill>
                </w14:textFill>
              </w:rPr>
              <w:t>包</w:t>
            </w:r>
            <w:r>
              <w:rPr>
                <w:rFonts w:hint="eastAsia" w:ascii="宋体" w:hAnsi="宋体" w:cs="宋体"/>
                <w:b w:val="0"/>
                <w:bCs w:val="0"/>
                <w:color w:val="000000" w:themeColor="text1"/>
                <w:sz w:val="24"/>
                <w:szCs w:val="24"/>
                <w:highlight w:val="none"/>
                <w:lang w:eastAsia="zh-CN" w:bidi="ar"/>
                <w14:textFill>
                  <w14:solidFill>
                    <w14:schemeClr w14:val="tx1"/>
                  </w14:solidFill>
                </w14:textFill>
              </w:rPr>
              <w:t>：</w:t>
            </w:r>
            <w:r>
              <w:rPr>
                <w:rFonts w:hint="eastAsia" w:ascii="宋体" w:hAnsi="宋体" w:cs="宋体"/>
                <w:b w:val="0"/>
                <w:bCs w:val="0"/>
                <w:color w:val="000000" w:themeColor="text1"/>
                <w:sz w:val="24"/>
                <w:szCs w:val="24"/>
                <w:highlight w:val="none"/>
                <w14:textFill>
                  <w14:solidFill>
                    <w14:schemeClr w14:val="tx1"/>
                  </w14:solidFill>
                </w14:textFill>
              </w:rPr>
              <w:t>超声波清洗机</w:t>
            </w:r>
            <w:r>
              <w:rPr>
                <w:rFonts w:hint="eastAsia" w:ascii="宋体" w:hAnsi="宋体" w:cs="宋体"/>
                <w:b w:val="0"/>
                <w:bCs w:val="0"/>
                <w:color w:val="000000" w:themeColor="text1"/>
                <w:sz w:val="24"/>
                <w:szCs w:val="24"/>
                <w:highlight w:val="none"/>
                <w:lang w:eastAsia="zh-CN"/>
                <w14:textFill>
                  <w14:solidFill>
                    <w14:schemeClr w14:val="tx1"/>
                  </w14:solidFill>
                </w14:textFill>
              </w:rPr>
              <w:t>、热风枪、蒸汽发生器</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等设备</w:t>
            </w:r>
          </w:p>
        </w:tc>
      </w:tr>
      <w:tr w14:paraId="24FF01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803" w:type="dxa"/>
            <w:tcBorders>
              <w:top w:val="single" w:color="auto" w:sz="4" w:space="0"/>
              <w:left w:val="single" w:color="auto" w:sz="4" w:space="0"/>
              <w:bottom w:val="single" w:color="auto" w:sz="4" w:space="0"/>
              <w:right w:val="single" w:color="auto" w:sz="4" w:space="0"/>
            </w:tcBorders>
            <w:vAlign w:val="center"/>
          </w:tcPr>
          <w:p w14:paraId="387BE15E">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16</w:t>
            </w:r>
          </w:p>
        </w:tc>
        <w:tc>
          <w:tcPr>
            <w:tcW w:w="9628" w:type="dxa"/>
            <w:tcBorders>
              <w:top w:val="single" w:color="auto" w:sz="4" w:space="0"/>
              <w:left w:val="single" w:color="auto" w:sz="4" w:space="0"/>
              <w:bottom w:val="single" w:color="auto" w:sz="4" w:space="0"/>
              <w:right w:val="single" w:color="auto" w:sz="4" w:space="0"/>
            </w:tcBorders>
            <w:vAlign w:val="center"/>
          </w:tcPr>
          <w:p w14:paraId="6CCEC698">
            <w:pPr>
              <w:spacing w:line="360" w:lineRule="auto"/>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eastAsia="zh-CN"/>
                <w14:textFill>
                  <w14:solidFill>
                    <w14:schemeClr w14:val="tx1"/>
                  </w14:solidFill>
                </w14:textFill>
              </w:rPr>
              <w:t>交货期</w:t>
            </w:r>
            <w:r>
              <w:rPr>
                <w:rFonts w:hint="eastAsia" w:ascii="宋体" w:hAnsi="宋体" w:cs="宋体"/>
                <w:b/>
                <w:bCs/>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合同签订后45日历日内完成供货，60日历日内完成安装验收。</w:t>
            </w:r>
          </w:p>
        </w:tc>
      </w:tr>
      <w:tr w14:paraId="09816E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803" w:type="dxa"/>
            <w:tcBorders>
              <w:top w:val="single" w:color="auto" w:sz="4" w:space="0"/>
              <w:left w:val="single" w:color="auto" w:sz="4" w:space="0"/>
              <w:bottom w:val="single" w:color="auto" w:sz="4" w:space="0"/>
              <w:right w:val="single" w:color="auto" w:sz="4" w:space="0"/>
            </w:tcBorders>
            <w:vAlign w:val="center"/>
          </w:tcPr>
          <w:p w14:paraId="08108DDC">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w:t>
            </w:r>
          </w:p>
        </w:tc>
        <w:tc>
          <w:tcPr>
            <w:tcW w:w="9628" w:type="dxa"/>
            <w:tcBorders>
              <w:top w:val="single" w:color="auto" w:sz="4" w:space="0"/>
              <w:left w:val="single" w:color="auto" w:sz="4" w:space="0"/>
              <w:bottom w:val="single" w:color="auto" w:sz="4" w:space="0"/>
              <w:right w:val="single" w:color="auto" w:sz="4" w:space="0"/>
            </w:tcBorders>
            <w:vAlign w:val="center"/>
          </w:tcPr>
          <w:p w14:paraId="2361B368">
            <w:pPr>
              <w:rPr>
                <w:rFonts w:hint="eastAsia" w:ascii="宋体" w:hAnsi="宋体" w:eastAsia="宋体" w:cs="宋体"/>
                <w:b/>
                <w:bCs/>
                <w:sz w:val="24"/>
                <w:szCs w:val="24"/>
                <w:highlight w:val="none"/>
              </w:rPr>
            </w:pPr>
            <w:r>
              <w:rPr>
                <w:rFonts w:hint="eastAsia" w:ascii="宋体" w:hAnsi="宋体" w:cs="宋体"/>
                <w:b/>
                <w:bCs/>
                <w:sz w:val="24"/>
                <w:szCs w:val="24"/>
                <w:highlight w:val="none"/>
              </w:rPr>
              <w:t>投标报价（即开标报价）不得有选择性报价和附有条件的报价，</w:t>
            </w:r>
            <w:r>
              <w:rPr>
                <w:rFonts w:hint="eastAsia" w:ascii="宋体" w:hAnsi="宋体" w:eastAsia="宋体" w:cs="宋体"/>
                <w:b/>
                <w:bCs/>
                <w:sz w:val="24"/>
                <w:szCs w:val="24"/>
                <w:highlight w:val="none"/>
              </w:rPr>
              <w:t>不得高于设定的预算总金额，每项设备的单价不能超过预算单价，否则其投标无效。</w:t>
            </w:r>
          </w:p>
          <w:p w14:paraId="0F758F90">
            <w:pPr>
              <w:pStyle w:val="5"/>
              <w:ind w:firstLine="0" w:firstLineChars="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备注：</w:t>
            </w:r>
            <w:r>
              <w:rPr>
                <w:rFonts w:hint="eastAsia" w:ascii="宋体" w:hAnsi="宋体" w:cs="宋体"/>
                <w:b/>
                <w:bCs/>
                <w:color w:val="000000" w:themeColor="text1"/>
                <w:sz w:val="24"/>
                <w:highlight w:val="none"/>
                <w14:textFill>
                  <w14:solidFill>
                    <w14:schemeClr w14:val="tx1"/>
                  </w14:solidFill>
                </w14:textFill>
              </w:rPr>
              <w:t>1、合同内所购设备与医院信息系统相匹配连接，所需要的网络端口费用，由中标方承担</w:t>
            </w:r>
          </w:p>
          <w:p w14:paraId="4D133667">
            <w:pP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2、</w:t>
            </w:r>
            <w:r>
              <w:rPr>
                <w:rFonts w:hint="eastAsia" w:ascii="宋体" w:hAnsi="宋体" w:cs="宋体"/>
                <w:b/>
                <w:bCs/>
                <w:color w:val="000000" w:themeColor="text1"/>
                <w:sz w:val="24"/>
                <w:szCs w:val="24"/>
                <w:highlight w:val="none"/>
                <w:lang w:val="en-US" w:eastAsia="zh-CN"/>
                <w14:textFill>
                  <w14:solidFill>
                    <w14:schemeClr w14:val="tx1"/>
                  </w14:solidFill>
                </w14:textFill>
              </w:rPr>
              <w:t>包括</w:t>
            </w:r>
            <w:r>
              <w:rPr>
                <w:rFonts w:hint="eastAsia" w:ascii="宋体" w:hAnsi="宋体" w:cs="宋体"/>
                <w:b/>
                <w:bCs/>
                <w:color w:val="000000" w:themeColor="text1"/>
                <w:sz w:val="24"/>
                <w:szCs w:val="24"/>
                <w:highlight w:val="none"/>
                <w14:textFill>
                  <w14:solidFill>
                    <w14:schemeClr w14:val="tx1"/>
                  </w14:solidFill>
                </w14:textFill>
              </w:rPr>
              <w:t>附属配置。</w:t>
            </w:r>
          </w:p>
          <w:p w14:paraId="566ADC40">
            <w:pP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3、提供所投产品的最新版本原厂技术白皮书</w:t>
            </w:r>
          </w:p>
        </w:tc>
      </w:tr>
      <w:tr w14:paraId="470451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803" w:type="dxa"/>
            <w:tcBorders>
              <w:top w:val="single" w:color="auto" w:sz="4" w:space="0"/>
              <w:left w:val="single" w:color="auto" w:sz="4" w:space="0"/>
              <w:bottom w:val="single" w:color="auto" w:sz="4" w:space="0"/>
              <w:right w:val="single" w:color="auto" w:sz="4" w:space="0"/>
            </w:tcBorders>
            <w:vAlign w:val="center"/>
          </w:tcPr>
          <w:p w14:paraId="5C9D673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18</w:t>
            </w:r>
          </w:p>
        </w:tc>
        <w:tc>
          <w:tcPr>
            <w:tcW w:w="9628" w:type="dxa"/>
            <w:tcBorders>
              <w:top w:val="single" w:color="auto" w:sz="4" w:space="0"/>
              <w:left w:val="single" w:color="auto" w:sz="4" w:space="0"/>
              <w:bottom w:val="single" w:color="auto" w:sz="4" w:space="0"/>
              <w:right w:val="single" w:color="auto" w:sz="4" w:space="0"/>
            </w:tcBorders>
            <w:vAlign w:val="center"/>
          </w:tcPr>
          <w:p w14:paraId="4CEC0780">
            <w:pPr>
              <w:spacing w:line="360" w:lineRule="auto"/>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付款方式：</w:t>
            </w:r>
            <w:r>
              <w:rPr>
                <w:rFonts w:hint="eastAsia" w:ascii="宋体" w:hAnsi="宋体" w:cs="宋体"/>
                <w:b/>
                <w:bCs/>
                <w:color w:val="000000" w:themeColor="text1"/>
                <w:sz w:val="24"/>
                <w:szCs w:val="24"/>
                <w:highlight w:val="none"/>
                <w:lang w:val="en-US" w:eastAsia="zh-CN"/>
                <w14:textFill>
                  <w14:solidFill>
                    <w14:schemeClr w14:val="tx1"/>
                  </w14:solidFill>
                </w14:textFill>
              </w:rPr>
              <w:t>合同签订且乙方提供保函后，甲方向乙方支付合同总金额的30%，合同内所有设备安装验收合格后支付合同金额的70%</w:t>
            </w:r>
          </w:p>
        </w:tc>
      </w:tr>
      <w:tr w14:paraId="6FDD0D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803" w:type="dxa"/>
            <w:tcBorders>
              <w:top w:val="single" w:color="auto" w:sz="4" w:space="0"/>
              <w:left w:val="single" w:color="auto" w:sz="4" w:space="0"/>
              <w:bottom w:val="single" w:color="auto" w:sz="4" w:space="0"/>
              <w:right w:val="single" w:color="auto" w:sz="4" w:space="0"/>
            </w:tcBorders>
            <w:vAlign w:val="center"/>
          </w:tcPr>
          <w:p w14:paraId="66C94ABE">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19</w:t>
            </w:r>
          </w:p>
        </w:tc>
        <w:tc>
          <w:tcPr>
            <w:tcW w:w="9628" w:type="dxa"/>
            <w:tcBorders>
              <w:top w:val="single" w:color="auto" w:sz="4" w:space="0"/>
              <w:left w:val="single" w:color="auto" w:sz="4" w:space="0"/>
              <w:bottom w:val="single" w:color="auto" w:sz="4" w:space="0"/>
              <w:right w:val="single" w:color="auto" w:sz="4" w:space="0"/>
            </w:tcBorders>
            <w:vAlign w:val="center"/>
          </w:tcPr>
          <w:p w14:paraId="20EBF22C">
            <w:pPr>
              <w:spacing w:line="360" w:lineRule="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交货地点：洛浦县人民医院</w:t>
            </w:r>
            <w:r>
              <w:rPr>
                <w:rFonts w:hint="eastAsia" w:ascii="宋体" w:hAnsi="宋体" w:cs="宋体"/>
                <w:b/>
                <w:bCs/>
                <w:color w:val="000000" w:themeColor="text1"/>
                <w:sz w:val="24"/>
                <w:szCs w:val="24"/>
                <w:highlight w:val="none"/>
                <w:lang w:val="en-US" w:eastAsia="zh-CN"/>
                <w14:textFill>
                  <w14:solidFill>
                    <w14:schemeClr w14:val="tx1"/>
                  </w14:solidFill>
                </w14:textFill>
              </w:rPr>
              <w:t>指定地点</w:t>
            </w:r>
          </w:p>
        </w:tc>
      </w:tr>
      <w:tr w14:paraId="5B157E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803" w:type="dxa"/>
            <w:tcBorders>
              <w:top w:val="single" w:color="auto" w:sz="4" w:space="0"/>
              <w:left w:val="single" w:color="auto" w:sz="4" w:space="0"/>
              <w:bottom w:val="single" w:color="auto" w:sz="4" w:space="0"/>
              <w:right w:val="single" w:color="auto" w:sz="4" w:space="0"/>
            </w:tcBorders>
            <w:vAlign w:val="center"/>
          </w:tcPr>
          <w:p w14:paraId="3A5D42D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20</w:t>
            </w:r>
          </w:p>
        </w:tc>
        <w:tc>
          <w:tcPr>
            <w:tcW w:w="9628" w:type="dxa"/>
            <w:tcBorders>
              <w:top w:val="single" w:color="auto" w:sz="4" w:space="0"/>
              <w:left w:val="single" w:color="auto" w:sz="4" w:space="0"/>
              <w:bottom w:val="single" w:color="auto" w:sz="4" w:space="0"/>
              <w:right w:val="single" w:color="auto" w:sz="4" w:space="0"/>
            </w:tcBorders>
            <w:vAlign w:val="center"/>
          </w:tcPr>
          <w:p w14:paraId="6AC5CB37">
            <w:pPr>
              <w:spacing w:line="360" w:lineRule="auto"/>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质保期</w:t>
            </w:r>
            <w:r>
              <w:rPr>
                <w:rFonts w:hint="eastAsia" w:ascii="宋体" w:hAnsi="宋体" w:cs="宋体"/>
                <w:b/>
                <w:bCs/>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整机质保≥5年</w:t>
            </w:r>
          </w:p>
        </w:tc>
      </w:tr>
      <w:tr w14:paraId="01ED6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803" w:type="dxa"/>
            <w:tcBorders>
              <w:top w:val="single" w:color="auto" w:sz="4" w:space="0"/>
              <w:left w:val="single" w:color="auto" w:sz="4" w:space="0"/>
              <w:bottom w:val="single" w:color="auto" w:sz="4" w:space="0"/>
              <w:right w:val="single" w:color="auto" w:sz="4" w:space="0"/>
            </w:tcBorders>
            <w:vAlign w:val="center"/>
          </w:tcPr>
          <w:p w14:paraId="6F1BC453">
            <w:pPr>
              <w:spacing w:line="36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21</w:t>
            </w:r>
          </w:p>
        </w:tc>
        <w:tc>
          <w:tcPr>
            <w:tcW w:w="9628" w:type="dxa"/>
            <w:tcBorders>
              <w:top w:val="single" w:color="auto" w:sz="4" w:space="0"/>
              <w:left w:val="single" w:color="auto" w:sz="4" w:space="0"/>
              <w:bottom w:val="single" w:color="auto" w:sz="4" w:space="0"/>
              <w:right w:val="single" w:color="auto" w:sz="4" w:space="0"/>
            </w:tcBorders>
            <w:vAlign w:val="center"/>
          </w:tcPr>
          <w:p w14:paraId="0EA0A71A">
            <w:p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sz w:val="24"/>
                <w:szCs w:val="24"/>
                <w:highlight w:val="none"/>
              </w:rPr>
              <w:t>合同履约保证金：</w:t>
            </w:r>
            <w:r>
              <w:rPr>
                <w:rFonts w:hint="eastAsia" w:ascii="宋体" w:hAnsi="宋体" w:cs="宋体"/>
                <w:b/>
                <w:bCs/>
                <w:sz w:val="24"/>
                <w:szCs w:val="24"/>
                <w:highlight w:val="none"/>
                <w:lang w:val="en-US" w:eastAsia="zh-CN"/>
              </w:rPr>
              <w:t>合同签订后，乙方向甲方提供合同总金额10%的履约保函。</w:t>
            </w:r>
          </w:p>
        </w:tc>
      </w:tr>
      <w:tr w14:paraId="224167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803" w:type="dxa"/>
            <w:tcBorders>
              <w:top w:val="single" w:color="auto" w:sz="4" w:space="0"/>
              <w:left w:val="single" w:color="auto" w:sz="4" w:space="0"/>
              <w:bottom w:val="single" w:color="auto" w:sz="4" w:space="0"/>
              <w:right w:val="single" w:color="auto" w:sz="4" w:space="0"/>
            </w:tcBorders>
            <w:vAlign w:val="center"/>
          </w:tcPr>
          <w:p w14:paraId="1CD8149D">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lang w:val="en-US" w:eastAsia="zh-CN"/>
                <w14:textFill>
                  <w14:solidFill>
                    <w14:schemeClr w14:val="tx1"/>
                  </w14:solidFill>
                </w14:textFill>
              </w:rPr>
              <w:t>2</w:t>
            </w:r>
          </w:p>
        </w:tc>
        <w:tc>
          <w:tcPr>
            <w:tcW w:w="9628" w:type="dxa"/>
            <w:tcBorders>
              <w:top w:val="single" w:color="auto" w:sz="4" w:space="0"/>
              <w:left w:val="single" w:color="auto" w:sz="4" w:space="0"/>
              <w:bottom w:val="single" w:color="auto" w:sz="4" w:space="0"/>
              <w:right w:val="single" w:color="auto" w:sz="4" w:space="0"/>
            </w:tcBorders>
            <w:vAlign w:val="center"/>
          </w:tcPr>
          <w:p w14:paraId="68D45A83">
            <w:pPr>
              <w:rPr>
                <w:rFonts w:ascii="宋体" w:hAnsi="宋体" w:cs="宋体"/>
                <w:b/>
                <w:bCs/>
                <w:color w:val="000000" w:themeColor="text1"/>
                <w:sz w:val="24"/>
                <w:szCs w:val="24"/>
                <w:highlight w:val="none"/>
                <w14:textFill>
                  <w14:solidFill>
                    <w14:schemeClr w14:val="tx1"/>
                  </w14:solidFill>
                </w14:textFill>
              </w:rPr>
            </w:pPr>
            <w:r>
              <w:rPr>
                <w:rFonts w:hint="eastAsia" w:ascii="Arial" w:hAnsi="Arial" w:cs="Arial"/>
                <w:b/>
                <w:color w:val="000000" w:themeColor="text1"/>
                <w:sz w:val="24"/>
                <w:szCs w:val="24"/>
                <w:highlight w:val="none"/>
                <w14:textFill>
                  <w14:solidFill>
                    <w14:schemeClr w14:val="tx1"/>
                  </w14:solidFill>
                </w14:textFill>
              </w:rPr>
              <w:t>本项目所投货物中小企业制造商行业划分标准所属行业为：</w:t>
            </w:r>
            <w:r>
              <w:rPr>
                <w:rFonts w:hint="eastAsia" w:ascii="Arial" w:hAnsi="Arial" w:cs="Arial"/>
                <w:b/>
                <w:color w:val="000000" w:themeColor="text1"/>
                <w:sz w:val="24"/>
                <w:szCs w:val="24"/>
                <w:highlight w:val="none"/>
                <w:lang w:val="en-US" w:eastAsia="zh-CN"/>
                <w14:textFill>
                  <w14:solidFill>
                    <w14:schemeClr w14:val="tx1"/>
                  </w14:solidFill>
                </w14:textFill>
              </w:rPr>
              <w:t>工业-</w:t>
            </w:r>
            <w:r>
              <w:rPr>
                <w:rFonts w:hint="eastAsia" w:ascii="Arial" w:hAnsi="Arial" w:cs="Arial"/>
                <w:b/>
                <w:color w:val="000000" w:themeColor="text1"/>
                <w:sz w:val="24"/>
                <w:szCs w:val="24"/>
                <w:highlight w:val="none"/>
                <w14:textFill>
                  <w14:solidFill>
                    <w14:schemeClr w14:val="tx1"/>
                  </w14:solidFill>
                </w14:textFill>
              </w:rPr>
              <w:t>制造业。</w:t>
            </w:r>
            <w:r>
              <w:rPr>
                <w:rFonts w:hint="eastAsia" w:ascii="宋体" w:hAnsi="宋体" w:cs="Arial"/>
                <w:b/>
                <w:bCs/>
                <w:color w:val="000000" w:themeColor="text1"/>
                <w:spacing w:val="8"/>
                <w:sz w:val="24"/>
                <w:szCs w:val="24"/>
                <w:highlight w:val="none"/>
                <w14:textFill>
                  <w14:solidFill>
                    <w14:schemeClr w14:val="tx1"/>
                  </w14:solidFill>
                </w14:textFill>
              </w:rPr>
              <w:t>本项目的中小企业，即货物由中小企业制造，货物由中小企业生产且使用该中小企业商号或者注册商标。（财库〔2020〕46号）中小企业声明函须按本项目招标文件中提供的格式如实进行填写</w:t>
            </w:r>
          </w:p>
        </w:tc>
      </w:tr>
      <w:tr w14:paraId="74F78F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803" w:type="dxa"/>
            <w:tcBorders>
              <w:top w:val="single" w:color="auto" w:sz="4" w:space="0"/>
              <w:left w:val="single" w:color="auto" w:sz="4" w:space="0"/>
              <w:bottom w:val="single" w:color="auto" w:sz="4" w:space="0"/>
              <w:right w:val="single" w:color="auto" w:sz="4" w:space="0"/>
            </w:tcBorders>
            <w:vAlign w:val="center"/>
          </w:tcPr>
          <w:p w14:paraId="50F1AC42">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lang w:val="en-US" w:eastAsia="zh-CN"/>
                <w14:textFill>
                  <w14:solidFill>
                    <w14:schemeClr w14:val="tx1"/>
                  </w14:solidFill>
                </w14:textFill>
              </w:rPr>
              <w:t>3</w:t>
            </w:r>
          </w:p>
        </w:tc>
        <w:tc>
          <w:tcPr>
            <w:tcW w:w="9628" w:type="dxa"/>
            <w:tcBorders>
              <w:top w:val="single" w:color="auto" w:sz="4" w:space="0"/>
              <w:left w:val="single" w:color="auto" w:sz="4" w:space="0"/>
              <w:bottom w:val="single" w:color="auto" w:sz="4" w:space="0"/>
              <w:right w:val="single" w:color="auto" w:sz="4" w:space="0"/>
            </w:tcBorders>
            <w:vAlign w:val="center"/>
          </w:tcPr>
          <w:p w14:paraId="745487B2">
            <w:pPr>
              <w:rPr>
                <w:rFonts w:ascii="宋体" w:hAnsi="宋体" w:cs="宋体"/>
                <w:b/>
                <w:bCs/>
                <w:color w:val="000000" w:themeColor="text1"/>
                <w:sz w:val="24"/>
                <w:szCs w:val="24"/>
                <w:highlight w:val="none"/>
                <w:lang w:bidi="ar"/>
                <w14:textFill>
                  <w14:solidFill>
                    <w14:schemeClr w14:val="tx1"/>
                  </w14:solidFill>
                </w14:textFill>
              </w:rPr>
            </w:pPr>
            <w:r>
              <w:rPr>
                <w:rFonts w:hint="eastAsia" w:ascii="宋体" w:hAnsi="宋体" w:cs="宋体"/>
                <w:b/>
                <w:bCs/>
                <w:color w:val="000000" w:themeColor="text1"/>
                <w:sz w:val="24"/>
                <w:szCs w:val="24"/>
                <w:highlight w:val="none"/>
                <w:lang w:bidi="ar"/>
                <w14:textFill>
                  <w14:solidFill>
                    <w14:schemeClr w14:val="tx1"/>
                  </w14:solidFill>
                </w14:textFill>
              </w:rPr>
              <w:t>注意事项：</w:t>
            </w:r>
          </w:p>
          <w:p w14:paraId="0D126C9D">
            <w:pPr>
              <w:rPr>
                <w:rFonts w:ascii="宋体" w:hAnsi="宋体" w:cs="宋体"/>
                <w:b/>
                <w:bCs/>
                <w:color w:val="000000" w:themeColor="text1"/>
                <w:sz w:val="24"/>
                <w:szCs w:val="24"/>
                <w:highlight w:val="none"/>
                <w:lang w:bidi="ar"/>
                <w14:textFill>
                  <w14:solidFill>
                    <w14:schemeClr w14:val="tx1"/>
                  </w14:solidFill>
                </w14:textFill>
              </w:rPr>
            </w:pPr>
            <w:r>
              <w:rPr>
                <w:rFonts w:hint="eastAsia" w:ascii="宋体" w:hAnsi="宋体" w:cs="宋体"/>
                <w:b/>
                <w:bCs/>
                <w:color w:val="000000" w:themeColor="text1"/>
                <w:sz w:val="24"/>
                <w:szCs w:val="24"/>
                <w:highlight w:val="none"/>
                <w:lang w:bidi="ar"/>
                <w14:textFill>
                  <w14:solidFill>
                    <w14:schemeClr w14:val="tx1"/>
                  </w14:solidFill>
                </w14:textFill>
              </w:rPr>
              <w:t>1、本项目为电子招投标项目，实行网上投标，采用电子投标文件(供应商需要CA加密锁通过政采云电子投标客户端制作投标文件)，凡参加本项目供应商可自主通过新疆CA申领渠道申请政采云平台可使用的CA设备。若供应商参与投标，自行承担投标一切费用。</w:t>
            </w:r>
          </w:p>
          <w:p w14:paraId="70FBC38A">
            <w:pPr>
              <w:rPr>
                <w:rFonts w:ascii="宋体" w:hAnsi="宋体" w:cs="宋体"/>
                <w:b/>
                <w:bCs/>
                <w:color w:val="000000" w:themeColor="text1"/>
                <w:sz w:val="24"/>
                <w:szCs w:val="24"/>
                <w:highlight w:val="none"/>
                <w:lang w:bidi="ar"/>
                <w14:textFill>
                  <w14:solidFill>
                    <w14:schemeClr w14:val="tx1"/>
                  </w14:solidFill>
                </w14:textFill>
              </w:rPr>
            </w:pPr>
            <w:r>
              <w:rPr>
                <w:rFonts w:hint="eastAsia" w:ascii="宋体" w:hAnsi="宋体" w:cs="宋体"/>
                <w:b/>
                <w:bCs/>
                <w:color w:val="000000" w:themeColor="text1"/>
                <w:sz w:val="24"/>
                <w:szCs w:val="24"/>
                <w:highlight w:val="none"/>
                <w:lang w:bidi="ar"/>
                <w14:textFill>
                  <w14:solidFill>
                    <w14:schemeClr w14:val="tx1"/>
                  </w14:solidFill>
                </w14:textFill>
              </w:rPr>
              <w:t>2、各供应商应确保成为新疆政府采购网正式注册入库供应商，并完成CA数字证书申领。因未注册入库、未办理CA数字证书等原因造成无法投标或投标失败等后果由供应商自行承担。</w:t>
            </w:r>
          </w:p>
          <w:p w14:paraId="2B41495D">
            <w:pPr>
              <w:rPr>
                <w:rFonts w:ascii="宋体" w:hAnsi="宋体" w:cs="宋体"/>
                <w:b/>
                <w:bCs/>
                <w:color w:val="000000" w:themeColor="text1"/>
                <w:sz w:val="24"/>
                <w:szCs w:val="24"/>
                <w:highlight w:val="none"/>
                <w:lang w:bidi="ar"/>
                <w14:textFill>
                  <w14:solidFill>
                    <w14:schemeClr w14:val="tx1"/>
                  </w14:solidFill>
                </w14:textFill>
              </w:rPr>
            </w:pPr>
            <w:r>
              <w:rPr>
                <w:rFonts w:hint="eastAsia" w:ascii="宋体" w:hAnsi="宋体" w:cs="宋体"/>
                <w:b/>
                <w:bCs/>
                <w:color w:val="000000" w:themeColor="text1"/>
                <w:sz w:val="24"/>
                <w:szCs w:val="24"/>
                <w:highlight w:val="none"/>
                <w:lang w:bidi="ar"/>
                <w14:textFill>
                  <w14:solidFill>
                    <w14:schemeClr w14:val="tx1"/>
                  </w14:solidFill>
                </w14:textFill>
              </w:rPr>
              <w:t>3、供应商将政采云电子交易客户端下载、安装完成后，可通过账号密码或CA登录客户端进行投标文件制作。在使用政采云客户端时，建议使用WIN7及以上操作系统。客户端请至新疆政府采购网（www.ccgp-xinjiang.gov.cn）下载专区查看，如有问题可拨打政采云客户服务热线400-881-7190进行咨询。</w:t>
            </w:r>
          </w:p>
          <w:p w14:paraId="1127FF1E">
            <w:pPr>
              <w:rPr>
                <w:rFonts w:ascii="宋体" w:hAnsi="宋体" w:cs="宋体"/>
                <w:b/>
                <w:bCs/>
                <w:color w:val="000000" w:themeColor="text1"/>
                <w:sz w:val="24"/>
                <w:szCs w:val="24"/>
                <w:highlight w:val="none"/>
                <w:lang w:bidi="ar"/>
                <w14:textFill>
                  <w14:solidFill>
                    <w14:schemeClr w14:val="tx1"/>
                  </w14:solidFill>
                </w14:textFill>
              </w:rPr>
            </w:pPr>
            <w:r>
              <w:rPr>
                <w:rFonts w:hint="eastAsia" w:ascii="宋体" w:hAnsi="宋体" w:cs="宋体"/>
                <w:b/>
                <w:bCs/>
                <w:color w:val="000000" w:themeColor="text1"/>
                <w:sz w:val="24"/>
                <w:szCs w:val="24"/>
                <w:highlight w:val="none"/>
                <w:lang w:bidi="ar"/>
                <w14:textFill>
                  <w14:solidFill>
                    <w14:schemeClr w14:val="tx1"/>
                  </w14:solidFill>
                </w14:textFill>
              </w:rPr>
              <w:t>4、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14:paraId="14609D02">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bidi="ar"/>
                <w14:textFill>
                  <w14:solidFill>
                    <w14:schemeClr w14:val="tx1"/>
                  </w14:solidFill>
                </w14:textFill>
              </w:rPr>
              <w:t>5、各供应商须在开标时间在政采云平台自行解密文件。</w:t>
            </w:r>
          </w:p>
        </w:tc>
      </w:tr>
      <w:tr w14:paraId="7E8569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10431" w:type="dxa"/>
            <w:gridSpan w:val="2"/>
            <w:tcBorders>
              <w:top w:val="single" w:color="auto" w:sz="4" w:space="0"/>
              <w:left w:val="single" w:color="auto" w:sz="4" w:space="0"/>
              <w:bottom w:val="single" w:color="auto" w:sz="4" w:space="0"/>
              <w:right w:val="single" w:color="auto" w:sz="4" w:space="0"/>
            </w:tcBorders>
            <w:vAlign w:val="center"/>
          </w:tcPr>
          <w:p w14:paraId="1CD60D46">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授　予　合　同</w:t>
            </w:r>
          </w:p>
        </w:tc>
      </w:tr>
      <w:tr w14:paraId="710D7D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0431" w:type="dxa"/>
            <w:gridSpan w:val="2"/>
            <w:tcBorders>
              <w:top w:val="single" w:color="auto" w:sz="4" w:space="0"/>
              <w:left w:val="single" w:color="auto" w:sz="4" w:space="0"/>
              <w:bottom w:val="single" w:color="auto" w:sz="4" w:space="0"/>
              <w:right w:val="single" w:color="auto" w:sz="4" w:space="0"/>
            </w:tcBorders>
            <w:vAlign w:val="center"/>
          </w:tcPr>
          <w:p w14:paraId="1A49836A">
            <w:pPr>
              <w:spacing w:line="360" w:lineRule="auto"/>
              <w:rPr>
                <w:rFonts w:hint="eastAsia" w:ascii="Arial" w:hAnsi="Arial" w:eastAsia="宋体" w:cs="Arial"/>
                <w:sz w:val="24"/>
                <w:highlight w:val="none"/>
                <w:lang w:eastAsia="zh-CN"/>
              </w:rPr>
            </w:pPr>
            <w:r>
              <w:rPr>
                <w:rFonts w:ascii="Arial" w:hAnsi="Arial" w:cs="Arial"/>
                <w:sz w:val="24"/>
                <w:highlight w:val="none"/>
              </w:rPr>
              <w:t>适用于本</w:t>
            </w:r>
            <w:r>
              <w:rPr>
                <w:rFonts w:hint="eastAsia" w:ascii="Arial" w:hAnsi="Arial" w:cs="Arial"/>
                <w:sz w:val="24"/>
                <w:highlight w:val="none"/>
              </w:rPr>
              <w:t>投标人</w:t>
            </w:r>
            <w:r>
              <w:rPr>
                <w:rFonts w:ascii="Arial" w:hAnsi="Arial" w:cs="Arial"/>
                <w:sz w:val="24"/>
                <w:highlight w:val="none"/>
              </w:rPr>
              <w:t>须知的额外增加的变动：</w:t>
            </w:r>
            <w:r>
              <w:rPr>
                <w:rFonts w:hint="eastAsia" w:ascii="Arial" w:hAnsi="Arial" w:cs="Arial"/>
                <w:sz w:val="24"/>
                <w:highlight w:val="none"/>
              </w:rPr>
              <w:t>招标代理服务收费按差额定率累进法计算：</w:t>
            </w:r>
            <w:r>
              <w:rPr>
                <w:rFonts w:hint="eastAsia" w:ascii="Arial" w:hAnsi="Arial" w:cs="Arial"/>
                <w:sz w:val="24"/>
                <w:highlight w:val="none"/>
                <w:lang w:val="en-US" w:eastAsia="zh-CN"/>
              </w:rPr>
              <w:t>货物</w:t>
            </w:r>
            <w:r>
              <w:rPr>
                <w:rFonts w:hint="eastAsia" w:ascii="Arial" w:hAnsi="Arial" w:cs="Arial"/>
                <w:sz w:val="24"/>
                <w:highlight w:val="none"/>
              </w:rPr>
              <w:t>类支付比例：</w:t>
            </w:r>
            <w:r>
              <w:rPr>
                <w:rFonts w:hint="eastAsia" w:ascii="Arial" w:hAnsi="Arial" w:cs="Arial"/>
                <w:sz w:val="24"/>
                <w:highlight w:val="none"/>
                <w:lang w:val="en-US" w:eastAsia="zh-CN"/>
              </w:rPr>
              <w:t>下浮10%</w:t>
            </w:r>
            <w:r>
              <w:rPr>
                <w:rFonts w:hint="eastAsia" w:ascii="Arial" w:hAnsi="Arial" w:cs="Arial"/>
                <w:sz w:val="24"/>
                <w:highlight w:val="none"/>
              </w:rPr>
              <w:t>执行。</w:t>
            </w:r>
            <w:r>
              <w:rPr>
                <w:rFonts w:hint="eastAsia" w:ascii="Arial" w:hAnsi="Arial" w:cs="Arial"/>
                <w:sz w:val="24"/>
                <w:highlight w:val="none"/>
                <w:lang w:eastAsia="zh-CN"/>
              </w:rPr>
              <w:t>（</w:t>
            </w:r>
            <w:r>
              <w:rPr>
                <w:rFonts w:hint="eastAsia" w:ascii="Arial" w:hAnsi="Arial" w:cs="Arial"/>
                <w:sz w:val="24"/>
                <w:highlight w:val="none"/>
                <w:lang w:val="en-US" w:eastAsia="zh-CN"/>
              </w:rPr>
              <w:t>由采购人支付</w:t>
            </w:r>
            <w:r>
              <w:rPr>
                <w:rFonts w:hint="eastAsia" w:ascii="Arial" w:hAnsi="Arial" w:cs="Arial"/>
                <w:sz w:val="24"/>
                <w:highlight w:val="none"/>
                <w:lang w:eastAsia="zh-CN"/>
              </w:rPr>
              <w:t>）</w:t>
            </w:r>
          </w:p>
          <w:p w14:paraId="5F9BBB18">
            <w:pPr>
              <w:spacing w:line="360" w:lineRule="auto"/>
              <w:rPr>
                <w:highlight w:val="none"/>
              </w:rPr>
            </w:pPr>
            <w:r>
              <w:rPr>
                <w:highlight w:val="none"/>
              </w:rPr>
              <w:drawing>
                <wp:inline distT="0" distB="0" distL="114300" distR="114300">
                  <wp:extent cx="5913120" cy="3815080"/>
                  <wp:effectExtent l="0" t="0" r="11430" b="1397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6"/>
                          <a:stretch>
                            <a:fillRect/>
                          </a:stretch>
                        </pic:blipFill>
                        <pic:spPr>
                          <a:xfrm>
                            <a:off x="0" y="0"/>
                            <a:ext cx="5913120" cy="3815080"/>
                          </a:xfrm>
                          <a:prstGeom prst="rect">
                            <a:avLst/>
                          </a:prstGeom>
                          <a:noFill/>
                          <a:ln>
                            <a:noFill/>
                          </a:ln>
                        </pic:spPr>
                      </pic:pic>
                    </a:graphicData>
                  </a:graphic>
                </wp:inline>
              </w:drawing>
            </w:r>
          </w:p>
          <w:p w14:paraId="6835DFA2">
            <w:pPr>
              <w:spacing w:line="360" w:lineRule="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注:1、按本表费率计算的收费为招标代理服务全过程的收费基准价格。2、招标代理服务收费按差额定率累进法计算。例如 某工程招标代理业务中标金额为 6000 万元，计算招标代理服务收费额如下:</w:t>
            </w:r>
          </w:p>
          <w:p w14:paraId="7C65D486">
            <w:pPr>
              <w:spacing w:line="360" w:lineRule="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100 万元x1.0%=1万元</w:t>
            </w:r>
          </w:p>
          <w:p w14:paraId="7E2D4713">
            <w:pPr>
              <w:spacing w:line="360" w:lineRule="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(500-100)万元x0.7%=2.8万元</w:t>
            </w:r>
          </w:p>
          <w:p w14:paraId="7A6F9411">
            <w:pPr>
              <w:spacing w:line="360" w:lineRule="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(1000-500)万元x0.55%=2.75万元</w:t>
            </w:r>
          </w:p>
          <w:p w14:paraId="13994B4B">
            <w:pPr>
              <w:spacing w:line="360" w:lineRule="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(5000-1000)万元x0.35%=14万元</w:t>
            </w:r>
          </w:p>
          <w:p w14:paraId="14F5CFD6">
            <w:pPr>
              <w:spacing w:line="360" w:lineRule="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(6000-5000)万元x0.2%=2万元</w:t>
            </w:r>
          </w:p>
          <w:p w14:paraId="101B7833">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Times New Roman"/>
                <w:sz w:val="24"/>
                <w:szCs w:val="24"/>
                <w:highlight w:val="none"/>
              </w:rPr>
              <w:t>合计收费=1+2.8+2.75+14+2=22.55(万元)</w:t>
            </w:r>
          </w:p>
        </w:tc>
      </w:tr>
    </w:tbl>
    <w:p w14:paraId="54631DEF">
      <w:pPr>
        <w:pStyle w:val="4"/>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br w:type="page"/>
      </w:r>
      <w:bookmarkStart w:id="17" w:name="_Toc267301282"/>
      <w:bookmarkStart w:id="18" w:name="_Toc298240405"/>
      <w:bookmarkStart w:id="19" w:name="_Toc349573121"/>
      <w:bookmarkStart w:id="20" w:name="_Toc533096040"/>
      <w:bookmarkStart w:id="21" w:name="_Toc349637920"/>
      <w:bookmarkStart w:id="22" w:name="_Toc17714"/>
      <w:r>
        <w:rPr>
          <w:rFonts w:hint="eastAsia" w:ascii="宋体" w:hAnsi="宋体" w:cs="宋体"/>
          <w:color w:val="000000" w:themeColor="text1"/>
          <w:sz w:val="28"/>
          <w:szCs w:val="28"/>
          <w:highlight w:val="none"/>
          <w14:textFill>
            <w14:solidFill>
              <w14:schemeClr w14:val="tx1"/>
            </w14:solidFill>
          </w14:textFill>
        </w:rPr>
        <w:t>A  说　明</w:t>
      </w:r>
      <w:bookmarkEnd w:id="17"/>
      <w:bookmarkEnd w:id="18"/>
      <w:bookmarkEnd w:id="19"/>
      <w:bookmarkEnd w:id="20"/>
      <w:bookmarkEnd w:id="21"/>
      <w:bookmarkEnd w:id="22"/>
    </w:p>
    <w:p w14:paraId="7C454A07">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适用范围</w:t>
      </w:r>
    </w:p>
    <w:p w14:paraId="75A82D37">
      <w:pPr>
        <w:numPr>
          <w:ilvl w:val="1"/>
          <w:numId w:val="54"/>
        </w:num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本招标文件仅适用于本次投标邀请中所叙述项目的采购。</w:t>
      </w:r>
    </w:p>
    <w:p w14:paraId="430B74D6">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2．定义</w:t>
      </w:r>
    </w:p>
    <w:p w14:paraId="53E669DD">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 “采购代理机构”系指新疆招标有限公司；</w:t>
      </w:r>
    </w:p>
    <w:p w14:paraId="0C94D460">
      <w:pPr>
        <w:spacing w:line="360" w:lineRule="auto"/>
        <w:ind w:left="480" w:hanging="480" w:hanging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 “买方”、”采购人”系指</w:t>
      </w:r>
      <w:r>
        <w:rPr>
          <w:rFonts w:hint="eastAsia" w:ascii="宋体" w:hAnsi="宋体" w:cs="宋体"/>
          <w:color w:val="000000" w:themeColor="text1"/>
          <w:sz w:val="24"/>
          <w:szCs w:val="24"/>
          <w:highlight w:val="none"/>
          <w14:textFill>
            <w14:solidFill>
              <w14:schemeClr w14:val="tx1"/>
            </w14:solidFill>
          </w14:textFill>
        </w:rPr>
        <w:t>洛浦县人民医院</w:t>
      </w:r>
      <w:r>
        <w:rPr>
          <w:rFonts w:hint="eastAsia" w:ascii="宋体" w:hAnsi="宋体" w:cs="宋体"/>
          <w:color w:val="000000" w:themeColor="text1"/>
          <w:sz w:val="24"/>
          <w:highlight w:val="none"/>
          <w14:textFill>
            <w14:solidFill>
              <w14:schemeClr w14:val="tx1"/>
            </w14:solidFill>
          </w14:textFill>
        </w:rPr>
        <w:t>；</w:t>
      </w:r>
    </w:p>
    <w:p w14:paraId="59C5ECEB">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 “供应商”系指向招标代理机构提交投标文件的制造商或代理商；</w:t>
      </w:r>
    </w:p>
    <w:p w14:paraId="15F56241">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 “中标方”系指在本次项目中将被授予合同的供应商；</w:t>
      </w:r>
    </w:p>
    <w:p w14:paraId="756883E0">
      <w:pPr>
        <w:spacing w:line="360" w:lineRule="auto"/>
        <w:ind w:left="480" w:hanging="480" w:hanging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2.52.5政府采购节能产品、环境标志产品</w:t>
      </w:r>
    </w:p>
    <w:p w14:paraId="5A38C355">
      <w:pPr>
        <w:spacing w:line="360" w:lineRule="auto"/>
        <w:ind w:left="480" w:hanging="480" w:hanging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8147907">
      <w:pPr>
        <w:spacing w:line="360" w:lineRule="auto"/>
        <w:ind w:left="480" w:hanging="480" w:hanging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2.5.2 采购人拟采购的产品属于品目清单范围的，采购人及其委托的采购代理机构依据国家确定的认证机构出具的、处于有效期之内的节能产品、环境标志产品认证证书，对获得证书的产品实施政府优先采购或强制采购。</w:t>
      </w:r>
    </w:p>
    <w:p w14:paraId="4C31D49F">
      <w:pPr>
        <w:spacing w:line="360" w:lineRule="auto"/>
        <w:ind w:left="482" w:hanging="482" w:hanging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2.5.3 如本项目采购产品属于实施政府强制采购品目清单范围的节能产品，则供应商所报产品必须获得国家确定的认证机构出具的、处于有效期之内的节能产品认证证书，否则投标无效；</w:t>
      </w:r>
    </w:p>
    <w:p w14:paraId="31317F0D">
      <w:pPr>
        <w:spacing w:line="360" w:lineRule="auto"/>
        <w:ind w:left="480" w:hanging="480" w:hanging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2.5.4 非政府强制采购的节能产品或环境标志产品，依据品目清单和认证证书实施政府优先采购。优先采购的具体规定详见《评标方法》（如涉及）。</w:t>
      </w:r>
    </w:p>
    <w:p w14:paraId="3A22ACB6">
      <w:pPr>
        <w:spacing w:line="360" w:lineRule="auto"/>
        <w:rPr>
          <w:rFonts w:ascii="宋体" w:hAnsi="宋体" w:cs="宋体"/>
          <w:color w:val="000000" w:themeColor="text1"/>
          <w:sz w:val="24"/>
          <w:highlight w:val="none"/>
          <w14:textFill>
            <w14:solidFill>
              <w14:schemeClr w14:val="tx1"/>
            </w14:solidFill>
          </w14:textFill>
        </w:rPr>
      </w:pPr>
    </w:p>
    <w:p w14:paraId="783B3DD9">
      <w:pPr>
        <w:pStyle w:val="50"/>
        <w:ind w:firstLine="0"/>
        <w:rPr>
          <w:rFonts w:cs="宋体"/>
          <w:color w:val="000000" w:themeColor="text1"/>
          <w:highlight w:val="none"/>
          <w14:textFill>
            <w14:solidFill>
              <w14:schemeClr w14:val="tx1"/>
            </w14:solidFill>
          </w14:textFill>
        </w:rPr>
      </w:pPr>
    </w:p>
    <w:p w14:paraId="221628BF">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3．合格的供应商</w:t>
      </w:r>
    </w:p>
    <w:p w14:paraId="24555FB3">
      <w:pPr>
        <w:spacing w:line="360" w:lineRule="auto"/>
        <w:ind w:left="480" w:hanging="480" w:hanging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 有能力提供招标文件中所要求的服务、资格审查合格的为合格的供应商；</w:t>
      </w:r>
    </w:p>
    <w:p w14:paraId="5613A77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 供应商必须遵守有关的国内法律和规章条例。</w:t>
      </w:r>
    </w:p>
    <w:p w14:paraId="1533751F">
      <w:pPr>
        <w:spacing w:line="360" w:lineRule="auto"/>
        <w:ind w:left="482" w:hanging="482" w:hanging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4．供应商资格(废标因素) 详见“供应商须知附表第6条”。</w:t>
      </w:r>
    </w:p>
    <w:p w14:paraId="0D27D407">
      <w:pPr>
        <w:tabs>
          <w:tab w:val="left" w:pos="252"/>
          <w:tab w:val="left" w:pos="671"/>
        </w:tabs>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5．投标费用</w:t>
      </w:r>
    </w:p>
    <w:p w14:paraId="4FFE523C">
      <w:pPr>
        <w:spacing w:line="360" w:lineRule="auto"/>
        <w:ind w:left="480" w:hanging="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5.1 无论投标过程中的作法和结果如何，供应商将自行承担所有与参加投标有关的全部费用。</w:t>
      </w:r>
    </w:p>
    <w:p w14:paraId="1AB4870D">
      <w:pPr>
        <w:spacing w:line="360" w:lineRule="auto"/>
        <w:ind w:left="480" w:hanging="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5.2 供应商被视为熟悉本招标项目的各种情况以及与履行合同有关的一切情况。</w:t>
      </w:r>
    </w:p>
    <w:p w14:paraId="27F61847">
      <w:pPr>
        <w:pStyle w:val="4"/>
        <w:rPr>
          <w:rFonts w:ascii="宋体" w:hAnsi="宋体" w:cs="宋体"/>
          <w:color w:val="000000" w:themeColor="text1"/>
          <w:highlight w:val="none"/>
          <w14:textFill>
            <w14:solidFill>
              <w14:schemeClr w14:val="tx1"/>
            </w14:solidFill>
          </w14:textFill>
        </w:rPr>
      </w:pPr>
      <w:bookmarkStart w:id="23" w:name="_Toc533096041"/>
      <w:bookmarkStart w:id="24" w:name="_Toc16195"/>
      <w:bookmarkStart w:id="25" w:name="_Toc349573122"/>
      <w:bookmarkStart w:id="26" w:name="_Toc298240406"/>
      <w:bookmarkStart w:id="27" w:name="_Toc349637921"/>
      <w:bookmarkStart w:id="28" w:name="_Toc267301283"/>
      <w:r>
        <w:rPr>
          <w:rFonts w:hint="eastAsia" w:ascii="宋体" w:hAnsi="宋体" w:cs="宋体"/>
          <w:color w:val="000000" w:themeColor="text1"/>
          <w:highlight w:val="none"/>
          <w14:textFill>
            <w14:solidFill>
              <w14:schemeClr w14:val="tx1"/>
            </w14:solidFill>
          </w14:textFill>
        </w:rPr>
        <w:t>B  招标文件</w:t>
      </w:r>
      <w:bookmarkEnd w:id="23"/>
      <w:bookmarkEnd w:id="24"/>
      <w:bookmarkEnd w:id="25"/>
      <w:bookmarkEnd w:id="26"/>
      <w:bookmarkEnd w:id="27"/>
      <w:bookmarkEnd w:id="28"/>
    </w:p>
    <w:p w14:paraId="793944C4">
      <w:pPr>
        <w:spacing w:line="360" w:lineRule="auto"/>
        <w:ind w:left="480" w:hanging="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6．招标文件构成</w:t>
      </w:r>
    </w:p>
    <w:p w14:paraId="2E2EC4A0">
      <w:pPr>
        <w:spacing w:line="360" w:lineRule="auto"/>
        <w:ind w:left="480" w:hanging="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6.1招标文件包括：</w:t>
      </w:r>
    </w:p>
    <w:p w14:paraId="20A7FADC">
      <w:pPr>
        <w:spacing w:line="360" w:lineRule="auto"/>
        <w:ind w:left="840" w:hanging="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⑴投标邀请；</w:t>
      </w:r>
    </w:p>
    <w:p w14:paraId="3C05346E">
      <w:pPr>
        <w:spacing w:line="360" w:lineRule="auto"/>
        <w:ind w:left="840" w:hanging="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⑵供应商须知；</w:t>
      </w:r>
    </w:p>
    <w:p w14:paraId="6418DF61">
      <w:pPr>
        <w:spacing w:line="360" w:lineRule="auto"/>
        <w:ind w:left="840" w:hanging="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⑶技术要求；</w:t>
      </w:r>
    </w:p>
    <w:p w14:paraId="1E8140D2">
      <w:pPr>
        <w:spacing w:line="360" w:lineRule="auto"/>
        <w:ind w:left="840" w:hanging="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⑷合同部分；</w:t>
      </w:r>
    </w:p>
    <w:p w14:paraId="0EEA6317">
      <w:pPr>
        <w:spacing w:line="360" w:lineRule="auto"/>
        <w:ind w:left="840" w:hanging="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⑸范本格式。</w:t>
      </w:r>
    </w:p>
    <w:p w14:paraId="38F8C305">
      <w:pPr>
        <w:spacing w:line="360" w:lineRule="auto"/>
        <w:ind w:left="480" w:hanging="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6.2 招标文件以中文编写。</w:t>
      </w:r>
    </w:p>
    <w:p w14:paraId="34D4DE04">
      <w:pPr>
        <w:spacing w:line="360" w:lineRule="auto"/>
        <w:ind w:left="480" w:hanging="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6.3 供应商应认真阅读招标文件中所有的事项、格式、条款和规范等要求，从而对招标文件作出实质性响应。如果没有按照招标文件要求提交全部投标文件或资料，没有对招标文件作出实质性响应，其风险应由供应商自行承担。</w:t>
      </w:r>
    </w:p>
    <w:p w14:paraId="2FD4826C">
      <w:pPr>
        <w:spacing w:line="360" w:lineRule="auto"/>
        <w:ind w:left="480" w:hanging="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7．招标文件澄清</w:t>
      </w:r>
    </w:p>
    <w:p w14:paraId="026EA233">
      <w:pPr>
        <w:spacing w:line="360" w:lineRule="auto"/>
        <w:ind w:left="480" w:hanging="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7.1 供应商对招标文件有疑问的，可以向招标代理机构提出询问，招标代理机构将及时做出答复；</w:t>
      </w:r>
    </w:p>
    <w:p w14:paraId="0203BB6C">
      <w:pPr>
        <w:spacing w:line="360" w:lineRule="auto"/>
        <w:ind w:left="480" w:hanging="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7.2 供应商对招标文件有质疑，须在得到招标文件之日起至质疑截止时间止，以书面形式向招标机构提出质疑；招标机构在收到书面质疑后7个工作日内做出答复，并以书面形式通知质疑供应商。</w:t>
      </w:r>
    </w:p>
    <w:p w14:paraId="7224E004">
      <w:pPr>
        <w:spacing w:line="360" w:lineRule="auto"/>
        <w:ind w:left="480" w:hanging="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7.3 采购人及采购代理机构接受供应商的质疑为：供应商在质疑期内一次性提出的针对同一采购程序环节的质疑。</w:t>
      </w:r>
    </w:p>
    <w:p w14:paraId="728CAAAB">
      <w:pPr>
        <w:spacing w:line="360" w:lineRule="auto"/>
        <w:ind w:left="480" w:hanging="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  招标文件的修改</w:t>
      </w:r>
    </w:p>
    <w:p w14:paraId="7573460D">
      <w:pPr>
        <w:spacing w:line="360" w:lineRule="auto"/>
        <w:ind w:left="480" w:hanging="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8.1 对招标文件进行必要的修改，招标代理机构将在投标截止时间15日前以书面形式通知所有购买招标文件的供应商。该修改的内容为招标文件的组成部分；</w:t>
      </w:r>
    </w:p>
    <w:p w14:paraId="0550A8F1">
      <w:pPr>
        <w:spacing w:line="360" w:lineRule="auto"/>
        <w:ind w:left="480" w:hanging="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8.2 在投标截止时间前，招标机构可视具体情况延长投标截止时间，并将变更时间书面通知所有购买招标文件的供应商。</w:t>
      </w:r>
    </w:p>
    <w:p w14:paraId="586C98EB">
      <w:pPr>
        <w:pStyle w:val="4"/>
        <w:rPr>
          <w:rFonts w:ascii="宋体" w:hAnsi="宋体" w:cs="宋体"/>
          <w:color w:val="000000" w:themeColor="text1"/>
          <w:highlight w:val="none"/>
          <w14:textFill>
            <w14:solidFill>
              <w14:schemeClr w14:val="tx1"/>
            </w14:solidFill>
          </w14:textFill>
        </w:rPr>
      </w:pPr>
      <w:bookmarkStart w:id="29" w:name="_Toc298240407"/>
      <w:bookmarkStart w:id="30" w:name="_Toc349573123"/>
      <w:bookmarkStart w:id="31" w:name="_Toc17253"/>
      <w:bookmarkStart w:id="32" w:name="_Toc533096042"/>
      <w:bookmarkStart w:id="33" w:name="_Toc267301284"/>
      <w:bookmarkStart w:id="34" w:name="_Toc349637922"/>
      <w:r>
        <w:rPr>
          <w:rFonts w:hint="eastAsia" w:ascii="宋体" w:hAnsi="宋体" w:cs="宋体"/>
          <w:color w:val="000000" w:themeColor="text1"/>
          <w:highlight w:val="none"/>
          <w14:textFill>
            <w14:solidFill>
              <w14:schemeClr w14:val="tx1"/>
            </w14:solidFill>
          </w14:textFill>
        </w:rPr>
        <w:t>C  投标文件的编写</w:t>
      </w:r>
      <w:bookmarkEnd w:id="29"/>
      <w:bookmarkEnd w:id="30"/>
      <w:bookmarkEnd w:id="31"/>
      <w:bookmarkEnd w:id="32"/>
      <w:bookmarkEnd w:id="33"/>
      <w:bookmarkEnd w:id="34"/>
    </w:p>
    <w:p w14:paraId="5FD91018">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9．要求</w:t>
      </w:r>
    </w:p>
    <w:p w14:paraId="643A179E">
      <w:pPr>
        <w:spacing w:line="360" w:lineRule="auto"/>
        <w:ind w:left="360" w:hanging="360" w:hanging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9.1 供应商应仔细阅读招标文件的所有内容，按招标文件的要求提供投标文件，并保证所提供的全部资料的真实性，以使其投标对招标文件作出实质性响应，否则，其投标可能被拒绝。</w:t>
      </w:r>
    </w:p>
    <w:p w14:paraId="747F808E">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10．投标语言</w:t>
      </w:r>
    </w:p>
    <w:p w14:paraId="3CD99427">
      <w:pPr>
        <w:spacing w:line="360" w:lineRule="auto"/>
        <w:ind w:left="600" w:hanging="600" w:hangingChars="2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10.1投标文件及供应商与招标代理机构就投标交换的文件和来往信件，应以中文书写。</w:t>
      </w:r>
    </w:p>
    <w:p w14:paraId="3048A2B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11．投标文件的构成</w:t>
      </w:r>
    </w:p>
    <w:p w14:paraId="661A33A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 供应商编写的投标文件应包括下列内容：</w:t>
      </w:r>
    </w:p>
    <w:p w14:paraId="6BD094FA">
      <w:pPr>
        <w:numPr>
          <w:ilvl w:val="0"/>
          <w:numId w:val="55"/>
        </w:numPr>
        <w:tabs>
          <w:tab w:val="left" w:pos="540"/>
          <w:tab w:val="left" w:pos="900"/>
          <w:tab w:val="left" w:pos="1080"/>
        </w:tabs>
        <w:spacing w:line="360" w:lineRule="auto"/>
        <w:ind w:left="720" w:hanging="36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投标书、报价一览表、分项报价表；</w:t>
      </w:r>
    </w:p>
    <w:p w14:paraId="46BB171F">
      <w:pPr>
        <w:numPr>
          <w:ilvl w:val="0"/>
          <w:numId w:val="55"/>
        </w:numPr>
        <w:tabs>
          <w:tab w:val="left" w:pos="540"/>
          <w:tab w:val="left" w:pos="900"/>
          <w:tab w:val="left" w:pos="1080"/>
        </w:tabs>
        <w:spacing w:line="360" w:lineRule="auto"/>
        <w:ind w:left="720" w:hanging="36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法定代表人身份证明或授权委托书及受委托人身份证复印件；</w:t>
      </w:r>
    </w:p>
    <w:p w14:paraId="329AA15F">
      <w:pPr>
        <w:numPr>
          <w:ilvl w:val="0"/>
          <w:numId w:val="55"/>
        </w:numPr>
        <w:tabs>
          <w:tab w:val="left" w:pos="540"/>
          <w:tab w:val="left" w:pos="900"/>
          <w:tab w:val="left" w:pos="1080"/>
        </w:tabs>
        <w:spacing w:line="360" w:lineRule="auto"/>
        <w:ind w:left="720" w:hanging="36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技术、商务条款偏离表；</w:t>
      </w:r>
    </w:p>
    <w:p w14:paraId="65BF06B8">
      <w:pPr>
        <w:numPr>
          <w:ilvl w:val="0"/>
          <w:numId w:val="55"/>
        </w:numPr>
        <w:tabs>
          <w:tab w:val="left" w:pos="540"/>
          <w:tab w:val="left" w:pos="900"/>
          <w:tab w:val="left" w:pos="1080"/>
        </w:tabs>
        <w:spacing w:line="360" w:lineRule="auto"/>
        <w:ind w:left="720" w:hanging="36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资格证明文件、资质文件；</w:t>
      </w:r>
    </w:p>
    <w:p w14:paraId="79B9160B">
      <w:pPr>
        <w:widowControl/>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所投产品的相关技术/证明资料；</w:t>
      </w:r>
    </w:p>
    <w:p w14:paraId="5DEC5E66">
      <w:pPr>
        <w:numPr>
          <w:ilvl w:val="0"/>
          <w:numId w:val="55"/>
        </w:numPr>
        <w:tabs>
          <w:tab w:val="left" w:pos="540"/>
          <w:tab w:val="left" w:pos="900"/>
          <w:tab w:val="left" w:pos="1080"/>
        </w:tabs>
        <w:spacing w:line="360" w:lineRule="auto"/>
        <w:ind w:left="720" w:hanging="36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招标文件中需要提交的文件、资料； </w:t>
      </w:r>
    </w:p>
    <w:p w14:paraId="0E72E5E9">
      <w:pPr>
        <w:numPr>
          <w:ilvl w:val="0"/>
          <w:numId w:val="55"/>
        </w:numPr>
        <w:tabs>
          <w:tab w:val="left" w:pos="540"/>
          <w:tab w:val="left" w:pos="900"/>
          <w:tab w:val="left" w:pos="1080"/>
        </w:tabs>
        <w:spacing w:line="360" w:lineRule="auto"/>
        <w:ind w:left="720" w:hanging="36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供应商诚信承诺书；</w:t>
      </w:r>
    </w:p>
    <w:p w14:paraId="62E6263D">
      <w:pPr>
        <w:numPr>
          <w:ilvl w:val="0"/>
          <w:numId w:val="55"/>
        </w:numPr>
        <w:tabs>
          <w:tab w:val="left" w:pos="540"/>
          <w:tab w:val="left" w:pos="900"/>
          <w:tab w:val="left" w:pos="1080"/>
        </w:tabs>
        <w:spacing w:line="360" w:lineRule="auto"/>
        <w:ind w:left="720" w:hanging="36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供应商认为有利于本次投标的其它资料。</w:t>
      </w:r>
    </w:p>
    <w:p w14:paraId="036A8FF1">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12．投标文件格式</w:t>
      </w:r>
    </w:p>
    <w:p w14:paraId="43A6837E">
      <w:pPr>
        <w:spacing w:line="360" w:lineRule="auto"/>
        <w:ind w:left="600" w:hanging="600" w:hangingChars="2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12.1 供应商应按招标文件的范本格式中提供的投标文件格式填写投标书、开标一览表、投标分项报价表。</w:t>
      </w:r>
    </w:p>
    <w:p w14:paraId="125BAD0B">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13．投标报价</w:t>
      </w:r>
    </w:p>
    <w:p w14:paraId="10424219">
      <w:pPr>
        <w:spacing w:line="360" w:lineRule="auto"/>
        <w:ind w:left="600" w:hanging="600" w:hangingChars="2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13.1除本招标文件另有规定外，供应商应按招标文件所附相应的投标一览表格式标明拟提供货物的单价和总价等内容。报价以人民币报价，不接受有任何选择性报价。</w:t>
      </w:r>
    </w:p>
    <w:p w14:paraId="711BF68A">
      <w:pPr>
        <w:spacing w:line="360" w:lineRule="auto"/>
        <w:ind w:left="600" w:hanging="602" w:hangingChars="250"/>
        <w:rPr>
          <w:rFonts w:hint="eastAsia" w:ascii="Arial" w:hAnsi="Arial" w:cs="Arial"/>
          <w:b/>
          <w:bCs/>
          <w:sz w:val="24"/>
          <w:szCs w:val="24"/>
          <w:highlight w:val="none"/>
        </w:rPr>
      </w:pPr>
      <w:r>
        <w:rPr>
          <w:rFonts w:hint="eastAsia" w:ascii="Arial" w:hAnsi="Arial" w:cs="Arial"/>
          <w:b/>
          <w:bCs/>
          <w:sz w:val="24"/>
          <w:szCs w:val="24"/>
          <w:highlight w:val="none"/>
        </w:rPr>
        <w:t>13.1.1政府采购评审中出现下列情形之一的，</w:t>
      </w:r>
      <w:r>
        <w:rPr>
          <w:rFonts w:hint="eastAsia" w:ascii="Arial" w:hAnsi="Arial" w:cs="Arial"/>
          <w:b/>
          <w:bCs/>
          <w:sz w:val="24"/>
          <w:szCs w:val="24"/>
          <w:highlight w:val="none"/>
          <w:lang w:eastAsia="zh-CN"/>
        </w:rPr>
        <w:t>评审委员会</w:t>
      </w:r>
      <w:r>
        <w:rPr>
          <w:rFonts w:hint="eastAsia" w:ascii="Arial" w:hAnsi="Arial" w:cs="Arial"/>
          <w:b/>
          <w:bCs/>
          <w:sz w:val="24"/>
          <w:szCs w:val="24"/>
          <w:highlight w:val="none"/>
        </w:rPr>
        <w:t>应当启动异常低价投标（响应）审查程序：</w:t>
      </w:r>
    </w:p>
    <w:p w14:paraId="35FC016D">
      <w:pPr>
        <w:spacing w:line="360" w:lineRule="auto"/>
        <w:ind w:left="600" w:hanging="602" w:hangingChars="250"/>
        <w:rPr>
          <w:rFonts w:hint="eastAsia" w:ascii="Arial" w:hAnsi="Arial" w:cs="Arial"/>
          <w:b/>
          <w:bCs/>
          <w:sz w:val="24"/>
          <w:szCs w:val="24"/>
          <w:highlight w:val="none"/>
        </w:rPr>
      </w:pPr>
      <w:r>
        <w:rPr>
          <w:rFonts w:hint="eastAsia" w:ascii="Arial" w:hAnsi="Arial" w:cs="Arial"/>
          <w:b/>
          <w:bCs/>
          <w:sz w:val="24"/>
          <w:szCs w:val="24"/>
          <w:highlight w:val="none"/>
        </w:rPr>
        <w:t>①.投标（响应）报价低于全部通过符合性审查供应商投标（响应）报价平均值50%的，即投标（响应）报价&lt;全部通过符合性审查供应商投标（响应）报价平均值×50%；</w:t>
      </w:r>
    </w:p>
    <w:p w14:paraId="05FFE269">
      <w:pPr>
        <w:spacing w:line="360" w:lineRule="auto"/>
        <w:ind w:left="600" w:hanging="602" w:hangingChars="250"/>
        <w:rPr>
          <w:rFonts w:hint="eastAsia" w:ascii="Arial" w:hAnsi="Arial" w:cs="Arial"/>
          <w:b/>
          <w:bCs/>
          <w:sz w:val="24"/>
          <w:szCs w:val="24"/>
          <w:highlight w:val="none"/>
        </w:rPr>
      </w:pPr>
      <w:r>
        <w:rPr>
          <w:rFonts w:hint="eastAsia" w:ascii="Arial" w:hAnsi="Arial" w:cs="Arial"/>
          <w:b/>
          <w:bCs/>
          <w:sz w:val="24"/>
          <w:szCs w:val="24"/>
          <w:highlight w:val="none"/>
        </w:rPr>
        <w:t>②.投标（响应）报价低于通过符合性审查的次低报价供应商投标（响应）报价50%的，即投标（响应）报价&lt;通过符合性审查的次低报价供应商投标（响应）报价×50%；</w:t>
      </w:r>
    </w:p>
    <w:p w14:paraId="637471FF">
      <w:pPr>
        <w:spacing w:line="360" w:lineRule="auto"/>
        <w:ind w:left="600" w:hanging="602" w:hangingChars="250"/>
        <w:rPr>
          <w:rFonts w:hint="eastAsia" w:ascii="Arial" w:hAnsi="Arial" w:cs="Arial"/>
          <w:b/>
          <w:bCs/>
          <w:sz w:val="24"/>
          <w:szCs w:val="24"/>
          <w:highlight w:val="none"/>
        </w:rPr>
      </w:pPr>
      <w:r>
        <w:rPr>
          <w:rFonts w:hint="eastAsia" w:ascii="Arial" w:hAnsi="Arial" w:cs="Arial"/>
          <w:b/>
          <w:bCs/>
          <w:sz w:val="24"/>
          <w:szCs w:val="24"/>
          <w:highlight w:val="none"/>
        </w:rPr>
        <w:t>③.投标（响应）报价低于采购项目最高限价45%的，即投标（响应）报价&lt;采购项目最高限价×45%；</w:t>
      </w:r>
    </w:p>
    <w:p w14:paraId="5518C3BE">
      <w:pPr>
        <w:spacing w:line="360" w:lineRule="auto"/>
        <w:ind w:left="600" w:hanging="602" w:hangingChars="250"/>
        <w:rPr>
          <w:rFonts w:ascii="Arial" w:hAnsi="Arial" w:cs="Arial"/>
          <w:b/>
          <w:bCs/>
          <w:sz w:val="24"/>
          <w:szCs w:val="24"/>
          <w:highlight w:val="none"/>
        </w:rPr>
      </w:pPr>
      <w:r>
        <w:rPr>
          <w:rFonts w:hint="eastAsia" w:ascii="Arial" w:hAnsi="Arial" w:cs="Arial"/>
          <w:b/>
          <w:bCs/>
          <w:sz w:val="24"/>
          <w:szCs w:val="24"/>
          <w:highlight w:val="none"/>
        </w:rPr>
        <w:t>④.评审委员会基于专业判断，认为供应商报价过低，有可能影响产品质量或者不能诚信履约的其他情形。</w:t>
      </w:r>
    </w:p>
    <w:p w14:paraId="7410177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13.2 投标报价应注意下列要求：</w:t>
      </w:r>
    </w:p>
    <w:p w14:paraId="0F764CA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13.2.1投标报价应包括实施该项目涵盖的所有费用；</w:t>
      </w:r>
    </w:p>
    <w:p w14:paraId="460A4778">
      <w:pPr>
        <w:pStyle w:val="33"/>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13.2.2本次投标报价不允许缺漏项。</w:t>
      </w:r>
    </w:p>
    <w:p w14:paraId="26B68D9F">
      <w:pPr>
        <w:spacing w:line="360" w:lineRule="auto"/>
        <w:ind w:left="629" w:hanging="628" w:hangingChars="26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13.3 算术性修正。算术性修正是指对投标文件的报价明细进行校核，并对其算术上和运算上的差错给予修正。修正的原则如下：</w:t>
      </w:r>
    </w:p>
    <w:p w14:paraId="622B29F7">
      <w:pPr>
        <w:spacing w:line="360" w:lineRule="auto"/>
        <w:ind w:left="720" w:hanging="720" w:hangingChars="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13.3.1 当大写金额与小写金额不一致的，以大写金额为准；</w:t>
      </w:r>
    </w:p>
    <w:p w14:paraId="257998B2">
      <w:pPr>
        <w:spacing w:line="360" w:lineRule="auto"/>
        <w:ind w:left="720" w:hanging="720" w:hangingChars="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13.3.2 当单价与数量相乘不等于合价时，以单价计算为准。如果单价有明显的小数点位置差错，应以标出的合价为准，同时对单价予以修正；</w:t>
      </w:r>
    </w:p>
    <w:p w14:paraId="5B9FEE08">
      <w:pPr>
        <w:spacing w:line="360" w:lineRule="auto"/>
        <w:ind w:left="720" w:hanging="720" w:hangingChars="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13.3.3 当各明细部分的价格累计不等于合价时，应以各明细的累计计数为准，修正合价。</w:t>
      </w:r>
    </w:p>
    <w:p w14:paraId="5A15FFFD">
      <w:pPr>
        <w:spacing w:line="360" w:lineRule="auto"/>
        <w:ind w:left="720" w:hanging="720" w:hangingChars="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13.3.4 按以上原则对算术性差错修正，应取得供应商的同意，并确认修正后最终投标价。如果供应商拒绝确认，则其投标文件将不予以评审并按废标处理，没收其投标担保。</w:t>
      </w:r>
    </w:p>
    <w:p w14:paraId="6332155C">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14．投标货币</w:t>
      </w:r>
    </w:p>
    <w:p w14:paraId="4CDCA55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14.1人民币报价。</w:t>
      </w:r>
    </w:p>
    <w:p w14:paraId="645E1FA8">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w:t>
      </w:r>
      <w:r>
        <w:rPr>
          <w:rFonts w:hint="eastAsia" w:ascii="宋体" w:hAnsi="宋体" w:cs="宋体"/>
          <w:b/>
          <w:color w:val="000000" w:themeColor="text1"/>
          <w:sz w:val="24"/>
          <w:highlight w:val="none"/>
          <w14:textFill>
            <w14:solidFill>
              <w14:schemeClr w14:val="tx1"/>
            </w14:solidFill>
          </w14:textFill>
        </w:rPr>
        <w:t>供应商的证明文件：</w:t>
      </w:r>
    </w:p>
    <w:p w14:paraId="0F12913E">
      <w:pPr>
        <w:spacing w:line="360" w:lineRule="auto"/>
        <w:ind w:firstLine="482" w:firstLineChars="200"/>
        <w:rPr>
          <w:rFonts w:ascii="宋体" w:hAnsi="宋体" w:cs="宋体"/>
          <w:b/>
          <w:color w:val="000000" w:themeColor="text1"/>
          <w:spacing w:val="8"/>
          <w:sz w:val="24"/>
          <w:szCs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供应商必须提交证明其有资格进行投标和有能力履行合同的文件（范本格式），作为投标文件的一部分。详见“供应商须知附表第6条”</w:t>
      </w:r>
      <w:r>
        <w:rPr>
          <w:rFonts w:hint="eastAsia" w:ascii="宋体" w:hAnsi="宋体" w:cs="宋体"/>
          <w:b/>
          <w:color w:val="000000" w:themeColor="text1"/>
          <w:spacing w:val="8"/>
          <w:sz w:val="24"/>
          <w:szCs w:val="24"/>
          <w:highlight w:val="none"/>
          <w14:textFill>
            <w14:solidFill>
              <w14:schemeClr w14:val="tx1"/>
            </w14:solidFill>
          </w14:textFill>
        </w:rPr>
        <w:t>。</w:t>
      </w:r>
    </w:p>
    <w:p w14:paraId="51CFC69E">
      <w:pPr>
        <w:spacing w:line="360" w:lineRule="auto"/>
        <w:ind w:left="73" w:leftChars="35"/>
        <w:rPr>
          <w:rFonts w:ascii="宋体" w:hAnsi="宋体" w:cs="宋体"/>
          <w:b/>
          <w:color w:val="000000" w:themeColor="text1"/>
          <w:spacing w:val="8"/>
          <w:sz w:val="24"/>
          <w:szCs w:val="24"/>
          <w:highlight w:val="none"/>
          <w14:textFill>
            <w14:solidFill>
              <w14:schemeClr w14:val="tx1"/>
            </w14:solidFill>
          </w14:textFill>
        </w:rPr>
      </w:pPr>
      <w:r>
        <w:rPr>
          <w:rFonts w:hint="eastAsia" w:ascii="宋体" w:hAnsi="宋体" w:cs="宋体"/>
          <w:b/>
          <w:color w:val="000000" w:themeColor="text1"/>
          <w:spacing w:val="8"/>
          <w:sz w:val="24"/>
          <w:szCs w:val="24"/>
          <w:highlight w:val="none"/>
          <w14:textFill>
            <w14:solidFill>
              <w14:schemeClr w14:val="tx1"/>
            </w14:solidFill>
          </w14:textFill>
        </w:rPr>
        <w:t>注：（1）投标文件中，所有供应商签字、法人代表签字、法人代表授权人签字和其它签字处须同时加盖有关有法律效力的印章方为有效；</w:t>
      </w:r>
    </w:p>
    <w:p w14:paraId="0ABA164D">
      <w:pPr>
        <w:spacing w:line="360" w:lineRule="auto"/>
        <w:ind w:firstLine="482"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（2）所有资格证明文件必须满足招标文件要求，否则将导致废标。</w:t>
      </w:r>
    </w:p>
    <w:p w14:paraId="2BA5011E">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 投标产品符合招标文件规定的技术响应文件</w:t>
      </w:r>
    </w:p>
    <w:p w14:paraId="3975B230">
      <w:pPr>
        <w:spacing w:line="360" w:lineRule="auto"/>
        <w:ind w:left="600" w:hanging="600" w:hangingChars="2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16.1供应商须提交证明拟供货物符合招标文件规定的技术响应文件，作为投标文件的一部分。</w:t>
      </w:r>
    </w:p>
    <w:p w14:paraId="4CA3D3F6">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16.2上述文件可以是文字资料、图纸和数据，并提供：</w:t>
      </w:r>
    </w:p>
    <w:p w14:paraId="408A7D30">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（1）货物主要技术及性能特点的详细描述；</w:t>
      </w:r>
    </w:p>
    <w:p w14:paraId="7C366E5C">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（2）货物主要部件的详细资料；</w:t>
      </w:r>
    </w:p>
    <w:p w14:paraId="268E5BA9">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（3）一份在技术规格中规定的保证货物正常和连续运转期间所需要的所有备件和专业工具的详细清单包括价格及供货来源信息；</w:t>
      </w:r>
    </w:p>
    <w:p w14:paraId="4B4F13DA">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（4）规格、技术参数偏离表（见附件）。</w:t>
      </w:r>
    </w:p>
    <w:p w14:paraId="4D889116">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没有按要求提供资料或提供资料不完全，将是对本次招标没有作出实质性响应，其风险由供应商自行承担。</w:t>
      </w:r>
    </w:p>
    <w:p w14:paraId="7396E487">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17．投标的有效期</w:t>
      </w:r>
    </w:p>
    <w:p w14:paraId="0D7DAE7D">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17.1</w:t>
      </w:r>
      <w:r>
        <w:rPr>
          <w:rFonts w:hint="eastAsia" w:ascii="宋体" w:hAnsi="宋体" w:cs="宋体"/>
          <w:b/>
          <w:color w:val="000000" w:themeColor="text1"/>
          <w:sz w:val="24"/>
          <w:highlight w:val="none"/>
          <w14:textFill>
            <w14:solidFill>
              <w14:schemeClr w14:val="tx1"/>
            </w14:solidFill>
          </w14:textFill>
        </w:rPr>
        <w:t xml:space="preserve"> 投标文件从开标之日起，投标有效期为90天。（如不满足将导致废标）</w:t>
      </w:r>
    </w:p>
    <w:p w14:paraId="77527196">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17.2 在特殊情况下，招标代理机构可与供应商商量延长投标文件的有效期。</w:t>
      </w:r>
    </w:p>
    <w:p w14:paraId="5D16FEF1">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18．投标文件的书写要求。</w:t>
      </w:r>
    </w:p>
    <w:p w14:paraId="71C6CA1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18.1 投标文件应清楚工整，修改处应由投标供应商法人或授权代表签章。</w:t>
      </w:r>
    </w:p>
    <w:p w14:paraId="54979AE1">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18.2投标文件应由法人代表或法人授权代表在凡规定签章处逐一签署及加盖单位的公章。</w:t>
      </w:r>
    </w:p>
    <w:p w14:paraId="11EAECD6">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18.3电报、电话、传真形式的投标概不接受。</w:t>
      </w:r>
    </w:p>
    <w:p w14:paraId="76783D3E">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19．投标保证金</w:t>
      </w:r>
    </w:p>
    <w:p w14:paraId="49B51F45">
      <w:pPr>
        <w:spacing w:line="360" w:lineRule="auto"/>
        <w:ind w:left="600" w:hanging="600" w:hangingChars="2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19.1保证金见“供应商须知附表第4条”，于投标截止时间前向招标代理机构交纳投标保证金。</w:t>
      </w:r>
    </w:p>
    <w:p w14:paraId="1B1AA873">
      <w:pPr>
        <w:spacing w:line="360" w:lineRule="auto"/>
        <w:ind w:left="600" w:hanging="600" w:hangingChars="2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19.2 投标保证金有效期应当与投标有效期一致。</w:t>
      </w:r>
    </w:p>
    <w:p w14:paraId="07DB3919">
      <w:pPr>
        <w:spacing w:line="360" w:lineRule="auto"/>
        <w:ind w:left="600" w:hanging="600" w:hangingChars="2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19.3投标保证金的退还时间：</w:t>
      </w:r>
    </w:p>
    <w:p w14:paraId="56025D9C">
      <w:pPr>
        <w:spacing w:line="360" w:lineRule="auto"/>
        <w:ind w:left="708" w:hanging="708" w:hangingChars="29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19.3.1 在中标通知书发出后5个工作日内退还未中标供应商的投标保证金，在采购合同签订后5个工作日内退还中标供应商的投标保证金。</w:t>
      </w:r>
    </w:p>
    <w:p w14:paraId="3D93FD0D">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19.4</w:t>
      </w:r>
      <w:r>
        <w:rPr>
          <w:rFonts w:hint="eastAsia" w:ascii="宋体" w:hAnsi="宋体" w:cs="宋体"/>
          <w:b/>
          <w:color w:val="000000" w:themeColor="text1"/>
          <w:sz w:val="24"/>
          <w:highlight w:val="none"/>
          <w14:textFill>
            <w14:solidFill>
              <w14:schemeClr w14:val="tx1"/>
            </w14:solidFill>
          </w14:textFill>
        </w:rPr>
        <w:t>未按规定提交投标保证金的投标，将被视为投标无效。</w:t>
      </w:r>
    </w:p>
    <w:p w14:paraId="6CB1A8EE">
      <w:pPr>
        <w:pStyle w:val="44"/>
        <w:spacing w:line="360" w:lineRule="auto"/>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19.5下列任何情况发生时，投标保证金将被没收：</w:t>
      </w:r>
    </w:p>
    <w:p w14:paraId="2ED889C2">
      <w:pPr>
        <w:pStyle w:val="44"/>
        <w:spacing w:line="360" w:lineRule="auto"/>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19.5.1投标有效期从提交投标文件的截止之日起算。投标文件中承诺的投标有效期应当不少于招标文件中载明的投标有效期。投标有效期内供应商撤销投标文件的，采购人或者采购代理机构可以不退还投标保证金；</w:t>
      </w:r>
    </w:p>
    <w:p w14:paraId="4149E593">
      <w:pPr>
        <w:pStyle w:val="44"/>
        <w:spacing w:line="360" w:lineRule="auto"/>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19.5.2中标方在规定期限内未能：</w:t>
      </w:r>
    </w:p>
    <w:p w14:paraId="0FD0ED56">
      <w:pPr>
        <w:pStyle w:val="44"/>
        <w:spacing w:line="360" w:lineRule="auto"/>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 xml:space="preserve">19.5.2.1按本须知第31条规定签订合同； </w:t>
      </w:r>
    </w:p>
    <w:p w14:paraId="1E64A4AE">
      <w:pPr>
        <w:pStyle w:val="44"/>
        <w:spacing w:line="360" w:lineRule="auto"/>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19.5.2.2按须知第32条向采购人提交履约保证金；</w:t>
      </w:r>
    </w:p>
    <w:p w14:paraId="72C55524">
      <w:pPr>
        <w:pStyle w:val="44"/>
        <w:spacing w:line="360" w:lineRule="auto"/>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19.5.2.3按本须知第33条规定向招标代理机构交纳招标代理服务费。</w:t>
      </w:r>
    </w:p>
    <w:p w14:paraId="01596848">
      <w:pPr>
        <w:pStyle w:val="4"/>
        <w:rPr>
          <w:rFonts w:ascii="宋体" w:hAnsi="宋体" w:cs="宋体"/>
          <w:color w:val="000000" w:themeColor="text1"/>
          <w:highlight w:val="none"/>
          <w14:textFill>
            <w14:solidFill>
              <w14:schemeClr w14:val="tx1"/>
            </w14:solidFill>
          </w14:textFill>
        </w:rPr>
      </w:pPr>
      <w:bookmarkStart w:id="35" w:name="_Toc533096043"/>
      <w:bookmarkStart w:id="36" w:name="_Toc349573124"/>
      <w:bookmarkStart w:id="37" w:name="_Toc298240408"/>
      <w:bookmarkStart w:id="38" w:name="_Toc267301285"/>
      <w:bookmarkStart w:id="39" w:name="_Toc20335"/>
      <w:bookmarkStart w:id="40" w:name="_Toc349637923"/>
      <w:r>
        <w:rPr>
          <w:rFonts w:hint="eastAsia" w:ascii="宋体" w:hAnsi="宋体" w:cs="宋体"/>
          <w:color w:val="000000" w:themeColor="text1"/>
          <w:highlight w:val="none"/>
          <w14:textFill>
            <w14:solidFill>
              <w14:schemeClr w14:val="tx1"/>
            </w14:solidFill>
          </w14:textFill>
        </w:rPr>
        <w:t>D  投标文件的递交</w:t>
      </w:r>
      <w:bookmarkEnd w:id="35"/>
      <w:bookmarkEnd w:id="36"/>
      <w:bookmarkEnd w:id="37"/>
      <w:bookmarkEnd w:id="38"/>
      <w:bookmarkEnd w:id="39"/>
      <w:bookmarkEnd w:id="40"/>
    </w:p>
    <w:p w14:paraId="3BA574D5">
      <w:pPr>
        <w:adjustRightInd w:val="0"/>
        <w:snapToGrid w:val="0"/>
        <w:spacing w:line="360" w:lineRule="auto"/>
        <w:rPr>
          <w:rFonts w:ascii="宋体" w:hAnsi="宋体" w:cs="宋体"/>
          <w:color w:val="000000" w:themeColor="text1"/>
          <w:sz w:val="24"/>
          <w:highlight w:val="none"/>
          <w14:textFill>
            <w14:solidFill>
              <w14:schemeClr w14:val="tx1"/>
            </w14:solidFill>
          </w14:textFill>
        </w:rPr>
      </w:pPr>
      <w:bookmarkStart w:id="41" w:name="_Toc533096044"/>
      <w:bookmarkStart w:id="42" w:name="_Toc349637924"/>
      <w:bookmarkStart w:id="43" w:name="_Toc298240409"/>
      <w:bookmarkStart w:id="44" w:name="_Toc267301286"/>
      <w:bookmarkStart w:id="45" w:name="_Toc349573125"/>
      <w:r>
        <w:rPr>
          <w:rFonts w:hint="eastAsia" w:ascii="宋体" w:hAnsi="宋体" w:cs="宋体"/>
          <w:color w:val="000000" w:themeColor="text1"/>
          <w:sz w:val="24"/>
          <w:highlight w:val="none"/>
          <w14:textFill>
            <w14:solidFill>
              <w14:schemeClr w14:val="tx1"/>
            </w14:solidFill>
          </w14:textFill>
        </w:rPr>
        <w:t>20. 投标文件的标记</w:t>
      </w:r>
    </w:p>
    <w:p w14:paraId="76CF42AB">
      <w:pPr>
        <w:adjustRightInd w:val="0"/>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20.1 投标文件封面应写明：</w:t>
      </w:r>
    </w:p>
    <w:p w14:paraId="63A15E53">
      <w:pPr>
        <w:numPr>
          <w:ilvl w:val="0"/>
          <w:numId w:val="56"/>
        </w:numPr>
        <w:tabs>
          <w:tab w:val="left" w:pos="1080"/>
          <w:tab w:val="clear" w:pos="1260"/>
        </w:tabs>
        <w:adjustRightInd w:val="0"/>
        <w:snapToGrid w:val="0"/>
        <w:spacing w:line="360" w:lineRule="auto"/>
        <w:ind w:left="1080" w:hanging="7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招标机构：新疆招标有限公司</w:t>
      </w:r>
    </w:p>
    <w:p w14:paraId="639DBC0E">
      <w:pPr>
        <w:numPr>
          <w:ilvl w:val="0"/>
          <w:numId w:val="56"/>
        </w:numPr>
        <w:tabs>
          <w:tab w:val="left" w:pos="1080"/>
          <w:tab w:val="clear" w:pos="1260"/>
        </w:tabs>
        <w:adjustRightInd w:val="0"/>
        <w:snapToGrid w:val="0"/>
        <w:spacing w:line="360" w:lineRule="auto"/>
        <w:ind w:left="1080" w:hanging="7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r>
        <w:rPr>
          <w:rFonts w:hint="eastAsia" w:ascii="宋体" w:hAnsi="宋体" w:cs="宋体"/>
          <w:color w:val="000000" w:themeColor="text1"/>
          <w:sz w:val="24"/>
          <w:highlight w:val="none"/>
          <w:u w:val="single"/>
          <w14:textFill>
            <w14:solidFill>
              <w14:schemeClr w14:val="tx1"/>
            </w14:solidFill>
          </w14:textFill>
        </w:rPr>
        <w:t xml:space="preserve">             </w:t>
      </w:r>
    </w:p>
    <w:p w14:paraId="37E668F0">
      <w:pPr>
        <w:numPr>
          <w:ilvl w:val="0"/>
          <w:numId w:val="56"/>
        </w:numPr>
        <w:tabs>
          <w:tab w:val="left" w:pos="1080"/>
          <w:tab w:val="clear" w:pos="1260"/>
        </w:tabs>
        <w:adjustRightInd w:val="0"/>
        <w:snapToGrid w:val="0"/>
        <w:spacing w:line="360" w:lineRule="auto"/>
        <w:ind w:left="1080" w:hanging="7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项目编号：</w:t>
      </w:r>
      <w:r>
        <w:rPr>
          <w:rFonts w:hint="eastAsia" w:ascii="宋体" w:hAnsi="宋体" w:cs="宋体"/>
          <w:color w:val="000000" w:themeColor="text1"/>
          <w:sz w:val="24"/>
          <w:highlight w:val="none"/>
          <w:u w:val="single"/>
          <w14:textFill>
            <w14:solidFill>
              <w14:schemeClr w14:val="tx1"/>
            </w14:solidFill>
          </w14:textFill>
        </w:rPr>
        <w:t xml:space="preserve">             </w:t>
      </w:r>
    </w:p>
    <w:p w14:paraId="504F17D0">
      <w:pPr>
        <w:numPr>
          <w:ilvl w:val="0"/>
          <w:numId w:val="56"/>
        </w:numPr>
        <w:tabs>
          <w:tab w:val="left" w:pos="1080"/>
          <w:tab w:val="clear" w:pos="1260"/>
        </w:tabs>
        <w:adjustRightInd w:val="0"/>
        <w:snapToGrid w:val="0"/>
        <w:spacing w:line="360" w:lineRule="auto"/>
        <w:ind w:left="1080" w:hanging="7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包号：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53292C01">
      <w:pPr>
        <w:numPr>
          <w:ilvl w:val="0"/>
          <w:numId w:val="56"/>
        </w:numPr>
        <w:tabs>
          <w:tab w:val="left" w:pos="1080"/>
          <w:tab w:val="clear" w:pos="1260"/>
        </w:tabs>
        <w:adjustRightInd w:val="0"/>
        <w:snapToGrid w:val="0"/>
        <w:spacing w:line="360" w:lineRule="auto"/>
        <w:ind w:left="1080" w:hanging="720"/>
        <w:rPr>
          <w:rFonts w:ascii="宋体" w:hAnsi="宋体" w:cs="宋体"/>
          <w:color w:val="000000" w:themeColor="text1"/>
          <w:sz w:val="24"/>
          <w:szCs w:val="24"/>
          <w:highlight w:val="none"/>
          <w:lang w:bidi="ar"/>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投标单位名称：</w:t>
      </w:r>
      <w:r>
        <w:rPr>
          <w:rFonts w:hint="eastAsia" w:ascii="宋体" w:hAnsi="宋体" w:cs="宋体"/>
          <w:color w:val="000000" w:themeColor="text1"/>
          <w:sz w:val="24"/>
          <w:highlight w:val="none"/>
          <w:u w:val="single"/>
          <w14:textFill>
            <w14:solidFill>
              <w14:schemeClr w14:val="tx1"/>
            </w14:solidFill>
          </w14:textFill>
        </w:rPr>
        <w:t xml:space="preserve">            </w:t>
      </w:r>
    </w:p>
    <w:p w14:paraId="0A3AE316">
      <w:pPr>
        <w:spacing w:line="360" w:lineRule="auto"/>
        <w:rPr>
          <w:rFonts w:ascii="宋体" w:hAnsi="宋体" w:cs="宋体"/>
          <w:color w:val="000000" w:themeColor="text1"/>
          <w:sz w:val="24"/>
          <w:szCs w:val="24"/>
          <w:highlight w:val="none"/>
          <w:lang w:bidi="ar"/>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21. 投标截止时间</w:t>
      </w:r>
    </w:p>
    <w:p w14:paraId="2FF2E0D7">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21.1 投标文件的递交不得迟于</w:t>
      </w:r>
      <w:r>
        <w:rPr>
          <w:rFonts w:hint="eastAsia" w:ascii="宋体" w:hAnsi="宋体" w:cs="宋体"/>
          <w:color w:val="000000" w:themeColor="text1"/>
          <w:sz w:val="24"/>
          <w:szCs w:val="24"/>
          <w:highlight w:val="none"/>
          <w:lang w:eastAsia="zh-CN"/>
          <w14:textFill>
            <w14:solidFill>
              <w14:schemeClr w14:val="tx1"/>
            </w14:solidFill>
          </w14:textFill>
        </w:rPr>
        <w:t>2026年6月8日10 ：30时</w:t>
      </w:r>
      <w:r>
        <w:rPr>
          <w:rFonts w:hint="eastAsia" w:ascii="宋体" w:hAnsi="宋体" w:cs="宋体"/>
          <w:color w:val="000000" w:themeColor="text1"/>
          <w:sz w:val="24"/>
          <w:szCs w:val="24"/>
          <w:highlight w:val="none"/>
          <w14:textFill>
            <w14:solidFill>
              <w14:schemeClr w14:val="tx1"/>
            </w14:solidFill>
          </w14:textFill>
        </w:rPr>
        <w:t>（北京时间）</w:t>
      </w:r>
      <w:r>
        <w:rPr>
          <w:rFonts w:hint="eastAsia" w:ascii="宋体" w:hAnsi="宋体" w:cs="宋体"/>
          <w:color w:val="000000" w:themeColor="text1"/>
          <w:sz w:val="24"/>
          <w:szCs w:val="24"/>
          <w:highlight w:val="none"/>
          <w:lang w:bidi="ar"/>
          <w14:textFill>
            <w14:solidFill>
              <w14:schemeClr w14:val="tx1"/>
            </w14:solidFill>
          </w14:textFill>
        </w:rPr>
        <w:t>。</w:t>
      </w:r>
    </w:p>
    <w:p w14:paraId="1E287E7D">
      <w:pPr>
        <w:spacing w:line="360" w:lineRule="auto"/>
        <w:rPr>
          <w:rFonts w:ascii="宋体" w:hAnsi="宋体" w:cs="宋体"/>
          <w:color w:val="000000" w:themeColor="text1"/>
          <w:sz w:val="24"/>
          <w:szCs w:val="24"/>
          <w:highlight w:val="none"/>
          <w:lang w:bidi="ar"/>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电子投标文件以加密形式递交至：政采云线上（www.zcygov.cn）</w:t>
      </w:r>
    </w:p>
    <w:p w14:paraId="1F95FB64">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21.2 出现第8.2款因招标文件的修改推迟投标截止时间时，则按招标代理机构修改通知规定的时间递交。</w:t>
      </w:r>
    </w:p>
    <w:p w14:paraId="42C196AA">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22．投标文件的修改和撤销</w:t>
      </w:r>
    </w:p>
    <w:p w14:paraId="279CD1E6">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22.1 供应商在提交投标文件后可对其投标文件进行修改或撤销，但招标代理机构须在投标截止时间之前收到该修改或撤销的书面通知，该通知须有法定代表人或其授权的代理人签字。</w:t>
      </w:r>
    </w:p>
    <w:p w14:paraId="0DD71264">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22.2 投标截止时间以后不得修改投标文件。</w:t>
      </w:r>
    </w:p>
    <w:p w14:paraId="2865D906">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22.3 供应商不得在开标时间起至投标有效期期满前撤销投标文件。否则招标代理机构将没收其投标保证金。</w:t>
      </w:r>
    </w:p>
    <w:p w14:paraId="5CC4AF11">
      <w:pPr>
        <w:pStyle w:val="4"/>
        <w:rPr>
          <w:rFonts w:ascii="宋体" w:hAnsi="宋体" w:cs="宋体"/>
          <w:color w:val="000000" w:themeColor="text1"/>
          <w:highlight w:val="none"/>
          <w14:textFill>
            <w14:solidFill>
              <w14:schemeClr w14:val="tx1"/>
            </w14:solidFill>
          </w14:textFill>
        </w:rPr>
      </w:pPr>
      <w:bookmarkStart w:id="46" w:name="_Toc21423"/>
      <w:r>
        <w:rPr>
          <w:rFonts w:hint="eastAsia" w:ascii="宋体" w:hAnsi="宋体" w:cs="宋体"/>
          <w:color w:val="000000" w:themeColor="text1"/>
          <w:highlight w:val="none"/>
          <w14:textFill>
            <w14:solidFill>
              <w14:schemeClr w14:val="tx1"/>
            </w14:solidFill>
          </w14:textFill>
        </w:rPr>
        <w:t>E  采购程序</w:t>
      </w:r>
      <w:bookmarkEnd w:id="41"/>
      <w:bookmarkEnd w:id="42"/>
      <w:bookmarkEnd w:id="43"/>
      <w:bookmarkEnd w:id="44"/>
      <w:bookmarkEnd w:id="45"/>
      <w:bookmarkEnd w:id="46"/>
    </w:p>
    <w:p w14:paraId="424E9F60">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23．开标</w:t>
      </w:r>
    </w:p>
    <w:p w14:paraId="2EDFCCF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23.1本次采用网上评标系统，供应商在线参加投标（无需到投标现场）。开标前供应商完成设备测试，保证摄像头及麦克风正常使用。自开标时间起至评审结束，供应商须登录新疆政府采购网政采云平台并保持网络通畅，随时答复评标委员会的疑问。若供应商未在规定时间内答复的，由此产生的后果将由供应商自行承担。</w:t>
      </w:r>
    </w:p>
    <w:p w14:paraId="4D248DB1">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23.2供应商登录政采云平台，在开标时间后30分钟内用“项目采购----开标评标”功能进行解密电子版投标文件。若供应商在规定时间内未按时解密的，视为无效响应。解密与加密电子版投标文件须使用同一个CA。</w:t>
      </w:r>
    </w:p>
    <w:p w14:paraId="5FBA98BF">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23.3宣布投标文件开启顺序。</w:t>
      </w:r>
    </w:p>
    <w:p w14:paraId="490750FD">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23.4 评标原则在开标会议上宣布。</w:t>
      </w:r>
    </w:p>
    <w:p w14:paraId="6565A180">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23.5 对采购人的纪律要求</w:t>
      </w:r>
    </w:p>
    <w:p w14:paraId="3C11508E">
      <w:pPr>
        <w:spacing w:line="360" w:lineRule="auto"/>
        <w:ind w:left="720" w:hanging="720" w:hangingChars="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采购人不得泄露招标投标活动中应当保密的情况和资料，不得与供应商串通损害国家利益、社会公共利益或者他人合法权益。</w:t>
      </w:r>
    </w:p>
    <w:p w14:paraId="60F76D5D">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23.6对供应商的纪律要求</w:t>
      </w:r>
    </w:p>
    <w:p w14:paraId="460B2F12">
      <w:pPr>
        <w:spacing w:line="360" w:lineRule="auto"/>
        <w:ind w:left="598" w:leftChars="28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供应商不得互相串通投标或者与采购人串通投标，不得向采购人或者评标委员会成员行贿谋取中标，不得以他人名义投标或者以其他方式弄虚作假骗取中标；供应商不得以任何方式干扰、影响评标工作。</w:t>
      </w:r>
    </w:p>
    <w:p w14:paraId="654DBBD8">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23.8 对与评标活动有关的工作人员的纪律要求</w:t>
      </w:r>
    </w:p>
    <w:p w14:paraId="24CE86D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与评标活动有关的工作人员不得收受他人的财物或者好处，不得向其他人透露对投标文件的评审和比较、中标候选人的推荐情况及评标有关其他情况。在评标活动中，与评标活动有关的工作人员不得擅离职守，影响评标程序正常进行。</w:t>
      </w:r>
    </w:p>
    <w:p w14:paraId="34B7216C">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23.9对评标委员会成员要求评标纪律</w:t>
      </w:r>
    </w:p>
    <w:p w14:paraId="742FE127">
      <w:pPr>
        <w:spacing w:line="360" w:lineRule="auto"/>
        <w:ind w:left="720" w:hanging="720" w:hangingChars="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23.9.1评委会应当依照有关法律法规的规定，按照招标文件确定的评标标准和办法客观、公正的对投标文件提出评审意见。招标文件设有规定的评标标准和方法不得作为评标依据。</w:t>
      </w:r>
    </w:p>
    <w:p w14:paraId="78863DBF">
      <w:pPr>
        <w:spacing w:line="360" w:lineRule="auto"/>
        <w:ind w:left="720" w:hanging="720" w:hangingChars="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23.9.2评标委员会成员不得私下接触供应商，不得收受供应商给予的财务或者其他好处，不得向采购人征询确定中标人意向。</w:t>
      </w:r>
    </w:p>
    <w:p w14:paraId="0B5B69CE">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23.9.3不得接受任何单位或个人明示或暗示提出的倾向或排斥特定供应商的要求。</w:t>
      </w:r>
    </w:p>
    <w:p w14:paraId="096DBFA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23.9.4不得有其他不客观，不公正履行职务的行为。</w:t>
      </w:r>
    </w:p>
    <w:p w14:paraId="5829127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24．评标过程</w:t>
      </w:r>
    </w:p>
    <w:p w14:paraId="2475EBEC">
      <w:pPr>
        <w:spacing w:line="360" w:lineRule="auto"/>
        <w:ind w:left="600" w:hanging="600" w:hangingChars="2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24.1 评标的依据为招标文件和投标文件。</w:t>
      </w:r>
    </w:p>
    <w:p w14:paraId="594D21CF">
      <w:pPr>
        <w:spacing w:line="360" w:lineRule="auto"/>
        <w:ind w:left="600" w:hanging="600" w:hangingChars="2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24.2 在对投标文件进行详细评估之前，招标代理机构及监督人将按照招标文件前款规定的资格标准对供应商资格文件进行审查。</w:t>
      </w:r>
    </w:p>
    <w:p w14:paraId="19EE986D">
      <w:pPr>
        <w:pStyle w:val="33"/>
        <w:jc w:val="center"/>
        <w:outlineLvl w:val="2"/>
        <w:rPr>
          <w:color w:val="000000" w:themeColor="text1"/>
          <w:highlight w:val="none"/>
          <w14:textFill>
            <w14:solidFill>
              <w14:schemeClr w14:val="tx1"/>
            </w14:solidFill>
          </w14:textFill>
        </w:rPr>
      </w:pPr>
      <w:bookmarkStart w:id="47" w:name="_Toc14534"/>
      <w:r>
        <w:rPr>
          <w:rFonts w:hint="eastAsia" w:ascii="宋体" w:hAnsi="宋体" w:cs="宋体"/>
          <w:color w:val="000000" w:themeColor="text1"/>
          <w:highlight w:val="none"/>
          <w14:textFill>
            <w14:solidFill>
              <w14:schemeClr w14:val="tx1"/>
            </w14:solidFill>
          </w14:textFill>
        </w:rPr>
        <w:t>资格审查</w:t>
      </w:r>
      <w:bookmarkEnd w:id="47"/>
    </w:p>
    <w:tbl>
      <w:tblPr>
        <w:tblStyle w:val="87"/>
        <w:tblW w:w="9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073"/>
        <w:gridCol w:w="1088"/>
      </w:tblGrid>
      <w:tr w14:paraId="14C0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28" w:type="dxa"/>
          </w:tcPr>
          <w:p w14:paraId="6E37001B">
            <w:pPr>
              <w:adjustRightInd w:val="0"/>
              <w:snapToGrid w:val="0"/>
              <w:spacing w:line="360" w:lineRule="exact"/>
              <w:jc w:val="center"/>
              <w:rPr>
                <w:rFonts w:eastAsia="仿宋_GB2312"/>
                <w:b/>
                <w:bCs/>
                <w:color w:val="000000" w:themeColor="text1"/>
                <w:sz w:val="24"/>
                <w:szCs w:val="24"/>
                <w:highlight w:val="none"/>
                <w14:textFill>
                  <w14:solidFill>
                    <w14:schemeClr w14:val="tx1"/>
                  </w14:solidFill>
                </w14:textFill>
              </w:rPr>
            </w:pPr>
            <w:r>
              <w:rPr>
                <w:rFonts w:eastAsia="仿宋_GB2312"/>
                <w:b/>
                <w:bCs/>
                <w:color w:val="000000" w:themeColor="text1"/>
                <w:sz w:val="24"/>
                <w:szCs w:val="24"/>
                <w:highlight w:val="none"/>
                <w14:textFill>
                  <w14:solidFill>
                    <w14:schemeClr w14:val="tx1"/>
                  </w14:solidFill>
                </w14:textFill>
              </w:rPr>
              <w:t>序号</w:t>
            </w:r>
          </w:p>
        </w:tc>
        <w:tc>
          <w:tcPr>
            <w:tcW w:w="8073" w:type="dxa"/>
            <w:vAlign w:val="center"/>
          </w:tcPr>
          <w:p w14:paraId="2A783F74">
            <w:pPr>
              <w:adjustRightInd w:val="0"/>
              <w:snapToGrid w:val="0"/>
              <w:spacing w:line="360" w:lineRule="exact"/>
              <w:jc w:val="center"/>
              <w:rPr>
                <w:rFonts w:eastAsia="仿宋_GB2312"/>
                <w:b/>
                <w:bCs/>
                <w:color w:val="000000" w:themeColor="text1"/>
                <w:sz w:val="24"/>
                <w:szCs w:val="24"/>
                <w:highlight w:val="none"/>
                <w14:textFill>
                  <w14:solidFill>
                    <w14:schemeClr w14:val="tx1"/>
                  </w14:solidFill>
                </w14:textFill>
              </w:rPr>
            </w:pPr>
            <w:r>
              <w:rPr>
                <w:rFonts w:eastAsia="仿宋_GB2312"/>
                <w:b/>
                <w:bCs/>
                <w:color w:val="000000" w:themeColor="text1"/>
                <w:sz w:val="24"/>
                <w:szCs w:val="24"/>
                <w:highlight w:val="none"/>
                <w14:textFill>
                  <w14:solidFill>
                    <w14:schemeClr w14:val="tx1"/>
                  </w14:solidFill>
                </w14:textFill>
              </w:rPr>
              <w:t>评审内容</w:t>
            </w:r>
          </w:p>
        </w:tc>
        <w:tc>
          <w:tcPr>
            <w:tcW w:w="1088" w:type="dxa"/>
            <w:vAlign w:val="center"/>
          </w:tcPr>
          <w:p w14:paraId="24A5FDF7">
            <w:pPr>
              <w:adjustRightInd w:val="0"/>
              <w:snapToGrid w:val="0"/>
              <w:spacing w:line="360" w:lineRule="exact"/>
              <w:jc w:val="center"/>
              <w:rPr>
                <w:rFonts w:eastAsia="仿宋_GB2312"/>
                <w:b/>
                <w:bCs/>
                <w:color w:val="000000" w:themeColor="text1"/>
                <w:sz w:val="24"/>
                <w:szCs w:val="24"/>
                <w:highlight w:val="none"/>
                <w14:textFill>
                  <w14:solidFill>
                    <w14:schemeClr w14:val="tx1"/>
                  </w14:solidFill>
                </w14:textFill>
              </w:rPr>
            </w:pPr>
            <w:r>
              <w:rPr>
                <w:rFonts w:eastAsia="仿宋_GB2312"/>
                <w:b/>
                <w:bCs/>
                <w:color w:val="000000" w:themeColor="text1"/>
                <w:sz w:val="24"/>
                <w:szCs w:val="24"/>
                <w:highlight w:val="none"/>
                <w14:textFill>
                  <w14:solidFill>
                    <w14:schemeClr w14:val="tx1"/>
                  </w14:solidFill>
                </w14:textFill>
              </w:rPr>
              <w:t>是否满足</w:t>
            </w:r>
          </w:p>
        </w:tc>
      </w:tr>
      <w:tr w14:paraId="68286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8" w:type="dxa"/>
            <w:vAlign w:val="center"/>
          </w:tcPr>
          <w:p w14:paraId="3A1CE3F4">
            <w:pPr>
              <w:adjustRightInd w:val="0"/>
              <w:snapToGrid w:val="0"/>
              <w:spacing w:line="360" w:lineRule="exact"/>
              <w:jc w:val="center"/>
              <w:rPr>
                <w:rFonts w:eastAsia="仿宋_GB2312"/>
                <w:b/>
                <w:bCs/>
                <w:color w:val="000000" w:themeColor="text1"/>
                <w:sz w:val="24"/>
                <w:szCs w:val="24"/>
                <w:highlight w:val="none"/>
                <w14:textFill>
                  <w14:solidFill>
                    <w14:schemeClr w14:val="tx1"/>
                  </w14:solidFill>
                </w14:textFill>
              </w:rPr>
            </w:pPr>
            <w:r>
              <w:rPr>
                <w:rFonts w:hint="eastAsia" w:eastAsia="仿宋_GB2312"/>
                <w:b/>
                <w:bCs/>
                <w:color w:val="000000" w:themeColor="text1"/>
                <w:sz w:val="24"/>
                <w:szCs w:val="24"/>
                <w:highlight w:val="none"/>
                <w14:textFill>
                  <w14:solidFill>
                    <w14:schemeClr w14:val="tx1"/>
                  </w14:solidFill>
                </w14:textFill>
              </w:rPr>
              <w:t>审查条件</w:t>
            </w:r>
          </w:p>
        </w:tc>
        <w:tc>
          <w:tcPr>
            <w:tcW w:w="8073" w:type="dxa"/>
            <w:vAlign w:val="center"/>
          </w:tcPr>
          <w:p w14:paraId="61273D66">
            <w:pPr>
              <w:pStyle w:val="50"/>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供应商资格标准：（资格审查标准）</w:t>
            </w:r>
          </w:p>
          <w:p w14:paraId="08851883">
            <w:pPr>
              <w:pStyle w:val="50"/>
              <w:rPr>
                <w:rFonts w:ascii="宋体" w:hAnsi="宋体" w:cs="宋体"/>
                <w:color w:val="000000"/>
                <w:sz w:val="24"/>
                <w:szCs w:val="24"/>
                <w:highlight w:val="none"/>
              </w:rPr>
            </w:pPr>
            <w:r>
              <w:rPr>
                <w:rFonts w:hint="eastAsia" w:ascii="宋体" w:hAnsi="宋体" w:cs="宋体"/>
                <w:color w:val="000000"/>
                <w:sz w:val="24"/>
                <w:szCs w:val="24"/>
                <w:highlight w:val="none"/>
              </w:rPr>
              <w:t>1.具有独立承担民事责任的能力；</w:t>
            </w:r>
            <w:r>
              <w:rPr>
                <w:rFonts w:hint="eastAsia" w:ascii="宋体" w:hAnsi="宋体" w:cs="宋体"/>
                <w:sz w:val="24"/>
                <w:szCs w:val="24"/>
                <w:highlight w:val="none"/>
                <w:lang w:eastAsia="zh-CN"/>
              </w:rPr>
              <w:t>（</w:t>
            </w:r>
            <w:r>
              <w:rPr>
                <w:rFonts w:hint="eastAsia" w:hAnsi="宋体" w:cs="宋体"/>
                <w:sz w:val="24"/>
                <w:szCs w:val="24"/>
                <w:highlight w:val="none"/>
              </w:rPr>
              <w:t>投标人</w:t>
            </w:r>
            <w:r>
              <w:rPr>
                <w:rFonts w:hint="eastAsia" w:ascii="宋体" w:hAnsi="宋体" w:cs="宋体"/>
                <w:sz w:val="24"/>
                <w:szCs w:val="24"/>
                <w:highlight w:val="none"/>
              </w:rPr>
              <w:t>为企业(包括合伙企业)的，应提供有效的“营业执照”;</w:t>
            </w:r>
            <w:r>
              <w:rPr>
                <w:rFonts w:hint="eastAsia" w:hAnsi="宋体" w:cs="宋体"/>
                <w:sz w:val="24"/>
                <w:szCs w:val="24"/>
                <w:highlight w:val="none"/>
              </w:rPr>
              <w:t>投标人</w:t>
            </w:r>
            <w:r>
              <w:rPr>
                <w:rFonts w:hint="eastAsia" w:ascii="宋体" w:hAnsi="宋体" w:cs="宋体"/>
                <w:sz w:val="24"/>
                <w:szCs w:val="24"/>
                <w:highlight w:val="none"/>
              </w:rPr>
              <w:t>是非企业机构的，应提供有效的“执业许可证、记证书，等证明文件;</w:t>
            </w:r>
            <w:r>
              <w:rPr>
                <w:rFonts w:hint="eastAsia" w:hAnsi="宋体" w:cs="宋体"/>
                <w:sz w:val="24"/>
                <w:szCs w:val="24"/>
                <w:highlight w:val="none"/>
              </w:rPr>
              <w:t>投标人</w:t>
            </w:r>
            <w:r>
              <w:rPr>
                <w:rFonts w:hint="eastAsia" w:ascii="宋体" w:hAnsi="宋体" w:cs="宋体"/>
                <w:sz w:val="24"/>
                <w:szCs w:val="24"/>
                <w:highlight w:val="none"/>
              </w:rPr>
              <w:t>是个体工商户的，应提供有效的“个体工商户营业执照”;</w:t>
            </w:r>
            <w:r>
              <w:rPr>
                <w:rFonts w:hint="eastAsia" w:hAnsi="宋体" w:cs="宋体"/>
                <w:sz w:val="24"/>
                <w:szCs w:val="24"/>
                <w:highlight w:val="none"/>
              </w:rPr>
              <w:t>投标人</w:t>
            </w:r>
            <w:r>
              <w:rPr>
                <w:rFonts w:hint="eastAsia" w:ascii="宋体" w:hAnsi="宋体" w:cs="宋体"/>
                <w:sz w:val="24"/>
                <w:szCs w:val="24"/>
                <w:highlight w:val="none"/>
              </w:rPr>
              <w:t>是自然人的，应提供有效的自然人身份证明。分支机构参加响应的，应提供该分支机构或其所属法人其他组织的相应证明文件;同时还应提供其所属法人/其他组织出具的授权其参与本项目的授权书(格式自拟，须加盖其所属法人其他组织的公章)</w:t>
            </w:r>
          </w:p>
          <w:p w14:paraId="1540C3B7">
            <w:pPr>
              <w:pStyle w:val="5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eastAsia="zh-CN"/>
              </w:rPr>
              <w:t>具有良好的商业信誉和健全的财务会计制度；提供经外部审计的近3年（2023年、2024年、2025年）内任意一年的财务报告或2025年度公司财务报表（成立不满一年的企业需提供（公司成立起至投标截止时间上一月）财务报表）</w:t>
            </w:r>
            <w:r>
              <w:rPr>
                <w:rFonts w:hint="eastAsia" w:ascii="宋体" w:hAnsi="宋体" w:cs="宋体"/>
                <w:color w:val="000000"/>
                <w:sz w:val="24"/>
                <w:szCs w:val="24"/>
                <w:highlight w:val="none"/>
              </w:rPr>
              <w:t>；</w:t>
            </w:r>
          </w:p>
          <w:p w14:paraId="6DC180E1">
            <w:pPr>
              <w:pStyle w:val="50"/>
              <w:rPr>
                <w:rFonts w:ascii="宋体" w:hAnsi="宋体" w:cs="宋体"/>
                <w:color w:val="000000"/>
                <w:sz w:val="24"/>
                <w:szCs w:val="24"/>
                <w:highlight w:val="none"/>
              </w:rPr>
            </w:pPr>
            <w:r>
              <w:rPr>
                <w:rFonts w:hint="eastAsia" w:ascii="宋体" w:hAnsi="宋体" w:cs="宋体"/>
                <w:color w:val="000000"/>
                <w:sz w:val="24"/>
                <w:szCs w:val="24"/>
                <w:highlight w:val="none"/>
              </w:rPr>
              <w:t xml:space="preserve">3.具有履行合同所必需的设备和专业技术能力；（提供承诺函，格式自拟）； </w:t>
            </w:r>
          </w:p>
          <w:p w14:paraId="482F0327">
            <w:pPr>
              <w:pStyle w:val="50"/>
              <w:rPr>
                <w:rFonts w:ascii="宋体" w:hAnsi="宋体" w:cs="宋体"/>
                <w:color w:val="000000"/>
                <w:sz w:val="24"/>
                <w:szCs w:val="24"/>
                <w:highlight w:val="none"/>
              </w:rPr>
            </w:pPr>
            <w:r>
              <w:rPr>
                <w:rFonts w:hint="eastAsia" w:ascii="宋体" w:hAnsi="宋体" w:cs="宋体"/>
                <w:color w:val="000000"/>
                <w:sz w:val="24"/>
                <w:szCs w:val="24"/>
                <w:highlight w:val="none"/>
              </w:rPr>
              <w:t>4.有依法缴纳税收和社会保障资金的良好纪录；提供近半年内任意三个月缴纳税收证明及社保缴纳证明；（新成立公司提供成立之日起至今的缴税记录及社保缴纳证明，若供应商的纳税记录为零申报的，需提供相应证明材料）；</w:t>
            </w:r>
          </w:p>
          <w:p w14:paraId="291FD0D0">
            <w:pPr>
              <w:pStyle w:val="50"/>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rPr>
              <w:t>5.</w:t>
            </w:r>
            <w:r>
              <w:rPr>
                <w:rFonts w:hint="eastAsia" w:ascii="宋体" w:hAnsi="宋体" w:cs="宋体"/>
                <w:color w:val="000000"/>
                <w:sz w:val="24"/>
                <w:szCs w:val="24"/>
                <w:highlight w:val="none"/>
                <w:lang w:eastAsia="zh-CN"/>
              </w:rPr>
              <w:t>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p w14:paraId="4D43614B">
            <w:pPr>
              <w:pStyle w:val="50"/>
              <w:rPr>
                <w:rFonts w:ascii="宋体" w:hAnsi="宋体" w:cs="宋体"/>
                <w:color w:val="000000"/>
                <w:sz w:val="24"/>
                <w:szCs w:val="24"/>
                <w:highlight w:val="none"/>
              </w:rPr>
            </w:pPr>
            <w:r>
              <w:rPr>
                <w:rFonts w:hint="eastAsia" w:ascii="宋体" w:hAnsi="宋体" w:cs="宋体"/>
                <w:color w:val="000000"/>
                <w:sz w:val="24"/>
                <w:szCs w:val="24"/>
                <w:highlight w:val="none"/>
              </w:rPr>
              <w:t>6.符合国家有关法律法规的规定；（提供承诺函</w:t>
            </w:r>
            <w:r>
              <w:rPr>
                <w:rFonts w:hint="eastAsia" w:ascii="宋体" w:hAnsi="宋体" w:cs="宋体"/>
                <w:color w:val="000000"/>
                <w:sz w:val="24"/>
                <w:szCs w:val="24"/>
                <w:highlight w:val="none"/>
                <w:lang w:val="en-US" w:eastAsia="zh-CN"/>
              </w:rPr>
              <w:t>加盖公章</w:t>
            </w:r>
            <w:r>
              <w:rPr>
                <w:rFonts w:hint="eastAsia" w:ascii="宋体" w:hAnsi="宋体" w:cs="宋体"/>
                <w:color w:val="000000"/>
                <w:sz w:val="24"/>
                <w:szCs w:val="24"/>
                <w:highlight w:val="none"/>
              </w:rPr>
              <w:t>，格式自拟）；</w:t>
            </w:r>
          </w:p>
          <w:p w14:paraId="022EFA33">
            <w:pPr>
              <w:pStyle w:val="5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.本项目不接受联合体；（提供承诺函</w:t>
            </w:r>
            <w:r>
              <w:rPr>
                <w:rFonts w:hint="eastAsia" w:ascii="宋体" w:hAnsi="宋体" w:cs="宋体"/>
                <w:color w:val="000000"/>
                <w:sz w:val="24"/>
                <w:szCs w:val="24"/>
                <w:highlight w:val="none"/>
                <w:lang w:val="en-US" w:eastAsia="zh-CN"/>
              </w:rPr>
              <w:t>加盖公章</w:t>
            </w:r>
            <w:r>
              <w:rPr>
                <w:rFonts w:hint="eastAsia" w:ascii="宋体" w:hAnsi="宋体" w:cs="宋体"/>
                <w:color w:val="000000"/>
                <w:sz w:val="24"/>
                <w:szCs w:val="24"/>
                <w:highlight w:val="none"/>
              </w:rPr>
              <w:t xml:space="preserve">，格式自拟）； </w:t>
            </w:r>
          </w:p>
          <w:p w14:paraId="5AD455AA">
            <w:pPr>
              <w:pStyle w:val="5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8</w:t>
            </w:r>
            <w:r>
              <w:rPr>
                <w:rFonts w:hint="eastAsia" w:ascii="宋体" w:hAnsi="宋体" w:cs="宋体"/>
                <w:color w:val="000000"/>
                <w:sz w:val="24"/>
                <w:szCs w:val="24"/>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提供承诺函</w:t>
            </w:r>
            <w:r>
              <w:rPr>
                <w:rFonts w:hint="eastAsia" w:ascii="宋体" w:hAnsi="宋体" w:cs="宋体"/>
                <w:color w:val="000000"/>
                <w:sz w:val="24"/>
                <w:szCs w:val="24"/>
                <w:highlight w:val="none"/>
                <w:lang w:val="en-US" w:eastAsia="zh-CN"/>
              </w:rPr>
              <w:t>加盖公章</w:t>
            </w:r>
            <w:r>
              <w:rPr>
                <w:rFonts w:hint="eastAsia" w:ascii="宋体" w:hAnsi="宋体" w:cs="宋体"/>
                <w:color w:val="000000"/>
                <w:sz w:val="24"/>
                <w:szCs w:val="24"/>
                <w:highlight w:val="none"/>
              </w:rPr>
              <w:t xml:space="preserve">，格式自拟）； </w:t>
            </w:r>
          </w:p>
          <w:p w14:paraId="418AB847">
            <w:pPr>
              <w:pStyle w:val="50"/>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9.本项目特殊资格要求：</w:t>
            </w:r>
          </w:p>
          <w:p w14:paraId="503C20E3">
            <w:pPr>
              <w:pStyle w:val="50"/>
              <w:ind w:firstLine="480" w:firstLineChars="200"/>
              <w:rPr>
                <w:rFonts w:hint="eastAsia" w:cs="Arial"/>
                <w:color w:val="000000"/>
                <w:sz w:val="24"/>
                <w:szCs w:val="24"/>
                <w:highlight w:val="none"/>
                <w:lang w:eastAsia="zh-CN"/>
              </w:rPr>
            </w:pPr>
            <w:r>
              <w:rPr>
                <w:rFonts w:hint="eastAsia" w:ascii="宋体" w:hAnsi="宋体" w:eastAsia="宋体" w:cs="Arial"/>
                <w:color w:val="000000"/>
                <w:sz w:val="24"/>
                <w:szCs w:val="24"/>
                <w:highlight w:val="none"/>
              </w:rPr>
              <w:t>具有医疗器械经营资格</w:t>
            </w:r>
            <w:r>
              <w:rPr>
                <w:rFonts w:hint="eastAsia" w:cs="Arial"/>
                <w:color w:val="000000"/>
                <w:sz w:val="24"/>
                <w:szCs w:val="24"/>
                <w:highlight w:val="none"/>
                <w:lang w:eastAsia="zh-CN"/>
              </w:rPr>
              <w:t>（</w:t>
            </w:r>
            <w:r>
              <w:rPr>
                <w:rFonts w:hint="eastAsia" w:cs="Arial"/>
                <w:color w:val="000000"/>
                <w:sz w:val="24"/>
                <w:szCs w:val="24"/>
                <w:highlight w:val="none"/>
                <w:lang w:val="en-US" w:eastAsia="zh-CN"/>
              </w:rPr>
              <w:t>提供</w:t>
            </w:r>
            <w:r>
              <w:rPr>
                <w:rFonts w:ascii="宋体" w:hAnsi="宋体" w:eastAsia="宋体" w:cs="宋体"/>
                <w:sz w:val="24"/>
                <w:szCs w:val="24"/>
              </w:rPr>
              <w:t>医疗器械经营许可证</w:t>
            </w:r>
            <w:r>
              <w:rPr>
                <w:rFonts w:hint="eastAsia" w:ascii="宋体" w:hAnsi="宋体" w:eastAsia="宋体" w:cs="宋体"/>
                <w:sz w:val="24"/>
                <w:szCs w:val="24"/>
                <w:lang w:val="en-US" w:eastAsia="zh-CN"/>
              </w:rPr>
              <w:t>复印件并加盖公章</w:t>
            </w:r>
            <w:r>
              <w:rPr>
                <w:rFonts w:hint="eastAsia" w:cs="Arial"/>
                <w:color w:val="000000"/>
                <w:sz w:val="24"/>
                <w:szCs w:val="24"/>
                <w:highlight w:val="none"/>
                <w:lang w:eastAsia="zh-CN"/>
              </w:rPr>
              <w:t>）；</w:t>
            </w:r>
          </w:p>
          <w:p w14:paraId="42314BE1">
            <w:pPr>
              <w:pStyle w:val="50"/>
              <w:rPr>
                <w:rFonts w:hint="eastAsia" w:eastAsia="宋体"/>
                <w:color w:val="000000" w:themeColor="text1"/>
                <w:highlight w:val="none"/>
                <w:lang w:val="en-US" w:eastAsia="zh-CN"/>
                <w14:textFill>
                  <w14:solidFill>
                    <w14:schemeClr w14:val="tx1"/>
                  </w14:solidFill>
                </w14:textFill>
              </w:rPr>
            </w:pPr>
            <w:r>
              <w:rPr>
                <w:rFonts w:hint="eastAsia" w:ascii="宋体" w:hAnsi="宋体" w:eastAsia="宋体" w:cs="Arial"/>
                <w:color w:val="000000"/>
                <w:sz w:val="24"/>
                <w:szCs w:val="24"/>
                <w:highlight w:val="none"/>
              </w:rPr>
              <w:t>属于医疗器械管理的产品需根据《医疗器械监督管理条例》（国务院令第650号）有关内容办理医疗器械产品注册或备案（提供</w:t>
            </w:r>
            <w:r>
              <w:rPr>
                <w:rFonts w:ascii="宋体" w:hAnsi="宋体" w:eastAsia="宋体" w:cs="宋体"/>
                <w:sz w:val="24"/>
                <w:szCs w:val="24"/>
              </w:rPr>
              <w:t>医疗器械注册证</w:t>
            </w:r>
            <w:r>
              <w:rPr>
                <w:rFonts w:hint="eastAsia" w:ascii="宋体" w:hAnsi="宋体" w:eastAsia="宋体" w:cs="宋体"/>
                <w:sz w:val="24"/>
                <w:szCs w:val="24"/>
                <w:lang w:val="en-US" w:eastAsia="zh-CN"/>
              </w:rPr>
              <w:t>或</w:t>
            </w:r>
            <w:r>
              <w:rPr>
                <w:rFonts w:ascii="宋体" w:hAnsi="宋体" w:eastAsia="宋体" w:cs="宋体"/>
                <w:sz w:val="24"/>
                <w:szCs w:val="24"/>
              </w:rPr>
              <w:t>医疗器械备案凭证</w:t>
            </w:r>
            <w:r>
              <w:rPr>
                <w:rFonts w:hint="eastAsia" w:ascii="宋体" w:hAnsi="宋体" w:eastAsia="宋体" w:cs="宋体"/>
                <w:sz w:val="24"/>
                <w:szCs w:val="24"/>
                <w:lang w:val="en-US" w:eastAsia="zh-CN"/>
              </w:rPr>
              <w:t>复印件</w:t>
            </w:r>
            <w:r>
              <w:rPr>
                <w:rFonts w:hint="eastAsia" w:ascii="宋体" w:hAnsi="宋体" w:eastAsia="宋体" w:cs="Arial"/>
                <w:color w:val="000000"/>
                <w:sz w:val="24"/>
                <w:szCs w:val="24"/>
                <w:highlight w:val="none"/>
              </w:rPr>
              <w:t>并加盖公章）</w:t>
            </w:r>
            <w:r>
              <w:rPr>
                <w:rFonts w:hint="eastAsia" w:cs="Arial"/>
                <w:color w:val="000000"/>
                <w:sz w:val="24"/>
                <w:szCs w:val="24"/>
                <w:highlight w:val="none"/>
                <w:lang w:eastAsia="zh-CN"/>
              </w:rPr>
              <w:t>。</w:t>
            </w:r>
          </w:p>
        </w:tc>
        <w:tc>
          <w:tcPr>
            <w:tcW w:w="1088" w:type="dxa"/>
          </w:tcPr>
          <w:p w14:paraId="12D1443F">
            <w:pPr>
              <w:adjustRightInd w:val="0"/>
              <w:snapToGrid w:val="0"/>
              <w:spacing w:line="360" w:lineRule="exact"/>
              <w:jc w:val="center"/>
              <w:rPr>
                <w:rFonts w:eastAsia="仿宋_GB2312"/>
                <w:b/>
                <w:bCs/>
                <w:color w:val="000000" w:themeColor="text1"/>
                <w:sz w:val="24"/>
                <w:szCs w:val="24"/>
                <w:highlight w:val="none"/>
                <w14:textFill>
                  <w14:solidFill>
                    <w14:schemeClr w14:val="tx1"/>
                  </w14:solidFill>
                </w14:textFill>
              </w:rPr>
            </w:pPr>
          </w:p>
        </w:tc>
      </w:tr>
      <w:tr w14:paraId="78F27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01" w:type="dxa"/>
            <w:gridSpan w:val="2"/>
          </w:tcPr>
          <w:p w14:paraId="24665A99">
            <w:pPr>
              <w:adjustRightInd w:val="0"/>
              <w:snapToGrid w:val="0"/>
              <w:spacing w:line="360" w:lineRule="exact"/>
              <w:jc w:val="center"/>
              <w:rPr>
                <w:b/>
                <w:bCs/>
                <w:color w:val="000000" w:themeColor="text1"/>
                <w:sz w:val="24"/>
                <w:szCs w:val="24"/>
                <w:highlight w:val="none"/>
                <w14:textFill>
                  <w14:solidFill>
                    <w14:schemeClr w14:val="tx1"/>
                  </w14:solidFill>
                </w14:textFill>
              </w:rPr>
            </w:pPr>
            <w:r>
              <w:rPr>
                <w:rFonts w:ascii="Arial" w:hAnsi="Arial" w:cs="Arial"/>
                <w:b w:val="0"/>
                <w:bCs/>
                <w:color w:val="000000" w:themeColor="text1"/>
                <w:sz w:val="24"/>
                <w:highlight w:val="none"/>
                <w14:textFill>
                  <w14:solidFill>
                    <w14:schemeClr w14:val="tx1"/>
                  </w14:solidFill>
                </w14:textFill>
              </w:rPr>
              <w:t>审查结果</w:t>
            </w:r>
            <w:r>
              <w:rPr>
                <w:rFonts w:hint="eastAsia" w:ascii="Arial" w:hAnsi="Arial" w:cs="Arial"/>
                <w:b w:val="0"/>
                <w:bCs/>
                <w:color w:val="000000" w:themeColor="text1"/>
                <w:sz w:val="24"/>
                <w:highlight w:val="none"/>
                <w14:textFill>
                  <w14:solidFill>
                    <w14:schemeClr w14:val="tx1"/>
                  </w14:solidFill>
                </w14:textFill>
              </w:rPr>
              <w:t>：</w:t>
            </w:r>
            <w:r>
              <w:rPr>
                <w:rFonts w:hint="eastAsia" w:ascii="宋体" w:hAnsi="宋体" w:cs="宋体"/>
                <w:b w:val="0"/>
                <w:bCs/>
                <w:color w:val="000000" w:themeColor="text1"/>
                <w:sz w:val="24"/>
                <w:szCs w:val="24"/>
                <w:highlight w:val="none"/>
                <w14:textFill>
                  <w14:solidFill>
                    <w14:schemeClr w14:val="tx1"/>
                  </w14:solidFill>
                </w14:textFill>
              </w:rPr>
              <w:t>是否满足</w:t>
            </w:r>
          </w:p>
        </w:tc>
        <w:tc>
          <w:tcPr>
            <w:tcW w:w="1088" w:type="dxa"/>
          </w:tcPr>
          <w:p w14:paraId="5DCE8E84">
            <w:pPr>
              <w:adjustRightInd w:val="0"/>
              <w:snapToGrid w:val="0"/>
              <w:spacing w:line="360" w:lineRule="exact"/>
              <w:jc w:val="center"/>
              <w:rPr>
                <w:rFonts w:eastAsia="仿宋_GB2312"/>
                <w:b/>
                <w:bCs/>
                <w:color w:val="000000" w:themeColor="text1"/>
                <w:sz w:val="24"/>
                <w:szCs w:val="24"/>
                <w:highlight w:val="none"/>
                <w14:textFill>
                  <w14:solidFill>
                    <w14:schemeClr w14:val="tx1"/>
                  </w14:solidFill>
                </w14:textFill>
              </w:rPr>
            </w:pPr>
          </w:p>
        </w:tc>
      </w:tr>
    </w:tbl>
    <w:p w14:paraId="7A80536F">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24.3评委会将组织审查投标文件是否完整，是否有计算错误，要求的保证金是否提供，文件是否恰当地签署。</w:t>
      </w:r>
    </w:p>
    <w:p w14:paraId="4DE4C3EC">
      <w:pPr>
        <w:spacing w:line="360" w:lineRule="auto"/>
        <w:ind w:left="600" w:hanging="600" w:hangingChars="25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24.4 </w:t>
      </w:r>
      <w:r>
        <w:rPr>
          <w:rFonts w:hint="eastAsia" w:ascii="宋体" w:hAnsi="宋体" w:cs="宋体"/>
          <w:b/>
          <w:color w:val="000000" w:themeColor="text1"/>
          <w:sz w:val="24"/>
          <w:highlight w:val="none"/>
          <w14:textFill>
            <w14:solidFill>
              <w14:schemeClr w14:val="tx1"/>
            </w14:solidFill>
          </w14:textFill>
        </w:rPr>
        <w:t>评标委员会确定每一投标是否对招标文件的要求作出了实质性的响应，而没有重大偏离。实质性响应的投标是指没有重大偏离或保留。重大偏离或保留系指影响到招标文件规定的供货范围、质量和性能，或限制了买方的权利和供应商的义务的规定，而纠正这些偏离将影响到其他提交实质性响应投标的供应商的公平竞争地位。</w:t>
      </w:r>
    </w:p>
    <w:p w14:paraId="272BE048">
      <w:pPr>
        <w:rPr>
          <w:rFonts w:hint="eastAsia" w:ascii="宋体" w:hAnsi="宋体" w:cs="宋体"/>
          <w:b w:val="0"/>
          <w:bCs/>
          <w:color w:val="000000" w:themeColor="text1"/>
          <w:kern w:val="2"/>
          <w:sz w:val="24"/>
          <w:highlight w:val="none"/>
          <w:lang w:val="en-US" w:eastAsia="zh-CN" w:bidi="ar-SA"/>
          <w14:textFill>
            <w14:solidFill>
              <w14:schemeClr w14:val="tx1"/>
            </w14:solidFill>
          </w14:textFill>
        </w:rPr>
      </w:pPr>
      <w:r>
        <w:rPr>
          <w:rFonts w:hint="eastAsia" w:ascii="宋体" w:hAnsi="宋体" w:cs="宋体"/>
          <w:b w:val="0"/>
          <w:bCs/>
          <w:color w:val="000000" w:themeColor="text1"/>
          <w:kern w:val="2"/>
          <w:sz w:val="24"/>
          <w:highlight w:val="none"/>
          <w:lang w:val="en-US" w:eastAsia="zh-CN" w:bidi="ar-SA"/>
          <w14:textFill>
            <w14:solidFill>
              <w14:schemeClr w14:val="tx1"/>
            </w14:solidFill>
          </w14:textFill>
        </w:rPr>
        <w:br w:type="page"/>
      </w:r>
    </w:p>
    <w:p w14:paraId="249569E6">
      <w:pPr>
        <w:pStyle w:val="33"/>
        <w:jc w:val="center"/>
        <w:outlineLvl w:val="2"/>
        <w:rPr>
          <w:rFonts w:hint="eastAsia" w:ascii="宋体" w:hAnsi="宋体" w:eastAsia="宋体" w:cs="宋体"/>
          <w:b w:val="0"/>
          <w:bCs/>
          <w:color w:val="000000" w:themeColor="text1"/>
          <w:kern w:val="2"/>
          <w:sz w:val="24"/>
          <w:highlight w:val="none"/>
          <w:lang w:val="en-US" w:eastAsia="zh-CN" w:bidi="ar-SA"/>
          <w14:textFill>
            <w14:solidFill>
              <w14:schemeClr w14:val="tx1"/>
            </w14:solidFill>
          </w14:textFill>
        </w:rPr>
      </w:pPr>
      <w:bookmarkStart w:id="48" w:name="_Toc13102"/>
      <w:r>
        <w:rPr>
          <w:rFonts w:hint="eastAsia" w:ascii="宋体" w:hAnsi="宋体" w:eastAsia="宋体" w:cs="宋体"/>
          <w:b w:val="0"/>
          <w:bCs/>
          <w:color w:val="000000" w:themeColor="text1"/>
          <w:kern w:val="2"/>
          <w:sz w:val="24"/>
          <w:highlight w:val="none"/>
          <w:lang w:val="en-US" w:eastAsia="zh-CN" w:bidi="ar-SA"/>
          <w14:textFill>
            <w14:solidFill>
              <w14:schemeClr w14:val="tx1"/>
            </w14:solidFill>
          </w14:textFill>
        </w:rPr>
        <w:t>符合性审查</w:t>
      </w:r>
      <w:bookmarkEnd w:id="48"/>
    </w:p>
    <w:tbl>
      <w:tblPr>
        <w:tblStyle w:val="8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8156"/>
        <w:gridCol w:w="868"/>
      </w:tblGrid>
      <w:tr w14:paraId="0ED67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89" w:type="dxa"/>
            <w:vAlign w:val="center"/>
          </w:tcPr>
          <w:p w14:paraId="1AFE6662">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序号</w:t>
            </w:r>
          </w:p>
        </w:tc>
        <w:tc>
          <w:tcPr>
            <w:tcW w:w="8156" w:type="dxa"/>
            <w:vAlign w:val="center"/>
          </w:tcPr>
          <w:p w14:paraId="478EAD4C">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符合性评审内容</w:t>
            </w:r>
          </w:p>
        </w:tc>
        <w:tc>
          <w:tcPr>
            <w:tcW w:w="868" w:type="dxa"/>
            <w:vAlign w:val="center"/>
          </w:tcPr>
          <w:p w14:paraId="437FA290">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是否满足</w:t>
            </w:r>
          </w:p>
        </w:tc>
      </w:tr>
      <w:tr w14:paraId="598F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jc w:val="center"/>
        </w:trPr>
        <w:tc>
          <w:tcPr>
            <w:tcW w:w="689" w:type="dxa"/>
            <w:vAlign w:val="center"/>
          </w:tcPr>
          <w:p w14:paraId="47F3CDEF">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1</w:t>
            </w:r>
          </w:p>
        </w:tc>
        <w:tc>
          <w:tcPr>
            <w:tcW w:w="8156" w:type="dxa"/>
            <w:vAlign w:val="center"/>
          </w:tcPr>
          <w:p w14:paraId="51B00AC9">
            <w:pPr>
              <w:snapToGrid w:val="0"/>
              <w:spacing w:line="360" w:lineRule="auto"/>
              <w:jc w:val="left"/>
              <w:rPr>
                <w:rFonts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在评标过程中，评标委员会若发现供应商的报价明显低于其他投标报价，使得其投标报价可能低于其个别成本的，应当要求该供应商做出书面说明并提供相关证明材料。供应商不能合理说明或者不能提供相关证明材料的，评标委员会认定该供应商以低于成本报价竞标，招标方不接受不符合国家有关部门相关规定的投标报价或优惠方案，其投标报价视为无效报价。</w:t>
            </w:r>
            <w:r>
              <w:rPr>
                <w:rFonts w:hint="eastAsia" w:ascii="Arial" w:hAnsi="Arial" w:eastAsia="宋体" w:cs="Arial"/>
                <w:b/>
                <w:bCs/>
                <w:sz w:val="24"/>
                <w:szCs w:val="24"/>
                <w:highlight w:val="none"/>
                <w:lang w:eastAsia="zh-CN"/>
              </w:rPr>
              <w:t>（异常低价投标（响应）审查</w:t>
            </w:r>
            <w:r>
              <w:rPr>
                <w:rFonts w:hint="eastAsia" w:ascii="Arial" w:hAnsi="Arial" w:eastAsia="宋体" w:cs="Arial"/>
                <w:b/>
                <w:bCs/>
                <w:sz w:val="24"/>
                <w:szCs w:val="24"/>
                <w:highlight w:val="none"/>
                <w:lang w:val="en-US" w:eastAsia="zh-CN"/>
              </w:rPr>
              <w:t>详见招标文件第二部分13.1.1</w:t>
            </w:r>
            <w:r>
              <w:rPr>
                <w:rFonts w:hint="eastAsia" w:ascii="Arial" w:hAnsi="Arial" w:eastAsia="宋体" w:cs="Arial"/>
                <w:b/>
                <w:bCs/>
                <w:sz w:val="24"/>
                <w:szCs w:val="24"/>
                <w:highlight w:val="none"/>
                <w:lang w:eastAsia="zh-CN"/>
              </w:rPr>
              <w:t>）</w:t>
            </w:r>
          </w:p>
        </w:tc>
        <w:tc>
          <w:tcPr>
            <w:tcW w:w="868" w:type="dxa"/>
          </w:tcPr>
          <w:p w14:paraId="1F7E1093">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p>
        </w:tc>
      </w:tr>
      <w:tr w14:paraId="3F81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689" w:type="dxa"/>
            <w:vAlign w:val="center"/>
          </w:tcPr>
          <w:p w14:paraId="53ED35D2">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2</w:t>
            </w:r>
          </w:p>
        </w:tc>
        <w:tc>
          <w:tcPr>
            <w:tcW w:w="8156" w:type="dxa"/>
            <w:vAlign w:val="center"/>
          </w:tcPr>
          <w:p w14:paraId="17BF9250">
            <w:pPr>
              <w:snapToGrid w:val="0"/>
              <w:spacing w:line="360" w:lineRule="auto"/>
              <w:jc w:val="left"/>
              <w:rPr>
                <w:rFonts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在评标过程中，评标委员会若发现供应商以他人名义投标、串通投标、以行贿手段谋取中标或者以其他弄虚作假方式投标的，该供应商的投标应作废标处理。</w:t>
            </w:r>
          </w:p>
        </w:tc>
        <w:tc>
          <w:tcPr>
            <w:tcW w:w="868" w:type="dxa"/>
          </w:tcPr>
          <w:p w14:paraId="4E96A5E8">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p>
        </w:tc>
      </w:tr>
      <w:tr w14:paraId="529F0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689" w:type="dxa"/>
            <w:vAlign w:val="center"/>
          </w:tcPr>
          <w:p w14:paraId="35479782">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3</w:t>
            </w:r>
          </w:p>
        </w:tc>
        <w:tc>
          <w:tcPr>
            <w:tcW w:w="8156" w:type="dxa"/>
            <w:vAlign w:val="center"/>
          </w:tcPr>
          <w:p w14:paraId="012C0349">
            <w:pPr>
              <w:pStyle w:val="5"/>
              <w:ind w:firstLine="0" w:firstLineChars="0"/>
              <w:rPr>
                <w:rFonts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bCs/>
                <w:sz w:val="24"/>
                <w:szCs w:val="24"/>
                <w:highlight w:val="none"/>
              </w:rPr>
              <w:t>投标报价（即开标报价）不得有选择性报价和附有条件的报价，</w:t>
            </w:r>
            <w:r>
              <w:rPr>
                <w:rFonts w:hint="eastAsia" w:ascii="宋体" w:hAnsi="宋体" w:eastAsia="宋体" w:cs="宋体"/>
                <w:b/>
                <w:bCs/>
                <w:sz w:val="24"/>
                <w:szCs w:val="24"/>
                <w:highlight w:val="none"/>
              </w:rPr>
              <w:t>不得高于设定的预算总金额，每项设备的单价不能超过预算单价，否则其投标无效。</w:t>
            </w:r>
          </w:p>
        </w:tc>
        <w:tc>
          <w:tcPr>
            <w:tcW w:w="868" w:type="dxa"/>
          </w:tcPr>
          <w:p w14:paraId="0591FCBC">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p>
        </w:tc>
      </w:tr>
      <w:tr w14:paraId="25523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89" w:type="dxa"/>
            <w:vAlign w:val="center"/>
          </w:tcPr>
          <w:p w14:paraId="3E37598D">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4</w:t>
            </w:r>
          </w:p>
        </w:tc>
        <w:tc>
          <w:tcPr>
            <w:tcW w:w="8156" w:type="dxa"/>
            <w:vAlign w:val="center"/>
          </w:tcPr>
          <w:p w14:paraId="7A737BA5">
            <w:pPr>
              <w:snapToGrid w:val="0"/>
              <w:spacing w:line="360" w:lineRule="auto"/>
              <w:jc w:val="left"/>
              <w:rPr>
                <w:rFonts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lang w:eastAsia="zh-CN"/>
                <w14:textFill>
                  <w14:solidFill>
                    <w14:schemeClr w14:val="tx1"/>
                  </w14:solidFill>
                </w14:textFill>
              </w:rPr>
              <w:t>交货期、</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质保期、交货地点</w:t>
            </w:r>
            <w:r>
              <w:rPr>
                <w:rFonts w:hint="eastAsia" w:ascii="宋体" w:hAnsi="宋体" w:cs="宋体"/>
                <w:b w:val="0"/>
                <w:bCs w:val="0"/>
                <w:color w:val="000000" w:themeColor="text1"/>
                <w:sz w:val="24"/>
                <w:szCs w:val="24"/>
                <w:highlight w:val="none"/>
                <w14:textFill>
                  <w14:solidFill>
                    <w14:schemeClr w14:val="tx1"/>
                  </w14:solidFill>
                </w14:textFill>
              </w:rPr>
              <w:t>满足招标文件要求</w:t>
            </w:r>
          </w:p>
        </w:tc>
        <w:tc>
          <w:tcPr>
            <w:tcW w:w="868" w:type="dxa"/>
          </w:tcPr>
          <w:p w14:paraId="4FA5EF77">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p>
        </w:tc>
      </w:tr>
      <w:tr w14:paraId="4C245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9" w:type="dxa"/>
            <w:vAlign w:val="center"/>
          </w:tcPr>
          <w:p w14:paraId="6E156432">
            <w:pPr>
              <w:snapToGrid w:val="0"/>
              <w:spacing w:line="360" w:lineRule="auto"/>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5</w:t>
            </w:r>
          </w:p>
        </w:tc>
        <w:tc>
          <w:tcPr>
            <w:tcW w:w="8156" w:type="dxa"/>
            <w:vAlign w:val="center"/>
          </w:tcPr>
          <w:p w14:paraId="387C6E56">
            <w:pPr>
              <w:snapToGrid w:val="0"/>
              <w:spacing w:line="360" w:lineRule="auto"/>
              <w:jc w:val="left"/>
              <w:rPr>
                <w:rFonts w:hint="eastAsia" w:ascii="宋体" w:hAnsi="宋体" w:cs="宋体"/>
                <w:b w:val="0"/>
                <w:bCs w:val="0"/>
                <w:color w:val="000000" w:themeColor="text1"/>
                <w:sz w:val="24"/>
                <w:szCs w:val="24"/>
                <w:highlight w:val="none"/>
                <w14:textFill>
                  <w14:solidFill>
                    <w14:schemeClr w14:val="tx1"/>
                  </w14:solidFill>
                </w14:textFill>
              </w:rPr>
            </w:pPr>
            <w:r>
              <w:rPr>
                <w:rFonts w:hint="eastAsia" w:ascii="宋体" w:hAnsi="宋体"/>
                <w:b/>
                <w:bCs/>
                <w:sz w:val="24"/>
                <w:szCs w:val="24"/>
                <w:highlight w:val="none"/>
              </w:rPr>
              <w:t>按照招标文件的规定提交投标保证金</w:t>
            </w:r>
          </w:p>
        </w:tc>
        <w:tc>
          <w:tcPr>
            <w:tcW w:w="868" w:type="dxa"/>
          </w:tcPr>
          <w:p w14:paraId="7CC2EAB3">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p>
        </w:tc>
      </w:tr>
      <w:tr w14:paraId="2036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9" w:type="dxa"/>
            <w:vAlign w:val="center"/>
          </w:tcPr>
          <w:p w14:paraId="34F4B028">
            <w:pPr>
              <w:snapToGrid w:val="0"/>
              <w:spacing w:line="360" w:lineRule="auto"/>
              <w:jc w:val="center"/>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6</w:t>
            </w:r>
          </w:p>
        </w:tc>
        <w:tc>
          <w:tcPr>
            <w:tcW w:w="8156" w:type="dxa"/>
            <w:vAlign w:val="center"/>
          </w:tcPr>
          <w:p w14:paraId="73CCC5F8">
            <w:pPr>
              <w:snapToGrid w:val="0"/>
              <w:spacing w:line="360" w:lineRule="auto"/>
              <w:jc w:val="left"/>
              <w:rPr>
                <w:rFonts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没有不满足招标文件实质性要求的其他情形。</w:t>
            </w:r>
          </w:p>
        </w:tc>
        <w:tc>
          <w:tcPr>
            <w:tcW w:w="868" w:type="dxa"/>
          </w:tcPr>
          <w:p w14:paraId="6BED4904">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p>
        </w:tc>
      </w:tr>
      <w:tr w14:paraId="0580B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845" w:type="dxa"/>
            <w:gridSpan w:val="2"/>
            <w:vAlign w:val="center"/>
          </w:tcPr>
          <w:p w14:paraId="723BB4CD">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审查结果：是否满足</w:t>
            </w:r>
          </w:p>
        </w:tc>
        <w:tc>
          <w:tcPr>
            <w:tcW w:w="868" w:type="dxa"/>
          </w:tcPr>
          <w:p w14:paraId="3B43EDBE">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p>
        </w:tc>
      </w:tr>
    </w:tbl>
    <w:p w14:paraId="381E2F64">
      <w:pPr>
        <w:pStyle w:val="33"/>
        <w:rPr>
          <w:color w:val="000000" w:themeColor="text1"/>
          <w:highlight w:val="none"/>
          <w14:textFill>
            <w14:solidFill>
              <w14:schemeClr w14:val="tx1"/>
            </w14:solidFill>
          </w14:textFill>
        </w:rPr>
      </w:pPr>
    </w:p>
    <w:p w14:paraId="5D5958BC">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25．投标文件的澄清</w:t>
      </w:r>
    </w:p>
    <w:p w14:paraId="03C1463D">
      <w:pPr>
        <w:spacing w:line="360" w:lineRule="auto"/>
        <w:ind w:left="600" w:hanging="600" w:hangingChars="2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25.1为有助于对投标文件进行审查、评估和比较，评标委员会将对认为需要（不是每一个）的供应商进行询标，请供应商澄清其投标内容，供应商有责任按照招标代理机构通知的时间、地点指派专人进行答疑和澄清。询标时供应商代表应作书面记录。并对重要内容作出书面答复。</w:t>
      </w:r>
    </w:p>
    <w:p w14:paraId="598ABAAD">
      <w:pPr>
        <w:spacing w:line="360" w:lineRule="auto"/>
        <w:ind w:left="600" w:hanging="600" w:hangingChars="2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25.2 要澄清的答复应是书面的，但不得对投标内容进行实质性修改。澄清文件须由供应商法人代表或法人授权代表签字和/或加盖公章并作为投标文件的组成部分。</w:t>
      </w:r>
    </w:p>
    <w:p w14:paraId="01448E3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26．对投标文件的评估和比较</w:t>
      </w:r>
    </w:p>
    <w:p w14:paraId="746E3C63">
      <w:pPr>
        <w:spacing w:line="360" w:lineRule="auto"/>
        <w:ind w:left="479" w:leftChars="228"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对投标文件的评估和比较分为两步进行，评标委员会按照招标文件要求对投标文件中的供应商资格、供应商资格证明文件、重要技术指标以及技术和商务上要求的其它重要内容进行审核，审核合格后即视为实质性响应的投标文件，进行第二个步骤：对实质性响应的投标文件进行评估和比较采用综合评分法进行打分评比，打分方法：总分为100分，其中价格因素占30分，技术因素、商务因素占70分。将每位供应商的价格得分、技术得分、商务得分相加即为该供应商的总得分。详细评分标准如下：</w:t>
      </w:r>
    </w:p>
    <w:p w14:paraId="3604D081">
      <w:pPr>
        <w:spacing w:line="360" w:lineRule="auto"/>
        <w:ind w:firstLine="482" w:firstLineChars="200"/>
        <w:outlineLvl w:val="2"/>
        <w:rPr>
          <w:rFonts w:hint="eastAsia" w:asciiTheme="majorEastAsia" w:hAnsiTheme="majorEastAsia" w:eastAsiaTheme="majorEastAsia" w:cstheme="majorEastAsia"/>
          <w:b/>
          <w:bCs/>
          <w:sz w:val="24"/>
          <w:szCs w:val="24"/>
          <w:highlight w:val="none"/>
        </w:rPr>
      </w:pPr>
      <w:bookmarkStart w:id="49" w:name="_Toc2398"/>
      <w:r>
        <w:rPr>
          <w:rFonts w:hint="eastAsia" w:asciiTheme="majorEastAsia" w:hAnsiTheme="majorEastAsia" w:eastAsiaTheme="majorEastAsia" w:cstheme="majorEastAsia"/>
          <w:b/>
          <w:bCs/>
          <w:sz w:val="24"/>
          <w:szCs w:val="24"/>
          <w:highlight w:val="none"/>
        </w:rPr>
        <w:t>价格部分（30分）</w:t>
      </w:r>
      <w:bookmarkEnd w:id="49"/>
    </w:p>
    <w:p w14:paraId="1EC2310F">
      <w:pPr>
        <w:spacing w:line="360" w:lineRule="auto"/>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sz w:val="24"/>
          <w:szCs w:val="24"/>
          <w:highlight w:val="none"/>
        </w:rPr>
        <w:t>报价得分=</w:t>
      </w:r>
      <w:r>
        <w:rPr>
          <w:rFonts w:hint="eastAsia" w:asciiTheme="majorEastAsia" w:hAnsiTheme="majorEastAsia" w:eastAsiaTheme="majorEastAsia" w:cstheme="majorEastAsia"/>
          <w:sz w:val="24"/>
          <w:szCs w:val="24"/>
          <w:highlight w:val="none"/>
          <w:lang w:eastAsia="zh-CN"/>
        </w:rPr>
        <w:t>（</w:t>
      </w:r>
      <w:r>
        <w:rPr>
          <w:rFonts w:hint="eastAsia" w:asciiTheme="majorEastAsia" w:hAnsiTheme="majorEastAsia" w:eastAsiaTheme="majorEastAsia" w:cstheme="majorEastAsia"/>
          <w:sz w:val="24"/>
          <w:szCs w:val="24"/>
          <w:highlight w:val="none"/>
        </w:rPr>
        <w:t>评标基准价/报价</w:t>
      </w:r>
      <w:r>
        <w:rPr>
          <w:rFonts w:hint="eastAsia" w:asciiTheme="majorEastAsia" w:hAnsiTheme="majorEastAsia" w:eastAsiaTheme="majorEastAsia" w:cstheme="majorEastAsia"/>
          <w:sz w:val="24"/>
          <w:szCs w:val="24"/>
          <w:highlight w:val="none"/>
          <w:lang w:eastAsia="zh-CN"/>
        </w:rPr>
        <w:t>）</w:t>
      </w:r>
      <w:r>
        <w:rPr>
          <w:rFonts w:hint="eastAsia" w:asciiTheme="majorEastAsia" w:hAnsiTheme="majorEastAsia" w:eastAsiaTheme="majorEastAsia" w:cstheme="majorEastAsia"/>
          <w:sz w:val="24"/>
          <w:szCs w:val="24"/>
          <w:highlight w:val="none"/>
        </w:rPr>
        <w:t>×30％×100。采用低价优先法计算，即满足招标文件要求且投标价格最低的投标报价为评标基准价，其价格为满分</w:t>
      </w:r>
      <w:r>
        <w:rPr>
          <w:rFonts w:hint="eastAsia" w:asciiTheme="majorEastAsia" w:hAnsiTheme="majorEastAsia" w:eastAsiaTheme="majorEastAsia" w:cstheme="majorEastAsia"/>
          <w:sz w:val="24"/>
          <w:szCs w:val="24"/>
          <w:highlight w:val="none"/>
          <w:lang w:eastAsia="zh-CN"/>
        </w:rPr>
        <w:t>（</w:t>
      </w:r>
      <w:r>
        <w:rPr>
          <w:rFonts w:hint="eastAsia" w:asciiTheme="majorEastAsia" w:hAnsiTheme="majorEastAsia" w:eastAsiaTheme="majorEastAsia" w:cstheme="majorEastAsia"/>
          <w:sz w:val="24"/>
          <w:szCs w:val="24"/>
          <w:highlight w:val="none"/>
        </w:rPr>
        <w:t>保留小数点后两位</w:t>
      </w:r>
      <w:r>
        <w:rPr>
          <w:rFonts w:hint="eastAsia" w:asciiTheme="majorEastAsia" w:hAnsiTheme="majorEastAsia" w:eastAsiaTheme="majorEastAsia" w:cstheme="majorEastAsia"/>
          <w:sz w:val="24"/>
          <w:szCs w:val="24"/>
          <w:highlight w:val="none"/>
          <w:lang w:eastAsia="zh-CN"/>
        </w:rPr>
        <w:t>）</w:t>
      </w:r>
    </w:p>
    <w:p w14:paraId="35272A8B">
      <w:pPr>
        <w:pStyle w:val="33"/>
        <w:jc w:val="center"/>
        <w:outlineLvl w:val="2"/>
        <w:rPr>
          <w:b/>
          <w:color w:val="000000" w:themeColor="text1"/>
          <w:highlight w:val="none"/>
          <w14:textFill>
            <w14:solidFill>
              <w14:schemeClr w14:val="tx1"/>
            </w14:solidFill>
          </w14:textFill>
        </w:rPr>
      </w:pPr>
      <w:bookmarkStart w:id="50" w:name="_Toc12106"/>
      <w:bookmarkStart w:id="51" w:name="_Toc267301288"/>
      <w:r>
        <w:rPr>
          <w:rFonts w:hint="eastAsia" w:ascii="宋体" w:hAnsi="宋体" w:cs="宋体"/>
          <w:b/>
          <w:color w:val="000000" w:themeColor="text1"/>
          <w:highlight w:val="none"/>
          <w:lang w:val="en-US" w:eastAsia="zh-CN"/>
          <w14:textFill>
            <w14:solidFill>
              <w14:schemeClr w14:val="tx1"/>
            </w14:solidFill>
          </w14:textFill>
        </w:rPr>
        <w:t>详细</w:t>
      </w:r>
      <w:r>
        <w:rPr>
          <w:rFonts w:hint="eastAsia" w:ascii="宋体" w:hAnsi="宋体" w:cs="宋体"/>
          <w:b/>
          <w:color w:val="000000" w:themeColor="text1"/>
          <w:highlight w:val="none"/>
          <w14:textFill>
            <w14:solidFill>
              <w14:schemeClr w14:val="tx1"/>
            </w14:solidFill>
          </w14:textFill>
        </w:rPr>
        <w:t>评审：</w:t>
      </w:r>
      <w:bookmarkEnd w:id="50"/>
    </w:p>
    <w:tbl>
      <w:tblPr>
        <w:tblStyle w:val="87"/>
        <w:tblW w:w="9963"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6"/>
        <w:gridCol w:w="8667"/>
      </w:tblGrid>
      <w:tr w14:paraId="6981B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1296" w:type="dxa"/>
            <w:vAlign w:val="center"/>
          </w:tcPr>
          <w:p w14:paraId="6110C7B0">
            <w:pPr>
              <w:jc w:val="center"/>
              <w:rPr>
                <w:rFonts w:hint="eastAsia" w:asciiTheme="majorEastAsia" w:hAnsiTheme="majorEastAsia" w:eastAsiaTheme="majorEastAsia" w:cstheme="majorEastAsia"/>
                <w:b/>
                <w:bCs/>
                <w:szCs w:val="24"/>
                <w:highlight w:val="none"/>
                <w:lang w:val="en-US" w:eastAsia="zh-CN"/>
              </w:rPr>
            </w:pPr>
            <w:r>
              <w:rPr>
                <w:rFonts w:hint="eastAsia" w:ascii="宋体" w:hAnsi="宋体" w:cs="宋体"/>
                <w:bCs/>
                <w:szCs w:val="24"/>
                <w:highlight w:val="none"/>
              </w:rPr>
              <w:t>评分因素</w:t>
            </w:r>
          </w:p>
        </w:tc>
        <w:tc>
          <w:tcPr>
            <w:tcW w:w="8667" w:type="dxa"/>
            <w:vAlign w:val="center"/>
          </w:tcPr>
          <w:p w14:paraId="13ECABB5">
            <w:pPr>
              <w:ind w:right="733" w:rightChars="0"/>
              <w:jc w:val="center"/>
              <w:rPr>
                <w:rFonts w:hint="eastAsia" w:asciiTheme="majorEastAsia" w:hAnsiTheme="majorEastAsia" w:eastAsiaTheme="majorEastAsia" w:cstheme="majorEastAsia"/>
                <w:b/>
                <w:bCs/>
                <w:highlight w:val="none"/>
                <w:lang w:val="en-US" w:eastAsia="zh-CN"/>
              </w:rPr>
            </w:pPr>
            <w:r>
              <w:rPr>
                <w:rFonts w:hint="eastAsia" w:ascii="宋体" w:hAnsi="宋体" w:cs="宋体"/>
                <w:bCs/>
                <w:szCs w:val="24"/>
                <w:highlight w:val="none"/>
              </w:rPr>
              <w:t>内容</w:t>
            </w:r>
          </w:p>
        </w:tc>
      </w:tr>
      <w:tr w14:paraId="5CFA6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1296" w:type="dxa"/>
            <w:vMerge w:val="restart"/>
            <w:vAlign w:val="center"/>
          </w:tcPr>
          <w:p w14:paraId="18C2744B">
            <w:pPr>
              <w:snapToGrid w:val="0"/>
              <w:ind w:left="0" w:leftChars="0" w:right="0" w:rightChars="0" w:firstLine="0" w:firstLineChars="0"/>
              <w:jc w:val="center"/>
              <w:rPr>
                <w:rFonts w:hint="eastAsia" w:asciiTheme="majorEastAsia" w:hAnsiTheme="majorEastAsia" w:eastAsiaTheme="majorEastAsia" w:cstheme="majorEastAsia"/>
                <w:bCs/>
                <w:sz w:val="21"/>
                <w:szCs w:val="24"/>
                <w:highlight w:val="none"/>
              </w:rPr>
            </w:pPr>
            <w:r>
              <w:rPr>
                <w:rFonts w:hint="eastAsia" w:asciiTheme="majorEastAsia" w:hAnsiTheme="majorEastAsia" w:eastAsiaTheme="majorEastAsia" w:cstheme="majorEastAsia"/>
                <w:bCs/>
                <w:sz w:val="21"/>
                <w:szCs w:val="24"/>
                <w:highlight w:val="none"/>
              </w:rPr>
              <w:t>技术因素</w:t>
            </w:r>
          </w:p>
          <w:p w14:paraId="42537050">
            <w:pPr>
              <w:snapToGrid w:val="0"/>
              <w:ind w:left="0" w:leftChars="0" w:right="0" w:rightChars="0" w:firstLine="0" w:firstLineChars="0"/>
              <w:jc w:val="center"/>
              <w:rPr>
                <w:rFonts w:hint="eastAsia" w:asciiTheme="majorEastAsia" w:hAnsiTheme="majorEastAsia" w:eastAsiaTheme="majorEastAsia" w:cstheme="majorEastAsia"/>
                <w:bCs/>
                <w:sz w:val="21"/>
                <w:szCs w:val="24"/>
                <w:highlight w:val="none"/>
              </w:rPr>
            </w:pPr>
          </w:p>
        </w:tc>
        <w:tc>
          <w:tcPr>
            <w:tcW w:w="8667" w:type="dxa"/>
            <w:vAlign w:val="center"/>
          </w:tcPr>
          <w:p w14:paraId="355A0D6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ajorEastAsia" w:hAnsiTheme="majorEastAsia" w:eastAsiaTheme="majorEastAsia" w:cstheme="majorEastAsia"/>
                <w:sz w:val="21"/>
                <w:highlight w:val="none"/>
              </w:rPr>
            </w:pPr>
            <w:r>
              <w:rPr>
                <w:rFonts w:hint="eastAsia" w:asciiTheme="majorEastAsia" w:hAnsiTheme="majorEastAsia" w:eastAsiaTheme="majorEastAsia" w:cstheme="majorEastAsia"/>
                <w:kern w:val="2"/>
                <w:sz w:val="21"/>
                <w:highlight w:val="none"/>
                <w:lang w:val="en-US" w:eastAsia="zh-CN" w:bidi="ar-SA"/>
              </w:rPr>
              <w:t>一、</w:t>
            </w:r>
            <w:r>
              <w:rPr>
                <w:rFonts w:hint="eastAsia" w:asciiTheme="majorEastAsia" w:hAnsiTheme="majorEastAsia" w:eastAsiaTheme="majorEastAsia" w:cstheme="majorEastAsia"/>
                <w:b/>
                <w:bCs/>
                <w:sz w:val="21"/>
                <w:highlight w:val="none"/>
              </w:rPr>
              <w:t>技术符合程度</w:t>
            </w:r>
            <w:r>
              <w:rPr>
                <w:rFonts w:hint="eastAsia" w:asciiTheme="majorEastAsia" w:hAnsiTheme="majorEastAsia" w:eastAsiaTheme="majorEastAsia" w:cstheme="majorEastAsia"/>
                <w:sz w:val="21"/>
                <w:highlight w:val="none"/>
              </w:rPr>
              <w:t>：</w:t>
            </w:r>
          </w:p>
          <w:p w14:paraId="072B167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FF0000"/>
                <w:sz w:val="21"/>
                <w:highlight w:val="none"/>
                <w:lang w:val="en-US" w:eastAsia="zh-CN"/>
              </w:rPr>
              <w:t>第一包</w:t>
            </w:r>
            <w:r>
              <w:rPr>
                <w:rFonts w:hint="eastAsia" w:asciiTheme="majorEastAsia" w:hAnsiTheme="majorEastAsia" w:eastAsiaTheme="majorEastAsia" w:cstheme="majorEastAsia"/>
                <w:b/>
                <w:bCs/>
                <w:color w:val="FF0000"/>
                <w:sz w:val="21"/>
                <w:highlight w:val="none"/>
              </w:rPr>
              <w:t>（40分）</w:t>
            </w:r>
            <w:r>
              <w:rPr>
                <w:rFonts w:hint="eastAsia" w:asciiTheme="majorEastAsia" w:hAnsiTheme="majorEastAsia" w:eastAsiaTheme="majorEastAsia" w:cstheme="majorEastAsia"/>
                <w:b/>
                <w:bCs/>
                <w:color w:val="FF0000"/>
                <w:sz w:val="21"/>
                <w:highlight w:val="none"/>
                <w:lang w:val="en-US" w:eastAsia="zh-CN"/>
              </w:rPr>
              <w:t>：</w:t>
            </w:r>
            <w:r>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t>根据各投标人所提供的技术和服务要求响应表，并结合所投标产品的佐证材料等方面情况，对照招标文件的要求，由评委按以下标准评定：</w:t>
            </w:r>
          </w:p>
          <w:p w14:paraId="7008685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t>①标注“★”标示的内容为不允许负偏离的实质性要求，若有一项负偏离则投标无效；</w:t>
            </w:r>
          </w:p>
          <w:p w14:paraId="50A637C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heme="majorEastAsia" w:hAnsiTheme="majorEastAsia" w:eastAsiaTheme="majorEastAsia" w:cstheme="majorEastAsia"/>
                <w:color w:val="000000" w:themeColor="text1"/>
                <w:kern w:val="2"/>
                <w:sz w:val="24"/>
                <w:szCs w:val="24"/>
                <w:highlight w:val="none"/>
                <w:shd w:val="clear" w:fill="FFFFFF"/>
                <w:lang w:val="en-US"/>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t>②标注“▲”号的技术指标项为关键参数，关键技术参数完全满足得20分，每</w:t>
            </w:r>
            <w:r>
              <w:rPr>
                <w:rFonts w:hint="eastAsia" w:asciiTheme="majorEastAsia" w:hAnsiTheme="majorEastAsia" w:eastAsiaTheme="majorEastAsia" w:cstheme="majorEastAsia"/>
                <w:color w:val="000000" w:themeColor="text1"/>
                <w:szCs w:val="20"/>
                <w:highlight w:val="none"/>
                <w:lang w:val="en-US" w:eastAsia="zh-CN" w:bidi="ar"/>
                <w14:textFill>
                  <w14:solidFill>
                    <w14:schemeClr w14:val="tx1"/>
                  </w14:solidFill>
                </w14:textFill>
              </w:rPr>
              <w:t>有一项</w:t>
            </w:r>
            <w:r>
              <w:rPr>
                <w:rFonts w:hint="eastAsia" w:asciiTheme="majorEastAsia" w:hAnsiTheme="majorEastAsia" w:eastAsiaTheme="majorEastAsia" w:cstheme="majorEastAsia"/>
                <w:color w:val="000000" w:themeColor="text1"/>
                <w:szCs w:val="20"/>
                <w:highlight w:val="none"/>
                <w:lang w:bidi="ar"/>
                <w14:textFill>
                  <w14:solidFill>
                    <w14:schemeClr w14:val="tx1"/>
                  </w14:solidFill>
                </w14:textFill>
              </w:rPr>
              <w:t>负偏离</w:t>
            </w:r>
            <w:r>
              <w:rPr>
                <w:rFonts w:hint="eastAsia" w:asciiTheme="majorEastAsia" w:hAnsiTheme="majorEastAsia" w:eastAsiaTheme="majorEastAsia" w:cstheme="majorEastAsia"/>
                <w:color w:val="000000" w:themeColor="text1"/>
                <w:szCs w:val="20"/>
                <w:highlight w:val="none"/>
                <w:lang w:val="en-US" w:eastAsia="zh-CN" w:bidi="ar"/>
                <w14:textFill>
                  <w14:solidFill>
                    <w14:schemeClr w14:val="tx1"/>
                  </w14:solidFill>
                </w14:textFill>
              </w:rPr>
              <w:t>扣1分，扣完为止，若有十项及以上标注“▲”符号为负偏离的，视为未实质性响应招标文件要求，按无效投标处理，</w:t>
            </w:r>
            <w:r>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t>优于（正偏离）关键技术参数的视为于满足参数，正偏离不加分。</w:t>
            </w:r>
          </w:p>
          <w:p w14:paraId="4C0BCFE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t>③其他未标注“▲”、“★”符号技术参数为一般参数，全部满足招标文件要求的得20分；优于（正偏离）一般技术参数的视为于满足参数，由评委逐条确认是否达到技术参数要求，每负偏离一项扣1分，扣完为止。正偏离不加分。</w:t>
            </w:r>
          </w:p>
          <w:p w14:paraId="3FCEEAA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ajorEastAsia" w:hAnsiTheme="majorEastAsia" w:eastAsiaTheme="majorEastAsia" w:cstheme="majorEastAsia"/>
                <w:b w:val="0"/>
                <w:bCs w:val="0"/>
                <w:color w:val="FF0000"/>
                <w:sz w:val="21"/>
                <w:highlight w:val="none"/>
                <w:lang w:val="en-US" w:eastAsia="zh-CN"/>
              </w:rPr>
            </w:pPr>
          </w:p>
          <w:p w14:paraId="5D26899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ajorEastAsia" w:hAnsiTheme="majorEastAsia" w:eastAsiaTheme="majorEastAsia" w:cstheme="majorEastAsia"/>
                <w:b/>
                <w:bCs/>
                <w:color w:val="FF0000"/>
                <w:sz w:val="21"/>
                <w:highlight w:val="none"/>
                <w:lang w:val="en-US" w:eastAsia="zh-CN"/>
              </w:rPr>
            </w:pPr>
          </w:p>
          <w:p w14:paraId="6FDA8F6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FF0000"/>
                <w:sz w:val="21"/>
                <w:highlight w:val="none"/>
                <w:lang w:val="en-US" w:eastAsia="zh-CN"/>
              </w:rPr>
              <w:t>第二包</w:t>
            </w:r>
            <w:r>
              <w:rPr>
                <w:rFonts w:hint="eastAsia" w:asciiTheme="majorEastAsia" w:hAnsiTheme="majorEastAsia" w:eastAsiaTheme="majorEastAsia" w:cstheme="majorEastAsia"/>
                <w:b/>
                <w:bCs/>
                <w:color w:val="FF0000"/>
                <w:sz w:val="21"/>
                <w:highlight w:val="none"/>
              </w:rPr>
              <w:t>（40分）</w:t>
            </w:r>
            <w:r>
              <w:rPr>
                <w:rFonts w:hint="eastAsia" w:asciiTheme="majorEastAsia" w:hAnsiTheme="majorEastAsia" w:eastAsiaTheme="majorEastAsia" w:cstheme="majorEastAsia"/>
                <w:b/>
                <w:bCs/>
                <w:color w:val="FF0000"/>
                <w:sz w:val="21"/>
                <w:highlight w:val="none"/>
                <w:lang w:val="en-US" w:eastAsia="zh-CN"/>
              </w:rPr>
              <w:t>：</w:t>
            </w:r>
            <w:r>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t>根据各投标人所提供的技术和服务要求响应表，并结合所投标产品的佐证材料等方面情况，对照招标文件的要求，由评委按以下标准评定：</w:t>
            </w:r>
          </w:p>
          <w:p w14:paraId="5661B62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t>①标注“★”标示的内容为不允许负偏离的实质性要求，若有一项负偏离则投标无效；</w:t>
            </w:r>
          </w:p>
          <w:p w14:paraId="45A2AAF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ajorEastAsia" w:hAnsiTheme="majorEastAsia" w:eastAsiaTheme="majorEastAsia" w:cstheme="majorEastAsia"/>
                <w:color w:val="000000" w:themeColor="text1"/>
                <w:kern w:val="2"/>
                <w:sz w:val="24"/>
                <w:szCs w:val="24"/>
                <w:highlight w:val="none"/>
                <w:shd w:val="clear" w:fill="FFFFFF"/>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t>②标注“▲”号的技术指标项为关键参数，关键技术参数完全满足得24分，每</w:t>
            </w:r>
            <w:r>
              <w:rPr>
                <w:rFonts w:hint="eastAsia" w:asciiTheme="majorEastAsia" w:hAnsiTheme="majorEastAsia" w:eastAsiaTheme="majorEastAsia" w:cstheme="majorEastAsia"/>
                <w:color w:val="000000" w:themeColor="text1"/>
                <w:szCs w:val="20"/>
                <w:highlight w:val="none"/>
                <w:lang w:val="en-US" w:eastAsia="zh-CN" w:bidi="ar"/>
                <w14:textFill>
                  <w14:solidFill>
                    <w14:schemeClr w14:val="tx1"/>
                  </w14:solidFill>
                </w14:textFill>
              </w:rPr>
              <w:t>有一项</w:t>
            </w:r>
            <w:r>
              <w:rPr>
                <w:rFonts w:hint="eastAsia" w:asciiTheme="majorEastAsia" w:hAnsiTheme="majorEastAsia" w:eastAsiaTheme="majorEastAsia" w:cstheme="majorEastAsia"/>
                <w:color w:val="000000" w:themeColor="text1"/>
                <w:szCs w:val="20"/>
                <w:highlight w:val="none"/>
                <w:lang w:bidi="ar"/>
                <w14:textFill>
                  <w14:solidFill>
                    <w14:schemeClr w14:val="tx1"/>
                  </w14:solidFill>
                </w14:textFill>
              </w:rPr>
              <w:t>负偏离</w:t>
            </w:r>
            <w:r>
              <w:rPr>
                <w:rFonts w:hint="eastAsia" w:asciiTheme="majorEastAsia" w:hAnsiTheme="majorEastAsia" w:eastAsiaTheme="majorEastAsia" w:cstheme="majorEastAsia"/>
                <w:color w:val="000000" w:themeColor="text1"/>
                <w:szCs w:val="20"/>
                <w:highlight w:val="none"/>
                <w:lang w:val="en-US" w:eastAsia="zh-CN" w:bidi="ar"/>
                <w14:textFill>
                  <w14:solidFill>
                    <w14:schemeClr w14:val="tx1"/>
                  </w14:solidFill>
                </w14:textFill>
              </w:rPr>
              <w:t>扣2分，若有五项及以上标注“▲”符号为负偏离的，视为未实质性响应招标文件要求，按无效投标处理，</w:t>
            </w:r>
            <w:r>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t>优于（正偏离）关键技术参数的视为于满足参数，正偏离不加分。</w:t>
            </w:r>
          </w:p>
          <w:p w14:paraId="689A318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t>③其他未标注“▲”、“★”符号技术参数为一般参数，全部满足招标文件要求的得16分；优于（正偏离）一般技术参数的视为于满足参数，由评委逐条确认是否达到技术参数要求，每负偏离一项扣1分，扣完为止。正偏离不加分。</w:t>
            </w:r>
          </w:p>
          <w:p w14:paraId="5A6BEE2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ajorEastAsia" w:hAnsiTheme="majorEastAsia" w:eastAsiaTheme="majorEastAsia" w:cstheme="majorEastAsia"/>
                <w:b w:val="0"/>
                <w:bCs w:val="0"/>
                <w:color w:val="FF0000"/>
                <w:sz w:val="21"/>
                <w:highlight w:val="none"/>
                <w:lang w:val="en-US" w:eastAsia="zh-CN"/>
              </w:rPr>
            </w:pPr>
          </w:p>
          <w:p w14:paraId="4F3CA68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ajorEastAsia" w:hAnsiTheme="majorEastAsia" w:eastAsiaTheme="majorEastAsia" w:cstheme="majorEastAsia"/>
                <w:b w:val="0"/>
                <w:bCs w:val="0"/>
                <w:color w:val="FF0000"/>
                <w:sz w:val="21"/>
                <w:highlight w:val="none"/>
                <w:lang w:val="en-US" w:eastAsia="zh-CN"/>
              </w:rPr>
            </w:pPr>
          </w:p>
          <w:p w14:paraId="387EE04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FF0000"/>
                <w:sz w:val="21"/>
                <w:highlight w:val="none"/>
                <w:lang w:val="en-US" w:eastAsia="zh-CN"/>
              </w:rPr>
              <w:t>第三包</w:t>
            </w:r>
            <w:r>
              <w:rPr>
                <w:rFonts w:hint="eastAsia" w:asciiTheme="majorEastAsia" w:hAnsiTheme="majorEastAsia" w:eastAsiaTheme="majorEastAsia" w:cstheme="majorEastAsia"/>
                <w:b/>
                <w:bCs/>
                <w:color w:val="FF0000"/>
                <w:sz w:val="21"/>
                <w:highlight w:val="none"/>
              </w:rPr>
              <w:t>（40分）</w:t>
            </w:r>
            <w:r>
              <w:rPr>
                <w:rFonts w:hint="eastAsia" w:asciiTheme="majorEastAsia" w:hAnsiTheme="majorEastAsia" w:eastAsiaTheme="majorEastAsia" w:cstheme="majorEastAsia"/>
                <w:b/>
                <w:bCs/>
                <w:color w:val="FF0000"/>
                <w:sz w:val="21"/>
                <w:highlight w:val="none"/>
                <w:lang w:val="en-US" w:eastAsia="zh-CN"/>
              </w:rPr>
              <w:t>：</w:t>
            </w:r>
            <w:r>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t>根据各投标人所提供的技术和服务要求响应表，并结合所投标产品的佐证材料等方面情况，对照招标文件的要求，由评委按以下标准评定：</w:t>
            </w:r>
          </w:p>
          <w:p w14:paraId="206A7A7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t>①标注“★”标示的内容为不允许负偏离的实质性要求，若有一项负偏离则投标无效；</w:t>
            </w:r>
          </w:p>
          <w:p w14:paraId="1DCFA31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ajorEastAsia" w:hAnsiTheme="majorEastAsia" w:eastAsiaTheme="majorEastAsia" w:cstheme="majorEastAsia"/>
                <w:color w:val="000000" w:themeColor="text1"/>
                <w:kern w:val="2"/>
                <w:sz w:val="24"/>
                <w:szCs w:val="24"/>
                <w:highlight w:val="none"/>
                <w:shd w:val="clear" w:fill="FFFFFF"/>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t>②标注“▲”号的技术指标项为关键参数，关键技术参数完全满足得5分，每</w:t>
            </w:r>
            <w:r>
              <w:rPr>
                <w:rFonts w:hint="eastAsia" w:asciiTheme="majorEastAsia" w:hAnsiTheme="majorEastAsia" w:eastAsiaTheme="majorEastAsia" w:cstheme="majorEastAsia"/>
                <w:color w:val="000000" w:themeColor="text1"/>
                <w:szCs w:val="20"/>
                <w:highlight w:val="none"/>
                <w:lang w:val="en-US" w:eastAsia="zh-CN" w:bidi="ar"/>
                <w14:textFill>
                  <w14:solidFill>
                    <w14:schemeClr w14:val="tx1"/>
                  </w14:solidFill>
                </w14:textFill>
              </w:rPr>
              <w:t>有一项</w:t>
            </w:r>
            <w:r>
              <w:rPr>
                <w:rFonts w:hint="eastAsia" w:asciiTheme="majorEastAsia" w:hAnsiTheme="majorEastAsia" w:eastAsiaTheme="majorEastAsia" w:cstheme="majorEastAsia"/>
                <w:color w:val="000000" w:themeColor="text1"/>
                <w:szCs w:val="20"/>
                <w:highlight w:val="none"/>
                <w:lang w:bidi="ar"/>
                <w14:textFill>
                  <w14:solidFill>
                    <w14:schemeClr w14:val="tx1"/>
                  </w14:solidFill>
                </w14:textFill>
              </w:rPr>
              <w:t>负偏离</w:t>
            </w:r>
            <w:r>
              <w:rPr>
                <w:rFonts w:hint="eastAsia" w:asciiTheme="majorEastAsia" w:hAnsiTheme="majorEastAsia" w:eastAsiaTheme="majorEastAsia" w:cstheme="majorEastAsia"/>
                <w:color w:val="000000" w:themeColor="text1"/>
                <w:szCs w:val="20"/>
                <w:highlight w:val="none"/>
                <w:lang w:val="en-US" w:eastAsia="zh-CN" w:bidi="ar"/>
                <w14:textFill>
                  <w14:solidFill>
                    <w14:schemeClr w14:val="tx1"/>
                  </w14:solidFill>
                </w14:textFill>
              </w:rPr>
              <w:t>扣2.5分，若有两项标注“▲”符号为负偏离的，视为未实质性响应招标文件要求，按无效投标处理，</w:t>
            </w:r>
            <w:r>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t>优于（正偏离）关键技术参数的视为于满足参数，正偏离不加分。</w:t>
            </w:r>
          </w:p>
          <w:p w14:paraId="1EA8090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t>③其他未标注“▲”、“★”符号技术参数为一般参数，全部满足招标文件要求的得35分；优于（正偏离）一般技术参数的视为于满足参数，由评委逐条确认是否达到技术参数要求，每负偏离一项扣1分，扣完为止。正偏离不加分。</w:t>
            </w:r>
          </w:p>
          <w:p w14:paraId="1A0BD17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ajorEastAsia" w:hAnsiTheme="majorEastAsia" w:eastAsiaTheme="majorEastAsia" w:cstheme="majorEastAsia"/>
                <w:b/>
                <w:bCs/>
                <w:color w:val="FF0000"/>
                <w:sz w:val="21"/>
                <w:highlight w:val="none"/>
                <w:lang w:val="en-US" w:eastAsia="zh-CN"/>
              </w:rPr>
            </w:pPr>
          </w:p>
          <w:p w14:paraId="1B976CF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ajorEastAsia" w:hAnsiTheme="majorEastAsia" w:eastAsiaTheme="majorEastAsia" w:cstheme="majorEastAsia"/>
                <w:b/>
                <w:bCs/>
                <w:sz w:val="21"/>
                <w:highlight w:val="none"/>
              </w:rPr>
            </w:pPr>
            <w:r>
              <w:rPr>
                <w:rFonts w:hint="eastAsia" w:asciiTheme="majorEastAsia" w:hAnsiTheme="majorEastAsia" w:eastAsiaTheme="majorEastAsia" w:cstheme="majorEastAsia"/>
                <w:b/>
                <w:bCs/>
                <w:sz w:val="21"/>
                <w:highlight w:val="none"/>
              </w:rPr>
              <w:t>注：</w:t>
            </w:r>
            <w:r>
              <w:rPr>
                <w:rFonts w:hint="eastAsia" w:asciiTheme="majorEastAsia" w:hAnsiTheme="majorEastAsia" w:eastAsiaTheme="majorEastAsia" w:cstheme="majorEastAsia"/>
                <w:b/>
                <w:bCs/>
                <w:kern w:val="2"/>
                <w:sz w:val="21"/>
                <w:szCs w:val="20"/>
                <w:highlight w:val="none"/>
                <w:lang w:val="en-US" w:eastAsia="zh-CN" w:bidi="ar-SA"/>
              </w:rPr>
              <w:t>评审时所提供产品的技术参数以参数偏离表对应的第三方技术支持资料为准，包括：国家认可的第三方检测报告、医疗器械注册证附件——产品技术要求、生产厂家技术白皮书。证明材料需加盖供应商公章，未提供或参数偏离表页码指向不准确无法验证相关参数的，视为负偏离，按上述标准赋分。</w:t>
            </w:r>
            <w:r>
              <w:rPr>
                <w:rFonts w:hint="eastAsia" w:asciiTheme="majorEastAsia" w:hAnsiTheme="majorEastAsia" w:eastAsiaTheme="majorEastAsia" w:cstheme="majorEastAsia"/>
                <w:b/>
                <w:bCs/>
                <w:sz w:val="21"/>
                <w:highlight w:val="none"/>
              </w:rPr>
              <w:t>如投标人未就“招标文件第三部分货物需求及技术要求”进行响应或未提供的所投产品的技术支持资料或提供的技术支持资料与所投产品不一致或不能体现招标文件的技术要求的，或未按要求加盖公章的情况，将视为无效印证资料。</w:t>
            </w:r>
          </w:p>
        </w:tc>
      </w:tr>
      <w:tr w14:paraId="51E7A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6" w:type="dxa"/>
            <w:vMerge w:val="continue"/>
            <w:vAlign w:val="center"/>
          </w:tcPr>
          <w:p w14:paraId="58AEE93E">
            <w:pPr>
              <w:snapToGrid w:val="0"/>
              <w:ind w:left="0" w:leftChars="0" w:right="0" w:rightChars="0" w:firstLine="0" w:firstLineChars="0"/>
              <w:jc w:val="center"/>
              <w:rPr>
                <w:rFonts w:hint="eastAsia" w:asciiTheme="majorEastAsia" w:hAnsiTheme="majorEastAsia" w:eastAsiaTheme="majorEastAsia" w:cstheme="majorEastAsia"/>
                <w:bCs/>
                <w:sz w:val="21"/>
                <w:szCs w:val="24"/>
                <w:highlight w:val="none"/>
              </w:rPr>
            </w:pPr>
          </w:p>
        </w:tc>
        <w:tc>
          <w:tcPr>
            <w:tcW w:w="8667" w:type="dxa"/>
            <w:vAlign w:val="center"/>
          </w:tcPr>
          <w:p w14:paraId="74F8106E">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b/>
                <w:bCs/>
                <w:kern w:val="0"/>
                <w:sz w:val="21"/>
                <w:szCs w:val="24"/>
                <w:highlight w:val="none"/>
              </w:rPr>
              <w:t>二、配置情况</w:t>
            </w:r>
            <w:r>
              <w:rPr>
                <w:rFonts w:hint="eastAsia" w:asciiTheme="majorEastAsia" w:hAnsiTheme="majorEastAsia" w:eastAsiaTheme="majorEastAsia" w:cstheme="majorEastAsia"/>
                <w:b/>
                <w:bCs/>
                <w:kern w:val="0"/>
                <w:sz w:val="21"/>
                <w:szCs w:val="24"/>
                <w:highlight w:val="none"/>
                <w:lang w:eastAsia="zh-CN"/>
              </w:rPr>
              <w:t>（</w:t>
            </w:r>
            <w:r>
              <w:rPr>
                <w:rFonts w:hint="eastAsia" w:asciiTheme="majorEastAsia" w:hAnsiTheme="majorEastAsia" w:eastAsiaTheme="majorEastAsia" w:cstheme="majorEastAsia"/>
                <w:b/>
                <w:bCs/>
                <w:kern w:val="0"/>
                <w:sz w:val="21"/>
                <w:szCs w:val="24"/>
                <w:highlight w:val="none"/>
              </w:rPr>
              <w:t>3分</w:t>
            </w:r>
            <w:r>
              <w:rPr>
                <w:rFonts w:hint="eastAsia" w:asciiTheme="majorEastAsia" w:hAnsiTheme="majorEastAsia" w:eastAsiaTheme="majorEastAsia" w:cstheme="majorEastAsia"/>
                <w:b/>
                <w:bCs/>
                <w:kern w:val="0"/>
                <w:sz w:val="21"/>
                <w:szCs w:val="24"/>
                <w:highlight w:val="none"/>
                <w:lang w:eastAsia="zh-CN"/>
              </w:rPr>
              <w:t>）</w:t>
            </w:r>
            <w:r>
              <w:rPr>
                <w:rFonts w:hint="eastAsia" w:asciiTheme="majorEastAsia" w:hAnsiTheme="majorEastAsia" w:eastAsiaTheme="majorEastAsia" w:cstheme="majorEastAsia"/>
                <w:kern w:val="0"/>
                <w:sz w:val="21"/>
                <w:szCs w:val="24"/>
                <w:highlight w:val="none"/>
              </w:rPr>
              <w:t>根据设备配置符合程度综合评判：</w:t>
            </w:r>
            <w:r>
              <w:rPr>
                <w:rFonts w:hint="eastAsia" w:asciiTheme="majorEastAsia" w:hAnsiTheme="majorEastAsia" w:eastAsiaTheme="majorEastAsia" w:cstheme="majorEastAsia"/>
                <w:kern w:val="0"/>
                <w:sz w:val="21"/>
                <w:szCs w:val="24"/>
                <w:highlight w:val="none"/>
                <w:lang w:val="en-US" w:eastAsia="zh-CN"/>
              </w:rPr>
              <w:t>各标包内</w:t>
            </w:r>
            <w:r>
              <w:rPr>
                <w:rFonts w:hint="eastAsia" w:asciiTheme="majorEastAsia" w:hAnsiTheme="majorEastAsia" w:eastAsiaTheme="majorEastAsia" w:cstheme="majorEastAsia"/>
                <w:kern w:val="0"/>
                <w:sz w:val="21"/>
                <w:szCs w:val="24"/>
                <w:highlight w:val="none"/>
              </w:rPr>
              <w:t>所投产品</w:t>
            </w:r>
          </w:p>
          <w:p w14:paraId="4247DB2E">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kern w:val="0"/>
                <w:sz w:val="21"/>
                <w:szCs w:val="24"/>
                <w:highlight w:val="none"/>
              </w:rPr>
              <w:t>①配置齐全；（包括但不限于：核心配置、计算机与软件系统、</w:t>
            </w:r>
            <w:r>
              <w:rPr>
                <w:rFonts w:hint="eastAsia" w:asciiTheme="majorEastAsia" w:hAnsiTheme="majorEastAsia" w:eastAsiaTheme="majorEastAsia" w:cstheme="majorEastAsia"/>
                <w:kern w:val="0"/>
                <w:sz w:val="21"/>
                <w:szCs w:val="24"/>
                <w:highlight w:val="none"/>
                <w:lang w:val="en-US" w:eastAsia="zh-CN"/>
              </w:rPr>
              <w:t>备品备件、</w:t>
            </w:r>
            <w:r>
              <w:rPr>
                <w:rFonts w:hint="eastAsia" w:asciiTheme="majorEastAsia" w:hAnsiTheme="majorEastAsia" w:eastAsiaTheme="majorEastAsia" w:cstheme="majorEastAsia"/>
                <w:kern w:val="0"/>
                <w:sz w:val="21"/>
                <w:szCs w:val="24"/>
                <w:highlight w:val="none"/>
              </w:rPr>
              <w:t>其他辅助配置）方案全面完整无缺漏、计划内容合理可行得 1 分，方案内容有缺陷或未提供不得分。</w:t>
            </w:r>
          </w:p>
          <w:p w14:paraId="7D382615">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kern w:val="0"/>
                <w:sz w:val="21"/>
                <w:szCs w:val="24"/>
                <w:highlight w:val="none"/>
              </w:rPr>
              <w:t>②设备操作简便，利于临床使用；（包括但不限于：设备状态可视化、智能化减少操作失误、使用流程简化）方案全面完整无缺漏、计划内容合理可行得1分，方案内容有缺陷或未提供不得分。</w:t>
            </w:r>
          </w:p>
          <w:p w14:paraId="1C2EBA5D">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kern w:val="0"/>
                <w:sz w:val="21"/>
                <w:szCs w:val="24"/>
                <w:highlight w:val="none"/>
              </w:rPr>
              <w:t>③设备维护简便；（包括但不限于：无需频繁更新配件及耗材、选型标准、耗材管控）方案全面完整无缺漏、计划内容合理可行得1分，方案内容有缺陷或未提供不得分。</w:t>
            </w:r>
          </w:p>
          <w:p w14:paraId="79EC339A">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kern w:val="0"/>
                <w:sz w:val="21"/>
                <w:szCs w:val="24"/>
                <w:highlight w:val="none"/>
              </w:rPr>
              <w:t>（缺陷是指：存在不适用项目实际情况的情形、凭空编造、内容不完整、逻辑不清、涉及的规范及标准错误、地点区域错误、内容缺漏、不能完全满足采购需求等）</w:t>
            </w:r>
          </w:p>
        </w:tc>
      </w:tr>
      <w:tr w14:paraId="6659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6" w:type="dxa"/>
            <w:vMerge w:val="continue"/>
            <w:vAlign w:val="center"/>
          </w:tcPr>
          <w:p w14:paraId="28626287">
            <w:pPr>
              <w:snapToGrid w:val="0"/>
              <w:ind w:left="0" w:leftChars="0" w:right="0" w:rightChars="0" w:firstLine="0" w:firstLineChars="0"/>
              <w:jc w:val="center"/>
              <w:rPr>
                <w:rFonts w:hint="eastAsia" w:asciiTheme="majorEastAsia" w:hAnsiTheme="majorEastAsia" w:eastAsiaTheme="majorEastAsia" w:cstheme="majorEastAsia"/>
                <w:bCs/>
                <w:sz w:val="21"/>
                <w:szCs w:val="24"/>
                <w:highlight w:val="none"/>
              </w:rPr>
            </w:pPr>
          </w:p>
        </w:tc>
        <w:tc>
          <w:tcPr>
            <w:tcW w:w="8667" w:type="dxa"/>
            <w:vAlign w:val="center"/>
          </w:tcPr>
          <w:p w14:paraId="5C4E039A">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b/>
                <w:bCs/>
                <w:kern w:val="0"/>
                <w:sz w:val="21"/>
                <w:szCs w:val="24"/>
                <w:highlight w:val="none"/>
              </w:rPr>
              <w:t>三、供货、安装、调试方案（3分）</w:t>
            </w:r>
            <w:r>
              <w:rPr>
                <w:rFonts w:hint="eastAsia" w:asciiTheme="majorEastAsia" w:hAnsiTheme="majorEastAsia" w:eastAsiaTheme="majorEastAsia" w:cstheme="majorEastAsia"/>
                <w:kern w:val="0"/>
                <w:sz w:val="21"/>
                <w:szCs w:val="24"/>
                <w:highlight w:val="none"/>
              </w:rPr>
              <w:t>：针对本项目提供完整可行的供货、安装、调试方案</w:t>
            </w:r>
          </w:p>
          <w:p w14:paraId="6F97CB6F">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kern w:val="0"/>
                <w:sz w:val="21"/>
                <w:szCs w:val="24"/>
                <w:highlight w:val="none"/>
              </w:rPr>
              <w:t>①供货范围（包括但不限于：核心设备清单、辅材与配件）：方案全面完整无缺漏、供货计划、内容合理可行得 1 分，方案内容有缺陷或未提供不得分。</w:t>
            </w:r>
          </w:p>
          <w:p w14:paraId="5EEE0A3A">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kern w:val="0"/>
                <w:sz w:val="21"/>
                <w:szCs w:val="24"/>
                <w:highlight w:val="none"/>
              </w:rPr>
              <w:t>②物流与交付保障（包括但不限于：运输方式、到货验收）：方案全面完整无缺漏、计划内容合理可行得 1 分，方案内容有缺陷或未提供不得分。</w:t>
            </w:r>
          </w:p>
          <w:p w14:paraId="1DC63F6B">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kern w:val="0"/>
                <w:sz w:val="21"/>
                <w:szCs w:val="24"/>
                <w:highlight w:val="none"/>
              </w:rPr>
              <w:t>③安装调试（包括但不限于：核心</w:t>
            </w:r>
            <w:r>
              <w:rPr>
                <w:rFonts w:hint="eastAsia" w:asciiTheme="majorEastAsia" w:hAnsiTheme="majorEastAsia" w:eastAsiaTheme="majorEastAsia" w:cstheme="majorEastAsia"/>
                <w:kern w:val="0"/>
                <w:sz w:val="21"/>
                <w:szCs w:val="24"/>
                <w:highlight w:val="none"/>
                <w:lang w:val="en-US" w:eastAsia="zh-CN"/>
              </w:rPr>
              <w:t>设备及其他设备</w:t>
            </w:r>
            <w:r>
              <w:rPr>
                <w:rFonts w:hint="eastAsia" w:asciiTheme="majorEastAsia" w:hAnsiTheme="majorEastAsia" w:eastAsiaTheme="majorEastAsia" w:cstheme="majorEastAsia"/>
                <w:kern w:val="0"/>
                <w:sz w:val="21"/>
                <w:szCs w:val="24"/>
                <w:highlight w:val="none"/>
              </w:rPr>
              <w:t>安装流程及时间、调试</w:t>
            </w:r>
            <w:r>
              <w:rPr>
                <w:rFonts w:hint="eastAsia" w:asciiTheme="majorEastAsia" w:hAnsiTheme="majorEastAsia" w:eastAsiaTheme="majorEastAsia" w:cstheme="majorEastAsia"/>
                <w:kern w:val="0"/>
                <w:sz w:val="21"/>
                <w:szCs w:val="24"/>
                <w:highlight w:val="none"/>
                <w:lang w:val="en-US" w:eastAsia="zh-CN"/>
              </w:rPr>
              <w:t>测试</w:t>
            </w:r>
            <w:r>
              <w:rPr>
                <w:rFonts w:hint="eastAsia" w:asciiTheme="majorEastAsia" w:hAnsiTheme="majorEastAsia" w:eastAsiaTheme="majorEastAsia" w:cstheme="majorEastAsia"/>
                <w:kern w:val="0"/>
                <w:sz w:val="21"/>
                <w:szCs w:val="24"/>
                <w:highlight w:val="none"/>
              </w:rPr>
              <w:t>、临床性能验证）：方案全面完整无缺漏、计划内容合理可行得 1 分，方案内容有缺陷或未提供不得分。</w:t>
            </w:r>
          </w:p>
          <w:p w14:paraId="280A4D57">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kern w:val="0"/>
                <w:sz w:val="21"/>
                <w:szCs w:val="24"/>
                <w:highlight w:val="none"/>
              </w:rPr>
              <w:t>（缺陷是指：存在不适用项目实际情况的情形、凭空编造、内容不完整、逻辑不清、涉及的规范及标准错误、地点区域错误、内容缺漏、不能完全满足采购需求等）</w:t>
            </w:r>
          </w:p>
        </w:tc>
      </w:tr>
      <w:tr w14:paraId="58C49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6" w:type="dxa"/>
            <w:vMerge w:val="continue"/>
            <w:vAlign w:val="center"/>
          </w:tcPr>
          <w:p w14:paraId="6CDC900E">
            <w:pPr>
              <w:snapToGrid w:val="0"/>
              <w:ind w:left="0" w:leftChars="0" w:right="0" w:rightChars="0" w:firstLine="0" w:firstLineChars="0"/>
              <w:jc w:val="center"/>
              <w:rPr>
                <w:rFonts w:hint="eastAsia" w:asciiTheme="majorEastAsia" w:hAnsiTheme="majorEastAsia" w:eastAsiaTheme="majorEastAsia" w:cstheme="majorEastAsia"/>
                <w:bCs/>
                <w:sz w:val="21"/>
                <w:szCs w:val="24"/>
                <w:highlight w:val="none"/>
              </w:rPr>
            </w:pPr>
          </w:p>
        </w:tc>
        <w:tc>
          <w:tcPr>
            <w:tcW w:w="8667" w:type="dxa"/>
            <w:vAlign w:val="center"/>
          </w:tcPr>
          <w:p w14:paraId="3726C0F5">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b/>
                <w:bCs/>
                <w:kern w:val="0"/>
                <w:sz w:val="21"/>
                <w:szCs w:val="24"/>
                <w:highlight w:val="none"/>
              </w:rPr>
              <w:t>四、实施方案（6分）</w:t>
            </w:r>
            <w:r>
              <w:rPr>
                <w:rFonts w:hint="eastAsia" w:asciiTheme="majorEastAsia" w:hAnsiTheme="majorEastAsia" w:eastAsiaTheme="majorEastAsia" w:cstheme="majorEastAsia"/>
                <w:kern w:val="0"/>
                <w:sz w:val="21"/>
                <w:szCs w:val="24"/>
                <w:highlight w:val="none"/>
              </w:rPr>
              <w:t>：针对本项目</w:t>
            </w:r>
            <w:r>
              <w:rPr>
                <w:rFonts w:hint="eastAsia" w:asciiTheme="majorEastAsia" w:hAnsiTheme="majorEastAsia" w:eastAsiaTheme="majorEastAsia" w:cstheme="majorEastAsia"/>
                <w:kern w:val="0"/>
                <w:sz w:val="21"/>
                <w:szCs w:val="24"/>
                <w:highlight w:val="none"/>
                <w:lang w:val="en-US" w:eastAsia="zh-CN"/>
              </w:rPr>
              <w:t>各标包内所投产品</w:t>
            </w:r>
            <w:r>
              <w:rPr>
                <w:rFonts w:hint="eastAsia" w:asciiTheme="majorEastAsia" w:hAnsiTheme="majorEastAsia" w:eastAsiaTheme="majorEastAsia" w:cstheme="majorEastAsia"/>
                <w:kern w:val="0"/>
                <w:sz w:val="21"/>
                <w:szCs w:val="24"/>
                <w:highlight w:val="none"/>
              </w:rPr>
              <w:t>内容提供实施方案，</w:t>
            </w:r>
          </w:p>
          <w:p w14:paraId="69B7BF37">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kern w:val="0"/>
                <w:sz w:val="21"/>
                <w:szCs w:val="24"/>
                <w:highlight w:val="none"/>
              </w:rPr>
              <w:t>①项目筹备（包括但不限于：</w:t>
            </w:r>
            <w:r>
              <w:rPr>
                <w:rFonts w:hint="eastAsia" w:asciiTheme="majorEastAsia" w:hAnsiTheme="majorEastAsia" w:eastAsiaTheme="majorEastAsia" w:cstheme="majorEastAsia"/>
                <w:kern w:val="0"/>
                <w:sz w:val="21"/>
                <w:szCs w:val="24"/>
                <w:highlight w:val="none"/>
                <w:lang w:val="en-US" w:eastAsia="zh-CN"/>
              </w:rPr>
              <w:t>设备</w:t>
            </w:r>
            <w:r>
              <w:rPr>
                <w:rFonts w:hint="eastAsia" w:asciiTheme="majorEastAsia" w:hAnsiTheme="majorEastAsia" w:eastAsiaTheme="majorEastAsia" w:cstheme="majorEastAsia"/>
                <w:kern w:val="0"/>
                <w:sz w:val="21"/>
                <w:szCs w:val="24"/>
                <w:highlight w:val="none"/>
              </w:rPr>
              <w:t>筹备、项目专项小组、流程备案）</w:t>
            </w:r>
          </w:p>
          <w:p w14:paraId="4C4AF3A7">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kern w:val="0"/>
                <w:sz w:val="21"/>
                <w:szCs w:val="24"/>
                <w:highlight w:val="none"/>
              </w:rPr>
              <w:t>②软硬件对接调试（包括但不限于：硬件调试、软件调试、系统对接测试）</w:t>
            </w:r>
          </w:p>
          <w:p w14:paraId="5142D218">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kern w:val="0"/>
                <w:sz w:val="21"/>
                <w:szCs w:val="24"/>
                <w:highlight w:val="none"/>
              </w:rPr>
              <w:t>③运营保障（包括但不限于：出具最终报告、建立运维档案）</w:t>
            </w:r>
          </w:p>
          <w:p w14:paraId="07B648A7">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kern w:val="0"/>
                <w:sz w:val="21"/>
                <w:szCs w:val="24"/>
                <w:highlight w:val="none"/>
              </w:rPr>
              <w:t>以上每条实施方案内容完整齐全、合理可行得2分，共6分，方案内容中每存在一处缺陷扣 1 分，扣完为止，方案内容不能满足项目需求或未提供不得分。（缺陷是指：存在不适用项目实际情况的情形、凭空编造、内容不完整、逻辑不清、涉及的规范及标准错误、地点区域错误、内容缺漏、不符合采购需求等）</w:t>
            </w:r>
          </w:p>
        </w:tc>
      </w:tr>
      <w:tr w14:paraId="04287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6" w:type="dxa"/>
            <w:vMerge w:val="restart"/>
            <w:vAlign w:val="center"/>
          </w:tcPr>
          <w:p w14:paraId="5CFD8423">
            <w:pPr>
              <w:snapToGrid w:val="0"/>
              <w:ind w:left="0" w:leftChars="0" w:right="0" w:rightChars="0" w:firstLine="0" w:firstLineChars="0"/>
              <w:jc w:val="center"/>
              <w:rPr>
                <w:rFonts w:hint="eastAsia" w:asciiTheme="majorEastAsia" w:hAnsiTheme="majorEastAsia" w:eastAsiaTheme="majorEastAsia" w:cstheme="majorEastAsia"/>
                <w:bCs/>
                <w:szCs w:val="24"/>
                <w:highlight w:val="none"/>
              </w:rPr>
            </w:pPr>
            <w:r>
              <w:rPr>
                <w:rFonts w:hint="eastAsia" w:asciiTheme="majorEastAsia" w:hAnsiTheme="majorEastAsia" w:eastAsiaTheme="majorEastAsia" w:cstheme="majorEastAsia"/>
                <w:szCs w:val="24"/>
                <w:highlight w:val="none"/>
              </w:rPr>
              <w:t>商务因素</w:t>
            </w:r>
          </w:p>
        </w:tc>
        <w:tc>
          <w:tcPr>
            <w:tcW w:w="8667" w:type="dxa"/>
            <w:vAlign w:val="center"/>
          </w:tcPr>
          <w:p w14:paraId="3FBE9E39">
            <w:pPr>
              <w:numPr>
                <w:ilvl w:val="0"/>
                <w:numId w:val="57"/>
              </w:numPr>
              <w:snapToGrid w:val="0"/>
              <w:ind w:left="0" w:leftChars="0" w:right="0" w:rightChars="0" w:firstLine="0" w:firstLineChars="0"/>
              <w:jc w:val="left"/>
              <w:rPr>
                <w:rFonts w:hint="eastAsia" w:asciiTheme="majorEastAsia" w:hAnsiTheme="majorEastAsia" w:eastAsiaTheme="majorEastAsia" w:cstheme="majorEastAsia"/>
                <w:b w:val="0"/>
                <w:bCs w:val="0"/>
                <w:szCs w:val="24"/>
                <w:highlight w:val="none"/>
                <w:lang w:eastAsia="zh-CN"/>
              </w:rPr>
            </w:pPr>
            <w:r>
              <w:rPr>
                <w:rFonts w:hint="eastAsia" w:asciiTheme="majorEastAsia" w:hAnsiTheme="majorEastAsia" w:eastAsiaTheme="majorEastAsia" w:cstheme="majorEastAsia"/>
                <w:b/>
                <w:bCs/>
                <w:szCs w:val="24"/>
                <w:highlight w:val="none"/>
                <w:lang w:eastAsia="zh-CN"/>
              </w:rPr>
              <w:t>业绩（4分）：</w:t>
            </w:r>
            <w:r>
              <w:rPr>
                <w:rFonts w:hint="eastAsia" w:asciiTheme="majorEastAsia" w:hAnsiTheme="majorEastAsia" w:eastAsiaTheme="majorEastAsia" w:cstheme="majorEastAsia"/>
                <w:b w:val="0"/>
                <w:bCs w:val="0"/>
                <w:szCs w:val="24"/>
                <w:highlight w:val="none"/>
                <w:lang w:eastAsia="zh-CN"/>
              </w:rPr>
              <w:t>提供各标包内对应所投产品自202</w:t>
            </w:r>
            <w:r>
              <w:rPr>
                <w:rFonts w:hint="eastAsia" w:asciiTheme="majorEastAsia" w:hAnsiTheme="majorEastAsia" w:eastAsiaTheme="majorEastAsia" w:cstheme="majorEastAsia"/>
                <w:b w:val="0"/>
                <w:bCs w:val="0"/>
                <w:szCs w:val="24"/>
                <w:highlight w:val="none"/>
                <w:lang w:val="en-US" w:eastAsia="zh-CN"/>
              </w:rPr>
              <w:t>3</w:t>
            </w:r>
            <w:r>
              <w:rPr>
                <w:rFonts w:hint="eastAsia" w:asciiTheme="majorEastAsia" w:hAnsiTheme="majorEastAsia" w:eastAsiaTheme="majorEastAsia" w:cstheme="majorEastAsia"/>
                <w:b w:val="0"/>
                <w:bCs w:val="0"/>
                <w:szCs w:val="24"/>
                <w:highlight w:val="none"/>
                <w:lang w:eastAsia="zh-CN"/>
              </w:rPr>
              <w:t>年1月1日起至本项目开标之日止的同类产品业绩；</w:t>
            </w:r>
          </w:p>
          <w:p w14:paraId="22487153">
            <w:pPr>
              <w:numPr>
                <w:ilvl w:val="0"/>
                <w:numId w:val="0"/>
              </w:numPr>
              <w:snapToGrid w:val="0"/>
              <w:ind w:leftChars="0" w:right="0" w:rightChars="0"/>
              <w:jc w:val="left"/>
              <w:rPr>
                <w:rFonts w:hint="eastAsia" w:asciiTheme="majorEastAsia" w:hAnsiTheme="majorEastAsia" w:eastAsiaTheme="majorEastAsia" w:cstheme="majorEastAsia"/>
                <w:b w:val="0"/>
                <w:bCs w:val="0"/>
                <w:szCs w:val="24"/>
                <w:highlight w:val="none"/>
                <w:lang w:eastAsia="zh-CN"/>
              </w:rPr>
            </w:pPr>
            <w:r>
              <w:rPr>
                <w:rFonts w:hint="eastAsia" w:asciiTheme="majorEastAsia" w:hAnsiTheme="majorEastAsia" w:eastAsiaTheme="majorEastAsia" w:cstheme="majorEastAsia"/>
                <w:b w:val="0"/>
                <w:bCs w:val="0"/>
                <w:szCs w:val="24"/>
                <w:highlight w:val="none"/>
                <w:lang w:eastAsia="zh-CN"/>
              </w:rPr>
              <w:t>核心产品每提供一</w:t>
            </w:r>
            <w:r>
              <w:rPr>
                <w:rFonts w:hint="eastAsia" w:asciiTheme="majorEastAsia" w:hAnsiTheme="majorEastAsia" w:eastAsiaTheme="majorEastAsia" w:cstheme="majorEastAsia"/>
                <w:b w:val="0"/>
                <w:bCs w:val="0"/>
                <w:szCs w:val="24"/>
                <w:highlight w:val="none"/>
                <w:lang w:val="en-US" w:eastAsia="zh-CN"/>
              </w:rPr>
              <w:t>项</w:t>
            </w:r>
            <w:r>
              <w:rPr>
                <w:rFonts w:hint="eastAsia" w:asciiTheme="majorEastAsia" w:hAnsiTheme="majorEastAsia" w:eastAsiaTheme="majorEastAsia" w:cstheme="majorEastAsia"/>
                <w:b w:val="0"/>
                <w:bCs w:val="0"/>
                <w:szCs w:val="24"/>
                <w:highlight w:val="none"/>
                <w:lang w:eastAsia="zh-CN"/>
              </w:rPr>
              <w:t>符合要求的同类产品业绩证明材料得1分，最高得2分；</w:t>
            </w:r>
          </w:p>
          <w:p w14:paraId="75C7D125">
            <w:pPr>
              <w:numPr>
                <w:ilvl w:val="0"/>
                <w:numId w:val="0"/>
              </w:numPr>
              <w:snapToGrid w:val="0"/>
              <w:ind w:leftChars="0" w:right="0" w:rightChars="0"/>
              <w:jc w:val="left"/>
              <w:rPr>
                <w:rFonts w:hint="eastAsia" w:asciiTheme="majorEastAsia" w:hAnsiTheme="majorEastAsia" w:eastAsiaTheme="majorEastAsia" w:cstheme="majorEastAsia"/>
                <w:b w:val="0"/>
                <w:bCs w:val="0"/>
                <w:szCs w:val="24"/>
                <w:highlight w:val="none"/>
                <w:lang w:eastAsia="zh-CN"/>
              </w:rPr>
            </w:pPr>
            <w:r>
              <w:rPr>
                <w:rFonts w:hint="eastAsia" w:asciiTheme="majorEastAsia" w:hAnsiTheme="majorEastAsia" w:eastAsiaTheme="majorEastAsia" w:cstheme="majorEastAsia"/>
                <w:b w:val="0"/>
                <w:bCs w:val="0"/>
                <w:szCs w:val="24"/>
                <w:highlight w:val="none"/>
                <w:lang w:eastAsia="zh-CN"/>
              </w:rPr>
              <w:t>非核心产品每提供一份符合要求的同类产品业绩证明材料得0.5分，最高得2分，本项共4分。</w:t>
            </w:r>
          </w:p>
          <w:p w14:paraId="1DE1199D">
            <w:pPr>
              <w:numPr>
                <w:ilvl w:val="0"/>
                <w:numId w:val="0"/>
              </w:numPr>
              <w:snapToGrid w:val="0"/>
              <w:ind w:leftChars="0" w:right="0" w:rightChars="0"/>
              <w:jc w:val="left"/>
              <w:rPr>
                <w:rFonts w:hint="eastAsia" w:asciiTheme="majorEastAsia" w:hAnsiTheme="majorEastAsia" w:eastAsiaTheme="majorEastAsia" w:cstheme="majorEastAsia"/>
                <w:b w:val="0"/>
                <w:bCs w:val="0"/>
                <w:szCs w:val="24"/>
                <w:highlight w:val="none"/>
                <w:lang w:eastAsia="zh-CN"/>
              </w:rPr>
            </w:pPr>
            <w:r>
              <w:rPr>
                <w:rFonts w:hint="eastAsia" w:asciiTheme="majorEastAsia" w:hAnsiTheme="majorEastAsia" w:eastAsiaTheme="majorEastAsia" w:cstheme="majorEastAsia"/>
                <w:b w:val="0"/>
                <w:bCs w:val="0"/>
                <w:szCs w:val="24"/>
                <w:highlight w:val="none"/>
                <w:lang w:val="en-US" w:eastAsia="zh-CN"/>
              </w:rPr>
              <w:t>注：①</w:t>
            </w:r>
            <w:r>
              <w:rPr>
                <w:rFonts w:hint="eastAsia" w:asciiTheme="majorEastAsia" w:hAnsiTheme="majorEastAsia" w:eastAsiaTheme="majorEastAsia" w:cstheme="majorEastAsia"/>
                <w:b w:val="0"/>
                <w:bCs w:val="0"/>
                <w:szCs w:val="24"/>
                <w:highlight w:val="none"/>
                <w:lang w:eastAsia="zh-CN"/>
              </w:rPr>
              <w:t>多产品组合的业绩视为一份业绩，组合业绩中包含核心产品的按核心产品业绩计分，仅含非核心产品的按非核心产品业绩计分，一份组合业绩不重复计分。</w:t>
            </w:r>
          </w:p>
          <w:p w14:paraId="2716323E">
            <w:pPr>
              <w:snapToGrid w:val="0"/>
              <w:ind w:left="0" w:leftChars="0" w:right="0" w:rightChars="0" w:firstLine="0" w:firstLineChars="0"/>
              <w:jc w:val="left"/>
              <w:rPr>
                <w:rFonts w:hint="eastAsia" w:asciiTheme="majorEastAsia" w:hAnsiTheme="majorEastAsia" w:eastAsiaTheme="majorEastAsia" w:cstheme="majorEastAsia"/>
                <w:b w:val="0"/>
                <w:bCs w:val="0"/>
                <w:szCs w:val="24"/>
                <w:highlight w:val="none"/>
                <w:lang w:eastAsia="zh-CN"/>
              </w:rPr>
            </w:pPr>
            <w:r>
              <w:rPr>
                <w:rFonts w:hint="eastAsia" w:asciiTheme="majorEastAsia" w:hAnsiTheme="majorEastAsia" w:eastAsiaTheme="majorEastAsia" w:cstheme="majorEastAsia"/>
                <w:b w:val="0"/>
                <w:bCs w:val="0"/>
                <w:szCs w:val="24"/>
                <w:highlight w:val="none"/>
                <w:lang w:val="en-US" w:eastAsia="zh-CN"/>
              </w:rPr>
              <w:t>②</w:t>
            </w:r>
            <w:r>
              <w:rPr>
                <w:rFonts w:hint="eastAsia" w:asciiTheme="majorEastAsia" w:hAnsiTheme="majorEastAsia" w:eastAsiaTheme="majorEastAsia" w:cstheme="majorEastAsia"/>
                <w:b w:val="0"/>
                <w:bCs w:val="0"/>
                <w:szCs w:val="24"/>
                <w:highlight w:val="none"/>
                <w:lang w:eastAsia="zh-CN"/>
              </w:rPr>
              <w:t>同类产品业绩认定：所投设备与业绩中的设备在核心技术参数、功能用途、医疗器械分类等级上一致或相近，需符合国家《医疗器械分类目录》相关界定；同类业绩应为同类别、同技术档次的医疗设备供货或服务业绩，而非不同功能属性的设备业绩。</w:t>
            </w:r>
          </w:p>
          <w:p w14:paraId="6DDCEA61">
            <w:pPr>
              <w:snapToGrid w:val="0"/>
              <w:ind w:left="0" w:leftChars="0" w:right="0" w:rightChars="0" w:firstLine="0" w:firstLineChars="0"/>
              <w:jc w:val="left"/>
              <w:rPr>
                <w:rFonts w:hint="eastAsia" w:asciiTheme="majorEastAsia" w:hAnsiTheme="majorEastAsia" w:eastAsiaTheme="majorEastAsia" w:cstheme="majorEastAsia"/>
                <w:bCs/>
                <w:szCs w:val="24"/>
                <w:highlight w:val="none"/>
              </w:rPr>
            </w:pPr>
            <w:r>
              <w:rPr>
                <w:rFonts w:hint="eastAsia" w:asciiTheme="majorEastAsia" w:hAnsiTheme="majorEastAsia" w:eastAsiaTheme="majorEastAsia" w:cstheme="majorEastAsia"/>
                <w:b w:val="0"/>
                <w:bCs w:val="0"/>
                <w:szCs w:val="24"/>
                <w:highlight w:val="none"/>
                <w:lang w:val="en-US" w:eastAsia="zh-CN"/>
              </w:rPr>
              <w:t>③</w:t>
            </w:r>
            <w:r>
              <w:rPr>
                <w:rFonts w:hint="eastAsia" w:asciiTheme="majorEastAsia" w:hAnsiTheme="majorEastAsia" w:eastAsiaTheme="majorEastAsia" w:cstheme="majorEastAsia"/>
                <w:b w:val="0"/>
                <w:bCs w:val="0"/>
                <w:szCs w:val="24"/>
                <w:highlight w:val="none"/>
                <w:lang w:eastAsia="zh-CN"/>
              </w:rPr>
              <w:t>业绩应为投标人自身或所投产品制造商业绩，需附业绩对应产品的中标（成交）通知书、全套采购合同及采购人的项目验收单(报告)并加盖投标人公章。缺漏、未按要求提供或内容模糊不清的，其业绩不予认定。</w:t>
            </w:r>
          </w:p>
        </w:tc>
      </w:tr>
      <w:tr w14:paraId="04398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6" w:type="dxa"/>
            <w:vMerge w:val="continue"/>
            <w:vAlign w:val="center"/>
          </w:tcPr>
          <w:p w14:paraId="5CCDC56F">
            <w:pPr>
              <w:snapToGrid w:val="0"/>
              <w:ind w:left="0" w:leftChars="0" w:right="0" w:rightChars="0" w:firstLine="0" w:firstLineChars="0"/>
              <w:jc w:val="center"/>
              <w:rPr>
                <w:rFonts w:hint="eastAsia" w:asciiTheme="majorEastAsia" w:hAnsiTheme="majorEastAsia" w:eastAsiaTheme="majorEastAsia" w:cstheme="majorEastAsia"/>
                <w:bCs/>
                <w:szCs w:val="24"/>
                <w:highlight w:val="none"/>
              </w:rPr>
            </w:pPr>
          </w:p>
        </w:tc>
        <w:tc>
          <w:tcPr>
            <w:tcW w:w="8667" w:type="dxa"/>
            <w:vAlign w:val="center"/>
          </w:tcPr>
          <w:p w14:paraId="68F2A6A8">
            <w:pPr>
              <w:snapToGrid w:val="0"/>
              <w:ind w:left="0" w:leftChars="0" w:right="0" w:rightChars="0" w:firstLine="0" w:firstLineChars="0"/>
              <w:jc w:val="left"/>
              <w:rPr>
                <w:rFonts w:hint="eastAsia" w:asciiTheme="majorEastAsia" w:hAnsiTheme="majorEastAsia" w:eastAsiaTheme="majorEastAsia" w:cstheme="majorEastAsia"/>
                <w:szCs w:val="24"/>
                <w:highlight w:val="none"/>
              </w:rPr>
            </w:pPr>
            <w:r>
              <w:rPr>
                <w:rFonts w:hint="eastAsia" w:asciiTheme="majorEastAsia" w:hAnsiTheme="majorEastAsia" w:eastAsiaTheme="majorEastAsia" w:cstheme="majorEastAsia"/>
                <w:b/>
                <w:bCs/>
                <w:szCs w:val="24"/>
                <w:highlight w:val="none"/>
                <w:lang w:eastAsia="zh-CN"/>
              </w:rPr>
              <w:t>2.</w:t>
            </w:r>
            <w:r>
              <w:rPr>
                <w:rFonts w:hint="eastAsia" w:asciiTheme="majorEastAsia" w:hAnsiTheme="majorEastAsia" w:eastAsiaTheme="majorEastAsia" w:cstheme="majorEastAsia"/>
                <w:b/>
                <w:bCs/>
                <w:szCs w:val="24"/>
                <w:highlight w:val="none"/>
              </w:rPr>
              <w:t>售后服务体系（1</w:t>
            </w:r>
            <w:r>
              <w:rPr>
                <w:rFonts w:hint="eastAsia" w:asciiTheme="majorEastAsia" w:hAnsiTheme="majorEastAsia" w:eastAsiaTheme="majorEastAsia" w:cstheme="majorEastAsia"/>
                <w:b/>
                <w:bCs/>
                <w:szCs w:val="24"/>
                <w:highlight w:val="none"/>
                <w:lang w:val="en-US" w:eastAsia="zh-CN"/>
              </w:rPr>
              <w:t>4</w:t>
            </w:r>
            <w:r>
              <w:rPr>
                <w:rFonts w:hint="eastAsia" w:asciiTheme="majorEastAsia" w:hAnsiTheme="majorEastAsia" w:eastAsiaTheme="majorEastAsia" w:cstheme="majorEastAsia"/>
                <w:b/>
                <w:bCs/>
                <w:szCs w:val="24"/>
                <w:highlight w:val="none"/>
              </w:rPr>
              <w:t>分）</w:t>
            </w:r>
            <w:r>
              <w:rPr>
                <w:rFonts w:hint="eastAsia" w:asciiTheme="majorEastAsia" w:hAnsiTheme="majorEastAsia" w:eastAsiaTheme="majorEastAsia" w:cstheme="majorEastAsia"/>
                <w:szCs w:val="24"/>
                <w:highlight w:val="none"/>
              </w:rPr>
              <w:t>：</w:t>
            </w:r>
          </w:p>
          <w:p w14:paraId="11CC620F">
            <w:pPr>
              <w:snapToGrid w:val="0"/>
              <w:ind w:left="0" w:leftChars="0" w:right="0" w:rightChars="0" w:firstLine="0" w:firstLineChars="0"/>
              <w:jc w:val="left"/>
              <w:rPr>
                <w:rFonts w:hint="eastAsia"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2.1</w:t>
            </w:r>
            <w:r>
              <w:rPr>
                <w:rFonts w:hint="eastAsia" w:asciiTheme="majorEastAsia" w:hAnsiTheme="majorEastAsia" w:eastAsiaTheme="majorEastAsia" w:cstheme="majorEastAsia"/>
                <w:color w:val="000000"/>
                <w:kern w:val="0"/>
                <w:szCs w:val="21"/>
                <w:highlight w:val="none"/>
                <w:lang w:eastAsia="zh-CN"/>
              </w:rPr>
              <w:t>投标人</w:t>
            </w:r>
            <w:r>
              <w:rPr>
                <w:rFonts w:hint="eastAsia" w:asciiTheme="majorEastAsia" w:hAnsiTheme="majorEastAsia" w:eastAsiaTheme="majorEastAsia" w:cstheme="majorEastAsia"/>
                <w:color w:val="000000"/>
                <w:kern w:val="0"/>
                <w:szCs w:val="21"/>
                <w:highlight w:val="none"/>
              </w:rPr>
              <w:t>针对本项目须提供①完善的售后服务方案②售后服务承诺书，方案及承诺</w:t>
            </w:r>
            <w:r>
              <w:rPr>
                <w:rFonts w:hint="eastAsia" w:asciiTheme="majorEastAsia" w:hAnsiTheme="majorEastAsia" w:eastAsiaTheme="majorEastAsia" w:cstheme="majorEastAsia"/>
                <w:kern w:val="0"/>
                <w:szCs w:val="21"/>
                <w:highlight w:val="none"/>
              </w:rPr>
              <w:t>内容完整齐全、合理可行</w:t>
            </w:r>
            <w:r>
              <w:rPr>
                <w:rFonts w:hint="eastAsia" w:asciiTheme="majorEastAsia" w:hAnsiTheme="majorEastAsia" w:eastAsiaTheme="majorEastAsia" w:cstheme="majorEastAsia"/>
                <w:color w:val="000000"/>
                <w:kern w:val="0"/>
                <w:szCs w:val="21"/>
                <w:highlight w:val="none"/>
              </w:rPr>
              <w:t>得2分，</w:t>
            </w:r>
            <w:r>
              <w:rPr>
                <w:rFonts w:hint="eastAsia" w:asciiTheme="majorEastAsia" w:hAnsiTheme="majorEastAsia" w:eastAsiaTheme="majorEastAsia" w:cstheme="majorEastAsia"/>
                <w:kern w:val="0"/>
                <w:szCs w:val="21"/>
                <w:highlight w:val="none"/>
              </w:rPr>
              <w:t>每存在1处缺陷扣1分，扣完为止，方案内容不能满足项目需求或未提供不得分。</w:t>
            </w:r>
          </w:p>
          <w:p w14:paraId="1ACA5A16">
            <w:pPr>
              <w:snapToGrid w:val="0"/>
              <w:ind w:left="0" w:leftChars="0" w:right="0" w:rightChars="0" w:firstLine="0" w:firstLineChars="0"/>
              <w:jc w:val="left"/>
              <w:rPr>
                <w:rFonts w:hint="eastAsia" w:asciiTheme="majorEastAsia" w:hAnsiTheme="majorEastAsia" w:eastAsiaTheme="majorEastAsia" w:cstheme="majorEastAsia"/>
                <w:color w:val="000000"/>
                <w:kern w:val="0"/>
                <w:szCs w:val="21"/>
                <w:highlight w:val="none"/>
                <w:lang w:val="en-US" w:eastAsia="zh-CN"/>
              </w:rPr>
            </w:pPr>
            <w:r>
              <w:rPr>
                <w:rFonts w:hint="eastAsia" w:asciiTheme="majorEastAsia" w:hAnsiTheme="majorEastAsia" w:eastAsiaTheme="majorEastAsia" w:cstheme="majorEastAsia"/>
                <w:szCs w:val="24"/>
                <w:highlight w:val="none"/>
              </w:rPr>
              <w:t>2.2</w:t>
            </w:r>
            <w:r>
              <w:rPr>
                <w:rFonts w:hint="eastAsia" w:asciiTheme="majorEastAsia" w:hAnsiTheme="majorEastAsia" w:eastAsiaTheme="majorEastAsia" w:cstheme="majorEastAsia"/>
                <w:color w:val="000000"/>
                <w:kern w:val="0"/>
                <w:szCs w:val="21"/>
                <w:highlight w:val="none"/>
              </w:rPr>
              <w:t>技术指导方案：设备功能深度开发</w:t>
            </w:r>
            <w:r>
              <w:rPr>
                <w:rFonts w:hint="eastAsia" w:asciiTheme="majorEastAsia" w:hAnsiTheme="majorEastAsia" w:eastAsiaTheme="majorEastAsia" w:cstheme="majorEastAsia"/>
                <w:color w:val="000000"/>
                <w:kern w:val="0"/>
                <w:szCs w:val="21"/>
                <w:highlight w:val="none"/>
                <w:lang w:eastAsia="zh-CN"/>
              </w:rPr>
              <w:t>、疑难工况技术指导</w:t>
            </w:r>
            <w:r>
              <w:rPr>
                <w:rFonts w:hint="eastAsia" w:asciiTheme="majorEastAsia" w:hAnsiTheme="majorEastAsia" w:eastAsiaTheme="majorEastAsia" w:cstheme="majorEastAsia"/>
                <w:color w:val="000000"/>
                <w:kern w:val="0"/>
                <w:szCs w:val="21"/>
                <w:highlight w:val="none"/>
              </w:rPr>
              <w:t>，方案内容完整齐全得2分，内容每</w:t>
            </w:r>
            <w:r>
              <w:rPr>
                <w:rFonts w:hint="eastAsia" w:asciiTheme="majorEastAsia" w:hAnsiTheme="majorEastAsia" w:eastAsiaTheme="majorEastAsia" w:cstheme="majorEastAsia"/>
                <w:szCs w:val="21"/>
                <w:highlight w:val="none"/>
                <w:shd w:val="clear" w:color="auto" w:fill="FFFFFF"/>
              </w:rPr>
              <w:t>存在一处缺陷扣1</w:t>
            </w:r>
            <w:r>
              <w:rPr>
                <w:rFonts w:hint="eastAsia" w:asciiTheme="majorEastAsia" w:hAnsiTheme="majorEastAsia" w:eastAsiaTheme="majorEastAsia" w:cstheme="majorEastAsia"/>
                <w:szCs w:val="21"/>
                <w:highlight w:val="none"/>
              </w:rPr>
              <w:t>分，扣完为止。方案内容不能满足项目要求或未提供的不得分</w:t>
            </w:r>
            <w:r>
              <w:rPr>
                <w:rFonts w:hint="eastAsia" w:asciiTheme="majorEastAsia" w:hAnsiTheme="majorEastAsia" w:eastAsiaTheme="majorEastAsia" w:cstheme="majorEastAsia"/>
                <w:color w:val="000000"/>
                <w:kern w:val="0"/>
                <w:szCs w:val="21"/>
                <w:highlight w:val="none"/>
              </w:rPr>
              <w:t>。</w:t>
            </w:r>
          </w:p>
          <w:p w14:paraId="2A2DA023">
            <w:pPr>
              <w:snapToGrid w:val="0"/>
              <w:ind w:left="0" w:leftChars="0" w:right="0" w:rightChars="0" w:firstLine="0" w:firstLineChars="0"/>
              <w:jc w:val="left"/>
              <w:rPr>
                <w:rFonts w:hint="eastAsia"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lang w:val="en-US" w:eastAsia="zh-CN"/>
              </w:rPr>
              <w:t>2.3</w:t>
            </w:r>
            <w:r>
              <w:rPr>
                <w:rFonts w:hint="eastAsia" w:asciiTheme="majorEastAsia" w:hAnsiTheme="majorEastAsia" w:eastAsiaTheme="majorEastAsia" w:cstheme="majorEastAsia"/>
                <w:szCs w:val="24"/>
                <w:highlight w:val="none"/>
              </w:rPr>
              <w:t>投标人具有售后服务网点及工程师或承诺若中标后提供相关的售后服务，需提供承诺书（1分），未提供不得分；</w:t>
            </w:r>
          </w:p>
          <w:p w14:paraId="1594E2E2">
            <w:pPr>
              <w:snapToGrid w:val="0"/>
              <w:ind w:left="0" w:leftChars="0" w:right="0" w:rightChars="0" w:firstLine="0" w:firstLineChars="0"/>
              <w:jc w:val="left"/>
              <w:rPr>
                <w:rFonts w:hint="eastAsia" w:asciiTheme="majorEastAsia" w:hAnsiTheme="majorEastAsia" w:eastAsiaTheme="majorEastAsia" w:cstheme="majorEastAsia"/>
                <w:b/>
                <w:bCs/>
                <w:szCs w:val="24"/>
                <w:highlight w:val="none"/>
              </w:rPr>
            </w:pPr>
            <w:r>
              <w:rPr>
                <w:rFonts w:hint="eastAsia" w:asciiTheme="majorEastAsia" w:hAnsiTheme="majorEastAsia" w:eastAsiaTheme="majorEastAsia" w:cstheme="majorEastAsia"/>
                <w:szCs w:val="24"/>
                <w:highlight w:val="none"/>
                <w:lang w:val="en-US" w:eastAsia="zh-CN"/>
              </w:rPr>
              <w:t>2.4</w:t>
            </w:r>
            <w:r>
              <w:rPr>
                <w:rFonts w:hint="eastAsia" w:asciiTheme="majorEastAsia" w:hAnsiTheme="majorEastAsia" w:eastAsiaTheme="majorEastAsia" w:cstheme="majorEastAsia"/>
                <w:szCs w:val="24"/>
                <w:highlight w:val="none"/>
              </w:rPr>
              <w:t>制造商在中国境内设有零备件库（1</w:t>
            </w:r>
            <w:r>
              <w:rPr>
                <w:rFonts w:hint="eastAsia" w:asciiTheme="majorEastAsia" w:hAnsiTheme="majorEastAsia" w:eastAsiaTheme="majorEastAsia" w:cstheme="majorEastAsia"/>
                <w:b w:val="0"/>
                <w:bCs w:val="0"/>
                <w:szCs w:val="24"/>
                <w:highlight w:val="none"/>
              </w:rPr>
              <w:t>分）需提供承诺书</w:t>
            </w:r>
            <w:r>
              <w:rPr>
                <w:rFonts w:hint="eastAsia" w:asciiTheme="majorEastAsia" w:hAnsiTheme="majorEastAsia" w:eastAsiaTheme="majorEastAsia" w:cstheme="majorEastAsia"/>
                <w:b w:val="0"/>
                <w:bCs w:val="0"/>
                <w:szCs w:val="24"/>
                <w:highlight w:val="none"/>
                <w:lang w:eastAsia="zh-CN"/>
              </w:rPr>
              <w:t>，</w:t>
            </w:r>
            <w:r>
              <w:rPr>
                <w:rFonts w:hint="eastAsia" w:asciiTheme="majorEastAsia" w:hAnsiTheme="majorEastAsia" w:eastAsiaTheme="majorEastAsia" w:cstheme="majorEastAsia"/>
                <w:szCs w:val="24"/>
                <w:highlight w:val="none"/>
              </w:rPr>
              <w:t>未提供不得分</w:t>
            </w:r>
            <w:r>
              <w:rPr>
                <w:rFonts w:hint="eastAsia" w:asciiTheme="majorEastAsia" w:hAnsiTheme="majorEastAsia" w:eastAsiaTheme="majorEastAsia" w:cstheme="majorEastAsia"/>
                <w:b w:val="0"/>
                <w:bCs w:val="0"/>
                <w:szCs w:val="24"/>
                <w:highlight w:val="none"/>
              </w:rPr>
              <w:t>。</w:t>
            </w:r>
          </w:p>
          <w:p w14:paraId="0EBA7201">
            <w:pPr>
              <w:snapToGrid w:val="0"/>
              <w:ind w:left="0" w:leftChars="0" w:right="0" w:rightChars="0" w:firstLine="0" w:firstLineChars="0"/>
              <w:jc w:val="left"/>
              <w:rPr>
                <w:rFonts w:hint="eastAsia"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2.</w:t>
            </w:r>
            <w:r>
              <w:rPr>
                <w:rFonts w:hint="eastAsia" w:asciiTheme="majorEastAsia" w:hAnsiTheme="majorEastAsia" w:eastAsiaTheme="majorEastAsia" w:cstheme="majorEastAsia"/>
                <w:szCs w:val="24"/>
                <w:highlight w:val="none"/>
                <w:lang w:val="en-US" w:eastAsia="zh-CN"/>
              </w:rPr>
              <w:t>5</w:t>
            </w:r>
            <w:r>
              <w:rPr>
                <w:rFonts w:hint="eastAsia" w:asciiTheme="majorEastAsia" w:hAnsiTheme="majorEastAsia" w:eastAsiaTheme="majorEastAsia" w:cstheme="majorEastAsia"/>
                <w:szCs w:val="24"/>
                <w:highlight w:val="none"/>
              </w:rPr>
              <w:t>应急预案（</w:t>
            </w:r>
            <w:r>
              <w:rPr>
                <w:rFonts w:hint="eastAsia" w:asciiTheme="majorEastAsia" w:hAnsiTheme="majorEastAsia" w:eastAsiaTheme="majorEastAsia" w:cstheme="majorEastAsia"/>
                <w:szCs w:val="24"/>
                <w:highlight w:val="none"/>
                <w:lang w:val="en-US" w:eastAsia="zh-CN"/>
              </w:rPr>
              <w:t>6</w:t>
            </w:r>
            <w:r>
              <w:rPr>
                <w:rFonts w:hint="eastAsia" w:asciiTheme="majorEastAsia" w:hAnsiTheme="majorEastAsia" w:eastAsiaTheme="majorEastAsia" w:cstheme="majorEastAsia"/>
                <w:szCs w:val="24"/>
                <w:highlight w:val="none"/>
              </w:rPr>
              <w:t>分）：由投标人根据医院实际情况提供相适应的方案，根据方案的合理性、适用性及可操作性进行评分。包括①解决问题能力、②紧急故障处理预案、③故障维修响应时间、④备品备件供应、⑤提供备用替代设备、⑥定期巡检维护方案等，每缺少一项或内容描述不详实扣</w:t>
            </w:r>
            <w:r>
              <w:rPr>
                <w:rFonts w:hint="eastAsia" w:asciiTheme="majorEastAsia" w:hAnsiTheme="majorEastAsia" w:eastAsiaTheme="majorEastAsia" w:cstheme="majorEastAsia"/>
                <w:szCs w:val="24"/>
                <w:highlight w:val="none"/>
                <w:lang w:val="en-US" w:eastAsia="zh-CN"/>
              </w:rPr>
              <w:t>1</w:t>
            </w:r>
            <w:r>
              <w:rPr>
                <w:rFonts w:hint="eastAsia" w:asciiTheme="majorEastAsia" w:hAnsiTheme="majorEastAsia" w:eastAsiaTheme="majorEastAsia" w:cstheme="majorEastAsia"/>
                <w:szCs w:val="24"/>
                <w:highlight w:val="none"/>
              </w:rPr>
              <w:t>分，扣完为止。</w:t>
            </w:r>
          </w:p>
          <w:p w14:paraId="0436F1C2">
            <w:pPr>
              <w:snapToGrid w:val="0"/>
              <w:ind w:left="0" w:leftChars="0" w:right="0" w:rightChars="0" w:firstLine="0" w:firstLineChars="0"/>
              <w:jc w:val="left"/>
              <w:rPr>
                <w:rFonts w:hint="eastAsia"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2.</w:t>
            </w:r>
            <w:r>
              <w:rPr>
                <w:rFonts w:hint="eastAsia" w:asciiTheme="majorEastAsia" w:hAnsiTheme="majorEastAsia" w:eastAsiaTheme="majorEastAsia" w:cstheme="majorEastAsia"/>
                <w:szCs w:val="24"/>
                <w:highlight w:val="none"/>
                <w:lang w:val="en-US" w:eastAsia="zh-CN"/>
              </w:rPr>
              <w:t>6</w:t>
            </w:r>
            <w:r>
              <w:rPr>
                <w:rFonts w:hint="eastAsia" w:asciiTheme="majorEastAsia" w:hAnsiTheme="majorEastAsia" w:eastAsiaTheme="majorEastAsia" w:cstheme="majorEastAsia"/>
                <w:szCs w:val="24"/>
                <w:highlight w:val="none"/>
              </w:rPr>
              <w:t>培训方案（</w:t>
            </w:r>
            <w:r>
              <w:rPr>
                <w:rFonts w:hint="eastAsia" w:asciiTheme="majorEastAsia" w:hAnsiTheme="majorEastAsia" w:eastAsiaTheme="majorEastAsia" w:cstheme="majorEastAsia"/>
                <w:szCs w:val="24"/>
                <w:highlight w:val="none"/>
                <w:lang w:val="en-US" w:eastAsia="zh-CN"/>
              </w:rPr>
              <w:t>2</w:t>
            </w:r>
            <w:r>
              <w:rPr>
                <w:rFonts w:hint="eastAsia" w:asciiTheme="majorEastAsia" w:hAnsiTheme="majorEastAsia" w:eastAsiaTheme="majorEastAsia" w:cstheme="majorEastAsia"/>
                <w:szCs w:val="24"/>
                <w:highlight w:val="none"/>
              </w:rPr>
              <w:t>分），根据投标人提供的培训方案评分，包含①设备使用培训方案和用户培训计划（提供操作、维护、临床应用培训）、②使用过程中的技术指导方案（提供设备运行报告、质量分析服务），内容明确详尽、完整得</w:t>
            </w:r>
            <w:r>
              <w:rPr>
                <w:rFonts w:hint="eastAsia" w:asciiTheme="majorEastAsia" w:hAnsiTheme="majorEastAsia" w:eastAsiaTheme="majorEastAsia" w:cstheme="majorEastAsia"/>
                <w:szCs w:val="24"/>
                <w:highlight w:val="none"/>
                <w:lang w:val="en-US" w:eastAsia="zh-CN"/>
              </w:rPr>
              <w:t>2</w:t>
            </w:r>
            <w:r>
              <w:rPr>
                <w:rFonts w:hint="eastAsia" w:asciiTheme="majorEastAsia" w:hAnsiTheme="majorEastAsia" w:eastAsiaTheme="majorEastAsia" w:cstheme="majorEastAsia"/>
                <w:szCs w:val="24"/>
                <w:highlight w:val="none"/>
              </w:rPr>
              <w:t>分，每缺少一项或内容描述不详实扣</w:t>
            </w:r>
            <w:r>
              <w:rPr>
                <w:rFonts w:hint="eastAsia" w:asciiTheme="majorEastAsia" w:hAnsiTheme="majorEastAsia" w:eastAsiaTheme="majorEastAsia" w:cstheme="majorEastAsia"/>
                <w:szCs w:val="24"/>
                <w:highlight w:val="none"/>
                <w:lang w:val="en-US" w:eastAsia="zh-CN"/>
              </w:rPr>
              <w:t>1</w:t>
            </w:r>
            <w:r>
              <w:rPr>
                <w:rFonts w:hint="eastAsia" w:asciiTheme="majorEastAsia" w:hAnsiTheme="majorEastAsia" w:eastAsiaTheme="majorEastAsia" w:cstheme="majorEastAsia"/>
                <w:szCs w:val="24"/>
                <w:highlight w:val="none"/>
              </w:rPr>
              <w:t>分，未提供不得分。</w:t>
            </w:r>
          </w:p>
          <w:p w14:paraId="2519388E">
            <w:pPr>
              <w:snapToGrid w:val="0"/>
              <w:ind w:left="0" w:leftChars="0" w:right="0" w:rightChars="0" w:firstLine="0" w:firstLineChars="0"/>
              <w:jc w:val="left"/>
              <w:rPr>
                <w:rFonts w:hint="eastAsia" w:asciiTheme="majorEastAsia" w:hAnsiTheme="majorEastAsia" w:eastAsiaTheme="majorEastAsia" w:cstheme="majorEastAsia"/>
                <w:szCs w:val="24"/>
                <w:highlight w:val="none"/>
              </w:rPr>
            </w:pPr>
            <w:r>
              <w:rPr>
                <w:rFonts w:hint="eastAsia" w:asciiTheme="majorEastAsia" w:hAnsiTheme="majorEastAsia" w:eastAsiaTheme="majorEastAsia" w:cstheme="majorEastAsia"/>
                <w:kern w:val="0"/>
                <w:szCs w:val="24"/>
                <w:highlight w:val="none"/>
              </w:rPr>
              <w:t>（缺陷是指：存在不适用项目实际情况的情形、凭空编造、内容不完整、逻辑不清、涉及的规范及标准错误、地点区域错误、内容缺漏、不符合采购需求等）</w:t>
            </w:r>
          </w:p>
        </w:tc>
      </w:tr>
    </w:tbl>
    <w:p w14:paraId="225C5C85">
      <w:pPr>
        <w:rPr>
          <w:rFonts w:ascii="宋体" w:hAnsi="宋体" w:cs="宋体"/>
          <w:b/>
          <w:color w:val="000000" w:themeColor="text1"/>
          <w:sz w:val="24"/>
          <w:szCs w:val="24"/>
          <w:highlight w:val="none"/>
          <w:lang w:bidi="ar"/>
          <w14:textFill>
            <w14:solidFill>
              <w14:schemeClr w14:val="tx1"/>
            </w14:solidFill>
          </w14:textFill>
        </w:rPr>
      </w:pPr>
    </w:p>
    <w:p w14:paraId="44FDFB22">
      <w:pPr>
        <w:adjustRightInd w:val="0"/>
        <w:snapToGrid w:val="0"/>
        <w:spacing w:line="400" w:lineRule="atLeast"/>
        <w:ind w:firstLine="482" w:firstLineChars="200"/>
        <w:rPr>
          <w:rFonts w:ascii="宋体" w:hAnsi="宋体" w:cs="宋体"/>
          <w:b/>
          <w:sz w:val="32"/>
          <w:szCs w:val="32"/>
          <w:highlight w:val="none"/>
          <w:lang w:bidi="ar"/>
        </w:rPr>
      </w:pPr>
      <w:r>
        <w:rPr>
          <w:rFonts w:hint="eastAsia" w:ascii="宋体" w:hAnsi="宋体" w:cs="宋体"/>
          <w:b/>
          <w:sz w:val="24"/>
          <w:szCs w:val="24"/>
          <w:highlight w:val="none"/>
          <w:lang w:bidi="ar"/>
        </w:rPr>
        <w:t>说明：评标委员会成员对各投标人商务、技术内容量化打分时，合计最高得分与最低得分相差</w:t>
      </w:r>
      <w:r>
        <w:rPr>
          <w:rFonts w:ascii="Arial" w:hAnsi="Arial" w:cs="Arial"/>
          <w:b/>
          <w:sz w:val="24"/>
          <w:szCs w:val="24"/>
          <w:highlight w:val="none"/>
          <w:lang w:bidi="ar"/>
        </w:rPr>
        <w:t>30%</w:t>
      </w:r>
      <w:r>
        <w:rPr>
          <w:rFonts w:hint="eastAsia" w:ascii="宋体" w:hAnsi="宋体" w:cs="宋体"/>
          <w:b/>
          <w:sz w:val="24"/>
          <w:szCs w:val="24"/>
          <w:highlight w:val="none"/>
          <w:lang w:bidi="ar"/>
        </w:rPr>
        <w:t>以上时，应当做出合理的解释说明，否则不予计分。</w:t>
      </w:r>
    </w:p>
    <w:p w14:paraId="5DEBD3CD">
      <w:pPr>
        <w:pStyle w:val="1285"/>
        <w:ind w:firstLine="482" w:firstLineChars="200"/>
        <w:rPr>
          <w:rFonts w:hint="eastAsia" w:ascii="宋体" w:hAnsi="宋体" w:cs="宋体"/>
          <w:b/>
          <w:sz w:val="24"/>
          <w:szCs w:val="24"/>
          <w:highlight w:val="none"/>
          <w:lang w:bidi="ar"/>
        </w:rPr>
      </w:pPr>
      <w:r>
        <w:rPr>
          <w:rFonts w:hint="eastAsia" w:ascii="宋体" w:hAnsi="宋体" w:cs="宋体"/>
          <w:b/>
          <w:sz w:val="24"/>
          <w:highlight w:val="none"/>
          <w:lang w:bidi="ar"/>
        </w:rPr>
        <w:t>1.</w:t>
      </w:r>
      <w:r>
        <w:rPr>
          <w:rFonts w:hint="eastAsia" w:ascii="宋体" w:hAnsi="宋体" w:cs="宋体"/>
          <w:b/>
          <w:sz w:val="24"/>
          <w:szCs w:val="24"/>
          <w:highlight w:val="none"/>
          <w:lang w:bidi="ar"/>
        </w:rPr>
        <w:t>投标产品为《国家节能产品政府采购品目清单》（最新）中非政府强制采购的产品，提供一项国家正规机构出具的节能产品认证证书或检测报告复印件并加盖公章的评审价格扣除0.5%。</w:t>
      </w:r>
    </w:p>
    <w:p w14:paraId="32885B9E">
      <w:pPr>
        <w:ind w:firstLine="482" w:firstLineChars="200"/>
        <w:rPr>
          <w:rFonts w:hint="eastAsia" w:ascii="宋体" w:hAnsi="宋体" w:cs="宋体"/>
          <w:b/>
          <w:sz w:val="24"/>
          <w:szCs w:val="24"/>
          <w:highlight w:val="none"/>
          <w:lang w:bidi="ar"/>
        </w:rPr>
      </w:pPr>
      <w:r>
        <w:rPr>
          <w:rFonts w:hint="eastAsia" w:ascii="宋体" w:hAnsi="宋体" w:cs="宋体"/>
          <w:b/>
          <w:sz w:val="24"/>
          <w:szCs w:val="24"/>
          <w:highlight w:val="none"/>
          <w:lang w:val="en-US" w:eastAsia="zh-CN" w:bidi="ar"/>
        </w:rPr>
        <w:t>2</w:t>
      </w:r>
      <w:r>
        <w:rPr>
          <w:rFonts w:hint="eastAsia" w:ascii="宋体" w:hAnsi="宋体" w:cs="宋体"/>
          <w:b/>
          <w:sz w:val="24"/>
          <w:szCs w:val="24"/>
          <w:highlight w:val="none"/>
          <w:lang w:bidi="ar"/>
        </w:rPr>
        <w:t>.投标产品为《国家环保产品政府采购品目清单》（最新）中的产品，提供一项国家正规机构出具的环保产品认证证书或检测报告复印件并加盖公章的评审价格扣除0.5%。</w:t>
      </w:r>
    </w:p>
    <w:p w14:paraId="5726C157">
      <w:pPr>
        <w:ind w:firstLine="482" w:firstLineChars="200"/>
        <w:rPr>
          <w:rFonts w:hint="eastAsia" w:ascii="Arial" w:hAnsi="Arial" w:cs="Arial"/>
          <w:b/>
          <w:bCs/>
          <w:sz w:val="24"/>
          <w:highlight w:val="none"/>
        </w:rPr>
      </w:pPr>
      <w:r>
        <w:rPr>
          <w:rFonts w:hint="eastAsia" w:ascii="Arial" w:hAnsi="Arial" w:cs="Arial"/>
          <w:b/>
          <w:bCs/>
          <w:sz w:val="24"/>
          <w:highlight w:val="none"/>
          <w:lang w:val="en-US" w:eastAsia="zh-CN"/>
        </w:rPr>
        <w:t>3</w:t>
      </w:r>
      <w:r>
        <w:rPr>
          <w:rFonts w:hint="eastAsia" w:ascii="Arial" w:hAnsi="Arial" w:cs="Arial"/>
          <w:b/>
          <w:bCs/>
          <w:sz w:val="24"/>
          <w:highlight w:val="none"/>
        </w:rPr>
        <w:t>.使用综合评分法的采购项目，</w:t>
      </w:r>
      <w:r>
        <w:rPr>
          <w:rFonts w:hint="eastAsia" w:ascii="Arial" w:hAnsi="Arial" w:cs="Arial"/>
          <w:b/>
          <w:bCs/>
          <w:sz w:val="24"/>
          <w:highlight w:val="none"/>
          <w:lang w:val="en-US" w:eastAsia="zh-CN"/>
        </w:rPr>
        <w:t>核心设备</w:t>
      </w:r>
      <w:r>
        <w:rPr>
          <w:rFonts w:hint="eastAsia" w:ascii="Arial" w:hAnsi="Arial" w:cs="Arial"/>
          <w:b/>
          <w:bCs/>
          <w:sz w:val="24"/>
          <w:highlight w:val="none"/>
        </w:rPr>
        <w:t>提供相同品牌产品且通过资格审查、符合性审查的不同投标人参加同一合同项下投标的，按一家投标人计算，评审后得分最高的同品牌投标人获得中标人推荐资格；评审得分相同的，投标报价低者排名顺序优先在前，投标报价相同的，技术打分项得分高者排名顺序优先在前，技术打分项得分相同的，</w:t>
      </w:r>
      <w:r>
        <w:rPr>
          <w:rFonts w:hint="eastAsia" w:ascii="宋体" w:hAnsi="宋体" w:cs="Arial"/>
          <w:b/>
          <w:bCs/>
          <w:color w:val="000000"/>
          <w:kern w:val="0"/>
          <w:sz w:val="24"/>
          <w:szCs w:val="24"/>
          <w:highlight w:val="none"/>
        </w:rPr>
        <w:t>技术参数</w:t>
      </w:r>
      <w:r>
        <w:rPr>
          <w:rFonts w:hint="eastAsia" w:ascii="Arial" w:hAnsi="Arial" w:cs="Arial"/>
          <w:b/>
          <w:bCs/>
          <w:sz w:val="24"/>
          <w:highlight w:val="none"/>
        </w:rPr>
        <w:t>打分项得分高者排名顺序优先在前。</w:t>
      </w:r>
    </w:p>
    <w:p w14:paraId="2D944493">
      <w:pPr>
        <w:ind w:firstLine="482" w:firstLineChars="200"/>
        <w:rPr>
          <w:rFonts w:hint="eastAsia" w:ascii="Arial" w:hAnsi="Arial" w:cs="Arial"/>
          <w:b/>
          <w:bCs/>
          <w:sz w:val="24"/>
          <w:highlight w:val="none"/>
        </w:rPr>
      </w:pPr>
      <w:r>
        <w:rPr>
          <w:rFonts w:hint="eastAsia" w:ascii="Arial" w:hAnsi="Arial" w:cs="Arial"/>
          <w:b/>
          <w:bCs/>
          <w:sz w:val="24"/>
          <w:highlight w:val="none"/>
          <w:lang w:val="en-US" w:eastAsia="zh-CN"/>
        </w:rPr>
        <w:t>4.</w:t>
      </w:r>
      <w:r>
        <w:rPr>
          <w:rFonts w:hint="eastAsia" w:ascii="Arial" w:hAnsi="Arial" w:cs="Arial"/>
          <w:b/>
          <w:bCs/>
          <w:sz w:val="24"/>
          <w:highlight w:val="none"/>
        </w:rPr>
        <w:t>根据财库【2019】9 号文件及财库【2019】19 号文件要求，投标人所投的产品中属于政府采购强制采购*号设备等必须提供节能产品认证证书，否则视为未实质性响应招标文件。</w:t>
      </w:r>
    </w:p>
    <w:p w14:paraId="0C631CD3">
      <w:pPr>
        <w:ind w:firstLine="482" w:firstLineChars="200"/>
        <w:rPr>
          <w:rFonts w:hint="eastAsia" w:ascii="Arial" w:hAnsi="Arial" w:cs="Arial"/>
          <w:b/>
          <w:bCs/>
          <w:sz w:val="24"/>
          <w:highlight w:val="none"/>
          <w:lang w:val="en-US" w:eastAsia="zh-CN"/>
        </w:rPr>
      </w:pPr>
      <w:r>
        <w:rPr>
          <w:rFonts w:hint="eastAsia" w:ascii="Arial" w:hAnsi="Arial" w:cs="Arial"/>
          <w:b/>
          <w:bCs/>
          <w:sz w:val="24"/>
          <w:highlight w:val="none"/>
          <w:lang w:val="en-US" w:eastAsia="zh-CN"/>
        </w:rPr>
        <w:t>5.对本国产品的支持政策：</w:t>
      </w:r>
    </w:p>
    <w:p w14:paraId="5EA1BE4E">
      <w:pPr>
        <w:ind w:firstLine="482" w:firstLineChars="200"/>
        <w:rPr>
          <w:rFonts w:hint="eastAsia" w:ascii="Arial" w:hAnsi="Arial" w:cs="Arial"/>
          <w:b/>
          <w:bCs/>
          <w:sz w:val="24"/>
          <w:highlight w:val="none"/>
          <w:lang w:val="en-US" w:eastAsia="zh-CN"/>
        </w:rPr>
      </w:pPr>
      <w:r>
        <w:rPr>
          <w:rFonts w:hint="eastAsia" w:ascii="Arial" w:hAnsi="Arial" w:cs="Arial"/>
          <w:b/>
          <w:bCs/>
          <w:sz w:val="24"/>
          <w:highlight w:val="none"/>
          <w:lang w:val="en-US" w:eastAsia="zh-CN"/>
        </w:rPr>
        <w:t>政府采购活动中既有本国产品又有非本国产品参与竞争的，依法对本国产品给予价格评审优惠，对本国产品的报价给予20%的价格扣除，用扣除后的价格参与评审。</w:t>
      </w:r>
    </w:p>
    <w:p w14:paraId="64875421">
      <w:pPr>
        <w:ind w:firstLine="482" w:firstLineChars="200"/>
        <w:rPr>
          <w:rFonts w:hint="default" w:ascii="Arial" w:hAnsi="Arial" w:cs="Arial"/>
          <w:b/>
          <w:bCs/>
          <w:sz w:val="24"/>
          <w:highlight w:val="none"/>
          <w:lang w:val="en-US" w:eastAsia="zh-CN"/>
        </w:rPr>
      </w:pPr>
      <w:r>
        <w:rPr>
          <w:rFonts w:hint="eastAsia" w:ascii="Arial" w:hAnsi="Arial" w:cs="Arial"/>
          <w:b/>
          <w:bCs/>
          <w:sz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7AE3312">
      <w:pPr>
        <w:spacing w:line="360" w:lineRule="auto"/>
        <w:ind w:left="0" w:firstLine="0" w:firstLineChars="0"/>
        <w:rPr>
          <w:rFonts w:ascii="宋体" w:hAnsi="宋体" w:cs="宋体"/>
          <w:color w:val="000000" w:themeColor="text1"/>
          <w:sz w:val="24"/>
          <w:szCs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26.1评标小组应当根据综合评分情况，按照评审得分由高到低顺序推荐3名中标候选人。评审得分相同的，按照最终报价由低到高的顺序推荐。评审得分且最终报价相同的，按照技术指标优劣顺序推荐。</w:t>
      </w:r>
    </w:p>
    <w:p w14:paraId="0A8EB467">
      <w:pPr>
        <w:spacing w:line="360" w:lineRule="auto"/>
        <w:ind w:left="480" w:hanging="480" w:hanging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26.2采购人根据评标小组推荐的中标候选人名单，根据相关法律法规的规定确定最终中标方。如果排名第一的中标候选人的实际情况与其投标文件不相符，将取消其中标资格，由排名第二的中标候选供应商递补，以此类推；也可以重新开展政府采购活动。</w:t>
      </w:r>
    </w:p>
    <w:p w14:paraId="21CE3CDC">
      <w:pPr>
        <w:spacing w:line="360" w:lineRule="auto"/>
        <w:ind w:left="482" w:hanging="482" w:hanging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26.3在招标采购中，出现下列情形之一的，应予废标：</w:t>
      </w:r>
    </w:p>
    <w:p w14:paraId="0A3A0BC3">
      <w:pPr>
        <w:spacing w:line="360" w:lineRule="auto"/>
        <w:ind w:left="481" w:leftChars="229"/>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26.3.1符合专业条件的供应商或者对招标文件作实质响应的供应商不足三家的；</w:t>
      </w:r>
    </w:p>
    <w:p w14:paraId="095B11AF">
      <w:pPr>
        <w:spacing w:line="360" w:lineRule="auto"/>
        <w:ind w:left="481" w:leftChars="229"/>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26.3.2出现影响采购公正的违法、违规行为的；</w:t>
      </w:r>
    </w:p>
    <w:p w14:paraId="68CFEABC">
      <w:pPr>
        <w:spacing w:line="360" w:lineRule="auto"/>
        <w:ind w:left="481" w:leftChars="229"/>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26.3.3供应商的报价均超过了采购预算，采购人不能支付的；</w:t>
      </w:r>
    </w:p>
    <w:p w14:paraId="066AE1F9">
      <w:pPr>
        <w:spacing w:line="360" w:lineRule="auto"/>
        <w:ind w:left="481" w:leftChars="229"/>
        <w:rPr>
          <w:rFonts w:ascii="宋体" w:hAnsi="宋体" w:cs="宋体"/>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26.3.4因重大变故，采购任务取消的。</w:t>
      </w:r>
    </w:p>
    <w:p w14:paraId="0073FA4F">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27．采购过程的保密性</w:t>
      </w:r>
    </w:p>
    <w:p w14:paraId="77995E80">
      <w:pPr>
        <w:spacing w:line="360" w:lineRule="auto"/>
        <w:ind w:left="552" w:hanging="552" w:hangingChars="23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27.1 采购后，直到授予合同为止，凡是属于审查、澄清、评价和比较的有关资料以及授予中标方的建议等评标小组成员或参与采购的有关工作人员均不得向供应商或其他无关的人员透露，违者给予警告、取消担任评标小组成员的资格，不得再参加任何项目的采购。</w:t>
      </w:r>
    </w:p>
    <w:p w14:paraId="293F3BD5">
      <w:pPr>
        <w:spacing w:line="360" w:lineRule="auto"/>
        <w:ind w:left="552" w:hanging="552" w:hangingChars="23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27.2 供应商在采购过程中，所进行的力图影响采购结果的，不符合《政府采购法》及本次采购中有关规定的活动，将被取消其采购资格。</w:t>
      </w:r>
    </w:p>
    <w:p w14:paraId="5F0D916B">
      <w:pPr>
        <w:pStyle w:val="4"/>
        <w:rPr>
          <w:rFonts w:ascii="宋体" w:hAnsi="宋体" w:cs="宋体"/>
          <w:color w:val="000000" w:themeColor="text1"/>
          <w:highlight w:val="none"/>
          <w14:textFill>
            <w14:solidFill>
              <w14:schemeClr w14:val="tx1"/>
            </w14:solidFill>
          </w14:textFill>
        </w:rPr>
      </w:pPr>
      <w:bookmarkStart w:id="52" w:name="_Toc6655"/>
      <w:bookmarkStart w:id="53" w:name="_Toc298240410"/>
      <w:bookmarkStart w:id="54" w:name="_Toc267301287"/>
      <w:bookmarkStart w:id="55" w:name="_Toc349573126"/>
      <w:bookmarkStart w:id="56" w:name="_Toc471489758"/>
      <w:bookmarkStart w:id="57" w:name="_Toc349637925"/>
      <w:bookmarkStart w:id="58" w:name="_Toc533096045"/>
      <w:r>
        <w:rPr>
          <w:rFonts w:hint="eastAsia" w:ascii="宋体" w:hAnsi="宋体" w:cs="宋体"/>
          <w:color w:val="000000" w:themeColor="text1"/>
          <w:highlight w:val="none"/>
          <w14:textFill>
            <w14:solidFill>
              <w14:schemeClr w14:val="tx1"/>
            </w14:solidFill>
          </w14:textFill>
        </w:rPr>
        <w:t>F  授予合同</w:t>
      </w:r>
      <w:bookmarkEnd w:id="52"/>
      <w:bookmarkEnd w:id="53"/>
      <w:bookmarkEnd w:id="54"/>
      <w:bookmarkEnd w:id="55"/>
      <w:bookmarkEnd w:id="56"/>
      <w:bookmarkEnd w:id="57"/>
      <w:bookmarkEnd w:id="58"/>
    </w:p>
    <w:p w14:paraId="24DC1BF7">
      <w:pPr>
        <w:spacing w:line="360" w:lineRule="auto"/>
        <w:rPr>
          <w:rFonts w:ascii="宋体" w:hAnsi="宋体" w:cs="宋体"/>
          <w:color w:val="000000" w:themeColor="text1"/>
          <w:sz w:val="24"/>
          <w:highlight w:val="none"/>
          <w14:textFill>
            <w14:solidFill>
              <w14:schemeClr w14:val="tx1"/>
            </w14:solidFill>
          </w14:textFill>
        </w:rPr>
      </w:pPr>
      <w:bookmarkStart w:id="59" w:name="_Toc349573127"/>
      <w:bookmarkStart w:id="60" w:name="_Toc298240411"/>
      <w:bookmarkStart w:id="61" w:name="_Toc533096047"/>
      <w:bookmarkStart w:id="62" w:name="_Toc349637926"/>
      <w:r>
        <w:rPr>
          <w:rFonts w:hint="eastAsia" w:ascii="宋体" w:hAnsi="宋体" w:cs="宋体"/>
          <w:color w:val="000000" w:themeColor="text1"/>
          <w:sz w:val="24"/>
          <w:highlight w:val="none"/>
          <w14:textFill>
            <w14:solidFill>
              <w14:schemeClr w14:val="tx1"/>
            </w14:solidFill>
          </w14:textFill>
        </w:rPr>
        <w:t>28．合同授予标准</w:t>
      </w:r>
    </w:p>
    <w:p w14:paraId="6DCCF313">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28.1合同将授予被确定为实质上响应招标文件要求，综合得分最高的供应商。</w:t>
      </w:r>
    </w:p>
    <w:p w14:paraId="013BA8F7">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28.2 最低报价不一定是被授予合同的保证。</w:t>
      </w:r>
    </w:p>
    <w:p w14:paraId="589119CB">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28.3排名第一的中标候选人放弃中标、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供应商，也可以重新招标。</w:t>
      </w:r>
    </w:p>
    <w:p w14:paraId="61DB758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29．接受和拒绝任何或所有采购的权力</w:t>
      </w:r>
    </w:p>
    <w:p w14:paraId="4C087B97">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29.1为维护国家利益，买方在授予合同之前仍有选择或拒绝任何全部采购的权力，并对所采取的行为不作任何解释。</w:t>
      </w:r>
    </w:p>
    <w:p w14:paraId="5C8CDD33">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30．中标通知书</w:t>
      </w:r>
    </w:p>
    <w:p w14:paraId="2744158D">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30.1 在发布中标公告的同时，招标代理机构将以书面形式发出《中标通知书》，但发出时间不超过采购有效期，《中标通知书》一经发出即发生法律效力。</w:t>
      </w:r>
    </w:p>
    <w:p w14:paraId="6B4B8E03">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30.2 《中标通知书》将作为签订合同的依据。</w:t>
      </w:r>
    </w:p>
    <w:p w14:paraId="73D7863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30.3 招标代理机构将在中标方按规定签订合同并提交履约保证金后退还其采购保证金。</w:t>
      </w:r>
    </w:p>
    <w:p w14:paraId="16050A9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31．签订合同</w:t>
      </w:r>
    </w:p>
    <w:p w14:paraId="440254C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31.1 供应商收到《中标通知书》后三十日内，按照招标文件确定的事项与买方签订合同。买方和中标方不得再订立背离合同实质性内容的其他协议。</w:t>
      </w:r>
    </w:p>
    <w:p w14:paraId="434A4178">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31.2 如中标方拒签合同，则按违约处理。招标代理机构没收其投标保证金。</w:t>
      </w:r>
    </w:p>
    <w:p w14:paraId="39920D9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31.3 招标文件、中标方的投标文件及其澄清文件等，均为签订经济合同的依据。</w:t>
      </w:r>
    </w:p>
    <w:p w14:paraId="5EE985CD">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32．履约保证金</w:t>
      </w:r>
    </w:p>
    <w:p w14:paraId="78EA5A4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32.1中标方应按合同规定的方式、时间和金额向买方提交履约保证金。</w:t>
      </w:r>
    </w:p>
    <w:p w14:paraId="170957D0">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33．招标代理服务费</w:t>
      </w:r>
    </w:p>
    <w:p w14:paraId="10897BD8">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33.1中标方须向招标代理机构按如下标准和期限交纳招标代理代理服务费：</w:t>
      </w:r>
    </w:p>
    <w:p w14:paraId="336F43A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33.1.1中标方须向新疆招标有限公司支付招标代理服务费。</w:t>
      </w:r>
    </w:p>
    <w:p w14:paraId="6FBE6183">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33.1.2 在宣布中标后一周内，中标方须按第33.1.1条规定的标准以银行汇票、转帐支票或电汇的方式一次性向招标代理机构缴纳采购代理服务费。</w:t>
      </w:r>
    </w:p>
    <w:p w14:paraId="49EE52BD">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33.供应商在中标后需要融资时可以申请政府采购合同融资，具体详见《新疆维吾尔自治区政府采购合同融资工作方案》新财购[2022]17号。</w:t>
      </w:r>
    </w:p>
    <w:p w14:paraId="1BFB4C6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 规定享受扶持政策获得政府采购合同的，小微企业不得将合同分包给大中型企业，中型企业不得将合同分包给大型企业。</w:t>
      </w:r>
    </w:p>
    <w:p w14:paraId="237FFF6A">
      <w:pPr>
        <w:keepNext/>
        <w:keepLines/>
        <w:spacing w:before="100" w:beforeAutospacing="1" w:after="100" w:afterAutospacing="1" w:line="400" w:lineRule="atLeast"/>
        <w:ind w:firstLine="562" w:firstLineChars="200"/>
        <w:jc w:val="center"/>
        <w:outlineLvl w:val="1"/>
        <w:rPr>
          <w:rFonts w:ascii="宋体" w:hAnsi="宋体" w:cs="宋体"/>
          <w:b/>
          <w:bCs/>
          <w:color w:val="000000" w:themeColor="text1"/>
          <w:sz w:val="24"/>
          <w:highlight w:val="none"/>
          <w14:textFill>
            <w14:solidFill>
              <w14:schemeClr w14:val="tx1"/>
            </w14:solidFill>
          </w14:textFill>
        </w:rPr>
      </w:pPr>
      <w:bookmarkStart w:id="63" w:name="_Toc675"/>
      <w:bookmarkStart w:id="64" w:name="_Toc14195"/>
      <w:bookmarkStart w:id="65" w:name="_Toc11676"/>
      <w:r>
        <w:rPr>
          <w:rFonts w:hint="eastAsia" w:ascii="宋体" w:hAnsi="宋体" w:cs="宋体"/>
          <w:b/>
          <w:color w:val="000000" w:themeColor="text1"/>
          <w:sz w:val="28"/>
          <w:szCs w:val="28"/>
          <w:highlight w:val="none"/>
          <w14:textFill>
            <w14:solidFill>
              <w14:schemeClr w14:val="tx1"/>
            </w14:solidFill>
          </w14:textFill>
        </w:rPr>
        <w:t>G  采购失败条件</w:t>
      </w:r>
      <w:bookmarkEnd w:id="63"/>
      <w:bookmarkEnd w:id="64"/>
      <w:bookmarkEnd w:id="65"/>
    </w:p>
    <w:p w14:paraId="6E3EEDE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35.出现影响采购公正的违法、违规行为的；</w:t>
      </w:r>
    </w:p>
    <w:p w14:paraId="528F53E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36.因重大变故，采购任务取消的；</w:t>
      </w:r>
    </w:p>
    <w:p w14:paraId="4E72EC1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37.投标文件截止时间后，实际参与的供应商不足法定家数的；</w:t>
      </w:r>
    </w:p>
    <w:p w14:paraId="365BE72C">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38.投标报价均超过采购预算的；</w:t>
      </w:r>
    </w:p>
    <w:p w14:paraId="314F599C">
      <w:pPr>
        <w:tabs>
          <w:tab w:val="left" w:pos="1890"/>
        </w:tabs>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39.对招标文件作出实质性响应的供应商不足法定家数的。</w:t>
      </w:r>
    </w:p>
    <w:p w14:paraId="111DE247">
      <w:pPr>
        <w:pStyle w:val="3"/>
        <w:rPr>
          <w:rFonts w:ascii="宋体" w:hAnsi="宋体" w:cs="宋体"/>
          <w:color w:val="000000" w:themeColor="text1"/>
          <w:highlight w:val="none"/>
          <w14:textFill>
            <w14:solidFill>
              <w14:schemeClr w14:val="tx1"/>
            </w14:solidFill>
          </w14:textFill>
        </w:rPr>
        <w:sectPr>
          <w:footerReference r:id="rId7" w:type="default"/>
          <w:pgSz w:w="11907" w:h="16840"/>
          <w:pgMar w:top="1276" w:right="1080" w:bottom="1440" w:left="1080" w:header="851" w:footer="283" w:gutter="0"/>
          <w:pgNumType w:start="1"/>
          <w:cols w:space="720" w:num="1"/>
          <w:docGrid w:type="lines" w:linePitch="409" w:charSpace="0"/>
        </w:sectPr>
      </w:pPr>
    </w:p>
    <w:p w14:paraId="442B850B">
      <w:pPr>
        <w:pStyle w:val="3"/>
        <w:numPr>
          <w:ilvl w:val="0"/>
          <w:numId w:val="58"/>
        </w:numPr>
        <w:rPr>
          <w:rFonts w:ascii="宋体" w:hAnsi="宋体" w:cs="宋体"/>
          <w:color w:val="000000" w:themeColor="text1"/>
          <w:highlight w:val="none"/>
          <w14:textFill>
            <w14:solidFill>
              <w14:schemeClr w14:val="tx1"/>
            </w14:solidFill>
          </w14:textFill>
        </w:rPr>
      </w:pPr>
      <w:bookmarkStart w:id="66" w:name="_Toc21470"/>
      <w:r>
        <w:rPr>
          <w:rFonts w:hint="eastAsia" w:ascii="宋体" w:hAnsi="宋体" w:cs="宋体"/>
          <w:color w:val="000000" w:themeColor="text1"/>
          <w:highlight w:val="none"/>
          <w14:textFill>
            <w14:solidFill>
              <w14:schemeClr w14:val="tx1"/>
            </w14:solidFill>
          </w14:textFill>
        </w:rPr>
        <w:t>货物需求一览表及技术要求</w:t>
      </w:r>
      <w:bookmarkEnd w:id="66"/>
    </w:p>
    <w:p w14:paraId="7A1D1B62">
      <w:pPr>
        <w:jc w:val="left"/>
        <w:outlineLvl w:val="1"/>
        <w:rPr>
          <w:rFonts w:hint="eastAsia"/>
          <w:highlight w:val="none"/>
        </w:rPr>
      </w:pPr>
      <w:bookmarkStart w:id="67" w:name="_Toc28261"/>
      <w:r>
        <w:rPr>
          <w:rFonts w:hint="eastAsia" w:ascii="宋体" w:hAnsi="宋体" w:cs="宋体"/>
          <w:b/>
          <w:bCs/>
          <w:color w:val="000000" w:themeColor="text1"/>
          <w:sz w:val="24"/>
          <w:szCs w:val="22"/>
          <w:highlight w:val="none"/>
          <w:lang w:val="en-US" w:eastAsia="zh-CN"/>
          <w14:textFill>
            <w14:solidFill>
              <w14:schemeClr w14:val="tx1"/>
            </w14:solidFill>
          </w14:textFill>
        </w:rPr>
        <w:t>第一包：</w:t>
      </w:r>
      <w:bookmarkEnd w:id="67"/>
    </w:p>
    <w:bookmarkEnd w:id="51"/>
    <w:bookmarkEnd w:id="59"/>
    <w:bookmarkEnd w:id="60"/>
    <w:bookmarkEnd w:id="61"/>
    <w:bookmarkEnd w:id="62"/>
    <w:tbl>
      <w:tblPr>
        <w:tblStyle w:val="87"/>
        <w:tblW w:w="95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7"/>
        <w:gridCol w:w="3309"/>
        <w:gridCol w:w="917"/>
        <w:gridCol w:w="941"/>
        <w:gridCol w:w="2387"/>
        <w:gridCol w:w="1176"/>
      </w:tblGrid>
      <w:tr w14:paraId="6BB9A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E9F5B">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bookmarkStart w:id="68" w:name="_Toc525072195"/>
            <w:bookmarkStart w:id="69" w:name="_Toc349573138"/>
            <w:bookmarkStart w:id="70" w:name="_Toc267301296"/>
            <w:bookmarkStart w:id="71" w:name="_Toc349637937"/>
            <w:bookmarkStart w:id="72" w:name="_Toc298240423"/>
            <w:bookmarkStart w:id="73" w:name="_Toc298240429"/>
            <w:bookmarkStart w:id="74" w:name="_Toc349637943"/>
            <w:bookmarkStart w:id="75" w:name="_Toc507690272"/>
            <w:bookmarkStart w:id="76" w:name="_Toc349573144"/>
            <w:r>
              <w:rPr>
                <w:rFonts w:hint="eastAsia" w:ascii="宋体" w:hAnsi="宋体" w:cs="宋体"/>
                <w:b/>
                <w:bCs/>
                <w:color w:val="000000" w:themeColor="text1"/>
                <w:sz w:val="24"/>
                <w:szCs w:val="22"/>
                <w:highlight w:val="none"/>
                <w:lang w:val="en-US" w:eastAsia="zh-CN"/>
                <w14:textFill>
                  <w14:solidFill>
                    <w14:schemeClr w14:val="tx1"/>
                  </w14:solidFill>
                </w14:textFill>
              </w:rPr>
              <w:t>序号</w:t>
            </w:r>
          </w:p>
        </w:tc>
        <w:tc>
          <w:tcPr>
            <w:tcW w:w="3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8DFFD">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仪器名称</w:t>
            </w: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B6566">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单位</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F18B9">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数量</w:t>
            </w:r>
          </w:p>
        </w:tc>
        <w:tc>
          <w:tcPr>
            <w:tcW w:w="2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F2B06">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单价/台（万元）</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9018FC">
            <w:pPr>
              <w:jc w:val="left"/>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备注</w:t>
            </w:r>
          </w:p>
        </w:tc>
      </w:tr>
      <w:tr w14:paraId="27D41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8" w:hRule="atLeast"/>
        </w:trPr>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B9299">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p>
        </w:tc>
        <w:tc>
          <w:tcPr>
            <w:tcW w:w="3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3D737">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97998">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F230B">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A94B9">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FA784">
            <w:pPr>
              <w:jc w:val="left"/>
              <w:rPr>
                <w:rFonts w:hint="eastAsia" w:ascii="宋体" w:hAnsi="宋体" w:cs="宋体"/>
                <w:b/>
                <w:bCs/>
                <w:color w:val="000000" w:themeColor="text1"/>
                <w:sz w:val="24"/>
                <w:szCs w:val="22"/>
                <w:highlight w:val="none"/>
                <w:lang w:val="en-US" w:eastAsia="zh-CN"/>
                <w14:textFill>
                  <w14:solidFill>
                    <w14:schemeClr w14:val="tx1"/>
                  </w14:solidFill>
                </w14:textFill>
              </w:rPr>
            </w:pPr>
          </w:p>
        </w:tc>
      </w:tr>
      <w:tr w14:paraId="3DEEA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1"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B4B4">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1</w:t>
            </w:r>
          </w:p>
        </w:tc>
        <w:tc>
          <w:tcPr>
            <w:tcW w:w="3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CFFB">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超声诊断设备（B超）</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35C8">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35D8">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8</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1554">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40</w:t>
            </w:r>
          </w:p>
        </w:tc>
        <w:tc>
          <w:tcPr>
            <w:tcW w:w="1176" w:type="dxa"/>
            <w:vMerge w:val="restart"/>
            <w:tcBorders>
              <w:top w:val="single" w:color="000000" w:sz="4" w:space="0"/>
              <w:left w:val="single" w:color="000000" w:sz="4" w:space="0"/>
              <w:right w:val="single" w:color="000000" w:sz="4" w:space="0"/>
            </w:tcBorders>
            <w:shd w:val="clear" w:color="auto" w:fill="auto"/>
            <w:vAlign w:val="center"/>
          </w:tcPr>
          <w:p w14:paraId="5B1C2C18">
            <w:pPr>
              <w:jc w:val="left"/>
              <w:rPr>
                <w:rFonts w:hint="eastAsia" w:ascii="宋体" w:hAnsi="宋体" w:cs="宋体"/>
                <w:b/>
                <w:bCs/>
                <w:color w:val="000000" w:themeColor="text1"/>
                <w:sz w:val="24"/>
                <w:szCs w:val="22"/>
                <w:highlight w:val="none"/>
                <w:lang w:val="en-US" w:eastAsia="zh-CN"/>
                <w14:textFill>
                  <w14:solidFill>
                    <w14:schemeClr w14:val="tx1"/>
                  </w14:solidFill>
                </w14:textFill>
              </w:rPr>
            </w:pPr>
          </w:p>
        </w:tc>
      </w:tr>
      <w:tr w14:paraId="35A6F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3"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6C3F">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2</w:t>
            </w:r>
          </w:p>
        </w:tc>
        <w:tc>
          <w:tcPr>
            <w:tcW w:w="3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F1E0">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便携式彩超</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0D60">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B571">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1</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893F">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25</w:t>
            </w:r>
          </w:p>
        </w:tc>
        <w:tc>
          <w:tcPr>
            <w:tcW w:w="1176" w:type="dxa"/>
            <w:vMerge w:val="continue"/>
            <w:tcBorders>
              <w:left w:val="single" w:color="000000" w:sz="4" w:space="0"/>
              <w:right w:val="single" w:color="000000" w:sz="4" w:space="0"/>
            </w:tcBorders>
            <w:shd w:val="clear" w:color="auto" w:fill="auto"/>
            <w:vAlign w:val="center"/>
          </w:tcPr>
          <w:p w14:paraId="310E591A">
            <w:pPr>
              <w:jc w:val="left"/>
              <w:rPr>
                <w:rFonts w:hint="eastAsia" w:ascii="宋体" w:hAnsi="宋体" w:cs="宋体"/>
                <w:b/>
                <w:bCs/>
                <w:color w:val="000000" w:themeColor="text1"/>
                <w:sz w:val="24"/>
                <w:szCs w:val="22"/>
                <w:highlight w:val="none"/>
                <w:lang w:val="en-US" w:eastAsia="zh-CN"/>
                <w14:textFill>
                  <w14:solidFill>
                    <w14:schemeClr w14:val="tx1"/>
                  </w14:solidFill>
                </w14:textFill>
              </w:rPr>
            </w:pPr>
          </w:p>
        </w:tc>
      </w:tr>
      <w:tr w14:paraId="5EE7F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6"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ADFA">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3</w:t>
            </w:r>
          </w:p>
        </w:tc>
        <w:tc>
          <w:tcPr>
            <w:tcW w:w="3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41AB">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彩超</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72A6">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23D4">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1</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314F">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110</w:t>
            </w:r>
          </w:p>
        </w:tc>
        <w:tc>
          <w:tcPr>
            <w:tcW w:w="1176" w:type="dxa"/>
            <w:vMerge w:val="continue"/>
            <w:tcBorders>
              <w:left w:val="single" w:color="000000" w:sz="4" w:space="0"/>
              <w:right w:val="single" w:color="000000" w:sz="4" w:space="0"/>
            </w:tcBorders>
            <w:shd w:val="clear" w:color="auto" w:fill="auto"/>
            <w:vAlign w:val="center"/>
          </w:tcPr>
          <w:p w14:paraId="3CF775D1">
            <w:pPr>
              <w:jc w:val="left"/>
              <w:rPr>
                <w:rFonts w:hint="eastAsia" w:ascii="宋体" w:hAnsi="宋体" w:cs="宋体"/>
                <w:b/>
                <w:bCs/>
                <w:color w:val="000000" w:themeColor="text1"/>
                <w:sz w:val="24"/>
                <w:szCs w:val="22"/>
                <w:highlight w:val="none"/>
                <w:lang w:val="en-US" w:eastAsia="zh-CN"/>
                <w14:textFill>
                  <w14:solidFill>
                    <w14:schemeClr w14:val="tx1"/>
                  </w14:solidFill>
                </w14:textFill>
              </w:rPr>
            </w:pPr>
          </w:p>
        </w:tc>
      </w:tr>
      <w:tr w14:paraId="09CE3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BD52">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4</w:t>
            </w:r>
          </w:p>
        </w:tc>
        <w:tc>
          <w:tcPr>
            <w:tcW w:w="3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DDC6">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血管内超声</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48A5">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20B3">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1</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4614">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40</w:t>
            </w:r>
          </w:p>
        </w:tc>
        <w:tc>
          <w:tcPr>
            <w:tcW w:w="1176" w:type="dxa"/>
            <w:vMerge w:val="continue"/>
            <w:tcBorders>
              <w:left w:val="single" w:color="000000" w:sz="4" w:space="0"/>
              <w:right w:val="single" w:color="000000" w:sz="4" w:space="0"/>
            </w:tcBorders>
            <w:shd w:val="clear" w:color="auto" w:fill="auto"/>
            <w:vAlign w:val="center"/>
          </w:tcPr>
          <w:p w14:paraId="1D6D20CC">
            <w:pPr>
              <w:jc w:val="left"/>
              <w:rPr>
                <w:rFonts w:hint="eastAsia" w:ascii="宋体" w:hAnsi="宋体" w:cs="宋体"/>
                <w:b/>
                <w:bCs/>
                <w:color w:val="000000" w:themeColor="text1"/>
                <w:sz w:val="24"/>
                <w:szCs w:val="22"/>
                <w:highlight w:val="none"/>
                <w:lang w:val="en-US" w:eastAsia="zh-CN"/>
                <w14:textFill>
                  <w14:solidFill>
                    <w14:schemeClr w14:val="tx1"/>
                  </w14:solidFill>
                </w14:textFill>
              </w:rPr>
            </w:pPr>
          </w:p>
        </w:tc>
      </w:tr>
      <w:tr w14:paraId="5C180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4"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6B0C">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5</w:t>
            </w:r>
          </w:p>
        </w:tc>
        <w:tc>
          <w:tcPr>
            <w:tcW w:w="3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0EB0">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床旁彩超</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2949">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29CE">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2</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7EFB">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60</w:t>
            </w:r>
          </w:p>
        </w:tc>
        <w:tc>
          <w:tcPr>
            <w:tcW w:w="1176" w:type="dxa"/>
            <w:vMerge w:val="continue"/>
            <w:tcBorders>
              <w:left w:val="single" w:color="000000" w:sz="4" w:space="0"/>
              <w:right w:val="single" w:color="000000" w:sz="4" w:space="0"/>
            </w:tcBorders>
            <w:shd w:val="clear" w:color="auto" w:fill="auto"/>
            <w:vAlign w:val="center"/>
          </w:tcPr>
          <w:p w14:paraId="42EFD1C9">
            <w:pPr>
              <w:jc w:val="left"/>
              <w:rPr>
                <w:rFonts w:hint="eastAsia" w:ascii="宋体" w:hAnsi="宋体" w:cs="宋体"/>
                <w:b/>
                <w:bCs/>
                <w:color w:val="000000" w:themeColor="text1"/>
                <w:sz w:val="24"/>
                <w:szCs w:val="22"/>
                <w:highlight w:val="none"/>
                <w:lang w:val="en-US" w:eastAsia="zh-CN"/>
                <w14:textFill>
                  <w14:solidFill>
                    <w14:schemeClr w14:val="tx1"/>
                  </w14:solidFill>
                </w14:textFill>
              </w:rPr>
            </w:pPr>
          </w:p>
        </w:tc>
      </w:tr>
      <w:tr w14:paraId="45D5D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8"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DB81">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6</w:t>
            </w:r>
          </w:p>
        </w:tc>
        <w:tc>
          <w:tcPr>
            <w:tcW w:w="3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7B10">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高端彩超（心血管彩色多普勒超声波诊断仪）</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EC09">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93D4">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1</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7673">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177</w:t>
            </w:r>
          </w:p>
        </w:tc>
        <w:tc>
          <w:tcPr>
            <w:tcW w:w="1176" w:type="dxa"/>
            <w:vMerge w:val="continue"/>
            <w:tcBorders>
              <w:left w:val="single" w:color="000000" w:sz="4" w:space="0"/>
              <w:right w:val="single" w:color="000000" w:sz="4" w:space="0"/>
            </w:tcBorders>
            <w:shd w:val="clear" w:color="auto" w:fill="auto"/>
            <w:vAlign w:val="center"/>
          </w:tcPr>
          <w:p w14:paraId="14641C20">
            <w:pPr>
              <w:jc w:val="left"/>
              <w:rPr>
                <w:rFonts w:hint="eastAsia" w:ascii="宋体" w:hAnsi="宋体" w:cs="宋体"/>
                <w:b/>
                <w:bCs/>
                <w:color w:val="000000" w:themeColor="text1"/>
                <w:sz w:val="24"/>
                <w:szCs w:val="22"/>
                <w:highlight w:val="none"/>
                <w:lang w:val="en-US" w:eastAsia="zh-CN"/>
                <w14:textFill>
                  <w14:solidFill>
                    <w14:schemeClr w14:val="tx1"/>
                  </w14:solidFill>
                </w14:textFill>
              </w:rPr>
            </w:pPr>
          </w:p>
        </w:tc>
      </w:tr>
      <w:tr w14:paraId="075DC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4"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603F">
            <w:pPr>
              <w:jc w:val="center"/>
              <w:rPr>
                <w:rFonts w:hint="default"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7</w:t>
            </w:r>
          </w:p>
        </w:tc>
        <w:tc>
          <w:tcPr>
            <w:tcW w:w="3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EE4B">
            <w:pPr>
              <w:keepNext w:val="0"/>
              <w:keepLines w:val="0"/>
              <w:widowControl/>
              <w:suppressLineNumbers w:val="0"/>
              <w:jc w:val="center"/>
              <w:textAlignment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高端彩超（全数字化高端彩色多普勒超声诊断仪）</w:t>
            </w:r>
            <w:r>
              <w:rPr>
                <w:rFonts w:hint="eastAsia" w:ascii="宋体" w:hAnsi="宋体" w:cs="宋体"/>
                <w:b/>
                <w:bCs/>
                <w:color w:val="FF0000"/>
                <w:sz w:val="24"/>
                <w:szCs w:val="22"/>
                <w:highlight w:val="none"/>
                <w:lang w:val="en-US" w:eastAsia="zh-CN"/>
              </w:rPr>
              <w:t>（核心设备）</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6FA0">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B79F">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2</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0C54">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177</w:t>
            </w:r>
          </w:p>
        </w:tc>
        <w:tc>
          <w:tcPr>
            <w:tcW w:w="1176" w:type="dxa"/>
            <w:vMerge w:val="continue"/>
            <w:tcBorders>
              <w:left w:val="single" w:color="000000" w:sz="4" w:space="0"/>
              <w:bottom w:val="single" w:color="000000" w:sz="4" w:space="0"/>
              <w:right w:val="single" w:color="000000" w:sz="4" w:space="0"/>
            </w:tcBorders>
            <w:shd w:val="clear" w:color="auto" w:fill="auto"/>
            <w:vAlign w:val="center"/>
          </w:tcPr>
          <w:p w14:paraId="46E25602">
            <w:pPr>
              <w:jc w:val="left"/>
              <w:rPr>
                <w:rFonts w:hint="eastAsia" w:ascii="宋体" w:hAnsi="宋体" w:cs="宋体"/>
                <w:b/>
                <w:bCs/>
                <w:color w:val="000000" w:themeColor="text1"/>
                <w:sz w:val="24"/>
                <w:szCs w:val="22"/>
                <w:highlight w:val="none"/>
                <w:lang w:val="en-US" w:eastAsia="zh-CN"/>
                <w14:textFill>
                  <w14:solidFill>
                    <w14:schemeClr w14:val="tx1"/>
                  </w14:solidFill>
                </w14:textFill>
              </w:rPr>
            </w:pPr>
          </w:p>
        </w:tc>
      </w:tr>
    </w:tbl>
    <w:p w14:paraId="31FDA10E">
      <w:pPr>
        <w:jc w:val="left"/>
        <w:rPr>
          <w:rFonts w:hint="eastAsia" w:ascii="宋体" w:hAnsi="宋体" w:cs="宋体"/>
          <w:b/>
          <w:bCs/>
          <w:color w:val="000000" w:themeColor="text1"/>
          <w:sz w:val="24"/>
          <w:szCs w:val="22"/>
          <w:highlight w:val="none"/>
          <w:lang w:val="en-US" w:eastAsia="zh-CN"/>
          <w14:textFill>
            <w14:solidFill>
              <w14:schemeClr w14:val="tx1"/>
            </w14:solidFill>
          </w14:textFill>
        </w:rPr>
      </w:pPr>
    </w:p>
    <w:p w14:paraId="0268A080">
      <w:pP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br w:type="page"/>
      </w:r>
    </w:p>
    <w:p w14:paraId="5B12C79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eastAsia" w:ascii="宋体" w:hAnsi="宋体" w:eastAsia="宋体" w:cs="宋体"/>
          <w:sz w:val="24"/>
          <w:szCs w:val="24"/>
          <w:highlight w:val="none"/>
          <w:lang w:val="en-US" w:eastAsia="zh-CN"/>
        </w:rPr>
      </w:pPr>
      <w:bookmarkStart w:id="77" w:name="_Toc9498"/>
      <w:r>
        <w:rPr>
          <w:rFonts w:hint="eastAsia" w:ascii="宋体" w:hAnsi="宋体" w:eastAsia="宋体" w:cs="宋体"/>
          <w:b/>
          <w:bCs/>
          <w:sz w:val="24"/>
          <w:szCs w:val="24"/>
          <w:highlight w:val="none"/>
          <w:lang w:val="en-US" w:eastAsia="zh-CN"/>
        </w:rPr>
        <w:t>1、超声诊断设备（B超）</w:t>
      </w:r>
      <w:bookmarkEnd w:id="77"/>
    </w:p>
    <w:p w14:paraId="379F136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一、设备名称：全数字彩色多普勒超声诊断仪</w:t>
      </w:r>
    </w:p>
    <w:p w14:paraId="069A4C9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二、用途：用于腹部、产科、妇科、心脏、小器官、血管、泌尿、儿科、神经、急症等方面的临床诊断工作，具备持续升级能力三、主要技术要求3.1主机成像系统：</w:t>
      </w:r>
    </w:p>
    <w:p w14:paraId="75945AC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▲3.1.1晶显示器≥21英寸显示器亮度可根据环境光自动调节，可上下左右任意旋转，可前后折叠</w:t>
      </w:r>
    </w:p>
    <w:p w14:paraId="387477E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▲3.1.2操作面板彩色触摸屏≥13英寸。可独立调节角度≥50度</w:t>
      </w:r>
    </w:p>
    <w:p w14:paraId="4BC559D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3.1.3触摸屏支持手势控制，可自定义≥7个双指手势功能（如冻结、存图、打印等）</w:t>
      </w:r>
    </w:p>
    <w:p w14:paraId="2648F35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3.1.4控制面板全空间悬浮式调节，可同时旋转和升降，前后拉升。旋转角度 ≥180度，上下移动≥30cm</w:t>
      </w:r>
    </w:p>
    <w:p w14:paraId="23F6637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3.1.5具备多倍信号并行处理技术</w:t>
      </w:r>
    </w:p>
    <w:p w14:paraId="5D17089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3.1.6数字化全程动态聚焦，数字化可变孔径及动态变迹，A/D≥12 bit</w:t>
      </w:r>
    </w:p>
    <w:p w14:paraId="50FBEBE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3.1.7数字化二维灰阶成像及M型显像单元</w:t>
      </w:r>
    </w:p>
    <w:p w14:paraId="6D2C911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3.1.8解剖M型技术≥3条取样线，可360度任意旋转，可在实时和冻结的二维图像上获取解剖M图像。</w:t>
      </w:r>
    </w:p>
    <w:p w14:paraId="558BDFC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3.1.9曲线解剖M型技术</w:t>
      </w:r>
    </w:p>
    <w:p w14:paraId="5B792A0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3.1.10彩色多普勒成像技术</w:t>
      </w:r>
    </w:p>
    <w:p w14:paraId="3F2B7A0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3.1.11彩色多普勒能量图技术</w:t>
      </w:r>
    </w:p>
    <w:p w14:paraId="43C219C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3.1.12方向性能量图技术</w:t>
      </w:r>
    </w:p>
    <w:p w14:paraId="75E7BC1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3.1.13数字化频谱多普勒显示和分析单元(包括PW、CW和HPRF)</w:t>
      </w:r>
    </w:p>
    <w:p w14:paraId="0B71DA3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3.1.14具备独立按键。可支持对二维灰阶、彩色多普勒、频谱多普勒、及造影图像的优化。</w:t>
      </w:r>
    </w:p>
    <w:p w14:paraId="4199A78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3.1.15空间复合成像技术，支持彩色多普勒模式</w:t>
      </w:r>
    </w:p>
    <w:p w14:paraId="5FF4D01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3.1.16斑点噪声抑制技术，在二维图像，造影成像模式及三维成像下可支持≥6档调节。</w:t>
      </w:r>
    </w:p>
    <w:p w14:paraId="4AF357C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3.1.17具备自动血流跟踪技术，可以实现ROI框位置和角度的自动优化，具备Color/Power模式下彩色血流/能量图像的实时动态优化技术。</w:t>
      </w:r>
    </w:p>
    <w:p w14:paraId="45A41A1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3.1.18穿刺针增强技术，凸阵和线阵探头均可支持，具有双屏实时对比显示，并支持自适应校正角度</w:t>
      </w:r>
    </w:p>
    <w:p w14:paraId="2CBCC3A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3.1.19图像放大，支持高清放大和全局放大、局部放大，放大倍数≥15倍;支持≥2种放大全屏放大模式。</w:t>
      </w:r>
    </w:p>
    <w:p w14:paraId="3123E63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3.1.20支持线阵探头双B图像拼接</w:t>
      </w:r>
    </w:p>
    <w:p w14:paraId="54B3C78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3.1.21声功率可调，可实时显示MI/TI（TIB，TIC，TIS）</w:t>
      </w:r>
    </w:p>
    <w:p w14:paraId="3E21B63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3.1.22具备腹部、妇科、产科、浅表、心脏等模式自动工作流协议，支持定制化模板，在检查过程中可按照协议自动注释，自动标记体位图，自动切换图像模式等</w:t>
      </w:r>
    </w:p>
    <w:p w14:paraId="7218AAB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▲3.1.23支持超声远程会诊系统，3.2成像技术：</w:t>
      </w:r>
    </w:p>
    <w:p w14:paraId="643F051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3.2.1造影成像技术及造影定量分析功能</w:t>
      </w:r>
    </w:p>
    <w:p w14:paraId="08BE273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▲1)支持多种探头：凸阵探头、线阵探头，腔内探头，心脏探头、容积探头</w:t>
      </w:r>
    </w:p>
    <w:p w14:paraId="6927E85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2)支持微血管造影增强功能</w:t>
      </w:r>
    </w:p>
    <w:p w14:paraId="32A5598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3)双计时器</w:t>
      </w:r>
    </w:p>
    <w:p w14:paraId="71B786C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4)支持向后存储，≥5分钟电影；支持向前存储</w:t>
      </w:r>
    </w:p>
    <w:p w14:paraId="1BE8F5B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5)具备混合模式</w:t>
      </w:r>
    </w:p>
    <w:p w14:paraId="2A61D24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6)支持造影图像和组织图像位置互换</w:t>
      </w:r>
    </w:p>
    <w:p w14:paraId="4D6EE96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3.2.2应变式弹性成像技术</w:t>
      </w:r>
    </w:p>
    <w:p w14:paraId="5DCB8B5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▲1)支持探头：线阵探头、腔内探头、容积探头等。</w:t>
      </w:r>
    </w:p>
    <w:p w14:paraId="18197DC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2)具备组织硬度定量分析软件，支持应变、应变率和应变直方图的测量</w:t>
      </w:r>
    </w:p>
    <w:p w14:paraId="79FF341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▲3)具备肿块周边组织弹性定量分析功能</w:t>
      </w:r>
    </w:p>
    <w:p w14:paraId="63811AF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4)具备定量测量映射分析，即在组织图测量时弹性图同步测量</w:t>
      </w:r>
    </w:p>
    <w:p w14:paraId="5E5D828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3.2.3 TDI组织多普勒成像</w:t>
      </w:r>
    </w:p>
    <w:p w14:paraId="4D15BEB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1)TDI成像模式：彩色速度模式图、能量模式图、频谱模式图、M型模式图</w:t>
      </w:r>
    </w:p>
    <w:p w14:paraId="1667725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2)TDI曲线解剖M型模式：同步显示心肌组织节段运动同步性、运动时相对比</w:t>
      </w:r>
    </w:p>
    <w:p w14:paraId="7F29AB3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▲3.2.4内置超声教学软件，提供解剖示意图、标准超声图像，包含腹部、心脏、乳腺、甲状腺、妇科、产科等切面。同时，支持腹部及心脏各≥5个标准切面的自动识别。</w:t>
      </w:r>
    </w:p>
    <w:p w14:paraId="0AF3F96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3.3测量和分析：(B型、M型、D型、彩色模式)</w:t>
      </w:r>
    </w:p>
    <w:p w14:paraId="65F5A66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3.3.1常规测量软件包</w:t>
      </w:r>
    </w:p>
    <w:p w14:paraId="143D91B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3.3.2基础测量包，2B模式下支持双幅跨幅测量</w:t>
      </w:r>
    </w:p>
    <w:p w14:paraId="19F619E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3.3.3定点测速功能，彩色多普勒模式下可同屏测量血管腔内≥6个任意位置的血流速度</w:t>
      </w:r>
    </w:p>
    <w:p w14:paraId="13C36E6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3.3.4半自动面积及径线测量 自动描迹、测量和计算工具，可支持径、周长、面积、平均灰度、径1/ 径2、径2/ 径1 等测量结果</w:t>
      </w:r>
    </w:p>
    <w:p w14:paraId="4B6D349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3.3.5全科测量包，自动生成报告：腹部、妇科、产科、心脏、泌尿、小器官、儿科、血管等。</w:t>
      </w:r>
    </w:p>
    <w:p w14:paraId="2BC93B3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▲3.3.6妇科测量软件包：支持二维卵泡自动测量，一键自动分割无回声结构，以不同的颜色区分显示不同位置和大小的无回声结构。</w:t>
      </w:r>
    </w:p>
    <w:p w14:paraId="28FAF4A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3.3.7具备专业卵泡评估报告，多项IVF评估指标及发育曲线分析（提供IVF发育曲线趋势分析证明图片）</w:t>
      </w:r>
    </w:p>
    <w:p w14:paraId="2053B1E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3.3.8产科测量软件包：自动产科测量，自动测量≥5项胎儿发育评估指标。</w:t>
      </w:r>
    </w:p>
    <w:p w14:paraId="36C1AED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3.3.9自动NT测量</w:t>
      </w:r>
    </w:p>
    <w:p w14:paraId="2AB5C6E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3.3.10心脏测量软件包：心功能自动测量软件,无需ECG可自动识别四腔心、两腔心切面，自动识别心肌边界，并进行自动描迹，无需手动选择切面和手动描记</w:t>
      </w:r>
    </w:p>
    <w:p w14:paraId="29D74FD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3.3.11腹部测量软件包：支持膀胱自动测量</w:t>
      </w:r>
    </w:p>
    <w:p w14:paraId="44A6639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▲3.3.12自动肝肾比测量 一键自动肝肾器官识别，自动计算肾皮质及肝脏的灰阶比值，方便进行肝脏脂肪变的定量评估</w:t>
      </w:r>
    </w:p>
    <w:p w14:paraId="3E6C3E4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3.3.13小器官测量软件包，包含乳腺测量包</w:t>
      </w:r>
    </w:p>
    <w:p w14:paraId="22ABE23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3.3.14血管测量软件包：IMT血管内中膜自动测量，测量结果参数≥7项，具备IMT评估曲线分析。（提供IMT内中膜评估分析曲线证明图片）</w:t>
      </w:r>
    </w:p>
    <w:p w14:paraId="355FC4E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3.3.15支持颈动脉血管内中膜自动实时测量,自动获取≥5组IMT内膜厚度值,并实时更新</w:t>
      </w:r>
    </w:p>
    <w:p w14:paraId="2A7F47F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3.4图像存储(电影)回放重显及病案管理单元</w:t>
      </w:r>
    </w:p>
    <w:p w14:paraId="6255E26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3.4.1硬盘≥1T，图像存储，电影回放：≥150秒</w:t>
      </w:r>
    </w:p>
    <w:p w14:paraId="3BEB24C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3.4.2多种导出图像格式：动态图像、静态图像以PC格式直接导出。导出、备份图像数据资料同时，可进行实时检查，不影响检查操作</w:t>
      </w:r>
    </w:p>
    <w:p w14:paraId="22A0285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3.4.3支持向后存储和向前存储，时间长度可预置，向后存储≥5分钟的电影，对剪接和编辑的电影图像可多次存储和多次编辑；图像和电影均可以实时扫描、冻结状态下直接存储，并且具有独立的存储功能键</w:t>
      </w:r>
    </w:p>
    <w:p w14:paraId="450141B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3.4.4原始数据处理，支持动、静态图像冻结后，最大可调节参数≥32项</w:t>
      </w:r>
    </w:p>
    <w:p w14:paraId="0996AA5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3.5连通性要求：</w:t>
      </w:r>
    </w:p>
    <w:p w14:paraId="57A9462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3.5.1支持网络连接，能开放DICOM 3.0接口满足任何厂家PACS联网传输，并可支持DICOM结构化报告（中标方承担相应的接口费用）</w:t>
      </w:r>
    </w:p>
    <w:p w14:paraId="764AC68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3.5.2可直接存储静态/动态超声图像到工作站，可外接其他手柄或脚踏开关</w:t>
      </w:r>
    </w:p>
    <w:p w14:paraId="053D8C7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3.5.3支持一键传输图片到智能手机终端或PC端。支持手机等移动终端APP远程操作设备</w:t>
      </w:r>
    </w:p>
    <w:p w14:paraId="366A969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四、系统技术参数及要求：</w:t>
      </w:r>
    </w:p>
    <w:p w14:paraId="36AEE86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4.1系统通用功能：</w:t>
      </w:r>
    </w:p>
    <w:p w14:paraId="3202C4A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▲4.1.1主机探头接口≥5个，大小一致，全激活、相互通用。</w:t>
      </w:r>
    </w:p>
    <w:p w14:paraId="135337E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4.1.2预设条件：针对不同的检查脏器，预置最佳化图像的检查条件，减少操作时的调节。</w:t>
      </w:r>
    </w:p>
    <w:p w14:paraId="1272C79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4.2探头规格</w:t>
      </w:r>
    </w:p>
    <w:p w14:paraId="7367586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4.2.1频率：超宽频带或变频探头，所配探头均为宽频变频探头</w:t>
      </w:r>
    </w:p>
    <w:p w14:paraId="4A09503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4.2.2二维、谐波、彩色及频谱多普勒模式分别独立变频，≥3段；</w:t>
      </w:r>
    </w:p>
    <w:p w14:paraId="2206A2C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4.2.3电子线阵探头阵元数≥190</w:t>
      </w:r>
    </w:p>
    <w:p w14:paraId="044A393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4.2.4腹部凸阵探头约（2.0-5.5MHz）</w:t>
      </w:r>
    </w:p>
    <w:p w14:paraId="58F2D63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4.2.5血管/小器官线阵探头约（3.0-13.0MHz）</w:t>
      </w:r>
    </w:p>
    <w:p w14:paraId="6E1F3BD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4.2.6心脏相控阵探头约（1.5-4.5MHz）</w:t>
      </w:r>
    </w:p>
    <w:p w14:paraId="6E7D9F7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4.2.7腔内探头约（3-11MHz），扫描角度≥170°</w:t>
      </w:r>
    </w:p>
    <w:p w14:paraId="4CD7DA1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4.3二维显像主要参数：</w:t>
      </w:r>
    </w:p>
    <w:p w14:paraId="5543D19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4.3.1成像速度：相控阵探头，18CM深度时, 全视野，帧率≥56帧/秒；凸阵探头，18CM深度时, 全视野， 帧率≥38帧/秒</w:t>
      </w:r>
    </w:p>
    <w:p w14:paraId="22210FA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4.3.2增益调节：B/M/D分别独立可调，≥100，可视可调步进≥1。</w:t>
      </w:r>
    </w:p>
    <w:p w14:paraId="248F07D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4.3.3TGC: ≥8段，LGC: ≥8段</w:t>
      </w:r>
    </w:p>
    <w:p w14:paraId="495BA0A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4.3.4显示深度≥38cm</w:t>
      </w:r>
    </w:p>
    <w:p w14:paraId="63705C0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4.3.5伪彩图谱: ≥8种</w:t>
      </w:r>
    </w:p>
    <w:p w14:paraId="284E476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4.3.6最大帧率: ≥600 帧/秒</w:t>
      </w:r>
    </w:p>
    <w:p w14:paraId="208D179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4.3.7动态范围：≥240，可视可调</w:t>
      </w:r>
    </w:p>
    <w:p w14:paraId="5E99437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4.4频谱多普勒：</w:t>
      </w:r>
    </w:p>
    <w:p w14:paraId="60F5DD8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4.4.1显示模式：脉冲多普勒、高脉冲重复频率、连续多普勒</w:t>
      </w:r>
    </w:p>
    <w:p w14:paraId="609629E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4.4.2最大测量速度：≥7.2m/s（连续多普勒速度: ≥35m/s）</w:t>
      </w:r>
    </w:p>
    <w:p w14:paraId="59CD033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4.4.3最低测量速度：≤0.01cm/s</w:t>
      </w:r>
    </w:p>
    <w:p w14:paraId="7D19F30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4.4.4偏转角度: ≥±30° (线阵探头) ，并支持快速角度校正</w:t>
      </w:r>
    </w:p>
    <w:p w14:paraId="7C755BB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4.4.5取样宽度及位置范围： 0.5-30mm </w:t>
      </w:r>
    </w:p>
    <w:p w14:paraId="004A61F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4.4.6零位移动：≥8级</w:t>
      </w:r>
    </w:p>
    <w:p w14:paraId="43443EA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4.4.7实时自动包络频谱并完成频谱测量计算</w:t>
      </w:r>
    </w:p>
    <w:p w14:paraId="1E5E485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4.5彩色多普勒：</w:t>
      </w:r>
    </w:p>
    <w:p w14:paraId="2E2573D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4.5.1显示方式：包括速度、速度方差、能量、方向能量显示等</w:t>
      </w:r>
    </w:p>
    <w:p w14:paraId="6DBC128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4.5.2速度标识功能，标识不同血流速度边界，观察血流分布及速度梯度</w:t>
      </w:r>
    </w:p>
    <w:p w14:paraId="3580F61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4.5.3取样框偏转: ≥±30°，取样框可根据探头血流方向自动调节</w:t>
      </w:r>
    </w:p>
    <w:p w14:paraId="4B4560C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4.5.4最大帧率: ≥220 帧/秒</w:t>
      </w:r>
    </w:p>
    <w:p w14:paraId="2B6C6C4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4.5.5彩色增强功能：彩色多普勒能量图(PDI);组织多普勒(TDI)</w:t>
      </w:r>
    </w:p>
    <w:p w14:paraId="36A755E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4.5.6彩色频谱自动反转：当调节彩色取样框从一侧偏转向另一侧时，系统可自动触发反转功能，保证偏转调节过程中，血管内血流颜色不变</w:t>
      </w:r>
    </w:p>
    <w:p w14:paraId="3604FF0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4.6记录装置：</w:t>
      </w:r>
    </w:p>
    <w:p w14:paraId="178B02A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4.6.1内置一体化超声工作站：数字化储存静态及动态图像，图像支持BMP、JPG、TIFF、DCM、 AVI、MP4等格式直接导出。</w:t>
      </w:r>
    </w:p>
    <w:p w14:paraId="4611481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4.6.2内置数字录像机可用于教学，存储时间≥60分钟</w:t>
      </w:r>
    </w:p>
    <w:p w14:paraId="3CD3E0F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4.6.3内置USB接口≥5</w:t>
      </w:r>
    </w:p>
    <w:p w14:paraId="6C36069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4.7外设和附件</w:t>
      </w:r>
    </w:p>
    <w:p w14:paraId="1C9E50F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4.7.1支持主机一体化耦合剂加热器，耦合剂温度≥3档可调</w:t>
      </w:r>
    </w:p>
    <w:p w14:paraId="172D853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4.7.2腔内探头放置架</w:t>
      </w:r>
    </w:p>
    <w:p w14:paraId="79A4B12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4.7.3 QWERTY背光小键盘</w:t>
      </w:r>
    </w:p>
    <w:p w14:paraId="725EAA2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4.7.4主机一体式LED照明灯，辅助暗室临床操作 </w:t>
      </w:r>
    </w:p>
    <w:p w14:paraId="433F7CD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4.7.5支持脚踏开关</w:t>
      </w:r>
    </w:p>
    <w:p w14:paraId="6F52A30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4.8技术、维修、培训及其它（商务)</w:t>
      </w:r>
    </w:p>
    <w:p w14:paraId="3B9B8A0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4.8.1设置备件库，存入所有必须的备件，保证必要时可以及时供应</w:t>
      </w:r>
    </w:p>
    <w:p w14:paraId="250269D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4.8.2应配置专业技术人员提供现场技术培训，保证使用人员正常操作设备的各种功能</w:t>
      </w:r>
    </w:p>
    <w:p w14:paraId="09A6BDD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4.9探头配置：</w:t>
      </w:r>
    </w:p>
    <w:p w14:paraId="64BB587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4.9.1腹部探头1把</w:t>
      </w:r>
    </w:p>
    <w:p w14:paraId="6628ACD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4.9.2浅表探头1把</w:t>
      </w:r>
    </w:p>
    <w:p w14:paraId="670578C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4.9.3心脏探头1把</w:t>
      </w:r>
    </w:p>
    <w:p w14:paraId="48A916F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4.9.4阴超探头1把</w:t>
      </w:r>
    </w:p>
    <w:p w14:paraId="79DCF90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4.10超声工作站一套(按采购人需求配置）</w:t>
      </w:r>
    </w:p>
    <w:p w14:paraId="7330AAB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4.11超声检查床、工作椅一套</w:t>
      </w:r>
    </w:p>
    <w:p w14:paraId="6A1EB2E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26F0D1D3">
      <w:pPr>
        <w:keepNext w:val="0"/>
        <w:keepLines w:val="0"/>
        <w:pageBreakBefore w:val="0"/>
        <w:numPr>
          <w:ilvl w:val="0"/>
          <w:numId w:val="0"/>
        </w:numPr>
        <w:kinsoku/>
        <w:wordWrap/>
        <w:overflowPunct/>
        <w:topLinePunct w:val="0"/>
        <w:autoSpaceDE/>
        <w:autoSpaceDN/>
        <w:bidi w:val="0"/>
        <w:adjustRightInd/>
        <w:snapToGrid/>
        <w:spacing w:line="440" w:lineRule="exact"/>
        <w:jc w:val="center"/>
        <w:outlineLvl w:val="1"/>
        <w:rPr>
          <w:rFonts w:hint="eastAsia" w:ascii="宋体" w:hAnsi="宋体" w:eastAsia="宋体" w:cs="宋体"/>
          <w:sz w:val="24"/>
          <w:szCs w:val="24"/>
          <w:highlight w:val="none"/>
          <w:lang w:val="en-US" w:eastAsia="zh-CN"/>
        </w:rPr>
      </w:pPr>
      <w:bookmarkStart w:id="78" w:name="_Toc6992"/>
      <w:r>
        <w:rPr>
          <w:rFonts w:hint="eastAsia" w:ascii="宋体" w:hAnsi="宋体" w:eastAsia="宋体" w:cs="宋体"/>
          <w:b/>
          <w:bCs/>
          <w:sz w:val="24"/>
          <w:szCs w:val="24"/>
          <w:highlight w:val="none"/>
          <w:lang w:val="en-US" w:eastAsia="zh-CN"/>
        </w:rPr>
        <w:t>2、便携式彩超</w:t>
      </w:r>
      <w:bookmarkEnd w:id="78"/>
    </w:p>
    <w:p w14:paraId="091286E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一、货物名称：全数字化便携彩色多普勒超声诊断系统</w:t>
      </w:r>
    </w:p>
    <w:p w14:paraId="33A5E8F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用途：满足适用于腹部、产科、妇科、心脏、小器官、泌尿、血管、儿科、神经、急重诊等应用。</w:t>
      </w:r>
    </w:p>
    <w:p w14:paraId="5AA0C50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1.技术要求：</w:t>
      </w:r>
    </w:p>
    <w:p w14:paraId="6A83494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  ≥15英寸LED显示器，可根据环境光变化自动调节亮度，可独立主机调节，角度≥170°</w:t>
      </w:r>
    </w:p>
    <w:p w14:paraId="0BE9C4F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★1.2主机内置相同大小全激活探头接口≥3个</w:t>
      </w:r>
    </w:p>
    <w:p w14:paraId="06F4A2F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2.二维灰阶模式</w:t>
      </w:r>
    </w:p>
    <w:p w14:paraId="47F5BE3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2.1组织谐波成像</w:t>
      </w:r>
    </w:p>
    <w:p w14:paraId="20E3D57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2.2组织特异性成像</w:t>
      </w:r>
    </w:p>
    <w:p w14:paraId="0212670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2.3多角度空间复合成像技术，≥3档可调</w:t>
      </w:r>
    </w:p>
    <w:p w14:paraId="23BADA1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2.4斑点噪声抑制成像，≥6档可调</w:t>
      </w:r>
    </w:p>
    <w:p w14:paraId="057F012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2.5放大模式：全屏放大，支持≥2种模式</w:t>
      </w:r>
    </w:p>
    <w:p w14:paraId="23029EA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2.6  TGC  8段、LGC 8段</w:t>
      </w:r>
    </w:p>
    <w:p w14:paraId="15D0373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3.M型成像模式</w:t>
      </w:r>
    </w:p>
    <w:p w14:paraId="6D3838E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3.1彩色M型</w:t>
      </w:r>
    </w:p>
    <w:p w14:paraId="3C47F4C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3.2解剖M型，取样线≥3线，可360度任意旋转</w:t>
      </w:r>
    </w:p>
    <w:p w14:paraId="6E14790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4.彩色多普勒成像（包括彩色、能量、方向能量多普勒模式）</w:t>
      </w:r>
    </w:p>
    <w:p w14:paraId="3D3071B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4.1高分辨率血流成像</w:t>
      </w:r>
    </w:p>
    <w:p w14:paraId="5CCB493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4.2双实时同屏对比显示</w:t>
      </w:r>
    </w:p>
    <w:p w14:paraId="3C7D66D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4.3自动调节取样框的角度及位置</w:t>
      </w:r>
    </w:p>
    <w:p w14:paraId="5A99C04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4.4取样框偏转：线阵探头支持≥ ±20 度，取样框可根据探头血流方向自动调节</w:t>
      </w:r>
    </w:p>
    <w:p w14:paraId="025CE35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5.频谱多普勒成像</w:t>
      </w:r>
    </w:p>
    <w:p w14:paraId="2E8C650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5.1脉冲多普勒、连续多普勒</w:t>
      </w:r>
    </w:p>
    <w:p w14:paraId="1FE7E21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5.2自动计算心动周期</w:t>
      </w:r>
    </w:p>
    <w:p w14:paraId="337D773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  PW最大速度≥8000cm/s;CW最大速度≥3800cm/s6.一键自动优化（包括应用于二维、彩色、频谱模式、造影等）</w:t>
      </w:r>
    </w:p>
    <w:p w14:paraId="454812D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7.穿刺针增强：应用于超声引导下的穿刺手术，动态增 强超声图像中针体显示，具有双屏实时 对比显示，增强前后效果，并支持自适 应校正角度</w:t>
      </w:r>
    </w:p>
    <w:p w14:paraId="5E841DE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▲8.造影成像：支持凸阵，线阵，腔内探头</w:t>
      </w:r>
    </w:p>
    <w:p w14:paraId="61ECD32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▲9.应变式弹性功能 </w:t>
      </w:r>
    </w:p>
    <w:p w14:paraId="11D8185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10.超声教学助手</w:t>
      </w:r>
    </w:p>
    <w:p w14:paraId="4F3FB3A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 测量分析和报告</w:t>
      </w:r>
    </w:p>
    <w:p w14:paraId="4BA611A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1.常规测量软件包</w:t>
      </w:r>
    </w:p>
    <w:p w14:paraId="11B2B86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2.血管内中膜自动测量</w:t>
      </w:r>
    </w:p>
    <w:p w14:paraId="2AB4B8D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3.，可同时进行血管前、后壁的内中膜一段距离的自动描记、自动生成测量数据结果</w:t>
      </w:r>
    </w:p>
    <w:p w14:paraId="19F5B57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▲4.产科自动测量：支持 BPD， HC， OFD， FL， AC， HUM。自动测量≥ 6 项胎儿发育评估指标</w:t>
      </w:r>
    </w:p>
    <w:p w14:paraId="1AC4A37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5.胎儿颈项透明层自动检测与测量技术</w:t>
      </w:r>
    </w:p>
    <w:p w14:paraId="616D1BC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三、电影回放及原始数据处理</w:t>
      </w:r>
    </w:p>
    <w:p w14:paraId="31313C7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1.电影回放</w:t>
      </w:r>
    </w:p>
    <w:p w14:paraId="4980092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1.1所有模式下支持手动、自动回放</w:t>
      </w:r>
    </w:p>
    <w:p w14:paraId="5773DAD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1.2支持向后存储和向前存储，时间长度可预置，向后存储≥7分钟的电影</w:t>
      </w:r>
    </w:p>
    <w:p w14:paraId="5D3B4A0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1.3支持保存后的图像同屏对比分析（动态、静态）</w:t>
      </w:r>
    </w:p>
    <w:p w14:paraId="2F1C852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2.原始数据处理，可对回放图像进行≥20个参数调节</w:t>
      </w:r>
    </w:p>
    <w:p w14:paraId="5F42FB4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四、信息管理与存储</w:t>
      </w:r>
    </w:p>
    <w:p w14:paraId="206A275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≥512G SSD固态硬盘</w:t>
      </w:r>
    </w:p>
    <w:p w14:paraId="6672720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2.内置超声工作站，支持同步存储，同时前台可以完成实时扫描，不影响检查操作</w:t>
      </w:r>
    </w:p>
    <w:p w14:paraId="4AFD359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3.动态图像、静态图像以PC等格式直接导出（支持单帧图像文件包含： DCM、TIFF、BMP、JPG等单帧，电影文件包括：CIN、AVI、DCM、MP4等），无需软件即能在普通PC 机上直接观看图像。</w:t>
      </w:r>
    </w:p>
    <w:p w14:paraId="4226C34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4.通过局域网将单帧图像或电影文件从超声系统分享到手机或平板等智能设备 </w:t>
      </w:r>
    </w:p>
    <w:p w14:paraId="36BDB79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▲5.通过扫描二维码实现图像分享 </w:t>
      </w:r>
    </w:p>
    <w:p w14:paraId="3A0C9EB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6.支持隐藏病人信息</w:t>
      </w:r>
    </w:p>
    <w:p w14:paraId="23F00D9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五、连通性</w:t>
      </w:r>
    </w:p>
    <w:p w14:paraId="4EEB972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3.1.主机内置HDMI、USB3.0、Type-c等网络接口</w:t>
      </w:r>
    </w:p>
    <w:p w14:paraId="6FF37DD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DICOM3.0系统</w:t>
      </w:r>
    </w:p>
    <w:p w14:paraId="662CBA7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3.多功能台车：可拆卸的储物篮，电源缆线专用放置架，防撞支架</w:t>
      </w:r>
    </w:p>
    <w:p w14:paraId="1C7B45E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4.专用旅行箱，可装载主机、探头及相关备件</w:t>
      </w:r>
    </w:p>
    <w:p w14:paraId="2D2D6B6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六、配置</w:t>
      </w:r>
    </w:p>
    <w:p w14:paraId="75D1BAE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1.主机1台</w:t>
      </w:r>
    </w:p>
    <w:p w14:paraId="64B9D3B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2.凸阵探头1把，线阵探头1把，相控阵探头1把</w:t>
      </w:r>
    </w:p>
    <w:p w14:paraId="7D84A2A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p>
    <w:p w14:paraId="114C32D6">
      <w:pPr>
        <w:keepNext w:val="0"/>
        <w:keepLines w:val="0"/>
        <w:pageBreakBefore w:val="0"/>
        <w:numPr>
          <w:ilvl w:val="0"/>
          <w:numId w:val="0"/>
        </w:numPr>
        <w:kinsoku/>
        <w:wordWrap/>
        <w:overflowPunct/>
        <w:topLinePunct w:val="0"/>
        <w:autoSpaceDE/>
        <w:autoSpaceDN/>
        <w:bidi w:val="0"/>
        <w:adjustRightInd/>
        <w:snapToGrid/>
        <w:spacing w:line="440" w:lineRule="exact"/>
        <w:jc w:val="center"/>
        <w:outlineLvl w:val="1"/>
        <w:rPr>
          <w:rFonts w:hint="eastAsia" w:ascii="宋体" w:hAnsi="宋体" w:eastAsia="宋体" w:cs="宋体"/>
          <w:b/>
          <w:bCs/>
          <w:sz w:val="24"/>
          <w:szCs w:val="24"/>
          <w:highlight w:val="none"/>
          <w:lang w:val="en-US" w:eastAsia="zh-CN"/>
        </w:rPr>
      </w:pPr>
      <w:bookmarkStart w:id="79" w:name="_Toc8739"/>
      <w:r>
        <w:rPr>
          <w:rFonts w:hint="eastAsia" w:ascii="宋体" w:hAnsi="宋体" w:eastAsia="宋体" w:cs="宋体"/>
          <w:b/>
          <w:bCs/>
          <w:sz w:val="24"/>
          <w:szCs w:val="24"/>
          <w:highlight w:val="none"/>
          <w:lang w:val="en-US" w:eastAsia="zh-CN"/>
        </w:rPr>
        <w:t>3、彩超</w:t>
      </w:r>
      <w:bookmarkEnd w:id="79"/>
    </w:p>
    <w:p w14:paraId="62A83FE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一．设备名称：彩色多普勒超声系统</w:t>
      </w:r>
    </w:p>
    <w:p w14:paraId="0E1368F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配置：探头4把：单晶体腹部探头1把、浅表探头1把、单 晶体心脏探头1把、阴超探头1把</w:t>
      </w:r>
    </w:p>
    <w:p w14:paraId="2139F45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二.用途说明</w:t>
      </w:r>
    </w:p>
    <w:p w14:paraId="1FC5808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.用途：用于腹部、产科、妇科、心脏、小器官、泌尿、血管、儿科、神经、急诊、麻醉、其他</w:t>
      </w:r>
    </w:p>
    <w:p w14:paraId="6D0D678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三.技术要求</w:t>
      </w:r>
    </w:p>
    <w:p w14:paraId="384F156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3.1.≥23英寸彩色液晶显示器，亮度和对比度通过预设可调，≥4个显示器关节支撑臂，显示器可以上下倾斜、左右旋转、前后移动，具有独立的显示器锁定装置（非关节臂锁定），</w:t>
      </w:r>
    </w:p>
    <w:p w14:paraId="3D093C5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▲3.2.≥13英寸彩色触摸屏，触摸屏角度可以独立于主机调节（机身静止状态下，独立调节角度≥25度）</w:t>
      </w:r>
    </w:p>
    <w:p w14:paraId="61CD319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3.4.操作面板具有6向独立调节功能（即电动上下升降、左右旋转和前后平移）</w:t>
      </w:r>
    </w:p>
    <w:p w14:paraId="304EF4D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▲3.5.探头接口数量≥5个</w:t>
      </w:r>
    </w:p>
    <w:p w14:paraId="1B648F9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四.系统成像技术</w:t>
      </w:r>
    </w:p>
    <w:p w14:paraId="6606A05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4.1.二维灰阶模式</w:t>
      </w:r>
    </w:p>
    <w:p w14:paraId="52F34F6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4.2.M型模式</w:t>
      </w:r>
    </w:p>
    <w:p w14:paraId="0FCDB81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4.3.彩色M型模式</w:t>
      </w:r>
    </w:p>
    <w:p w14:paraId="51A95D5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4.4.解剖M型模式（≥3条取样线，360度自由旋转）</w:t>
      </w:r>
    </w:p>
    <w:p w14:paraId="4920068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4.5.彩色多普勒成像</w:t>
      </w:r>
    </w:p>
    <w:p w14:paraId="26500DA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4.6.频谱多普勒成像，连续多普勒成像（线阵探头可支持连续多普勒成像，提供证明）。</w:t>
      </w:r>
    </w:p>
    <w:p w14:paraId="417A6C9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4.7.组织多普勒成像,包括组织速度多普勒成像、组织能量多普勒成像、组织频谱多普勒成像、组织M型模式四种成像模式（提供四种组织多普勒成像模式的证明图片）</w:t>
      </w:r>
    </w:p>
    <w:p w14:paraId="73C6904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4.8.空间复合成像技术，最高可显示≥7条线</w:t>
      </w:r>
    </w:p>
    <w:p w14:paraId="0194BBF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4.9.扩展成像（凸阵、线阵、心脏探头可用）</w:t>
      </w:r>
    </w:p>
    <w:p w14:paraId="4E0363A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4.10.全域动态聚焦技术，声像图全程动态聚焦技术，全场图像均匀一致，图像上无焦点显示</w:t>
      </w:r>
    </w:p>
    <w:p w14:paraId="2397B33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4.11.声速匹配技术，根据人体组织真实情况，一键实时自动匹配至最佳成像声速，并将具体声速数值在屏幕上显示，提供证明文件。</w:t>
      </w:r>
    </w:p>
    <w:p w14:paraId="3E778D4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4.12 .具备B模式局部感兴趣区域高分辨率显示技术，提高感兴趣区的二维图像分辨率和细节分辨率，支持实时显示高分辨率显示取样框，且高分辨率显示取样框的大小可调节，有利于甲状腺等组织肿块的鉴别诊断。</w:t>
      </w:r>
    </w:p>
    <w:p w14:paraId="689A53F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4.13.立体血流技术</w:t>
      </w:r>
    </w:p>
    <w:p w14:paraId="01AF666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4.14.穿刺针增强技术，凸阵和线阵探头均可支持，具有双屏双实时对比显示，并支持自适应校正角度</w:t>
      </w:r>
    </w:p>
    <w:p w14:paraId="64F2779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4.15 .宽景拼接成像技术（非拓展成像）</w:t>
      </w:r>
    </w:p>
    <w:p w14:paraId="4A2810A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4.16.一键快速优化造影图像、二维图像、彩色图像、彩色取样框位置、频谱图像、频谱取样门大小、取样门位置、偏转角度及造影图像</w:t>
      </w:r>
    </w:p>
    <w:p w14:paraId="5C7950D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4.17. 二维/彩色取样框角度独立偏转技术</w:t>
      </w:r>
    </w:p>
    <w:p w14:paraId="7722310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4.18.可以实现感兴趣区位置和角度的自动优化，提供Color/Power模式下彩色血流/能量图像的实时动态优化4.19.可对肝脏组织的衰减系数进行测量及可视化显示，用于脂肪肝和肝纤维化的量化评估诊断。能够提供客观量化指标，提供证明文件。</w:t>
      </w:r>
    </w:p>
    <w:p w14:paraId="4C90E36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五.成像功能</w:t>
      </w:r>
    </w:p>
    <w:p w14:paraId="364EB96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5.1.弹性成像</w:t>
      </w:r>
    </w:p>
    <w:p w14:paraId="683B6E9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5.1.1.具有压力提示，支持逐帧图像的压力大小查看，具有压力补偿技术</w:t>
      </w:r>
    </w:p>
    <w:p w14:paraId="648C3B1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5.1.2支持应变、应变率和应变直方图的测量，具有肿块周边组织与正常组织、肿块周边组织与肿块内组织弹性分析功能</w:t>
      </w:r>
    </w:p>
    <w:p w14:paraId="2B2737B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5.1.3.定量弹性成像，动态显示二维弹性成像图，支持凸阵探头、线阵探头和腔内双平面探头（一线一凸）,提供证明文件。</w:t>
      </w:r>
    </w:p>
    <w:p w14:paraId="5EF3028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5.1.4.定量弹性成像，具备组织硬度定量分析软件（支持多比值分析、柱状图分析）弹性定量的参数≥3种。提供证明文件。</w:t>
      </w:r>
    </w:p>
    <w:p w14:paraId="29CF6C1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5.1.4. 定量弹性成像成像感兴趣区域2cm*3cm时，帧率≥5帧/秒。</w:t>
      </w:r>
    </w:p>
    <w:p w14:paraId="1D118F2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▲5.1.5.具有病灶周边浸润区的环形定量工具，同时需具有实体的专用的按键调节精准控制，环形的大小分级分档，可视可调</w:t>
      </w:r>
    </w:p>
    <w:p w14:paraId="76D3890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5.1.6. 定量弹性成像具有质控稳定性指数、质控图、质控指数等质控形式，可自动生成定量弹性检查数据报告，报告中包含平均数、中位数、IQR/Median等量化数据，并且提供临床阈值供临床参考，提供证明文件。</w:t>
      </w:r>
    </w:p>
    <w:p w14:paraId="6C7B052C">
      <w:pPr>
        <w:keepNext w:val="0"/>
        <w:keepLines w:val="0"/>
        <w:pageBreakBefore w:val="0"/>
        <w:kinsoku/>
        <w:wordWrap/>
        <w:overflowPunct/>
        <w:topLinePunct w:val="0"/>
        <w:autoSpaceDE/>
        <w:autoSpaceDN/>
        <w:bidi w:val="0"/>
        <w:adjustRightInd/>
        <w:snapToGrid/>
        <w:spacing w:line="440" w:lineRule="exact"/>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▲支持在同一切面下同时进行应变式弹性成像和</w:t>
      </w:r>
      <w:r>
        <w:rPr>
          <w:rFonts w:hint="eastAsia" w:ascii="宋体" w:hAnsi="宋体" w:cs="宋体"/>
          <w:b/>
          <w:bCs/>
          <w:color w:val="auto"/>
          <w:sz w:val="24"/>
          <w:szCs w:val="24"/>
          <w:highlight w:val="none"/>
          <w:lang w:val="en-US" w:eastAsia="zh-CN"/>
        </w:rPr>
        <w:t>剪切波</w:t>
      </w:r>
      <w:r>
        <w:rPr>
          <w:rFonts w:hint="eastAsia" w:ascii="宋体" w:hAnsi="宋体" w:eastAsia="宋体" w:cs="宋体"/>
          <w:b/>
          <w:bCs/>
          <w:color w:val="auto"/>
          <w:sz w:val="24"/>
          <w:szCs w:val="24"/>
          <w:highlight w:val="none"/>
          <w:lang w:val="en-US" w:eastAsia="zh-CN"/>
        </w:rPr>
        <w:t>弹性成像并实时双幅显示。（提供证明文件）</w:t>
      </w:r>
    </w:p>
    <w:p w14:paraId="540BC9D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5.2.造影成像</w:t>
      </w:r>
    </w:p>
    <w:p w14:paraId="290AD09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5.2.1.造影成像功能支持腹部探头、浅表探头</w:t>
      </w:r>
    </w:p>
    <w:p w14:paraId="63701CB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▲5.2.2.支持实时显示组织图像和造影图像，支持造影击碎，支持斑点噪声抑制，具备混合模式，支持造影图像和组织图像位置互换</w:t>
      </w:r>
    </w:p>
    <w:p w14:paraId="35C6B15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5.2.3.支持微血管造影增强功能</w:t>
      </w:r>
    </w:p>
    <w:p w14:paraId="47313C8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5.2.4.支持低机械指数造影</w:t>
      </w:r>
    </w:p>
    <w:p w14:paraId="6032DC5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5.2.5.具有双计时器</w:t>
      </w:r>
    </w:p>
    <w:p w14:paraId="1B536F4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5.2.6.支持向后存储≥8分钟电影</w:t>
      </w:r>
    </w:p>
    <w:p w14:paraId="43366C1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5.2.7.造影定量分析功能，支持时间强度分析曲线，以表格的形式显示数据，取样点可跟踪感兴趣区运动，≥8个ROI</w:t>
      </w:r>
    </w:p>
    <w:p w14:paraId="58C3D88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▲5.2.8.造影成像帧率：凸阵探头10cm深度，扫描角度45°，帧率可达30帧/秒及以上，线阵探头4cm深度，帧率可50帧/秒及以上（提供证明文件）。</w:t>
      </w:r>
    </w:p>
    <w:p w14:paraId="238F3A8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▲5.2.9.具备造影时序分析功能，使用不同颜色标记造影剂到达时间，观察并比较病灶及组织的造影剂灌注特点，可对色彩和时间进行设置（提供证明文件）。</w:t>
      </w:r>
    </w:p>
    <w:p w14:paraId="5369C9F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六.测量分析和报告</w:t>
      </w:r>
    </w:p>
    <w:p w14:paraId="17E98B9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6.1.全科测量包，自动生成报告： 腹部、妇科、产科、心脏、泌尿、小器官、儿科、血管、神经、急诊科</w:t>
      </w:r>
    </w:p>
    <w:p w14:paraId="053CF70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▲6.2 .支持肝肾比测量，基于B图像自动计算肾皮质和肝脏的灰阶比值进行肝脂肪变性评估，一键式肝肾皮质识别，实现快速简便的肝脂肪变性评估，肝脂肪变性的定量评估提供比传统定性评估更准确的定量分析</w:t>
      </w:r>
    </w:p>
    <w:p w14:paraId="0232E67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6.3 .血管内中膜自动测量技术，测量数据至少包括最大值、最小值、平均值、标准差、ROI长度、测量长度及质量指标，具有IMT分析评估曲线。</w:t>
      </w:r>
    </w:p>
    <w:p w14:paraId="67D93EE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6.4.血管内中膜自动实时测量功能，无需冻结图像，即可实时自动获取及更新≥6组IMT内膜厚度值，测量精度最小可达20um。</w:t>
      </w:r>
    </w:p>
    <w:p w14:paraId="04EEBC0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6.5.全自动左心射血分数的测量，不需要连接心电图，并具有专门按键，对冻结的心脏图像，一次按键，机器自动识别左心室的舒张末期和收缩末期，并且以左右双幅图像显示，自动得出EF、SV等测量数值</w:t>
      </w:r>
    </w:p>
    <w:p w14:paraId="1BA448D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6.6.小儿髋关节自动测量功能，超声主机可自动识别组织结构，自动计算α角,β角，自动进行临床分型</w:t>
      </w:r>
    </w:p>
    <w:p w14:paraId="44538EF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6.7.自动工作流协议（非预设条件），检查过程中可根据定义的协议自动切换图像模式，自动标记体标示意图，自动注释等，节省操作时间。操作协议可用户自定义，并可支持导出协议到其他机器上使用，有利于规范化管理。</w:t>
      </w:r>
    </w:p>
    <w:p w14:paraId="5EBA335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七 .电影回放、原始数据处理和检查存储管理系统</w:t>
      </w:r>
    </w:p>
    <w:p w14:paraId="0E331D1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7.1.电影回放所有模式下可用，支持手动、自动回放，支持4D 电影回放</w:t>
      </w:r>
    </w:p>
    <w:p w14:paraId="3E3F83A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7.2.原始数据处理，最大可进行≥32项参数调节（包括B模式10种、M型模式6种、彩色模式7种、PW模式9种等）</w:t>
      </w:r>
    </w:p>
    <w:p w14:paraId="69E891B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7.3.内置双硬盘设计（非外接，包括固态硬盘≥120GB和机械硬盘≥1TB），两个硬盘独立运行，（提供证明文件）。</w:t>
      </w:r>
    </w:p>
    <w:p w14:paraId="631027B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八.系统技术参数及要求</w:t>
      </w:r>
    </w:p>
    <w:p w14:paraId="2F217C4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8.1..二维灰阶模式</w:t>
      </w:r>
    </w:p>
    <w:p w14:paraId="1B09E3E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8.1.1.最大显示深度:≥38cm</w:t>
      </w:r>
    </w:p>
    <w:p w14:paraId="0D5F30D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8.1.2 .TGC: ≥8段</w:t>
      </w:r>
    </w:p>
    <w:p w14:paraId="76F2FED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8.1.3. LGC: ≥8段</w:t>
      </w:r>
    </w:p>
    <w:p w14:paraId="42779FD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8.1.4. 腔内探头扫描角度:≥200度</w:t>
      </w:r>
    </w:p>
    <w:p w14:paraId="2CEB096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8.2.彩色多普勒成像</w:t>
      </w:r>
    </w:p>
    <w:p w14:paraId="224F2FF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8.2.1. 包括速度、速度方差、能量、方向能量显示等</w:t>
      </w:r>
    </w:p>
    <w:p w14:paraId="5C75FAA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8.2.2. 取样框偏转: ≥±30度（线阵探头）</w:t>
      </w:r>
    </w:p>
    <w:p w14:paraId="4E69798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8.2.3. 支持B/C 同宽</w:t>
      </w:r>
    </w:p>
    <w:p w14:paraId="557D873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8.3. 频谱多普勒模式</w:t>
      </w:r>
    </w:p>
    <w:p w14:paraId="0845CC5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8.3.1 .最大速度: ≥8.60m/s（连续多普勒速度: ≥35m/s）</w:t>
      </w:r>
    </w:p>
    <w:p w14:paraId="2F07810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8.3.2 .最小速度: ≤1 mm /s（非噪声信号）</w:t>
      </w:r>
    </w:p>
    <w:p w14:paraId="720B6D3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8.3.3. 取样容积: 0.5-30mm ，支持所有探头（提供0.5mm和30mm取样框的证明图片）</w:t>
      </w:r>
    </w:p>
    <w:p w14:paraId="64F276F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8.3.4. 偏转角度: ≥±30度 （线阵探头）</w:t>
      </w:r>
    </w:p>
    <w:p w14:paraId="3FD983B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九. 连通性要求</w:t>
      </w:r>
    </w:p>
    <w:p w14:paraId="471D3FA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9.1.支持网络连接</w:t>
      </w:r>
    </w:p>
    <w:p w14:paraId="3C1FA57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9.2.具有远程图像通讯功能，超声机器内同时具有手机扫二维码和输入账号密码两种登录功能，可进行将静态和动态图像发送到指定的个体账户和群账户，手机和电脑等终端随时随地可以查看，并可以在手机和电脑端进行添加备注</w:t>
      </w:r>
    </w:p>
    <w:p w14:paraId="2BCEC93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 探头规格</w:t>
      </w:r>
    </w:p>
    <w:p w14:paraId="2D63978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10.1.探头配置（4把）：单晶体凸阵探头、线阵探头、单晶体相控阵探头、腔内探头各1把</w:t>
      </w:r>
    </w:p>
    <w:p w14:paraId="1C364B7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10.2. 探头频率:</w:t>
      </w:r>
    </w:p>
    <w:p w14:paraId="236DFE0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单晶体凸阵探头频率：约1.2-6.0 MHz</w:t>
      </w:r>
    </w:p>
    <w:p w14:paraId="49EFF15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线阵探头频率：约4.0-15.0 MHz</w:t>
      </w:r>
    </w:p>
    <w:p w14:paraId="143FF2E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单晶体相控阵探头：约1.5-4.5MHZ</w:t>
      </w:r>
    </w:p>
    <w:p w14:paraId="70B63D8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·腔内探头：约3.0-11.0MHZ</w:t>
      </w:r>
    </w:p>
    <w:p w14:paraId="75999BF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十一. 外设和附件及其他要求</w:t>
      </w:r>
    </w:p>
    <w:p w14:paraId="790C4A2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11.1.耦合剂加热器，支持实体按键开关，温度多级可调</w:t>
      </w:r>
    </w:p>
    <w:p w14:paraId="419BE5D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11.2.中标后，中标人同意提供样机校验以上所有性能和参数，校验内容包括标配和选配功能，如虚假应标或者与实际不一致，取消中标资格，且承担相应的责任</w:t>
      </w:r>
    </w:p>
    <w:p w14:paraId="284E126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11.3配备工作站一套，包含电脑1套、打印机1台、桌椅1套、医生转椅1把，检查床1张。</w:t>
      </w:r>
    </w:p>
    <w:p w14:paraId="4DBCC8DE">
      <w:pP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p>
    <w:p w14:paraId="1C777904">
      <w:pPr>
        <w:keepNext w:val="0"/>
        <w:keepLines w:val="0"/>
        <w:pageBreakBefore w:val="0"/>
        <w:numPr>
          <w:ilvl w:val="0"/>
          <w:numId w:val="0"/>
        </w:numPr>
        <w:kinsoku/>
        <w:wordWrap/>
        <w:overflowPunct/>
        <w:topLinePunct w:val="0"/>
        <w:autoSpaceDE/>
        <w:autoSpaceDN/>
        <w:bidi w:val="0"/>
        <w:adjustRightInd/>
        <w:snapToGrid/>
        <w:spacing w:line="440" w:lineRule="exact"/>
        <w:jc w:val="center"/>
        <w:outlineLvl w:val="1"/>
        <w:rPr>
          <w:rFonts w:hint="eastAsia" w:ascii="宋体" w:hAnsi="宋体" w:eastAsia="宋体" w:cs="宋体"/>
          <w:b/>
          <w:bCs/>
          <w:sz w:val="24"/>
          <w:szCs w:val="24"/>
          <w:highlight w:val="none"/>
          <w:lang w:val="en-US" w:eastAsia="zh-CN"/>
        </w:rPr>
      </w:pPr>
      <w:bookmarkStart w:id="80" w:name="_Toc26615"/>
      <w:r>
        <w:rPr>
          <w:rFonts w:hint="eastAsia" w:ascii="宋体" w:hAnsi="宋体" w:eastAsia="宋体" w:cs="宋体"/>
          <w:b/>
          <w:bCs/>
          <w:sz w:val="24"/>
          <w:szCs w:val="24"/>
          <w:highlight w:val="none"/>
          <w:lang w:val="en-US" w:eastAsia="zh-CN"/>
        </w:rPr>
        <w:t>4、血管内超声</w:t>
      </w:r>
      <w:bookmarkEnd w:id="80"/>
    </w:p>
    <w:p w14:paraId="1D0B9A2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支持 ≥60MHz频率的机械旋转式超声诊断导管</w:t>
      </w:r>
    </w:p>
    <w:p w14:paraId="2A44135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具备冠脉血流储备分数功能或OCT功能；</w:t>
      </w:r>
    </w:p>
    <w:p w14:paraId="38B737E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 用于冠状动脉血管内超声成像检查和冠脉血流储备分数检测，或用于冠 状动脉血管内超声成像检查和OCT功能；</w:t>
      </w:r>
    </w:p>
    <w:p w14:paraId="04566A7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 移动推车式</w:t>
      </w:r>
    </w:p>
    <w:p w14:paraId="00E1D61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 内置高速机械存储硬盘≥1T</w:t>
      </w:r>
    </w:p>
    <w:p w14:paraId="5810A7E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  ≥19英寸、≥1280*1024 显示器</w:t>
      </w:r>
    </w:p>
    <w:p w14:paraId="2EC579C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  可通过鼠标滚轮在不同的Frame之间切换</w:t>
      </w:r>
    </w:p>
    <w:p w14:paraId="6BDF690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 配备 热敏黑白打印机</w:t>
      </w:r>
    </w:p>
    <w:p w14:paraId="467CDAE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 驱动马达兼具自动回撤和手动回撤功能，可显示回撤距离。 自动回撤速度≥10mm/s；</w:t>
      </w:r>
    </w:p>
    <w:p w14:paraId="26858A5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   回撤马达与滑板采用一体化设计</w:t>
      </w:r>
    </w:p>
    <w:p w14:paraId="5C50822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 轴向分辨率≤22微米</w:t>
      </w:r>
    </w:p>
    <w:p w14:paraId="1CA911E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 回撤速度≥5档可调</w:t>
      </w:r>
    </w:p>
    <w:p w14:paraId="592B481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▲13 回撤距离≥150mm</w:t>
      </w:r>
    </w:p>
    <w:p w14:paraId="5888272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▲14 自动回撤最大帧频≥100帧/秒</w:t>
      </w:r>
    </w:p>
    <w:p w14:paraId="6339363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 自动回撤及手动回撤采集数≥ 7800 帧图像</w:t>
      </w:r>
    </w:p>
    <w:p w14:paraId="5C20E89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 支持DICOM3.0及 Windows 兼容的AVI视频数据等多种格式的动态数据及PNG等多种格式的静态数据导出</w:t>
      </w:r>
    </w:p>
    <w:p w14:paraId="14A9C7F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 与院方 HIS 系统及 PACS 系统实现互联互通（中标方承担相应的接口费用）。</w:t>
      </w:r>
    </w:p>
    <w:p w14:paraId="5344F41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   可通过计算机图像分析功能自动检测和识别截面管腔和血管边界</w:t>
      </w:r>
    </w:p>
    <w:p w14:paraId="649BED6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 具有图像动态回顾功能，反复播放当前位置前后一定帧数范围的图像，组成动态影像，以清晰确定 血管腔及血流边界。</w:t>
      </w:r>
    </w:p>
    <w:p w14:paraId="1208E59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 具有双图功能：主显示屏上同时显示 同一回撤不同帧的两幅截面图像。通过双图，可以查看血管的多个部分，并比较远端和近端图像及病变</w:t>
      </w:r>
    </w:p>
    <w:p w14:paraId="7B430C4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 具备书签添加功能 。</w:t>
      </w:r>
    </w:p>
    <w:p w14:paraId="5C31530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  可自动测量书签间距离、当前位置到各书签的距离或者当前位置到参考位置的距离</w:t>
      </w:r>
    </w:p>
    <w:p w14:paraId="0C4E982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23 具备图像降噪选择模式 </w:t>
      </w:r>
    </w:p>
    <w:p w14:paraId="79E5D8D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24  长轴图像下显示距离标尺 </w:t>
      </w:r>
    </w:p>
    <w:p w14:paraId="405CE59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▲25 具有宽带技术的机械旋转式超声导管，支持匹配≥60MHz频率的机械旋转式超声诊断导管</w:t>
      </w:r>
    </w:p>
    <w:p w14:paraId="29C1D3C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▲26支持匹配频率≥20MHz的外周血管内超声导管或OCT导管</w:t>
      </w:r>
    </w:p>
    <w:p w14:paraId="3E6F0D4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27 超声导管长度≥110cm</w:t>
      </w:r>
    </w:p>
    <w:p w14:paraId="211EC5C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28  配 0.014 导丝 ，可兼容6F指引导管</w:t>
      </w:r>
    </w:p>
    <w:p w14:paraId="5239E51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29 导管具有亲水涂层</w:t>
      </w:r>
    </w:p>
    <w:p w14:paraId="5638B29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 可兼容快速交换压力微导管或压力导丝；</w:t>
      </w:r>
    </w:p>
    <w:p w14:paraId="235BA61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▲31  压力微导管距离头端（远端）≤2.5mm或OCT导管</w:t>
      </w:r>
    </w:p>
    <w:p w14:paraId="00E7A4A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★32配套耗材(冠脉血管内超声诊断导管) 提供注册证；随设备提供3套耗材。</w:t>
      </w:r>
    </w:p>
    <w:p w14:paraId="1BE394E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33 配压力信号发送和接受器，将压力转换为数字和模拟信号  </w:t>
      </w:r>
    </w:p>
    <w:p w14:paraId="64F0FA6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34具备无线或有线模块，将压力信号发送和接受器与主机系统相连接     </w:t>
      </w:r>
    </w:p>
    <w:p w14:paraId="3632DC7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p>
    <w:p w14:paraId="4E0D1EAD">
      <w:pPr>
        <w:keepNext w:val="0"/>
        <w:keepLines w:val="0"/>
        <w:pageBreakBefore w:val="0"/>
        <w:numPr>
          <w:ilvl w:val="0"/>
          <w:numId w:val="59"/>
        </w:numPr>
        <w:kinsoku/>
        <w:wordWrap/>
        <w:overflowPunct/>
        <w:topLinePunct w:val="0"/>
        <w:autoSpaceDE/>
        <w:autoSpaceDN/>
        <w:bidi w:val="0"/>
        <w:adjustRightInd/>
        <w:snapToGrid/>
        <w:spacing w:line="440" w:lineRule="exact"/>
        <w:jc w:val="center"/>
        <w:outlineLvl w:val="1"/>
        <w:rPr>
          <w:rFonts w:hint="eastAsia" w:ascii="宋体" w:hAnsi="宋体" w:eastAsia="宋体" w:cs="宋体"/>
          <w:b/>
          <w:bCs/>
          <w:sz w:val="24"/>
          <w:szCs w:val="24"/>
          <w:highlight w:val="none"/>
          <w:lang w:val="en-US" w:eastAsia="zh-CN"/>
        </w:rPr>
      </w:pPr>
      <w:bookmarkStart w:id="81" w:name="_Toc896"/>
      <w:r>
        <w:rPr>
          <w:rFonts w:hint="eastAsia" w:ascii="宋体" w:hAnsi="宋体" w:eastAsia="宋体" w:cs="宋体"/>
          <w:b/>
          <w:bCs/>
          <w:sz w:val="24"/>
          <w:szCs w:val="24"/>
          <w:highlight w:val="none"/>
          <w:lang w:val="en-US" w:eastAsia="zh-CN"/>
        </w:rPr>
        <w:t>床旁彩超</w:t>
      </w:r>
      <w:bookmarkEnd w:id="81"/>
    </w:p>
    <w:p w14:paraId="2CD498DE">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 名称：全数字化便携彩色多普勒超声诊断系统</w:t>
      </w:r>
    </w:p>
    <w:p w14:paraId="491D1D0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二、 用途 ：用于腹部、妇科、产科、心脏、小器官与浅表组织、血管、颅脑, 泌尿、介入性超声、儿科、急诊、麻醉、等。 </w:t>
      </w:r>
    </w:p>
    <w:p w14:paraId="3A44E27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三、系统技术要求：</w:t>
      </w:r>
    </w:p>
    <w:p w14:paraId="51B2958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1.系统通用功能</w:t>
      </w:r>
    </w:p>
    <w:p w14:paraId="6B5865F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▲1.1、≥15 寸 彩色显示屏，可根据环境光变化自动调节亮度</w:t>
      </w:r>
    </w:p>
    <w:p w14:paraId="4C6ED66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1.2探头接口1个，可扩展到3个</w:t>
      </w:r>
    </w:p>
    <w:p w14:paraId="5497E0A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1.4支持用户自定义按键数量≥4个，同一个自定义键支持≥4个功能</w:t>
      </w:r>
    </w:p>
    <w:p w14:paraId="3D395CB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1.5支持英语，中文 等语种（包括键盘输入、注释、操作面板等）</w:t>
      </w:r>
    </w:p>
    <w:p w14:paraId="243B6D4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2.二维灰阶模式</w:t>
      </w:r>
    </w:p>
    <w:p w14:paraId="64973CF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2.1组织谐波成像模式</w:t>
      </w:r>
    </w:p>
    <w:p w14:paraId="5A89CE1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2.2组织特异性成像</w:t>
      </w:r>
    </w:p>
    <w:p w14:paraId="195A973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▲2.3多角度空间复合成像技术，支持≥6条偏转线，多级可调，支持线阵和凸阵探头</w:t>
      </w:r>
    </w:p>
    <w:p w14:paraId="2CE832C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2.4频率复合成像</w:t>
      </w:r>
    </w:p>
    <w:p w14:paraId="0AD11AC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2.5斑点噪声抑制成像</w:t>
      </w:r>
    </w:p>
    <w:p w14:paraId="2200CEE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2.6回波增强技术</w:t>
      </w:r>
    </w:p>
    <w:p w14:paraId="220D24D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3.M型成像模式</w:t>
      </w:r>
    </w:p>
    <w:p w14:paraId="1BF0A95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3.1彩色M型</w:t>
      </w:r>
    </w:p>
    <w:p w14:paraId="04E082B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▲3.2解剖M型，取样线≥3条，可360度任意旋转，支持实时扫描以及离线重构M型图像</w:t>
      </w:r>
    </w:p>
    <w:p w14:paraId="52606F5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4.彩色多普勒成像（包括彩色、能量、方向能量多普勒模式）</w:t>
      </w:r>
    </w:p>
    <w:p w14:paraId="67B3BCF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4.1超宽动态血流技术</w:t>
      </w:r>
    </w:p>
    <w:p w14:paraId="2DEABF8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4.2高分辨率血流成像</w:t>
      </w:r>
    </w:p>
    <w:p w14:paraId="4E25023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4.3双实时同屏对比显示</w:t>
      </w:r>
    </w:p>
    <w:p w14:paraId="5711687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4.4自动调节取样框的角度及位置</w:t>
      </w:r>
    </w:p>
    <w:p w14:paraId="6DA79B0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5.频谱多普勒成像</w:t>
      </w:r>
    </w:p>
    <w:p w14:paraId="44C8809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5.1脉冲多普勒、高脉冲重复频率</w:t>
      </w:r>
    </w:p>
    <w:p w14:paraId="16BBBF0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5.2连续多普勒</w:t>
      </w:r>
    </w:p>
    <w:p w14:paraId="74AE099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5.3智能多普勒自动优化频谱多普勒取样线角度、 快速矫正取样角度</w:t>
      </w:r>
    </w:p>
    <w:p w14:paraId="5245002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6.组织多普勒成像及定量分析单元</w:t>
      </w:r>
    </w:p>
    <w:p w14:paraId="7A6712A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6.1支持TVI、TVD、TVM、TEI四种模式</w:t>
      </w:r>
    </w:p>
    <w:p w14:paraId="2DF8F36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6.2专用的TDI速度、应变、应变率定量分析工具</w:t>
      </w:r>
    </w:p>
    <w:p w14:paraId="36FB863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7.组织追踪定量分析单元</w:t>
      </w:r>
    </w:p>
    <w:p w14:paraId="289AB5B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7.1自动追踪心肌运动</w:t>
      </w:r>
    </w:p>
    <w:p w14:paraId="6BE9AA1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7.2可分析≥6个心脏切面，提供速度、位移和应变率等测量参数</w:t>
      </w:r>
    </w:p>
    <w:p w14:paraId="78AD73A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7.3参数分析结果用牛眼图显示</w:t>
      </w:r>
    </w:p>
    <w:p w14:paraId="1A50649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▲8.造影成像及定量分析单元</w:t>
      </w:r>
    </w:p>
    <w:p w14:paraId="3C5E6CA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8.1用于腹部、浅表和微血管造影</w:t>
      </w:r>
    </w:p>
    <w:p w14:paraId="41EE53A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8.2左室造影和心肌造影</w:t>
      </w:r>
    </w:p>
    <w:p w14:paraId="0C82077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8.3支持时间强度分析曲线和运动追踪</w:t>
      </w:r>
    </w:p>
    <w:p w14:paraId="4672B3A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9.弹性成像及定量分析单元</w:t>
      </w:r>
    </w:p>
    <w:p w14:paraId="38349C8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9.1组织硬度定量分析软件和压力曲线提示图标</w:t>
      </w:r>
    </w:p>
    <w:p w14:paraId="64F61A3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▲9.2支持应变率测量和肿块周边组织弹性定量分析</w:t>
      </w:r>
    </w:p>
    <w:p w14:paraId="3F4E481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10.一键自动优化（包括应用于二维、彩色、频谱模式、造影）</w:t>
      </w:r>
    </w:p>
    <w:p w14:paraId="4A858C1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11.图像放大技术</w:t>
      </w:r>
    </w:p>
    <w:p w14:paraId="5EAA857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11.1一键实现全屏放大</w:t>
      </w:r>
    </w:p>
    <w:p w14:paraId="674F2B3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11.2 10倍局部放大（支持前端、后端放大）</w:t>
      </w:r>
    </w:p>
    <w:p w14:paraId="31A9A41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12.自动工作流协议</w:t>
      </w:r>
    </w:p>
    <w:p w14:paraId="3223E9A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12.1可自定义检查规范 </w:t>
      </w:r>
    </w:p>
    <w:p w14:paraId="5892630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12.2自动打开彩色、频谱成像模式，自动添加体位图和注释  </w:t>
      </w:r>
    </w:p>
    <w:p w14:paraId="41EF6EE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▲13.穿刺针增强技术</w:t>
      </w:r>
    </w:p>
    <w:p w14:paraId="292BFFD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13.1双屏实时对比显示增强前后效果</w:t>
      </w:r>
    </w:p>
    <w:p w14:paraId="293677D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13.2增强平面角度可调，步进10°</w:t>
      </w:r>
    </w:p>
    <w:p w14:paraId="38967C2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14.超声教学助手，能提供标准超声声像图、解剖示意图、手法图及扫查技巧提示等，并支持以上帮助信息区域的单窗口放大功能。</w:t>
      </w:r>
    </w:p>
    <w:p w14:paraId="0248D2B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 测量分析和报告</w:t>
      </w:r>
    </w:p>
    <w:p w14:paraId="0301E59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15.常规测量，支持距离、椭圆、描迹测、体积、斜率等</w:t>
      </w:r>
    </w:p>
    <w:p w14:paraId="1B2FA50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16.多普勒测量（自动或手动包络测量，自动计算测量参数）</w:t>
      </w:r>
    </w:p>
    <w:p w14:paraId="5BF7161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17.心脏功能专用测量及分析，包括Simpson BP，Tei指数分析，PISA等</w:t>
      </w:r>
    </w:p>
    <w:p w14:paraId="77F3757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18.血管内中膜自动测量，可同时进行血管前、后壁的内中膜一段距离的自动描记、自动生成测量数据结果</w:t>
      </w:r>
    </w:p>
    <w:p w14:paraId="5C558FF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五、电影回放及原始数据处理</w:t>
      </w:r>
    </w:p>
    <w:p w14:paraId="14F3B13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19.电影回放</w:t>
      </w:r>
    </w:p>
    <w:p w14:paraId="18B5A3C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20.所有模式下支持手动、自动回放</w:t>
      </w:r>
    </w:p>
    <w:p w14:paraId="2C6D5D0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21.支持向后存储和向前存储，时间长度可预置，向后存储≥5分钟的电影</w:t>
      </w:r>
    </w:p>
    <w:p w14:paraId="6E2D3B3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22.支持保存后的图像同屏对比分析（动态、静态）</w:t>
      </w:r>
    </w:p>
    <w:p w14:paraId="60B86F1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23.原始数据处理，可对回放图像进行≥20个参数调节</w:t>
      </w:r>
    </w:p>
    <w:p w14:paraId="53B1B47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六、检查存储和管理</w:t>
      </w:r>
    </w:p>
    <w:p w14:paraId="235658D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 ≥240G固态硬盘</w:t>
      </w:r>
    </w:p>
    <w:p w14:paraId="2A8975A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▲25.内置超声工作站，支持同步存储， 前台可以完成实时扫描 </w:t>
      </w:r>
    </w:p>
    <w:p w14:paraId="0BE36996">
      <w:pPr>
        <w:keepNext w:val="0"/>
        <w:keepLines w:val="0"/>
        <w:pageBreakBefore w:val="0"/>
        <w:numPr>
          <w:ilvl w:val="0"/>
          <w:numId w:val="60"/>
        </w:numPr>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支持 一键存储至硬盘或U盘， </w:t>
      </w:r>
    </w:p>
    <w:p w14:paraId="166AFD54">
      <w:pPr>
        <w:keepNext w:val="0"/>
        <w:keepLines w:val="0"/>
        <w:pageBreakBefore w:val="0"/>
        <w:numPr>
          <w:ilvl w:val="0"/>
          <w:numId w:val="60"/>
        </w:numPr>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动态图像、静态图像以PC等格式直接导出（支持单帧图像文件包含： DCM、TIFF、BMP、JPG单帧等，电影文件包括：CIN、AVI、DCM等），无需 软件即能在普通PC 机上直接观看图像。</w:t>
      </w:r>
    </w:p>
    <w:p w14:paraId="676FE7D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七、 技术参数及要求</w:t>
      </w:r>
    </w:p>
    <w:p w14:paraId="143B987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28.二维灰阶模式</w:t>
      </w:r>
    </w:p>
    <w:p w14:paraId="23C28EA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29.焦点：≥4个，动态可调</w:t>
      </w:r>
    </w:p>
    <w:p w14:paraId="0767AB0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30.扫描频率： </w:t>
      </w:r>
    </w:p>
    <w:p w14:paraId="774C999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30.1电子凸阵：超声频率约 1.3-6.0MHz，支持扩展成像；</w:t>
      </w:r>
    </w:p>
    <w:p w14:paraId="01D6773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30.2电子相控阵：超声频率1.5-5.0MHz，扫描角度≥90°；</w:t>
      </w:r>
    </w:p>
    <w:p w14:paraId="13FF70E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30.3电子线阵：超声频率约3.0-13MHz，支持扩展成像；</w:t>
      </w:r>
    </w:p>
    <w:p w14:paraId="5F0F191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31.最大显示深度:≥39cm</w:t>
      </w:r>
    </w:p>
    <w:p w14:paraId="43F3128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32.TGC: ≥8段，LGC: ≥4段</w:t>
      </w:r>
    </w:p>
    <w:p w14:paraId="4477CDB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33.动态范围: ≥190dB，可视可调</w:t>
      </w:r>
    </w:p>
    <w:p w14:paraId="55E4B0D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34.增益调节: B/M/D分别独立可调 35.伪彩图谱: ≥8种</w:t>
      </w:r>
    </w:p>
    <w:p w14:paraId="3A1EDA0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36.扫描帧率：相控阵探头18cm深，全视野二维帧频≥50帧/秒；凸阵探头18cm深，全视野二维帧频≥40帧/秒</w:t>
      </w:r>
    </w:p>
    <w:p w14:paraId="0984BB9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37.彩色多普勒成像</w:t>
      </w:r>
    </w:p>
    <w:p w14:paraId="50CD902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38.包括速度、速度方差、能量、方向能量显示等</w:t>
      </w:r>
    </w:p>
    <w:p w14:paraId="15516AF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39.显示方式：B/C、B/C/M、B/POWER、B/C/PW</w:t>
      </w:r>
    </w:p>
    <w:p w14:paraId="5B7B46C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40.取样框偏转: ≥±30度 (线阵探头)</w:t>
      </w:r>
    </w:p>
    <w:p w14:paraId="2936F64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41.扫描帧率：相控阵探头18cm深，高线密度全视野彩色帧频≥4帧/秒；凸阵探头18cm深，高线密度全视野彩色帧频≥6帧/秒</w:t>
      </w:r>
    </w:p>
    <w:p w14:paraId="48206E7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42.支持B/C 同宽</w:t>
      </w:r>
    </w:p>
    <w:p w14:paraId="14351E2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43.频谱多普勒模式</w:t>
      </w:r>
    </w:p>
    <w:p w14:paraId="63CD430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44.显示控制：反转、零移位、B刷新、D扩展、B/D扩展等</w:t>
      </w:r>
    </w:p>
    <w:p w14:paraId="72D178B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45.PW最大速度: ≥9 m/s</w:t>
      </w:r>
    </w:p>
    <w:p w14:paraId="2A98437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46.最小速度: ≤5mm/s</w:t>
      </w:r>
    </w:p>
    <w:p w14:paraId="7E128DF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47.取样容积: 0.5-20mm </w:t>
      </w:r>
    </w:p>
    <w:p w14:paraId="0933A1A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48.偏转角度: ≥±30度 (线阵探头)</w:t>
      </w:r>
    </w:p>
    <w:p w14:paraId="44078FB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49.零位移动：≥8 级</w:t>
      </w:r>
    </w:p>
    <w:p w14:paraId="537BCCD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50.快速角度校正</w:t>
      </w:r>
    </w:p>
    <w:p w14:paraId="12F5FC0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八、探头配置：腹部探头1把，浅表探头1把，心脏探头1把</w:t>
      </w:r>
    </w:p>
    <w:p w14:paraId="1BD89F0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九、连通性</w:t>
      </w:r>
    </w:p>
    <w:p w14:paraId="7066779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51.参考信号:心电，呼吸波，心电触发</w:t>
      </w:r>
    </w:p>
    <w:p w14:paraId="2F06320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52.数据接口:HDMI、USB3.0接口、音频接口</w:t>
      </w:r>
    </w:p>
    <w:p w14:paraId="656F834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53.支持数据无线传输</w:t>
      </w:r>
    </w:p>
    <w:p w14:paraId="1FC3836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54.支持DICOM3.0系统 </w:t>
      </w:r>
    </w:p>
    <w:p w14:paraId="760AF62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55.外设数据模块：包含S---视频、VGA视频接口、高清音视频接口</w:t>
      </w:r>
    </w:p>
    <w:p w14:paraId="25142B0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56.专用台车：可升降、防盗锁模块</w:t>
      </w:r>
    </w:p>
    <w:p w14:paraId="3AFDC23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57.具备可装卸探头扩展槽</w:t>
      </w:r>
    </w:p>
    <w:p w14:paraId="5A84F2A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58.专用旅行箱，可装载主机、探头及相关备件</w:t>
      </w:r>
    </w:p>
    <w:p w14:paraId="436C70A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59、连接医院信息系统，中标方承担相应的接口费用</w:t>
      </w:r>
    </w:p>
    <w:p w14:paraId="0652823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p>
    <w:p w14:paraId="38FED68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4ADD141E">
      <w:pPr>
        <w:keepNext w:val="0"/>
        <w:keepLines w:val="0"/>
        <w:pageBreakBefore w:val="0"/>
        <w:numPr>
          <w:ilvl w:val="0"/>
          <w:numId w:val="0"/>
        </w:numPr>
        <w:kinsoku/>
        <w:wordWrap/>
        <w:overflowPunct/>
        <w:topLinePunct w:val="0"/>
        <w:autoSpaceDE/>
        <w:autoSpaceDN/>
        <w:bidi w:val="0"/>
        <w:adjustRightInd/>
        <w:snapToGrid/>
        <w:spacing w:line="440" w:lineRule="exact"/>
        <w:jc w:val="center"/>
        <w:outlineLvl w:val="1"/>
        <w:rPr>
          <w:rFonts w:hint="eastAsia" w:ascii="宋体" w:hAnsi="宋体" w:eastAsia="宋体" w:cs="宋体"/>
          <w:sz w:val="24"/>
          <w:szCs w:val="24"/>
          <w:highlight w:val="none"/>
          <w:lang w:val="en-US" w:eastAsia="zh-CN"/>
        </w:rPr>
      </w:pPr>
      <w:bookmarkStart w:id="82" w:name="_Toc13829"/>
      <w:r>
        <w:rPr>
          <w:rFonts w:hint="eastAsia" w:ascii="宋体" w:hAnsi="宋体" w:eastAsia="宋体" w:cs="宋体"/>
          <w:b/>
          <w:bCs/>
          <w:sz w:val="24"/>
          <w:szCs w:val="24"/>
          <w:highlight w:val="none"/>
          <w:lang w:val="en-US" w:eastAsia="zh-CN"/>
        </w:rPr>
        <w:t>6、高端彩超（心血管彩色多普勒超声波诊断仪）（1台）</w:t>
      </w:r>
      <w:bookmarkEnd w:id="82"/>
    </w:p>
    <w:p w14:paraId="4EC5E8E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一 设备名称：心血管彩色多普勒超声波诊断仪</w:t>
      </w:r>
    </w:p>
    <w:p w14:paraId="05C2AA0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 用途：用于成人心脏、小儿心脏、腹部、泌尿、血管、小器官、 骨骼肌肉、术中，造影、介入等方面的临床诊断和科研教学工作，具备持续升级能力，所投型号最高端心血管专用机型和最新软件版本。</w:t>
      </w:r>
    </w:p>
    <w:p w14:paraId="7869072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三、技术要求：</w:t>
      </w:r>
    </w:p>
    <w:p w14:paraId="4EF5B4A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主机系统性能概括:</w:t>
      </w:r>
    </w:p>
    <w:p w14:paraId="148A48E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 显示器及操作系统:</w:t>
      </w:r>
    </w:p>
    <w:p w14:paraId="2CEF5D3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1）彩色液晶监视器， ≥23 英寸。</w:t>
      </w:r>
    </w:p>
    <w:p w14:paraId="5A4AC52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彩色触摸屏≥12 英寸，可滑屏操作。</w:t>
      </w:r>
    </w:p>
    <w:p w14:paraId="08D1DA0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 探头接口≥4 个全激活、可互换。</w:t>
      </w:r>
    </w:p>
    <w:p w14:paraId="23F521B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 主机系统:</w:t>
      </w:r>
    </w:p>
    <w:p w14:paraId="4AAF4D1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全数字化多波束形成器。</w:t>
      </w:r>
    </w:p>
    <w:p w14:paraId="7E3B288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全数字化通道。</w:t>
      </w:r>
    </w:p>
    <w:p w14:paraId="7AD98FD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系统主机≥900GB 硬盘。</w:t>
      </w:r>
    </w:p>
    <w:p w14:paraId="3F19340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 内置 DICOM 标准输出接口。</w:t>
      </w:r>
    </w:p>
    <w:p w14:paraId="423DC2B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 高清放大技术。</w:t>
      </w:r>
    </w:p>
    <w:p w14:paraId="0983FC1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 二维灰阶成像单元:</w:t>
      </w:r>
    </w:p>
    <w:p w14:paraId="19709F9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纯净波或单晶体或矩阵或透镜探头技术。</w:t>
      </w:r>
    </w:p>
    <w:p w14:paraId="41607D9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自适应核磁像素优化技术，支持 所有成像探头，可分级调节≥5 级。</w:t>
      </w:r>
    </w:p>
    <w:p w14:paraId="69C5D6B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空间复合成像技术，同时作用于发射和接收，可达≥7 线偏转。</w:t>
      </w:r>
    </w:p>
    <w:p w14:paraId="07EB4E3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 具备扩展成像技术。</w:t>
      </w:r>
    </w:p>
    <w:p w14:paraId="01D4CC5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 一键优化功能。</w:t>
      </w:r>
    </w:p>
    <w:p w14:paraId="7C56DD5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 具备实时宽景成像技术，可前进和后退。</w:t>
      </w:r>
    </w:p>
    <w:p w14:paraId="636CE7D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 具备对比双幅显示，可自动识别收缩期及舒张期。</w:t>
      </w:r>
    </w:p>
    <w:p w14:paraId="57FC58B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▲8） 直线解剖 M 型和曲线解剖 M 型。（附图证明）</w:t>
      </w:r>
    </w:p>
    <w:p w14:paraId="19A9CB4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 频谱多普勒显示及分析系统:</w:t>
      </w:r>
    </w:p>
    <w:p w14:paraId="2E0563C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多普勒频率显示、独立可调。</w:t>
      </w:r>
    </w:p>
    <w:p w14:paraId="0BFE551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提供 PW、CW、HRPF 模式。</w:t>
      </w:r>
    </w:p>
    <w:p w14:paraId="7E5702C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具备自动频谱优化技术。</w:t>
      </w:r>
    </w:p>
    <w:p w14:paraId="3F8CE6B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 具备高性能实时双同步、三同步功能，随时可切换。</w:t>
      </w:r>
    </w:p>
    <w:p w14:paraId="7ABDB23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 具备自动角度纠正功能。</w:t>
      </w:r>
    </w:p>
    <w:p w14:paraId="0CCF585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 彩色血流成像单元：</w:t>
      </w:r>
    </w:p>
    <w:p w14:paraId="50E8F21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自适应超宽频带彩色多普勒成像技术。</w:t>
      </w:r>
    </w:p>
    <w:p w14:paraId="65AAD72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彩色能量图及方向能量图。</w:t>
      </w:r>
    </w:p>
    <w:p w14:paraId="1630B88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单键调节血流成像参数。</w:t>
      </w:r>
    </w:p>
    <w:p w14:paraId="7D77670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 彩色对比及实时对比显像。</w:t>
      </w:r>
    </w:p>
    <w:p w14:paraId="0094622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 智能多普勒优化技术,实时智能调整取样框位置和偏转角度。</w:t>
      </w:r>
    </w:p>
    <w:p w14:paraId="3A709F1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 组织多普勒成像：</w:t>
      </w:r>
    </w:p>
    <w:p w14:paraId="3353167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具有二维彩色模式、彩色模式、能量图模式、速度方差模式、彩色 M 型模 式等多种模式。</w:t>
      </w:r>
    </w:p>
    <w:p w14:paraId="3A53F70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具备二维和彩色同步双幅实时显示，亦可应用于冻结和存储的回放图像。</w:t>
      </w:r>
    </w:p>
    <w:p w14:paraId="156B4C0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专业测量软件包。</w:t>
      </w:r>
    </w:p>
    <w:p w14:paraId="4C9DE82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 谐波成像技术（自然组织谐波成像、对比造影剂谐波成像）</w:t>
      </w:r>
    </w:p>
    <w:p w14:paraId="6564CB3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具备编码二次谐波技术。</w:t>
      </w:r>
    </w:p>
    <w:p w14:paraId="352B951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具备编码脉冲反向谐波技术。</w:t>
      </w:r>
    </w:p>
    <w:p w14:paraId="12CAFAC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具备谐波频率和基波频率同时显示。</w:t>
      </w:r>
    </w:p>
    <w:p w14:paraId="6E831C6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 负荷超声成像：</w:t>
      </w:r>
    </w:p>
    <w:p w14:paraId="7C06A7E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内置专业负荷超声模块，包括运动负荷、药物负荷协议。</w:t>
      </w:r>
    </w:p>
    <w:p w14:paraId="1EEEE86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可自定义编辑模板。</w:t>
      </w:r>
    </w:p>
    <w:p w14:paraId="192F8B4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支持自动转换所需切面、所需测量和检查阶段，自动保存频率和增益等成 像条件应用于下一检查阶段。</w:t>
      </w:r>
    </w:p>
    <w:p w14:paraId="0BA2CAF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 支持造影成像。</w:t>
      </w:r>
    </w:p>
    <w:p w14:paraId="0628C7F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 支持室壁运动评分。</w:t>
      </w:r>
    </w:p>
    <w:p w14:paraId="755BF03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 内置在同步化治疗评估模板。</w:t>
      </w:r>
    </w:p>
    <w:p w14:paraId="154A3B7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测量和分析(B 型、M 型、频谱多普勒、彩色多普勒)：</w:t>
      </w:r>
    </w:p>
    <w:p w14:paraId="05966CD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 一般测量：距离、面积、体积等。</w:t>
      </w:r>
    </w:p>
    <w:p w14:paraId="63304A1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 产科测量。</w:t>
      </w:r>
    </w:p>
    <w:p w14:paraId="7D0E6F3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 外周血管测量和计算功能。</w:t>
      </w:r>
    </w:p>
    <w:p w14:paraId="5896D00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 多普勒血流测量与分析。</w:t>
      </w:r>
    </w:p>
    <w:p w14:paraId="435133D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 心脏功能测量、心功能定量、半定量技术。</w:t>
      </w:r>
    </w:p>
    <w:p w14:paraId="0796EEA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2.5.1 自动二维心功能定量：</w:t>
      </w:r>
    </w:p>
    <w:p w14:paraId="1BA18EE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依据选择的心脏切面自动描记感兴趣区，无需手动操作。</w:t>
      </w:r>
    </w:p>
    <w:p w14:paraId="1C5EA40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也可提供更深层次报告页面，包括容积及左室有关收缩、舒张功能的高级参数。</w:t>
      </w:r>
    </w:p>
    <w:p w14:paraId="44C7CE9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可使用回放或存储剪辑分析，可在线、离线、脱机分析。</w:t>
      </w:r>
    </w:p>
    <w:p w14:paraId="56168F4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2.5.2 心肌应变定量：</w:t>
      </w:r>
    </w:p>
    <w:p w14:paraId="783930A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节段心肌取样， ≥7 节段。</w:t>
      </w:r>
    </w:p>
    <w:p w14:paraId="4FB3A8C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多个心动周期数据显示。</w:t>
      </w:r>
    </w:p>
    <w:p w14:paraId="5892D18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各个节段各个心动周期曲线显示节段各个心动周期曲线显示，平均节段平均心动周期曲线显示。</w:t>
      </w:r>
    </w:p>
    <w:p w14:paraId="5043B6E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 快速显示峰值速度、达峰时间、应变、应变率、位移等多种参数。</w:t>
      </w:r>
    </w:p>
    <w:p w14:paraId="483CEFC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3成像技术：</w:t>
      </w:r>
    </w:p>
    <w:p w14:paraId="7EF6B61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 造影成像技术：</w:t>
      </w:r>
    </w:p>
    <w:p w14:paraId="11F9512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造影剂二次谐波成像单元。</w:t>
      </w:r>
    </w:p>
    <w:p w14:paraId="41AEF5A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支持血管/腹部造影成像。</w:t>
      </w:r>
    </w:p>
    <w:p w14:paraId="653553D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支持经胸二维探头。</w:t>
      </w:r>
    </w:p>
    <w:p w14:paraId="4275FE1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 支持负荷超声成像下的心肌灌注造影。</w:t>
      </w:r>
    </w:p>
    <w:p w14:paraId="7611908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 可实时前向存储、实时回放存储、编辑后存储等多种方式。</w:t>
      </w:r>
    </w:p>
    <w:p w14:paraId="1105EBC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 分析结果自动导入系统工作表进行存储。</w:t>
      </w:r>
    </w:p>
    <w:p w14:paraId="674EB3D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 在机及离机造影时间强度曲线定量分析。</w:t>
      </w:r>
    </w:p>
    <w:p w14:paraId="4E3DBE0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 心肌造影成像。</w:t>
      </w:r>
    </w:p>
    <w:p w14:paraId="6776A57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 具备感兴趣区域调节，感兴趣区域大小和位置可任意调节。</w:t>
      </w:r>
    </w:p>
    <w:p w14:paraId="6037052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 具备智能多普勒血管检查技术：</w:t>
      </w:r>
    </w:p>
    <w:p w14:paraId="4DC78BF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具备二维和彩色同步双幅实时显示，可应用于冻结和存储的回放图像。</w:t>
      </w:r>
    </w:p>
    <w:p w14:paraId="1080BD7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具备彩色帧频独立调节能力。</w:t>
      </w:r>
    </w:p>
    <w:p w14:paraId="0E2C3C6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具备组织内彩色优先显示功能，以显示组织内低速血流。</w:t>
      </w:r>
    </w:p>
    <w:p w14:paraId="55F62AE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 血管中内膜自动测量与分析：</w:t>
      </w:r>
    </w:p>
    <w:p w14:paraId="31CF582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可对感兴趣区域内自动测量。</w:t>
      </w:r>
    </w:p>
    <w:p w14:paraId="55FF966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计算结果为一段距离内的平均值。</w:t>
      </w:r>
    </w:p>
    <w:p w14:paraId="596A162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 具备内置原厂冠脉显像预设</w:t>
      </w:r>
    </w:p>
    <w:p w14:paraId="1E9B7C2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 具备频谱自动测量</w:t>
      </w:r>
    </w:p>
    <w:p w14:paraId="74D9465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 组织多普勒成像单元。</w:t>
      </w:r>
    </w:p>
    <w:p w14:paraId="184220C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3.7 具备二维左心室容积自动定量。</w:t>
      </w:r>
    </w:p>
    <w:p w14:paraId="1129FD5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3.8 具备二维斑点追踪左室心肌应变定量。</w:t>
      </w:r>
    </w:p>
    <w:p w14:paraId="1199031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3.9 基于二维斑点追踪技术，可直接分析长轴心肌收缩期峰值应变达峰时间、 峰值应变离散，收缩后收缩指数，可提供 17 和 18 节段牛眼图显示，以显 示和评价心肌二维同步性。</w:t>
      </w:r>
    </w:p>
    <w:p w14:paraId="2461D2E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3.10 具备二维灰阶血流成像技术，非多普勒成像原理，无取样框（附证明材料）、无角度依赖，可显示极低速血流。</w:t>
      </w:r>
    </w:p>
    <w:p w14:paraId="708B808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 心肌成像模式：可增强瓣膜，腱索及心肌等细节结构的显示能力。</w:t>
      </w:r>
    </w:p>
    <w:p w14:paraId="05EB20F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 外置设备及存储：</w:t>
      </w:r>
    </w:p>
    <w:p w14:paraId="49803C1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 图像存储(电影)回放重显及病案管理单元：</w:t>
      </w:r>
    </w:p>
    <w:p w14:paraId="052CA97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数字化捕捉、回放、存储静、动态图像，实时图像传输，实时 JPEG 解压 缩，可进行参数编程调节。</w:t>
      </w:r>
    </w:p>
    <w:p w14:paraId="76B23FE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硬盘≥900GB。</w:t>
      </w:r>
    </w:p>
    <w:p w14:paraId="7055093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病案管理单元包括病人资料、报告、图像等的存储、修改、检索和打印等。</w:t>
      </w:r>
    </w:p>
    <w:p w14:paraId="12EE721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 可根据检查要求对工作站参数（存储、压缩、回放）进行编程调节。</w:t>
      </w:r>
    </w:p>
    <w:p w14:paraId="65E0F81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 连通性：DICOM 接口部件,包括传输,打印,检索和通用格式。</w:t>
      </w:r>
    </w:p>
    <w:p w14:paraId="27A1D2F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 系统技术参数及要求：</w:t>
      </w:r>
    </w:p>
    <w:p w14:paraId="4B83171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 系统通用功能：</w:t>
      </w:r>
    </w:p>
    <w:p w14:paraId="6591FB7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晶显示器≥23 寸,可上下左右任 意旋转，可前后折叠。</w:t>
      </w:r>
    </w:p>
    <w:p w14:paraId="1FBE155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操作面板具备液晶触摸屏≥12 寸。</w:t>
      </w:r>
    </w:p>
    <w:p w14:paraId="1443A94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探头接口选择≥4 个。全激活、可互换。4） 针对不同的检查脏器,预置最佳化图像的检查条件,6 探头规格：</w:t>
      </w:r>
    </w:p>
    <w:p w14:paraId="58FB7BA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频率：超宽频带探头，最高频率≥17MHz,从 1MHz 到 17MHz。</w:t>
      </w:r>
    </w:p>
    <w:p w14:paraId="2B38797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二维、彩色、多普勒均可独立变频。</w:t>
      </w:r>
    </w:p>
    <w:p w14:paraId="50D1BDC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类型：电子扇扫、线阵、凸阵。</w:t>
      </w:r>
    </w:p>
    <w:p w14:paraId="762412F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 腹部凸阵探头一把。</w:t>
      </w:r>
    </w:p>
    <w:p w14:paraId="3661FD6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 血管线阵探头一把。</w:t>
      </w:r>
    </w:p>
    <w:p w14:paraId="08A21694">
      <w:pPr>
        <w:keepNext w:val="0"/>
        <w:keepLines w:val="0"/>
        <w:pageBreakBefore w:val="0"/>
        <w:kinsoku/>
        <w:wordWrap/>
        <w:overflowPunct/>
        <w:topLinePunct w:val="0"/>
        <w:autoSpaceDE/>
        <w:autoSpaceDN/>
        <w:bidi w:val="0"/>
        <w:adjustRightInd/>
        <w:snapToGrid/>
        <w:spacing w:line="440" w:lineRule="exac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 标配成人经胸心脏探头一把,扫描角度≥116度（附图并附技术白皮书证明）。</w:t>
      </w:r>
    </w:p>
    <w:p w14:paraId="287B35A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 腔内探头一把。</w:t>
      </w:r>
    </w:p>
    <w:p w14:paraId="20364C3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 线阵高频探头一把</w:t>
      </w:r>
    </w:p>
    <w:p w14:paraId="7F0946E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 二维显像主要参数：</w:t>
      </w:r>
    </w:p>
    <w:p w14:paraId="0E4B866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成像速度：相控阵探头，85°,18CM 深度时,帧速度≥53 帧/秒；凸阵探 头,85°,18CM 深度时,帧速度≥50 帧/秒。</w:t>
      </w:r>
    </w:p>
    <w:p w14:paraId="60A3D57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增益调节：TGC 增益补偿≥8 段，全域聚焦侧向增益补偿，图像区域无聚焦点（附图证明：图像区域无聚焦点）。</w:t>
      </w:r>
    </w:p>
    <w:p w14:paraId="1876266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数字式声束形成器：数字式全程动态聚焦，数字式可变孔径及动态变迹， A/D≥12bit。</w:t>
      </w:r>
    </w:p>
    <w:p w14:paraId="66C1E57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 高分辨率放大：放大时增加信息量，提高分辨率及帧率。</w:t>
      </w:r>
    </w:p>
    <w:p w14:paraId="0504E7E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 声束聚焦：发射及接收全程连续聚焦。</w:t>
      </w:r>
    </w:p>
    <w:p w14:paraId="0F87171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 扫描深度≥48厘米。（附图证明并附技术白皮书证明）</w:t>
      </w:r>
    </w:p>
    <w:p w14:paraId="3C88800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 频谱多普勒：</w:t>
      </w:r>
    </w:p>
    <w:p w14:paraId="0029CF1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显示模式：脉冲多普勒(PWD)。高脉冲重复频率(HPRF)。连续波多普勒（CW）。</w:t>
      </w:r>
    </w:p>
    <w:p w14:paraId="5B4D220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最大测量速度： PWD 正或反向血流速度≥7.0m/s。</w:t>
      </w:r>
    </w:p>
    <w:p w14:paraId="1E0B813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电影回放≥48 秒。</w:t>
      </w:r>
    </w:p>
    <w:p w14:paraId="4203787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 滤波器：高通滤波或低通滤波两种，分级选择。</w:t>
      </w:r>
    </w:p>
    <w:p w14:paraId="22F587B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 零位移动≥6 级。</w:t>
      </w:r>
    </w:p>
    <w:p w14:paraId="341D197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 彩色多普勒：</w:t>
      </w:r>
    </w:p>
    <w:p w14:paraId="01D5BB4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显示方式：速度图、能量图、方差显示、彩色心肌速度多普勒显示。</w:t>
      </w:r>
    </w:p>
    <w:p w14:paraId="456757E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扫描速率：相控阵探头，90°，18cm 深度时，彩色扫描帧率≥18 帧/秒。</w:t>
      </w:r>
    </w:p>
    <w:p w14:paraId="6F3DE63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实时二同步/三同步显示。</w:t>
      </w:r>
    </w:p>
    <w:p w14:paraId="2DD9B6C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 实时组织多普勒速度成像、实时组织多普勒位移成像,可 M 型、直线解剖 M 型、曲线解剖 M 型及频谱分析。</w:t>
      </w:r>
    </w:p>
    <w:p w14:paraId="3C7BF10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 显示控制：零位移动分±15 级、黑/白与彩色比较、彩色对比。</w:t>
      </w:r>
    </w:p>
    <w:p w14:paraId="49FEE2A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 :B/M、CWD、PWD、ColorDoppler 输出功率可调。</w:t>
      </w:r>
    </w:p>
    <w:p w14:paraId="766FC73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10.标配五把探头：腹部探头、心脏探头、小器官探头、腔内探头、 线阵高频探头各一把</w:t>
      </w:r>
    </w:p>
    <w:p w14:paraId="690D2D03">
      <w:pPr>
        <w:keepNext w:val="0"/>
        <w:keepLines w:val="0"/>
        <w:pageBreakBefore w:val="0"/>
        <w:numPr>
          <w:ilvl w:val="0"/>
          <w:numId w:val="0"/>
        </w:numPr>
        <w:tabs>
          <w:tab w:val="left" w:pos="425"/>
        </w:tabs>
        <w:kinsoku/>
        <w:wordWrap/>
        <w:overflowPunct/>
        <w:topLinePunct w:val="0"/>
        <w:autoSpaceDE/>
        <w:autoSpaceDN/>
        <w:bidi w:val="0"/>
        <w:adjustRightInd/>
        <w:snapToGrid/>
        <w:spacing w:line="440" w:lineRule="exact"/>
        <w:ind w:leftChars="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lang w:val="en-US" w:eastAsia="zh-CN"/>
        </w:rPr>
        <w:t>配备工作站一套，包含电脑1套、打印机1台、桌椅1套、医生转椅1把，检查床1张(支持自动更换一次性垫单，无线遥控操作，静音万向脚轮)。</w:t>
      </w:r>
    </w:p>
    <w:p w14:paraId="0CC164A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12.连接医院信息系统，中标方承担相应的接口费用</w:t>
      </w:r>
    </w:p>
    <w:p w14:paraId="47C7521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12.负责安排不少于2人到上级医院人员培训3个月。</w:t>
      </w:r>
    </w:p>
    <w:p w14:paraId="670EB99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7FA47A1A">
      <w:pPr>
        <w:keepNext w:val="0"/>
        <w:keepLines w:val="0"/>
        <w:pageBreakBefore w:val="0"/>
        <w:kinsoku/>
        <w:wordWrap/>
        <w:overflowPunct/>
        <w:topLinePunct w:val="0"/>
        <w:autoSpaceDE/>
        <w:autoSpaceDN/>
        <w:bidi w:val="0"/>
        <w:adjustRightInd/>
        <w:snapToGrid/>
        <w:spacing w:line="440" w:lineRule="exact"/>
        <w:jc w:val="center"/>
        <w:outlineLvl w:val="1"/>
        <w:rPr>
          <w:rFonts w:hint="eastAsia" w:ascii="宋体" w:hAnsi="宋体" w:eastAsia="宋体" w:cs="宋体"/>
          <w:b/>
          <w:bCs/>
          <w:sz w:val="24"/>
          <w:szCs w:val="24"/>
          <w:highlight w:val="none"/>
          <w:lang w:val="en-US" w:eastAsia="zh-CN"/>
        </w:rPr>
      </w:pPr>
      <w:bookmarkStart w:id="83" w:name="_Toc27271"/>
      <w:r>
        <w:rPr>
          <w:rFonts w:hint="eastAsia" w:ascii="宋体" w:hAnsi="宋体" w:eastAsia="宋体" w:cs="宋体"/>
          <w:b/>
          <w:bCs/>
          <w:sz w:val="24"/>
          <w:szCs w:val="24"/>
          <w:highlight w:val="none"/>
          <w:lang w:val="en-US" w:eastAsia="zh-CN"/>
        </w:rPr>
        <w:t>7、高端彩超（全数字化高端彩色多普勒超声诊断仪）（核心设备）（2台）</w:t>
      </w:r>
      <w:bookmarkEnd w:id="83"/>
    </w:p>
    <w:p w14:paraId="6087F65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一、设备名称：全数字化高端彩色多普勒超声诊断仪</w:t>
      </w:r>
    </w:p>
    <w:p w14:paraId="5DB136F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二、用途：用于妇产科、腹部、胎儿心脏、泌尿科、新生儿、心脏、小儿、血管（外周、颅脑、腹部）、浅表组织与小器官等方面的临床诊断和教学工作，具备持续升级能力，能满足开展新的临床应用需求。</w:t>
      </w:r>
    </w:p>
    <w:p w14:paraId="42095EC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三、主要技术规格及系统概述：</w:t>
      </w:r>
    </w:p>
    <w:p w14:paraId="14FCB76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3.1主机成像系统：</w:t>
      </w:r>
    </w:p>
    <w:p w14:paraId="1ED6988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  ≥21英寸，平板液晶彩色显示器，可上下左右任意旋转，可前后折叠。</w:t>
      </w:r>
    </w:p>
    <w:p w14:paraId="4F0D9B8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3.1.2操作面板液晶触摸屏≥12英寸,可通过手指滑动触摸屏进行翻页，操作面板可上下左右进行高度调整及旋转</w:t>
      </w:r>
    </w:p>
    <w:p w14:paraId="10CEF2F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3.1.3操作面板具有≥4向独立调节功能（即上下升降、左右旋转）</w:t>
      </w:r>
    </w:p>
    <w:p w14:paraId="3ACC8CB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3.1.5数字波束形成器</w:t>
      </w:r>
    </w:p>
    <w:p w14:paraId="77B77B7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3.1.6多倍信号并行处理技术</w:t>
      </w:r>
    </w:p>
    <w:p w14:paraId="125F714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3.1.7智能聚焦，焦点区域随深度调节按图像比例自动优化聚焦区域；不同模式切换后，聚焦区域保持原有模式深度。</w:t>
      </w:r>
    </w:p>
    <w:p w14:paraId="022EEBC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3.1.8数字化可变孔径及动态变迹技术</w:t>
      </w:r>
    </w:p>
    <w:p w14:paraId="1B1CDD5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3.1.9数字化二维灰阶成像及M型显像单元</w:t>
      </w:r>
    </w:p>
    <w:p w14:paraId="6874DA0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3.1.10解剖M型技术，可360度任意旋转M型取样线角度3.1.11脉冲反相谐波成像单元</w:t>
      </w:r>
    </w:p>
    <w:p w14:paraId="6A6C356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3.1.12彩色多普勒成像技术</w:t>
      </w:r>
    </w:p>
    <w:p w14:paraId="627F2C3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3.1.13彩色多普勒能量图技术</w:t>
      </w:r>
    </w:p>
    <w:p w14:paraId="0984B16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3.1.14方向性能量图技术</w:t>
      </w:r>
    </w:p>
    <w:p w14:paraId="74421F5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3.1.15数字化频谱多普勒显示和分析单元(包括PW、CW和HPRF)</w:t>
      </w:r>
    </w:p>
    <w:p w14:paraId="24828D5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3.1.16，独立按键可自适应调整图像的增益等参数获取最佳图像。</w:t>
      </w:r>
    </w:p>
    <w:p w14:paraId="3CA250D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3.1.17空间复合成像技术，支持多档位调节和多参数联合应用</w:t>
      </w:r>
    </w:p>
    <w:p w14:paraId="33565A8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3.1.18斑点噪声抑制技术3.1.19高清成像技术，整场图像锐化处理，提高组织内部分辨率和边界锐化显示 </w:t>
      </w:r>
    </w:p>
    <w:p w14:paraId="37F383D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3.1.20实时双同步/三同步功能</w:t>
      </w:r>
    </w:p>
    <w:p w14:paraId="2DA20BE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3.1.21支持局部放大、一键全屏放大</w:t>
      </w:r>
    </w:p>
    <w:p w14:paraId="7B33385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3.1.22内置DICOM3.0标准输出接口</w:t>
      </w:r>
    </w:p>
    <w:p w14:paraId="08D6153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3.2成像技术：</w:t>
      </w:r>
    </w:p>
    <w:p w14:paraId="2DCAAFE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3.2.2支持造影成像技术</w:t>
      </w:r>
    </w:p>
    <w:p w14:paraId="02EA35A8">
      <w:pPr>
        <w:keepNext w:val="0"/>
        <w:keepLines w:val="0"/>
        <w:pageBreakBefore w:val="0"/>
        <w:numPr>
          <w:ilvl w:val="-1"/>
          <w:numId w:val="0"/>
        </w:numPr>
        <w:kinsoku/>
        <w:wordWrap/>
        <w:overflowPunct/>
        <w:topLinePunct w:val="0"/>
        <w:autoSpaceDE/>
        <w:autoSpaceDN/>
        <w:bidi w:val="0"/>
        <w:adjustRightInd/>
        <w:snapToGrid/>
        <w:spacing w:line="440" w:lineRule="exact"/>
        <w:ind w:left="0" w:firstLine="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支持凸阵，线阵，腔内探头，相控阵</w:t>
      </w:r>
    </w:p>
    <w:p w14:paraId="4256C935">
      <w:pPr>
        <w:keepNext w:val="0"/>
        <w:keepLines w:val="0"/>
        <w:pageBreakBefore w:val="0"/>
        <w:numPr>
          <w:ilvl w:val="-1"/>
          <w:numId w:val="0"/>
        </w:numPr>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2)具有实时双幅造影对比成像模式</w:t>
      </w:r>
    </w:p>
    <w:p w14:paraId="1AC7CF4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3)具有造影双计时器 </w:t>
      </w:r>
    </w:p>
    <w:p w14:paraId="522D2BD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▲4)造影连续采集时间≥10分钟</w:t>
      </w:r>
    </w:p>
    <w:p w14:paraId="3DD88F9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5)实时微血管造影成像技术，可清晰显示组织内微小血管的灌注及走行 </w:t>
      </w:r>
    </w:p>
    <w:p w14:paraId="248DFC4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6)实时微血管造影成像技术，以双幅形式同时显示实时造影和造影复合处理模式，可清晰显示组织内微小血管的灌注及走行，可早期评价病变的恶变倾向及放化疗效果</w:t>
      </w:r>
    </w:p>
    <w:p w14:paraId="0184532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7)造影时间强度曲线定量分析，支持TIC曲线的计算和显示，自动计算到达时间（AT）、峰值时间（TTP）、峰值强度（PI）等组织灌注参数</w:t>
      </w:r>
    </w:p>
    <w:p w14:paraId="6E38F76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▲3.2.1超宽视野成像扫描技术</w:t>
      </w:r>
    </w:p>
    <w:p w14:paraId="3359D85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1)扫查长度≥210cm</w:t>
      </w:r>
    </w:p>
    <w:p w14:paraId="77ECF3A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2)支持测量</w:t>
      </w:r>
    </w:p>
    <w:p w14:paraId="0DC866E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3)线阵探头、凸阵探头和容积探头均支持宽景成像</w:t>
      </w:r>
    </w:p>
    <w:p w14:paraId="220E9CC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3.2.2弹性成像技术</w:t>
      </w:r>
    </w:p>
    <w:p w14:paraId="0D0107A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3.2.4.1支持压力应变式弹性成像</w:t>
      </w:r>
    </w:p>
    <w:p w14:paraId="7E8B1E4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1)实时软组织弹性成像技术，无需人工加压，具有灰阶，反转及彩色多普勒多种显像方式</w:t>
      </w:r>
    </w:p>
    <w:p w14:paraId="2A7497E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▲2)具备囊实性结构鉴别技术</w:t>
      </w:r>
    </w:p>
    <w:p w14:paraId="48B00E6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3)具备浅表及腔内弹性成像</w:t>
      </w:r>
    </w:p>
    <w:p w14:paraId="633D20A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4)主机内置一体化实时弹性定量分析技术，可对弹性图像进行直径面积对比分析、动态弹性应变分析、动态弹性参数成像。</w:t>
      </w:r>
    </w:p>
    <w:p w14:paraId="151D29E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3.2.4.2支持剪切波弹性成像</w:t>
      </w:r>
    </w:p>
    <w:p w14:paraId="2BE800A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1）支持点式剪切波弹性成像和二维实时剪切波</w:t>
      </w:r>
    </w:p>
    <w:p w14:paraId="0B98A50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2）具有肝纤维化分级指示器，自动将获得的剪切波数值和肝纤维化分级关联显示。</w:t>
      </w:r>
    </w:p>
    <w:p w14:paraId="0227B88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3）具备单一定量区域具有≥15组测量值录入，并可存储导入报告体系，报告可输出打印</w:t>
      </w:r>
    </w:p>
    <w:p w14:paraId="45D0817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4）具有彩色编码功能，可双幅显示灰阶图与彩色编码图，并具有置信图模式。</w:t>
      </w:r>
    </w:p>
    <w:p w14:paraId="54D0FF4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5）取样框ROI可调节大小，最大达5x6cm</w:t>
      </w:r>
    </w:p>
    <w:p w14:paraId="5382476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6）具有多种测量模式，可根据临床需求使用取样框、圆圈、描记、点式等方式进行测量；</w:t>
      </w:r>
    </w:p>
    <w:p w14:paraId="56B674A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7）具有原始数据搜集及处理能力，可任意回放并进行回顾性测量计算</w:t>
      </w:r>
    </w:p>
    <w:p w14:paraId="76C73BE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3.2.4.3肝衰减成像技术</w:t>
      </w:r>
    </w:p>
    <w:p w14:paraId="49AC670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1)具备组织衰减成像技术，可对肝脏弥漫性病变完成无创定量分析；可进行冻结图像及存储动态图像进行衰减分析</w:t>
      </w:r>
    </w:p>
    <w:p w14:paraId="72FB647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2)肝肾比分析技术：基于二维图像计算肾皮质和肝脏的灰阶比值进行肝脂肪变性评估，定量分析</w:t>
      </w:r>
    </w:p>
    <w:p w14:paraId="2CA5AC2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3.2.3支持产科自动测量</w:t>
      </w:r>
    </w:p>
    <w:p w14:paraId="4F9A035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1）一体化在机内置功能，具有独立功能按键</w:t>
      </w:r>
    </w:p>
    <w:p w14:paraId="106D5E6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2）支持CFM彩色血流模式胎儿相关标准切面自动获取</w:t>
      </w:r>
    </w:p>
    <w:p w14:paraId="07EC98C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3）支持全程扫查过程中自动测量胎儿生物学数据</w:t>
      </w:r>
    </w:p>
    <w:p w14:paraId="218283E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4）支持常规腹部凸阵探头和腹部容积探头</w:t>
      </w:r>
    </w:p>
    <w:p w14:paraId="13EDC28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3.2.4盆底扫查技术</w:t>
      </w:r>
    </w:p>
    <w:p w14:paraId="001A5EC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1)盆底半自动测量，通过快速选取特征点操作，即可快速获取相关数据结果进行盆底结构分析</w:t>
      </w:r>
    </w:p>
    <w:p w14:paraId="1406F3A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2)支持腔内容积探头和腹部容积探头</w:t>
      </w:r>
    </w:p>
    <w:p w14:paraId="547850D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3)支持腹部容积探头扩展扫描角度后进入3D/4D采集成像</w:t>
      </w:r>
    </w:p>
    <w:p w14:paraId="74447F3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3.2.5心肌应变定量 </w:t>
      </w:r>
    </w:p>
    <w:p w14:paraId="247563A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节段心肌取样</w:t>
      </w:r>
    </w:p>
    <w:p w14:paraId="02BDBAD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多个心动周期数据显示</w:t>
      </w:r>
    </w:p>
    <w:p w14:paraId="643811A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3）各个节段各个心动周期曲线显示，各个节段平均心动周期曲线显示，平均节段各个心动周期曲线显示，平均节段平均心动周期曲线显示。</w:t>
      </w:r>
    </w:p>
    <w:p w14:paraId="50C88A5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4）快速显示峰值速度、达峰时间、应变、应变率、位移等多种参数。</w:t>
      </w:r>
    </w:p>
    <w:p w14:paraId="2FA83D0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3.2.6自动心功能定量分析: </w:t>
      </w:r>
    </w:p>
    <w:p w14:paraId="2B1820E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▲依据选择的心脏切面一键自动完成描记相应节段，自动计算EF，ESV，EDV。TMAD可以自动对主动脉瓣环运动进行可视化及定量化分析，</w:t>
      </w:r>
    </w:p>
    <w:p w14:paraId="5D9AE97B">
      <w:pPr>
        <w:keepNext w:val="0"/>
        <w:keepLines w:val="0"/>
        <w:pageBreakBefore w:val="0"/>
        <w:kinsoku/>
        <w:wordWrap/>
        <w:overflowPunct/>
        <w:topLinePunct w:val="0"/>
        <w:autoSpaceDE/>
        <w:autoSpaceDN/>
        <w:bidi w:val="0"/>
        <w:adjustRightInd/>
        <w:snapToGrid/>
        <w:spacing w:line="44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3.2.7自动心肌运动定量分析：                                                                                                                                                                                                                                                                                 依据选择的心脏切面自动描记相应节段，进而自动测量整体和节段功能并生成表格，17/18节段牛眼图，并可显示各种曲线。此外还可计算LVEF、ESV、EDV</w:t>
      </w:r>
    </w:p>
    <w:p w14:paraId="45CE08E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3.2.8配负荷超声成像具备二维负荷超声</w:t>
      </w:r>
    </w:p>
    <w:p w14:paraId="434A4A6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3.3测量和分析：(B型、M型、D型、彩色模式)</w:t>
      </w:r>
    </w:p>
    <w:p w14:paraId="6B92AE5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3.3.1常规测量软件包</w:t>
      </w:r>
    </w:p>
    <w:p w14:paraId="2320095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3.3.2频谱自动测量分析软件，用户可自由配置显示的参数</w:t>
      </w:r>
    </w:p>
    <w:p w14:paraId="6888099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3.3.3专科测量软件包支持腹部、妇科、产科、心脏、泌尿、小器官、儿科、血管，自动生成报告。</w:t>
      </w:r>
    </w:p>
    <w:p w14:paraId="32F4FE7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3.3.4妇科测量软件包</w:t>
      </w:r>
    </w:p>
    <w:p w14:paraId="362DA59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3.3.5产科测量软件包：≥4胞胎对比测量分析，支持NT测量，胎儿生长曲线显示、胎儿解剖结构描述、胎儿生理评分。</w:t>
      </w:r>
    </w:p>
    <w:p w14:paraId="11CA871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3.3.6心脏测量软件包：心肌功能指数，支持心内膜自动描迹</w:t>
      </w:r>
    </w:p>
    <w:p w14:paraId="34D6B88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3.3.7腹部测量软件包：支持膀胱自动测量</w:t>
      </w:r>
    </w:p>
    <w:p w14:paraId="00891D3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3.3.8小器官测量软件包，包含乳腺测量包</w:t>
      </w:r>
    </w:p>
    <w:p w14:paraId="14A709B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3.3.9血管测量软件包：IMT血管内中膜自动测量 </w:t>
      </w:r>
    </w:p>
    <w:p w14:paraId="4E91EA3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3.4图像存储(电影)回放重显及病案管理单元</w:t>
      </w:r>
    </w:p>
    <w:p w14:paraId="37D2C47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3.4.1数字化捕捉、回放、存储静、动态图像，实时图像传输</w:t>
      </w:r>
    </w:p>
    <w:p w14:paraId="47FE780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3.4.2硬盘容量：硬盘≥500G</w:t>
      </w:r>
    </w:p>
    <w:p w14:paraId="4DB329A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3.4.3电影回放≥480秒</w:t>
      </w:r>
    </w:p>
    <w:p w14:paraId="1311E1A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3.4.4具备主机硬盘图像数据存储</w:t>
      </w:r>
    </w:p>
    <w:p w14:paraId="52D0113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3.4.5病案管理单元包括病人资料、报告、图像等的存储、修改、检索和打印等</w:t>
      </w:r>
    </w:p>
    <w:p w14:paraId="23177E5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3.5连通性：医学数字图像和通信DICOM3.0版接口部件。</w:t>
      </w:r>
    </w:p>
    <w:p w14:paraId="3711FD2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四、系统技术参数及要求：</w:t>
      </w:r>
    </w:p>
    <w:p w14:paraId="3FF10EC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4.1，平板液晶彩色显示系统通用功能：</w:t>
      </w:r>
    </w:p>
    <w:p w14:paraId="1319C90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4.1.1  </w:t>
      </w: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英寸</w:t>
      </w:r>
      <w:r>
        <w:rPr>
          <w:rFonts w:hint="eastAsia" w:ascii="宋体" w:hAnsi="宋体" w:cs="宋体"/>
          <w:sz w:val="24"/>
          <w:szCs w:val="24"/>
          <w:highlight w:val="none"/>
          <w:lang w:val="en-US" w:eastAsia="zh-CN"/>
        </w:rPr>
        <w:t>显示</w:t>
      </w:r>
      <w:r>
        <w:rPr>
          <w:rFonts w:hint="eastAsia" w:ascii="宋体" w:hAnsi="宋体" w:eastAsia="宋体" w:cs="宋体"/>
          <w:sz w:val="24"/>
          <w:szCs w:val="24"/>
          <w:highlight w:val="none"/>
          <w:lang w:val="en-US" w:eastAsia="zh-CN"/>
        </w:rPr>
        <w:t>器</w:t>
      </w:r>
      <w:r>
        <w:rPr>
          <w:rFonts w:hint="eastAsia" w:ascii="宋体" w:hAnsi="宋体" w:eastAsia="宋体" w:cs="宋体"/>
          <w:sz w:val="24"/>
          <w:szCs w:val="24"/>
          <w:highlight w:val="none"/>
          <w:lang w:val="en-US" w:eastAsia="zh-CN"/>
        </w:rPr>
        <w:t>，可上下左右任意旋转，可前后折叠。</w:t>
      </w:r>
    </w:p>
    <w:p w14:paraId="003E881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4.1.2操作面板液晶触摸屏≥12英寸,可通过手指滑动触摸屏进行翻页，操作面板可上下左右进行高度调整及旋转</w:t>
      </w:r>
    </w:p>
    <w:p w14:paraId="1C9DF3D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4.1.3主机内置探头接口≥4个，全激活互通互用，均为无针触点式大接口，另具备笔式探头接口。</w:t>
      </w:r>
    </w:p>
    <w:p w14:paraId="13A6DE5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4.1.4预设条件：针对不同的检查脏器，预置最佳化图像的检查条件，减少操作时的调节。</w:t>
      </w:r>
    </w:p>
    <w:p w14:paraId="439EAD6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4.2探头规格</w:t>
      </w:r>
    </w:p>
    <w:p w14:paraId="7EF138B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4.2.1频率：超宽频带探头，1MHz到18MHz</w:t>
      </w:r>
    </w:p>
    <w:p w14:paraId="15895EC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4.2.2二维、彩色、多普勒均可独立变频；</w:t>
      </w:r>
    </w:p>
    <w:p w14:paraId="01F185F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4.2.3类型：电子扇扫、线阵、凸阵</w:t>
      </w:r>
    </w:p>
    <w:p w14:paraId="29CE17F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▲4.2.4支持单晶体探头≥6种</w:t>
      </w:r>
    </w:p>
    <w:p w14:paraId="206BFF0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4.2.5电子线阵探头阵元数≥256</w:t>
      </w:r>
    </w:p>
    <w:p w14:paraId="2D8F135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4.3二维显像主要参数：</w:t>
      </w:r>
    </w:p>
    <w:p w14:paraId="22D4828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4.3.1成像速度：相控阵探头，88°角，18CM深度时，帧速度≥55帧/秒</w:t>
      </w:r>
    </w:p>
    <w:p w14:paraId="157FC87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4.3.2增益调节：TGC增益补偿≥8段，LGC侧向增益补偿≥8段，B/M可独立调节</w:t>
      </w:r>
    </w:p>
    <w:p w14:paraId="5C4227C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4.3.3数字式声束形成器：数字式场聚焦，数字式可变孔径及动态变迹。</w:t>
      </w:r>
    </w:p>
    <w:p w14:paraId="3DD2009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4.3.4接收方式：独立接收和发射通道数，多倍信号并行处理</w:t>
      </w:r>
    </w:p>
    <w:p w14:paraId="7643968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4.3.5探测深度≥40cm</w:t>
      </w:r>
    </w:p>
    <w:p w14:paraId="6CE5A38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4.3.6二维灰阶成像256灰阶</w:t>
      </w:r>
    </w:p>
    <w:p w14:paraId="177A9FA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4.3.7组织特性匹配，用户可根据人体组织真实情况进行调节，多级可调，匹配至最佳成像声速，并以具体数值在触摸屏上显示。</w:t>
      </w:r>
    </w:p>
    <w:p w14:paraId="493718A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▲4.3.8动态范围：≥300dB</w:t>
      </w:r>
    </w:p>
    <w:p w14:paraId="2485A91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4.4频谱多普勒：</w:t>
      </w:r>
    </w:p>
    <w:p w14:paraId="32D953E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4.4.1显示模式：</w:t>
      </w:r>
    </w:p>
    <w:p w14:paraId="1B86E8B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1)高脉冲重复频率(HPRF)</w:t>
      </w:r>
    </w:p>
    <w:p w14:paraId="29CC7C8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2)连续波多普勒（CW）</w:t>
      </w:r>
    </w:p>
    <w:p w14:paraId="0166F7F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3)脉冲多普勒(PWD)</w:t>
      </w:r>
    </w:p>
    <w:p w14:paraId="5EBA5EE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4.4.2最大测量速度：PWD正或反向血流速度：≥10.0m/s</w:t>
      </w:r>
    </w:p>
    <w:p w14:paraId="1994A44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4.4.3最低测量速度：≤0.25mm/s(非噪音信号)</w:t>
      </w:r>
    </w:p>
    <w:p w14:paraId="148E75F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4.4.4支持多段独立变频</w:t>
      </w:r>
    </w:p>
    <w:p w14:paraId="7AC6042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4.4.5取样宽度及位置范围：宽度0.5mm至20mm多级可调</w:t>
      </w:r>
    </w:p>
    <w:p w14:paraId="0234C3A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4.4.6零位移动：15级</w:t>
      </w:r>
    </w:p>
    <w:p w14:paraId="75DF05C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4.4.7实时自动包络频谱并完成频谱测量计算</w:t>
      </w:r>
    </w:p>
    <w:p w14:paraId="7275354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4.5彩色多普勒：</w:t>
      </w:r>
    </w:p>
    <w:p w14:paraId="6642660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4.5.1显示方式：速度图(CFM)、能量图(PDI)、方向性能量图（DPDI）</w:t>
      </w:r>
    </w:p>
    <w:p w14:paraId="47D3976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4.5.2扫描速率：相控阵探头，18cm深度时，彩色扫描帧率≥19帧/秒</w:t>
      </w:r>
    </w:p>
    <w:p w14:paraId="0CA2B4A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4.5.3彩色增强功能：彩色多普勒能量图(PDI);组织多普勒(TDI)</w:t>
      </w:r>
    </w:p>
    <w:p w14:paraId="0258BF3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4.5.4具有彩色双实时功能</w:t>
      </w:r>
    </w:p>
    <w:p w14:paraId="23E8E3B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4.5.5显示位置调整：线阵扫描感兴趣的图像范围：-20°～+20°</w:t>
      </w:r>
    </w:p>
    <w:p w14:paraId="2EB0359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4.5.6彩色频谱自动反转：当调节彩色取样框从一侧偏转向另一侧时，系统可自动触发反转功能，保证偏转调节过程中，血管内血流颜色不变</w:t>
      </w:r>
    </w:p>
    <w:p w14:paraId="33EC4F7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4.5.7高分辨率血流成像，提供高空间分辨率和时间分辨率的彩色血流图像，显示末梢血流的动态情况，机器具备独立按键</w:t>
      </w:r>
    </w:p>
    <w:p w14:paraId="43AB38E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4.5.8具备微细血流成像，，具备独立按键</w:t>
      </w:r>
    </w:p>
    <w:p w14:paraId="6FBE1A2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4.5.9立体血流成像，通过光照模型，能够在传统二维血流成像CFM的基础上，增加血流的立体感呈现，可与能量血流、高分辨率血流、微细血流联用，增强微小血流的显示效果。具备独立按键</w:t>
      </w:r>
    </w:p>
    <w:p w14:paraId="2E5887C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4.6超声功率输出调节：</w:t>
      </w:r>
    </w:p>
    <w:p w14:paraId="576973A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4.6.1 包含B、M、PWD、CFM等模式</w:t>
      </w:r>
    </w:p>
    <w:p w14:paraId="7C34DFB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4.6.2输出功率选择独立分级可调</w:t>
      </w:r>
    </w:p>
    <w:p w14:paraId="19E2D35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4.7记录装置：</w:t>
      </w:r>
    </w:p>
    <w:p w14:paraId="1E38C9C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4.7.1内置一体化超声工作站：数字化储存静态及动态图像，动态图像及静态图像以AVI、WMV、TIF、BMP或JPG等PC通用格式直接储存。</w:t>
      </w:r>
    </w:p>
    <w:p w14:paraId="0F62622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4.7.2 DVD-RW或USB图像存储</w:t>
      </w:r>
    </w:p>
    <w:p w14:paraId="1EC8E3C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4.7.3内置USB接口≥5个</w:t>
      </w:r>
    </w:p>
    <w:p w14:paraId="2045F64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5.其它要求</w:t>
      </w:r>
    </w:p>
    <w:p w14:paraId="4557675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5.1标配四把探头：腹部探头、心脏探头、小器官探头、腔内探头</w:t>
      </w:r>
    </w:p>
    <w:p w14:paraId="54056BF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5.2配备工作站一套，包含电脑1套、打印机1台、桌椅1套、医生转椅1把，检查床1张(支持自动更换一次性垫单，无线遥控操作，静音万向脚轮)。</w:t>
      </w:r>
    </w:p>
    <w:p w14:paraId="2798F3D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5.3负责安排不少于2人到上级医院人员培训3个月。</w:t>
      </w:r>
    </w:p>
    <w:p w14:paraId="52444B3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6.连接医院信息系统，中标方承担相应的接口费用</w:t>
      </w:r>
    </w:p>
    <w:p w14:paraId="2FCD7F4D">
      <w:pPr>
        <w:jc w:val="left"/>
        <w:outlineLvl w:val="9"/>
        <w:rPr>
          <w:rFonts w:hint="eastAsia" w:ascii="宋体" w:hAnsi="宋体" w:cs="宋体"/>
          <w:b/>
          <w:bCs/>
          <w:color w:val="000000"/>
          <w:sz w:val="24"/>
          <w:szCs w:val="22"/>
          <w:highlight w:val="none"/>
          <w:lang w:val="en-US" w:eastAsia="zh-CN"/>
        </w:rPr>
      </w:pPr>
    </w:p>
    <w:p w14:paraId="60EDCA70">
      <w:pPr>
        <w:rPr>
          <w:rFonts w:hint="eastAsia" w:ascii="宋体" w:hAnsi="宋体" w:cs="宋体"/>
          <w:b/>
          <w:bCs/>
          <w:color w:val="000000"/>
          <w:sz w:val="24"/>
          <w:szCs w:val="22"/>
          <w:highlight w:val="none"/>
          <w:lang w:val="en-US" w:eastAsia="zh-CN"/>
        </w:rPr>
      </w:pPr>
    </w:p>
    <w:p w14:paraId="064D38B7">
      <w:pP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sz w:val="24"/>
          <w:szCs w:val="22"/>
          <w:highlight w:val="none"/>
          <w:lang w:val="en-US" w:eastAsia="zh-CN"/>
        </w:rPr>
        <w:br w:type="page"/>
      </w:r>
    </w:p>
    <w:p w14:paraId="2982B3D1">
      <w:pPr>
        <w:jc w:val="left"/>
        <w:outlineLvl w:val="1"/>
        <w:rPr>
          <w:rFonts w:hint="eastAsia"/>
          <w:highlight w:val="none"/>
        </w:rPr>
      </w:pPr>
      <w:bookmarkStart w:id="84" w:name="_Toc5762"/>
      <w:r>
        <w:rPr>
          <w:rFonts w:hint="eastAsia" w:ascii="宋体" w:hAnsi="宋体" w:cs="宋体"/>
          <w:b/>
          <w:bCs/>
          <w:color w:val="000000" w:themeColor="text1"/>
          <w:sz w:val="24"/>
          <w:szCs w:val="22"/>
          <w:highlight w:val="none"/>
          <w:lang w:val="en-US" w:eastAsia="zh-CN"/>
          <w14:textFill>
            <w14:solidFill>
              <w14:schemeClr w14:val="tx1"/>
            </w14:solidFill>
          </w14:textFill>
        </w:rPr>
        <w:t>第二包：</w:t>
      </w:r>
      <w:bookmarkEnd w:id="84"/>
    </w:p>
    <w:tbl>
      <w:tblPr>
        <w:tblStyle w:val="87"/>
        <w:tblW w:w="95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1"/>
        <w:gridCol w:w="3280"/>
        <w:gridCol w:w="909"/>
        <w:gridCol w:w="933"/>
        <w:gridCol w:w="2367"/>
        <w:gridCol w:w="1167"/>
      </w:tblGrid>
      <w:tr w14:paraId="42F5A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45ED6C">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序号</w:t>
            </w:r>
          </w:p>
        </w:tc>
        <w:tc>
          <w:tcPr>
            <w:tcW w:w="3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3D497">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仪器名称</w:t>
            </w:r>
          </w:p>
        </w:tc>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9252C">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单位</w:t>
            </w: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90450">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数量</w:t>
            </w:r>
          </w:p>
        </w:tc>
        <w:tc>
          <w:tcPr>
            <w:tcW w:w="2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3DC19">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单价/台（万元）</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601F73">
            <w:pPr>
              <w:jc w:val="left"/>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备注</w:t>
            </w:r>
          </w:p>
        </w:tc>
      </w:tr>
      <w:tr w14:paraId="0A4F4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577B2">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p>
        </w:tc>
        <w:tc>
          <w:tcPr>
            <w:tcW w:w="3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EAC13">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B9B74">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EEC12">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p>
        </w:tc>
        <w:tc>
          <w:tcPr>
            <w:tcW w:w="2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DDCBD">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p>
        </w:tc>
        <w:tc>
          <w:tcPr>
            <w:tcW w:w="116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1098CC3">
            <w:pPr>
              <w:jc w:val="left"/>
              <w:rPr>
                <w:rFonts w:hint="eastAsia" w:ascii="宋体" w:hAnsi="宋体" w:cs="宋体"/>
                <w:b/>
                <w:bCs/>
                <w:color w:val="000000" w:themeColor="text1"/>
                <w:sz w:val="24"/>
                <w:szCs w:val="22"/>
                <w:highlight w:val="none"/>
                <w:lang w:val="en-US" w:eastAsia="zh-CN"/>
                <w14:textFill>
                  <w14:solidFill>
                    <w14:schemeClr w14:val="tx1"/>
                  </w14:solidFill>
                </w14:textFill>
              </w:rPr>
            </w:pPr>
          </w:p>
        </w:tc>
      </w:tr>
      <w:tr w14:paraId="2DCD7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15A7">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1</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BF22">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心电监护仪</w:t>
            </w:r>
            <w:r>
              <w:rPr>
                <w:rFonts w:hint="eastAsia" w:ascii="宋体" w:hAnsi="宋体" w:cs="宋体"/>
                <w:b/>
                <w:bCs/>
                <w:color w:val="FF0000"/>
                <w:sz w:val="24"/>
                <w:szCs w:val="22"/>
                <w:highlight w:val="none"/>
                <w:lang w:val="en-US" w:eastAsia="zh-CN"/>
              </w:rPr>
              <w:t>（核心设备）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8248">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台</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9984">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82</w:t>
            </w:r>
          </w:p>
        </w:tc>
        <w:tc>
          <w:tcPr>
            <w:tcW w:w="2367" w:type="dxa"/>
            <w:tcBorders>
              <w:top w:val="single" w:color="000000" w:sz="4" w:space="0"/>
              <w:left w:val="single" w:color="000000" w:sz="4" w:space="0"/>
              <w:bottom w:val="single" w:color="000000" w:sz="4" w:space="0"/>
              <w:right w:val="single" w:color="auto" w:sz="4" w:space="0"/>
            </w:tcBorders>
            <w:shd w:val="clear" w:color="auto" w:fill="auto"/>
            <w:vAlign w:val="center"/>
          </w:tcPr>
          <w:p w14:paraId="784ACB6F">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1.2</w:t>
            </w:r>
          </w:p>
        </w:tc>
        <w:tc>
          <w:tcPr>
            <w:tcW w:w="11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DA070D">
            <w:pPr>
              <w:jc w:val="left"/>
              <w:rPr>
                <w:rFonts w:hint="eastAsia" w:ascii="宋体" w:hAnsi="宋体" w:cs="宋体"/>
                <w:b/>
                <w:bCs/>
                <w:color w:val="000000" w:themeColor="text1"/>
                <w:sz w:val="24"/>
                <w:szCs w:val="22"/>
                <w:highlight w:val="none"/>
                <w:lang w:val="en-US" w:eastAsia="zh-CN"/>
                <w14:textFill>
                  <w14:solidFill>
                    <w14:schemeClr w14:val="tx1"/>
                  </w14:solidFill>
                </w14:textFill>
              </w:rPr>
            </w:pPr>
          </w:p>
        </w:tc>
      </w:tr>
      <w:tr w14:paraId="10DF9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8"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1E70">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2</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18F6">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动态心电记录盒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86F1">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台</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BF52">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20</w:t>
            </w:r>
          </w:p>
        </w:tc>
        <w:tc>
          <w:tcPr>
            <w:tcW w:w="2367" w:type="dxa"/>
            <w:tcBorders>
              <w:top w:val="single" w:color="000000" w:sz="4" w:space="0"/>
              <w:left w:val="single" w:color="000000" w:sz="4" w:space="0"/>
              <w:bottom w:val="single" w:color="000000" w:sz="4" w:space="0"/>
              <w:right w:val="single" w:color="auto" w:sz="4" w:space="0"/>
            </w:tcBorders>
            <w:shd w:val="clear" w:color="auto" w:fill="auto"/>
            <w:vAlign w:val="center"/>
          </w:tcPr>
          <w:p w14:paraId="26A49DCE">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1.9</w:t>
            </w:r>
          </w:p>
        </w:tc>
        <w:tc>
          <w:tcPr>
            <w:tcW w:w="11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FF6602">
            <w:pPr>
              <w:jc w:val="left"/>
              <w:rPr>
                <w:rFonts w:hint="eastAsia" w:ascii="宋体" w:hAnsi="宋体" w:cs="宋体"/>
                <w:b/>
                <w:bCs/>
                <w:color w:val="000000" w:themeColor="text1"/>
                <w:sz w:val="24"/>
                <w:szCs w:val="22"/>
                <w:highlight w:val="none"/>
                <w:lang w:val="en-US" w:eastAsia="zh-CN"/>
                <w14:textFill>
                  <w14:solidFill>
                    <w14:schemeClr w14:val="tx1"/>
                  </w14:solidFill>
                </w14:textFill>
              </w:rPr>
            </w:pPr>
          </w:p>
        </w:tc>
      </w:tr>
      <w:tr w14:paraId="1D8D6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48CD">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3</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0E1F">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动态血压记录盒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126B">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台</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6D4D">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20</w:t>
            </w:r>
          </w:p>
        </w:tc>
        <w:tc>
          <w:tcPr>
            <w:tcW w:w="2367" w:type="dxa"/>
            <w:tcBorders>
              <w:top w:val="single" w:color="000000" w:sz="4" w:space="0"/>
              <w:left w:val="single" w:color="000000" w:sz="4" w:space="0"/>
              <w:bottom w:val="single" w:color="000000" w:sz="4" w:space="0"/>
              <w:right w:val="single" w:color="auto" w:sz="4" w:space="0"/>
            </w:tcBorders>
            <w:shd w:val="clear" w:color="auto" w:fill="auto"/>
            <w:vAlign w:val="center"/>
          </w:tcPr>
          <w:p w14:paraId="3BE9881D">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1.9</w:t>
            </w:r>
          </w:p>
        </w:tc>
        <w:tc>
          <w:tcPr>
            <w:tcW w:w="11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C533DF">
            <w:pPr>
              <w:jc w:val="left"/>
              <w:rPr>
                <w:rFonts w:hint="eastAsia" w:ascii="宋体" w:hAnsi="宋体" w:cs="宋体"/>
                <w:b/>
                <w:bCs/>
                <w:color w:val="000000" w:themeColor="text1"/>
                <w:sz w:val="24"/>
                <w:szCs w:val="22"/>
                <w:highlight w:val="none"/>
                <w:lang w:val="en-US" w:eastAsia="zh-CN"/>
                <w14:textFill>
                  <w14:solidFill>
                    <w14:schemeClr w14:val="tx1"/>
                  </w14:solidFill>
                </w14:textFill>
              </w:rPr>
            </w:pPr>
          </w:p>
        </w:tc>
      </w:tr>
    </w:tbl>
    <w:p w14:paraId="5FBA9E38">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0F6CF462">
      <w:pPr>
        <w:jc w:val="center"/>
        <w:outlineLvl w:val="1"/>
        <w:rPr>
          <w:rFonts w:hint="eastAsia"/>
          <w:b/>
          <w:bCs/>
          <w:sz w:val="36"/>
          <w:szCs w:val="36"/>
          <w:highlight w:val="none"/>
          <w:lang w:val="en-US" w:eastAsia="zh-CN"/>
        </w:rPr>
      </w:pPr>
      <w:bookmarkStart w:id="85" w:name="_Toc27903"/>
      <w:r>
        <w:rPr>
          <w:rFonts w:hint="eastAsia"/>
          <w:b/>
          <w:bCs/>
          <w:sz w:val="36"/>
          <w:szCs w:val="36"/>
          <w:highlight w:val="none"/>
          <w:lang w:val="en-US" w:eastAsia="zh-CN"/>
        </w:rPr>
        <w:t>1、心电监护仪</w:t>
      </w:r>
      <w:r>
        <w:rPr>
          <w:rFonts w:hint="eastAsia" w:asciiTheme="minorHAnsi" w:hAnsiTheme="minorHAnsi" w:eastAsiaTheme="minorEastAsia" w:cstheme="minorBidi"/>
          <w:b/>
          <w:bCs/>
          <w:i w:val="0"/>
          <w:iCs w:val="0"/>
          <w:kern w:val="2"/>
          <w:sz w:val="36"/>
          <w:szCs w:val="36"/>
          <w:highlight w:val="none"/>
          <w:u w:val="none"/>
          <w:lang w:val="en-US" w:eastAsia="zh-CN" w:bidi="ar"/>
        </w:rPr>
        <w:t>（核心设备）</w:t>
      </w:r>
      <w:bookmarkEnd w:id="85"/>
    </w:p>
    <w:p w14:paraId="7389F14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 整机无风扇设计</w:t>
      </w:r>
    </w:p>
    <w:p w14:paraId="22640A1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主机集成附件收纳槽</w:t>
      </w:r>
    </w:p>
    <w:p w14:paraId="781F50D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2、≥12英寸彩色LED背光液晶屏，屏幕分辨率≥800*600。</w:t>
      </w:r>
    </w:p>
    <w:p w14:paraId="68BE82B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3、标配锂电池工作时间≥8小时。</w:t>
      </w:r>
    </w:p>
    <w:p w14:paraId="24F97D7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4、安全规格：ECG, RESP、TEMP, SpO2 , NIBP监测参数抗电击程度为防除颤CF型。</w:t>
      </w:r>
    </w:p>
    <w:p w14:paraId="086F9ED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▲5、主机使用寿命≥10年。</w:t>
      </w:r>
    </w:p>
    <w:p w14:paraId="1E07CF3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6、整机防水等级≥IPX1。</w:t>
      </w:r>
    </w:p>
    <w:p w14:paraId="6BF3B40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7、标配心电、血氧、脉博、无创血压、呼吸、体温等监测参数。</w:t>
      </w:r>
    </w:p>
    <w:p w14:paraId="236E78E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8、心电：</w:t>
      </w:r>
    </w:p>
    <w:p w14:paraId="725C7F5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8.1、标配3/5导心电；</w:t>
      </w:r>
    </w:p>
    <w:p w14:paraId="5ABB58C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8.2、具有智能导联脱落功能，具有多导同步分析功能；</w:t>
      </w:r>
    </w:p>
    <w:p w14:paraId="6B35D97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8.3、具有强大的心电抗干扰能力，耐极化电压≥±600mV；共模抑制比≥100d；</w:t>
      </w:r>
    </w:p>
    <w:p w14:paraId="201FC04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8.4、</w:t>
      </w:r>
      <w:r>
        <w:rPr>
          <w:rFonts w:hint="eastAsia" w:ascii="仿宋_GB2312" w:hAnsi="仿宋_GB2312" w:eastAsia="仿宋_GB2312" w:cs="仿宋_GB2312"/>
          <w:b w:val="0"/>
          <w:bCs/>
          <w:sz w:val="32"/>
          <w:szCs w:val="32"/>
          <w:lang w:val="en-US" w:eastAsia="zh-CN"/>
        </w:rPr>
        <w:t>具备心电波形识别能力，可识别常规心电波形、异常波形及起搏波形</w:t>
      </w:r>
    </w:p>
    <w:p w14:paraId="1A50AB7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▲8.</w:t>
      </w:r>
      <w:r>
        <w:rPr>
          <w:rFonts w:hint="eastAsia" w:ascii="宋体" w:hAnsi="宋体" w:cs="宋体"/>
          <w:b/>
          <w:bCs/>
          <w:sz w:val="28"/>
          <w:szCs w:val="28"/>
          <w:highlight w:val="none"/>
          <w:lang w:val="en-US" w:eastAsia="zh-CN"/>
        </w:rPr>
        <w:t>5</w:t>
      </w:r>
      <w:r>
        <w:rPr>
          <w:rFonts w:hint="eastAsia" w:ascii="宋体" w:hAnsi="宋体" w:eastAsia="宋体" w:cs="宋体"/>
          <w:b/>
          <w:bCs/>
          <w:sz w:val="28"/>
          <w:szCs w:val="28"/>
          <w:highlight w:val="none"/>
          <w:lang w:val="en-US" w:eastAsia="zh-CN"/>
        </w:rPr>
        <w:t>、≥22种心律失常分析，包括房颤、室颤、停搏、SVCs/min等；</w:t>
      </w:r>
    </w:p>
    <w:p w14:paraId="0FDE783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8.</w:t>
      </w:r>
      <w:r>
        <w:rPr>
          <w:rFonts w:hint="eastAsia" w:ascii="宋体" w:hAnsi="宋体" w:cs="宋体"/>
          <w:sz w:val="28"/>
          <w:szCs w:val="28"/>
          <w:highlight w:val="none"/>
          <w:lang w:val="en-US" w:eastAsia="zh-CN"/>
        </w:rPr>
        <w:t>6</w:t>
      </w:r>
      <w:r>
        <w:rPr>
          <w:rFonts w:hint="eastAsia" w:ascii="宋体" w:hAnsi="宋体" w:eastAsia="宋体" w:cs="宋体"/>
          <w:sz w:val="28"/>
          <w:szCs w:val="28"/>
          <w:highlight w:val="none"/>
          <w:lang w:val="en-US" w:eastAsia="zh-CN"/>
        </w:rPr>
        <w:t>、具有ST段分析和ST View功能，可实时监测ST段，评估心肌缺血情况;</w:t>
      </w:r>
    </w:p>
    <w:p w14:paraId="7158A9D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8.</w:t>
      </w:r>
      <w:r>
        <w:rPr>
          <w:rFonts w:hint="eastAsia" w:ascii="宋体" w:hAnsi="宋体" w:cs="宋体"/>
          <w:sz w:val="28"/>
          <w:szCs w:val="28"/>
          <w:highlight w:val="none"/>
          <w:lang w:val="en-US" w:eastAsia="zh-CN"/>
        </w:rPr>
        <w:t>7</w:t>
      </w:r>
      <w:r>
        <w:rPr>
          <w:rFonts w:hint="eastAsia" w:ascii="宋体" w:hAnsi="宋体" w:eastAsia="宋体" w:cs="宋体"/>
          <w:sz w:val="28"/>
          <w:szCs w:val="28"/>
          <w:highlight w:val="none"/>
          <w:lang w:val="en-US" w:eastAsia="zh-CN"/>
        </w:rPr>
        <w:t>具有QT/QTc测量功能。</w:t>
      </w:r>
    </w:p>
    <w:p w14:paraId="1045CA5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9、血氧：</w:t>
      </w:r>
    </w:p>
    <w:p w14:paraId="3D5DD1F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9.1、血氧测量范围：0%-100%；</w:t>
      </w:r>
    </w:p>
    <w:p w14:paraId="7B6A9BC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9.2、脉率测量范围：20bpm-280bpm；</w:t>
      </w:r>
    </w:p>
    <w:p w14:paraId="3617AB5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9.3、标配PI血氧灌注指数，测量范围：0.05%-20%，分辨率0.01%；</w:t>
      </w:r>
    </w:p>
    <w:p w14:paraId="13ADC23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10、无创血压：</w:t>
      </w:r>
    </w:p>
    <w:p w14:paraId="1382DCE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10.1测量范围：成人：收缩压25mmHg-290mmHg，舒张压10mmHg-250mmHg，平均压15mmHg-260mmHg；小儿：收缩压25mmHg-240mmHg，舒张压10mmHg-200mmHg，平均压15mmHg-215mmHg；新生儿：收缩压25mmHg-140mmHg，舒张压10 mmHg-115mmHg，平均压15mmHg-125mmHg；</w:t>
      </w:r>
    </w:p>
    <w:p w14:paraId="51DE6A7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10.2、血压测量模式：手动、自动、序列、整点和连续测量；</w:t>
      </w:r>
    </w:p>
    <w:p w14:paraId="22DA25D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10.3、具有血压动态分析监测界面，可查看测量时间段的收缩压和舒张压的正常数据、低于正常数据以及高于正常数据的百分率，收缩压和舒张压的平均值、最大值和最小值；</w:t>
      </w:r>
    </w:p>
    <w:p w14:paraId="585E901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11、具有辅助静脉穿刺功能。</w:t>
      </w:r>
    </w:p>
    <w:p w14:paraId="0C9EA4B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12、体温：具有双通道体温监测，可提供体温差值显示；</w:t>
      </w:r>
    </w:p>
    <w:p w14:paraId="4704776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13、支持体表和腔内两种体温探头类型。</w:t>
      </w:r>
    </w:p>
    <w:p w14:paraId="6517E4F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14、软件功能</w:t>
      </w:r>
    </w:p>
    <w:p w14:paraId="0DDDA77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14.1支持常规、大字体、动态趋势、呼吸氧合、ECG全屏、ECG半屏、单血氧等多种界面；</w:t>
      </w:r>
    </w:p>
    <w:p w14:paraId="7B5C7D8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14.2用户可自定义调节界面布局波形和参数功能；</w:t>
      </w:r>
    </w:p>
    <w:p w14:paraId="68F59B7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14.3支持计时器功能，可以同时显示最多4个计时器；</w:t>
      </w:r>
    </w:p>
    <w:p w14:paraId="4D9DC1E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14.4支持所有监测参数报警限一键自动设置功能；</w:t>
      </w:r>
    </w:p>
    <w:p w14:paraId="7765B59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15、计算功能：具有药物计算和滴定表、肾功能计算、氧合计算、通气计算、血流动力学计算功能；</w:t>
      </w:r>
    </w:p>
    <w:p w14:paraId="3E380DCD">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16、</w:t>
      </w:r>
      <w:r>
        <w:rPr>
          <w:rFonts w:hint="eastAsia" w:ascii="仿宋_GB2312" w:hAnsi="仿宋_GB2312" w:eastAsia="仿宋_GB2312" w:cs="仿宋_GB2312"/>
          <w:sz w:val="32"/>
          <w:szCs w:val="32"/>
          <w:highlight w:val="none"/>
          <w:lang w:val="en-US" w:eastAsia="zh-CN"/>
        </w:rPr>
        <w:t>支持不小于500 小时趋势图/表、1500 组NIBP 列表、300 组报警事件、48 小时全息波形、12 小时心律失常数据存储回顾。</w:t>
      </w:r>
    </w:p>
    <w:p w14:paraId="6A5E4D7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17、具备监护、待机，演示、体外循环、隐私和夜间等工作模式。</w:t>
      </w:r>
    </w:p>
    <w:p w14:paraId="6C7340B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18、附件配置：每台监护仪配备心电导联线3根、血压袖袋3个、血氧探头3根。</w:t>
      </w:r>
    </w:p>
    <w:p w14:paraId="7F87449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19、每台监护仪配备导联线保护套1各，配备仪器推车1个，墙式固定架1套（负责固定架安装）</w:t>
      </w:r>
    </w:p>
    <w:p w14:paraId="0469061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br w:type="page"/>
      </w:r>
      <w:bookmarkStart w:id="128" w:name="_GoBack"/>
      <w:bookmarkEnd w:id="128"/>
    </w:p>
    <w:p w14:paraId="7C628DA3">
      <w:pPr>
        <w:keepNext w:val="0"/>
        <w:keepLines w:val="0"/>
        <w:pageBreakBefore w:val="0"/>
        <w:widowControl w:val="0"/>
        <w:numPr>
          <w:ilvl w:val="0"/>
          <w:numId w:val="61"/>
        </w:numPr>
        <w:kinsoku/>
        <w:wordWrap/>
        <w:overflowPunct/>
        <w:topLinePunct w:val="0"/>
        <w:autoSpaceDE/>
        <w:autoSpaceDN/>
        <w:bidi w:val="0"/>
        <w:adjustRightInd/>
        <w:snapToGrid/>
        <w:spacing w:line="440" w:lineRule="exact"/>
        <w:jc w:val="center"/>
        <w:textAlignment w:val="auto"/>
        <w:outlineLvl w:val="1"/>
        <w:rPr>
          <w:rFonts w:hint="eastAsia" w:ascii="宋体" w:hAnsi="宋体" w:eastAsia="宋体" w:cs="宋体"/>
          <w:b/>
          <w:bCs/>
          <w:sz w:val="28"/>
          <w:szCs w:val="28"/>
          <w:highlight w:val="none"/>
          <w:lang w:val="en-US" w:eastAsia="zh-CN"/>
        </w:rPr>
      </w:pPr>
      <w:bookmarkStart w:id="86" w:name="_Toc30065"/>
      <w:r>
        <w:rPr>
          <w:rFonts w:hint="eastAsia" w:ascii="宋体" w:hAnsi="宋体" w:eastAsia="宋体" w:cs="宋体"/>
          <w:b/>
          <w:bCs/>
          <w:sz w:val="28"/>
          <w:szCs w:val="28"/>
          <w:highlight w:val="none"/>
          <w:lang w:val="en-US" w:eastAsia="zh-CN"/>
        </w:rPr>
        <w:t>动态心电记录盒（20台）</w:t>
      </w:r>
      <w:bookmarkEnd w:id="86"/>
    </w:p>
    <w:p w14:paraId="6787AFF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一、硬件参数</w:t>
      </w:r>
    </w:p>
    <w:p w14:paraId="37D0625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b/>
          <w:bCs/>
          <w:sz w:val="28"/>
          <w:szCs w:val="28"/>
          <w:highlight w:val="none"/>
          <w:lang w:val="en-US" w:eastAsia="zh-CN"/>
        </w:rPr>
        <w:t xml:space="preserve">▲1、 采样频率≥20000HZ </w:t>
      </w:r>
      <w:r>
        <w:rPr>
          <w:rFonts w:hint="eastAsia" w:ascii="宋体" w:hAnsi="宋体" w:eastAsia="宋体" w:cs="宋体"/>
          <w:sz w:val="28"/>
          <w:szCs w:val="28"/>
          <w:highlight w:val="none"/>
          <w:lang w:val="en-US" w:eastAsia="zh-CN"/>
        </w:rPr>
        <w:t>。</w:t>
      </w:r>
    </w:p>
    <w:p w14:paraId="3D2AABF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2、存储容量≥16G 。</w:t>
      </w:r>
    </w:p>
    <w:p w14:paraId="064097B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 、重量≤70克。</w:t>
      </w:r>
    </w:p>
    <w:p w14:paraId="23D10B0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4、记录盒用USB连接传输数据，不需要读卡器，不需要格式化存储介质。</w:t>
      </w:r>
    </w:p>
    <w:p w14:paraId="23A26FD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5、记录盒具有彩色液晶屏。</w:t>
      </w:r>
    </w:p>
    <w:p w14:paraId="1B826AE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6、记录盒具有电池电量显示。</w:t>
      </w:r>
    </w:p>
    <w:p w14:paraId="48E9D03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7 、记录盒具有时钟功能自动记录开始时间。</w:t>
      </w:r>
    </w:p>
    <w:p w14:paraId="01E8402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8、记录盒具有低电压报警功能。</w:t>
      </w:r>
    </w:p>
    <w:p w14:paraId="5C8026E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9 、记录盒具有事件按钮、导联切换功能。</w:t>
      </w:r>
    </w:p>
    <w:p w14:paraId="33E11F4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kern w:val="2"/>
          <w:sz w:val="28"/>
          <w:szCs w:val="28"/>
          <w:highlight w:val="none"/>
          <w:lang w:val="en-US" w:eastAsia="zh-CN" w:bidi="ar-SA"/>
        </w:rPr>
        <w:t>10、</w:t>
      </w:r>
      <w:r>
        <w:rPr>
          <w:rFonts w:hint="eastAsia" w:ascii="宋体" w:hAnsi="宋体" w:eastAsia="宋体" w:cs="宋体"/>
          <w:sz w:val="28"/>
          <w:szCs w:val="28"/>
          <w:highlight w:val="none"/>
          <w:lang w:val="en-US" w:eastAsia="zh-CN"/>
        </w:rPr>
        <w:t>专用起搏记录通道，自动识别和记录起搏信号，</w:t>
      </w:r>
    </w:p>
    <w:p w14:paraId="62BEA74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11、配备一套工作站（20台设备配备一套）</w:t>
      </w:r>
    </w:p>
    <w:p w14:paraId="23B0671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11.1电脑1套（内存1T以上）</w:t>
      </w:r>
    </w:p>
    <w:p w14:paraId="1D54F64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11.2桌椅1套，</w:t>
      </w:r>
    </w:p>
    <w:p w14:paraId="0136E8F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11.3黑白激光打印机1台，</w:t>
      </w:r>
    </w:p>
    <w:p w14:paraId="1C0DD90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11.4每台设备配备备用导联线2条（不包含自带的1条），备用锂电池2个，每根导联线配备专用线缆保护套1套。</w:t>
      </w:r>
    </w:p>
    <w:p w14:paraId="6ED3A5B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二、软件参数</w:t>
      </w:r>
    </w:p>
    <w:p w14:paraId="6F3014F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1.自动分析时采用主导联V5（默认）进行分析，如出现干扰情况则自动选择其它导联辅助分析。</w:t>
      </w:r>
    </w:p>
    <w:p w14:paraId="3685FDD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2.全息栅状全览图。提供瞬时心率趋势图。</w:t>
      </w:r>
    </w:p>
    <w:p w14:paraId="586FC5B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3.每搏心率栅状图，（二维时间散点图）。用24小时瞬时心率趋势图替代传统的压缩心电条图，全览图支持编辑功能，用户可任意编辑。</w:t>
      </w:r>
    </w:p>
    <w:p w14:paraId="21D8A67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4.采用波形反混淆叠加技术分类心律失常。</w:t>
      </w:r>
    </w:p>
    <w:p w14:paraId="2FA7E95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5.逐波标记，采用加大增益或调整导联同步扫描24小时心电信息，使漏搏发生率≤0.1%。6.将心搏的形态与RR间期直方图结合掌握心律失常的分析情况。全部分析结果可直接调出心电图进行确认。</w:t>
      </w:r>
    </w:p>
    <w:p w14:paraId="2A5E277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▲7.具有512种可自定义的间期直方图。可按时间顺序自动浏览心律失常事件，并可在直方图上进行任意的编辑。</w:t>
      </w:r>
    </w:p>
    <w:p w14:paraId="0EB105B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8.ST段分析。反映每个导联的心肌缺血最高值和平均值。以及持续时间，并提供缺血负荷图，并提供单次事件记录。</w:t>
      </w:r>
    </w:p>
    <w:p w14:paraId="52F44D1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9.具有睡眠暂停综合症检测功能，具有QT/QTD分析，可测量任意时间的QTD， 具有窦性心率震荡，T波电交替,心率变异分析（长程和短程）等工具。</w:t>
      </w:r>
    </w:p>
    <w:p w14:paraId="60AD8F3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10.具备心律失常极值图将所有心律事件以严重程度的高低进行排序11.具有心率减速力（DC）及连续心率减速力（DR）功能。</w:t>
      </w:r>
    </w:p>
    <w:p w14:paraId="0ADB916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12.同一病例可以选择不同参数进行多次快速分析，对不同患者采用的分析模式， 自动保存每一次的分析结果 。</w:t>
      </w:r>
    </w:p>
    <w:p w14:paraId="021B229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13. 配12+1通道起博 器分析软件，起博通道采样点≥10000点/秒/通道，记录盒 可记录 病人心电图、 起搏器信号等。</w:t>
      </w:r>
    </w:p>
    <w:p w14:paraId="45AA10A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14.房扑房颤自动分析。</w:t>
      </w:r>
    </w:p>
    <w:p w14:paraId="3D99038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 三、远程会诊服务：</w:t>
      </w:r>
    </w:p>
    <w:p w14:paraId="010DDD2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▲1、提供远程传输服务，通过客户端软件将患者病例上传上级县人民医院，县医院通过正在使用的专家端动态心电分析软件下载病例、出具诊断报告，回传到客户端软件；</w:t>
      </w:r>
    </w:p>
    <w:p w14:paraId="6891329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 2、能够通过采集工作站将动态心电原始数据上传至服务器，通过分析诊断工作站将原始数据下载后进行分析、出具报告，并将报告回传服务器。</w:t>
      </w:r>
    </w:p>
    <w:p w14:paraId="147309F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eastAsia" w:ascii="宋体" w:hAnsi="宋体" w:eastAsia="宋体" w:cs="宋体"/>
          <w:b/>
          <w:bCs/>
          <w:sz w:val="28"/>
          <w:szCs w:val="28"/>
          <w:highlight w:val="none"/>
          <w:lang w:val="en-US" w:eastAsia="zh-CN"/>
        </w:rPr>
      </w:pPr>
      <w:r>
        <w:rPr>
          <w:rFonts w:hint="eastAsia" w:ascii="宋体" w:hAnsi="宋体" w:eastAsia="宋体" w:cs="宋体"/>
          <w:sz w:val="28"/>
          <w:szCs w:val="28"/>
          <w:highlight w:val="none"/>
          <w:lang w:val="en-US" w:eastAsia="zh-CN"/>
        </w:rPr>
        <w:br w:type="page"/>
      </w:r>
      <w:bookmarkStart w:id="87" w:name="_Toc9935"/>
      <w:r>
        <w:rPr>
          <w:rFonts w:hint="eastAsia" w:ascii="宋体" w:hAnsi="宋体" w:eastAsia="宋体" w:cs="宋体"/>
          <w:b/>
          <w:bCs/>
          <w:sz w:val="28"/>
          <w:szCs w:val="28"/>
          <w:highlight w:val="none"/>
          <w:lang w:val="en-US" w:eastAsia="zh-CN"/>
        </w:rPr>
        <w:t>3、动态血压记录盒（20台）</w:t>
      </w:r>
      <w:bookmarkEnd w:id="87"/>
    </w:p>
    <w:p w14:paraId="6248F7B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一、硬件参数</w:t>
      </w:r>
    </w:p>
    <w:p w14:paraId="35429B7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1、测量原理：震荡示波法</w:t>
      </w:r>
    </w:p>
    <w:p w14:paraId="0655BA7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2、规格：约128*69*36mm</w:t>
      </w:r>
    </w:p>
    <w:p w14:paraId="606A5C3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3、血压测量范围：0-290 mmHg、精准度±3 mmHg</w:t>
      </w:r>
    </w:p>
    <w:p w14:paraId="0123FA3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4、脉率测量范围：40-240bpm</w:t>
      </w:r>
    </w:p>
    <w:p w14:paraId="5006B1F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5、测量间隔：每小时可进行1-30次测量可选。</w:t>
      </w:r>
    </w:p>
    <w:p w14:paraId="4BB0E98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6、数据传输：USB2.0、蓝牙4.0等</w:t>
      </w:r>
    </w:p>
    <w:p w14:paraId="34A7FD7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▲7、 具备 血压计和动态血压双模式等 8、24小时动态血压监护功能支持自动和手动启动测量，可记录300条以上动态血压测量数据</w:t>
      </w:r>
    </w:p>
    <w:p w14:paraId="459E9F5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9、≥2.4寸 彩色液晶屏  可显示列表、趋势图、大字体等数据回顾界面；低电量提示、错误信息提示、时间显示等。</w:t>
      </w:r>
    </w:p>
    <w:p w14:paraId="453C3FF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10、具有超压保护功能</w:t>
      </w:r>
    </w:p>
    <w:p w14:paraId="2217027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11、具备mmHg和kPa两种血压计量单位 </w:t>
      </w:r>
    </w:p>
    <w:p w14:paraId="02EABA4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 xml:space="preserve">▲12、具有成人、小儿、新生儿3种测量模式 </w:t>
      </w:r>
    </w:p>
    <w:p w14:paraId="0EF00BF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二、软件参数 </w:t>
      </w:r>
    </w:p>
    <w:p w14:paraId="174922B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1、具有数据表、勺状趋势图、填充式趋势图、血压柱状图、频率柱状图、PR/MAP/PP柱状图、饼图，拟合曲线等功能。</w:t>
      </w:r>
    </w:p>
    <w:p w14:paraId="4B5C5AD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2、具有血压负荷值、昼夜血压变化节律、标准差、血压变异系数、晨峰血压、动脉硬化指数。（需提供软件截图）</w:t>
      </w:r>
    </w:p>
    <w:p w14:paraId="63D3986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 可同屏现实同一患者不同时期的趋势图对比</w:t>
      </w:r>
    </w:p>
    <w:p w14:paraId="77F5DFD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4、能够编辑每条血压数据，并为数据添加注解</w:t>
      </w:r>
    </w:p>
    <w:p w14:paraId="6807828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5、可按医院报告结论规范定制自动结论，可按医院报告规范自定义报告格式。</w:t>
      </w:r>
    </w:p>
    <w:p w14:paraId="54746D9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▲6、可检测3岁以上儿童血压， 年龄具体到月， 一键设置儿童标准血压值。（需提供软件截图）。</w:t>
      </w:r>
    </w:p>
    <w:p w14:paraId="6C71066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7、 具有电池电压趋势图功能；</w:t>
      </w:r>
    </w:p>
    <w:p w14:paraId="1A0C126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8、 具有记录盒数据上传完成后，自动同步时间功能</w:t>
      </w:r>
    </w:p>
    <w:p w14:paraId="4490830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9、 具有手动编辑时间功能</w:t>
      </w:r>
    </w:p>
    <w:p w14:paraId="3C5575B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10、具有分院医生工作站向总院医生工作站转诊功能</w:t>
      </w:r>
    </w:p>
    <w:p w14:paraId="7516A8F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11、远程动态血压数据可 远程会诊，危重病人优先进入平台绿色通道。</w:t>
      </w:r>
    </w:p>
    <w:p w14:paraId="107E268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★12、动态血压记录盒免费保修2年，记录盒背包及带子损坏可以终身及时更换，血压软件终身免费升级。</w:t>
      </w:r>
    </w:p>
    <w:p w14:paraId="6773A50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13、 配备工作站一套（20台设备配备1套）</w:t>
      </w:r>
    </w:p>
    <w:p w14:paraId="6D8A769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13.1 电脑1套（内存1T以上）</w:t>
      </w:r>
    </w:p>
    <w:p w14:paraId="014B092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13.2 桌椅1套</w:t>
      </w:r>
    </w:p>
    <w:p w14:paraId="0783FB6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13.3 黑白激光打印机1台</w:t>
      </w:r>
    </w:p>
    <w:p w14:paraId="011F296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8"/>
          <w:szCs w:val="28"/>
          <w:highlight w:val="none"/>
          <w:lang w:val="en-US" w:eastAsia="zh-CN"/>
        </w:rPr>
      </w:pPr>
      <w:r>
        <w:rPr>
          <w:rFonts w:hint="eastAsia" w:ascii="宋体" w:hAnsi="宋体" w:eastAsia="宋体" w:cs="宋体"/>
          <w:sz w:val="28"/>
          <w:szCs w:val="28"/>
          <w:highlight w:val="none"/>
          <w:lang w:val="en-US" w:eastAsia="zh-CN"/>
        </w:rPr>
        <w:t>13.4每台设备配备备用袖带2套，锂电池2个</w:t>
      </w:r>
    </w:p>
    <w:p w14:paraId="5E880280">
      <w:pP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br w:type="page"/>
      </w:r>
    </w:p>
    <w:p w14:paraId="1A1D17E9">
      <w:pPr>
        <w:jc w:val="left"/>
        <w:outlineLvl w:val="1"/>
        <w:rPr>
          <w:rFonts w:hint="eastAsia" w:ascii="宋体" w:hAnsi="宋体" w:cs="宋体"/>
          <w:b/>
          <w:bCs/>
          <w:color w:val="000000" w:themeColor="text1"/>
          <w:sz w:val="24"/>
          <w:szCs w:val="22"/>
          <w:highlight w:val="none"/>
          <w:lang w:val="en-US" w:eastAsia="zh-CN"/>
          <w14:textFill>
            <w14:solidFill>
              <w14:schemeClr w14:val="tx1"/>
            </w14:solidFill>
          </w14:textFill>
        </w:rPr>
      </w:pPr>
      <w:bookmarkStart w:id="88" w:name="_Toc10053"/>
      <w:r>
        <w:rPr>
          <w:rFonts w:hint="eastAsia" w:ascii="宋体" w:hAnsi="宋体" w:cs="宋体"/>
          <w:b/>
          <w:bCs/>
          <w:color w:val="000000" w:themeColor="text1"/>
          <w:sz w:val="24"/>
          <w:szCs w:val="22"/>
          <w:highlight w:val="none"/>
          <w:lang w:val="en-US" w:eastAsia="zh-CN"/>
          <w14:textFill>
            <w14:solidFill>
              <w14:schemeClr w14:val="tx1"/>
            </w14:solidFill>
          </w14:textFill>
        </w:rPr>
        <w:t>第三包：</w:t>
      </w:r>
      <w:bookmarkEnd w:id="88"/>
    </w:p>
    <w:tbl>
      <w:tblPr>
        <w:tblStyle w:val="87"/>
        <w:tblW w:w="92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7"/>
        <w:gridCol w:w="3153"/>
        <w:gridCol w:w="874"/>
        <w:gridCol w:w="897"/>
        <w:gridCol w:w="2345"/>
        <w:gridCol w:w="1121"/>
      </w:tblGrid>
      <w:tr w14:paraId="1E6FB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DDFF1A">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序号</w:t>
            </w:r>
          </w:p>
        </w:tc>
        <w:tc>
          <w:tcPr>
            <w:tcW w:w="31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7A59DA">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仪器名称</w:t>
            </w:r>
          </w:p>
        </w:tc>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C2DBF7">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单位</w:t>
            </w:r>
          </w:p>
        </w:tc>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E50A5">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数量</w:t>
            </w:r>
          </w:p>
        </w:tc>
        <w:tc>
          <w:tcPr>
            <w:tcW w:w="2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0FB8A6">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单价/台（万元）</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EF6C7">
            <w:pPr>
              <w:jc w:val="left"/>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备注</w:t>
            </w:r>
          </w:p>
        </w:tc>
      </w:tr>
      <w:tr w14:paraId="48719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61172">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p>
        </w:tc>
        <w:tc>
          <w:tcPr>
            <w:tcW w:w="3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A5ED4">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p>
        </w:tc>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F530D">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B9EC3">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p>
        </w:tc>
        <w:tc>
          <w:tcPr>
            <w:tcW w:w="2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9E45B">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BDB49">
            <w:pPr>
              <w:jc w:val="left"/>
              <w:rPr>
                <w:rFonts w:hint="eastAsia" w:ascii="宋体" w:hAnsi="宋体" w:cs="宋体"/>
                <w:b/>
                <w:bCs/>
                <w:color w:val="000000" w:themeColor="text1"/>
                <w:sz w:val="24"/>
                <w:szCs w:val="22"/>
                <w:highlight w:val="none"/>
                <w:lang w:val="en-US" w:eastAsia="zh-CN"/>
                <w14:textFill>
                  <w14:solidFill>
                    <w14:schemeClr w14:val="tx1"/>
                  </w14:solidFill>
                </w14:textFill>
              </w:rPr>
            </w:pPr>
          </w:p>
        </w:tc>
      </w:tr>
      <w:tr w14:paraId="6A51C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6"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5AE1">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1</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E1E3">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超声波清洗机</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939A">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台</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EEF0">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AA36">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11</w:t>
            </w:r>
          </w:p>
        </w:tc>
        <w:tc>
          <w:tcPr>
            <w:tcW w:w="1121" w:type="dxa"/>
            <w:vMerge w:val="restart"/>
            <w:tcBorders>
              <w:top w:val="single" w:color="000000" w:sz="4" w:space="0"/>
              <w:left w:val="single" w:color="000000" w:sz="4" w:space="0"/>
              <w:right w:val="single" w:color="000000" w:sz="4" w:space="0"/>
            </w:tcBorders>
            <w:shd w:val="clear" w:color="auto" w:fill="auto"/>
            <w:vAlign w:val="center"/>
          </w:tcPr>
          <w:p w14:paraId="18097DD8">
            <w:pPr>
              <w:jc w:val="left"/>
              <w:rPr>
                <w:rFonts w:hint="eastAsia" w:ascii="宋体" w:hAnsi="宋体" w:cs="宋体"/>
                <w:b/>
                <w:bCs/>
                <w:color w:val="000000" w:themeColor="text1"/>
                <w:sz w:val="24"/>
                <w:szCs w:val="22"/>
                <w:highlight w:val="none"/>
                <w:lang w:val="en-US" w:eastAsia="zh-CN"/>
                <w14:textFill>
                  <w14:solidFill>
                    <w14:schemeClr w14:val="tx1"/>
                  </w14:solidFill>
                </w14:textFill>
              </w:rPr>
            </w:pPr>
          </w:p>
        </w:tc>
      </w:tr>
      <w:tr w14:paraId="303DA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7BD4">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2</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4DB2">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热风枪</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5F1E">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台</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45E0">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7898">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1</w:t>
            </w:r>
          </w:p>
        </w:tc>
        <w:tc>
          <w:tcPr>
            <w:tcW w:w="1121" w:type="dxa"/>
            <w:vMerge w:val="continue"/>
            <w:tcBorders>
              <w:left w:val="single" w:color="000000" w:sz="4" w:space="0"/>
              <w:right w:val="single" w:color="000000" w:sz="4" w:space="0"/>
            </w:tcBorders>
            <w:shd w:val="clear" w:color="auto" w:fill="auto"/>
            <w:vAlign w:val="center"/>
          </w:tcPr>
          <w:p w14:paraId="0BF6947F">
            <w:pPr>
              <w:jc w:val="left"/>
              <w:rPr>
                <w:rFonts w:hint="eastAsia" w:ascii="宋体" w:hAnsi="宋体" w:cs="宋体"/>
                <w:b/>
                <w:bCs/>
                <w:color w:val="000000" w:themeColor="text1"/>
                <w:sz w:val="24"/>
                <w:szCs w:val="22"/>
                <w:highlight w:val="none"/>
                <w:lang w:val="en-US" w:eastAsia="zh-CN"/>
                <w14:textFill>
                  <w14:solidFill>
                    <w14:schemeClr w14:val="tx1"/>
                  </w14:solidFill>
                </w14:textFill>
              </w:rPr>
            </w:pPr>
          </w:p>
        </w:tc>
      </w:tr>
      <w:tr w14:paraId="5C835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D7A4">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3</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EA52">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蒸汽发生器</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1713">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台</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6775">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DACC">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14</w:t>
            </w:r>
          </w:p>
        </w:tc>
        <w:tc>
          <w:tcPr>
            <w:tcW w:w="1121" w:type="dxa"/>
            <w:vMerge w:val="continue"/>
            <w:tcBorders>
              <w:left w:val="single" w:color="000000" w:sz="4" w:space="0"/>
              <w:right w:val="single" w:color="000000" w:sz="4" w:space="0"/>
            </w:tcBorders>
            <w:shd w:val="clear" w:color="auto" w:fill="auto"/>
            <w:vAlign w:val="center"/>
          </w:tcPr>
          <w:p w14:paraId="53C67D0D">
            <w:pPr>
              <w:jc w:val="left"/>
              <w:rPr>
                <w:rFonts w:hint="eastAsia" w:ascii="宋体" w:hAnsi="宋体" w:cs="宋体"/>
                <w:b/>
                <w:bCs/>
                <w:color w:val="000000" w:themeColor="text1"/>
                <w:sz w:val="24"/>
                <w:szCs w:val="22"/>
                <w:highlight w:val="none"/>
                <w:lang w:val="en-US" w:eastAsia="zh-CN"/>
                <w14:textFill>
                  <w14:solidFill>
                    <w14:schemeClr w14:val="tx1"/>
                  </w14:solidFill>
                </w14:textFill>
              </w:rPr>
            </w:pPr>
          </w:p>
        </w:tc>
      </w:tr>
      <w:tr w14:paraId="34CCB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9"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EE6C">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4</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9F54">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真空灭菌锅</w:t>
            </w:r>
            <w:r>
              <w:rPr>
                <w:rFonts w:hint="eastAsia" w:ascii="宋体" w:hAnsi="宋体" w:cs="宋体"/>
                <w:b/>
                <w:bCs/>
                <w:color w:val="FF0000"/>
                <w:sz w:val="24"/>
                <w:szCs w:val="22"/>
                <w:highlight w:val="none"/>
                <w:lang w:val="en-US" w:eastAsia="zh-CN"/>
              </w:rPr>
              <w:t>（核心设备）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5083">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台</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32AA">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69D6">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43</w:t>
            </w:r>
          </w:p>
        </w:tc>
        <w:tc>
          <w:tcPr>
            <w:tcW w:w="1121" w:type="dxa"/>
            <w:vMerge w:val="continue"/>
            <w:tcBorders>
              <w:left w:val="single" w:color="000000" w:sz="4" w:space="0"/>
              <w:right w:val="single" w:color="000000" w:sz="4" w:space="0"/>
            </w:tcBorders>
            <w:shd w:val="clear" w:color="auto" w:fill="auto"/>
            <w:vAlign w:val="center"/>
          </w:tcPr>
          <w:p w14:paraId="5A736C5E">
            <w:pPr>
              <w:jc w:val="left"/>
              <w:rPr>
                <w:rFonts w:hint="eastAsia" w:ascii="宋体" w:hAnsi="宋体" w:cs="宋体"/>
                <w:b/>
                <w:bCs/>
                <w:color w:val="000000" w:themeColor="text1"/>
                <w:sz w:val="24"/>
                <w:szCs w:val="22"/>
                <w:highlight w:val="none"/>
                <w:lang w:val="en-US" w:eastAsia="zh-CN"/>
                <w14:textFill>
                  <w14:solidFill>
                    <w14:schemeClr w14:val="tx1"/>
                  </w14:solidFill>
                </w14:textFill>
              </w:rPr>
            </w:pPr>
          </w:p>
        </w:tc>
      </w:tr>
      <w:tr w14:paraId="66349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2"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216A">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5</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6332">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纯水机</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F975">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套</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09D6">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0526">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28</w:t>
            </w:r>
          </w:p>
        </w:tc>
        <w:tc>
          <w:tcPr>
            <w:tcW w:w="1121" w:type="dxa"/>
            <w:vMerge w:val="continue"/>
            <w:tcBorders>
              <w:left w:val="single" w:color="000000" w:sz="4" w:space="0"/>
              <w:right w:val="single" w:color="000000" w:sz="4" w:space="0"/>
            </w:tcBorders>
            <w:shd w:val="clear" w:color="auto" w:fill="auto"/>
            <w:vAlign w:val="center"/>
          </w:tcPr>
          <w:p w14:paraId="55C01762">
            <w:pPr>
              <w:jc w:val="left"/>
              <w:rPr>
                <w:rFonts w:hint="eastAsia" w:ascii="宋体" w:hAnsi="宋体" w:cs="宋体"/>
                <w:b/>
                <w:bCs/>
                <w:color w:val="000000" w:themeColor="text1"/>
                <w:sz w:val="24"/>
                <w:szCs w:val="22"/>
                <w:highlight w:val="none"/>
                <w:lang w:val="en-US" w:eastAsia="zh-CN"/>
                <w14:textFill>
                  <w14:solidFill>
                    <w14:schemeClr w14:val="tx1"/>
                  </w14:solidFill>
                </w14:textFill>
              </w:rPr>
            </w:pPr>
          </w:p>
        </w:tc>
      </w:tr>
      <w:tr w14:paraId="0B767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86F0">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6</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C240">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煮沸槽</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A07D">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台</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296C">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63A1">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12.2</w:t>
            </w:r>
          </w:p>
        </w:tc>
        <w:tc>
          <w:tcPr>
            <w:tcW w:w="1121" w:type="dxa"/>
            <w:vMerge w:val="continue"/>
            <w:tcBorders>
              <w:left w:val="single" w:color="000000" w:sz="4" w:space="0"/>
              <w:right w:val="single" w:color="000000" w:sz="4" w:space="0"/>
            </w:tcBorders>
            <w:shd w:val="clear" w:color="auto" w:fill="auto"/>
            <w:vAlign w:val="center"/>
          </w:tcPr>
          <w:p w14:paraId="55ED3BF2">
            <w:pPr>
              <w:jc w:val="left"/>
              <w:rPr>
                <w:rFonts w:hint="eastAsia" w:ascii="宋体" w:hAnsi="宋体" w:cs="宋体"/>
                <w:b/>
                <w:bCs/>
                <w:color w:val="000000" w:themeColor="text1"/>
                <w:sz w:val="24"/>
                <w:szCs w:val="22"/>
                <w:highlight w:val="none"/>
                <w:lang w:val="en-US" w:eastAsia="zh-CN"/>
                <w14:textFill>
                  <w14:solidFill>
                    <w14:schemeClr w14:val="tx1"/>
                  </w14:solidFill>
                </w14:textFill>
              </w:rPr>
            </w:pPr>
          </w:p>
        </w:tc>
      </w:tr>
      <w:tr w14:paraId="667B2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6F8F">
            <w:pPr>
              <w:jc w:val="center"/>
              <w:rPr>
                <w:rFonts w:hint="default"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7</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AE8E">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超声波清洗机</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70FF">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台</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F2AB">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219A">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11</w:t>
            </w:r>
          </w:p>
        </w:tc>
        <w:tc>
          <w:tcPr>
            <w:tcW w:w="1121" w:type="dxa"/>
            <w:vMerge w:val="continue"/>
            <w:tcBorders>
              <w:left w:val="single" w:color="000000" w:sz="4" w:space="0"/>
              <w:bottom w:val="single" w:color="000000" w:sz="4" w:space="0"/>
              <w:right w:val="single" w:color="000000" w:sz="4" w:space="0"/>
            </w:tcBorders>
            <w:shd w:val="clear" w:color="auto" w:fill="auto"/>
            <w:vAlign w:val="center"/>
          </w:tcPr>
          <w:p w14:paraId="136CC1B7">
            <w:pPr>
              <w:jc w:val="left"/>
              <w:rPr>
                <w:rFonts w:hint="eastAsia" w:ascii="宋体" w:hAnsi="宋体" w:cs="宋体"/>
                <w:b/>
                <w:bCs/>
                <w:color w:val="000000" w:themeColor="text1"/>
                <w:sz w:val="24"/>
                <w:szCs w:val="22"/>
                <w:highlight w:val="none"/>
                <w:lang w:val="en-US" w:eastAsia="zh-CN"/>
                <w14:textFill>
                  <w14:solidFill>
                    <w14:schemeClr w14:val="tx1"/>
                  </w14:solidFill>
                </w14:textFill>
              </w:rPr>
            </w:pPr>
          </w:p>
        </w:tc>
      </w:tr>
    </w:tbl>
    <w:p w14:paraId="3C2AB52B">
      <w:pPr>
        <w:rPr>
          <w:rFonts w:hint="default"/>
          <w:color w:val="000000" w:themeColor="text1"/>
          <w:highlight w:val="none"/>
          <w:lang w:val="en-US" w:eastAsia="zh-CN"/>
          <w14:textFill>
            <w14:solidFill>
              <w14:schemeClr w14:val="tx1"/>
            </w14:solidFill>
          </w14:textFill>
        </w:rPr>
      </w:pPr>
    </w:p>
    <w:p w14:paraId="2330C12A">
      <w:pPr>
        <w:rPr>
          <w:highlight w:val="none"/>
        </w:rPr>
      </w:pPr>
    </w:p>
    <w:p w14:paraId="349F5376">
      <w:pPr>
        <w:rPr>
          <w:rFonts w:hint="eastAsia" w:ascii="宋体" w:hAnsi="宋体" w:cs="宋体"/>
          <w:b/>
          <w:bCs/>
          <w:color w:val="000000" w:themeColor="text1"/>
          <w:sz w:val="24"/>
          <w:szCs w:val="22"/>
          <w:highlight w:val="none"/>
          <w14:textFill>
            <w14:solidFill>
              <w14:schemeClr w14:val="tx1"/>
            </w14:solidFill>
          </w14:textFill>
        </w:rPr>
      </w:pPr>
      <w:r>
        <w:rPr>
          <w:rFonts w:hint="eastAsia" w:ascii="宋体" w:hAnsi="宋体" w:cs="宋体"/>
          <w:b/>
          <w:bCs/>
          <w:color w:val="000000" w:themeColor="text1"/>
          <w:sz w:val="24"/>
          <w:szCs w:val="22"/>
          <w:highlight w:val="none"/>
          <w14:textFill>
            <w14:solidFill>
              <w14:schemeClr w14:val="tx1"/>
            </w14:solidFill>
          </w14:textFill>
        </w:rPr>
        <w:br w:type="page"/>
      </w:r>
    </w:p>
    <w:p w14:paraId="47DB6AA7">
      <w:pPr>
        <w:keepNext w:val="0"/>
        <w:keepLines w:val="0"/>
        <w:pageBreakBefore w:val="0"/>
        <w:numPr>
          <w:ilvl w:val="0"/>
          <w:numId w:val="62"/>
        </w:numPr>
        <w:kinsoku/>
        <w:wordWrap/>
        <w:overflowPunct/>
        <w:topLinePunct w:val="0"/>
        <w:autoSpaceDE/>
        <w:autoSpaceDN/>
        <w:bidi w:val="0"/>
        <w:adjustRightInd/>
        <w:snapToGrid/>
        <w:spacing w:line="440" w:lineRule="exact"/>
        <w:jc w:val="center"/>
        <w:outlineLvl w:val="1"/>
        <w:rPr>
          <w:rFonts w:hint="eastAsia" w:ascii="宋体" w:hAnsi="宋体" w:eastAsia="宋体" w:cs="宋体"/>
          <w:b/>
          <w:bCs/>
          <w:sz w:val="24"/>
          <w:szCs w:val="24"/>
          <w:highlight w:val="none"/>
          <w:lang w:val="en-US" w:eastAsia="zh-CN"/>
        </w:rPr>
      </w:pPr>
      <w:bookmarkStart w:id="89" w:name="_Toc18981"/>
      <w:r>
        <w:rPr>
          <w:rFonts w:hint="eastAsia" w:ascii="宋体" w:hAnsi="宋体" w:eastAsia="宋体" w:cs="宋体"/>
          <w:b/>
          <w:bCs/>
          <w:sz w:val="24"/>
          <w:szCs w:val="24"/>
          <w:highlight w:val="none"/>
          <w:lang w:val="en-US" w:eastAsia="zh-CN"/>
        </w:rPr>
        <w:t>超声波清洗机</w:t>
      </w:r>
      <w:bookmarkEnd w:id="89"/>
    </w:p>
    <w:p w14:paraId="60DF258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 适用范围  用于 内径活检钳、手术刀、止血钳、镊子、抽吸装置、麻醉管道、输液器、瓶子、瓷制品、各种口腔科器械、测压器等污染性器械清洗。</w:t>
      </w:r>
    </w:p>
    <w:p w14:paraId="52E0D8D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 内舱容积 ≥115L</w:t>
      </w:r>
    </w:p>
    <w:p w14:paraId="50259E3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 材质： 采用厚304不锈钢材料 。</w:t>
      </w:r>
    </w:p>
    <w:p w14:paraId="02F15E1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 开门方式 手动翻转门</w:t>
      </w:r>
    </w:p>
    <w:p w14:paraId="3B13D31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  U型排水管路含排水泵，排水时间≤4min，配有电磁阀排污阀、循环泵、电加热管、温度传感器、水位开关外，进酶、进油的蠕动泵</w:t>
      </w:r>
    </w:p>
    <w:p w14:paraId="5E121FF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 液晶显示屏 可显示进水时间、补水时间、排水时间、清洗方式、清洗时间、当前温度、液位保护、超声波功率、超声波频率，当前选择程序名称、过程、状态、参数等诸多信息；</w:t>
      </w:r>
    </w:p>
    <w:p w14:paraId="6D37EC4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7具有报警信息显示功能</w:t>
      </w:r>
    </w:p>
    <w:p w14:paraId="7F7DC9E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 超声功率 ≤1500W，并在600-1500W范围内可调</w:t>
      </w:r>
    </w:p>
    <w:p w14:paraId="3C0ED2E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 超声频率 40KHZ±5％。</w:t>
      </w:r>
    </w:p>
    <w:p w14:paraId="03B24F3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 控制方式 单片机芯片；100-240VAC宽电压范围；具备独立的电源滤波器，具有故障自动检测功能。</w:t>
      </w:r>
    </w:p>
    <w:p w14:paraId="7A0414D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 加热方式 电加热，功率≥9KW</w:t>
      </w:r>
    </w:p>
    <w:p w14:paraId="71E292C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 清洗温度 40℃（推荐温度）30℃～95℃可调</w:t>
      </w:r>
    </w:p>
    <w:p w14:paraId="6D9F727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 可根据不同情况设置进酶、进水、排液的时间、剂量，精确到毫升。</w:t>
      </w:r>
    </w:p>
    <w:p w14:paraId="5F82CCE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 安全保护 具备水位低保护功能进水超时保护功能</w:t>
      </w:r>
    </w:p>
    <w:p w14:paraId="763E9E8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电机过流保护</w:t>
      </w:r>
    </w:p>
    <w:p w14:paraId="6B32C32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 运行时间 ≤42Min</w:t>
      </w:r>
    </w:p>
    <w:p w14:paraId="6E6DF53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16 配备备用清洗篮筐≥1个，备用温度传感器3个</w:t>
      </w:r>
    </w:p>
    <w:p w14:paraId="6B1B2E6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p>
    <w:p w14:paraId="6B03325A">
      <w:pPr>
        <w:keepNext w:val="0"/>
        <w:keepLines w:val="0"/>
        <w:pageBreakBefore w:val="0"/>
        <w:kinsoku/>
        <w:wordWrap/>
        <w:overflowPunct/>
        <w:topLinePunct w:val="0"/>
        <w:autoSpaceDE/>
        <w:autoSpaceDN/>
        <w:bidi w:val="0"/>
        <w:adjustRightInd/>
        <w:snapToGrid/>
        <w:spacing w:line="440" w:lineRule="exact"/>
        <w:jc w:val="center"/>
        <w:outlineLvl w:val="1"/>
        <w:rPr>
          <w:rFonts w:hint="eastAsia" w:ascii="宋体" w:hAnsi="宋体" w:eastAsia="宋体" w:cs="宋体"/>
          <w:b/>
          <w:bCs/>
          <w:sz w:val="24"/>
          <w:szCs w:val="24"/>
          <w:highlight w:val="none"/>
          <w:lang w:val="en-US" w:eastAsia="zh-CN"/>
        </w:rPr>
      </w:pPr>
      <w:bookmarkStart w:id="90" w:name="_Toc3826"/>
      <w:r>
        <w:rPr>
          <w:rFonts w:hint="eastAsia" w:ascii="宋体" w:hAnsi="宋体" w:eastAsia="宋体" w:cs="宋体"/>
          <w:b/>
          <w:bCs/>
          <w:sz w:val="24"/>
          <w:szCs w:val="24"/>
          <w:highlight w:val="none"/>
          <w:lang w:val="en-US" w:eastAsia="zh-CN"/>
        </w:rPr>
        <w:t>2、热风枪</w:t>
      </w:r>
      <w:bookmarkEnd w:id="90"/>
    </w:p>
    <w:p w14:paraId="613CB14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1.适用范围：适用于对不同规格的管腔器械进行吹干干燥，并且能够根据管腔器械的要求设定不同的吹干时间，可以对单个管腔器械进行吹干。</w:t>
      </w:r>
    </w:p>
    <w:p w14:paraId="575146B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2.流量：≥35L/分钟</w:t>
      </w:r>
    </w:p>
    <w:p w14:paraId="7B386E8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3.适用压力：0.3Mpa-1.0Mpa</w:t>
      </w:r>
    </w:p>
    <w:p w14:paraId="73D7E7E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4.可连续性对气体加热，其释放气体对人体与消毒环境安全无害；</w:t>
      </w:r>
    </w:p>
    <w:p w14:paraId="6583741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5.微电脑控制、手动、自动、定时开关机、停机功能 </w:t>
      </w:r>
    </w:p>
    <w:p w14:paraId="76F3FE5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6.每台设备配备满足正常使用需求的气泵1台。</w:t>
      </w:r>
      <w:r>
        <w:rPr>
          <w:rFonts w:hint="eastAsia" w:ascii="宋体" w:hAnsi="宋体" w:eastAsia="宋体" w:cs="宋体"/>
          <w:b/>
          <w:bCs/>
          <w:sz w:val="24"/>
          <w:szCs w:val="24"/>
          <w:highlight w:val="none"/>
          <w:lang w:val="en-US" w:eastAsia="zh-CN"/>
        </w:rPr>
        <w:br w:type="page"/>
      </w:r>
    </w:p>
    <w:p w14:paraId="49EB8DB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outlineLvl w:val="1"/>
        <w:rPr>
          <w:rFonts w:hint="eastAsia" w:ascii="宋体" w:hAnsi="宋体" w:eastAsia="宋体" w:cs="宋体"/>
          <w:b/>
          <w:bCs/>
          <w:sz w:val="24"/>
          <w:szCs w:val="24"/>
          <w:highlight w:val="none"/>
          <w:lang w:val="en-US" w:eastAsia="zh-CN"/>
        </w:rPr>
      </w:pPr>
      <w:bookmarkStart w:id="91" w:name="_Toc10672"/>
      <w:r>
        <w:rPr>
          <w:rFonts w:hint="eastAsia" w:ascii="宋体" w:hAnsi="宋体" w:eastAsia="宋体" w:cs="宋体"/>
          <w:b/>
          <w:bCs/>
          <w:sz w:val="24"/>
          <w:szCs w:val="24"/>
          <w:highlight w:val="none"/>
          <w:lang w:val="en-US" w:eastAsia="zh-CN"/>
        </w:rPr>
        <w:t>3、蒸汽发生器</w:t>
      </w:r>
      <w:bookmarkEnd w:id="91"/>
    </w:p>
    <w:p w14:paraId="2B18E80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 电加热式蒸汽发生器</w:t>
      </w:r>
    </w:p>
    <w:p w14:paraId="138E3A8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outlineLvl w:val="9"/>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 额定功率 ≥90kw</w:t>
      </w:r>
    </w:p>
    <w:p w14:paraId="4BA5699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outlineLvl w:val="9"/>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 额定蒸发量  ≥160Kg/h</w:t>
      </w:r>
    </w:p>
    <w:p w14:paraId="018CDAD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outlineLvl w:val="9"/>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 最高蒸汽温度  ≥167℃</w:t>
      </w:r>
    </w:p>
    <w:p w14:paraId="408E3BF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outlineLvl w:val="9"/>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 设计热效率 ≥ 98％</w:t>
      </w:r>
    </w:p>
    <w:p w14:paraId="35FC8BF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outlineLvl w:val="9"/>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 工作压力 0~0.65Mpa可调7 水源供给 0.15~0.5Mpa（使用专配软水机）</w:t>
      </w:r>
    </w:p>
    <w:p w14:paraId="5717B8D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outlineLvl w:val="9"/>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 安全阀设置 开启压力≤0.70Mpa,回座压力≥0.60Mpa</w:t>
      </w:r>
    </w:p>
    <w:p w14:paraId="56B7B8F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outlineLvl w:val="9"/>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 容积  ≥0.12m³</w:t>
      </w:r>
    </w:p>
    <w:p w14:paraId="732D109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outlineLvl w:val="9"/>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 水容量 ≥ 75Kg</w:t>
      </w:r>
    </w:p>
    <w:p w14:paraId="6BF97DD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outlineLvl w:val="9"/>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 控制方式 全自动</w:t>
      </w:r>
    </w:p>
    <w:p w14:paraId="0164377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outlineLvl w:val="9"/>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 每台舍不配备备用加热管6根，水位感应器1个，压力表1套，安全阀1套</w:t>
      </w:r>
    </w:p>
    <w:p w14:paraId="27A9FF6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outlineLvl w:val="9"/>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 负责设备蒸汽管路连接到灭菌设备的管路材料及管路安装。</w:t>
      </w:r>
    </w:p>
    <w:p w14:paraId="2F739FAA">
      <w:pPr>
        <w:keepNext w:val="0"/>
        <w:keepLines w:val="0"/>
        <w:pageBreakBefore w:val="0"/>
        <w:kinsoku/>
        <w:wordWrap/>
        <w:overflowPunct/>
        <w:topLinePunct w:val="0"/>
        <w:autoSpaceDE/>
        <w:autoSpaceDN/>
        <w:bidi w:val="0"/>
        <w:adjustRightInd/>
        <w:snapToGrid/>
        <w:spacing w:line="440" w:lineRule="exact"/>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p>
    <w:p w14:paraId="22FA740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outlineLvl w:val="1"/>
        <w:rPr>
          <w:rFonts w:hint="eastAsia" w:ascii="宋体" w:hAnsi="宋体" w:eastAsia="宋体" w:cs="宋体"/>
          <w:b/>
          <w:bCs/>
          <w:sz w:val="24"/>
          <w:szCs w:val="24"/>
          <w:highlight w:val="none"/>
          <w:lang w:val="en-US" w:eastAsia="zh-CN"/>
        </w:rPr>
      </w:pPr>
      <w:bookmarkStart w:id="92" w:name="_Toc2482"/>
      <w:r>
        <w:rPr>
          <w:rFonts w:hint="eastAsia" w:ascii="宋体" w:hAnsi="宋体" w:eastAsia="宋体" w:cs="宋体"/>
          <w:b/>
          <w:bCs/>
          <w:sz w:val="24"/>
          <w:szCs w:val="24"/>
          <w:highlight w:val="none"/>
          <w:lang w:val="en-US" w:eastAsia="zh-CN"/>
        </w:rPr>
        <w:t>4、真空灭菌锅</w:t>
      </w:r>
      <w:r>
        <w:rPr>
          <w:rFonts w:hint="eastAsia" w:ascii="宋体" w:hAnsi="宋体" w:eastAsia="宋体" w:cs="宋体"/>
          <w:b/>
          <w:bCs/>
          <w:color w:val="FF0000"/>
          <w:sz w:val="24"/>
          <w:szCs w:val="24"/>
          <w:highlight w:val="none"/>
          <w:lang w:val="en-US" w:eastAsia="zh-CN"/>
        </w:rPr>
        <w:t>（核心设备）</w:t>
      </w:r>
      <w:bookmarkEnd w:id="92"/>
    </w:p>
    <w:p w14:paraId="3AA69D5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1.容积≥1150L，</w:t>
      </w:r>
    </w:p>
    <w:p w14:paraId="19FD095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2.主体结构：环形加强筋结构，；多点进汽，多段加热，温度梯度便于内腔蒸汽对流，。    </w:t>
      </w:r>
    </w:p>
    <w:p w14:paraId="44CC3FD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3.焊接工艺：全自动焊接机器人焊接氩气保护，自动控制无过烧现象。4.材质：内壳316L，夹层316L或优于此材质，提供证明材料。</w:t>
      </w:r>
    </w:p>
    <w:p w14:paraId="7227502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5.设计压力：-0.1-0.3Mpa  </w:t>
      </w:r>
    </w:p>
    <w:p w14:paraId="0A517A5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6.设计温度：≥140℃   </w:t>
      </w:r>
    </w:p>
    <w:p w14:paraId="7E96EF9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7.设计使用寿命：≥15年/30000次灭菌循环，提供设备铭牌。</w:t>
      </w:r>
    </w:p>
    <w:p w14:paraId="41BA6B2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8.夹套数量：环形加强筋结构，环形加强筋个数≥7个；单点进汽。  </w:t>
      </w:r>
    </w:p>
    <w:p w14:paraId="63317F6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9.主体保温：玻璃棉，厚度≥50mm     </w:t>
      </w:r>
    </w:p>
    <w:p w14:paraId="0A684AF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10.结构：与主体啮合齿数≥12个，门板加强筋板数量≥4个    </w:t>
      </w:r>
    </w:p>
    <w:p w14:paraId="0DD90B1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▲11.开门方式：全自动开门（非平移式）</w:t>
      </w:r>
      <w:r>
        <w:rPr>
          <w:rFonts w:hint="eastAsia" w:ascii="宋体" w:hAnsi="宋体" w:eastAsia="宋体" w:cs="宋体"/>
          <w:i w:val="0"/>
          <w:iCs w:val="0"/>
          <w:color w:val="000000"/>
          <w:kern w:val="0"/>
          <w:sz w:val="24"/>
          <w:szCs w:val="24"/>
          <w:highlight w:val="none"/>
          <w:u w:val="none"/>
          <w:lang w:val="en-US" w:eastAsia="zh-CN" w:bidi="ar"/>
        </w:rPr>
        <w:t xml:space="preserve">    </w:t>
      </w:r>
    </w:p>
    <w:p w14:paraId="0D37EB9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12.安全联锁：压力安全联锁装置：内室有正压或负压压力，门无法打开。     </w:t>
      </w:r>
    </w:p>
    <w:p w14:paraId="1785ED3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13.双门互锁功能14.门胶圈：圆形门胶圈，透明高抗撕硅橡胶材质，压缩气密封，提供证明材料。</w:t>
      </w:r>
    </w:p>
    <w:p w14:paraId="5EC8133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15.门板保温：门板带保温     </w:t>
      </w:r>
    </w:p>
    <w:p w14:paraId="76EB4A8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17.管路材质：不锈钢卫生级管路，卡箍链接     </w:t>
      </w:r>
    </w:p>
    <w:p w14:paraId="565E585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18.蒸汽源：外接蒸汽    </w:t>
      </w:r>
    </w:p>
    <w:p w14:paraId="7B55B73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19.降噪系统：带有节水降噪装置，提供证明材料。</w:t>
      </w:r>
    </w:p>
    <w:p w14:paraId="5B11448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 xml:space="preserve">★20.自带蒸汽品质提升装置   </w:t>
      </w:r>
    </w:p>
    <w:p w14:paraId="114FF7E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21.换热装置：板式换热器     </w:t>
      </w:r>
    </w:p>
    <w:p w14:paraId="7FC901B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22.管路保温：管路自带保温层</w:t>
      </w:r>
    </w:p>
    <w:p w14:paraId="68B7BB0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23.低温无压排水：</w:t>
      </w:r>
    </w:p>
    <w:p w14:paraId="458C1A6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24.本配备1个RS485和1个100M以太网口，支持MODBUS_TCP/RTU协议。</w:t>
      </w:r>
    </w:p>
    <w:p w14:paraId="0FF6523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 xml:space="preserve">★25.≥8英寸触摸屏，配备≥256MRAM+4GFlash存储，Linux实时系统，前面板IP65防护，并提供双RS-232、RS-485及双网口，支持前后双屏实时同步。 </w:t>
      </w:r>
      <w:r>
        <w:rPr>
          <w:rFonts w:hint="eastAsia" w:ascii="宋体" w:hAnsi="宋体" w:eastAsia="宋体" w:cs="宋体"/>
          <w:i w:val="0"/>
          <w:iCs w:val="0"/>
          <w:color w:val="000000"/>
          <w:kern w:val="0"/>
          <w:sz w:val="24"/>
          <w:szCs w:val="24"/>
          <w:highlight w:val="none"/>
          <w:u w:val="none"/>
          <w:lang w:val="en-US" w:eastAsia="zh-CN" w:bidi="ar"/>
        </w:rPr>
        <w:t xml:space="preserve">    </w:t>
      </w:r>
    </w:p>
    <w:p w14:paraId="7C0FDB3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26.记录方式：配备内置热敏打印机并支持通过选配电脑监控软件与外置喷墨打印机连接，实现数据的永久保存与随时打印。     </w:t>
      </w:r>
    </w:p>
    <w:p w14:paraId="67EDBCF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27.记录内容：内置热敏打印机可全面记录并打印灭菌过程的温度、压力、时间、阶段、预置参数以及程序运行中的关键报警信息，提供打印记录。                                                                                                                                                                            </w:t>
      </w:r>
    </w:p>
    <w:p w14:paraId="66E53A6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28.数据保存：</w:t>
      </w:r>
    </w:p>
    <w:p w14:paraId="72ACE24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28.1使用长效热敏纸，在适宜的环境下可保存10年；</w:t>
      </w:r>
    </w:p>
    <w:p w14:paraId="54C3578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28.2显示屏存储：运行数据可存储在显示屏内，可存储数据量≥6年/12000次灭菌循环；</w:t>
      </w:r>
    </w:p>
    <w:p w14:paraId="5A8D162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28.3电脑存储：可通过选配电脑监控软件，将程序运行的电子数据永久保存、重复打印、随时查看。     </w:t>
      </w:r>
    </w:p>
    <w:p w14:paraId="53C6A5D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29.权限管理：用户分级权限管理，≥四级权限管理，可与追溯系统自动衔接，提供证明材料。    </w:t>
      </w:r>
    </w:p>
    <w:p w14:paraId="54FE81B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30.安全保护：超压保护：内室压力超过程序运行允许压力，程序自动退出转入故障状态下处理               </w:t>
      </w:r>
    </w:p>
    <w:p w14:paraId="268318A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31.门关位检测保护：门开关在程序运行过程中检测异常，程序自动退出转入故障状态处理；</w:t>
      </w:r>
    </w:p>
    <w:p w14:paraId="6D3B22D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32.门安全联锁装置：门未锁紧时，蒸汽不能进入灭菌室；灭菌室压力完全释放才能开门。</w:t>
      </w:r>
    </w:p>
    <w:p w14:paraId="28D97D9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33.具备超压自动保护、门关位实时检测异常处理及门安全联锁装置（未锁紧不进汽，有压不开门）三重安全防护机制34.程序种类及数量：灭菌类程序：≥25套(含14套自定义程序)；测试类程序：≥4套；辅助类程序：≥2套</w:t>
      </w:r>
    </w:p>
    <w:p w14:paraId="31CAB6E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35.程序运行时间：标准循环:≦55分钟。     </w:t>
      </w:r>
    </w:p>
    <w:p w14:paraId="129E3D1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36.脉动次数：标准循环：3次负压脉动，1次跨压脉动，3次正压脉动。脉动次数设定范围：0～99次可设。     </w:t>
      </w:r>
    </w:p>
    <w:p w14:paraId="7D710FE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37.灭菌温度：标准循环：121℃和134℃。灭菌温度设定范围：115～139℃可设。灭菌时间：标准循环：121℃，20分钟；134℃，5分钟。灭菌时间设定范围：0～9999秒可设。      </w:t>
      </w:r>
    </w:p>
    <w:p w14:paraId="58B2DC1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38.干燥时间设定范围：0～9999秒可设。        </w:t>
      </w:r>
    </w:p>
    <w:p w14:paraId="59620EA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39.设备配置：主体1个，导轨1个，消毒车1辆，搬运车2辆，防烫手套6双，压力表、安全阀除主机自带一套外，另配备一套备用压力表、安全阀，配备门胶条2套，气泵1台，备用真空泵1台，无菌物品存放架2个，水位感应器1个，换热器1个，电磁阀3个，O型圈10个。</w:t>
      </w:r>
    </w:p>
    <w:p w14:paraId="5A08D0C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40.中标方承担设备首次鉴定的费用，并协助办理特种设备使用登记。</w:t>
      </w:r>
    </w:p>
    <w:p w14:paraId="6EF2ABB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41.设备机房配备新风、排风系统，并负责安装调试。</w:t>
      </w:r>
    </w:p>
    <w:p w14:paraId="5586002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rPr>
          <w:rFonts w:hint="eastAsia" w:ascii="宋体" w:hAnsi="宋体" w:eastAsia="宋体" w:cs="宋体"/>
          <w:b/>
          <w:bCs/>
          <w:sz w:val="24"/>
          <w:szCs w:val="24"/>
          <w:highlight w:val="none"/>
          <w:lang w:val="en-US" w:eastAsia="zh-CN"/>
        </w:rPr>
      </w:pPr>
    </w:p>
    <w:p w14:paraId="6E78091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p>
    <w:p w14:paraId="2C5F369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outlineLvl w:val="1"/>
        <w:rPr>
          <w:rFonts w:hint="eastAsia" w:ascii="宋体" w:hAnsi="宋体" w:eastAsia="宋体" w:cs="宋体"/>
          <w:b/>
          <w:bCs/>
          <w:sz w:val="24"/>
          <w:szCs w:val="24"/>
          <w:highlight w:val="none"/>
          <w:lang w:val="en-US" w:eastAsia="zh-CN"/>
        </w:rPr>
      </w:pPr>
      <w:bookmarkStart w:id="93" w:name="_Toc21996"/>
      <w:r>
        <w:rPr>
          <w:rFonts w:hint="eastAsia" w:ascii="宋体" w:hAnsi="宋体" w:eastAsia="宋体" w:cs="宋体"/>
          <w:b/>
          <w:bCs/>
          <w:kern w:val="2"/>
          <w:sz w:val="24"/>
          <w:szCs w:val="24"/>
          <w:highlight w:val="none"/>
          <w:lang w:val="en-US" w:eastAsia="zh-CN" w:bidi="ar-SA"/>
        </w:rPr>
        <w:t>5、</w:t>
      </w:r>
      <w:r>
        <w:rPr>
          <w:rFonts w:hint="eastAsia" w:ascii="宋体" w:hAnsi="宋体" w:eastAsia="宋体" w:cs="宋体"/>
          <w:b/>
          <w:bCs/>
          <w:sz w:val="24"/>
          <w:szCs w:val="24"/>
          <w:highlight w:val="none"/>
          <w:lang w:val="en-US" w:eastAsia="zh-CN"/>
        </w:rPr>
        <w:t>纯水机</w:t>
      </w:r>
      <w:bookmarkEnd w:id="93"/>
    </w:p>
    <w:p w14:paraId="66DECD5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1.双级反渗透</w:t>
      </w:r>
    </w:p>
    <w:p w14:paraId="1852948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2.用途：适用医院消毒供应中心（可与各类清洗设备、高压灭菌设备配套适用）、手术室无菌水、口腔科无菌水、胃镜室无菌水、实验室及其他科室使用纯水、</w:t>
      </w:r>
    </w:p>
    <w:p w14:paraId="6EBA9AC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、3.产水量：≥1000L/h4.水利用率:≥70%</w:t>
      </w:r>
    </w:p>
    <w:p w14:paraId="064B174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5.脱盐率：≥99%</w:t>
      </w:r>
    </w:p>
    <w:p w14:paraId="1FBA5A0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6.产水水质：纯水电导率：≤5us/cm（25℃）</w:t>
      </w:r>
    </w:p>
    <w:p w14:paraId="2421554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7：全自动预处理+两泵工艺双极反渗透+紫外杀菌+恒压供水系统</w:t>
      </w:r>
    </w:p>
    <w:p w14:paraId="763B246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8：产水水质符合GB/T19249-20039【反渗透水处理设备】、满足WS310.1-2009【消毒供应中心管理规范】</w:t>
      </w:r>
    </w:p>
    <w:p w14:paraId="22C65F5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 主要技术要求：</w:t>
      </w:r>
    </w:p>
    <w:p w14:paraId="64B22A1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8.1：主机自动/手动运行控制，所有阀门为316不锈钢阀门控制；</w:t>
      </w:r>
    </w:p>
    <w:p w14:paraId="528D16C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8.2：具有单级、双级运行功能；一级回收率40%；二级零排放；一级出现故障的情况下，二级可单独运行；</w:t>
      </w:r>
    </w:p>
    <w:p w14:paraId="058F2FC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8.3：预处理系统自动冲洗及再生运行；罐体规格为树脂罐预处理系统；</w:t>
      </w:r>
    </w:p>
    <w:p w14:paraId="771F471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8.4：具有反渗主机开机、停止自动清洗保养功能；</w:t>
      </w:r>
    </w:p>
    <w:p w14:paraId="6EC8514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8.5：具备无水保护，压力保护等多种安全自锁装置；</w:t>
      </w:r>
    </w:p>
    <w:p w14:paraId="148BE5D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8.6: 同时实现水质、流量、压力在线监测显示功能；</w:t>
      </w:r>
    </w:p>
    <w:p w14:paraId="55482E5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8.7：故障自动检测显示、查询功能； </w:t>
      </w:r>
    </w:p>
    <w:p w14:paraId="77E9183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8.8  软水、纯水具有独立的供水管路，可分别多点取水；</w:t>
      </w:r>
    </w:p>
    <w:p w14:paraId="407ECAE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8.9：控制方式：PLC、彩色触控屏智能控制，在线显示主机实时工作状态；在线显示一级纯水和终端纯水电导率等参数；</w:t>
      </w:r>
    </w:p>
    <w:p w14:paraId="1320C02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 反渗透系统：</w:t>
      </w:r>
    </w:p>
    <w:p w14:paraId="2F508D1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9.1高压泵：每一级独立增压泵，泵体材质为不锈钢</w:t>
      </w:r>
    </w:p>
    <w:p w14:paraId="5FA2D71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9.2膜元件：陶氏或海德能膜 脱盐率≥99%、膜片类型为：芳香族聚酰   胺复合膜产水量为≥0.25m3/H/支，膜元件数量：10根/套</w:t>
      </w:r>
    </w:p>
    <w:p w14:paraId="13A9081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9.3 反渗透主机及供水系统集成在一体化机柜。</w:t>
      </w:r>
    </w:p>
    <w:p w14:paraId="4951291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 采用无菌恒压式供水,恒压范围1.5-3公斤(可调)</w:t>
      </w:r>
    </w:p>
    <w:p w14:paraId="526DD1F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10.1 纯水输送要求：输送泵材质为不锈钢，压力缓存系统；</w:t>
      </w:r>
    </w:p>
    <w:p w14:paraId="4A98126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10.2水箱：容积≥1000L，材质为304不锈钢，水箱装有液位控制器自动控制设备启停。</w:t>
      </w:r>
    </w:p>
    <w:p w14:paraId="4F683C6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12.管路要求：系统管道：U-PVC</w:t>
      </w:r>
    </w:p>
    <w:p w14:paraId="381409D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13.质保期限：整机质保5年，质保范围不含耗材（滤芯、RO膜等易损耗部件），质保期自设备验收合格之日起计算。第一年耗材（含滤芯、RO膜等易损耗部件）免费更换，由供应商提供原厂合格耗材并负责上门更换，确保设备正常运行。</w:t>
      </w:r>
    </w:p>
    <w:p w14:paraId="5F6B144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14.售后保障：质保期内，设备非人为损坏出现故障，供应商需24小时内响应，及时提供上门维修、更换非耗材配件等服务，保障设备正常使用。</w:t>
      </w:r>
    </w:p>
    <w:p w14:paraId="25D49C2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15.配备臭氧消毒装置，主管道加装前置过滤装置。</w:t>
      </w:r>
    </w:p>
    <w:p w14:paraId="0C1093C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16.负责纯水机安装房间内改造，做好的防水处理。</w:t>
      </w:r>
    </w:p>
    <w:p w14:paraId="160C762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17.负责将纯水管路与灭菌设备的水路连接。</w:t>
      </w:r>
    </w:p>
    <w:p w14:paraId="5A761854">
      <w:pP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br w:type="page"/>
      </w:r>
    </w:p>
    <w:p w14:paraId="207B0F4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outlineLvl w:val="1"/>
        <w:rPr>
          <w:rFonts w:hint="eastAsia" w:ascii="宋体" w:hAnsi="宋体" w:eastAsia="宋体" w:cs="宋体"/>
          <w:b/>
          <w:bCs/>
          <w:sz w:val="24"/>
          <w:szCs w:val="24"/>
          <w:highlight w:val="none"/>
          <w:lang w:val="en-US" w:eastAsia="zh-CN"/>
        </w:rPr>
      </w:pPr>
      <w:bookmarkStart w:id="94" w:name="_Toc30124"/>
      <w:r>
        <w:rPr>
          <w:rFonts w:hint="eastAsia" w:ascii="宋体" w:hAnsi="宋体" w:eastAsia="宋体" w:cs="宋体"/>
          <w:b/>
          <w:bCs/>
          <w:kern w:val="2"/>
          <w:sz w:val="24"/>
          <w:szCs w:val="24"/>
          <w:highlight w:val="none"/>
          <w:lang w:val="en-US" w:eastAsia="zh-CN" w:bidi="ar-SA"/>
        </w:rPr>
        <w:t>6、</w:t>
      </w:r>
      <w:r>
        <w:rPr>
          <w:rFonts w:hint="eastAsia" w:ascii="宋体" w:hAnsi="宋体" w:eastAsia="宋体" w:cs="宋体"/>
          <w:b/>
          <w:bCs/>
          <w:sz w:val="24"/>
          <w:szCs w:val="24"/>
          <w:highlight w:val="none"/>
          <w:lang w:val="en-US" w:eastAsia="zh-CN"/>
        </w:rPr>
        <w:t>煮沸槽</w:t>
      </w:r>
      <w:bookmarkEnd w:id="94"/>
    </w:p>
    <w:p w14:paraId="49EA24B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1.用途：用于医院供应室、手术室、实验室等对各类医疗器械、试验用器具的煮沸消毒。</w:t>
      </w:r>
    </w:p>
    <w:p w14:paraId="07637A1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2加热管将水加热3.容积：≥80L</w:t>
      </w:r>
    </w:p>
    <w:p w14:paraId="52F732C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4.具有自动上油功能，上油时间可调，</w:t>
      </w:r>
    </w:p>
    <w:p w14:paraId="4E1B0CF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、5.电动升降开门，开门助力</w:t>
      </w:r>
    </w:p>
    <w:p w14:paraId="7AA55D5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6.防护安全：开门状态下，装载篮筐自动升起，离开清洗水面，自动沥水，7.温度设置：80℃-93℃，温度可调。</w:t>
      </w:r>
    </w:p>
    <w:p w14:paraId="2050DEC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8.运行时间：3-10min，时间可调。</w:t>
      </w:r>
    </w:p>
    <w:p w14:paraId="6FE560E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9.电加热</w:t>
      </w:r>
    </w:p>
    <w:p w14:paraId="77FD26F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10.耗水量：≤65L</w:t>
      </w:r>
    </w:p>
    <w:p w14:paraId="61FD606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11.材质：≥2.0mm厚304L不锈钢镜面板，清洗架：不锈钢。</w:t>
      </w:r>
    </w:p>
    <w:p w14:paraId="7658EAA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12.快速管路：U型排水管路含排水泵，</w:t>
      </w:r>
    </w:p>
    <w:p w14:paraId="05348D0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14.控制系统：液晶屏显示，控制超声清洗全过程，触控式按键操作；</w:t>
      </w:r>
    </w:p>
    <w:p w14:paraId="393BBB8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15.安全：包含进水慢、升温慢、过热保护、温度故障等相关报警提示</w:t>
      </w:r>
    </w:p>
    <w:p w14:paraId="21D981D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▲16提供消毒效果检测报告（包含金黄葡萄球菌、大肠杆菌、白色念珠菌菌种消毒效果）</w:t>
      </w:r>
    </w:p>
    <w:p w14:paraId="36020D1E">
      <w:pPr>
        <w:keepNext w:val="0"/>
        <w:keepLines w:val="0"/>
        <w:pageBreakBefore w:val="0"/>
        <w:widowControl/>
        <w:numPr>
          <w:ilvl w:val="0"/>
          <w:numId w:val="63"/>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标准配置：主机1台、器械清洗篮框 1个、配备平板推车2台，带A0值监测，水位感应器1个。</w:t>
      </w:r>
    </w:p>
    <w:p w14:paraId="2ABC5E32">
      <w:pPr>
        <w:keepNext w:val="0"/>
        <w:keepLines w:val="0"/>
        <w:widowControl/>
        <w:suppressLineNumbers w:val="0"/>
        <w:jc w:val="left"/>
        <w:textAlignment w:val="center"/>
        <w:rPr>
          <w:rFonts w:hint="default" w:ascii="宋体" w:hAnsi="宋体" w:eastAsia="宋体" w:cs="宋体"/>
          <w:i w:val="0"/>
          <w:iCs w:val="0"/>
          <w:color w:val="000000"/>
          <w:kern w:val="0"/>
          <w:sz w:val="28"/>
          <w:szCs w:val="28"/>
          <w:highlight w:val="none"/>
          <w:u w:val="none"/>
          <w:lang w:val="en-US" w:eastAsia="zh-CN" w:bidi="ar"/>
        </w:rPr>
      </w:pPr>
    </w:p>
    <w:p w14:paraId="2AE4C80E">
      <w:pPr>
        <w:rPr>
          <w:rFonts w:hint="eastAsia" w:ascii="宋体" w:hAnsi="宋体" w:cs="宋体"/>
          <w:b/>
          <w:bCs/>
          <w:color w:val="000000" w:themeColor="text1"/>
          <w:sz w:val="24"/>
          <w:szCs w:val="22"/>
          <w:highlight w:val="none"/>
          <w14:textFill>
            <w14:solidFill>
              <w14:schemeClr w14:val="tx1"/>
            </w14:solidFill>
          </w14:textFill>
        </w:rPr>
      </w:pPr>
      <w:r>
        <w:rPr>
          <w:rFonts w:hint="eastAsia" w:ascii="宋体" w:hAnsi="宋体" w:cs="宋体"/>
          <w:b/>
          <w:bCs/>
          <w:color w:val="000000" w:themeColor="text1"/>
          <w:sz w:val="24"/>
          <w:szCs w:val="22"/>
          <w:highlight w:val="none"/>
          <w14:textFill>
            <w14:solidFill>
              <w14:schemeClr w14:val="tx1"/>
            </w14:solidFill>
          </w14:textFill>
        </w:rPr>
        <w:br w:type="page"/>
      </w:r>
    </w:p>
    <w:p w14:paraId="62DA45E1">
      <w:pP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2"/>
          <w:highlight w:val="none"/>
          <w14:textFill>
            <w14:solidFill>
              <w14:schemeClr w14:val="tx1"/>
            </w14:solidFill>
          </w14:textFill>
        </w:rPr>
        <w:t>注：1、</w:t>
      </w:r>
      <w:r>
        <w:rPr>
          <w:rFonts w:hint="eastAsia" w:ascii="宋体" w:hAnsi="宋体" w:cs="宋体"/>
          <w:b/>
          <w:bCs/>
          <w:color w:val="000000" w:themeColor="text1"/>
          <w:sz w:val="24"/>
          <w:szCs w:val="24"/>
          <w:highlight w:val="none"/>
          <w14:textFill>
            <w14:solidFill>
              <w14:schemeClr w14:val="tx1"/>
            </w14:solidFill>
          </w14:textFill>
        </w:rPr>
        <w:t>投标报价（即开标报价）不得有选择性报价和附有条件的报价，每项投标单价不得高于预算单价，否则其投标无效。</w:t>
      </w:r>
    </w:p>
    <w:p w14:paraId="48155EEF">
      <w:pPr>
        <w:rPr>
          <w:rFonts w:ascii="宋体" w:hAnsi="宋体" w:cs="宋体"/>
          <w:b/>
          <w:bCs/>
          <w:color w:val="000000" w:themeColor="text1"/>
          <w:sz w:val="24"/>
          <w:szCs w:val="22"/>
          <w:highlight w:val="none"/>
          <w14:textFill>
            <w14:solidFill>
              <w14:schemeClr w14:val="tx1"/>
            </w14:solidFill>
          </w14:textFill>
        </w:rPr>
      </w:pPr>
      <w:r>
        <w:rPr>
          <w:rFonts w:hint="eastAsia" w:ascii="宋体" w:hAnsi="宋体" w:cs="宋体"/>
          <w:b/>
          <w:bCs/>
          <w:color w:val="000000" w:themeColor="text1"/>
          <w:sz w:val="24"/>
          <w:szCs w:val="22"/>
          <w:highlight w:val="none"/>
          <w14:textFill>
            <w14:solidFill>
              <w14:schemeClr w14:val="tx1"/>
            </w14:solidFill>
          </w14:textFill>
        </w:rPr>
        <w:t>2、投标人需对所投标包中所有项进行报价，不得缺项漏项。如果报价不符合要求则为无效投标，不得自行更改格式及文本信息。</w:t>
      </w:r>
    </w:p>
    <w:p w14:paraId="1CCDFD3C">
      <w:pPr>
        <w:rPr>
          <w:rFonts w:ascii="宋体" w:hAnsi="宋体" w:cs="宋体"/>
          <w:b/>
          <w:bCs/>
          <w:color w:val="000000" w:themeColor="text1"/>
          <w:sz w:val="24"/>
          <w:szCs w:val="22"/>
          <w:highlight w:val="none"/>
          <w14:textFill>
            <w14:solidFill>
              <w14:schemeClr w14:val="tx1"/>
            </w14:solidFill>
          </w14:textFill>
        </w:rPr>
      </w:pPr>
      <w:r>
        <w:rPr>
          <w:rFonts w:hint="eastAsia" w:ascii="宋体" w:hAnsi="宋体" w:cs="宋体"/>
          <w:b/>
          <w:bCs/>
          <w:color w:val="000000" w:themeColor="text1"/>
          <w:sz w:val="24"/>
          <w:szCs w:val="22"/>
          <w:highlight w:val="none"/>
          <w14:textFill>
            <w14:solidFill>
              <w14:schemeClr w14:val="tx1"/>
            </w14:solidFill>
          </w14:textFill>
        </w:rPr>
        <w:t>3、投标人报价单位必须与采购目录中价格单位一致，且只接受一个报价。</w:t>
      </w:r>
    </w:p>
    <w:p w14:paraId="1706425B">
      <w:pPr>
        <w:pStyle w:val="50"/>
        <w:ind w:firstLine="0"/>
        <w:rPr>
          <w:rFonts w:cs="宋体"/>
          <w:b/>
          <w:bCs/>
          <w:color w:val="000000" w:themeColor="text1"/>
          <w:highlight w:val="none"/>
          <w14:textFill>
            <w14:solidFill>
              <w14:schemeClr w14:val="tx1"/>
            </w14:solidFill>
          </w14:textFill>
        </w:rPr>
      </w:pPr>
      <w:r>
        <w:rPr>
          <w:rFonts w:hint="eastAsia" w:cs="宋体"/>
          <w:b/>
          <w:bCs/>
          <w:color w:val="000000" w:themeColor="text1"/>
          <w:highlight w:val="none"/>
          <w14:textFill>
            <w14:solidFill>
              <w14:schemeClr w14:val="tx1"/>
            </w14:solidFill>
          </w14:textFill>
        </w:rPr>
        <w:t>4、本章节中的参数只作为参考，但所投产品参数不得低于上述要求。</w:t>
      </w:r>
    </w:p>
    <w:p w14:paraId="24F2792A">
      <w:pPr>
        <w:pStyle w:val="50"/>
        <w:ind w:firstLine="0"/>
        <w:rPr>
          <w:rFonts w:cs="宋体"/>
          <w:color w:val="000000" w:themeColor="text1"/>
          <w:szCs w:val="24"/>
          <w:highlight w:val="none"/>
          <w14:textFill>
            <w14:solidFill>
              <w14:schemeClr w14:val="tx1"/>
            </w14:solidFill>
          </w14:textFill>
        </w:rPr>
        <w:sectPr>
          <w:pgSz w:w="11907" w:h="16840"/>
          <w:pgMar w:top="1276" w:right="1080" w:bottom="1440" w:left="1080" w:header="851" w:footer="283" w:gutter="0"/>
          <w:cols w:space="720" w:num="1"/>
          <w:docGrid w:type="lines" w:linePitch="409" w:charSpace="0"/>
        </w:sectPr>
      </w:pPr>
      <w:r>
        <w:rPr>
          <w:rFonts w:hint="eastAsia" w:cs="宋体"/>
          <w:b/>
          <w:bCs/>
          <w:color w:val="000000" w:themeColor="text1"/>
          <w:highlight w:val="none"/>
          <w14:textFill>
            <w14:solidFill>
              <w14:schemeClr w14:val="tx1"/>
            </w14:solidFill>
          </w14:textFill>
        </w:rPr>
        <w:t>5、为保证供应商提供的产品技术参数真实性，供应商需提供投标产品</w:t>
      </w:r>
      <w:r>
        <w:rPr>
          <w:rFonts w:hint="eastAsia" w:cs="宋体"/>
          <w:b/>
          <w:bCs/>
          <w:color w:val="000000" w:themeColor="text1"/>
          <w:szCs w:val="24"/>
          <w:highlight w:val="none"/>
          <w14:textFill>
            <w14:solidFill>
              <w14:schemeClr w14:val="tx1"/>
            </w14:solidFill>
          </w14:textFill>
        </w:rPr>
        <w:t>相关证明材料，如产品彩页（加盖厂家公章）、 功能截图（加盖厂家公章）、证书、查询链接、技术白皮书、检测报告等，未提供或不符合要求的，视为不响应技术参数。</w:t>
      </w:r>
    </w:p>
    <w:bookmarkEnd w:id="68"/>
    <w:bookmarkEnd w:id="69"/>
    <w:bookmarkEnd w:id="70"/>
    <w:bookmarkEnd w:id="71"/>
    <w:bookmarkEnd w:id="72"/>
    <w:p w14:paraId="6AEA044D">
      <w:pPr>
        <w:pStyle w:val="3"/>
        <w:rPr>
          <w:rFonts w:ascii="宋体" w:hAnsi="宋体" w:cs="宋体"/>
          <w:color w:val="000000" w:themeColor="text1"/>
          <w:highlight w:val="none"/>
          <w14:textFill>
            <w14:solidFill>
              <w14:schemeClr w14:val="tx1"/>
            </w14:solidFill>
          </w14:textFill>
        </w:rPr>
      </w:pPr>
      <w:bookmarkStart w:id="95" w:name="_Toc28050"/>
      <w:r>
        <w:rPr>
          <w:rFonts w:hint="eastAsia" w:ascii="宋体" w:hAnsi="宋体" w:cs="宋体"/>
          <w:color w:val="000000" w:themeColor="text1"/>
          <w:highlight w:val="none"/>
          <w14:textFill>
            <w14:solidFill>
              <w14:schemeClr w14:val="tx1"/>
            </w14:solidFill>
          </w14:textFill>
        </w:rPr>
        <w:t>第四部分 合同部分</w:t>
      </w:r>
      <w:bookmarkEnd w:id="95"/>
    </w:p>
    <w:p w14:paraId="1018C7F9">
      <w:pPr>
        <w:jc w:val="center"/>
        <w:rPr>
          <w:rFonts w:ascii="宋体" w:hAnsi="宋体" w:cs="宋体"/>
          <w:b/>
          <w:bCs/>
          <w:spacing w:val="-20"/>
          <w:kern w:val="44"/>
          <w:sz w:val="28"/>
          <w:szCs w:val="28"/>
          <w:highlight w:val="none"/>
        </w:rPr>
      </w:pPr>
      <w:bookmarkStart w:id="96" w:name="_Toc3995"/>
      <w:r>
        <w:rPr>
          <w:rFonts w:ascii="宋体" w:hAnsi="宋体" w:cs="宋体"/>
          <w:b/>
          <w:bCs/>
          <w:spacing w:val="-20"/>
          <w:kern w:val="44"/>
          <w:sz w:val="28"/>
          <w:szCs w:val="28"/>
          <w:highlight w:val="none"/>
        </w:rPr>
        <w:t>具体以实际合同签订为准</w:t>
      </w:r>
    </w:p>
    <w:p w14:paraId="7342BB92">
      <w:pPr>
        <w:jc w:val="center"/>
        <w:rPr>
          <w:rFonts w:ascii="宋体" w:hAnsi="宋体" w:cs="宋体"/>
          <w:b/>
          <w:bCs/>
          <w:spacing w:val="-20"/>
          <w:kern w:val="44"/>
          <w:sz w:val="48"/>
          <w:szCs w:val="48"/>
          <w:highlight w:val="none"/>
        </w:rPr>
      </w:pPr>
      <w:r>
        <w:rPr>
          <w:rFonts w:hint="eastAsia" w:ascii="宋体" w:hAnsi="宋体" w:cs="宋体"/>
          <w:b/>
          <w:bCs/>
          <w:spacing w:val="-20"/>
          <w:kern w:val="44"/>
          <w:sz w:val="48"/>
          <w:szCs w:val="48"/>
          <w:highlight w:val="none"/>
        </w:rPr>
        <w:t>政府采购货物买卖合同</w:t>
      </w:r>
    </w:p>
    <w:p w14:paraId="48C03DC6">
      <w:pPr>
        <w:jc w:val="center"/>
        <w:rPr>
          <w:rFonts w:ascii="宋体" w:hAnsi="宋体" w:cs="宋体"/>
          <w:b/>
          <w:bCs/>
          <w:spacing w:val="-20"/>
          <w:kern w:val="44"/>
          <w:sz w:val="48"/>
          <w:szCs w:val="48"/>
          <w:highlight w:val="none"/>
        </w:rPr>
      </w:pPr>
      <w:r>
        <w:rPr>
          <w:rFonts w:hint="eastAsia" w:ascii="宋体" w:hAnsi="宋体" w:cs="宋体"/>
          <w:b/>
          <w:bCs/>
          <w:spacing w:val="-20"/>
          <w:kern w:val="44"/>
          <w:sz w:val="48"/>
          <w:szCs w:val="48"/>
          <w:highlight w:val="none"/>
        </w:rPr>
        <w:t>（试行）</w:t>
      </w:r>
    </w:p>
    <w:p w14:paraId="73331333">
      <w:pPr>
        <w:rPr>
          <w:rFonts w:ascii="宋体" w:hAnsi="宋体" w:cs="宋体"/>
          <w:b/>
          <w:bCs/>
          <w:spacing w:val="-20"/>
          <w:kern w:val="44"/>
          <w:sz w:val="40"/>
          <w:szCs w:val="40"/>
          <w:highlight w:val="none"/>
        </w:rPr>
      </w:pPr>
    </w:p>
    <w:p w14:paraId="4E089906">
      <w:pPr>
        <w:rPr>
          <w:rFonts w:ascii="宋体" w:hAnsi="宋体" w:cs="宋体"/>
          <w:b/>
          <w:bCs/>
          <w:spacing w:val="-20"/>
          <w:kern w:val="44"/>
          <w:sz w:val="40"/>
          <w:szCs w:val="40"/>
          <w:highlight w:val="none"/>
        </w:rPr>
      </w:pPr>
    </w:p>
    <w:p w14:paraId="5EE61F9E">
      <w:pPr>
        <w:rPr>
          <w:rFonts w:ascii="宋体" w:hAnsi="宋体" w:cs="宋体"/>
          <w:b/>
          <w:bCs/>
          <w:spacing w:val="-20"/>
          <w:kern w:val="44"/>
          <w:sz w:val="40"/>
          <w:szCs w:val="40"/>
          <w:highlight w:val="none"/>
        </w:rPr>
      </w:pPr>
    </w:p>
    <w:p w14:paraId="33B1201E">
      <w:pPr>
        <w:rPr>
          <w:rFonts w:ascii="宋体" w:hAnsi="宋体" w:cs="宋体"/>
          <w:b/>
          <w:bCs/>
          <w:spacing w:val="-20"/>
          <w:kern w:val="44"/>
          <w:sz w:val="40"/>
          <w:szCs w:val="40"/>
          <w:highlight w:val="none"/>
        </w:rPr>
      </w:pPr>
    </w:p>
    <w:p w14:paraId="6411B8D8">
      <w:pPr>
        <w:rPr>
          <w:rFonts w:ascii="宋体" w:hAnsi="宋体" w:cs="宋体"/>
          <w:b/>
          <w:bCs/>
          <w:spacing w:val="-20"/>
          <w:kern w:val="44"/>
          <w:sz w:val="40"/>
          <w:szCs w:val="40"/>
          <w:highlight w:val="none"/>
        </w:rPr>
      </w:pPr>
    </w:p>
    <w:p w14:paraId="3D3EE74F">
      <w:pPr>
        <w:rPr>
          <w:rFonts w:ascii="宋体" w:hAnsi="宋体" w:cs="宋体"/>
          <w:b/>
          <w:bCs/>
          <w:spacing w:val="-20"/>
          <w:kern w:val="44"/>
          <w:sz w:val="40"/>
          <w:szCs w:val="40"/>
          <w:highlight w:val="none"/>
        </w:rPr>
      </w:pPr>
    </w:p>
    <w:p w14:paraId="3659CC5B">
      <w:pPr>
        <w:rPr>
          <w:rFonts w:ascii="宋体" w:hAnsi="宋体" w:cs="宋体"/>
          <w:b/>
          <w:bCs/>
          <w:spacing w:val="-20"/>
          <w:kern w:val="44"/>
          <w:sz w:val="40"/>
          <w:szCs w:val="40"/>
          <w:highlight w:val="none"/>
        </w:rPr>
      </w:pPr>
    </w:p>
    <w:p w14:paraId="4517F568">
      <w:pPr>
        <w:rPr>
          <w:rFonts w:ascii="宋体" w:hAnsi="宋体" w:cs="宋体"/>
          <w:b/>
          <w:bCs/>
          <w:spacing w:val="-20"/>
          <w:kern w:val="44"/>
          <w:sz w:val="40"/>
          <w:szCs w:val="40"/>
          <w:highlight w:val="none"/>
        </w:rPr>
      </w:pPr>
    </w:p>
    <w:p w14:paraId="00C6170F">
      <w:pPr>
        <w:spacing w:line="360" w:lineRule="auto"/>
        <w:rPr>
          <w:sz w:val="32"/>
          <w:szCs w:val="32"/>
          <w:highlight w:val="none"/>
        </w:rPr>
      </w:pPr>
      <w:r>
        <w:rPr>
          <w:rFonts w:hint="eastAsia" w:ascii="宋体" w:hAnsi="宋体" w:cs="宋体"/>
          <w:kern w:val="0"/>
          <w:sz w:val="32"/>
          <w:szCs w:val="32"/>
          <w:highlight w:val="none"/>
        </w:rPr>
        <w:t>项目名称：</w:t>
      </w:r>
      <w:r>
        <w:rPr>
          <w:rFonts w:hint="eastAsia"/>
          <w:sz w:val="32"/>
          <w:szCs w:val="32"/>
          <w:highlight w:val="none"/>
          <w:u w:val="single"/>
        </w:rPr>
        <w:t xml:space="preserve">                             </w:t>
      </w:r>
    </w:p>
    <w:p w14:paraId="0E8A34B8">
      <w:pPr>
        <w:spacing w:line="360" w:lineRule="auto"/>
        <w:rPr>
          <w:sz w:val="32"/>
          <w:szCs w:val="32"/>
          <w:highlight w:val="none"/>
          <w:u w:val="single"/>
        </w:rPr>
      </w:pPr>
      <w:r>
        <w:rPr>
          <w:rFonts w:hint="eastAsia"/>
          <w:sz w:val="32"/>
          <w:szCs w:val="32"/>
          <w:highlight w:val="none"/>
        </w:rPr>
        <w:t>合同编号：</w:t>
      </w:r>
      <w:r>
        <w:rPr>
          <w:rFonts w:hint="eastAsia"/>
          <w:sz w:val="32"/>
          <w:szCs w:val="32"/>
          <w:highlight w:val="none"/>
          <w:u w:val="single"/>
        </w:rPr>
        <w:t xml:space="preserve">                             </w:t>
      </w:r>
    </w:p>
    <w:p w14:paraId="43885BBB">
      <w:pPr>
        <w:spacing w:line="360" w:lineRule="auto"/>
        <w:rPr>
          <w:sz w:val="32"/>
          <w:szCs w:val="32"/>
          <w:highlight w:val="none"/>
        </w:rPr>
      </w:pPr>
      <w:r>
        <w:rPr>
          <w:rFonts w:hint="eastAsia"/>
          <w:sz w:val="32"/>
          <w:szCs w:val="32"/>
          <w:highlight w:val="none"/>
        </w:rPr>
        <w:t>甲    方：</w:t>
      </w:r>
      <w:r>
        <w:rPr>
          <w:rFonts w:hint="eastAsia"/>
          <w:sz w:val="32"/>
          <w:szCs w:val="32"/>
          <w:highlight w:val="none"/>
          <w:u w:val="single"/>
        </w:rPr>
        <w:t xml:space="preserve">                             </w:t>
      </w:r>
    </w:p>
    <w:p w14:paraId="5F214B59">
      <w:pPr>
        <w:spacing w:line="360" w:lineRule="auto"/>
        <w:rPr>
          <w:sz w:val="32"/>
          <w:szCs w:val="32"/>
          <w:highlight w:val="none"/>
          <w:u w:val="single"/>
        </w:rPr>
      </w:pPr>
      <w:r>
        <w:rPr>
          <w:rFonts w:hint="eastAsia"/>
          <w:sz w:val="32"/>
          <w:szCs w:val="32"/>
          <w:highlight w:val="none"/>
        </w:rPr>
        <w:t>乙    方：</w:t>
      </w:r>
      <w:r>
        <w:rPr>
          <w:rFonts w:hint="eastAsia"/>
          <w:sz w:val="32"/>
          <w:szCs w:val="32"/>
          <w:highlight w:val="none"/>
          <w:u w:val="single"/>
        </w:rPr>
        <w:t xml:space="preserve">                             </w:t>
      </w:r>
    </w:p>
    <w:p w14:paraId="5DE3513E">
      <w:pPr>
        <w:spacing w:line="360" w:lineRule="auto"/>
        <w:rPr>
          <w:sz w:val="32"/>
          <w:szCs w:val="32"/>
          <w:highlight w:val="none"/>
        </w:rPr>
      </w:pPr>
      <w:r>
        <w:rPr>
          <w:rFonts w:hint="eastAsia"/>
          <w:sz w:val="32"/>
          <w:szCs w:val="32"/>
          <w:highlight w:val="none"/>
        </w:rPr>
        <w:t>签订时间：</w:t>
      </w:r>
      <w:r>
        <w:rPr>
          <w:rFonts w:hint="eastAsia"/>
          <w:sz w:val="32"/>
          <w:szCs w:val="32"/>
          <w:highlight w:val="none"/>
          <w:u w:val="single"/>
        </w:rPr>
        <w:t xml:space="preserve">      </w:t>
      </w:r>
      <w:r>
        <w:rPr>
          <w:sz w:val="32"/>
          <w:szCs w:val="32"/>
          <w:highlight w:val="none"/>
          <w:u w:val="single"/>
        </w:rPr>
        <w:t xml:space="preserve">           </w:t>
      </w:r>
      <w:r>
        <w:rPr>
          <w:rFonts w:hint="eastAsia"/>
          <w:sz w:val="32"/>
          <w:szCs w:val="32"/>
          <w:highlight w:val="none"/>
          <w:u w:val="single"/>
        </w:rPr>
        <w:t xml:space="preserve">            </w:t>
      </w:r>
    </w:p>
    <w:p w14:paraId="2374A868">
      <w:pPr>
        <w:rPr>
          <w:szCs w:val="24"/>
          <w:highlight w:val="none"/>
        </w:rPr>
      </w:pPr>
    </w:p>
    <w:p w14:paraId="23511766">
      <w:pPr>
        <w:rPr>
          <w:rFonts w:eastAsia="黑体"/>
          <w:sz w:val="44"/>
          <w:szCs w:val="44"/>
          <w:highlight w:val="none"/>
        </w:rPr>
      </w:pPr>
      <w:r>
        <w:rPr>
          <w:rFonts w:eastAsia="黑体"/>
          <w:sz w:val="44"/>
          <w:szCs w:val="44"/>
          <w:highlight w:val="none"/>
        </w:rPr>
        <w:br w:type="page"/>
      </w:r>
    </w:p>
    <w:p w14:paraId="0D13F096">
      <w:pPr>
        <w:jc w:val="center"/>
        <w:rPr>
          <w:rFonts w:eastAsia="黑体"/>
          <w:sz w:val="44"/>
          <w:szCs w:val="44"/>
          <w:highlight w:val="none"/>
        </w:rPr>
      </w:pPr>
      <w:r>
        <w:rPr>
          <w:rFonts w:hint="eastAsia" w:eastAsia="黑体"/>
          <w:sz w:val="44"/>
          <w:szCs w:val="44"/>
          <w:highlight w:val="none"/>
        </w:rPr>
        <w:t>使 用 说 明</w:t>
      </w:r>
    </w:p>
    <w:p w14:paraId="1E300C6A">
      <w:pPr>
        <w:rPr>
          <w:rFonts w:ascii="仿宋_GB2312" w:hAnsi="仿宋_GB2312" w:eastAsia="仿宋_GB2312" w:cs="仿宋_GB2312"/>
          <w:sz w:val="32"/>
          <w:szCs w:val="32"/>
          <w:highlight w:val="none"/>
        </w:rPr>
      </w:pPr>
    </w:p>
    <w:p w14:paraId="68C5C9E2">
      <w:pP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1.本合同标准文本适用于购买现成货物的采购项目，不包括需要投标人定制开发、创新研发的货物采购项目。</w:t>
      </w:r>
    </w:p>
    <w:p w14:paraId="1AD649F6">
      <w:pPr>
        <w:rPr>
          <w:rFonts w:eastAsia="黑体"/>
          <w:sz w:val="44"/>
          <w:szCs w:val="44"/>
          <w:highlight w:val="none"/>
        </w:rPr>
      </w:pPr>
      <w:r>
        <w:rPr>
          <w:rFonts w:hint="eastAsia" w:ascii="仿宋_GB2312" w:hAnsi="仿宋_GB2312" w:eastAsia="仿宋_GB2312" w:cs="仿宋_GB2312"/>
          <w:sz w:val="32"/>
          <w:szCs w:val="32"/>
          <w:highlight w:val="none"/>
        </w:rPr>
        <w:t>2.本合同标准文本为政府采购货物买卖合同编制提供参考，可以结合采购项目具体情况，对文本作必要的调整修订后使用。</w:t>
      </w:r>
    </w:p>
    <w:p w14:paraId="3E28D4ED">
      <w:pP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3.本合同标准文本各条款中，如涉及填写多家投标人、制造商，多种采购标的、分包主要内容等信息的，可根据采购项目具体情况添加信息项。</w:t>
      </w:r>
    </w:p>
    <w:p w14:paraId="69C4E73D">
      <w:pPr>
        <w:rPr>
          <w:rFonts w:eastAsia="黑体"/>
          <w:sz w:val="44"/>
          <w:szCs w:val="44"/>
          <w:highlight w:val="none"/>
        </w:rPr>
        <w:sectPr>
          <w:headerReference r:id="rId8" w:type="default"/>
          <w:footerReference r:id="rId9" w:type="default"/>
          <w:pgSz w:w="11906" w:h="16838"/>
          <w:pgMar w:top="1440" w:right="1800" w:bottom="1440" w:left="1800" w:header="851" w:footer="992" w:gutter="0"/>
          <w:cols w:space="720" w:num="1"/>
          <w:docGrid w:type="lines" w:linePitch="312" w:charSpace="0"/>
        </w:sectPr>
      </w:pPr>
    </w:p>
    <w:bookmarkEnd w:id="96"/>
    <w:p w14:paraId="0DB5F107">
      <w:pPr>
        <w:rPr>
          <w:rFonts w:ascii="Calibri" w:hAnsi="Calibri" w:eastAsia="黑体" w:cs="Calibri"/>
          <w:highlight w:val="none"/>
        </w:rPr>
      </w:pPr>
      <w:bookmarkStart w:id="97" w:name="_Toc22209"/>
    </w:p>
    <w:p w14:paraId="0E2A969A">
      <w:pPr>
        <w:jc w:val="center"/>
        <w:rPr>
          <w:rFonts w:ascii="Calibri" w:hAnsi="Calibri" w:eastAsia="黑体" w:cs="Calibri"/>
          <w:sz w:val="28"/>
          <w:szCs w:val="24"/>
          <w:highlight w:val="none"/>
        </w:rPr>
      </w:pPr>
      <w:r>
        <w:rPr>
          <w:rFonts w:hint="eastAsia" w:ascii="Calibri" w:hAnsi="黑体" w:eastAsia="黑体" w:cs="Calibri"/>
          <w:sz w:val="28"/>
          <w:szCs w:val="24"/>
          <w:highlight w:val="none"/>
        </w:rPr>
        <w:t xml:space="preserve">第一节 </w:t>
      </w:r>
      <w:r>
        <w:rPr>
          <w:rFonts w:hint="eastAsia" w:ascii="Calibri" w:hAnsi="Calibri" w:eastAsia="黑体" w:cs="Calibri"/>
          <w:sz w:val="28"/>
          <w:szCs w:val="24"/>
          <w:highlight w:val="none"/>
        </w:rPr>
        <w:t>政府采购合同协议书</w:t>
      </w:r>
      <w:bookmarkEnd w:id="97"/>
    </w:p>
    <w:p w14:paraId="25E2E445">
      <w:pPr>
        <w:rPr>
          <w:rFonts w:ascii="Calibri" w:hAnsi="Calibri" w:eastAsia="黑体" w:cs="Calibri"/>
          <w:highlight w:val="none"/>
        </w:rPr>
      </w:pPr>
    </w:p>
    <w:p w14:paraId="5CF95925">
      <w:pPr>
        <w:adjustRightInd w:val="0"/>
        <w:snapToGrid w:val="0"/>
        <w:spacing w:line="400" w:lineRule="exact"/>
        <w:rPr>
          <w:rFonts w:ascii="宋体" w:hAnsi="宋体"/>
          <w:szCs w:val="21"/>
          <w:highlight w:val="none"/>
        </w:rPr>
      </w:pPr>
      <w:r>
        <w:rPr>
          <w:rFonts w:hint="eastAsia" w:ascii="宋体" w:hAnsi="宋体"/>
          <w:szCs w:val="21"/>
          <w:highlight w:val="none"/>
        </w:rPr>
        <w:t>甲方（全称）：</w:t>
      </w:r>
      <w:r>
        <w:rPr>
          <w:rFonts w:hint="eastAsia" w:ascii="宋体" w:hAnsi="宋体"/>
          <w:szCs w:val="21"/>
          <w:highlight w:val="none"/>
          <w:u w:val="single"/>
        </w:rPr>
        <w:t xml:space="preserve">                        </w:t>
      </w:r>
      <w:r>
        <w:rPr>
          <w:rFonts w:hint="eastAsia" w:ascii="宋体" w:hAnsi="宋体"/>
          <w:szCs w:val="21"/>
          <w:highlight w:val="none"/>
        </w:rPr>
        <w:t>（招标人、受招标人委托签订合同的单位或采购文件约定的合同甲方）</w:t>
      </w:r>
    </w:p>
    <w:p w14:paraId="43AD9778">
      <w:pPr>
        <w:adjustRightInd w:val="0"/>
        <w:snapToGrid w:val="0"/>
        <w:spacing w:line="400" w:lineRule="exact"/>
        <w:rPr>
          <w:rFonts w:ascii="宋体" w:hAnsi="宋体"/>
          <w:szCs w:val="21"/>
          <w:highlight w:val="none"/>
        </w:rPr>
      </w:pPr>
      <w:r>
        <w:rPr>
          <w:rFonts w:hint="eastAsia" w:ascii="宋体" w:hAnsi="宋体"/>
          <w:szCs w:val="21"/>
          <w:highlight w:val="none"/>
        </w:rPr>
        <w:t>乙方1（全称）：</w:t>
      </w:r>
      <w:r>
        <w:rPr>
          <w:rFonts w:hint="eastAsia" w:ascii="宋体" w:hAnsi="宋体"/>
          <w:szCs w:val="21"/>
          <w:highlight w:val="none"/>
          <w:u w:val="single"/>
        </w:rPr>
        <w:t xml:space="preserve">                       </w:t>
      </w:r>
      <w:r>
        <w:rPr>
          <w:rFonts w:hint="eastAsia" w:ascii="宋体" w:hAnsi="宋体"/>
          <w:szCs w:val="21"/>
          <w:highlight w:val="none"/>
        </w:rPr>
        <w:t>（投标人）</w:t>
      </w:r>
    </w:p>
    <w:p w14:paraId="28D724BF">
      <w:pPr>
        <w:spacing w:line="400" w:lineRule="exact"/>
        <w:rPr>
          <w:szCs w:val="24"/>
          <w:highlight w:val="none"/>
        </w:rPr>
      </w:pPr>
    </w:p>
    <w:p w14:paraId="685D222C">
      <w:pPr>
        <w:adjustRightInd w:val="0"/>
        <w:snapToGrid w:val="0"/>
        <w:spacing w:line="400" w:lineRule="exact"/>
        <w:rPr>
          <w:rFonts w:ascii="宋体" w:hAnsi="宋体"/>
          <w:szCs w:val="21"/>
          <w:highlight w:val="none"/>
        </w:rPr>
      </w:pPr>
      <w:r>
        <w:rPr>
          <w:rFonts w:hint="eastAsia" w:ascii="宋体" w:hAnsi="宋体"/>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6B625DF9">
      <w:pPr>
        <w:numPr>
          <w:ilvl w:val="0"/>
          <w:numId w:val="64"/>
        </w:numPr>
        <w:adjustRightInd w:val="0"/>
        <w:snapToGrid w:val="0"/>
        <w:spacing w:line="400" w:lineRule="exact"/>
        <w:ind w:firstLine="420"/>
        <w:rPr>
          <w:rFonts w:ascii="宋体" w:hAnsi="宋体"/>
          <w:b/>
          <w:szCs w:val="21"/>
          <w:highlight w:val="none"/>
        </w:rPr>
      </w:pPr>
      <w:r>
        <w:rPr>
          <w:rFonts w:hint="eastAsia" w:ascii="宋体" w:hAnsi="宋体"/>
          <w:b/>
          <w:szCs w:val="21"/>
          <w:highlight w:val="none"/>
        </w:rPr>
        <w:t>项目信息</w:t>
      </w:r>
    </w:p>
    <w:p w14:paraId="634E4298">
      <w:pPr>
        <w:numPr>
          <w:ilvl w:val="0"/>
          <w:numId w:val="65"/>
        </w:numPr>
        <w:adjustRightInd w:val="0"/>
        <w:snapToGrid w:val="0"/>
        <w:spacing w:line="400" w:lineRule="exact"/>
        <w:ind w:firstLine="420"/>
        <w:rPr>
          <w:rFonts w:ascii="宋体" w:hAnsi="宋体"/>
          <w:szCs w:val="21"/>
          <w:highlight w:val="none"/>
          <w:u w:val="single"/>
        </w:rPr>
      </w:pPr>
      <w:r>
        <w:rPr>
          <w:rFonts w:hint="eastAsia" w:ascii="宋体" w:hAnsi="宋体"/>
          <w:szCs w:val="21"/>
          <w:highlight w:val="none"/>
        </w:rPr>
        <w:t>采购项目名称：</w:t>
      </w:r>
      <w:r>
        <w:rPr>
          <w:rFonts w:ascii="宋体" w:hAnsi="宋体"/>
          <w:szCs w:val="21"/>
          <w:highlight w:val="none"/>
          <w:u w:val="single"/>
        </w:rPr>
        <w:t xml:space="preserve">                                          </w:t>
      </w:r>
    </w:p>
    <w:p w14:paraId="62C33993">
      <w:pPr>
        <w:tabs>
          <w:tab w:val="left" w:pos="999"/>
        </w:tabs>
        <w:adjustRightInd w:val="0"/>
        <w:snapToGrid w:val="0"/>
        <w:spacing w:line="400" w:lineRule="exact"/>
        <w:rPr>
          <w:rFonts w:ascii="宋体" w:hAnsi="宋体"/>
          <w:szCs w:val="21"/>
          <w:highlight w:val="none"/>
        </w:rPr>
      </w:pPr>
      <w:r>
        <w:rPr>
          <w:rFonts w:hint="eastAsia" w:ascii="宋体" w:hAnsi="宋体"/>
          <w:szCs w:val="21"/>
          <w:highlight w:val="none"/>
        </w:rPr>
        <w:t xml:space="preserve">         采购项目编号：</w:t>
      </w:r>
      <w:r>
        <w:rPr>
          <w:rFonts w:ascii="宋体" w:hAnsi="宋体"/>
          <w:szCs w:val="21"/>
          <w:highlight w:val="none"/>
          <w:u w:val="single"/>
        </w:rPr>
        <w:t xml:space="preserve">                                          </w:t>
      </w:r>
    </w:p>
    <w:p w14:paraId="60CEB0A6">
      <w:pPr>
        <w:adjustRightInd w:val="0"/>
        <w:snapToGrid w:val="0"/>
        <w:spacing w:line="400" w:lineRule="exact"/>
        <w:rPr>
          <w:rFonts w:ascii="宋体" w:hAnsi="宋体"/>
          <w:szCs w:val="21"/>
          <w:highlight w:val="none"/>
        </w:rPr>
      </w:pPr>
      <w:r>
        <w:rPr>
          <w:rFonts w:hint="eastAsia" w:ascii="宋体" w:hAnsi="宋体"/>
          <w:szCs w:val="21"/>
          <w:highlight w:val="none"/>
        </w:rPr>
        <w:t>（2）采购计划编号：</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 xml:space="preserve"> </w:t>
      </w:r>
    </w:p>
    <w:p w14:paraId="080EB2AB">
      <w:pPr>
        <w:adjustRightInd w:val="0"/>
        <w:snapToGrid w:val="0"/>
        <w:spacing w:line="400" w:lineRule="exact"/>
        <w:rPr>
          <w:rFonts w:ascii="宋体" w:hAnsi="宋体"/>
          <w:szCs w:val="21"/>
          <w:highlight w:val="none"/>
        </w:rPr>
      </w:pPr>
      <w:r>
        <w:rPr>
          <w:rFonts w:hint="eastAsia" w:ascii="宋体" w:hAnsi="宋体"/>
          <w:szCs w:val="21"/>
          <w:highlight w:val="none"/>
        </w:rPr>
        <w:t>（3）项目内容：</w:t>
      </w:r>
    </w:p>
    <w:p w14:paraId="3800491D">
      <w:pPr>
        <w:adjustRightInd w:val="0"/>
        <w:snapToGrid w:val="0"/>
        <w:spacing w:line="400" w:lineRule="exact"/>
        <w:rPr>
          <w:rFonts w:ascii="宋体" w:hAnsi="宋体"/>
          <w:szCs w:val="21"/>
          <w:highlight w:val="none"/>
        </w:rPr>
      </w:pPr>
      <w:r>
        <w:rPr>
          <w:rFonts w:hint="eastAsia" w:ascii="宋体" w:hAnsi="宋体"/>
          <w:szCs w:val="21"/>
          <w:highlight w:val="none"/>
        </w:rPr>
        <w:t xml:space="preserve">     采购标的及数量（台/套</w:t>
      </w:r>
      <w:r>
        <w:rPr>
          <w:rFonts w:ascii="宋体" w:hAnsi="宋体"/>
          <w:szCs w:val="21"/>
          <w:highlight w:val="none"/>
          <w:lang w:val="en"/>
        </w:rPr>
        <w:t>/</w:t>
      </w:r>
      <w:r>
        <w:rPr>
          <w:rFonts w:hint="eastAsia" w:ascii="宋体" w:hAnsi="宋体"/>
          <w:szCs w:val="21"/>
          <w:highlight w:val="none"/>
          <w:lang w:val="en"/>
        </w:rPr>
        <w:t>个</w:t>
      </w:r>
      <w:r>
        <w:rPr>
          <w:rFonts w:ascii="宋体" w:hAnsi="宋体"/>
          <w:szCs w:val="21"/>
          <w:highlight w:val="none"/>
          <w:lang w:val="en"/>
        </w:rPr>
        <w:t>/</w:t>
      </w:r>
      <w:r>
        <w:rPr>
          <w:rFonts w:hint="eastAsia" w:ascii="宋体" w:hAnsi="宋体"/>
          <w:szCs w:val="21"/>
          <w:highlight w:val="none"/>
          <w:lang w:val="en"/>
        </w:rPr>
        <w:t>架</w:t>
      </w:r>
      <w:r>
        <w:rPr>
          <w:rFonts w:ascii="宋体" w:hAnsi="宋体"/>
          <w:szCs w:val="21"/>
          <w:highlight w:val="none"/>
          <w:lang w:val="en"/>
        </w:rPr>
        <w:t>/</w:t>
      </w:r>
      <w:r>
        <w:rPr>
          <w:rFonts w:hint="eastAsia" w:ascii="宋体" w:hAnsi="宋体"/>
          <w:szCs w:val="21"/>
          <w:highlight w:val="none"/>
          <w:lang w:val="en"/>
        </w:rPr>
        <w:t>组等</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 xml:space="preserve"> </w:t>
      </w:r>
    </w:p>
    <w:p w14:paraId="4B3ECFFD">
      <w:pPr>
        <w:adjustRightInd w:val="0"/>
        <w:snapToGrid w:val="0"/>
        <w:spacing w:line="400" w:lineRule="exact"/>
        <w:rPr>
          <w:rFonts w:ascii="宋体" w:hAnsi="宋体" w:cs="宋体"/>
          <w:szCs w:val="21"/>
          <w:highlight w:val="none"/>
          <w:lang w:val="en"/>
        </w:rPr>
      </w:pPr>
      <w:r>
        <w:rPr>
          <w:rFonts w:hint="eastAsia" w:ascii="宋体" w:hAnsi="宋体"/>
          <w:szCs w:val="21"/>
          <w:highlight w:val="none"/>
        </w:rPr>
        <w:t xml:space="preserve">     </w:t>
      </w:r>
      <w:r>
        <w:rPr>
          <w:rFonts w:hint="eastAsia" w:ascii="宋体" w:hAnsi="宋体" w:cs="宋体"/>
          <w:szCs w:val="21"/>
          <w:highlight w:val="none"/>
        </w:rPr>
        <w:t>品牌：</w:t>
      </w:r>
      <w:r>
        <w:rPr>
          <w:rFonts w:hint="eastAsia" w:ascii="宋体" w:hAnsi="宋体" w:cs="宋体"/>
          <w:szCs w:val="21"/>
          <w:highlight w:val="none"/>
          <w:u w:val="single"/>
        </w:rPr>
        <w:t xml:space="preserve">      </w:t>
      </w:r>
      <w:r>
        <w:rPr>
          <w:rFonts w:ascii="宋体" w:hAnsi="宋体" w:cs="宋体"/>
          <w:szCs w:val="21"/>
          <w:highlight w:val="none"/>
          <w:u w:val="single"/>
          <w:lang w:val="en"/>
        </w:rPr>
        <w:t xml:space="preserve">   </w:t>
      </w:r>
      <w:r>
        <w:rPr>
          <w:rFonts w:hint="eastAsia" w:ascii="宋体" w:hAnsi="宋体" w:cs="宋体"/>
          <w:szCs w:val="21"/>
          <w:highlight w:val="none"/>
          <w:u w:val="single"/>
        </w:rPr>
        <w:t xml:space="preserve">    </w:t>
      </w:r>
      <w:r>
        <w:rPr>
          <w:rFonts w:ascii="宋体" w:hAnsi="宋体" w:cs="宋体"/>
          <w:szCs w:val="21"/>
          <w:highlight w:val="none"/>
          <w:u w:val="single"/>
          <w:lang w:val="en"/>
        </w:rPr>
        <w:t xml:space="preserve"> </w:t>
      </w:r>
      <w:r>
        <w:rPr>
          <w:rFonts w:hint="eastAsia" w:ascii="宋体" w:hAnsi="宋体" w:cs="宋体"/>
          <w:szCs w:val="21"/>
          <w:highlight w:val="none"/>
          <w:u w:val="single"/>
        </w:rPr>
        <w:t xml:space="preserve"> </w:t>
      </w:r>
      <w:r>
        <w:rPr>
          <w:rFonts w:ascii="宋体" w:hAnsi="宋体" w:cs="宋体"/>
          <w:szCs w:val="21"/>
          <w:highlight w:val="none"/>
          <w:lang w:val="en"/>
        </w:rPr>
        <w:t xml:space="preserve">     </w:t>
      </w:r>
      <w:r>
        <w:rPr>
          <w:rFonts w:hint="eastAsia" w:ascii="宋体" w:hAnsi="宋体" w:cs="宋体"/>
          <w:szCs w:val="21"/>
          <w:highlight w:val="none"/>
        </w:rPr>
        <w:t>规格型号：</w:t>
      </w:r>
      <w:r>
        <w:rPr>
          <w:rFonts w:hint="eastAsia" w:ascii="宋体" w:hAnsi="宋体" w:cs="宋体"/>
          <w:szCs w:val="21"/>
          <w:highlight w:val="none"/>
          <w:u w:val="single"/>
        </w:rPr>
        <w:t xml:space="preserve">   </w:t>
      </w:r>
      <w:r>
        <w:rPr>
          <w:rFonts w:ascii="宋体" w:hAnsi="宋体" w:cs="宋体"/>
          <w:szCs w:val="21"/>
          <w:highlight w:val="none"/>
          <w:u w:val="single"/>
          <w:lang w:val="en"/>
        </w:rPr>
        <w:t xml:space="preserve">  </w:t>
      </w:r>
      <w:r>
        <w:rPr>
          <w:rFonts w:hint="eastAsia" w:ascii="宋体" w:hAnsi="宋体" w:cs="宋体"/>
          <w:szCs w:val="21"/>
          <w:highlight w:val="none"/>
          <w:u w:val="single"/>
        </w:rPr>
        <w:t xml:space="preserve">       </w:t>
      </w:r>
      <w:r>
        <w:rPr>
          <w:rFonts w:ascii="宋体" w:hAnsi="宋体" w:cs="宋体"/>
          <w:szCs w:val="21"/>
          <w:highlight w:val="none"/>
          <w:u w:val="single"/>
          <w:lang w:val="en"/>
        </w:rPr>
        <w:t xml:space="preserve">   </w:t>
      </w:r>
    </w:p>
    <w:p w14:paraId="35698043">
      <w:pPr>
        <w:adjustRightInd w:val="0"/>
        <w:snapToGrid w:val="0"/>
        <w:spacing w:line="400" w:lineRule="exact"/>
        <w:rPr>
          <w:rFonts w:ascii="宋体" w:hAnsi="宋体"/>
          <w:szCs w:val="21"/>
          <w:highlight w:val="none"/>
          <w:u w:val="single"/>
        </w:rPr>
      </w:pPr>
      <w:r>
        <w:rPr>
          <w:rFonts w:hint="eastAsia" w:ascii="宋体" w:hAnsi="宋体"/>
          <w:szCs w:val="21"/>
          <w:highlight w:val="none"/>
        </w:rPr>
        <w:t>采购标的的技术要求、商务要求具体见附件。</w:t>
      </w:r>
    </w:p>
    <w:p w14:paraId="27670EA2">
      <w:pPr>
        <w:adjustRightInd w:val="0"/>
        <w:snapToGrid w:val="0"/>
        <w:spacing w:line="400" w:lineRule="exact"/>
        <w:rPr>
          <w:rFonts w:ascii="宋体" w:hAnsi="宋体" w:cs="宋体"/>
          <w:szCs w:val="21"/>
          <w:highlight w:val="none"/>
        </w:rPr>
      </w:pPr>
      <w:r>
        <w:rPr>
          <w:rFonts w:hint="eastAsia" w:ascii="汉仪书宋二S" w:hAnsi="汉仪书宋二S" w:eastAsia="汉仪书宋二S" w:cs="汉仪书宋二S"/>
          <w:szCs w:val="21"/>
          <w:highlight w:val="none"/>
        </w:rPr>
        <w:t>①</w:t>
      </w:r>
      <w:r>
        <w:rPr>
          <w:rFonts w:hint="eastAsia" w:ascii="宋体" w:hAnsi="宋体" w:cs="宋体"/>
          <w:szCs w:val="21"/>
          <w:highlight w:val="none"/>
        </w:rPr>
        <w:t>涉及信息类产品，请填写该产品关键部件的品牌、型号：</w:t>
      </w:r>
    </w:p>
    <w:p w14:paraId="455990A2">
      <w:pPr>
        <w:adjustRightInd w:val="0"/>
        <w:snapToGrid w:val="0"/>
        <w:spacing w:line="400" w:lineRule="exact"/>
        <w:rPr>
          <w:rFonts w:ascii="宋体" w:hAnsi="宋体" w:cs="宋体"/>
          <w:kern w:val="0"/>
          <w:szCs w:val="21"/>
          <w:highlight w:val="none"/>
          <w:u w:val="single"/>
        </w:rPr>
      </w:pPr>
      <w:r>
        <w:rPr>
          <w:rFonts w:hint="eastAsia" w:ascii="宋体" w:hAnsi="宋体" w:cs="宋体"/>
          <w:szCs w:val="21"/>
          <w:highlight w:val="none"/>
        </w:rPr>
        <w:t xml:space="preserve">     标的名称：</w:t>
      </w:r>
      <w:r>
        <w:rPr>
          <w:rFonts w:hint="eastAsia" w:ascii="宋体" w:hAnsi="宋体" w:cs="宋体"/>
          <w:kern w:val="0"/>
          <w:szCs w:val="21"/>
          <w:highlight w:val="none"/>
          <w:u w:val="single"/>
        </w:rPr>
        <w:t xml:space="preserve">      </w:t>
      </w:r>
      <w:r>
        <w:rPr>
          <w:rFonts w:ascii="宋体" w:hAnsi="宋体" w:cs="宋体"/>
          <w:kern w:val="0"/>
          <w:szCs w:val="21"/>
          <w:highlight w:val="none"/>
          <w:u w:val="single"/>
          <w:lang w:val="en"/>
        </w:rPr>
        <w:t xml:space="preserve">               </w:t>
      </w:r>
      <w:r>
        <w:rPr>
          <w:rFonts w:hint="eastAsia" w:ascii="宋体" w:hAnsi="宋体" w:cs="宋体"/>
          <w:kern w:val="0"/>
          <w:szCs w:val="21"/>
          <w:highlight w:val="none"/>
          <w:u w:val="single"/>
        </w:rPr>
        <w:t xml:space="preserve">    </w:t>
      </w:r>
    </w:p>
    <w:p w14:paraId="4985C622">
      <w:pPr>
        <w:adjustRightInd w:val="0"/>
        <w:snapToGrid w:val="0"/>
        <w:spacing w:line="400" w:lineRule="exact"/>
        <w:rPr>
          <w:rFonts w:ascii="宋体" w:hAnsi="宋体" w:cs="宋体"/>
          <w:szCs w:val="21"/>
          <w:highlight w:val="none"/>
        </w:rPr>
      </w:pPr>
      <w:r>
        <w:rPr>
          <w:rFonts w:hint="eastAsia" w:ascii="宋体" w:hAnsi="宋体" w:cs="宋体"/>
          <w:szCs w:val="21"/>
          <w:highlight w:val="none"/>
        </w:rPr>
        <w:t xml:space="preserve">     关键部件：</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r>
        <w:rPr>
          <w:rFonts w:hint="eastAsia" w:ascii="宋体" w:hAnsi="宋体" w:cs="宋体"/>
          <w:szCs w:val="21"/>
          <w:highlight w:val="none"/>
        </w:rPr>
        <w:t>品牌：</w:t>
      </w:r>
      <w:r>
        <w:rPr>
          <w:rFonts w:hint="eastAsia" w:ascii="宋体" w:hAnsi="宋体" w:cs="宋体"/>
          <w:szCs w:val="21"/>
          <w:highlight w:val="none"/>
          <w:u w:val="single"/>
        </w:rPr>
        <w:t xml:space="preserve">        </w:t>
      </w:r>
      <w:r>
        <w:rPr>
          <w:rFonts w:hint="eastAsia" w:ascii="宋体" w:hAnsi="宋体" w:cs="宋体"/>
          <w:szCs w:val="21"/>
          <w:highlight w:val="none"/>
        </w:rPr>
        <w:t xml:space="preserve"> 型号：</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2A821E41">
      <w:pPr>
        <w:widowControl/>
        <w:autoSpaceDE w:val="0"/>
        <w:autoSpaceDN w:val="0"/>
        <w:adjustRightInd w:val="0"/>
        <w:spacing w:line="400" w:lineRule="exact"/>
        <w:jc w:val="left"/>
        <w:rPr>
          <w:rFonts w:ascii="宋体" w:hAnsi="宋体" w:cs="宋体"/>
          <w:kern w:val="0"/>
          <w:szCs w:val="21"/>
          <w:highlight w:val="none"/>
        </w:rPr>
      </w:pPr>
      <w:r>
        <w:rPr>
          <w:rFonts w:hint="eastAsia" w:ascii="宋体" w:hAnsi="宋体" w:cs="宋体"/>
          <w:kern w:val="0"/>
          <w:szCs w:val="21"/>
          <w:highlight w:val="none"/>
        </w:rPr>
        <w:t xml:space="preserve">     </w:t>
      </w:r>
      <w:r>
        <w:rPr>
          <w:rFonts w:hint="eastAsia" w:ascii="宋体" w:hAnsi="宋体" w:cs="宋体"/>
          <w:szCs w:val="21"/>
          <w:highlight w:val="none"/>
        </w:rPr>
        <w:t>关键部件</w:t>
      </w:r>
      <w:r>
        <w:rPr>
          <w:rFonts w:hint="eastAsia" w:ascii="宋体" w:hAnsi="宋体" w:cs="宋体"/>
          <w:kern w:val="0"/>
          <w:szCs w:val="21"/>
          <w:highlight w:val="none"/>
        </w:rPr>
        <w:t>：</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品牌：</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型号：</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p>
    <w:p w14:paraId="109E187C">
      <w:pPr>
        <w:widowControl/>
        <w:autoSpaceDE w:val="0"/>
        <w:autoSpaceDN w:val="0"/>
        <w:adjustRightInd w:val="0"/>
        <w:spacing w:line="400" w:lineRule="exact"/>
        <w:jc w:val="left"/>
        <w:rPr>
          <w:rFonts w:ascii="宋体" w:hAnsi="宋体" w:cs="宋体"/>
          <w:kern w:val="0"/>
          <w:szCs w:val="21"/>
          <w:highlight w:val="none"/>
        </w:rPr>
      </w:pPr>
      <w:r>
        <w:rPr>
          <w:rFonts w:hint="eastAsia" w:ascii="宋体" w:hAnsi="宋体" w:cs="宋体"/>
          <w:kern w:val="0"/>
          <w:szCs w:val="21"/>
          <w:highlight w:val="none"/>
        </w:rPr>
        <w:t xml:space="preserve">     关键部件：</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品牌：</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型号：</w:t>
      </w:r>
      <w:r>
        <w:rPr>
          <w:rFonts w:hint="eastAsia" w:ascii="宋体" w:hAnsi="宋体" w:cs="宋体"/>
          <w:kern w:val="0"/>
          <w:szCs w:val="21"/>
          <w:highlight w:val="none"/>
          <w:u w:val="single"/>
        </w:rPr>
        <w:t xml:space="preserve">       </w:t>
      </w:r>
    </w:p>
    <w:p w14:paraId="2DBC8B40">
      <w:pPr>
        <w:widowControl/>
        <w:autoSpaceDE w:val="0"/>
        <w:autoSpaceDN w:val="0"/>
        <w:adjustRightInd w:val="0"/>
        <w:snapToGrid w:val="0"/>
        <w:spacing w:line="400" w:lineRule="exact"/>
        <w:jc w:val="left"/>
        <w:rPr>
          <w:rFonts w:ascii="宋体" w:hAnsi="宋体" w:cs="宋体"/>
          <w:kern w:val="0"/>
          <w:szCs w:val="21"/>
          <w:highlight w:val="none"/>
        </w:rPr>
      </w:pPr>
      <w:r>
        <w:rPr>
          <w:rFonts w:hint="eastAsia" w:ascii="宋体" w:hAnsi="宋体" w:cs="宋体"/>
          <w:kern w:val="0"/>
          <w:szCs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4D2F4775">
      <w:pPr>
        <w:widowControl/>
        <w:autoSpaceDE w:val="0"/>
        <w:autoSpaceDN w:val="0"/>
        <w:adjustRightInd w:val="0"/>
        <w:snapToGrid w:val="0"/>
        <w:spacing w:line="400" w:lineRule="exact"/>
        <w:jc w:val="left"/>
        <w:rPr>
          <w:rFonts w:ascii="宋体" w:hAnsi="宋体" w:cs="宋体"/>
          <w:kern w:val="0"/>
          <w:szCs w:val="21"/>
          <w:highlight w:val="none"/>
        </w:rPr>
      </w:pPr>
      <w:r>
        <w:rPr>
          <w:rFonts w:hint="eastAsia" w:ascii="宋体" w:hAnsi="宋体" w:cs="宋体"/>
          <w:kern w:val="0"/>
          <w:szCs w:val="21"/>
          <w:highlight w:val="none"/>
        </w:rPr>
        <w:t xml:space="preserve">         </w:t>
      </w:r>
      <w:r>
        <w:rPr>
          <w:rFonts w:hint="eastAsia" w:ascii="汉仪书宋二S" w:hAnsi="汉仪书宋二S" w:eastAsia="汉仪书宋二S" w:cs="汉仪书宋二S"/>
          <w:kern w:val="0"/>
          <w:szCs w:val="21"/>
          <w:highlight w:val="none"/>
        </w:rPr>
        <w:t>②</w:t>
      </w:r>
      <w:r>
        <w:rPr>
          <w:rFonts w:hint="eastAsia" w:ascii="宋体" w:hAnsi="宋体" w:cs="宋体"/>
          <w:kern w:val="0"/>
          <w:szCs w:val="21"/>
          <w:highlight w:val="none"/>
        </w:rPr>
        <w:t>涉及车辆采购，请填写是否属于新能源汽车：</w:t>
      </w:r>
    </w:p>
    <w:p w14:paraId="7073EF13">
      <w:pPr>
        <w:widowControl/>
        <w:autoSpaceDE w:val="0"/>
        <w:autoSpaceDN w:val="0"/>
        <w:adjustRightInd w:val="0"/>
        <w:snapToGrid w:val="0"/>
        <w:spacing w:line="400" w:lineRule="exact"/>
        <w:jc w:val="left"/>
        <w:rPr>
          <w:rFonts w:ascii="宋体" w:hAnsi="宋体" w:cs="宋体"/>
          <w:kern w:val="0"/>
          <w:szCs w:val="21"/>
          <w:highlight w:val="none"/>
        </w:rPr>
      </w:pPr>
      <w:r>
        <w:rPr>
          <w:rFonts w:hint="eastAsia" w:ascii="宋体" w:hAnsi="宋体" w:cs="宋体"/>
          <w:kern w:val="0"/>
          <w:szCs w:val="21"/>
          <w:highlight w:val="none"/>
        </w:rPr>
        <w:t xml:space="preserve">         </w:t>
      </w:r>
      <w:r>
        <w:rPr>
          <w:rFonts w:hint="eastAsia" w:ascii="宋体" w:hAnsi="宋体" w:cs="宋体"/>
          <w:kern w:val="0"/>
          <w:szCs w:val="21"/>
          <w:highlight w:val="none"/>
        </w:rPr>
        <w:sym w:font="Wingdings" w:char="00A8"/>
      </w:r>
      <w:r>
        <w:rPr>
          <w:rFonts w:hint="eastAsia" w:ascii="宋体" w:hAnsi="宋体" w:cs="宋体"/>
          <w:kern w:val="0"/>
          <w:szCs w:val="21"/>
          <w:highlight w:val="none"/>
        </w:rPr>
        <w:t>是，《政府采购品目分类目录》底级品目名称：</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数量：</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金额：</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p>
    <w:p w14:paraId="6FA9DBE9">
      <w:pPr>
        <w:widowControl/>
        <w:autoSpaceDE w:val="0"/>
        <w:autoSpaceDN w:val="0"/>
        <w:adjustRightInd w:val="0"/>
        <w:snapToGrid w:val="0"/>
        <w:spacing w:line="400" w:lineRule="exact"/>
        <w:jc w:val="left"/>
        <w:rPr>
          <w:rFonts w:ascii="宋体" w:hAnsi="宋体" w:cs="宋体"/>
          <w:kern w:val="0"/>
          <w:szCs w:val="21"/>
          <w:highlight w:val="none"/>
        </w:rPr>
      </w:pPr>
      <w:r>
        <w:rPr>
          <w:rFonts w:hint="eastAsia" w:ascii="宋体" w:hAnsi="宋体" w:cs="宋体"/>
          <w:kern w:val="0"/>
          <w:szCs w:val="21"/>
          <w:highlight w:val="none"/>
        </w:rPr>
        <w:t xml:space="preserve">         </w:t>
      </w:r>
      <w:r>
        <w:rPr>
          <w:rFonts w:hint="eastAsia" w:ascii="宋体" w:hAnsi="宋体" w:cs="宋体"/>
          <w:kern w:val="0"/>
          <w:szCs w:val="21"/>
          <w:highlight w:val="none"/>
        </w:rPr>
        <w:sym w:font="Wingdings" w:char="00A8"/>
      </w:r>
      <w:r>
        <w:rPr>
          <w:rFonts w:hint="eastAsia" w:ascii="宋体" w:hAnsi="宋体" w:cs="宋体"/>
          <w:kern w:val="0"/>
          <w:szCs w:val="21"/>
          <w:highlight w:val="none"/>
        </w:rPr>
        <w:t>否</w:t>
      </w:r>
    </w:p>
    <w:p w14:paraId="65BA6406">
      <w:pPr>
        <w:widowControl/>
        <w:autoSpaceDE w:val="0"/>
        <w:autoSpaceDN w:val="0"/>
        <w:adjustRightInd w:val="0"/>
        <w:snapToGrid w:val="0"/>
        <w:spacing w:line="400" w:lineRule="exact"/>
        <w:jc w:val="left"/>
        <w:rPr>
          <w:rFonts w:ascii="宋体" w:hAnsi="宋体" w:cs="宋体"/>
          <w:kern w:val="0"/>
          <w:szCs w:val="21"/>
          <w:highlight w:val="none"/>
        </w:rPr>
      </w:pPr>
      <w:r>
        <w:rPr>
          <w:rFonts w:hint="eastAsia" w:ascii="宋体" w:hAnsi="宋体" w:cs="宋体"/>
          <w:kern w:val="0"/>
          <w:szCs w:val="21"/>
          <w:highlight w:val="none"/>
        </w:rPr>
        <w:t xml:space="preserve">    （</w:t>
      </w:r>
      <w:r>
        <w:rPr>
          <w:rFonts w:ascii="宋体" w:hAnsi="宋体" w:cs="宋体"/>
          <w:kern w:val="0"/>
          <w:szCs w:val="21"/>
          <w:highlight w:val="none"/>
          <w:lang w:val="en"/>
        </w:rPr>
        <w:t>4</w:t>
      </w:r>
      <w:r>
        <w:rPr>
          <w:rFonts w:hint="eastAsia" w:ascii="宋体" w:hAnsi="宋体" w:cs="宋体"/>
          <w:kern w:val="0"/>
          <w:szCs w:val="21"/>
          <w:highlight w:val="none"/>
        </w:rPr>
        <w:t>）政府采购组织形式：</w:t>
      </w:r>
      <w:r>
        <w:rPr>
          <w:rFonts w:hint="eastAsia" w:ascii="宋体" w:hAnsi="宋体" w:cs="宋体"/>
          <w:kern w:val="0"/>
          <w:szCs w:val="21"/>
          <w:highlight w:val="none"/>
        </w:rPr>
        <w:sym w:font="Wingdings" w:char="00A8"/>
      </w:r>
      <w:r>
        <w:rPr>
          <w:rFonts w:hint="eastAsia" w:ascii="宋体" w:hAnsi="宋体" w:cs="宋体"/>
          <w:kern w:val="0"/>
          <w:szCs w:val="21"/>
          <w:highlight w:val="none"/>
        </w:rPr>
        <w:t xml:space="preserve">政府集中采购  </w:t>
      </w:r>
      <w:r>
        <w:rPr>
          <w:rFonts w:hint="eastAsia" w:ascii="宋体" w:hAnsi="宋体" w:cs="宋体"/>
          <w:kern w:val="0"/>
          <w:szCs w:val="21"/>
          <w:highlight w:val="none"/>
        </w:rPr>
        <w:sym w:font="Wingdings" w:char="00A8"/>
      </w:r>
      <w:r>
        <w:rPr>
          <w:rFonts w:hint="eastAsia" w:ascii="宋体" w:hAnsi="宋体" w:cs="宋体"/>
          <w:kern w:val="0"/>
          <w:szCs w:val="21"/>
          <w:highlight w:val="none"/>
        </w:rPr>
        <w:t xml:space="preserve">部门集中采购  </w:t>
      </w:r>
      <w:r>
        <w:rPr>
          <w:rFonts w:hint="eastAsia" w:ascii="宋体" w:hAnsi="宋体" w:cs="宋体"/>
          <w:kern w:val="0"/>
          <w:szCs w:val="21"/>
          <w:highlight w:val="none"/>
        </w:rPr>
        <w:sym w:font="Wingdings" w:char="00A8"/>
      </w:r>
      <w:r>
        <w:rPr>
          <w:rFonts w:hint="eastAsia" w:ascii="宋体" w:hAnsi="宋体" w:cs="宋体"/>
          <w:kern w:val="0"/>
          <w:szCs w:val="21"/>
          <w:highlight w:val="none"/>
        </w:rPr>
        <w:t>分散采购</w:t>
      </w:r>
    </w:p>
    <w:p w14:paraId="1540DE9B">
      <w:pPr>
        <w:widowControl/>
        <w:autoSpaceDE w:val="0"/>
        <w:autoSpaceDN w:val="0"/>
        <w:adjustRightInd w:val="0"/>
        <w:snapToGrid w:val="0"/>
        <w:spacing w:line="400" w:lineRule="exact"/>
        <w:jc w:val="left"/>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lang w:val="en"/>
        </w:rPr>
        <w:t>5</w:t>
      </w:r>
      <w:r>
        <w:rPr>
          <w:rFonts w:hint="eastAsia" w:ascii="宋体" w:hAnsi="宋体" w:cs="宋体"/>
          <w:kern w:val="0"/>
          <w:szCs w:val="21"/>
          <w:highlight w:val="none"/>
        </w:rPr>
        <w:t>）政府采购方式：</w:t>
      </w:r>
      <w:r>
        <w:rPr>
          <w:rFonts w:hint="eastAsia" w:ascii="宋体" w:hAnsi="宋体" w:cs="宋体"/>
          <w:kern w:val="0"/>
          <w:szCs w:val="21"/>
          <w:highlight w:val="none"/>
        </w:rPr>
        <w:sym w:font="Wingdings" w:char="00A8"/>
      </w:r>
      <w:r>
        <w:rPr>
          <w:rFonts w:hint="eastAsia" w:ascii="宋体" w:hAnsi="宋体" w:cs="宋体"/>
          <w:kern w:val="0"/>
          <w:szCs w:val="21"/>
          <w:highlight w:val="none"/>
        </w:rPr>
        <w:t xml:space="preserve">公开招标 </w:t>
      </w:r>
      <w:r>
        <w:rPr>
          <w:rFonts w:hint="eastAsia" w:ascii="宋体" w:hAnsi="宋体" w:cs="宋体"/>
          <w:kern w:val="0"/>
          <w:szCs w:val="21"/>
          <w:highlight w:val="none"/>
        </w:rPr>
        <w:sym w:font="Wingdings" w:char="00A8"/>
      </w:r>
      <w:r>
        <w:rPr>
          <w:rFonts w:hint="eastAsia" w:ascii="宋体" w:hAnsi="宋体" w:cs="宋体"/>
          <w:kern w:val="0"/>
          <w:szCs w:val="21"/>
          <w:highlight w:val="none"/>
        </w:rPr>
        <w:t xml:space="preserve">邀请招标 </w:t>
      </w:r>
      <w:r>
        <w:rPr>
          <w:rFonts w:hint="eastAsia" w:ascii="宋体" w:hAnsi="宋体" w:cs="宋体"/>
          <w:kern w:val="0"/>
          <w:szCs w:val="21"/>
          <w:highlight w:val="none"/>
        </w:rPr>
        <w:sym w:font="Wingdings" w:char="00A8"/>
      </w:r>
      <w:r>
        <w:rPr>
          <w:rFonts w:hint="eastAsia" w:ascii="宋体" w:hAnsi="宋体" w:cs="宋体"/>
          <w:kern w:val="0"/>
          <w:szCs w:val="21"/>
          <w:highlight w:val="none"/>
        </w:rPr>
        <w:t xml:space="preserve">竞争性谈判 </w:t>
      </w:r>
      <w:r>
        <w:rPr>
          <w:rFonts w:hint="eastAsia" w:ascii="宋体" w:hAnsi="宋体" w:cs="宋体"/>
          <w:kern w:val="0"/>
          <w:szCs w:val="21"/>
          <w:highlight w:val="none"/>
        </w:rPr>
        <w:sym w:font="Wingdings" w:char="00A8"/>
      </w:r>
      <w:r>
        <w:rPr>
          <w:rFonts w:hint="eastAsia" w:ascii="宋体" w:hAnsi="宋体" w:cs="宋体"/>
          <w:kern w:val="0"/>
          <w:szCs w:val="21"/>
          <w:highlight w:val="none"/>
        </w:rPr>
        <w:t>竞争性磋商</w:t>
      </w:r>
    </w:p>
    <w:p w14:paraId="3AE2F79D">
      <w:pPr>
        <w:widowControl/>
        <w:autoSpaceDE w:val="0"/>
        <w:autoSpaceDN w:val="0"/>
        <w:adjustRightInd w:val="0"/>
        <w:snapToGrid w:val="0"/>
        <w:spacing w:line="400" w:lineRule="exact"/>
        <w:jc w:val="left"/>
        <w:rPr>
          <w:rFonts w:ascii="宋体" w:hAnsi="宋体" w:cs="宋体"/>
          <w:kern w:val="0"/>
          <w:szCs w:val="21"/>
          <w:highlight w:val="none"/>
          <w:u w:val="single"/>
        </w:rPr>
      </w:pPr>
      <w:r>
        <w:rPr>
          <w:rFonts w:hint="eastAsia" w:ascii="宋体" w:hAnsi="宋体" w:eastAsia="华文楷体" w:cs="宋体"/>
          <w:kern w:val="0"/>
          <w:sz w:val="22"/>
          <w:szCs w:val="21"/>
          <w:highlight w:val="none"/>
        </w:rPr>
        <w:t xml:space="preserve">                  </w:t>
      </w:r>
      <w:r>
        <w:rPr>
          <w:rFonts w:hint="eastAsia" w:ascii="宋体" w:hAnsi="宋体" w:cs="宋体"/>
          <w:kern w:val="0"/>
          <w:szCs w:val="21"/>
          <w:highlight w:val="none"/>
        </w:rPr>
        <w:sym w:font="Wingdings" w:char="00A8"/>
      </w:r>
      <w:r>
        <w:rPr>
          <w:rFonts w:hint="eastAsia" w:ascii="宋体" w:hAnsi="宋体" w:cs="宋体"/>
          <w:kern w:val="0"/>
          <w:szCs w:val="21"/>
          <w:highlight w:val="none"/>
        </w:rPr>
        <w:t xml:space="preserve">询价 </w:t>
      </w:r>
      <w:r>
        <w:rPr>
          <w:rFonts w:hint="eastAsia" w:ascii="宋体" w:hAnsi="宋体" w:cs="宋体"/>
          <w:kern w:val="0"/>
          <w:szCs w:val="21"/>
          <w:highlight w:val="none"/>
        </w:rPr>
        <w:sym w:font="Wingdings" w:char="00A8"/>
      </w:r>
      <w:r>
        <w:rPr>
          <w:rFonts w:hint="eastAsia" w:ascii="宋体" w:hAnsi="宋体" w:cs="宋体"/>
          <w:kern w:val="0"/>
          <w:szCs w:val="21"/>
          <w:highlight w:val="none"/>
        </w:rPr>
        <w:t xml:space="preserve">单一来源 </w:t>
      </w:r>
      <w:r>
        <w:rPr>
          <w:rFonts w:hint="eastAsia" w:ascii="宋体" w:hAnsi="宋体" w:cs="宋体"/>
          <w:kern w:val="0"/>
          <w:szCs w:val="21"/>
          <w:highlight w:val="none"/>
        </w:rPr>
        <w:sym w:font="Wingdings" w:char="00A8"/>
      </w:r>
      <w:r>
        <w:rPr>
          <w:rFonts w:hint="eastAsia" w:ascii="宋体" w:hAnsi="宋体" w:cs="宋体"/>
          <w:kern w:val="0"/>
          <w:szCs w:val="21"/>
          <w:highlight w:val="none"/>
        </w:rPr>
        <w:t xml:space="preserve">框架协议 </w:t>
      </w:r>
      <w:r>
        <w:rPr>
          <w:rFonts w:hint="eastAsia" w:ascii="宋体" w:hAnsi="宋体" w:cs="宋体"/>
          <w:kern w:val="0"/>
          <w:szCs w:val="21"/>
          <w:highlight w:val="none"/>
        </w:rPr>
        <w:sym w:font="Wingdings" w:char="00A8"/>
      </w:r>
      <w:r>
        <w:rPr>
          <w:rFonts w:hint="eastAsia" w:ascii="宋体" w:hAnsi="宋体" w:cs="宋体"/>
          <w:kern w:val="0"/>
          <w:szCs w:val="21"/>
          <w:highlight w:val="none"/>
        </w:rPr>
        <w:t>其他：</w:t>
      </w:r>
      <w:r>
        <w:rPr>
          <w:rFonts w:hint="eastAsia" w:ascii="宋体" w:hAnsi="宋体" w:cs="宋体"/>
          <w:kern w:val="0"/>
          <w:szCs w:val="21"/>
          <w:highlight w:val="none"/>
          <w:u w:val="single"/>
        </w:rPr>
        <w:t xml:space="preserve">          </w:t>
      </w:r>
    </w:p>
    <w:p w14:paraId="18A2EEBD">
      <w:pPr>
        <w:widowControl/>
        <w:autoSpaceDE w:val="0"/>
        <w:autoSpaceDN w:val="0"/>
        <w:adjustRightInd w:val="0"/>
        <w:snapToGrid w:val="0"/>
        <w:spacing w:line="400" w:lineRule="exact"/>
        <w:jc w:val="left"/>
        <w:rPr>
          <w:rFonts w:ascii="宋体" w:hAnsi="宋体" w:cs="宋体"/>
          <w:kern w:val="0"/>
          <w:szCs w:val="21"/>
          <w:highlight w:val="none"/>
        </w:rPr>
      </w:pPr>
      <w:r>
        <w:rPr>
          <w:rFonts w:hint="eastAsia" w:ascii="宋体" w:hAnsi="宋体" w:cs="宋体"/>
          <w:kern w:val="0"/>
          <w:szCs w:val="21"/>
          <w:highlight w:val="none"/>
        </w:rPr>
        <w:t>（注：在框架协议采购的第二阶段，可选择使用该合同文本）</w:t>
      </w:r>
    </w:p>
    <w:p w14:paraId="1E7F439F">
      <w:pPr>
        <w:widowControl/>
        <w:autoSpaceDE w:val="0"/>
        <w:autoSpaceDN w:val="0"/>
        <w:adjustRightInd w:val="0"/>
        <w:snapToGrid w:val="0"/>
        <w:spacing w:line="400" w:lineRule="exact"/>
        <w:jc w:val="left"/>
        <w:rPr>
          <w:rFonts w:ascii="宋体" w:hAnsi="宋体"/>
          <w:szCs w:val="21"/>
          <w:highlight w:val="none"/>
        </w:rPr>
      </w:pPr>
      <w:r>
        <w:rPr>
          <w:rFonts w:hint="eastAsia" w:ascii="宋体" w:hAnsi="宋体" w:eastAsia="华文楷体" w:cs="华文楷体"/>
          <w:kern w:val="0"/>
          <w:sz w:val="22"/>
          <w:szCs w:val="21"/>
          <w:highlight w:val="none"/>
        </w:rPr>
        <w:t xml:space="preserve"> （</w:t>
      </w:r>
      <w:r>
        <w:rPr>
          <w:rFonts w:ascii="宋体" w:hAnsi="宋体" w:eastAsia="华文楷体" w:cs="华文楷体"/>
          <w:kern w:val="0"/>
          <w:sz w:val="22"/>
          <w:szCs w:val="21"/>
          <w:highlight w:val="none"/>
          <w:lang w:val="en"/>
        </w:rPr>
        <w:t>6</w:t>
      </w:r>
      <w:r>
        <w:rPr>
          <w:rFonts w:hint="eastAsia" w:ascii="宋体" w:hAnsi="宋体" w:eastAsia="华文楷体" w:cs="华文楷体"/>
          <w:kern w:val="0"/>
          <w:sz w:val="22"/>
          <w:szCs w:val="21"/>
          <w:highlight w:val="none"/>
        </w:rPr>
        <w:t>）</w:t>
      </w:r>
      <w:r>
        <w:rPr>
          <w:rFonts w:hint="eastAsia" w:ascii="宋体" w:hAnsi="宋体"/>
          <w:szCs w:val="21"/>
          <w:highlight w:val="none"/>
        </w:rPr>
        <w:t>中标（成交）采购标的制造商是否为中小企业：</w:t>
      </w:r>
      <w:r>
        <w:rPr>
          <w:rFonts w:hint="eastAsia" w:ascii="宋体" w:hAnsi="宋体"/>
          <w:szCs w:val="21"/>
          <w:highlight w:val="none"/>
        </w:rPr>
        <w:sym w:font="Wingdings" w:char="00A8"/>
      </w:r>
      <w:r>
        <w:rPr>
          <w:rFonts w:hint="eastAsia" w:ascii="宋体" w:hAnsi="宋体"/>
          <w:szCs w:val="21"/>
          <w:highlight w:val="none"/>
        </w:rPr>
        <w:t xml:space="preserve">是      </w:t>
      </w:r>
      <w:r>
        <w:rPr>
          <w:rFonts w:hint="eastAsia" w:ascii="宋体" w:hAnsi="宋体"/>
          <w:szCs w:val="21"/>
          <w:highlight w:val="none"/>
        </w:rPr>
        <w:sym w:font="Wingdings" w:char="00A8"/>
      </w:r>
      <w:r>
        <w:rPr>
          <w:rFonts w:hint="eastAsia" w:ascii="宋体" w:hAnsi="宋体"/>
          <w:szCs w:val="21"/>
          <w:highlight w:val="none"/>
        </w:rPr>
        <w:t>否</w:t>
      </w:r>
    </w:p>
    <w:p w14:paraId="33FB51E4">
      <w:pPr>
        <w:adjustRightInd w:val="0"/>
        <w:snapToGrid w:val="0"/>
        <w:spacing w:line="400" w:lineRule="exact"/>
        <w:rPr>
          <w:rFonts w:ascii="宋体" w:hAnsi="宋体"/>
          <w:iCs/>
          <w:szCs w:val="21"/>
          <w:highlight w:val="none"/>
        </w:rPr>
      </w:pPr>
      <w:r>
        <w:rPr>
          <w:rFonts w:hint="eastAsia" w:ascii="宋体" w:hAnsi="宋体"/>
          <w:szCs w:val="21"/>
          <w:highlight w:val="none"/>
        </w:rPr>
        <w:t xml:space="preserve">         本合同是否为专门面向中小企业的采购合同（中小企业预留合同）：</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7087B4B4">
      <w:pPr>
        <w:adjustRightInd w:val="0"/>
        <w:snapToGrid w:val="0"/>
        <w:spacing w:line="400" w:lineRule="exact"/>
        <w:rPr>
          <w:rFonts w:ascii="宋体" w:hAnsi="宋体"/>
          <w:iCs/>
          <w:szCs w:val="21"/>
          <w:highlight w:val="none"/>
        </w:rPr>
      </w:pPr>
      <w:r>
        <w:rPr>
          <w:rFonts w:hint="eastAsia"/>
          <w:szCs w:val="24"/>
          <w:highlight w:val="none"/>
        </w:rPr>
        <w:t xml:space="preserve">         若本项目不专门面向中小企业采购，是否给予小微企业评审优惠：</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7E695F74">
      <w:pPr>
        <w:adjustRightInd w:val="0"/>
        <w:snapToGrid w:val="0"/>
        <w:spacing w:line="400" w:lineRule="exact"/>
        <w:rPr>
          <w:rFonts w:ascii="宋体" w:hAnsi="宋体"/>
          <w:iCs/>
          <w:szCs w:val="21"/>
          <w:highlight w:val="none"/>
        </w:rPr>
      </w:pPr>
      <w:r>
        <w:rPr>
          <w:rFonts w:hint="eastAsia"/>
          <w:szCs w:val="24"/>
          <w:highlight w:val="none"/>
        </w:rPr>
        <w:t xml:space="preserve">         中标（成交）采购标的制造商是否为残疾人福利性单位：</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34F2A6E2">
      <w:pPr>
        <w:snapToGrid w:val="0"/>
        <w:spacing w:line="400" w:lineRule="exact"/>
        <w:rPr>
          <w:szCs w:val="24"/>
          <w:highlight w:val="none"/>
        </w:rPr>
      </w:pPr>
      <w:r>
        <w:rPr>
          <w:rFonts w:hint="eastAsia"/>
          <w:szCs w:val="24"/>
          <w:highlight w:val="none"/>
        </w:rPr>
        <w:t xml:space="preserve">         中标（成交）采购标的制造商是否为监狱企业：</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62898826">
      <w:pPr>
        <w:adjustRightInd w:val="0"/>
        <w:snapToGrid w:val="0"/>
        <w:spacing w:line="400" w:lineRule="exact"/>
        <w:rPr>
          <w:rFonts w:ascii="宋体" w:hAnsi="宋体"/>
          <w:szCs w:val="21"/>
          <w:highlight w:val="none"/>
        </w:rPr>
      </w:pPr>
      <w:r>
        <w:rPr>
          <w:rFonts w:hint="eastAsia" w:ascii="宋体" w:hAnsi="宋体"/>
          <w:szCs w:val="21"/>
          <w:highlight w:val="none"/>
        </w:rPr>
        <w:t>（</w:t>
      </w:r>
      <w:r>
        <w:rPr>
          <w:rFonts w:ascii="宋体" w:hAnsi="宋体"/>
          <w:szCs w:val="21"/>
          <w:highlight w:val="none"/>
          <w:lang w:val="en"/>
        </w:rPr>
        <w:t>7</w:t>
      </w:r>
      <w:r>
        <w:rPr>
          <w:rFonts w:hint="eastAsia" w:ascii="宋体" w:hAnsi="宋体"/>
          <w:szCs w:val="21"/>
          <w:highlight w:val="none"/>
        </w:rPr>
        <w:t>）合同是否分包：</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01216714">
      <w:pPr>
        <w:adjustRightInd w:val="0"/>
        <w:snapToGrid w:val="0"/>
        <w:spacing w:line="400" w:lineRule="exact"/>
        <w:rPr>
          <w:rFonts w:ascii="宋体" w:hAnsi="宋体"/>
          <w:szCs w:val="21"/>
          <w:highlight w:val="none"/>
          <w:u w:val="single"/>
        </w:rPr>
      </w:pPr>
      <w:r>
        <w:rPr>
          <w:rFonts w:hint="eastAsia" w:ascii="宋体" w:hAnsi="宋体"/>
          <w:szCs w:val="21"/>
          <w:highlight w:val="none"/>
        </w:rPr>
        <w:t xml:space="preserve"> 分包主要内容：</w:t>
      </w:r>
      <w:r>
        <w:rPr>
          <w:rFonts w:hint="eastAsia" w:ascii="宋体" w:hAnsi="宋体"/>
          <w:szCs w:val="21"/>
          <w:highlight w:val="none"/>
          <w:u w:val="single"/>
        </w:rPr>
        <w:t xml:space="preserve">                                            </w:t>
      </w:r>
    </w:p>
    <w:p w14:paraId="6B687411">
      <w:pPr>
        <w:adjustRightInd w:val="0"/>
        <w:snapToGrid w:val="0"/>
        <w:spacing w:line="400" w:lineRule="exact"/>
        <w:rPr>
          <w:rFonts w:ascii="宋体" w:hAnsi="宋体"/>
          <w:szCs w:val="21"/>
          <w:highlight w:val="none"/>
        </w:rPr>
      </w:pPr>
      <w:r>
        <w:rPr>
          <w:rFonts w:hint="eastAsia" w:ascii="宋体" w:hAnsi="宋体"/>
          <w:szCs w:val="21"/>
          <w:highlight w:val="none"/>
        </w:rPr>
        <w:t xml:space="preserve"> 分包投标人/制造商名称（如投标人和制造商不同，请分别填写）：</w:t>
      </w:r>
    </w:p>
    <w:p w14:paraId="4D73C69D">
      <w:pPr>
        <w:adjustRightInd w:val="0"/>
        <w:snapToGrid w:val="0"/>
        <w:spacing w:line="400" w:lineRule="exact"/>
        <w:rPr>
          <w:rFonts w:ascii="宋体" w:hAnsi="宋体"/>
          <w:szCs w:val="21"/>
          <w:highlight w:val="none"/>
          <w:u w:val="single"/>
        </w:rPr>
      </w:pPr>
      <w:r>
        <w:rPr>
          <w:rFonts w:hint="eastAsia" w:ascii="宋体" w:hAnsi="宋体"/>
          <w:szCs w:val="21"/>
          <w:highlight w:val="none"/>
        </w:rPr>
        <w:t xml:space="preserve"> </w:t>
      </w:r>
      <w:r>
        <w:rPr>
          <w:rFonts w:hint="eastAsia" w:ascii="宋体" w:hAnsi="宋体"/>
          <w:szCs w:val="21"/>
          <w:highlight w:val="none"/>
          <w:u w:val="single"/>
        </w:rPr>
        <w:t xml:space="preserve">                                                          </w:t>
      </w:r>
    </w:p>
    <w:p w14:paraId="3585F567">
      <w:pPr>
        <w:adjustRightInd w:val="0"/>
        <w:snapToGrid w:val="0"/>
        <w:spacing w:line="400" w:lineRule="exact"/>
        <w:rPr>
          <w:rFonts w:ascii="宋体" w:hAnsi="宋体"/>
          <w:szCs w:val="21"/>
          <w:highlight w:val="none"/>
        </w:rPr>
      </w:pPr>
      <w:r>
        <w:rPr>
          <w:rFonts w:hint="eastAsia" w:ascii="宋体" w:hAnsi="宋体"/>
          <w:szCs w:val="21"/>
          <w:highlight w:val="none"/>
        </w:rPr>
        <w:t xml:space="preserve"> 分包投标人/制造商类型（如果投标人和制造商不同，只填写制造商类型）：</w:t>
      </w:r>
    </w:p>
    <w:p w14:paraId="5E29F7C5">
      <w:pPr>
        <w:adjustRightInd w:val="0"/>
        <w:snapToGrid w:val="0"/>
        <w:spacing w:line="400" w:lineRule="exact"/>
        <w:rPr>
          <w:rFonts w:ascii="宋体" w:hAnsi="宋体"/>
          <w:iCs/>
          <w:szCs w:val="21"/>
          <w:highlight w:val="none"/>
        </w:rPr>
      </w:pP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大型企业  </w:t>
      </w:r>
      <w:r>
        <w:rPr>
          <w:rFonts w:hint="eastAsia" w:ascii="宋体" w:hAnsi="宋体"/>
          <w:iCs/>
          <w:szCs w:val="21"/>
          <w:highlight w:val="none"/>
        </w:rPr>
        <w:sym w:font="Wingdings" w:char="00A8"/>
      </w:r>
      <w:r>
        <w:rPr>
          <w:rFonts w:hint="eastAsia" w:ascii="宋体" w:hAnsi="宋体"/>
          <w:iCs/>
          <w:szCs w:val="21"/>
          <w:highlight w:val="none"/>
        </w:rPr>
        <w:t xml:space="preserve">中型企业  </w:t>
      </w:r>
      <w:r>
        <w:rPr>
          <w:rFonts w:hint="eastAsia" w:ascii="宋体" w:hAnsi="宋体"/>
          <w:iCs/>
          <w:szCs w:val="21"/>
          <w:highlight w:val="none"/>
        </w:rPr>
        <w:sym w:font="Wingdings" w:char="00A8"/>
      </w:r>
      <w:r>
        <w:rPr>
          <w:rFonts w:hint="eastAsia" w:ascii="宋体" w:hAnsi="宋体"/>
          <w:iCs/>
          <w:szCs w:val="21"/>
          <w:highlight w:val="none"/>
        </w:rPr>
        <w:t xml:space="preserve">小微型企业  </w:t>
      </w:r>
    </w:p>
    <w:p w14:paraId="099984D6">
      <w:pPr>
        <w:adjustRightInd w:val="0"/>
        <w:snapToGrid w:val="0"/>
        <w:spacing w:line="400" w:lineRule="exact"/>
        <w:rPr>
          <w:rFonts w:eastAsia="华文楷体"/>
          <w:szCs w:val="24"/>
          <w:highlight w:val="none"/>
        </w:rPr>
      </w:pP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残疾人福利性单位 </w:t>
      </w:r>
      <w:r>
        <w:rPr>
          <w:rFonts w:hint="eastAsia" w:ascii="宋体" w:hAnsi="宋体"/>
          <w:iCs/>
          <w:szCs w:val="21"/>
          <w:highlight w:val="none"/>
        </w:rPr>
        <w:sym w:font="Wingdings" w:char="00A8"/>
      </w:r>
      <w:r>
        <w:rPr>
          <w:rFonts w:hint="eastAsia" w:ascii="宋体" w:hAnsi="宋体"/>
          <w:iCs/>
          <w:szCs w:val="21"/>
          <w:highlight w:val="none"/>
        </w:rPr>
        <w:t xml:space="preserve">监狱企业 </w:t>
      </w:r>
      <w:r>
        <w:rPr>
          <w:rFonts w:hint="eastAsia" w:ascii="宋体" w:hAnsi="宋体"/>
          <w:iCs/>
          <w:szCs w:val="21"/>
          <w:highlight w:val="none"/>
        </w:rPr>
        <w:sym w:font="Wingdings" w:char="00A8"/>
      </w:r>
      <w:r>
        <w:rPr>
          <w:rFonts w:hint="eastAsia" w:ascii="宋体" w:hAnsi="宋体"/>
          <w:iCs/>
          <w:szCs w:val="21"/>
          <w:highlight w:val="none"/>
        </w:rPr>
        <w:t>其他</w:t>
      </w:r>
    </w:p>
    <w:p w14:paraId="18B95979">
      <w:pPr>
        <w:adjustRightInd w:val="0"/>
        <w:snapToGrid w:val="0"/>
        <w:spacing w:line="400" w:lineRule="exact"/>
        <w:rPr>
          <w:rFonts w:ascii="宋体" w:hAnsi="宋体" w:cs="宋体"/>
          <w:iCs/>
          <w:szCs w:val="21"/>
          <w:highlight w:val="none"/>
        </w:rPr>
      </w:pPr>
      <w:r>
        <w:rPr>
          <w:rFonts w:hint="eastAsia" w:ascii="宋体" w:hAnsi="宋体"/>
          <w:szCs w:val="21"/>
          <w:highlight w:val="none"/>
        </w:rPr>
        <w:t xml:space="preserve">    </w:t>
      </w:r>
      <w:r>
        <w:rPr>
          <w:rFonts w:hint="eastAsia" w:ascii="宋体" w:hAnsi="宋体" w:cs="宋体"/>
          <w:szCs w:val="21"/>
          <w:highlight w:val="none"/>
        </w:rPr>
        <w:t>（</w:t>
      </w:r>
      <w:r>
        <w:rPr>
          <w:rFonts w:ascii="宋体" w:hAnsi="宋体" w:cs="宋体"/>
          <w:szCs w:val="21"/>
          <w:highlight w:val="none"/>
          <w:lang w:val="en"/>
        </w:rPr>
        <w:t>8</w:t>
      </w:r>
      <w:r>
        <w:rPr>
          <w:rFonts w:hint="eastAsia" w:ascii="宋体" w:hAnsi="宋体" w:cs="宋体"/>
          <w:szCs w:val="21"/>
          <w:highlight w:val="none"/>
        </w:rPr>
        <w:t>）中标（成交）投标人是否为外商投资企业：</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A8"/>
      </w:r>
      <w:r>
        <w:rPr>
          <w:rFonts w:hint="eastAsia" w:ascii="宋体" w:hAnsi="宋体" w:cs="宋体"/>
          <w:iCs/>
          <w:szCs w:val="21"/>
          <w:highlight w:val="none"/>
        </w:rPr>
        <w:t>否</w:t>
      </w:r>
    </w:p>
    <w:p w14:paraId="0BFCAF8E">
      <w:pPr>
        <w:widowControl/>
        <w:tabs>
          <w:tab w:val="left" w:pos="1340"/>
        </w:tabs>
        <w:autoSpaceDE w:val="0"/>
        <w:autoSpaceDN w:val="0"/>
        <w:adjustRightInd w:val="0"/>
        <w:spacing w:line="400" w:lineRule="exact"/>
        <w:jc w:val="left"/>
        <w:rPr>
          <w:rFonts w:ascii="宋体" w:hAnsi="宋体" w:cs="宋体"/>
          <w:kern w:val="0"/>
          <w:szCs w:val="21"/>
          <w:highlight w:val="none"/>
          <w:u w:val="single"/>
        </w:rPr>
      </w:pPr>
      <w:r>
        <w:rPr>
          <w:rFonts w:hint="eastAsia" w:ascii="宋体" w:hAnsi="宋体" w:cs="宋体"/>
          <w:kern w:val="0"/>
          <w:szCs w:val="21"/>
          <w:highlight w:val="none"/>
        </w:rPr>
        <w:t xml:space="preserve">     外商投资企业类型：</w:t>
      </w:r>
      <w:r>
        <w:rPr>
          <w:rFonts w:hint="eastAsia" w:ascii="宋体" w:hAnsi="宋体" w:cs="宋体"/>
          <w:iCs/>
          <w:kern w:val="0"/>
          <w:szCs w:val="21"/>
          <w:highlight w:val="none"/>
        </w:rPr>
        <w:sym w:font="Wingdings" w:char="00A8"/>
      </w:r>
      <w:r>
        <w:rPr>
          <w:rFonts w:hint="eastAsia" w:ascii="宋体" w:hAnsi="宋体" w:cs="宋体"/>
          <w:kern w:val="0"/>
          <w:szCs w:val="21"/>
          <w:highlight w:val="none"/>
        </w:rPr>
        <w:t xml:space="preserve">全部由外国投资者投资  </w:t>
      </w:r>
      <w:r>
        <w:rPr>
          <w:rFonts w:hint="eastAsia" w:ascii="宋体" w:hAnsi="宋体" w:cs="宋体"/>
          <w:iCs/>
          <w:kern w:val="0"/>
          <w:szCs w:val="21"/>
          <w:highlight w:val="none"/>
        </w:rPr>
        <w:sym w:font="Wingdings" w:char="00A8"/>
      </w:r>
      <w:r>
        <w:rPr>
          <w:rFonts w:hint="eastAsia" w:ascii="宋体" w:hAnsi="宋体" w:cs="宋体"/>
          <w:iCs/>
          <w:kern w:val="0"/>
          <w:szCs w:val="21"/>
          <w:highlight w:val="none"/>
        </w:rPr>
        <w:t>部分由外国投资者投资</w:t>
      </w:r>
    </w:p>
    <w:p w14:paraId="2C8E4A26">
      <w:pPr>
        <w:adjustRightInd w:val="0"/>
        <w:snapToGrid w:val="0"/>
        <w:spacing w:line="400" w:lineRule="exact"/>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lang w:val="en"/>
        </w:rPr>
        <w:t>9</w:t>
      </w:r>
      <w:r>
        <w:rPr>
          <w:rFonts w:hint="eastAsia" w:ascii="宋体" w:hAnsi="宋体" w:cs="宋体"/>
          <w:szCs w:val="21"/>
          <w:highlight w:val="none"/>
        </w:rPr>
        <w:t>）是否涉及进口产品：</w:t>
      </w:r>
    </w:p>
    <w:p w14:paraId="06587142">
      <w:pPr>
        <w:adjustRightInd w:val="0"/>
        <w:snapToGrid w:val="0"/>
        <w:spacing w:line="400" w:lineRule="exact"/>
        <w:rPr>
          <w:rFonts w:ascii="宋体" w:hAnsi="宋体" w:cs="宋体"/>
          <w:szCs w:val="21"/>
          <w:highlight w:val="none"/>
          <w:u w:val="single"/>
        </w:rPr>
      </w:pPr>
      <w:r>
        <w:rPr>
          <w:rFonts w:hint="eastAsia" w:ascii="宋体" w:hAnsi="宋体" w:cs="宋体"/>
          <w:szCs w:val="21"/>
          <w:highlight w:val="none"/>
        </w:rPr>
        <w:t xml:space="preserve"> </w:t>
      </w:r>
      <w:r>
        <w:rPr>
          <w:rFonts w:hint="eastAsia" w:ascii="宋体" w:hAnsi="宋体" w:cs="宋体"/>
          <w:szCs w:val="21"/>
          <w:highlight w:val="none"/>
        </w:rPr>
        <w:sym w:font="Wingdings" w:char="00A8"/>
      </w:r>
      <w:r>
        <w:rPr>
          <w:rFonts w:hint="eastAsia" w:ascii="宋体" w:hAnsi="宋体" w:cs="宋体"/>
          <w:szCs w:val="21"/>
          <w:highlight w:val="none"/>
        </w:rPr>
        <w:t>是，《政府采购品目分类目录》底级品目名称：</w:t>
      </w:r>
      <w:r>
        <w:rPr>
          <w:rFonts w:hint="eastAsia" w:ascii="宋体" w:hAnsi="宋体" w:cs="宋体"/>
          <w:szCs w:val="21"/>
          <w:highlight w:val="none"/>
          <w:u w:val="single"/>
        </w:rPr>
        <w:t xml:space="preserve">         </w:t>
      </w:r>
      <w:r>
        <w:rPr>
          <w:rFonts w:hint="eastAsia" w:ascii="宋体" w:hAnsi="宋体" w:cs="宋体"/>
          <w:szCs w:val="21"/>
          <w:highlight w:val="none"/>
        </w:rPr>
        <w:t xml:space="preserve"> 金额：</w:t>
      </w:r>
      <w:r>
        <w:rPr>
          <w:rFonts w:hint="eastAsia" w:ascii="宋体" w:hAnsi="宋体" w:cs="宋体"/>
          <w:szCs w:val="21"/>
          <w:highlight w:val="none"/>
          <w:u w:val="single"/>
        </w:rPr>
        <w:t xml:space="preserve">        </w:t>
      </w:r>
    </w:p>
    <w:p w14:paraId="0DB4A0C2">
      <w:pPr>
        <w:adjustRightInd w:val="0"/>
        <w:snapToGrid w:val="0"/>
        <w:spacing w:line="400" w:lineRule="exact"/>
        <w:rPr>
          <w:rFonts w:ascii="宋体" w:hAnsi="宋体"/>
          <w:szCs w:val="21"/>
          <w:highlight w:val="none"/>
        </w:rPr>
      </w:pPr>
      <w:r>
        <w:rPr>
          <w:rFonts w:hint="eastAsia" w:ascii="宋体" w:hAnsi="宋体" w:cs="宋体"/>
          <w:szCs w:val="21"/>
          <w:highlight w:val="none"/>
        </w:rPr>
        <w:t xml:space="preserve">        国别：</w:t>
      </w:r>
      <w:r>
        <w:rPr>
          <w:rFonts w:hint="eastAsia" w:ascii="宋体" w:hAnsi="宋体" w:cs="宋体"/>
          <w:szCs w:val="21"/>
          <w:highlight w:val="none"/>
          <w:u w:val="single"/>
        </w:rPr>
        <w:t xml:space="preserve">        </w:t>
      </w:r>
      <w:r>
        <w:rPr>
          <w:rFonts w:hint="eastAsia" w:ascii="宋体" w:hAnsi="宋体" w:cs="宋体"/>
          <w:szCs w:val="21"/>
          <w:highlight w:val="none"/>
        </w:rPr>
        <w:t xml:space="preserve"> 品牌：</w:t>
      </w:r>
      <w:r>
        <w:rPr>
          <w:rFonts w:hint="eastAsia" w:ascii="宋体" w:hAnsi="宋体" w:cs="宋体"/>
          <w:szCs w:val="21"/>
          <w:highlight w:val="none"/>
          <w:u w:val="single"/>
        </w:rPr>
        <w:t xml:space="preserve">        </w:t>
      </w:r>
      <w:r>
        <w:rPr>
          <w:rFonts w:hint="eastAsia" w:ascii="宋体" w:hAnsi="宋体" w:cs="宋体"/>
          <w:szCs w:val="21"/>
          <w:highlight w:val="none"/>
        </w:rPr>
        <w:t xml:space="preserve"> 规格型号：</w:t>
      </w:r>
      <w:r>
        <w:rPr>
          <w:rFonts w:hint="eastAsia" w:ascii="宋体" w:hAnsi="宋体" w:cs="宋体"/>
          <w:szCs w:val="21"/>
          <w:highlight w:val="none"/>
          <w:u w:val="single"/>
        </w:rPr>
        <w:t xml:space="preserve">        </w:t>
      </w:r>
      <w:r>
        <w:rPr>
          <w:rFonts w:hint="eastAsia" w:ascii="宋体" w:hAnsi="宋体"/>
          <w:szCs w:val="21"/>
          <w:highlight w:val="none"/>
        </w:rPr>
        <w:t xml:space="preserve">      </w:t>
      </w:r>
    </w:p>
    <w:p w14:paraId="193C37FB">
      <w:pPr>
        <w:adjustRightInd w:val="0"/>
        <w:snapToGrid w:val="0"/>
        <w:spacing w:line="400" w:lineRule="exact"/>
        <w:rPr>
          <w:rFonts w:ascii="宋体" w:hAnsi="宋体"/>
          <w:szCs w:val="21"/>
          <w:highlight w:val="none"/>
        </w:rPr>
      </w:pPr>
      <w:r>
        <w:rPr>
          <w:rFonts w:hint="eastAsia" w:ascii="宋体" w:hAnsi="宋体"/>
          <w:szCs w:val="21"/>
          <w:highlight w:val="none"/>
        </w:rPr>
        <w:t xml:space="preserve"> </w:t>
      </w:r>
      <w:r>
        <w:rPr>
          <w:rFonts w:hint="eastAsia" w:ascii="宋体" w:hAnsi="宋体"/>
          <w:szCs w:val="21"/>
          <w:highlight w:val="none"/>
        </w:rPr>
        <w:sym w:font="Wingdings" w:char="00A8"/>
      </w:r>
      <w:r>
        <w:rPr>
          <w:rFonts w:hint="eastAsia" w:ascii="宋体" w:hAnsi="宋体"/>
          <w:szCs w:val="21"/>
          <w:highlight w:val="none"/>
        </w:rPr>
        <w:t>否</w:t>
      </w:r>
    </w:p>
    <w:p w14:paraId="16C3B8C4">
      <w:pPr>
        <w:tabs>
          <w:tab w:val="left" w:pos="740"/>
        </w:tabs>
        <w:adjustRightInd w:val="0"/>
        <w:snapToGrid w:val="0"/>
        <w:spacing w:line="400" w:lineRule="exact"/>
        <w:rPr>
          <w:rFonts w:ascii="宋体" w:hAnsi="宋体"/>
          <w:szCs w:val="21"/>
          <w:highlight w:val="none"/>
        </w:rPr>
      </w:pPr>
      <w:r>
        <w:rPr>
          <w:rFonts w:hint="eastAsia" w:ascii="宋体" w:hAnsi="宋体"/>
          <w:szCs w:val="21"/>
          <w:highlight w:val="none"/>
        </w:rPr>
        <w:t xml:space="preserve">    （1</w:t>
      </w:r>
      <w:r>
        <w:rPr>
          <w:rFonts w:ascii="宋体" w:hAnsi="宋体"/>
          <w:szCs w:val="21"/>
          <w:highlight w:val="none"/>
          <w:lang w:val="en"/>
        </w:rPr>
        <w:t>0</w:t>
      </w:r>
      <w:r>
        <w:rPr>
          <w:rFonts w:hint="eastAsia" w:ascii="宋体" w:hAnsi="宋体"/>
          <w:szCs w:val="21"/>
          <w:highlight w:val="none"/>
        </w:rPr>
        <w:t>）是否涉及节能产品：</w:t>
      </w:r>
    </w:p>
    <w:p w14:paraId="3573BB37">
      <w:pPr>
        <w:tabs>
          <w:tab w:val="left" w:pos="740"/>
        </w:tabs>
        <w:adjustRightInd w:val="0"/>
        <w:snapToGrid w:val="0"/>
        <w:spacing w:line="400" w:lineRule="exact"/>
        <w:rPr>
          <w:rFonts w:ascii="宋体" w:hAnsi="宋体"/>
          <w:iCs/>
          <w:szCs w:val="21"/>
          <w:highlight w:val="none"/>
        </w:rPr>
      </w:pPr>
      <w:r>
        <w:rPr>
          <w:rFonts w:hint="eastAsia" w:ascii="宋体" w:hAnsi="宋体"/>
          <w:szCs w:val="21"/>
          <w:highlight w:val="none"/>
        </w:rPr>
        <w:t xml:space="preserve">         </w:t>
      </w:r>
      <w:r>
        <w:rPr>
          <w:rFonts w:hint="eastAsia" w:ascii="宋体" w:hAnsi="宋体"/>
          <w:szCs w:val="21"/>
          <w:highlight w:val="none"/>
        </w:rPr>
        <w:sym w:font="Wingdings" w:char="00A8"/>
      </w:r>
      <w:r>
        <w:rPr>
          <w:rFonts w:hint="eastAsia" w:ascii="宋体" w:hAnsi="宋体"/>
          <w:szCs w:val="21"/>
          <w:highlight w:val="none"/>
        </w:rPr>
        <w:t>是，《节能产品政府采购品目清单》的底级品目名称：</w:t>
      </w:r>
      <w:r>
        <w:rPr>
          <w:rFonts w:hint="eastAsia" w:ascii="宋体" w:hAnsi="宋体"/>
          <w:szCs w:val="21"/>
          <w:highlight w:val="none"/>
          <w:u w:val="single"/>
        </w:rPr>
        <w:t xml:space="preserve">         </w:t>
      </w:r>
      <w:r>
        <w:rPr>
          <w:rFonts w:hint="eastAsia" w:ascii="宋体" w:hAnsi="宋体"/>
          <w:iCs/>
          <w:szCs w:val="21"/>
          <w:highlight w:val="none"/>
        </w:rPr>
        <w:t xml:space="preserve">     </w:t>
      </w:r>
    </w:p>
    <w:p w14:paraId="7270FCDA">
      <w:pPr>
        <w:tabs>
          <w:tab w:val="left" w:pos="740"/>
        </w:tabs>
        <w:adjustRightInd w:val="0"/>
        <w:snapToGrid w:val="0"/>
        <w:spacing w:line="400" w:lineRule="exact"/>
        <w:rPr>
          <w:rFonts w:ascii="宋体" w:hAnsi="宋体"/>
          <w:iCs/>
          <w:szCs w:val="21"/>
          <w:highlight w:val="none"/>
        </w:rPr>
      </w:pP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强制采购       </w:t>
      </w:r>
      <w:r>
        <w:rPr>
          <w:rFonts w:hint="eastAsia" w:ascii="宋体" w:hAnsi="宋体"/>
          <w:iCs/>
          <w:szCs w:val="21"/>
          <w:highlight w:val="none"/>
        </w:rPr>
        <w:sym w:font="Wingdings" w:char="00A8"/>
      </w:r>
      <w:r>
        <w:rPr>
          <w:rFonts w:hint="eastAsia" w:ascii="宋体" w:hAnsi="宋体"/>
          <w:iCs/>
          <w:szCs w:val="21"/>
          <w:highlight w:val="none"/>
        </w:rPr>
        <w:t xml:space="preserve">优先采购    </w:t>
      </w:r>
    </w:p>
    <w:p w14:paraId="55D2A0DD">
      <w:pPr>
        <w:tabs>
          <w:tab w:val="left" w:pos="740"/>
        </w:tabs>
        <w:adjustRightInd w:val="0"/>
        <w:snapToGrid w:val="0"/>
        <w:spacing w:line="400" w:lineRule="exact"/>
        <w:rPr>
          <w:rFonts w:ascii="宋体" w:hAnsi="宋体"/>
          <w:szCs w:val="21"/>
          <w:highlight w:val="none"/>
        </w:rPr>
      </w:pPr>
      <w:r>
        <w:rPr>
          <w:rFonts w:hint="eastAsia" w:ascii="宋体" w:hAnsi="宋体"/>
          <w:iCs/>
          <w:szCs w:val="21"/>
          <w:highlight w:val="none"/>
        </w:rPr>
        <w:t xml:space="preserve">         </w:t>
      </w:r>
      <w:r>
        <w:rPr>
          <w:rFonts w:hint="eastAsia" w:ascii="宋体" w:hAnsi="宋体"/>
          <w:szCs w:val="21"/>
          <w:highlight w:val="none"/>
        </w:rPr>
        <w:sym w:font="Wingdings" w:char="00A8"/>
      </w:r>
      <w:r>
        <w:rPr>
          <w:rFonts w:hint="eastAsia" w:ascii="宋体" w:hAnsi="宋体"/>
          <w:szCs w:val="21"/>
          <w:highlight w:val="none"/>
        </w:rPr>
        <w:t>否</w:t>
      </w:r>
    </w:p>
    <w:p w14:paraId="3BFC2663">
      <w:pPr>
        <w:tabs>
          <w:tab w:val="left" w:pos="740"/>
        </w:tabs>
        <w:adjustRightInd w:val="0"/>
        <w:snapToGrid w:val="0"/>
        <w:spacing w:line="400" w:lineRule="exact"/>
        <w:rPr>
          <w:rFonts w:ascii="宋体" w:hAnsi="宋体"/>
          <w:szCs w:val="21"/>
          <w:highlight w:val="none"/>
        </w:rPr>
      </w:pPr>
      <w:r>
        <w:rPr>
          <w:rFonts w:hint="eastAsia" w:ascii="宋体" w:hAnsi="宋体"/>
          <w:szCs w:val="21"/>
          <w:highlight w:val="none"/>
        </w:rPr>
        <w:t xml:space="preserve">          是否涉及环境标志产品：</w:t>
      </w:r>
    </w:p>
    <w:p w14:paraId="46368639">
      <w:pPr>
        <w:tabs>
          <w:tab w:val="left" w:pos="740"/>
        </w:tabs>
        <w:adjustRightInd w:val="0"/>
        <w:snapToGrid w:val="0"/>
        <w:spacing w:line="400" w:lineRule="exact"/>
        <w:rPr>
          <w:rFonts w:ascii="宋体" w:hAnsi="宋体"/>
          <w:szCs w:val="21"/>
          <w:highlight w:val="none"/>
        </w:rPr>
      </w:pPr>
      <w:r>
        <w:rPr>
          <w:rFonts w:hint="eastAsia" w:ascii="宋体" w:hAnsi="宋体"/>
          <w:szCs w:val="21"/>
          <w:highlight w:val="none"/>
        </w:rPr>
        <w:t xml:space="preserve">         </w:t>
      </w:r>
      <w:r>
        <w:rPr>
          <w:rFonts w:hint="eastAsia" w:ascii="宋体" w:hAnsi="宋体"/>
          <w:szCs w:val="21"/>
          <w:highlight w:val="none"/>
        </w:rPr>
        <w:sym w:font="Wingdings" w:char="00A8"/>
      </w:r>
      <w:r>
        <w:rPr>
          <w:rFonts w:hint="eastAsia" w:ascii="宋体" w:hAnsi="宋体"/>
          <w:szCs w:val="21"/>
          <w:highlight w:val="none"/>
        </w:rPr>
        <w:t>是，《环境标志产品政府采购品目清单》的底级品目名称：</w:t>
      </w:r>
      <w:r>
        <w:rPr>
          <w:rFonts w:hint="eastAsia" w:ascii="宋体" w:hAnsi="宋体"/>
          <w:szCs w:val="21"/>
          <w:highlight w:val="none"/>
          <w:u w:val="single"/>
        </w:rPr>
        <w:t xml:space="preserve">         </w:t>
      </w:r>
      <w:r>
        <w:rPr>
          <w:rFonts w:hint="eastAsia" w:ascii="宋体" w:hAnsi="宋体"/>
          <w:iCs/>
          <w:szCs w:val="21"/>
          <w:highlight w:val="none"/>
        </w:rPr>
        <w:t xml:space="preserve"> </w:t>
      </w:r>
    </w:p>
    <w:p w14:paraId="69762954">
      <w:pPr>
        <w:tabs>
          <w:tab w:val="left" w:pos="740"/>
        </w:tabs>
        <w:adjustRightInd w:val="0"/>
        <w:snapToGrid w:val="0"/>
        <w:spacing w:line="400" w:lineRule="exact"/>
        <w:rPr>
          <w:rFonts w:ascii="宋体" w:hAnsi="宋体"/>
          <w:iCs/>
          <w:szCs w:val="21"/>
          <w:highlight w:val="none"/>
        </w:rPr>
      </w:pP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强制采购       </w:t>
      </w:r>
      <w:r>
        <w:rPr>
          <w:rFonts w:hint="eastAsia" w:ascii="宋体" w:hAnsi="宋体"/>
          <w:iCs/>
          <w:szCs w:val="21"/>
          <w:highlight w:val="none"/>
        </w:rPr>
        <w:sym w:font="Wingdings" w:char="00A8"/>
      </w:r>
      <w:r>
        <w:rPr>
          <w:rFonts w:hint="eastAsia" w:ascii="宋体" w:hAnsi="宋体"/>
          <w:iCs/>
          <w:szCs w:val="21"/>
          <w:highlight w:val="none"/>
        </w:rPr>
        <w:t xml:space="preserve">优先采购    </w:t>
      </w:r>
    </w:p>
    <w:p w14:paraId="342D3984">
      <w:pPr>
        <w:tabs>
          <w:tab w:val="left" w:pos="740"/>
        </w:tabs>
        <w:adjustRightInd w:val="0"/>
        <w:snapToGrid w:val="0"/>
        <w:spacing w:line="400" w:lineRule="exact"/>
        <w:rPr>
          <w:rFonts w:ascii="宋体" w:hAnsi="宋体"/>
          <w:szCs w:val="21"/>
          <w:highlight w:val="none"/>
        </w:rPr>
      </w:pPr>
      <w:r>
        <w:rPr>
          <w:rFonts w:hint="eastAsia" w:ascii="宋体" w:hAnsi="宋体"/>
          <w:iCs/>
          <w:szCs w:val="21"/>
          <w:highlight w:val="none"/>
        </w:rPr>
        <w:t xml:space="preserve">         </w:t>
      </w:r>
      <w:r>
        <w:rPr>
          <w:rFonts w:hint="eastAsia" w:ascii="宋体" w:hAnsi="宋体"/>
          <w:szCs w:val="21"/>
          <w:highlight w:val="none"/>
        </w:rPr>
        <w:sym w:font="Wingdings" w:char="00A8"/>
      </w:r>
      <w:r>
        <w:rPr>
          <w:rFonts w:hint="eastAsia" w:ascii="宋体" w:hAnsi="宋体"/>
          <w:szCs w:val="21"/>
          <w:highlight w:val="none"/>
        </w:rPr>
        <w:t>否</w:t>
      </w:r>
    </w:p>
    <w:p w14:paraId="0B3A41DF">
      <w:pPr>
        <w:widowControl/>
        <w:autoSpaceDE w:val="0"/>
        <w:autoSpaceDN w:val="0"/>
        <w:adjustRightInd w:val="0"/>
        <w:snapToGrid w:val="0"/>
        <w:spacing w:line="400" w:lineRule="exact"/>
        <w:jc w:val="left"/>
        <w:rPr>
          <w:rFonts w:ascii="宋体" w:hAnsi="宋体"/>
          <w:szCs w:val="21"/>
          <w:highlight w:val="none"/>
        </w:rPr>
      </w:pPr>
      <w:r>
        <w:rPr>
          <w:rFonts w:hint="eastAsia" w:ascii="宋体" w:hAnsi="宋体" w:eastAsia="华文楷体" w:cs="华文楷体"/>
          <w:kern w:val="0"/>
          <w:szCs w:val="21"/>
          <w:highlight w:val="none"/>
        </w:rPr>
        <w:t xml:space="preserve">          </w:t>
      </w:r>
      <w:r>
        <w:rPr>
          <w:rFonts w:hint="eastAsia" w:ascii="宋体" w:hAnsi="宋体"/>
          <w:szCs w:val="21"/>
          <w:highlight w:val="none"/>
        </w:rPr>
        <w:t xml:space="preserve">是否涉及绿色产品： </w:t>
      </w:r>
    </w:p>
    <w:p w14:paraId="4C0C1FC6">
      <w:pPr>
        <w:widowControl/>
        <w:autoSpaceDE w:val="0"/>
        <w:autoSpaceDN w:val="0"/>
        <w:adjustRightInd w:val="0"/>
        <w:spacing w:line="400" w:lineRule="exact"/>
        <w:jc w:val="left"/>
        <w:rPr>
          <w:rFonts w:ascii="宋体" w:hAnsi="宋体" w:cs="华文楷体"/>
          <w:kern w:val="0"/>
          <w:sz w:val="22"/>
          <w:szCs w:val="21"/>
          <w:highlight w:val="none"/>
          <w:u w:val="single"/>
        </w:rPr>
      </w:pPr>
      <w:r>
        <w:rPr>
          <w:rFonts w:hint="eastAsia" w:ascii="宋体" w:hAnsi="宋体"/>
          <w:szCs w:val="21"/>
          <w:highlight w:val="none"/>
        </w:rPr>
        <w:t xml:space="preserve">     </w:t>
      </w:r>
      <w:r>
        <w:rPr>
          <w:rFonts w:hint="eastAsia" w:ascii="宋体" w:hAnsi="宋体"/>
          <w:szCs w:val="21"/>
          <w:highlight w:val="none"/>
        </w:rPr>
        <w:sym w:font="Wingdings" w:char="00A8"/>
      </w:r>
      <w:r>
        <w:rPr>
          <w:rFonts w:hint="eastAsia" w:ascii="宋体" w:hAnsi="宋体"/>
          <w:szCs w:val="21"/>
          <w:highlight w:val="none"/>
        </w:rPr>
        <w:t>是，绿色产品政府采购相关政策确定的底级品目名称：</w:t>
      </w:r>
      <w:r>
        <w:rPr>
          <w:rFonts w:hint="eastAsia" w:ascii="宋体" w:hAnsi="宋体" w:cs="华文楷体"/>
          <w:kern w:val="0"/>
          <w:sz w:val="22"/>
          <w:szCs w:val="21"/>
          <w:highlight w:val="none"/>
          <w:u w:val="single"/>
        </w:rPr>
        <w:t xml:space="preserve">         </w:t>
      </w:r>
    </w:p>
    <w:p w14:paraId="2BCFA4EE">
      <w:pPr>
        <w:tabs>
          <w:tab w:val="left" w:pos="740"/>
        </w:tabs>
        <w:adjustRightInd w:val="0"/>
        <w:snapToGrid w:val="0"/>
        <w:spacing w:line="400" w:lineRule="exact"/>
        <w:rPr>
          <w:rFonts w:ascii="宋体" w:hAnsi="宋体"/>
          <w:iCs/>
          <w:szCs w:val="21"/>
          <w:highlight w:val="none"/>
        </w:rPr>
      </w:pP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强制采购       </w:t>
      </w:r>
      <w:r>
        <w:rPr>
          <w:rFonts w:hint="eastAsia" w:ascii="宋体" w:hAnsi="宋体"/>
          <w:iCs/>
          <w:szCs w:val="21"/>
          <w:highlight w:val="none"/>
        </w:rPr>
        <w:sym w:font="Wingdings" w:char="00A8"/>
      </w:r>
      <w:r>
        <w:rPr>
          <w:rFonts w:hint="eastAsia" w:ascii="宋体" w:hAnsi="宋体"/>
          <w:iCs/>
          <w:szCs w:val="21"/>
          <w:highlight w:val="none"/>
        </w:rPr>
        <w:t xml:space="preserve">优先采购    </w:t>
      </w:r>
    </w:p>
    <w:p w14:paraId="774D6263">
      <w:pPr>
        <w:widowControl/>
        <w:autoSpaceDE w:val="0"/>
        <w:autoSpaceDN w:val="0"/>
        <w:adjustRightInd w:val="0"/>
        <w:spacing w:line="400" w:lineRule="exact"/>
        <w:jc w:val="left"/>
        <w:rPr>
          <w:rFonts w:ascii="宋体" w:hAnsi="宋体" w:eastAsia="华文楷体" w:cs="华文楷体"/>
          <w:kern w:val="0"/>
          <w:szCs w:val="21"/>
          <w:highlight w:val="none"/>
        </w:rPr>
      </w:pPr>
      <w:r>
        <w:rPr>
          <w:rFonts w:hint="eastAsia" w:ascii="宋体" w:hAnsi="宋体"/>
          <w:szCs w:val="21"/>
          <w:highlight w:val="none"/>
        </w:rPr>
        <w:t xml:space="preserve">     </w:t>
      </w:r>
      <w:r>
        <w:rPr>
          <w:rFonts w:hint="eastAsia" w:ascii="宋体" w:hAnsi="宋体"/>
          <w:szCs w:val="21"/>
          <w:highlight w:val="none"/>
        </w:rPr>
        <w:sym w:font="Wingdings" w:char="00A8"/>
      </w:r>
      <w:r>
        <w:rPr>
          <w:rFonts w:hint="eastAsia" w:ascii="宋体" w:hAnsi="宋体"/>
          <w:szCs w:val="21"/>
          <w:highlight w:val="none"/>
        </w:rPr>
        <w:t>否</w:t>
      </w:r>
    </w:p>
    <w:p w14:paraId="02B3995A">
      <w:pPr>
        <w:adjustRightInd w:val="0"/>
        <w:snapToGrid w:val="0"/>
        <w:spacing w:line="400" w:lineRule="exact"/>
        <w:rPr>
          <w:rFonts w:ascii="宋体" w:hAnsi="宋体"/>
          <w:szCs w:val="21"/>
          <w:highlight w:val="none"/>
        </w:rPr>
      </w:pPr>
      <w:r>
        <w:rPr>
          <w:rFonts w:hint="eastAsia" w:ascii="宋体" w:hAnsi="宋体"/>
          <w:szCs w:val="21"/>
          <w:highlight w:val="none"/>
        </w:rPr>
        <w:t xml:space="preserve">    （1</w:t>
      </w:r>
      <w:r>
        <w:rPr>
          <w:rFonts w:ascii="宋体" w:hAnsi="宋体"/>
          <w:szCs w:val="21"/>
          <w:highlight w:val="none"/>
          <w:lang w:val="en"/>
        </w:rPr>
        <w:t>1</w:t>
      </w:r>
      <w:r>
        <w:rPr>
          <w:rFonts w:hint="eastAsia" w:ascii="宋体" w:hAnsi="宋体"/>
          <w:szCs w:val="21"/>
          <w:highlight w:val="none"/>
        </w:rPr>
        <w:t>）涉及商品包装和快递包装的，是否参考《商品包装政府采购需求标准（试行）》、《快递包装政府采购需求标准（试行）》明确产品及相关快递服务的具体包装要求：</w:t>
      </w:r>
    </w:p>
    <w:p w14:paraId="69DEE740">
      <w:pPr>
        <w:adjustRightInd w:val="0"/>
        <w:snapToGrid w:val="0"/>
        <w:spacing w:line="400" w:lineRule="exact"/>
        <w:rPr>
          <w:rFonts w:ascii="宋体" w:hAnsi="宋体"/>
          <w:szCs w:val="21"/>
          <w:highlight w:val="none"/>
        </w:rPr>
      </w:pPr>
      <w:r>
        <w:rPr>
          <w:rFonts w:hint="eastAsia" w:ascii="宋体" w:hAnsi="宋体"/>
          <w:szCs w:val="21"/>
          <w:highlight w:val="none"/>
        </w:rPr>
        <w:sym w:font="Wingdings" w:char="00A8"/>
      </w:r>
      <w:r>
        <w:rPr>
          <w:rFonts w:hint="eastAsia" w:ascii="宋体" w:hAnsi="宋体"/>
          <w:szCs w:val="21"/>
          <w:highlight w:val="none"/>
        </w:rPr>
        <w:t xml:space="preserve">是       </w:t>
      </w:r>
      <w:r>
        <w:rPr>
          <w:rFonts w:hint="eastAsia" w:ascii="宋体" w:hAnsi="宋体"/>
          <w:szCs w:val="21"/>
          <w:highlight w:val="none"/>
        </w:rPr>
        <w:sym w:font="Wingdings" w:char="00A8"/>
      </w:r>
      <w:r>
        <w:rPr>
          <w:rFonts w:hint="eastAsia" w:ascii="宋体" w:hAnsi="宋体"/>
          <w:szCs w:val="21"/>
          <w:highlight w:val="none"/>
        </w:rPr>
        <w:t xml:space="preserve">否      </w:t>
      </w:r>
      <w:r>
        <w:rPr>
          <w:rFonts w:hint="eastAsia" w:ascii="宋体" w:hAnsi="宋体"/>
          <w:szCs w:val="21"/>
          <w:highlight w:val="none"/>
        </w:rPr>
        <w:sym w:font="Wingdings" w:char="00A8"/>
      </w:r>
      <w:r>
        <w:rPr>
          <w:rFonts w:hint="eastAsia" w:ascii="宋体" w:hAnsi="宋体"/>
          <w:szCs w:val="21"/>
          <w:highlight w:val="none"/>
        </w:rPr>
        <w:t>不涉及</w:t>
      </w:r>
    </w:p>
    <w:p w14:paraId="64DE3697">
      <w:pPr>
        <w:numPr>
          <w:ilvl w:val="0"/>
          <w:numId w:val="64"/>
        </w:numPr>
        <w:adjustRightInd w:val="0"/>
        <w:snapToGrid w:val="0"/>
        <w:spacing w:line="400" w:lineRule="exact"/>
        <w:ind w:firstLine="420"/>
        <w:rPr>
          <w:rFonts w:ascii="宋体" w:hAnsi="宋体"/>
          <w:b/>
          <w:szCs w:val="21"/>
          <w:highlight w:val="none"/>
        </w:rPr>
      </w:pPr>
      <w:r>
        <w:rPr>
          <w:rFonts w:hint="eastAsia" w:ascii="宋体" w:hAnsi="宋体"/>
          <w:b/>
          <w:szCs w:val="21"/>
          <w:highlight w:val="none"/>
        </w:rPr>
        <w:t>合同金额</w:t>
      </w:r>
    </w:p>
    <w:p w14:paraId="43F078EC">
      <w:pPr>
        <w:adjustRightInd w:val="0"/>
        <w:snapToGrid w:val="0"/>
        <w:spacing w:line="400" w:lineRule="exact"/>
        <w:rPr>
          <w:rFonts w:ascii="宋体" w:hAnsi="宋体"/>
          <w:szCs w:val="21"/>
          <w:highlight w:val="none"/>
        </w:rPr>
      </w:pPr>
      <w:r>
        <w:rPr>
          <w:rFonts w:hint="eastAsia" w:ascii="宋体" w:hAnsi="宋体"/>
          <w:szCs w:val="21"/>
          <w:highlight w:val="none"/>
        </w:rPr>
        <w:t>（1）合同金额小写：</w:t>
      </w:r>
      <w:r>
        <w:rPr>
          <w:rFonts w:hint="eastAsia" w:ascii="宋体" w:hAnsi="宋体"/>
          <w:szCs w:val="21"/>
          <w:highlight w:val="none"/>
          <w:u w:val="single"/>
        </w:rPr>
        <w:t xml:space="preserve">                           </w:t>
      </w:r>
    </w:p>
    <w:p w14:paraId="7FB4AB72">
      <w:pPr>
        <w:adjustRightInd w:val="0"/>
        <w:snapToGrid w:val="0"/>
        <w:spacing w:line="400" w:lineRule="exact"/>
        <w:rPr>
          <w:rFonts w:ascii="宋体" w:hAnsi="宋体"/>
          <w:szCs w:val="21"/>
          <w:highlight w:val="none"/>
          <w:u w:val="single"/>
        </w:rPr>
      </w:pPr>
      <w:r>
        <w:rPr>
          <w:rFonts w:hint="eastAsia" w:ascii="宋体" w:hAnsi="宋体"/>
          <w:szCs w:val="21"/>
          <w:highlight w:val="none"/>
        </w:rPr>
        <w:t xml:space="preserve">                 大写：</w:t>
      </w:r>
      <w:r>
        <w:rPr>
          <w:rFonts w:hint="eastAsia" w:ascii="宋体" w:hAnsi="宋体"/>
          <w:szCs w:val="21"/>
          <w:highlight w:val="none"/>
          <w:u w:val="single"/>
        </w:rPr>
        <w:t xml:space="preserve">                           </w:t>
      </w:r>
    </w:p>
    <w:p w14:paraId="1745870C">
      <w:pPr>
        <w:adjustRightInd w:val="0"/>
        <w:snapToGrid w:val="0"/>
        <w:spacing w:line="400" w:lineRule="exact"/>
        <w:rPr>
          <w:rFonts w:ascii="宋体" w:hAnsi="宋体"/>
          <w:szCs w:val="21"/>
          <w:highlight w:val="none"/>
        </w:rPr>
      </w:pPr>
      <w:r>
        <w:rPr>
          <w:rFonts w:hint="eastAsia" w:ascii="宋体" w:hAnsi="宋体"/>
          <w:szCs w:val="21"/>
          <w:highlight w:val="none"/>
        </w:rPr>
        <w:t xml:space="preserve">         分包金额（如有）小写：</w:t>
      </w:r>
      <w:r>
        <w:rPr>
          <w:rFonts w:hint="eastAsia" w:ascii="宋体" w:hAnsi="宋体"/>
          <w:szCs w:val="21"/>
          <w:highlight w:val="none"/>
          <w:u w:val="single"/>
        </w:rPr>
        <w:t xml:space="preserve">                   </w:t>
      </w:r>
    </w:p>
    <w:p w14:paraId="2827B409">
      <w:pPr>
        <w:adjustRightInd w:val="0"/>
        <w:snapToGrid w:val="0"/>
        <w:spacing w:line="400" w:lineRule="exact"/>
        <w:rPr>
          <w:rFonts w:ascii="宋体" w:hAnsi="宋体"/>
          <w:szCs w:val="21"/>
          <w:highlight w:val="none"/>
          <w:u w:val="single"/>
        </w:rPr>
      </w:pPr>
      <w:r>
        <w:rPr>
          <w:rFonts w:hint="eastAsia" w:ascii="宋体" w:hAnsi="宋体"/>
          <w:szCs w:val="21"/>
          <w:highlight w:val="none"/>
        </w:rPr>
        <w:t xml:space="preserve">                     大写：</w:t>
      </w:r>
      <w:r>
        <w:rPr>
          <w:rFonts w:hint="eastAsia" w:ascii="宋体" w:hAnsi="宋体"/>
          <w:szCs w:val="21"/>
          <w:highlight w:val="none"/>
          <w:u w:val="single"/>
        </w:rPr>
        <w:t xml:space="preserve">                       </w:t>
      </w:r>
    </w:p>
    <w:p w14:paraId="3A455A9A">
      <w:pPr>
        <w:adjustRightInd w:val="0"/>
        <w:snapToGrid w:val="0"/>
        <w:spacing w:line="400" w:lineRule="exact"/>
        <w:rPr>
          <w:rFonts w:ascii="宋体" w:hAnsi="宋体"/>
          <w:szCs w:val="21"/>
          <w:highlight w:val="none"/>
        </w:rPr>
      </w:pPr>
      <w:r>
        <w:rPr>
          <w:rFonts w:hint="eastAsia" w:ascii="宋体" w:hAnsi="宋体"/>
          <w:szCs w:val="21"/>
          <w:highlight w:val="none"/>
        </w:rPr>
        <w:t xml:space="preserve">    （注：固定单价合同应填写单价和最高限价）</w:t>
      </w:r>
    </w:p>
    <w:p w14:paraId="4A462A94">
      <w:pPr>
        <w:adjustRightInd w:val="0"/>
        <w:snapToGrid w:val="0"/>
        <w:spacing w:line="400" w:lineRule="exact"/>
        <w:rPr>
          <w:rFonts w:ascii="宋体" w:hAnsi="宋体"/>
          <w:szCs w:val="21"/>
          <w:highlight w:val="none"/>
        </w:rPr>
      </w:pPr>
      <w:r>
        <w:rPr>
          <w:rFonts w:hint="eastAsia" w:ascii="宋体" w:hAnsi="宋体"/>
          <w:szCs w:val="21"/>
          <w:highlight w:val="none"/>
        </w:rPr>
        <w:t xml:space="preserve">    （2）合同定价方式（采用组合定价方式的，可以勾选多项）：</w:t>
      </w:r>
    </w:p>
    <w:p w14:paraId="499BCD43">
      <w:pPr>
        <w:adjustRightInd w:val="0"/>
        <w:snapToGrid w:val="0"/>
        <w:spacing w:line="400" w:lineRule="exact"/>
        <w:rPr>
          <w:rFonts w:ascii="宋体" w:hAnsi="宋体"/>
          <w:szCs w:val="21"/>
          <w:highlight w:val="none"/>
        </w:rPr>
      </w:pP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固定总价 </w:t>
      </w:r>
      <w:r>
        <w:rPr>
          <w:rFonts w:hint="eastAsia" w:ascii="宋体" w:hAnsi="宋体"/>
          <w:iCs/>
          <w:szCs w:val="21"/>
          <w:highlight w:val="none"/>
        </w:rPr>
        <w:sym w:font="Wingdings" w:char="00A8"/>
      </w:r>
      <w:r>
        <w:rPr>
          <w:rFonts w:hint="eastAsia" w:ascii="宋体" w:hAnsi="宋体"/>
          <w:iCs/>
          <w:szCs w:val="21"/>
          <w:highlight w:val="none"/>
        </w:rPr>
        <w:t xml:space="preserve">固定单价 </w:t>
      </w:r>
      <w:r>
        <w:rPr>
          <w:rFonts w:hint="eastAsia" w:ascii="宋体" w:hAnsi="宋体"/>
          <w:iCs/>
          <w:szCs w:val="21"/>
          <w:highlight w:val="none"/>
        </w:rPr>
        <w:sym w:font="Wingdings" w:char="00A8"/>
      </w:r>
      <w:r>
        <w:rPr>
          <w:rFonts w:hint="eastAsia" w:ascii="宋体" w:hAnsi="宋体"/>
          <w:iCs/>
          <w:szCs w:val="21"/>
          <w:highlight w:val="none"/>
        </w:rPr>
        <w:t xml:space="preserve">固定费率 </w:t>
      </w:r>
      <w:r>
        <w:rPr>
          <w:rFonts w:hint="eastAsia" w:ascii="宋体" w:hAnsi="宋体"/>
          <w:iCs/>
          <w:szCs w:val="21"/>
          <w:highlight w:val="none"/>
        </w:rPr>
        <w:sym w:font="Wingdings" w:char="00A8"/>
      </w:r>
      <w:r>
        <w:rPr>
          <w:rFonts w:hint="eastAsia" w:ascii="宋体" w:hAnsi="宋体"/>
          <w:iCs/>
          <w:szCs w:val="21"/>
          <w:highlight w:val="none"/>
        </w:rPr>
        <w:t xml:space="preserve">成本补偿 </w:t>
      </w:r>
      <w:r>
        <w:rPr>
          <w:rFonts w:hint="eastAsia" w:ascii="宋体" w:hAnsi="宋体"/>
          <w:iCs/>
          <w:szCs w:val="21"/>
          <w:highlight w:val="none"/>
        </w:rPr>
        <w:sym w:font="Wingdings" w:char="00A8"/>
      </w:r>
      <w:r>
        <w:rPr>
          <w:rFonts w:hint="eastAsia" w:ascii="宋体" w:hAnsi="宋体"/>
          <w:iCs/>
          <w:szCs w:val="21"/>
          <w:highlight w:val="none"/>
        </w:rPr>
        <w:t xml:space="preserve">绩效激励 </w:t>
      </w:r>
      <w:r>
        <w:rPr>
          <w:rFonts w:hint="eastAsia" w:ascii="宋体" w:hAnsi="宋体"/>
          <w:iCs/>
          <w:szCs w:val="21"/>
          <w:highlight w:val="none"/>
        </w:rPr>
        <w:sym w:font="Wingdings" w:char="00A8"/>
      </w:r>
      <w:r>
        <w:rPr>
          <w:rFonts w:hint="eastAsia" w:ascii="宋体" w:hAnsi="宋体"/>
          <w:iCs/>
          <w:szCs w:val="21"/>
          <w:highlight w:val="none"/>
        </w:rPr>
        <w:t>其他</w:t>
      </w:r>
      <w:r>
        <w:rPr>
          <w:rFonts w:hint="eastAsia" w:ascii="宋体" w:hAnsi="宋体"/>
          <w:szCs w:val="21"/>
          <w:highlight w:val="none"/>
          <w:u w:val="single"/>
        </w:rPr>
        <w:t xml:space="preserve">       </w:t>
      </w:r>
    </w:p>
    <w:p w14:paraId="0A8D4183">
      <w:pPr>
        <w:spacing w:line="400" w:lineRule="exact"/>
        <w:rPr>
          <w:szCs w:val="21"/>
          <w:highlight w:val="none"/>
        </w:rPr>
      </w:pPr>
      <w:r>
        <w:rPr>
          <w:rFonts w:hint="eastAsia" w:ascii="宋体" w:hAnsi="宋体"/>
          <w:szCs w:val="21"/>
          <w:highlight w:val="none"/>
        </w:rPr>
        <w:t>（3）付款方式（按项目实际勾选填写）：</w:t>
      </w:r>
    </w:p>
    <w:p w14:paraId="3F4F1F2F">
      <w:pPr>
        <w:adjustRightInd w:val="0"/>
        <w:snapToGrid w:val="0"/>
        <w:spacing w:line="400" w:lineRule="exact"/>
        <w:rPr>
          <w:rFonts w:ascii="宋体" w:hAnsi="宋体"/>
          <w:szCs w:val="21"/>
          <w:highlight w:val="none"/>
          <w:u w:val="single"/>
        </w:rPr>
      </w:pPr>
      <w:r>
        <w:rPr>
          <w:rFonts w:hint="eastAsia" w:ascii="宋体" w:hAnsi="宋体"/>
          <w:szCs w:val="21"/>
          <w:highlight w:val="none"/>
        </w:rPr>
        <w:sym w:font="Wingdings" w:char="00A8"/>
      </w:r>
      <w:r>
        <w:rPr>
          <w:rFonts w:hint="eastAsia" w:ascii="宋体" w:hAnsi="宋体"/>
          <w:szCs w:val="21"/>
          <w:highlight w:val="none"/>
        </w:rPr>
        <w:t>全额付款：</w:t>
      </w:r>
      <w:r>
        <w:rPr>
          <w:rFonts w:hint="eastAsia" w:ascii="宋体" w:hAnsi="宋体"/>
          <w:szCs w:val="21"/>
          <w:highlight w:val="none"/>
          <w:u w:val="single"/>
        </w:rPr>
        <w:t xml:space="preserve">     （应明确一次性支付合同款项的条件）                    </w:t>
      </w:r>
    </w:p>
    <w:p w14:paraId="1F3D8905">
      <w:pPr>
        <w:snapToGrid w:val="0"/>
        <w:spacing w:line="400" w:lineRule="exact"/>
        <w:rPr>
          <w:szCs w:val="24"/>
          <w:highlight w:val="none"/>
        </w:rPr>
      </w:pPr>
      <w:r>
        <w:rPr>
          <w:rFonts w:hint="eastAsia" w:ascii="宋体" w:hAnsi="宋体"/>
          <w:szCs w:val="21"/>
          <w:highlight w:val="none"/>
        </w:rPr>
        <w:sym w:font="Wingdings" w:char="00A8"/>
      </w:r>
      <w:r>
        <w:rPr>
          <w:rFonts w:hint="eastAsia" w:ascii="宋体" w:hAnsi="宋体"/>
          <w:szCs w:val="21"/>
          <w:highlight w:val="none"/>
        </w:rPr>
        <w:t>分期付款：</w:t>
      </w:r>
      <w:r>
        <w:rPr>
          <w:rFonts w:hint="eastAsia" w:ascii="宋体" w:hAnsi="宋体"/>
          <w:szCs w:val="21"/>
          <w:highlight w:val="none"/>
          <w:u w:val="single"/>
        </w:rPr>
        <w:t xml:space="preserve">  （应明确分期支付合同款项的各期比例和支付条件，各期支付条件应与分期履约验收情况挂钩） </w:t>
      </w:r>
      <w:r>
        <w:rPr>
          <w:rFonts w:hint="eastAsia" w:ascii="宋体" w:hAnsi="宋体"/>
          <w:szCs w:val="21"/>
          <w:highlight w:val="none"/>
        </w:rPr>
        <w:t>，其中涉及预付款的：</w:t>
      </w:r>
      <w:r>
        <w:rPr>
          <w:rFonts w:hint="eastAsia" w:ascii="宋体" w:hAnsi="宋体"/>
          <w:szCs w:val="21"/>
          <w:highlight w:val="none"/>
          <w:u w:val="single"/>
        </w:rPr>
        <w:t xml:space="preserve"> （应明确预付款的支付比例和支付条件） </w:t>
      </w:r>
    </w:p>
    <w:p w14:paraId="1C61183A">
      <w:pPr>
        <w:adjustRightInd w:val="0"/>
        <w:snapToGrid w:val="0"/>
        <w:spacing w:line="400" w:lineRule="exact"/>
        <w:rPr>
          <w:rFonts w:ascii="宋体" w:hAnsi="宋体"/>
          <w:szCs w:val="21"/>
          <w:highlight w:val="none"/>
          <w:u w:val="single"/>
        </w:rPr>
      </w:pPr>
      <w:r>
        <w:rPr>
          <w:rFonts w:hint="eastAsia" w:ascii="宋体" w:hAnsi="宋体"/>
          <w:szCs w:val="21"/>
          <w:highlight w:val="none"/>
        </w:rPr>
        <w:sym w:font="Wingdings" w:char="00A8"/>
      </w:r>
      <w:r>
        <w:rPr>
          <w:rFonts w:hint="eastAsia" w:ascii="宋体" w:hAnsi="宋体"/>
          <w:szCs w:val="21"/>
          <w:highlight w:val="none"/>
        </w:rPr>
        <w:t>成本补偿：</w:t>
      </w:r>
      <w:r>
        <w:rPr>
          <w:rFonts w:hint="eastAsia" w:ascii="宋体" w:hAnsi="宋体"/>
          <w:szCs w:val="21"/>
          <w:highlight w:val="none"/>
          <w:u w:val="single"/>
        </w:rPr>
        <w:t xml:space="preserve">      （应明确按照成本补偿方式的支付方式和支付条件）   </w:t>
      </w:r>
    </w:p>
    <w:p w14:paraId="568080C0">
      <w:pPr>
        <w:adjustRightInd w:val="0"/>
        <w:snapToGrid w:val="0"/>
        <w:spacing w:line="400" w:lineRule="exact"/>
        <w:rPr>
          <w:rFonts w:ascii="宋体" w:hAnsi="宋体"/>
          <w:szCs w:val="21"/>
          <w:highlight w:val="none"/>
        </w:rPr>
      </w:pPr>
      <w:r>
        <w:rPr>
          <w:rFonts w:hint="eastAsia" w:ascii="宋体" w:hAnsi="宋体"/>
          <w:szCs w:val="21"/>
          <w:highlight w:val="none"/>
        </w:rPr>
        <w:sym w:font="Wingdings" w:char="00A8"/>
      </w:r>
      <w:r>
        <w:rPr>
          <w:rFonts w:hint="eastAsia" w:ascii="宋体" w:hAnsi="宋体"/>
          <w:szCs w:val="21"/>
          <w:highlight w:val="none"/>
        </w:rPr>
        <w:t>绩效激励：</w:t>
      </w:r>
      <w:r>
        <w:rPr>
          <w:rFonts w:hint="eastAsia" w:ascii="宋体" w:hAnsi="宋体"/>
          <w:szCs w:val="21"/>
          <w:highlight w:val="none"/>
          <w:u w:val="single"/>
        </w:rPr>
        <w:t xml:space="preserve">      （应明确按照绩效激励方式的支付方式和支付条件）   </w:t>
      </w:r>
    </w:p>
    <w:p w14:paraId="55DF4E7D">
      <w:pPr>
        <w:numPr>
          <w:ilvl w:val="0"/>
          <w:numId w:val="64"/>
        </w:numPr>
        <w:adjustRightInd w:val="0"/>
        <w:snapToGrid w:val="0"/>
        <w:spacing w:line="400" w:lineRule="exact"/>
        <w:ind w:firstLine="420"/>
        <w:rPr>
          <w:rFonts w:ascii="宋体" w:hAnsi="宋体"/>
          <w:b/>
          <w:szCs w:val="21"/>
          <w:highlight w:val="none"/>
          <w:u w:val="single"/>
        </w:rPr>
      </w:pPr>
      <w:r>
        <w:rPr>
          <w:rFonts w:hint="eastAsia" w:ascii="宋体" w:hAnsi="宋体"/>
          <w:b/>
          <w:szCs w:val="21"/>
          <w:highlight w:val="none"/>
        </w:rPr>
        <w:t>合同履行</w:t>
      </w:r>
    </w:p>
    <w:p w14:paraId="535E6EFC">
      <w:pPr>
        <w:adjustRightInd w:val="0"/>
        <w:snapToGrid w:val="0"/>
        <w:spacing w:line="400" w:lineRule="exact"/>
        <w:rPr>
          <w:rFonts w:ascii="宋体" w:hAnsi="宋体" w:cs="宋体"/>
          <w:szCs w:val="21"/>
          <w:highlight w:val="none"/>
        </w:rPr>
      </w:pPr>
      <w:r>
        <w:rPr>
          <w:rFonts w:hint="eastAsia" w:ascii="宋体" w:hAnsi="宋体" w:cs="宋体"/>
          <w:szCs w:val="21"/>
          <w:highlight w:val="none"/>
        </w:rPr>
        <w:t>（1）起始日期：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日，完成日期：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29B02D8F">
      <w:pPr>
        <w:adjustRightInd w:val="0"/>
        <w:snapToGrid w:val="0"/>
        <w:spacing w:line="400" w:lineRule="exact"/>
        <w:rPr>
          <w:rFonts w:ascii="宋体" w:hAnsi="宋体" w:cs="宋体"/>
          <w:szCs w:val="21"/>
          <w:highlight w:val="none"/>
          <w:u w:val="single"/>
        </w:rPr>
      </w:pPr>
      <w:r>
        <w:rPr>
          <w:rFonts w:hint="eastAsia" w:ascii="宋体" w:hAnsi="宋体" w:cs="宋体"/>
          <w:szCs w:val="21"/>
          <w:highlight w:val="none"/>
        </w:rPr>
        <w:t>（2）履约地点</w:t>
      </w:r>
      <w:r>
        <w:rPr>
          <w:rFonts w:hint="eastAsia" w:ascii="宋体" w:hAnsi="宋体" w:cs="宋体"/>
          <w:bCs/>
          <w:szCs w:val="21"/>
          <w:highlight w:val="none"/>
        </w:rPr>
        <w:t>：</w:t>
      </w:r>
      <w:r>
        <w:rPr>
          <w:rFonts w:hint="eastAsia" w:ascii="宋体" w:hAnsi="宋体" w:cs="宋体"/>
          <w:szCs w:val="21"/>
          <w:highlight w:val="none"/>
          <w:u w:val="single"/>
        </w:rPr>
        <w:t xml:space="preserve">                             </w:t>
      </w:r>
    </w:p>
    <w:p w14:paraId="591C4B20">
      <w:pPr>
        <w:adjustRightInd w:val="0"/>
        <w:snapToGrid w:val="0"/>
        <w:spacing w:line="400" w:lineRule="exact"/>
        <w:rPr>
          <w:rFonts w:ascii="宋体" w:hAnsi="宋体" w:cs="宋体"/>
          <w:szCs w:val="21"/>
          <w:highlight w:val="none"/>
        </w:rPr>
      </w:pPr>
      <w:r>
        <w:rPr>
          <w:rFonts w:hint="eastAsia" w:ascii="宋体" w:hAnsi="宋体" w:cs="宋体"/>
          <w:bCs/>
          <w:szCs w:val="21"/>
          <w:highlight w:val="none"/>
        </w:rPr>
        <w:t>（3）履约担保：</w:t>
      </w:r>
      <w:r>
        <w:rPr>
          <w:rFonts w:hint="eastAsia" w:ascii="宋体" w:hAnsi="宋体" w:cs="宋体"/>
          <w:szCs w:val="24"/>
          <w:highlight w:val="none"/>
        </w:rPr>
        <w:t>是否收取履约保函：</w:t>
      </w:r>
      <w:r>
        <w:rPr>
          <w:rFonts w:hint="eastAsia" w:ascii="宋体" w:hAnsi="宋体" w:cs="宋体"/>
          <w:szCs w:val="21"/>
          <w:highlight w:val="none"/>
        </w:rPr>
        <w:sym w:font="Wingdings" w:char="00A8"/>
      </w:r>
      <w:r>
        <w:rPr>
          <w:rFonts w:hint="eastAsia" w:ascii="宋体" w:hAnsi="宋体" w:cs="宋体"/>
          <w:szCs w:val="21"/>
          <w:highlight w:val="none"/>
        </w:rPr>
        <w:t xml:space="preserve">是    </w:t>
      </w:r>
      <w:r>
        <w:rPr>
          <w:rFonts w:hint="eastAsia" w:ascii="宋体" w:hAnsi="宋体" w:cs="宋体"/>
          <w:szCs w:val="21"/>
          <w:highlight w:val="none"/>
        </w:rPr>
        <w:sym w:font="Wingdings" w:char="00A8"/>
      </w:r>
      <w:r>
        <w:rPr>
          <w:rFonts w:hint="eastAsia" w:ascii="宋体" w:hAnsi="宋体" w:cs="宋体"/>
          <w:szCs w:val="21"/>
          <w:highlight w:val="none"/>
        </w:rPr>
        <w:t>否</w:t>
      </w:r>
    </w:p>
    <w:p w14:paraId="3D300907">
      <w:pPr>
        <w:widowControl/>
        <w:autoSpaceDE w:val="0"/>
        <w:autoSpaceDN w:val="0"/>
        <w:adjustRightInd w:val="0"/>
        <w:spacing w:line="400" w:lineRule="exact"/>
        <w:jc w:val="left"/>
        <w:rPr>
          <w:rFonts w:ascii="宋体" w:hAnsi="宋体" w:cs="宋体"/>
          <w:kern w:val="0"/>
          <w:szCs w:val="21"/>
          <w:highlight w:val="none"/>
        </w:rPr>
      </w:pPr>
      <w:r>
        <w:rPr>
          <w:rFonts w:hint="eastAsia" w:ascii="宋体" w:hAnsi="宋体" w:eastAsia="华文楷体" w:cs="宋体"/>
          <w:bCs/>
          <w:kern w:val="0"/>
          <w:sz w:val="22"/>
          <w:szCs w:val="21"/>
          <w:highlight w:val="none"/>
        </w:rPr>
        <w:t xml:space="preserve">  </w:t>
      </w:r>
      <w:r>
        <w:rPr>
          <w:rFonts w:hint="eastAsia" w:ascii="宋体" w:hAnsi="宋体" w:cs="宋体"/>
          <w:kern w:val="0"/>
          <w:szCs w:val="21"/>
          <w:highlight w:val="none"/>
        </w:rPr>
        <w:t xml:space="preserve">  收取履约保函形式：</w:t>
      </w:r>
      <w:r>
        <w:rPr>
          <w:rFonts w:hint="eastAsia" w:ascii="宋体" w:hAnsi="宋体" w:cs="宋体"/>
          <w:bCs/>
          <w:kern w:val="0"/>
          <w:szCs w:val="21"/>
          <w:highlight w:val="none"/>
          <w:u w:val="single"/>
        </w:rPr>
        <w:t xml:space="preserve">                            </w:t>
      </w:r>
    </w:p>
    <w:p w14:paraId="493CC839">
      <w:pPr>
        <w:widowControl/>
        <w:autoSpaceDE w:val="0"/>
        <w:autoSpaceDN w:val="0"/>
        <w:adjustRightInd w:val="0"/>
        <w:spacing w:line="400" w:lineRule="exact"/>
        <w:jc w:val="left"/>
        <w:rPr>
          <w:rFonts w:ascii="宋体" w:hAnsi="宋体" w:cs="宋体"/>
          <w:kern w:val="0"/>
          <w:szCs w:val="21"/>
          <w:highlight w:val="none"/>
        </w:rPr>
      </w:pPr>
      <w:r>
        <w:rPr>
          <w:rFonts w:hint="eastAsia" w:ascii="宋体" w:hAnsi="宋体" w:cs="宋体"/>
          <w:kern w:val="0"/>
          <w:szCs w:val="21"/>
          <w:highlight w:val="none"/>
        </w:rPr>
        <w:t xml:space="preserve">    收取履约保函金额：</w:t>
      </w:r>
      <w:r>
        <w:rPr>
          <w:rFonts w:hint="eastAsia" w:ascii="宋体" w:hAnsi="宋体" w:cs="宋体"/>
          <w:bCs/>
          <w:kern w:val="0"/>
          <w:szCs w:val="21"/>
          <w:highlight w:val="none"/>
          <w:u w:val="single"/>
        </w:rPr>
        <w:t xml:space="preserve">                            </w:t>
      </w:r>
    </w:p>
    <w:p w14:paraId="2D7CF9E7">
      <w:pPr>
        <w:snapToGrid w:val="0"/>
        <w:spacing w:line="400" w:lineRule="exact"/>
        <w:rPr>
          <w:rFonts w:ascii="宋体" w:hAnsi="宋体" w:cs="宋体"/>
          <w:szCs w:val="24"/>
          <w:highlight w:val="none"/>
        </w:rPr>
      </w:pPr>
      <w:r>
        <w:rPr>
          <w:rFonts w:hint="eastAsia" w:ascii="宋体" w:hAnsi="宋体" w:cs="宋体"/>
          <w:bCs/>
          <w:szCs w:val="21"/>
          <w:highlight w:val="none"/>
        </w:rPr>
        <w:t xml:space="preserve">    履约担保期限：</w:t>
      </w:r>
      <w:r>
        <w:rPr>
          <w:rFonts w:hint="eastAsia" w:ascii="宋体" w:hAnsi="宋体" w:cs="宋体"/>
          <w:bCs/>
          <w:szCs w:val="21"/>
          <w:highlight w:val="none"/>
          <w:u w:val="single"/>
        </w:rPr>
        <w:t xml:space="preserve">                                  </w:t>
      </w:r>
    </w:p>
    <w:p w14:paraId="52669614">
      <w:pPr>
        <w:adjustRightInd w:val="0"/>
        <w:snapToGrid w:val="0"/>
        <w:spacing w:line="400" w:lineRule="exact"/>
        <w:rPr>
          <w:rFonts w:ascii="宋体" w:hAnsi="宋体" w:cs="宋体"/>
          <w:bCs/>
          <w:szCs w:val="21"/>
          <w:highlight w:val="none"/>
        </w:rPr>
      </w:pPr>
      <w:r>
        <w:rPr>
          <w:rFonts w:hint="eastAsia" w:ascii="宋体" w:hAnsi="宋体" w:cs="宋体"/>
          <w:bCs/>
          <w:szCs w:val="21"/>
          <w:highlight w:val="none"/>
        </w:rPr>
        <w:t>（4）分期履行要求：</w:t>
      </w:r>
      <w:r>
        <w:rPr>
          <w:rFonts w:hint="eastAsia" w:ascii="宋体" w:hAnsi="宋体" w:cs="宋体"/>
          <w:bCs/>
          <w:szCs w:val="21"/>
          <w:highlight w:val="none"/>
          <w:u w:val="single"/>
        </w:rPr>
        <w:t xml:space="preserve">                                                        </w:t>
      </w:r>
    </w:p>
    <w:p w14:paraId="65C4536C">
      <w:pPr>
        <w:adjustRightInd w:val="0"/>
        <w:snapToGrid w:val="0"/>
        <w:spacing w:line="400" w:lineRule="exact"/>
        <w:rPr>
          <w:rFonts w:ascii="宋体" w:hAnsi="宋体" w:cs="宋体"/>
          <w:szCs w:val="21"/>
          <w:highlight w:val="none"/>
          <w:u w:val="single"/>
        </w:rPr>
      </w:pPr>
      <w:r>
        <w:rPr>
          <w:rFonts w:hint="eastAsia" w:ascii="宋体" w:hAnsi="宋体" w:cs="宋体"/>
          <w:bCs/>
          <w:szCs w:val="21"/>
          <w:highlight w:val="none"/>
        </w:rPr>
        <w:t>（5）风险处置措施和替代方案：</w:t>
      </w:r>
      <w:r>
        <w:rPr>
          <w:rFonts w:hint="eastAsia" w:ascii="宋体" w:hAnsi="宋体" w:cs="宋体"/>
          <w:color w:val="0000FF"/>
          <w:szCs w:val="21"/>
          <w:highlight w:val="none"/>
          <w:u w:val="single"/>
        </w:rPr>
        <w:t xml:space="preserve"> </w:t>
      </w:r>
      <w:r>
        <w:rPr>
          <w:rFonts w:hint="eastAsia" w:ascii="宋体" w:hAnsi="宋体" w:cs="宋体"/>
          <w:color w:val="000000"/>
          <w:szCs w:val="21"/>
          <w:highlight w:val="none"/>
          <w:u w:val="single"/>
        </w:rPr>
        <w:t xml:space="preserve">              </w:t>
      </w:r>
      <w:r>
        <w:rPr>
          <w:rFonts w:hint="eastAsia" w:ascii="宋体" w:hAnsi="宋体" w:cs="宋体"/>
          <w:szCs w:val="21"/>
          <w:highlight w:val="none"/>
          <w:u w:val="single"/>
        </w:rPr>
        <w:t xml:space="preserve">                                                </w:t>
      </w:r>
    </w:p>
    <w:p w14:paraId="5C745F4D">
      <w:pPr>
        <w:numPr>
          <w:ilvl w:val="0"/>
          <w:numId w:val="64"/>
        </w:numPr>
        <w:adjustRightInd w:val="0"/>
        <w:snapToGrid w:val="0"/>
        <w:spacing w:line="400" w:lineRule="exact"/>
        <w:ind w:firstLine="420"/>
        <w:rPr>
          <w:rFonts w:ascii="宋体" w:hAnsi="宋体"/>
          <w:b/>
          <w:szCs w:val="21"/>
          <w:highlight w:val="none"/>
        </w:rPr>
      </w:pPr>
      <w:r>
        <w:rPr>
          <w:rFonts w:hint="eastAsia" w:ascii="宋体" w:hAnsi="宋体"/>
          <w:b/>
          <w:szCs w:val="21"/>
          <w:highlight w:val="none"/>
        </w:rPr>
        <w:t>合同验收</w:t>
      </w:r>
    </w:p>
    <w:p w14:paraId="442EA59A">
      <w:pPr>
        <w:numPr>
          <w:ilvl w:val="0"/>
          <w:numId w:val="66"/>
        </w:numPr>
        <w:adjustRightInd w:val="0"/>
        <w:snapToGrid w:val="0"/>
        <w:spacing w:line="400" w:lineRule="exact"/>
        <w:ind w:firstLine="420"/>
        <w:rPr>
          <w:rFonts w:ascii="宋体" w:hAnsi="宋体"/>
          <w:bCs/>
          <w:szCs w:val="21"/>
          <w:highlight w:val="none"/>
        </w:rPr>
      </w:pPr>
      <w:r>
        <w:rPr>
          <w:rFonts w:hint="eastAsia" w:ascii="宋体" w:hAnsi="宋体"/>
          <w:bCs/>
          <w:szCs w:val="21"/>
          <w:highlight w:val="none"/>
        </w:rPr>
        <w:t>验收组织方式：</w:t>
      </w:r>
      <w:r>
        <w:rPr>
          <w:rFonts w:hint="eastAsia" w:ascii="宋体" w:hAnsi="宋体" w:cs="宋体"/>
          <w:szCs w:val="21"/>
          <w:highlight w:val="none"/>
        </w:rPr>
        <w:sym w:font="Wingdings" w:char="00A8"/>
      </w:r>
      <w:r>
        <w:rPr>
          <w:rFonts w:hint="eastAsia" w:ascii="宋体" w:hAnsi="宋体"/>
          <w:bCs/>
          <w:szCs w:val="21"/>
          <w:highlight w:val="none"/>
        </w:rPr>
        <w:t xml:space="preserve">自行组织 </w:t>
      </w:r>
      <w:r>
        <w:rPr>
          <w:rFonts w:hint="eastAsia" w:ascii="宋体" w:hAnsi="宋体" w:cs="宋体"/>
          <w:szCs w:val="21"/>
          <w:highlight w:val="none"/>
        </w:rPr>
        <w:sym w:font="Wingdings" w:char="00A8"/>
      </w:r>
      <w:r>
        <w:rPr>
          <w:rFonts w:hint="eastAsia" w:ascii="宋体" w:hAnsi="宋体"/>
          <w:bCs/>
          <w:szCs w:val="21"/>
          <w:highlight w:val="none"/>
        </w:rPr>
        <w:t>委托第三方组织</w:t>
      </w:r>
    </w:p>
    <w:p w14:paraId="5BBAD54A">
      <w:pPr>
        <w:adjustRightInd w:val="0"/>
        <w:snapToGrid w:val="0"/>
        <w:spacing w:line="400" w:lineRule="exact"/>
        <w:rPr>
          <w:rFonts w:ascii="宋体" w:hAnsi="宋体"/>
          <w:bCs/>
          <w:szCs w:val="21"/>
          <w:highlight w:val="none"/>
        </w:rPr>
      </w:pPr>
      <w:r>
        <w:rPr>
          <w:rFonts w:hint="eastAsia" w:ascii="宋体" w:hAnsi="宋体"/>
          <w:bCs/>
          <w:szCs w:val="21"/>
          <w:highlight w:val="none"/>
        </w:rPr>
        <w:t xml:space="preserve">         验收主体：</w:t>
      </w:r>
      <w:r>
        <w:rPr>
          <w:rFonts w:hint="eastAsia" w:ascii="宋体" w:hAnsi="宋体"/>
          <w:bCs/>
          <w:szCs w:val="21"/>
          <w:highlight w:val="none"/>
          <w:u w:val="single"/>
        </w:rPr>
        <w:t xml:space="preserve">                  </w:t>
      </w:r>
    </w:p>
    <w:p w14:paraId="0D8BD5CF">
      <w:pPr>
        <w:adjustRightInd w:val="0"/>
        <w:snapToGrid w:val="0"/>
        <w:spacing w:line="400" w:lineRule="exact"/>
        <w:rPr>
          <w:rFonts w:ascii="宋体" w:hAnsi="宋体"/>
          <w:bCs/>
          <w:szCs w:val="21"/>
          <w:highlight w:val="none"/>
        </w:rPr>
      </w:pPr>
      <w:r>
        <w:rPr>
          <w:rFonts w:hint="eastAsia" w:ascii="宋体" w:hAnsi="宋体"/>
          <w:bCs/>
          <w:szCs w:val="21"/>
          <w:highlight w:val="none"/>
        </w:rPr>
        <w:t xml:space="preserve">        是否邀请本项目的其他投标人参加验收：</w:t>
      </w:r>
      <w:r>
        <w:rPr>
          <w:rFonts w:hint="eastAsia" w:ascii="宋体" w:hAnsi="宋体" w:cs="宋体"/>
          <w:szCs w:val="21"/>
          <w:highlight w:val="none"/>
        </w:rPr>
        <w:sym w:font="Wingdings" w:char="00A8"/>
      </w:r>
      <w:r>
        <w:rPr>
          <w:rFonts w:hint="eastAsia" w:ascii="宋体" w:hAnsi="宋体"/>
          <w:bCs/>
          <w:szCs w:val="21"/>
          <w:highlight w:val="none"/>
        </w:rPr>
        <w:t xml:space="preserve">是  </w:t>
      </w:r>
      <w:r>
        <w:rPr>
          <w:rFonts w:hint="eastAsia" w:ascii="宋体" w:hAnsi="宋体" w:cs="宋体"/>
          <w:szCs w:val="21"/>
          <w:highlight w:val="none"/>
        </w:rPr>
        <w:sym w:font="Wingdings" w:char="00A8"/>
      </w:r>
      <w:r>
        <w:rPr>
          <w:rFonts w:hint="eastAsia" w:ascii="宋体" w:hAnsi="宋体"/>
          <w:bCs/>
          <w:szCs w:val="21"/>
          <w:highlight w:val="none"/>
        </w:rPr>
        <w:t>否</w:t>
      </w:r>
    </w:p>
    <w:p w14:paraId="5982AFDB">
      <w:pPr>
        <w:adjustRightInd w:val="0"/>
        <w:snapToGrid w:val="0"/>
        <w:spacing w:line="400" w:lineRule="exact"/>
        <w:rPr>
          <w:rFonts w:ascii="宋体" w:hAnsi="宋体"/>
          <w:bCs/>
          <w:szCs w:val="21"/>
          <w:highlight w:val="none"/>
        </w:rPr>
      </w:pPr>
      <w:r>
        <w:rPr>
          <w:rFonts w:hint="eastAsia" w:ascii="宋体" w:hAnsi="宋体"/>
          <w:bCs/>
          <w:szCs w:val="21"/>
          <w:highlight w:val="none"/>
        </w:rPr>
        <w:t>是否邀请专家参加验收：</w:t>
      </w:r>
      <w:r>
        <w:rPr>
          <w:rFonts w:hint="eastAsia" w:ascii="宋体" w:hAnsi="宋体" w:cs="宋体"/>
          <w:szCs w:val="21"/>
          <w:highlight w:val="none"/>
        </w:rPr>
        <w:sym w:font="Wingdings" w:char="00A8"/>
      </w:r>
      <w:r>
        <w:rPr>
          <w:rFonts w:hint="eastAsia" w:ascii="宋体" w:hAnsi="宋体"/>
          <w:bCs/>
          <w:szCs w:val="21"/>
          <w:highlight w:val="none"/>
        </w:rPr>
        <w:t xml:space="preserve">是  </w:t>
      </w:r>
      <w:r>
        <w:rPr>
          <w:rFonts w:hint="eastAsia" w:ascii="宋体" w:hAnsi="宋体" w:cs="宋体"/>
          <w:szCs w:val="21"/>
          <w:highlight w:val="none"/>
        </w:rPr>
        <w:sym w:font="Wingdings" w:char="00A8"/>
      </w:r>
      <w:r>
        <w:rPr>
          <w:rFonts w:hint="eastAsia" w:ascii="宋体" w:hAnsi="宋体"/>
          <w:bCs/>
          <w:szCs w:val="21"/>
          <w:highlight w:val="none"/>
        </w:rPr>
        <w:t>否</w:t>
      </w:r>
    </w:p>
    <w:p w14:paraId="27A16108">
      <w:pPr>
        <w:adjustRightInd w:val="0"/>
        <w:snapToGrid w:val="0"/>
        <w:spacing w:line="400" w:lineRule="exact"/>
        <w:rPr>
          <w:rFonts w:ascii="宋体" w:hAnsi="宋体"/>
          <w:bCs/>
          <w:szCs w:val="21"/>
          <w:highlight w:val="none"/>
        </w:rPr>
      </w:pPr>
      <w:r>
        <w:rPr>
          <w:rFonts w:hint="eastAsia" w:ascii="宋体" w:hAnsi="宋体"/>
          <w:bCs/>
          <w:szCs w:val="21"/>
          <w:highlight w:val="none"/>
        </w:rPr>
        <w:t>是否邀请服务对象参加验收：</w:t>
      </w:r>
      <w:r>
        <w:rPr>
          <w:rFonts w:hint="eastAsia" w:ascii="宋体" w:hAnsi="宋体" w:cs="宋体"/>
          <w:szCs w:val="21"/>
          <w:highlight w:val="none"/>
        </w:rPr>
        <w:sym w:font="Wingdings" w:char="00A8"/>
      </w:r>
      <w:r>
        <w:rPr>
          <w:rFonts w:hint="eastAsia" w:ascii="宋体" w:hAnsi="宋体"/>
          <w:bCs/>
          <w:szCs w:val="21"/>
          <w:highlight w:val="none"/>
        </w:rPr>
        <w:t xml:space="preserve">是  </w:t>
      </w:r>
      <w:r>
        <w:rPr>
          <w:rFonts w:hint="eastAsia" w:ascii="宋体" w:hAnsi="宋体" w:cs="宋体"/>
          <w:szCs w:val="21"/>
          <w:highlight w:val="none"/>
        </w:rPr>
        <w:sym w:font="Wingdings" w:char="00A8"/>
      </w:r>
      <w:r>
        <w:rPr>
          <w:rFonts w:hint="eastAsia" w:ascii="宋体" w:hAnsi="宋体"/>
          <w:bCs/>
          <w:szCs w:val="21"/>
          <w:highlight w:val="none"/>
        </w:rPr>
        <w:t>否</w:t>
      </w:r>
    </w:p>
    <w:p w14:paraId="0DF63BA3">
      <w:pPr>
        <w:adjustRightInd w:val="0"/>
        <w:snapToGrid w:val="0"/>
        <w:spacing w:line="400" w:lineRule="exact"/>
        <w:rPr>
          <w:rFonts w:ascii="宋体" w:hAnsi="宋体"/>
          <w:bCs/>
          <w:szCs w:val="21"/>
          <w:highlight w:val="none"/>
        </w:rPr>
      </w:pPr>
      <w:r>
        <w:rPr>
          <w:rFonts w:hint="eastAsia" w:ascii="宋体" w:hAnsi="宋体"/>
          <w:bCs/>
          <w:szCs w:val="21"/>
          <w:highlight w:val="none"/>
        </w:rPr>
        <w:t>是否邀请第三方检测机构参加验收：</w:t>
      </w:r>
      <w:r>
        <w:rPr>
          <w:rFonts w:hint="eastAsia" w:ascii="宋体" w:hAnsi="宋体" w:cs="宋体"/>
          <w:szCs w:val="21"/>
          <w:highlight w:val="none"/>
        </w:rPr>
        <w:sym w:font="Wingdings" w:char="00A8"/>
      </w:r>
      <w:r>
        <w:rPr>
          <w:rFonts w:hint="eastAsia" w:ascii="宋体" w:hAnsi="宋体"/>
          <w:bCs/>
          <w:szCs w:val="21"/>
          <w:highlight w:val="none"/>
        </w:rPr>
        <w:t xml:space="preserve">是  </w:t>
      </w:r>
      <w:r>
        <w:rPr>
          <w:rFonts w:hint="eastAsia" w:ascii="宋体" w:hAnsi="宋体" w:cs="宋体"/>
          <w:szCs w:val="21"/>
          <w:highlight w:val="none"/>
        </w:rPr>
        <w:sym w:font="Wingdings" w:char="00A8"/>
      </w:r>
      <w:r>
        <w:rPr>
          <w:rFonts w:hint="eastAsia" w:ascii="宋体" w:hAnsi="宋体"/>
          <w:bCs/>
          <w:szCs w:val="21"/>
          <w:highlight w:val="none"/>
        </w:rPr>
        <w:t>否</w:t>
      </w:r>
    </w:p>
    <w:p w14:paraId="7F6BF154">
      <w:pPr>
        <w:adjustRightInd w:val="0"/>
        <w:snapToGrid w:val="0"/>
        <w:spacing w:line="400" w:lineRule="exact"/>
        <w:rPr>
          <w:rFonts w:ascii="宋体" w:hAnsi="宋体"/>
          <w:bCs/>
          <w:szCs w:val="21"/>
          <w:highlight w:val="none"/>
        </w:rPr>
      </w:pPr>
      <w:r>
        <w:rPr>
          <w:rFonts w:hint="eastAsia" w:ascii="宋体" w:hAnsi="宋体"/>
          <w:bCs/>
          <w:szCs w:val="21"/>
          <w:highlight w:val="none"/>
        </w:rPr>
        <w:t>是否进行抽查检测：</w:t>
      </w:r>
      <w:r>
        <w:rPr>
          <w:rFonts w:hint="eastAsia" w:ascii="宋体" w:hAnsi="宋体" w:cs="宋体"/>
          <w:szCs w:val="21"/>
          <w:highlight w:val="none"/>
        </w:rPr>
        <w:sym w:font="Wingdings" w:char="00A8"/>
      </w:r>
      <w:r>
        <w:rPr>
          <w:rFonts w:hint="eastAsia" w:ascii="宋体" w:hAnsi="宋体"/>
          <w:bCs/>
          <w:szCs w:val="21"/>
          <w:highlight w:val="none"/>
        </w:rPr>
        <w:t>是，抽查比例：</w:t>
      </w:r>
      <w:r>
        <w:rPr>
          <w:rFonts w:hint="eastAsia" w:ascii="宋体" w:hAnsi="宋体"/>
          <w:bCs/>
          <w:szCs w:val="21"/>
          <w:highlight w:val="none"/>
          <w:u w:val="single"/>
        </w:rPr>
        <w:t xml:space="preserve">        </w:t>
      </w:r>
      <w:r>
        <w:rPr>
          <w:rFonts w:hint="eastAsia" w:ascii="宋体" w:hAnsi="宋体"/>
          <w:bCs/>
          <w:szCs w:val="21"/>
          <w:highlight w:val="none"/>
        </w:rPr>
        <w:t xml:space="preserve"> </w:t>
      </w:r>
      <w:r>
        <w:rPr>
          <w:rFonts w:hint="eastAsia" w:ascii="宋体" w:hAnsi="宋体" w:cs="宋体"/>
          <w:szCs w:val="21"/>
          <w:highlight w:val="none"/>
        </w:rPr>
        <w:sym w:font="Wingdings" w:char="00A8"/>
      </w:r>
      <w:r>
        <w:rPr>
          <w:rFonts w:hint="eastAsia" w:ascii="宋体" w:hAnsi="宋体"/>
          <w:bCs/>
          <w:szCs w:val="21"/>
          <w:highlight w:val="none"/>
        </w:rPr>
        <w:t>否</w:t>
      </w:r>
    </w:p>
    <w:p w14:paraId="6E331AB5">
      <w:pPr>
        <w:adjustRightInd w:val="0"/>
        <w:snapToGrid w:val="0"/>
        <w:spacing w:line="400" w:lineRule="exact"/>
        <w:rPr>
          <w:rFonts w:ascii="宋体" w:hAnsi="宋体"/>
          <w:bCs/>
          <w:szCs w:val="21"/>
          <w:highlight w:val="none"/>
          <w:u w:val="single"/>
        </w:rPr>
      </w:pPr>
      <w:r>
        <w:rPr>
          <w:rFonts w:hint="eastAsia" w:ascii="宋体" w:hAnsi="宋体"/>
          <w:bCs/>
          <w:szCs w:val="21"/>
          <w:highlight w:val="none"/>
        </w:rPr>
        <w:t>是否存在破坏性检测：</w:t>
      </w:r>
      <w:r>
        <w:rPr>
          <w:rFonts w:hint="eastAsia" w:ascii="宋体" w:hAnsi="宋体" w:cs="宋体"/>
          <w:szCs w:val="21"/>
          <w:highlight w:val="none"/>
        </w:rPr>
        <w:sym w:font="Wingdings" w:char="00A8"/>
      </w:r>
      <w:r>
        <w:rPr>
          <w:rFonts w:hint="eastAsia" w:ascii="宋体" w:hAnsi="宋体"/>
          <w:bCs/>
          <w:szCs w:val="21"/>
          <w:highlight w:val="none"/>
        </w:rPr>
        <w:t>是，</w:t>
      </w:r>
      <w:r>
        <w:rPr>
          <w:rFonts w:hint="eastAsia" w:ascii="宋体" w:hAnsi="宋体"/>
          <w:bCs/>
          <w:szCs w:val="21"/>
          <w:highlight w:val="none"/>
          <w:u w:val="single"/>
        </w:rPr>
        <w:t>（应明确对被破坏的检测产品的处理方式）</w:t>
      </w:r>
    </w:p>
    <w:p w14:paraId="7F1FE1DC">
      <w:pPr>
        <w:adjustRightInd w:val="0"/>
        <w:snapToGrid w:val="0"/>
        <w:spacing w:line="400" w:lineRule="exact"/>
        <w:rPr>
          <w:rFonts w:ascii="宋体" w:hAnsi="宋体"/>
          <w:bCs/>
          <w:szCs w:val="21"/>
          <w:highlight w:val="none"/>
        </w:rPr>
      </w:pPr>
      <w:r>
        <w:rPr>
          <w:rFonts w:hint="eastAsia" w:ascii="宋体" w:hAnsi="宋体"/>
          <w:bCs/>
          <w:szCs w:val="21"/>
          <w:highlight w:val="none"/>
        </w:rPr>
        <w:t xml:space="preserve">                    </w:t>
      </w:r>
      <w:r>
        <w:rPr>
          <w:rFonts w:hint="eastAsia" w:ascii="宋体" w:hAnsi="宋体" w:cs="宋体"/>
          <w:szCs w:val="21"/>
          <w:highlight w:val="none"/>
        </w:rPr>
        <w:sym w:font="Wingdings" w:char="00A8"/>
      </w:r>
      <w:r>
        <w:rPr>
          <w:rFonts w:hint="eastAsia" w:ascii="宋体" w:hAnsi="宋体"/>
          <w:bCs/>
          <w:szCs w:val="21"/>
          <w:highlight w:val="none"/>
        </w:rPr>
        <w:t>否</w:t>
      </w:r>
    </w:p>
    <w:p w14:paraId="5E871CC8">
      <w:pPr>
        <w:adjustRightInd w:val="0"/>
        <w:snapToGrid w:val="0"/>
        <w:spacing w:line="400" w:lineRule="exact"/>
        <w:rPr>
          <w:rFonts w:ascii="宋体" w:hAnsi="宋体"/>
          <w:bCs/>
          <w:szCs w:val="21"/>
          <w:highlight w:val="none"/>
          <w:u w:val="single"/>
        </w:rPr>
      </w:pPr>
      <w:r>
        <w:rPr>
          <w:rFonts w:hint="eastAsia" w:ascii="宋体" w:hAnsi="宋体"/>
          <w:bCs/>
          <w:szCs w:val="21"/>
          <w:highlight w:val="none"/>
        </w:rPr>
        <w:t>验收组织的其他事项：</w:t>
      </w:r>
      <w:r>
        <w:rPr>
          <w:rFonts w:hint="eastAsia" w:ascii="宋体" w:hAnsi="宋体"/>
          <w:bCs/>
          <w:szCs w:val="21"/>
          <w:highlight w:val="none"/>
          <w:u w:val="single"/>
        </w:rPr>
        <w:t xml:space="preserve">                </w:t>
      </w:r>
    </w:p>
    <w:p w14:paraId="2CB6D080">
      <w:pPr>
        <w:adjustRightInd w:val="0"/>
        <w:snapToGrid w:val="0"/>
        <w:spacing w:line="400" w:lineRule="exact"/>
        <w:rPr>
          <w:rFonts w:ascii="宋体" w:hAnsi="宋体"/>
          <w:bCs/>
          <w:szCs w:val="21"/>
          <w:highlight w:val="none"/>
          <w:u w:val="single"/>
        </w:rPr>
      </w:pPr>
      <w:r>
        <w:rPr>
          <w:rFonts w:hint="eastAsia" w:ascii="宋体" w:hAnsi="宋体"/>
          <w:bCs/>
          <w:szCs w:val="21"/>
          <w:highlight w:val="none"/>
        </w:rPr>
        <w:t>（2）履约验收时间：</w:t>
      </w:r>
      <w:r>
        <w:rPr>
          <w:rFonts w:hint="eastAsia" w:ascii="宋体" w:hAnsi="宋体"/>
          <w:bCs/>
          <w:szCs w:val="21"/>
          <w:highlight w:val="none"/>
          <w:u w:val="single"/>
        </w:rPr>
        <w:t xml:space="preserve">（计划于何时验收/投标人提出验收申请之日起   日内组织验收） </w:t>
      </w:r>
    </w:p>
    <w:p w14:paraId="47C548DE">
      <w:pPr>
        <w:adjustRightInd w:val="0"/>
        <w:snapToGrid w:val="0"/>
        <w:spacing w:line="400" w:lineRule="exact"/>
        <w:rPr>
          <w:rFonts w:ascii="宋体" w:hAnsi="宋体"/>
          <w:bCs/>
          <w:szCs w:val="21"/>
          <w:highlight w:val="none"/>
        </w:rPr>
      </w:pPr>
      <w:r>
        <w:rPr>
          <w:rFonts w:hint="eastAsia" w:ascii="宋体" w:hAnsi="宋体"/>
          <w:bCs/>
          <w:szCs w:val="21"/>
          <w:highlight w:val="none"/>
        </w:rPr>
        <w:t>（3）履约验收方式：</w:t>
      </w:r>
      <w:r>
        <w:rPr>
          <w:rFonts w:hint="eastAsia" w:ascii="宋体" w:hAnsi="宋体" w:cs="宋体"/>
          <w:szCs w:val="21"/>
          <w:highlight w:val="none"/>
        </w:rPr>
        <w:sym w:font="Wingdings" w:char="00A8"/>
      </w:r>
      <w:r>
        <w:rPr>
          <w:rFonts w:hint="eastAsia" w:ascii="宋体" w:hAnsi="宋体"/>
          <w:bCs/>
          <w:szCs w:val="21"/>
          <w:highlight w:val="none"/>
        </w:rPr>
        <w:t xml:space="preserve">一次性验收         </w:t>
      </w:r>
    </w:p>
    <w:p w14:paraId="475F0EE7">
      <w:pPr>
        <w:adjustRightInd w:val="0"/>
        <w:snapToGrid w:val="0"/>
        <w:spacing w:line="400" w:lineRule="exact"/>
        <w:rPr>
          <w:rFonts w:ascii="宋体" w:hAnsi="宋体"/>
          <w:bCs/>
          <w:szCs w:val="21"/>
          <w:highlight w:val="none"/>
        </w:rPr>
      </w:pPr>
      <w:r>
        <w:rPr>
          <w:rFonts w:hint="eastAsia" w:ascii="宋体" w:hAnsi="宋体"/>
          <w:bCs/>
          <w:szCs w:val="21"/>
          <w:highlight w:val="none"/>
        </w:rPr>
        <w:t xml:space="preserve">                       </w:t>
      </w:r>
      <w:r>
        <w:rPr>
          <w:rFonts w:hint="eastAsia" w:ascii="宋体" w:hAnsi="宋体" w:cs="宋体"/>
          <w:szCs w:val="21"/>
          <w:highlight w:val="none"/>
        </w:rPr>
        <w:sym w:font="Wingdings" w:char="00A8"/>
      </w:r>
      <w:r>
        <w:rPr>
          <w:rFonts w:hint="eastAsia" w:ascii="宋体" w:hAnsi="宋体"/>
          <w:bCs/>
          <w:szCs w:val="21"/>
          <w:highlight w:val="none"/>
        </w:rPr>
        <w:t>分期/分项验收：</w:t>
      </w:r>
      <w:r>
        <w:rPr>
          <w:rFonts w:hint="eastAsia" w:ascii="宋体" w:hAnsi="宋体"/>
          <w:bCs/>
          <w:szCs w:val="21"/>
          <w:highlight w:val="none"/>
          <w:u w:val="single"/>
        </w:rPr>
        <w:t xml:space="preserve"> （应明确分期</w:t>
      </w:r>
      <w:r>
        <w:rPr>
          <w:rFonts w:ascii="宋体" w:hAnsi="宋体"/>
          <w:bCs/>
          <w:szCs w:val="21"/>
          <w:highlight w:val="none"/>
          <w:u w:val="single"/>
          <w:lang w:val="en"/>
        </w:rPr>
        <w:t>/</w:t>
      </w:r>
      <w:r>
        <w:rPr>
          <w:rFonts w:hint="eastAsia" w:ascii="宋体" w:hAnsi="宋体"/>
          <w:bCs/>
          <w:szCs w:val="21"/>
          <w:highlight w:val="none"/>
          <w:u w:val="single"/>
          <w:lang w:val="en"/>
        </w:rPr>
        <w:t>分项验收的工作安排</w:t>
      </w:r>
      <w:r>
        <w:rPr>
          <w:rFonts w:hint="eastAsia" w:ascii="宋体" w:hAnsi="宋体"/>
          <w:bCs/>
          <w:szCs w:val="21"/>
          <w:highlight w:val="none"/>
          <w:u w:val="single"/>
        </w:rPr>
        <w:t xml:space="preserve">）  </w:t>
      </w:r>
    </w:p>
    <w:p w14:paraId="54815439">
      <w:pPr>
        <w:adjustRightInd w:val="0"/>
        <w:snapToGrid w:val="0"/>
        <w:spacing w:line="400" w:lineRule="exact"/>
        <w:rPr>
          <w:rFonts w:ascii="宋体" w:hAnsi="宋体"/>
          <w:bCs/>
          <w:szCs w:val="21"/>
          <w:highlight w:val="none"/>
        </w:rPr>
      </w:pPr>
      <w:r>
        <w:rPr>
          <w:rFonts w:hint="eastAsia" w:ascii="宋体" w:hAnsi="宋体"/>
          <w:bCs/>
          <w:szCs w:val="21"/>
          <w:highlight w:val="none"/>
        </w:rPr>
        <w:t>（4）履约验收程序：</w:t>
      </w:r>
      <w:r>
        <w:rPr>
          <w:rFonts w:hint="eastAsia" w:ascii="宋体" w:hAnsi="宋体"/>
          <w:bCs/>
          <w:szCs w:val="21"/>
          <w:highlight w:val="none"/>
          <w:u w:val="single"/>
        </w:rPr>
        <w:t xml:space="preserve">                                         </w:t>
      </w:r>
    </w:p>
    <w:p w14:paraId="14DA534C">
      <w:pPr>
        <w:adjustRightInd w:val="0"/>
        <w:snapToGrid w:val="0"/>
        <w:spacing w:line="400" w:lineRule="exact"/>
        <w:rPr>
          <w:rFonts w:ascii="宋体" w:hAnsi="宋体"/>
          <w:bCs/>
          <w:szCs w:val="21"/>
          <w:highlight w:val="none"/>
          <w:u w:val="single"/>
        </w:rPr>
      </w:pPr>
      <w:r>
        <w:rPr>
          <w:rFonts w:hint="eastAsia" w:ascii="宋体" w:hAnsi="宋体"/>
          <w:bCs/>
          <w:szCs w:val="21"/>
          <w:highlight w:val="none"/>
        </w:rPr>
        <w:t>（5）履约验收的内容：</w:t>
      </w:r>
      <w:r>
        <w:rPr>
          <w:rFonts w:hint="eastAsia" w:ascii="宋体" w:hAnsi="宋体"/>
          <w:bCs/>
          <w:szCs w:val="21"/>
          <w:highlight w:val="none"/>
          <w:u w:val="single"/>
        </w:rPr>
        <w:t xml:space="preserve"> （应当包括每一项技术和商务要求的履约情况，特别是落实政府采购扶持中小企业，支持绿色发展和乡村振兴等政策情况）                                      </w:t>
      </w:r>
    </w:p>
    <w:p w14:paraId="45E4F7D6">
      <w:pPr>
        <w:adjustRightInd w:val="0"/>
        <w:snapToGrid w:val="0"/>
        <w:spacing w:line="400" w:lineRule="exact"/>
        <w:rPr>
          <w:rFonts w:ascii="宋体" w:hAnsi="宋体"/>
          <w:bCs/>
          <w:szCs w:val="21"/>
          <w:highlight w:val="none"/>
          <w:u w:val="single"/>
        </w:rPr>
      </w:pPr>
      <w:r>
        <w:rPr>
          <w:rFonts w:hint="eastAsia" w:ascii="宋体" w:hAnsi="宋体"/>
          <w:bCs/>
          <w:szCs w:val="21"/>
          <w:highlight w:val="none"/>
        </w:rPr>
        <w:t>（6）履约验收标准：</w:t>
      </w:r>
      <w:r>
        <w:rPr>
          <w:rFonts w:hint="eastAsia" w:ascii="宋体" w:hAnsi="宋体"/>
          <w:bCs/>
          <w:szCs w:val="21"/>
          <w:highlight w:val="none"/>
          <w:u w:val="single"/>
        </w:rPr>
        <w:t xml:space="preserve">                                         </w:t>
      </w:r>
    </w:p>
    <w:p w14:paraId="2256B37D">
      <w:pPr>
        <w:widowControl/>
        <w:autoSpaceDE w:val="0"/>
        <w:autoSpaceDN w:val="0"/>
        <w:adjustRightInd w:val="0"/>
        <w:spacing w:line="400" w:lineRule="exact"/>
        <w:jc w:val="left"/>
        <w:rPr>
          <w:rFonts w:ascii="宋体" w:hAnsi="宋体" w:cs="宋体"/>
          <w:kern w:val="0"/>
          <w:szCs w:val="21"/>
          <w:highlight w:val="none"/>
        </w:rPr>
      </w:pPr>
      <w:r>
        <w:rPr>
          <w:rFonts w:hint="eastAsia" w:ascii="宋体" w:hAnsi="宋体" w:cs="宋体"/>
          <w:bCs/>
          <w:kern w:val="0"/>
          <w:szCs w:val="21"/>
          <w:highlight w:val="none"/>
        </w:rPr>
        <w:t>（7）是否以采购活动中投标人提供的样品作为参考：</w:t>
      </w:r>
      <w:r>
        <w:rPr>
          <w:rFonts w:hint="eastAsia" w:ascii="宋体" w:hAnsi="宋体" w:cs="宋体"/>
          <w:kern w:val="0"/>
          <w:szCs w:val="21"/>
          <w:highlight w:val="none"/>
        </w:rPr>
        <w:sym w:font="Wingdings" w:char="00A8"/>
      </w:r>
      <w:r>
        <w:rPr>
          <w:rFonts w:hint="eastAsia" w:ascii="宋体" w:hAnsi="宋体" w:cs="宋体"/>
          <w:bCs/>
          <w:kern w:val="0"/>
          <w:szCs w:val="21"/>
          <w:highlight w:val="none"/>
        </w:rPr>
        <w:t xml:space="preserve">是  </w:t>
      </w:r>
      <w:r>
        <w:rPr>
          <w:rFonts w:hint="eastAsia" w:ascii="宋体" w:hAnsi="宋体" w:cs="宋体"/>
          <w:kern w:val="0"/>
          <w:szCs w:val="21"/>
          <w:highlight w:val="none"/>
        </w:rPr>
        <w:sym w:font="Wingdings" w:char="00A8"/>
      </w:r>
      <w:r>
        <w:rPr>
          <w:rFonts w:hint="eastAsia" w:ascii="宋体" w:hAnsi="宋体" w:cs="宋体"/>
          <w:bCs/>
          <w:kern w:val="0"/>
          <w:szCs w:val="21"/>
          <w:highlight w:val="none"/>
        </w:rPr>
        <w:t>否</w:t>
      </w:r>
    </w:p>
    <w:p w14:paraId="155A48A6">
      <w:pPr>
        <w:adjustRightInd w:val="0"/>
        <w:snapToGrid w:val="0"/>
        <w:spacing w:line="400" w:lineRule="exact"/>
        <w:rPr>
          <w:rFonts w:ascii="宋体" w:hAnsi="宋体" w:cs="宋体"/>
          <w:bCs/>
          <w:szCs w:val="21"/>
          <w:highlight w:val="none"/>
          <w:u w:val="single"/>
        </w:rPr>
      </w:pPr>
      <w:r>
        <w:rPr>
          <w:rFonts w:hint="eastAsia" w:ascii="宋体" w:hAnsi="宋体" w:cs="宋体"/>
          <w:bCs/>
          <w:szCs w:val="21"/>
          <w:highlight w:val="none"/>
        </w:rPr>
        <w:t>（8）履约验收其他事项：</w:t>
      </w:r>
      <w:r>
        <w:rPr>
          <w:rFonts w:hint="eastAsia" w:ascii="宋体" w:hAnsi="宋体" w:cs="宋体"/>
          <w:bCs/>
          <w:szCs w:val="21"/>
          <w:highlight w:val="none"/>
          <w:u w:val="single"/>
        </w:rPr>
        <w:t xml:space="preserve">      （产权过户登记等）          </w:t>
      </w:r>
    </w:p>
    <w:p w14:paraId="7633FA9E">
      <w:pPr>
        <w:numPr>
          <w:ilvl w:val="0"/>
          <w:numId w:val="64"/>
        </w:numPr>
        <w:adjustRightInd w:val="0"/>
        <w:snapToGrid w:val="0"/>
        <w:spacing w:line="400" w:lineRule="exact"/>
        <w:ind w:firstLine="420"/>
        <w:rPr>
          <w:rFonts w:ascii="宋体" w:hAnsi="宋体"/>
          <w:b/>
          <w:szCs w:val="21"/>
          <w:highlight w:val="none"/>
        </w:rPr>
      </w:pPr>
      <w:r>
        <w:rPr>
          <w:rFonts w:hint="eastAsia" w:ascii="宋体" w:hAnsi="宋体"/>
          <w:b/>
          <w:szCs w:val="21"/>
          <w:highlight w:val="none"/>
        </w:rPr>
        <w:t>组成合同的文件</w:t>
      </w:r>
    </w:p>
    <w:p w14:paraId="375FEE8A">
      <w:pPr>
        <w:adjustRightInd w:val="0"/>
        <w:snapToGrid w:val="0"/>
        <w:spacing w:line="400" w:lineRule="exact"/>
        <w:rPr>
          <w:rFonts w:ascii="宋体" w:hAnsi="宋体"/>
          <w:szCs w:val="21"/>
          <w:highlight w:val="none"/>
        </w:rPr>
      </w:pPr>
      <w:r>
        <w:rPr>
          <w:rFonts w:hint="eastAsia" w:ascii="宋体" w:hAnsi="宋体"/>
          <w:szCs w:val="21"/>
          <w:highlight w:val="none"/>
        </w:rPr>
        <w:t>本协议书与下列文件一起构成合同文件，如下述文件之间有任何抵触、矛盾或歧义，应按以下顺序解释：</w:t>
      </w:r>
    </w:p>
    <w:p w14:paraId="1501C431">
      <w:pPr>
        <w:adjustRightInd w:val="0"/>
        <w:snapToGrid w:val="0"/>
        <w:spacing w:line="400" w:lineRule="exact"/>
        <w:rPr>
          <w:rFonts w:ascii="宋体" w:hAnsi="宋体"/>
          <w:szCs w:val="21"/>
          <w:highlight w:val="none"/>
        </w:rPr>
      </w:pPr>
      <w:r>
        <w:rPr>
          <w:rFonts w:hint="eastAsia" w:ascii="宋体" w:hAnsi="宋体"/>
          <w:szCs w:val="21"/>
          <w:highlight w:val="none"/>
        </w:rPr>
        <w:t>（1）政府采购合同协议书及其变更、补充协议</w:t>
      </w:r>
    </w:p>
    <w:p w14:paraId="79B9DF2A">
      <w:pPr>
        <w:adjustRightInd w:val="0"/>
        <w:snapToGrid w:val="0"/>
        <w:spacing w:line="400" w:lineRule="exact"/>
        <w:rPr>
          <w:rFonts w:ascii="宋体" w:hAnsi="宋体"/>
          <w:szCs w:val="21"/>
          <w:highlight w:val="none"/>
        </w:rPr>
      </w:pPr>
      <w:r>
        <w:rPr>
          <w:rFonts w:hint="eastAsia" w:ascii="宋体" w:hAnsi="宋体"/>
          <w:szCs w:val="21"/>
          <w:highlight w:val="none"/>
        </w:rPr>
        <w:t>（2）政府采购合同专用条款</w:t>
      </w:r>
    </w:p>
    <w:p w14:paraId="6CA3349F">
      <w:pPr>
        <w:adjustRightInd w:val="0"/>
        <w:snapToGrid w:val="0"/>
        <w:spacing w:line="400" w:lineRule="exact"/>
        <w:rPr>
          <w:rFonts w:ascii="宋体" w:hAnsi="宋体"/>
          <w:szCs w:val="21"/>
          <w:highlight w:val="none"/>
        </w:rPr>
      </w:pPr>
      <w:r>
        <w:rPr>
          <w:rFonts w:hint="eastAsia" w:ascii="宋体" w:hAnsi="宋体"/>
          <w:szCs w:val="21"/>
          <w:highlight w:val="none"/>
        </w:rPr>
        <w:t>（3）政府采购合同通用条款</w:t>
      </w:r>
    </w:p>
    <w:p w14:paraId="1544EF5A">
      <w:pPr>
        <w:adjustRightInd w:val="0"/>
        <w:snapToGrid w:val="0"/>
        <w:spacing w:line="400" w:lineRule="exact"/>
        <w:rPr>
          <w:rFonts w:ascii="宋体" w:hAnsi="宋体"/>
          <w:szCs w:val="21"/>
          <w:highlight w:val="none"/>
        </w:rPr>
      </w:pPr>
      <w:r>
        <w:rPr>
          <w:rFonts w:hint="eastAsia" w:ascii="宋体" w:hAnsi="宋体"/>
          <w:szCs w:val="21"/>
          <w:highlight w:val="none"/>
        </w:rPr>
        <w:t>（4）中标（成交）通知书</w:t>
      </w:r>
    </w:p>
    <w:p w14:paraId="7C0467B0">
      <w:pPr>
        <w:adjustRightInd w:val="0"/>
        <w:snapToGrid w:val="0"/>
        <w:spacing w:line="400" w:lineRule="exact"/>
        <w:rPr>
          <w:rFonts w:ascii="宋体" w:hAnsi="宋体"/>
          <w:szCs w:val="21"/>
          <w:highlight w:val="none"/>
        </w:rPr>
      </w:pPr>
      <w:r>
        <w:rPr>
          <w:rFonts w:hint="eastAsia" w:ascii="宋体" w:hAnsi="宋体"/>
          <w:szCs w:val="21"/>
          <w:highlight w:val="none"/>
        </w:rPr>
        <w:t>（5）投标（响应）文件</w:t>
      </w:r>
    </w:p>
    <w:p w14:paraId="6122862F">
      <w:pPr>
        <w:adjustRightInd w:val="0"/>
        <w:snapToGrid w:val="0"/>
        <w:spacing w:line="400" w:lineRule="exact"/>
        <w:rPr>
          <w:rFonts w:ascii="宋体" w:hAnsi="宋体"/>
          <w:szCs w:val="21"/>
          <w:highlight w:val="none"/>
        </w:rPr>
      </w:pPr>
      <w:r>
        <w:rPr>
          <w:rFonts w:hint="eastAsia" w:ascii="宋体" w:hAnsi="宋体"/>
          <w:szCs w:val="21"/>
          <w:highlight w:val="none"/>
        </w:rPr>
        <w:t>（6）采购文件</w:t>
      </w:r>
    </w:p>
    <w:p w14:paraId="4079E8C9">
      <w:pPr>
        <w:adjustRightInd w:val="0"/>
        <w:snapToGrid w:val="0"/>
        <w:spacing w:line="400" w:lineRule="exact"/>
        <w:rPr>
          <w:rFonts w:ascii="宋体" w:hAnsi="宋体"/>
          <w:szCs w:val="21"/>
          <w:highlight w:val="none"/>
        </w:rPr>
      </w:pPr>
      <w:r>
        <w:rPr>
          <w:rFonts w:hint="eastAsia" w:ascii="宋体" w:hAnsi="宋体"/>
          <w:szCs w:val="21"/>
          <w:highlight w:val="none"/>
        </w:rPr>
        <w:t>（7）有关技术文件，图纸</w:t>
      </w:r>
    </w:p>
    <w:p w14:paraId="11A19D54">
      <w:pPr>
        <w:widowControl/>
        <w:autoSpaceDE w:val="0"/>
        <w:autoSpaceDN w:val="0"/>
        <w:adjustRightInd w:val="0"/>
        <w:spacing w:line="400" w:lineRule="exact"/>
        <w:jc w:val="left"/>
        <w:rPr>
          <w:rFonts w:ascii="宋体" w:hAnsi="宋体" w:cs="宋体"/>
          <w:szCs w:val="21"/>
          <w:highlight w:val="none"/>
        </w:rPr>
      </w:pPr>
      <w:r>
        <w:rPr>
          <w:rFonts w:hint="eastAsia" w:ascii="宋体" w:hAnsi="宋体" w:cs="宋体"/>
          <w:kern w:val="0"/>
          <w:szCs w:val="21"/>
          <w:highlight w:val="none"/>
        </w:rPr>
        <w:t>（8）</w:t>
      </w:r>
      <w:r>
        <w:rPr>
          <w:rFonts w:hint="eastAsia" w:ascii="宋体" w:hAnsi="宋体" w:cs="宋体"/>
          <w:color w:val="000000"/>
          <w:szCs w:val="21"/>
          <w:highlight w:val="none"/>
        </w:rPr>
        <w:t>国家法律、行政法规和规章制度规定或合同约定的作为合同组成部分的其他文件</w:t>
      </w:r>
    </w:p>
    <w:p w14:paraId="6E114518">
      <w:pPr>
        <w:numPr>
          <w:ilvl w:val="0"/>
          <w:numId w:val="64"/>
        </w:numPr>
        <w:adjustRightInd w:val="0"/>
        <w:snapToGrid w:val="0"/>
        <w:spacing w:line="400" w:lineRule="exact"/>
        <w:ind w:firstLine="420"/>
        <w:rPr>
          <w:rFonts w:ascii="宋体" w:hAnsi="宋体"/>
          <w:b/>
          <w:szCs w:val="21"/>
          <w:highlight w:val="none"/>
        </w:rPr>
      </w:pPr>
      <w:r>
        <w:rPr>
          <w:rFonts w:hint="eastAsia" w:ascii="宋体" w:hAnsi="宋体"/>
          <w:b/>
          <w:szCs w:val="21"/>
          <w:highlight w:val="none"/>
        </w:rPr>
        <w:t>合同生效</w:t>
      </w:r>
    </w:p>
    <w:p w14:paraId="6F71E743">
      <w:pPr>
        <w:adjustRightInd w:val="0"/>
        <w:snapToGrid w:val="0"/>
        <w:spacing w:line="400" w:lineRule="exact"/>
        <w:rPr>
          <w:rFonts w:ascii="宋体" w:hAnsi="宋体"/>
          <w:szCs w:val="21"/>
          <w:highlight w:val="none"/>
        </w:rPr>
      </w:pPr>
      <w:r>
        <w:rPr>
          <w:rFonts w:hint="eastAsia" w:ascii="宋体" w:hAnsi="宋体"/>
          <w:szCs w:val="21"/>
          <w:highlight w:val="none"/>
        </w:rPr>
        <w:t>本合同自</w:t>
      </w:r>
      <w:r>
        <w:rPr>
          <w:rFonts w:hint="eastAsia" w:ascii="宋体" w:hAnsi="宋体"/>
          <w:szCs w:val="21"/>
          <w:highlight w:val="none"/>
          <w:u w:val="single"/>
        </w:rPr>
        <w:t xml:space="preserve">                             </w:t>
      </w:r>
      <w:r>
        <w:rPr>
          <w:rFonts w:hint="eastAsia" w:ascii="宋体" w:hAnsi="宋体"/>
          <w:szCs w:val="21"/>
          <w:highlight w:val="none"/>
        </w:rPr>
        <w:t>生效。</w:t>
      </w:r>
    </w:p>
    <w:p w14:paraId="265D622D">
      <w:pPr>
        <w:numPr>
          <w:ilvl w:val="0"/>
          <w:numId w:val="64"/>
        </w:numPr>
        <w:adjustRightInd w:val="0"/>
        <w:snapToGrid w:val="0"/>
        <w:spacing w:line="400" w:lineRule="exact"/>
        <w:ind w:firstLine="420"/>
        <w:rPr>
          <w:rFonts w:ascii="宋体" w:hAnsi="宋体"/>
          <w:b/>
          <w:szCs w:val="21"/>
          <w:highlight w:val="none"/>
        </w:rPr>
      </w:pPr>
      <w:r>
        <w:rPr>
          <w:rFonts w:hint="eastAsia" w:ascii="宋体" w:hAnsi="宋体"/>
          <w:b/>
          <w:szCs w:val="21"/>
          <w:highlight w:val="none"/>
        </w:rPr>
        <w:t>合同份数</w:t>
      </w:r>
    </w:p>
    <w:p w14:paraId="397E082E">
      <w:pPr>
        <w:adjustRightInd w:val="0"/>
        <w:snapToGrid w:val="0"/>
        <w:spacing w:line="400" w:lineRule="exact"/>
        <w:rPr>
          <w:rFonts w:ascii="宋体" w:hAnsi="宋体"/>
          <w:szCs w:val="21"/>
          <w:highlight w:val="none"/>
        </w:rPr>
      </w:pPr>
      <w:r>
        <w:rPr>
          <w:rFonts w:hint="eastAsia" w:ascii="宋体" w:hAnsi="宋体"/>
          <w:szCs w:val="21"/>
          <w:highlight w:val="none"/>
        </w:rPr>
        <w:t>本合同一式</w:t>
      </w:r>
      <w:r>
        <w:rPr>
          <w:rFonts w:hint="eastAsia" w:ascii="宋体" w:hAnsi="宋体"/>
          <w:szCs w:val="21"/>
          <w:highlight w:val="none"/>
          <w:u w:val="single"/>
        </w:rPr>
        <w:t xml:space="preserve">    </w:t>
      </w:r>
      <w:r>
        <w:rPr>
          <w:rFonts w:hint="eastAsia" w:ascii="宋体" w:hAnsi="宋体"/>
          <w:szCs w:val="21"/>
          <w:highlight w:val="none"/>
        </w:rPr>
        <w:t>份，甲方执</w:t>
      </w:r>
      <w:r>
        <w:rPr>
          <w:rFonts w:hint="eastAsia" w:ascii="宋体" w:hAnsi="宋体"/>
          <w:szCs w:val="21"/>
          <w:highlight w:val="none"/>
          <w:u w:val="single"/>
        </w:rPr>
        <w:t xml:space="preserve">    </w:t>
      </w:r>
      <w:r>
        <w:rPr>
          <w:rFonts w:hint="eastAsia" w:ascii="宋体" w:hAnsi="宋体"/>
          <w:szCs w:val="21"/>
          <w:highlight w:val="none"/>
        </w:rPr>
        <w:t>份，乙方执</w:t>
      </w:r>
      <w:r>
        <w:rPr>
          <w:rFonts w:hint="eastAsia" w:ascii="宋体" w:hAnsi="宋体"/>
          <w:szCs w:val="21"/>
          <w:highlight w:val="none"/>
          <w:u w:val="single"/>
        </w:rPr>
        <w:t xml:space="preserve">    </w:t>
      </w:r>
      <w:r>
        <w:rPr>
          <w:rFonts w:hint="eastAsia" w:ascii="宋体" w:hAnsi="宋体"/>
          <w:szCs w:val="21"/>
          <w:highlight w:val="none"/>
        </w:rPr>
        <w:t>份，均具有同等法律效力。</w:t>
      </w:r>
    </w:p>
    <w:p w14:paraId="28234FDC">
      <w:pPr>
        <w:adjustRightInd w:val="0"/>
        <w:snapToGrid w:val="0"/>
        <w:spacing w:line="400" w:lineRule="exact"/>
        <w:rPr>
          <w:rFonts w:ascii="宋体" w:hAnsi="宋体"/>
          <w:szCs w:val="21"/>
          <w:highlight w:val="none"/>
        </w:rPr>
      </w:pPr>
      <w:r>
        <w:rPr>
          <w:rFonts w:hint="eastAsia" w:ascii="宋体" w:hAnsi="宋体"/>
          <w:szCs w:val="21"/>
          <w:highlight w:val="none"/>
        </w:rPr>
        <w:t>合同订立时间：</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1248BC30">
      <w:pPr>
        <w:adjustRightInd w:val="0"/>
        <w:snapToGrid w:val="0"/>
        <w:spacing w:line="400" w:lineRule="exact"/>
        <w:rPr>
          <w:rFonts w:ascii="宋体" w:hAnsi="宋体"/>
          <w:szCs w:val="21"/>
          <w:highlight w:val="none"/>
        </w:rPr>
      </w:pPr>
      <w:r>
        <w:rPr>
          <w:rFonts w:hint="eastAsia" w:ascii="宋体" w:hAnsi="宋体"/>
          <w:szCs w:val="21"/>
          <w:highlight w:val="none"/>
        </w:rPr>
        <w:t>合同订立地点：</w:t>
      </w:r>
      <w:r>
        <w:rPr>
          <w:rFonts w:hint="eastAsia" w:ascii="宋体" w:hAnsi="宋体"/>
          <w:szCs w:val="21"/>
          <w:highlight w:val="none"/>
          <w:u w:val="single"/>
        </w:rPr>
        <w:t xml:space="preserve">                           </w:t>
      </w:r>
    </w:p>
    <w:p w14:paraId="64D903AC">
      <w:pPr>
        <w:adjustRightInd w:val="0"/>
        <w:snapToGrid w:val="0"/>
        <w:spacing w:line="400" w:lineRule="exact"/>
        <w:rPr>
          <w:szCs w:val="24"/>
          <w:highlight w:val="none"/>
        </w:rPr>
      </w:pPr>
      <w:r>
        <w:rPr>
          <w:rFonts w:hint="eastAsia" w:ascii="宋体" w:hAnsi="宋体"/>
          <w:szCs w:val="21"/>
          <w:highlight w:val="none"/>
        </w:rPr>
        <w:t>附件：具体标的及其技术要求和商务要求、联合协议、分包意向协议等。</w:t>
      </w:r>
    </w:p>
    <w:p w14:paraId="6D9C2D55">
      <w:pPr>
        <w:spacing w:line="400" w:lineRule="exact"/>
        <w:rPr>
          <w:szCs w:val="21"/>
          <w:highlight w:val="none"/>
        </w:rPr>
      </w:pPr>
    </w:p>
    <w:p w14:paraId="43890CD1">
      <w:pPr>
        <w:rPr>
          <w:rFonts w:ascii="宋体" w:hAnsi="宋体" w:eastAsia="黑体" w:cs="Calibri"/>
          <w:szCs w:val="21"/>
          <w:highlight w:val="none"/>
        </w:rPr>
      </w:pPr>
      <w:r>
        <w:rPr>
          <w:rFonts w:ascii="Calibri" w:hAnsi="Calibri" w:eastAsia="黑体" w:cs="Calibri"/>
          <w:highlight w:val="none"/>
          <w:lang w:val="en"/>
        </w:rPr>
        <w:t xml:space="preserve">   </w:t>
      </w:r>
    </w:p>
    <w:p w14:paraId="5AD29C58">
      <w:pPr>
        <w:rPr>
          <w:szCs w:val="24"/>
          <w:highlight w:val="none"/>
        </w:rPr>
      </w:pPr>
      <w:r>
        <w:rPr>
          <w:rFonts w:hint="eastAsia"/>
          <w:szCs w:val="24"/>
          <w:highlight w:val="none"/>
        </w:rPr>
        <w:br w:type="page"/>
      </w:r>
    </w:p>
    <w:p w14:paraId="4F3887F1">
      <w:pPr>
        <w:rPr>
          <w:szCs w:val="21"/>
          <w:highlight w:val="none"/>
        </w:rPr>
      </w:pPr>
    </w:p>
    <w:tbl>
      <w:tblPr>
        <w:tblStyle w:val="87"/>
        <w:tblW w:w="4927" w:type="pct"/>
        <w:tblInd w:w="113"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211"/>
        <w:gridCol w:w="2820"/>
        <w:gridCol w:w="2313"/>
        <w:gridCol w:w="2474"/>
      </w:tblGrid>
      <w:tr w14:paraId="75D6157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4C3A1D40">
            <w:pPr>
              <w:adjustRightInd w:val="0"/>
              <w:snapToGrid w:val="0"/>
              <w:spacing w:line="300" w:lineRule="exact"/>
              <w:jc w:val="center"/>
              <w:rPr>
                <w:szCs w:val="24"/>
                <w:highlight w:val="none"/>
              </w:rPr>
            </w:pPr>
            <w:r>
              <w:rPr>
                <w:szCs w:val="21"/>
                <w:highlight w:val="none"/>
              </w:rPr>
              <w:t>甲方</w:t>
            </w:r>
            <w:r>
              <w:rPr>
                <w:rFonts w:hint="eastAsia"/>
                <w:szCs w:val="21"/>
                <w:highlight w:val="none"/>
              </w:rPr>
              <w:t>（招标人</w:t>
            </w:r>
            <w:r>
              <w:rPr>
                <w:rFonts w:hint="eastAsia" w:ascii="宋体" w:hAnsi="宋体"/>
                <w:szCs w:val="21"/>
                <w:highlight w:val="none"/>
              </w:rPr>
              <w:t>、受招标人委托签订合同的单位或</w:t>
            </w:r>
            <w:r>
              <w:rPr>
                <w:rFonts w:hint="eastAsia"/>
                <w:szCs w:val="21"/>
                <w:highlight w:val="none"/>
              </w:rPr>
              <w:t>采购文件约定的合同甲方）</w:t>
            </w:r>
          </w:p>
        </w:tc>
        <w:tc>
          <w:tcPr>
            <w:tcW w:w="2437" w:type="pct"/>
            <w:gridSpan w:val="2"/>
            <w:tcBorders>
              <w:left w:val="single" w:color="auto" w:sz="2" w:space="0"/>
              <w:bottom w:val="single" w:color="auto" w:sz="2" w:space="0"/>
            </w:tcBorders>
            <w:vAlign w:val="center"/>
          </w:tcPr>
          <w:p w14:paraId="1A6FB025">
            <w:pPr>
              <w:adjustRightInd w:val="0"/>
              <w:snapToGrid w:val="0"/>
              <w:spacing w:line="300" w:lineRule="exact"/>
              <w:jc w:val="center"/>
              <w:rPr>
                <w:szCs w:val="24"/>
                <w:highlight w:val="none"/>
              </w:rPr>
            </w:pPr>
            <w:r>
              <w:rPr>
                <w:szCs w:val="21"/>
                <w:highlight w:val="none"/>
              </w:rPr>
              <w:t>乙方</w:t>
            </w:r>
            <w:r>
              <w:rPr>
                <w:rFonts w:hint="eastAsia"/>
                <w:szCs w:val="21"/>
                <w:highlight w:val="none"/>
              </w:rPr>
              <w:t>（投标人）</w:t>
            </w:r>
          </w:p>
        </w:tc>
      </w:tr>
      <w:tr w14:paraId="6422FB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552A83D7">
            <w:pPr>
              <w:adjustRightInd w:val="0"/>
              <w:snapToGrid w:val="0"/>
              <w:spacing w:line="300" w:lineRule="exact"/>
              <w:jc w:val="center"/>
              <w:rPr>
                <w:szCs w:val="21"/>
                <w:highlight w:val="none"/>
              </w:rPr>
            </w:pPr>
            <w:r>
              <w:rPr>
                <w:szCs w:val="21"/>
                <w:highlight w:val="none"/>
              </w:rPr>
              <w:t>单位名称</w:t>
            </w:r>
            <w:r>
              <w:rPr>
                <w:rFonts w:hint="eastAsia"/>
                <w:szCs w:val="21"/>
                <w:highlight w:val="none"/>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16923280">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7009B8A">
            <w:pPr>
              <w:adjustRightInd w:val="0"/>
              <w:snapToGrid w:val="0"/>
              <w:spacing w:line="300" w:lineRule="exact"/>
              <w:jc w:val="center"/>
              <w:rPr>
                <w:szCs w:val="21"/>
                <w:highlight w:val="none"/>
              </w:rPr>
            </w:pPr>
            <w:r>
              <w:rPr>
                <w:szCs w:val="21"/>
                <w:highlight w:val="none"/>
              </w:rPr>
              <w:t>单位名称</w:t>
            </w:r>
            <w:r>
              <w:rPr>
                <w:rFonts w:hint="eastAsia"/>
                <w:szCs w:val="21"/>
                <w:highlight w:val="none"/>
              </w:rPr>
              <w:t>（公章或合同章）</w:t>
            </w:r>
          </w:p>
        </w:tc>
        <w:tc>
          <w:tcPr>
            <w:tcW w:w="1259" w:type="pct"/>
            <w:tcBorders>
              <w:top w:val="single" w:color="auto" w:sz="2" w:space="0"/>
              <w:left w:val="single" w:color="auto" w:sz="2" w:space="0"/>
              <w:bottom w:val="single" w:color="auto" w:sz="2" w:space="0"/>
            </w:tcBorders>
            <w:vAlign w:val="center"/>
          </w:tcPr>
          <w:p w14:paraId="04B6E96C">
            <w:pPr>
              <w:adjustRightInd w:val="0"/>
              <w:snapToGrid w:val="0"/>
              <w:spacing w:line="300" w:lineRule="exact"/>
              <w:jc w:val="center"/>
              <w:rPr>
                <w:spacing w:val="20"/>
                <w:szCs w:val="21"/>
                <w:highlight w:val="none"/>
              </w:rPr>
            </w:pPr>
          </w:p>
        </w:tc>
      </w:tr>
      <w:tr w14:paraId="0F46063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0C67A51B">
            <w:pPr>
              <w:adjustRightInd w:val="0"/>
              <w:snapToGrid w:val="0"/>
              <w:spacing w:line="300" w:lineRule="exact"/>
              <w:jc w:val="center"/>
              <w:rPr>
                <w:szCs w:val="21"/>
                <w:highlight w:val="none"/>
              </w:rPr>
            </w:pPr>
            <w:r>
              <w:rPr>
                <w:szCs w:val="21"/>
                <w:highlight w:val="none"/>
              </w:rPr>
              <w:t>法定代表人</w:t>
            </w:r>
          </w:p>
          <w:p w14:paraId="413AB4F9">
            <w:pPr>
              <w:adjustRightInd w:val="0"/>
              <w:snapToGrid w:val="0"/>
              <w:spacing w:line="300" w:lineRule="exact"/>
              <w:jc w:val="center"/>
              <w:rPr>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1436" w:type="pct"/>
            <w:vMerge w:val="restart"/>
            <w:tcBorders>
              <w:top w:val="single" w:color="auto" w:sz="2" w:space="0"/>
              <w:left w:val="single" w:color="auto" w:sz="2" w:space="0"/>
              <w:right w:val="single" w:color="auto" w:sz="2" w:space="0"/>
            </w:tcBorders>
            <w:vAlign w:val="center"/>
          </w:tcPr>
          <w:p w14:paraId="4624FB54">
            <w:pPr>
              <w:adjustRightInd w:val="0"/>
              <w:snapToGrid w:val="0"/>
              <w:spacing w:line="300" w:lineRule="exact"/>
              <w:jc w:val="center"/>
              <w:rPr>
                <w:szCs w:val="21"/>
                <w:highlight w:val="none"/>
              </w:rPr>
            </w:pPr>
          </w:p>
        </w:tc>
        <w:tc>
          <w:tcPr>
            <w:tcW w:w="1178" w:type="pct"/>
            <w:tcBorders>
              <w:top w:val="single" w:color="auto" w:sz="2" w:space="0"/>
              <w:left w:val="single" w:color="auto" w:sz="2" w:space="0"/>
              <w:right w:val="single" w:color="auto" w:sz="2" w:space="0"/>
            </w:tcBorders>
            <w:vAlign w:val="center"/>
          </w:tcPr>
          <w:p w14:paraId="0B8EC904">
            <w:pPr>
              <w:adjustRightInd w:val="0"/>
              <w:snapToGrid w:val="0"/>
              <w:spacing w:line="300" w:lineRule="exact"/>
              <w:jc w:val="center"/>
              <w:rPr>
                <w:szCs w:val="21"/>
                <w:highlight w:val="none"/>
              </w:rPr>
            </w:pPr>
            <w:r>
              <w:rPr>
                <w:szCs w:val="21"/>
                <w:highlight w:val="none"/>
              </w:rPr>
              <w:t>法定代表人</w:t>
            </w:r>
          </w:p>
          <w:p w14:paraId="392E764F">
            <w:pPr>
              <w:adjustRightInd w:val="0"/>
              <w:snapToGrid w:val="0"/>
              <w:spacing w:line="300" w:lineRule="exact"/>
              <w:jc w:val="center"/>
              <w:rPr>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1259" w:type="pct"/>
            <w:tcBorders>
              <w:top w:val="single" w:color="auto" w:sz="2" w:space="0"/>
              <w:left w:val="single" w:color="auto" w:sz="2" w:space="0"/>
              <w:bottom w:val="single" w:color="auto" w:sz="2" w:space="0"/>
            </w:tcBorders>
            <w:vAlign w:val="center"/>
          </w:tcPr>
          <w:p w14:paraId="1EDE40EB">
            <w:pPr>
              <w:adjustRightInd w:val="0"/>
              <w:snapToGrid w:val="0"/>
              <w:spacing w:line="300" w:lineRule="exact"/>
              <w:jc w:val="center"/>
              <w:rPr>
                <w:szCs w:val="21"/>
                <w:highlight w:val="none"/>
              </w:rPr>
            </w:pPr>
          </w:p>
        </w:tc>
      </w:tr>
      <w:tr w14:paraId="795A819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6536AB5A">
            <w:pPr>
              <w:adjustRightInd w:val="0"/>
              <w:snapToGrid w:val="0"/>
              <w:spacing w:line="300" w:lineRule="exact"/>
              <w:jc w:val="center"/>
              <w:rPr>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3265A2C6">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171AA27">
            <w:pPr>
              <w:adjustRightInd w:val="0"/>
              <w:snapToGrid w:val="0"/>
              <w:spacing w:line="300" w:lineRule="exact"/>
              <w:jc w:val="center"/>
              <w:rPr>
                <w:szCs w:val="21"/>
                <w:highlight w:val="none"/>
              </w:rPr>
            </w:pPr>
            <w:r>
              <w:rPr>
                <w:rFonts w:hint="eastAsia"/>
                <w:szCs w:val="21"/>
                <w:highlight w:val="none"/>
              </w:rPr>
              <w:t>拥有者性别</w:t>
            </w:r>
          </w:p>
        </w:tc>
        <w:tc>
          <w:tcPr>
            <w:tcW w:w="1259" w:type="pct"/>
            <w:tcBorders>
              <w:top w:val="single" w:color="auto" w:sz="2" w:space="0"/>
              <w:left w:val="single" w:color="auto" w:sz="2" w:space="0"/>
              <w:bottom w:val="single" w:color="auto" w:sz="2" w:space="0"/>
            </w:tcBorders>
            <w:vAlign w:val="center"/>
          </w:tcPr>
          <w:p w14:paraId="40C8D632">
            <w:pPr>
              <w:adjustRightInd w:val="0"/>
              <w:snapToGrid w:val="0"/>
              <w:spacing w:line="300" w:lineRule="exact"/>
              <w:jc w:val="center"/>
              <w:rPr>
                <w:spacing w:val="20"/>
                <w:szCs w:val="21"/>
                <w:highlight w:val="none"/>
              </w:rPr>
            </w:pPr>
          </w:p>
        </w:tc>
      </w:tr>
      <w:tr w14:paraId="5126B1F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3E74537">
            <w:pPr>
              <w:adjustRightInd w:val="0"/>
              <w:snapToGrid w:val="0"/>
              <w:spacing w:line="300" w:lineRule="exact"/>
              <w:jc w:val="center"/>
              <w:rPr>
                <w:szCs w:val="21"/>
                <w:highlight w:val="none"/>
              </w:rPr>
            </w:pPr>
            <w:r>
              <w:rPr>
                <w:rFonts w:hint="eastAsia"/>
                <w:szCs w:val="21"/>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0E69E3AA">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F331A3D">
            <w:pPr>
              <w:adjustRightInd w:val="0"/>
              <w:snapToGrid w:val="0"/>
              <w:spacing w:line="300" w:lineRule="exact"/>
              <w:jc w:val="center"/>
              <w:rPr>
                <w:szCs w:val="21"/>
                <w:highlight w:val="none"/>
              </w:rPr>
            </w:pPr>
            <w:r>
              <w:rPr>
                <w:rFonts w:hint="eastAsia"/>
                <w:szCs w:val="21"/>
                <w:highlight w:val="none"/>
              </w:rPr>
              <w:t>住  所</w:t>
            </w:r>
          </w:p>
        </w:tc>
        <w:tc>
          <w:tcPr>
            <w:tcW w:w="1259" w:type="pct"/>
            <w:tcBorders>
              <w:top w:val="single" w:color="auto" w:sz="2" w:space="0"/>
              <w:left w:val="single" w:color="auto" w:sz="2" w:space="0"/>
              <w:bottom w:val="single" w:color="auto" w:sz="2" w:space="0"/>
            </w:tcBorders>
            <w:vAlign w:val="center"/>
          </w:tcPr>
          <w:p w14:paraId="1D64D4D4">
            <w:pPr>
              <w:adjustRightInd w:val="0"/>
              <w:snapToGrid w:val="0"/>
              <w:spacing w:line="300" w:lineRule="exact"/>
              <w:jc w:val="center"/>
              <w:rPr>
                <w:spacing w:val="20"/>
                <w:szCs w:val="21"/>
                <w:highlight w:val="none"/>
              </w:rPr>
            </w:pPr>
          </w:p>
        </w:tc>
      </w:tr>
      <w:tr w14:paraId="66CA017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98449D3">
            <w:pPr>
              <w:adjustRightInd w:val="0"/>
              <w:snapToGrid w:val="0"/>
              <w:spacing w:line="300" w:lineRule="exact"/>
              <w:jc w:val="center"/>
              <w:rPr>
                <w:szCs w:val="21"/>
                <w:highlight w:val="none"/>
              </w:rPr>
            </w:pPr>
            <w:r>
              <w:rPr>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995E7EA">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4D3738C">
            <w:pPr>
              <w:adjustRightInd w:val="0"/>
              <w:snapToGrid w:val="0"/>
              <w:spacing w:line="300" w:lineRule="exact"/>
              <w:jc w:val="center"/>
              <w:rPr>
                <w:szCs w:val="21"/>
                <w:highlight w:val="none"/>
              </w:rPr>
            </w:pPr>
            <w:r>
              <w:rPr>
                <w:szCs w:val="21"/>
                <w:highlight w:val="none"/>
              </w:rPr>
              <w:t>联 系 人</w:t>
            </w:r>
          </w:p>
        </w:tc>
        <w:tc>
          <w:tcPr>
            <w:tcW w:w="1259" w:type="pct"/>
            <w:tcBorders>
              <w:top w:val="single" w:color="auto" w:sz="2" w:space="0"/>
              <w:left w:val="single" w:color="auto" w:sz="2" w:space="0"/>
              <w:bottom w:val="single" w:color="auto" w:sz="2" w:space="0"/>
            </w:tcBorders>
            <w:vAlign w:val="center"/>
          </w:tcPr>
          <w:p w14:paraId="51369F08">
            <w:pPr>
              <w:adjustRightInd w:val="0"/>
              <w:snapToGrid w:val="0"/>
              <w:spacing w:line="300" w:lineRule="exact"/>
              <w:jc w:val="center"/>
              <w:rPr>
                <w:spacing w:val="20"/>
                <w:szCs w:val="21"/>
                <w:highlight w:val="none"/>
              </w:rPr>
            </w:pPr>
          </w:p>
        </w:tc>
      </w:tr>
      <w:tr w14:paraId="7D088C6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F033C77">
            <w:pPr>
              <w:adjustRightInd w:val="0"/>
              <w:snapToGrid w:val="0"/>
              <w:spacing w:line="300" w:lineRule="exact"/>
              <w:jc w:val="center"/>
              <w:rPr>
                <w:szCs w:val="21"/>
                <w:highlight w:val="none"/>
              </w:rPr>
            </w:pPr>
            <w:r>
              <w:rPr>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33EAF368">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9E6CCDE">
            <w:pPr>
              <w:adjustRightInd w:val="0"/>
              <w:snapToGrid w:val="0"/>
              <w:spacing w:line="300" w:lineRule="exact"/>
              <w:jc w:val="center"/>
              <w:rPr>
                <w:szCs w:val="21"/>
                <w:highlight w:val="none"/>
              </w:rPr>
            </w:pPr>
            <w:r>
              <w:rPr>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16CB0AD8">
            <w:pPr>
              <w:adjustRightInd w:val="0"/>
              <w:snapToGrid w:val="0"/>
              <w:spacing w:line="300" w:lineRule="exact"/>
              <w:jc w:val="center"/>
              <w:rPr>
                <w:spacing w:val="20"/>
                <w:szCs w:val="21"/>
                <w:highlight w:val="none"/>
              </w:rPr>
            </w:pPr>
          </w:p>
        </w:tc>
      </w:tr>
      <w:tr w14:paraId="4624E1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24B865B">
            <w:pPr>
              <w:adjustRightInd w:val="0"/>
              <w:snapToGrid w:val="0"/>
              <w:spacing w:line="300" w:lineRule="exact"/>
              <w:jc w:val="center"/>
              <w:rPr>
                <w:szCs w:val="21"/>
                <w:highlight w:val="none"/>
              </w:rPr>
            </w:pPr>
            <w:r>
              <w:rPr>
                <w:rFonts w:hint="eastAsia"/>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355ADF03">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633365D">
            <w:pPr>
              <w:adjustRightInd w:val="0"/>
              <w:snapToGrid w:val="0"/>
              <w:spacing w:line="300" w:lineRule="exact"/>
              <w:jc w:val="center"/>
              <w:rPr>
                <w:szCs w:val="21"/>
                <w:highlight w:val="none"/>
              </w:rPr>
            </w:pPr>
            <w:r>
              <w:rPr>
                <w:rFonts w:hint="eastAsia"/>
                <w:szCs w:val="21"/>
                <w:highlight w:val="none"/>
              </w:rPr>
              <w:t>通信地址</w:t>
            </w:r>
          </w:p>
        </w:tc>
        <w:tc>
          <w:tcPr>
            <w:tcW w:w="1259" w:type="pct"/>
            <w:tcBorders>
              <w:top w:val="single" w:color="auto" w:sz="2" w:space="0"/>
              <w:left w:val="single" w:color="auto" w:sz="2" w:space="0"/>
              <w:bottom w:val="single" w:color="auto" w:sz="2" w:space="0"/>
            </w:tcBorders>
            <w:vAlign w:val="center"/>
          </w:tcPr>
          <w:p w14:paraId="59ADEF65">
            <w:pPr>
              <w:adjustRightInd w:val="0"/>
              <w:snapToGrid w:val="0"/>
              <w:spacing w:line="300" w:lineRule="exact"/>
              <w:jc w:val="center"/>
              <w:rPr>
                <w:spacing w:val="20"/>
                <w:szCs w:val="21"/>
                <w:highlight w:val="none"/>
              </w:rPr>
            </w:pPr>
          </w:p>
        </w:tc>
      </w:tr>
      <w:tr w14:paraId="062D62D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5A3CA35">
            <w:pPr>
              <w:adjustRightInd w:val="0"/>
              <w:snapToGrid w:val="0"/>
              <w:spacing w:line="300" w:lineRule="exact"/>
              <w:jc w:val="center"/>
              <w:rPr>
                <w:szCs w:val="21"/>
                <w:highlight w:val="none"/>
              </w:rPr>
            </w:pPr>
            <w:r>
              <w:rPr>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653B863">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DD85DBC">
            <w:pPr>
              <w:adjustRightInd w:val="0"/>
              <w:snapToGrid w:val="0"/>
              <w:spacing w:line="300" w:lineRule="exact"/>
              <w:jc w:val="center"/>
              <w:rPr>
                <w:szCs w:val="21"/>
                <w:highlight w:val="none"/>
              </w:rPr>
            </w:pPr>
            <w:r>
              <w:rPr>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4B15D179">
            <w:pPr>
              <w:adjustRightInd w:val="0"/>
              <w:snapToGrid w:val="0"/>
              <w:spacing w:line="300" w:lineRule="exact"/>
              <w:jc w:val="center"/>
              <w:rPr>
                <w:spacing w:val="20"/>
                <w:szCs w:val="21"/>
                <w:highlight w:val="none"/>
              </w:rPr>
            </w:pPr>
          </w:p>
        </w:tc>
      </w:tr>
      <w:tr w14:paraId="264FB9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4491E34">
            <w:pPr>
              <w:adjustRightInd w:val="0"/>
              <w:snapToGrid w:val="0"/>
              <w:spacing w:line="300" w:lineRule="exact"/>
              <w:jc w:val="center"/>
              <w:rPr>
                <w:szCs w:val="21"/>
                <w:highlight w:val="none"/>
              </w:rPr>
            </w:pPr>
            <w:r>
              <w:rPr>
                <w:rFonts w:hint="eastAsia"/>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7A534C35">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78FB359">
            <w:pPr>
              <w:adjustRightInd w:val="0"/>
              <w:snapToGrid w:val="0"/>
              <w:spacing w:line="300" w:lineRule="exact"/>
              <w:jc w:val="center"/>
              <w:rPr>
                <w:szCs w:val="21"/>
                <w:highlight w:val="none"/>
              </w:rPr>
            </w:pPr>
            <w:r>
              <w:rPr>
                <w:rFonts w:hint="eastAsia"/>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50BB03EC">
            <w:pPr>
              <w:adjustRightInd w:val="0"/>
              <w:snapToGrid w:val="0"/>
              <w:spacing w:line="300" w:lineRule="exact"/>
              <w:jc w:val="center"/>
              <w:rPr>
                <w:spacing w:val="20"/>
                <w:szCs w:val="21"/>
                <w:highlight w:val="none"/>
              </w:rPr>
            </w:pPr>
          </w:p>
        </w:tc>
      </w:tr>
      <w:tr w14:paraId="425D8A9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1CFE6E7">
            <w:pPr>
              <w:adjustRightInd w:val="0"/>
              <w:snapToGrid w:val="0"/>
              <w:spacing w:line="300" w:lineRule="exact"/>
              <w:jc w:val="center"/>
              <w:rPr>
                <w:szCs w:val="21"/>
                <w:highlight w:val="none"/>
              </w:rPr>
            </w:pPr>
            <w:r>
              <w:rPr>
                <w:rFonts w:hint="eastAsia"/>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6EE9B7EE">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960381F">
            <w:pPr>
              <w:adjustRightInd w:val="0"/>
              <w:snapToGrid w:val="0"/>
              <w:spacing w:line="300" w:lineRule="exact"/>
              <w:jc w:val="center"/>
              <w:rPr>
                <w:szCs w:val="21"/>
                <w:highlight w:val="none"/>
              </w:rPr>
            </w:pPr>
            <w:r>
              <w:rPr>
                <w:rFonts w:hint="eastAsia"/>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106255DB">
            <w:pPr>
              <w:adjustRightInd w:val="0"/>
              <w:snapToGrid w:val="0"/>
              <w:spacing w:line="300" w:lineRule="exact"/>
              <w:jc w:val="center"/>
              <w:rPr>
                <w:spacing w:val="20"/>
                <w:szCs w:val="21"/>
                <w:highlight w:val="none"/>
              </w:rPr>
            </w:pPr>
          </w:p>
        </w:tc>
      </w:tr>
      <w:tr w14:paraId="4CD1D84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C8B15E5">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093C7E5">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DF53E11">
            <w:pPr>
              <w:adjustRightInd w:val="0"/>
              <w:snapToGrid w:val="0"/>
              <w:spacing w:line="300" w:lineRule="exact"/>
              <w:jc w:val="center"/>
              <w:rPr>
                <w:szCs w:val="21"/>
                <w:highlight w:val="none"/>
              </w:rPr>
            </w:pPr>
            <w:r>
              <w:rPr>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76CA047B">
            <w:pPr>
              <w:adjustRightInd w:val="0"/>
              <w:snapToGrid w:val="0"/>
              <w:spacing w:line="300" w:lineRule="exact"/>
              <w:jc w:val="center"/>
              <w:rPr>
                <w:spacing w:val="20"/>
                <w:szCs w:val="21"/>
                <w:highlight w:val="none"/>
              </w:rPr>
            </w:pPr>
          </w:p>
        </w:tc>
      </w:tr>
      <w:tr w14:paraId="304F0B9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176DB50">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820577C">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79697DF">
            <w:pPr>
              <w:adjustRightInd w:val="0"/>
              <w:snapToGrid w:val="0"/>
              <w:spacing w:line="300" w:lineRule="exact"/>
              <w:jc w:val="center"/>
              <w:rPr>
                <w:szCs w:val="21"/>
                <w:highlight w:val="none"/>
              </w:rPr>
            </w:pPr>
            <w:r>
              <w:rPr>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5B32873D">
            <w:pPr>
              <w:adjustRightInd w:val="0"/>
              <w:snapToGrid w:val="0"/>
              <w:spacing w:line="300" w:lineRule="exact"/>
              <w:jc w:val="center"/>
              <w:rPr>
                <w:spacing w:val="20"/>
                <w:szCs w:val="21"/>
                <w:highlight w:val="none"/>
              </w:rPr>
            </w:pPr>
          </w:p>
        </w:tc>
      </w:tr>
      <w:tr w14:paraId="2FF49DA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2DC9189">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8DF6729">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C21690E">
            <w:pPr>
              <w:adjustRightInd w:val="0"/>
              <w:snapToGrid w:val="0"/>
              <w:spacing w:line="300" w:lineRule="exact"/>
              <w:jc w:val="center"/>
              <w:rPr>
                <w:szCs w:val="21"/>
                <w:highlight w:val="none"/>
              </w:rPr>
            </w:pPr>
            <w:r>
              <w:rPr>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5488EE49">
            <w:pPr>
              <w:adjustRightInd w:val="0"/>
              <w:snapToGrid w:val="0"/>
              <w:spacing w:line="300" w:lineRule="exact"/>
              <w:jc w:val="center"/>
              <w:rPr>
                <w:spacing w:val="20"/>
                <w:szCs w:val="21"/>
                <w:highlight w:val="none"/>
              </w:rPr>
            </w:pPr>
          </w:p>
        </w:tc>
      </w:tr>
      <w:tr w14:paraId="4523E9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414960E5">
            <w:pPr>
              <w:adjustRightInd w:val="0"/>
              <w:snapToGrid w:val="0"/>
              <w:spacing w:before="204" w:beforeLines="50" w:line="360" w:lineRule="auto"/>
              <w:jc w:val="left"/>
              <w:rPr>
                <w:spacing w:val="20"/>
                <w:szCs w:val="21"/>
                <w:highlight w:val="none"/>
              </w:rPr>
            </w:pPr>
            <w:r>
              <w:rPr>
                <w:rFonts w:hint="eastAsia" w:ascii="宋体" w:hAnsi="宋体"/>
                <w:szCs w:val="21"/>
                <w:highlight w:val="none"/>
              </w:rPr>
              <w:t>注：涉及联合体或其他合同主体的信息应按上表格式加列。</w:t>
            </w:r>
          </w:p>
        </w:tc>
      </w:tr>
    </w:tbl>
    <w:p w14:paraId="346251EC">
      <w:pPr>
        <w:jc w:val="center"/>
        <w:rPr>
          <w:rFonts w:ascii="Calibri" w:hAnsi="Calibri" w:eastAsia="黑体" w:cs="Calibri"/>
          <w:b/>
          <w:bCs/>
          <w:highlight w:val="none"/>
        </w:rPr>
      </w:pPr>
      <w:r>
        <w:rPr>
          <w:rFonts w:ascii="宋体" w:hAnsi="宋体" w:cs="Calibri"/>
          <w:b/>
          <w:bCs/>
          <w:szCs w:val="21"/>
          <w:highlight w:val="none"/>
          <w:u w:val="single"/>
        </w:rPr>
        <w:br w:type="page"/>
      </w:r>
      <w:bookmarkStart w:id="98" w:name="_Toc27624"/>
      <w:r>
        <w:rPr>
          <w:rFonts w:hint="eastAsia" w:ascii="Calibri" w:hAnsi="Calibri" w:eastAsia="黑体" w:cs="Calibri"/>
          <w:sz w:val="28"/>
          <w:szCs w:val="24"/>
          <w:highlight w:val="none"/>
        </w:rPr>
        <w:t>第二节 政府采购合同通用条款</w:t>
      </w:r>
      <w:bookmarkEnd w:id="98"/>
    </w:p>
    <w:p w14:paraId="5C17BF60">
      <w:pPr>
        <w:tabs>
          <w:tab w:val="left" w:pos="8820"/>
          <w:tab w:val="left" w:pos="9345"/>
          <w:tab w:val="left" w:pos="9765"/>
        </w:tabs>
        <w:adjustRightInd w:val="0"/>
        <w:snapToGrid w:val="0"/>
        <w:spacing w:line="400" w:lineRule="exact"/>
        <w:jc w:val="left"/>
        <w:rPr>
          <w:rFonts w:ascii="宋体" w:hAnsi="宋体"/>
          <w:b/>
          <w:bCs/>
          <w:sz w:val="24"/>
          <w:szCs w:val="24"/>
          <w:highlight w:val="none"/>
        </w:rPr>
      </w:pPr>
      <w:r>
        <w:rPr>
          <w:rFonts w:hint="eastAsia" w:ascii="宋体" w:hAnsi="宋体"/>
          <w:b/>
          <w:sz w:val="24"/>
          <w:szCs w:val="24"/>
          <w:highlight w:val="none"/>
        </w:rPr>
        <w:t xml:space="preserve">1. </w:t>
      </w:r>
      <w:r>
        <w:rPr>
          <w:rFonts w:hint="eastAsia" w:ascii="宋体" w:hAnsi="宋体"/>
          <w:b/>
          <w:bCs/>
          <w:sz w:val="24"/>
          <w:szCs w:val="24"/>
          <w:highlight w:val="none"/>
        </w:rPr>
        <w:t>定义</w:t>
      </w:r>
    </w:p>
    <w:p w14:paraId="40C6E0DE">
      <w:pPr>
        <w:autoSpaceDE w:val="0"/>
        <w:autoSpaceDN w:val="0"/>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1.1合同当事人</w:t>
      </w:r>
    </w:p>
    <w:p w14:paraId="124F8494">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（1）招标人（以下称甲方）是指使用财政性资金，通过政府采购方式向投标人购买货物及其相关服务的国家机关、事业单位、团体组织。</w:t>
      </w:r>
    </w:p>
    <w:p w14:paraId="249A01E1">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（2）投标人（以下称乙方）是指参加政府采购活动并且中标（成交），向招标人提供合同约定的货物及其相关服务的法人、非法人组织或者自然人。</w:t>
      </w:r>
    </w:p>
    <w:p w14:paraId="13807D57">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（3）其他合同主体是指除招标人和投标人以外，</w:t>
      </w:r>
      <w:r>
        <w:rPr>
          <w:rFonts w:hint="eastAsia" w:ascii="宋体" w:hAnsi="宋体" w:cs="宋体"/>
          <w:bCs/>
          <w:color w:val="000000"/>
          <w:szCs w:val="21"/>
          <w:highlight w:val="none"/>
        </w:rPr>
        <w:t>依法参与合同缔结或履行，享有权利、承担义务的合同当事人</w:t>
      </w:r>
      <w:r>
        <w:rPr>
          <w:rFonts w:hint="eastAsia" w:ascii="宋体" w:hAnsi="宋体"/>
          <w:szCs w:val="21"/>
          <w:highlight w:val="none"/>
        </w:rPr>
        <w:t>。</w:t>
      </w:r>
    </w:p>
    <w:p w14:paraId="123B37C3">
      <w:pPr>
        <w:tabs>
          <w:tab w:val="left" w:pos="570"/>
          <w:tab w:val="left" w:pos="9240"/>
          <w:tab w:val="left" w:pos="9555"/>
        </w:tabs>
        <w:adjustRightInd w:val="0"/>
        <w:snapToGrid w:val="0"/>
        <w:spacing w:line="400" w:lineRule="exact"/>
        <w:jc w:val="left"/>
        <w:rPr>
          <w:rFonts w:ascii="宋体" w:hAnsi="宋体"/>
          <w:szCs w:val="21"/>
          <w:highlight w:val="none"/>
        </w:rPr>
      </w:pPr>
      <w:r>
        <w:rPr>
          <w:rFonts w:hint="eastAsia" w:ascii="宋体" w:hAnsi="宋体"/>
          <w:szCs w:val="21"/>
          <w:highlight w:val="none"/>
        </w:rPr>
        <w:t>1.2本合同下列术语应解释为：</w:t>
      </w:r>
    </w:p>
    <w:p w14:paraId="500FF3CC">
      <w:pPr>
        <w:adjustRightInd w:val="0"/>
        <w:snapToGrid w:val="0"/>
        <w:spacing w:line="400" w:lineRule="exact"/>
        <w:jc w:val="left"/>
        <w:rPr>
          <w:rFonts w:ascii="宋体" w:hAnsi="宋体"/>
          <w:szCs w:val="21"/>
          <w:highlight w:val="none"/>
        </w:rPr>
      </w:pPr>
      <w:r>
        <w:rPr>
          <w:rFonts w:hint="eastAsia" w:ascii="宋体" w:hAnsi="宋体"/>
          <w:szCs w:val="21"/>
          <w:highlight w:val="none"/>
        </w:rPr>
        <w:t>（1）“合同”系指</w:t>
      </w:r>
      <w:r>
        <w:rPr>
          <w:rFonts w:hint="eastAsia" w:ascii="宋体" w:hAnsi="宋体" w:cs="宋体"/>
          <w:bCs/>
          <w:color w:val="000000"/>
          <w:szCs w:val="21"/>
          <w:highlight w:val="none"/>
        </w:rPr>
        <w:t>合同当事人意思表示达成一致的任何协议，包括签署的</w:t>
      </w:r>
      <w:r>
        <w:rPr>
          <w:rFonts w:hint="eastAsia" w:ascii="宋体" w:hAnsi="宋体"/>
          <w:szCs w:val="21"/>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000000"/>
          <w:szCs w:val="21"/>
          <w:highlight w:val="none"/>
        </w:rPr>
        <w:t>国家法律、行政法规和规章制度规定或合同约定的作为合同组成部分的其他文件</w:t>
      </w:r>
      <w:r>
        <w:rPr>
          <w:rFonts w:hint="eastAsia" w:ascii="宋体" w:hAnsi="宋体"/>
          <w:szCs w:val="21"/>
          <w:highlight w:val="none"/>
        </w:rPr>
        <w:t>。</w:t>
      </w:r>
    </w:p>
    <w:p w14:paraId="1798A324">
      <w:pPr>
        <w:tabs>
          <w:tab w:val="left" w:pos="570"/>
          <w:tab w:val="left" w:pos="9240"/>
          <w:tab w:val="left" w:pos="9555"/>
        </w:tabs>
        <w:adjustRightInd w:val="0"/>
        <w:snapToGrid w:val="0"/>
        <w:spacing w:line="400" w:lineRule="exact"/>
        <w:jc w:val="left"/>
        <w:rPr>
          <w:rFonts w:ascii="宋体" w:hAnsi="宋体"/>
          <w:szCs w:val="21"/>
          <w:highlight w:val="none"/>
        </w:rPr>
      </w:pPr>
      <w:r>
        <w:rPr>
          <w:rFonts w:hint="eastAsia" w:ascii="宋体" w:hAnsi="宋体"/>
          <w:szCs w:val="21"/>
          <w:highlight w:val="none"/>
        </w:rPr>
        <w:t>（2）“合同价款”系指根据本合同规定乙方在全面履行合同义务后甲方应支付给乙方的价款。</w:t>
      </w:r>
    </w:p>
    <w:p w14:paraId="22C2023E">
      <w:pPr>
        <w:tabs>
          <w:tab w:val="left" w:pos="570"/>
          <w:tab w:val="left" w:pos="9240"/>
          <w:tab w:val="left" w:pos="9555"/>
        </w:tabs>
        <w:adjustRightInd w:val="0"/>
        <w:snapToGrid w:val="0"/>
        <w:spacing w:line="400" w:lineRule="exact"/>
        <w:jc w:val="left"/>
        <w:rPr>
          <w:rFonts w:ascii="宋体" w:hAnsi="宋体"/>
          <w:color w:val="000000"/>
          <w:szCs w:val="21"/>
          <w:highlight w:val="none"/>
        </w:rPr>
      </w:pPr>
      <w:r>
        <w:rPr>
          <w:rFonts w:hint="eastAsia" w:ascii="宋体" w:hAnsi="宋体"/>
          <w:szCs w:val="21"/>
          <w:highlight w:val="none"/>
        </w:rPr>
        <w:t>（3）“货物”系指乙方根据本合同规定须向甲方提供的各种形态和种类的物品，包括原材料、设备、产品（</w:t>
      </w:r>
      <w:r>
        <w:rPr>
          <w:rFonts w:hint="eastAsia" w:ascii="宋体" w:hAnsi="宋体"/>
          <w:color w:val="000000"/>
          <w:szCs w:val="21"/>
          <w:highlight w:val="none"/>
        </w:rPr>
        <w:t>包括软件）及相关的其备品备件、工具、手册及</w:t>
      </w:r>
      <w:r>
        <w:rPr>
          <w:rFonts w:ascii="宋体" w:hAnsi="宋体"/>
          <w:color w:val="000000"/>
          <w:szCs w:val="21"/>
          <w:highlight w:val="none"/>
          <w:lang w:val="en"/>
        </w:rPr>
        <w:t>其他</w:t>
      </w:r>
      <w:r>
        <w:rPr>
          <w:rFonts w:hint="eastAsia" w:ascii="宋体" w:hAnsi="宋体"/>
          <w:color w:val="000000"/>
          <w:szCs w:val="21"/>
          <w:highlight w:val="none"/>
        </w:rPr>
        <w:t>技术资料和材料等。</w:t>
      </w:r>
    </w:p>
    <w:p w14:paraId="3DC062FB">
      <w:pPr>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（4）“</w:t>
      </w:r>
      <w:r>
        <w:rPr>
          <w:rFonts w:hint="eastAsia" w:ascii="宋体" w:hAnsi="宋体"/>
          <w:szCs w:val="21"/>
          <w:highlight w:val="none"/>
        </w:rPr>
        <w:t>相关</w:t>
      </w:r>
      <w:r>
        <w:rPr>
          <w:rFonts w:hint="eastAsia" w:ascii="宋体" w:hAnsi="宋体"/>
          <w:color w:val="000000"/>
          <w:szCs w:val="21"/>
          <w:highlight w:val="none"/>
        </w:rPr>
        <w:t>服务”系指根据合同规定，乙方应提供的与货物有关的技术、管理和</w:t>
      </w:r>
      <w:r>
        <w:rPr>
          <w:rFonts w:ascii="宋体" w:hAnsi="宋体"/>
          <w:color w:val="000000"/>
          <w:szCs w:val="21"/>
          <w:highlight w:val="none"/>
          <w:lang w:val="en"/>
        </w:rPr>
        <w:t>其他</w:t>
      </w:r>
      <w:r>
        <w:rPr>
          <w:rFonts w:hint="eastAsia" w:ascii="宋体" w:hAnsi="宋体"/>
          <w:color w:val="000000"/>
          <w:szCs w:val="21"/>
          <w:highlight w:val="none"/>
        </w:rPr>
        <w:t>服务，包括但不限于：管理和质量保证、运输、保险、检验、现场准备、安装、集成、调试、培训、维修、废弃处置、技术支持等以及合同中规定乙方应承担的</w:t>
      </w:r>
      <w:r>
        <w:rPr>
          <w:rFonts w:ascii="宋体" w:hAnsi="宋体"/>
          <w:color w:val="000000"/>
          <w:szCs w:val="21"/>
          <w:highlight w:val="none"/>
          <w:lang w:val="en"/>
        </w:rPr>
        <w:t>其他</w:t>
      </w:r>
      <w:r>
        <w:rPr>
          <w:rFonts w:hint="eastAsia" w:ascii="宋体" w:hAnsi="宋体"/>
          <w:color w:val="000000"/>
          <w:szCs w:val="21"/>
          <w:highlight w:val="none"/>
        </w:rPr>
        <w:t>义务。</w:t>
      </w:r>
    </w:p>
    <w:p w14:paraId="27CF39B1">
      <w:pPr>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（5）“分包”系指中标（成交）投标人按采购文件、投标（响应）文件的规定，根据分包意向协议，将中标（成交）项目中的部分履约内容，分给具有相应资质条件的投标人履行合同的行为。</w:t>
      </w:r>
    </w:p>
    <w:p w14:paraId="0E9A2FFE">
      <w:pPr>
        <w:tabs>
          <w:tab w:val="left" w:pos="570"/>
          <w:tab w:val="left" w:pos="9240"/>
          <w:tab w:val="left" w:pos="9555"/>
        </w:tabs>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（6）</w:t>
      </w:r>
      <w:r>
        <w:rPr>
          <w:rFonts w:hint="eastAsia" w:ascii="宋体" w:hAnsi="宋体"/>
          <w:szCs w:val="21"/>
          <w:highlight w:val="none"/>
        </w:rPr>
        <w:t>“联合体”系指由两个以上的自然人、法人或者非法人组织组成，以一个投标人的身份共同参加政府采购的主体</w:t>
      </w:r>
      <w:r>
        <w:rPr>
          <w:rFonts w:hint="eastAsia" w:ascii="宋体" w:hAnsi="宋体"/>
          <w:color w:val="000000"/>
          <w:szCs w:val="21"/>
          <w:highlight w:val="none"/>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000000"/>
          <w:szCs w:val="21"/>
          <w:highlight w:val="none"/>
        </w:rPr>
        <w:t>政府采购合同专用条款</w:t>
      </w:r>
      <w:r>
        <w:rPr>
          <w:rFonts w:hint="eastAsia" w:ascii="宋体" w:hAnsi="宋体"/>
          <w:color w:val="000000"/>
          <w:szCs w:val="21"/>
          <w:highlight w:val="none"/>
        </w:rPr>
        <w:t>】。</w:t>
      </w:r>
    </w:p>
    <w:p w14:paraId="7D94B36D">
      <w:pPr>
        <w:tabs>
          <w:tab w:val="left" w:pos="570"/>
          <w:tab w:val="left" w:pos="9240"/>
          <w:tab w:val="left" w:pos="9555"/>
        </w:tabs>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（7）其他术语解释，见【</w:t>
      </w:r>
      <w:r>
        <w:rPr>
          <w:rFonts w:hint="eastAsia" w:ascii="宋体" w:hAnsi="宋体"/>
          <w:b/>
          <w:bCs/>
          <w:color w:val="000000"/>
          <w:szCs w:val="21"/>
          <w:highlight w:val="none"/>
        </w:rPr>
        <w:t>政府采购合同专用条款</w:t>
      </w:r>
      <w:r>
        <w:rPr>
          <w:rFonts w:hint="eastAsia" w:ascii="宋体" w:hAnsi="宋体"/>
          <w:color w:val="000000"/>
          <w:szCs w:val="21"/>
          <w:highlight w:val="none"/>
        </w:rPr>
        <w:t>】。</w:t>
      </w:r>
    </w:p>
    <w:p w14:paraId="0D831BF2">
      <w:pPr>
        <w:numPr>
          <w:ilvl w:val="0"/>
          <w:numId w:val="67"/>
        </w:numPr>
        <w:autoSpaceDE w:val="0"/>
        <w:autoSpaceDN w:val="0"/>
        <w:adjustRightInd w:val="0"/>
        <w:snapToGrid w:val="0"/>
        <w:spacing w:line="400" w:lineRule="exact"/>
        <w:jc w:val="left"/>
        <w:rPr>
          <w:rFonts w:ascii="宋体" w:hAnsi="宋体"/>
          <w:b/>
          <w:bCs/>
          <w:color w:val="000000"/>
          <w:sz w:val="24"/>
          <w:szCs w:val="24"/>
          <w:highlight w:val="none"/>
        </w:rPr>
      </w:pPr>
      <w:r>
        <w:rPr>
          <w:rFonts w:hint="eastAsia" w:ascii="宋体" w:hAnsi="宋体"/>
          <w:b/>
          <w:color w:val="000000"/>
          <w:sz w:val="24"/>
          <w:szCs w:val="24"/>
          <w:highlight w:val="none"/>
        </w:rPr>
        <w:t>合同标的及金额</w:t>
      </w:r>
    </w:p>
    <w:p w14:paraId="63AC6C71">
      <w:pPr>
        <w:autoSpaceDE w:val="0"/>
        <w:autoSpaceDN w:val="0"/>
        <w:adjustRightInd w:val="0"/>
        <w:snapToGrid w:val="0"/>
        <w:spacing w:line="400" w:lineRule="exact"/>
        <w:jc w:val="left"/>
        <w:rPr>
          <w:rFonts w:ascii="宋体" w:hAnsi="宋体"/>
          <w:b/>
          <w:bCs/>
          <w:i/>
          <w:iCs/>
          <w:color w:val="000000"/>
          <w:szCs w:val="21"/>
          <w:highlight w:val="none"/>
        </w:rPr>
      </w:pPr>
      <w:r>
        <w:rPr>
          <w:rFonts w:hint="eastAsia" w:ascii="宋体" w:hAnsi="宋体"/>
          <w:color w:val="000000"/>
          <w:szCs w:val="21"/>
          <w:highlight w:val="none"/>
        </w:rPr>
        <w:t>2.1 合同标的及金额应与中标（成交）结果一致。乙方为履行本合同而发生的所有费用均应包含在合同价款中，甲方不再另行支付</w:t>
      </w:r>
      <w:r>
        <w:rPr>
          <w:rFonts w:ascii="宋体" w:hAnsi="宋体"/>
          <w:color w:val="000000"/>
          <w:szCs w:val="21"/>
          <w:highlight w:val="none"/>
          <w:lang w:val="en"/>
        </w:rPr>
        <w:t>其他</w:t>
      </w:r>
      <w:r>
        <w:rPr>
          <w:rFonts w:hint="eastAsia" w:ascii="宋体" w:hAnsi="宋体"/>
          <w:color w:val="000000"/>
          <w:szCs w:val="21"/>
          <w:highlight w:val="none"/>
        </w:rPr>
        <w:t>任何费用。</w:t>
      </w:r>
    </w:p>
    <w:p w14:paraId="11165D7F">
      <w:pPr>
        <w:adjustRightInd w:val="0"/>
        <w:snapToGrid w:val="0"/>
        <w:spacing w:line="400" w:lineRule="exact"/>
        <w:jc w:val="left"/>
        <w:rPr>
          <w:rFonts w:ascii="宋体" w:hAnsi="宋体"/>
          <w:b/>
          <w:color w:val="000000"/>
          <w:sz w:val="24"/>
          <w:szCs w:val="24"/>
          <w:highlight w:val="none"/>
        </w:rPr>
      </w:pPr>
      <w:r>
        <w:rPr>
          <w:rFonts w:hint="eastAsia" w:ascii="宋体" w:hAnsi="宋体"/>
          <w:b/>
          <w:color w:val="000000"/>
          <w:sz w:val="24"/>
          <w:szCs w:val="24"/>
          <w:highlight w:val="none"/>
        </w:rPr>
        <w:t>3. 履行合同的时间、地点和方式</w:t>
      </w:r>
    </w:p>
    <w:p w14:paraId="4C024D16">
      <w:pPr>
        <w:autoSpaceDE w:val="0"/>
        <w:autoSpaceDN w:val="0"/>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 xml:space="preserve">3.1 </w:t>
      </w:r>
      <w:r>
        <w:rPr>
          <w:rFonts w:hint="eastAsia" w:ascii="宋体" w:hAnsi="宋体" w:cs="宋体"/>
          <w:szCs w:val="21"/>
          <w:highlight w:val="none"/>
        </w:rPr>
        <w:t>乙方应当在约定的时间、地点，按照约定方式履行合同。</w:t>
      </w:r>
    </w:p>
    <w:p w14:paraId="449D154C">
      <w:pPr>
        <w:autoSpaceDE w:val="0"/>
        <w:autoSpaceDN w:val="0"/>
        <w:adjustRightInd w:val="0"/>
        <w:snapToGrid w:val="0"/>
        <w:spacing w:line="400" w:lineRule="exact"/>
        <w:jc w:val="left"/>
        <w:rPr>
          <w:rFonts w:ascii="宋体" w:hAnsi="宋体"/>
          <w:b/>
          <w:bCs/>
          <w:color w:val="000000"/>
          <w:sz w:val="24"/>
          <w:szCs w:val="24"/>
          <w:highlight w:val="none"/>
        </w:rPr>
      </w:pPr>
      <w:r>
        <w:rPr>
          <w:rFonts w:hint="eastAsia" w:ascii="宋体" w:hAnsi="宋体"/>
          <w:b/>
          <w:bCs/>
          <w:color w:val="000000"/>
          <w:sz w:val="24"/>
          <w:szCs w:val="24"/>
          <w:highlight w:val="none"/>
        </w:rPr>
        <w:t>4. 甲方的权利和义务</w:t>
      </w:r>
    </w:p>
    <w:p w14:paraId="5B1A756D">
      <w:pPr>
        <w:autoSpaceDE w:val="0"/>
        <w:autoSpaceDN w:val="0"/>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4.1</w:t>
      </w:r>
      <w:r>
        <w:rPr>
          <w:rFonts w:ascii="宋体" w:hAnsi="宋体"/>
          <w:color w:val="000000"/>
          <w:szCs w:val="21"/>
          <w:highlight w:val="none"/>
        </w:rPr>
        <w:t xml:space="preserve"> 签署合同后，甲方</w:t>
      </w:r>
      <w:r>
        <w:rPr>
          <w:rFonts w:hint="eastAsia" w:ascii="宋体" w:hAnsi="宋体"/>
          <w:color w:val="000000"/>
          <w:szCs w:val="21"/>
          <w:highlight w:val="none"/>
        </w:rPr>
        <w:t>应</w:t>
      </w:r>
      <w:r>
        <w:rPr>
          <w:rFonts w:ascii="宋体" w:hAnsi="宋体"/>
          <w:color w:val="000000"/>
          <w:szCs w:val="21"/>
          <w:highlight w:val="none"/>
        </w:rPr>
        <w:t>确定</w:t>
      </w:r>
      <w:r>
        <w:rPr>
          <w:rFonts w:hint="eastAsia" w:ascii="宋体" w:hAnsi="宋体"/>
          <w:color w:val="000000"/>
          <w:szCs w:val="21"/>
          <w:highlight w:val="none"/>
        </w:rPr>
        <w:t>项目负责人（或项目联系人）</w:t>
      </w:r>
      <w:r>
        <w:rPr>
          <w:rFonts w:ascii="宋体" w:hAnsi="宋体"/>
          <w:color w:val="000000"/>
          <w:szCs w:val="21"/>
          <w:highlight w:val="none"/>
        </w:rPr>
        <w:t>，负责与本合同有关的事务。</w:t>
      </w:r>
      <w:r>
        <w:rPr>
          <w:rFonts w:hint="eastAsia" w:ascii="宋体" w:hAnsi="宋体"/>
          <w:color w:val="000000"/>
          <w:szCs w:val="21"/>
          <w:highlight w:val="none"/>
        </w:rPr>
        <w:t>甲方有权对乙方的履约行为进行检查，并</w:t>
      </w:r>
      <w:r>
        <w:rPr>
          <w:rFonts w:ascii="宋体" w:hAnsi="宋体"/>
          <w:color w:val="000000"/>
          <w:szCs w:val="21"/>
          <w:highlight w:val="none"/>
        </w:rPr>
        <w:t>及时确认乙方提交的事项</w:t>
      </w:r>
      <w:r>
        <w:rPr>
          <w:rFonts w:hint="eastAsia" w:ascii="宋体" w:hAnsi="宋体"/>
          <w:color w:val="000000"/>
          <w:szCs w:val="21"/>
          <w:highlight w:val="none"/>
        </w:rPr>
        <w:t>。甲方应当</w:t>
      </w:r>
      <w:r>
        <w:rPr>
          <w:rFonts w:ascii="宋体" w:hAnsi="宋体"/>
          <w:color w:val="000000"/>
          <w:szCs w:val="21"/>
          <w:highlight w:val="none"/>
        </w:rPr>
        <w:t>配合乙方完成</w:t>
      </w:r>
      <w:r>
        <w:rPr>
          <w:rFonts w:hint="eastAsia" w:ascii="宋体" w:hAnsi="宋体"/>
          <w:color w:val="000000"/>
          <w:szCs w:val="21"/>
          <w:highlight w:val="none"/>
        </w:rPr>
        <w:t>相关项目</w:t>
      </w:r>
      <w:r>
        <w:rPr>
          <w:rFonts w:ascii="宋体" w:hAnsi="宋体"/>
          <w:color w:val="000000"/>
          <w:szCs w:val="21"/>
          <w:highlight w:val="none"/>
        </w:rPr>
        <w:t>实施工作。</w:t>
      </w:r>
    </w:p>
    <w:p w14:paraId="273537AA">
      <w:pPr>
        <w:autoSpaceDE w:val="0"/>
        <w:autoSpaceDN w:val="0"/>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 xml:space="preserve">4.2 </w:t>
      </w:r>
      <w:r>
        <w:rPr>
          <w:rFonts w:ascii="宋体" w:hAnsi="宋体"/>
          <w:color w:val="000000"/>
          <w:szCs w:val="21"/>
          <w:highlight w:val="none"/>
        </w:rPr>
        <w:t>甲方有权要求乙方按时提交各阶段有关</w:t>
      </w:r>
      <w:r>
        <w:rPr>
          <w:rFonts w:hint="eastAsia" w:ascii="宋体" w:hAnsi="宋体"/>
          <w:color w:val="000000"/>
          <w:szCs w:val="21"/>
          <w:highlight w:val="none"/>
        </w:rPr>
        <w:t>安排计划</w:t>
      </w:r>
      <w:r>
        <w:rPr>
          <w:rFonts w:ascii="宋体" w:hAnsi="宋体"/>
          <w:color w:val="000000"/>
          <w:szCs w:val="21"/>
          <w:highlight w:val="none"/>
        </w:rPr>
        <w:t>，并有权</w:t>
      </w:r>
      <w:r>
        <w:rPr>
          <w:rFonts w:hint="eastAsia" w:ascii="宋体" w:hAnsi="宋体"/>
          <w:color w:val="000000"/>
          <w:szCs w:val="21"/>
          <w:highlight w:val="none"/>
        </w:rPr>
        <w:t>定期核对乙方提供货物数量、规格、质量等内容。甲方</w:t>
      </w:r>
      <w:r>
        <w:rPr>
          <w:rFonts w:ascii="宋体" w:hAnsi="宋体"/>
          <w:color w:val="000000"/>
          <w:szCs w:val="21"/>
          <w:highlight w:val="none"/>
        </w:rPr>
        <w:t>有权督促乙方工作并要求乙方</w:t>
      </w:r>
      <w:r>
        <w:rPr>
          <w:rFonts w:hint="eastAsia" w:ascii="宋体" w:hAnsi="宋体"/>
          <w:color w:val="000000"/>
          <w:szCs w:val="21"/>
          <w:highlight w:val="none"/>
        </w:rPr>
        <w:t>更</w:t>
      </w:r>
      <w:r>
        <w:rPr>
          <w:rFonts w:ascii="宋体" w:hAnsi="宋体"/>
          <w:color w:val="000000"/>
          <w:szCs w:val="21"/>
          <w:highlight w:val="none"/>
        </w:rPr>
        <w:t>换不符合要求的</w:t>
      </w:r>
      <w:r>
        <w:rPr>
          <w:rFonts w:hint="eastAsia" w:ascii="宋体" w:hAnsi="宋体"/>
          <w:color w:val="000000"/>
          <w:szCs w:val="21"/>
          <w:highlight w:val="none"/>
        </w:rPr>
        <w:t>货物</w:t>
      </w:r>
      <w:r>
        <w:rPr>
          <w:rFonts w:ascii="宋体" w:hAnsi="宋体"/>
          <w:color w:val="000000"/>
          <w:szCs w:val="21"/>
          <w:highlight w:val="none"/>
        </w:rPr>
        <w:t>。</w:t>
      </w:r>
    </w:p>
    <w:p w14:paraId="64864F28">
      <w:pPr>
        <w:autoSpaceDE w:val="0"/>
        <w:autoSpaceDN w:val="0"/>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4.</w:t>
      </w:r>
      <w:r>
        <w:rPr>
          <w:rFonts w:ascii="宋体" w:hAnsi="宋体"/>
          <w:color w:val="000000"/>
          <w:szCs w:val="21"/>
          <w:highlight w:val="none"/>
        </w:rPr>
        <w:t>3</w:t>
      </w:r>
      <w:r>
        <w:rPr>
          <w:rFonts w:hint="eastAsia" w:ascii="宋体" w:hAnsi="宋体"/>
          <w:color w:val="000000"/>
          <w:szCs w:val="21"/>
          <w:highlight w:val="none"/>
        </w:rPr>
        <w:t xml:space="preserve"> </w:t>
      </w:r>
      <w:r>
        <w:rPr>
          <w:rFonts w:ascii="宋体" w:hAnsi="宋体"/>
          <w:color w:val="000000"/>
          <w:szCs w:val="21"/>
          <w:highlight w:val="none"/>
        </w:rPr>
        <w:t>甲方</w:t>
      </w:r>
      <w:r>
        <w:rPr>
          <w:rFonts w:hint="eastAsia" w:ascii="宋体" w:hAnsi="宋体"/>
          <w:color w:val="000000"/>
          <w:szCs w:val="21"/>
          <w:highlight w:val="none"/>
        </w:rPr>
        <w:t>有权要求乙方对缺陷部分予以修复，并按合同约定享有货物保修及其他合同约定的权利。</w:t>
      </w:r>
    </w:p>
    <w:p w14:paraId="6941F40C">
      <w:pPr>
        <w:snapToGrid w:val="0"/>
        <w:spacing w:line="400" w:lineRule="exact"/>
        <w:rPr>
          <w:rFonts w:eastAsia="华文楷体"/>
          <w:szCs w:val="24"/>
          <w:highlight w:val="none"/>
        </w:rPr>
      </w:pPr>
      <w:r>
        <w:rPr>
          <w:rFonts w:ascii="宋体" w:hAnsi="宋体"/>
          <w:color w:val="000000"/>
          <w:szCs w:val="21"/>
          <w:highlight w:val="none"/>
        </w:rPr>
        <w:t>4.4 甲方应当按照合同约定及时对交付的货物进行验收</w:t>
      </w:r>
      <w:r>
        <w:rPr>
          <w:rFonts w:hint="eastAsia" w:ascii="宋体" w:hAnsi="宋体"/>
          <w:color w:val="000000"/>
          <w:szCs w:val="21"/>
          <w:highlight w:val="none"/>
        </w:rPr>
        <w:t>，</w:t>
      </w:r>
      <w:r>
        <w:rPr>
          <w:rFonts w:hint="eastAsia" w:ascii="宋体" w:hAnsi="宋体" w:cs="宋体"/>
          <w:szCs w:val="21"/>
          <w:highlight w:val="none"/>
        </w:rPr>
        <w:t>未</w:t>
      </w:r>
      <w:r>
        <w:rPr>
          <w:rFonts w:hint="eastAsia" w:ascii="宋体" w:hAnsi="宋体"/>
          <w:color w:val="000000"/>
          <w:szCs w:val="21"/>
          <w:highlight w:val="none"/>
        </w:rPr>
        <w:t>在</w:t>
      </w:r>
      <w:r>
        <w:rPr>
          <w:rFonts w:hint="eastAsia" w:ascii="宋体" w:hAnsi="宋体" w:cs="宋体"/>
          <w:b/>
          <w:bCs/>
          <w:szCs w:val="21"/>
          <w:highlight w:val="none"/>
        </w:rPr>
        <w:t>【政府采购合同专用条款】</w:t>
      </w:r>
      <w:r>
        <w:rPr>
          <w:rFonts w:hint="eastAsia" w:ascii="宋体" w:hAnsi="宋体" w:cs="宋体"/>
          <w:szCs w:val="21"/>
          <w:highlight w:val="none"/>
        </w:rPr>
        <w:t>约定的期限内对乙方履约提出任何异议或者向乙方作出任何说明的，</w:t>
      </w:r>
      <w:r>
        <w:rPr>
          <w:rFonts w:hint="eastAsia" w:ascii="宋体" w:hAnsi="宋体"/>
          <w:color w:val="000000"/>
          <w:szCs w:val="21"/>
          <w:highlight w:val="none"/>
        </w:rPr>
        <w:t>视为验收通过。</w:t>
      </w:r>
    </w:p>
    <w:p w14:paraId="5BE12719">
      <w:pPr>
        <w:autoSpaceDE w:val="0"/>
        <w:autoSpaceDN w:val="0"/>
        <w:adjustRightInd w:val="0"/>
        <w:snapToGrid w:val="0"/>
        <w:spacing w:line="400" w:lineRule="exact"/>
        <w:jc w:val="left"/>
        <w:rPr>
          <w:rFonts w:ascii="宋体" w:hAnsi="宋体"/>
          <w:color w:val="000000"/>
          <w:szCs w:val="21"/>
          <w:highlight w:val="none"/>
        </w:rPr>
      </w:pPr>
      <w:r>
        <w:rPr>
          <w:rFonts w:ascii="宋体" w:hAnsi="宋体"/>
          <w:color w:val="000000"/>
          <w:szCs w:val="21"/>
          <w:highlight w:val="none"/>
        </w:rPr>
        <w:t>4</w:t>
      </w:r>
      <w:r>
        <w:rPr>
          <w:rFonts w:hint="eastAsia" w:ascii="宋体" w:hAnsi="宋体"/>
          <w:color w:val="000000"/>
          <w:szCs w:val="21"/>
          <w:highlight w:val="none"/>
        </w:rPr>
        <w:t>.</w:t>
      </w:r>
      <w:r>
        <w:rPr>
          <w:rFonts w:ascii="宋体" w:hAnsi="宋体"/>
          <w:color w:val="000000"/>
          <w:szCs w:val="21"/>
          <w:highlight w:val="none"/>
        </w:rPr>
        <w:t xml:space="preserve">5 </w:t>
      </w:r>
      <w:r>
        <w:rPr>
          <w:rFonts w:hint="eastAsia" w:ascii="宋体" w:hAnsi="宋体"/>
          <w:color w:val="000000"/>
          <w:szCs w:val="21"/>
          <w:highlight w:val="none"/>
        </w:rPr>
        <w:t>甲方应当根据合同约定及时向乙方支付合同价款</w:t>
      </w:r>
      <w:r>
        <w:rPr>
          <w:rFonts w:ascii="宋体" w:hAnsi="宋体"/>
          <w:color w:val="000000"/>
          <w:szCs w:val="21"/>
          <w:highlight w:val="none"/>
        </w:rPr>
        <w:t>，不得以内部人员变更、履行内部付款流程等为由，拒绝或迟延支付。</w:t>
      </w:r>
    </w:p>
    <w:p w14:paraId="638FFB25">
      <w:pPr>
        <w:autoSpaceDE w:val="0"/>
        <w:autoSpaceDN w:val="0"/>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4.6</w:t>
      </w:r>
      <w:r>
        <w:rPr>
          <w:rFonts w:ascii="宋体" w:hAnsi="宋体"/>
          <w:color w:val="000000"/>
          <w:szCs w:val="21"/>
          <w:highlight w:val="none"/>
        </w:rPr>
        <w:t xml:space="preserve"> </w:t>
      </w:r>
      <w:r>
        <w:rPr>
          <w:rFonts w:hint="eastAsia" w:ascii="宋体" w:hAnsi="宋体"/>
          <w:color w:val="000000"/>
          <w:szCs w:val="21"/>
          <w:highlight w:val="none"/>
        </w:rPr>
        <w:t>国家法律法规规定及</w:t>
      </w:r>
      <w:r>
        <w:rPr>
          <w:rFonts w:hint="eastAsia" w:ascii="宋体" w:hAnsi="宋体" w:cs="宋体"/>
          <w:b/>
          <w:bCs/>
          <w:szCs w:val="21"/>
          <w:highlight w:val="none"/>
        </w:rPr>
        <w:t>【政府采购合同专用条款】</w:t>
      </w:r>
      <w:r>
        <w:rPr>
          <w:rFonts w:hint="eastAsia" w:ascii="宋体" w:hAnsi="宋体"/>
          <w:color w:val="000000"/>
          <w:szCs w:val="21"/>
          <w:highlight w:val="none"/>
        </w:rPr>
        <w:t>约定应由甲方承担的其他义务和责任。</w:t>
      </w:r>
    </w:p>
    <w:p w14:paraId="623EF2E7">
      <w:pPr>
        <w:autoSpaceDE w:val="0"/>
        <w:autoSpaceDN w:val="0"/>
        <w:adjustRightInd w:val="0"/>
        <w:snapToGrid w:val="0"/>
        <w:spacing w:line="400" w:lineRule="exact"/>
        <w:jc w:val="left"/>
        <w:rPr>
          <w:rFonts w:ascii="宋体" w:hAnsi="宋体"/>
          <w:b/>
          <w:bCs/>
          <w:color w:val="000000"/>
          <w:sz w:val="24"/>
          <w:szCs w:val="24"/>
          <w:highlight w:val="none"/>
        </w:rPr>
      </w:pPr>
      <w:r>
        <w:rPr>
          <w:rFonts w:hint="eastAsia" w:ascii="宋体" w:hAnsi="宋体"/>
          <w:b/>
          <w:bCs/>
          <w:color w:val="000000"/>
          <w:sz w:val="24"/>
          <w:szCs w:val="24"/>
          <w:highlight w:val="none"/>
        </w:rPr>
        <w:t xml:space="preserve"> 乙方的权利和义务</w:t>
      </w:r>
    </w:p>
    <w:p w14:paraId="2D117C85">
      <w:pPr>
        <w:autoSpaceDE w:val="0"/>
        <w:autoSpaceDN w:val="0"/>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 xml:space="preserve">1 </w:t>
      </w:r>
      <w:r>
        <w:rPr>
          <w:rFonts w:ascii="宋体" w:hAnsi="宋体"/>
          <w:color w:val="000000"/>
          <w:szCs w:val="21"/>
          <w:highlight w:val="none"/>
        </w:rPr>
        <w:t>签署合同后，乙方</w:t>
      </w:r>
      <w:r>
        <w:rPr>
          <w:rFonts w:hint="eastAsia" w:ascii="宋体" w:hAnsi="宋体"/>
          <w:color w:val="000000"/>
          <w:szCs w:val="21"/>
          <w:highlight w:val="none"/>
        </w:rPr>
        <w:t>应</w:t>
      </w:r>
      <w:r>
        <w:rPr>
          <w:rFonts w:ascii="宋体" w:hAnsi="宋体"/>
          <w:color w:val="000000"/>
          <w:szCs w:val="21"/>
          <w:highlight w:val="none"/>
        </w:rPr>
        <w:t>确定</w:t>
      </w:r>
      <w:r>
        <w:rPr>
          <w:rFonts w:hint="eastAsia" w:ascii="宋体" w:hAnsi="宋体"/>
          <w:color w:val="000000"/>
          <w:szCs w:val="21"/>
          <w:highlight w:val="none"/>
        </w:rPr>
        <w:t>项目负责人（或项目联系人）</w:t>
      </w:r>
      <w:r>
        <w:rPr>
          <w:rFonts w:ascii="宋体" w:hAnsi="宋体"/>
          <w:color w:val="000000"/>
          <w:szCs w:val="21"/>
          <w:highlight w:val="none"/>
        </w:rPr>
        <w:t>，负责与本合同有关的事务。</w:t>
      </w:r>
    </w:p>
    <w:p w14:paraId="60E9B146">
      <w:pPr>
        <w:autoSpaceDE w:val="0"/>
        <w:autoSpaceDN w:val="0"/>
        <w:adjustRightInd w:val="0"/>
        <w:snapToGrid w:val="0"/>
        <w:spacing w:line="400" w:lineRule="exact"/>
        <w:jc w:val="left"/>
        <w:rPr>
          <w:rFonts w:ascii="宋体" w:hAnsi="宋体"/>
          <w:color w:val="000000"/>
          <w:szCs w:val="21"/>
          <w:highlight w:val="none"/>
        </w:rPr>
      </w:pPr>
      <w:r>
        <w:rPr>
          <w:rFonts w:ascii="宋体" w:hAnsi="宋体"/>
          <w:color w:val="000000"/>
          <w:szCs w:val="21"/>
          <w:highlight w:val="none"/>
        </w:rPr>
        <w:t>2 乙方应按照合同要求</w:t>
      </w:r>
      <w:r>
        <w:rPr>
          <w:rFonts w:hint="eastAsia" w:ascii="宋体" w:hAnsi="宋体"/>
          <w:color w:val="000000"/>
          <w:szCs w:val="21"/>
          <w:highlight w:val="none"/>
        </w:rPr>
        <w:t>履约</w:t>
      </w:r>
      <w:r>
        <w:rPr>
          <w:rFonts w:ascii="宋体" w:hAnsi="宋体"/>
          <w:color w:val="000000"/>
          <w:szCs w:val="21"/>
          <w:highlight w:val="none"/>
        </w:rPr>
        <w:t>，充分合理安排，确保</w:t>
      </w:r>
      <w:r>
        <w:rPr>
          <w:rFonts w:hint="eastAsia" w:ascii="宋体" w:hAnsi="宋体"/>
          <w:color w:val="000000"/>
          <w:szCs w:val="21"/>
          <w:highlight w:val="none"/>
        </w:rPr>
        <w:t>提供的货物及相关服务符合合同有关</w:t>
      </w:r>
      <w:r>
        <w:rPr>
          <w:rFonts w:ascii="宋体" w:hAnsi="宋体"/>
          <w:color w:val="000000"/>
          <w:szCs w:val="21"/>
          <w:highlight w:val="none"/>
        </w:rPr>
        <w:t>要求</w:t>
      </w:r>
      <w:r>
        <w:rPr>
          <w:rFonts w:hint="eastAsia" w:ascii="宋体" w:hAnsi="宋体"/>
          <w:color w:val="000000"/>
          <w:szCs w:val="21"/>
          <w:highlight w:val="none"/>
        </w:rPr>
        <w:t>。接受项目行业管理部门及政府有关部门的指导，配合甲方的履约检查及验收，并</w:t>
      </w:r>
      <w:r>
        <w:rPr>
          <w:rFonts w:ascii="宋体" w:hAnsi="宋体"/>
          <w:color w:val="000000"/>
          <w:szCs w:val="21"/>
          <w:highlight w:val="none"/>
        </w:rPr>
        <w:t>负责项目实施过程中的所有协调工作。</w:t>
      </w:r>
    </w:p>
    <w:p w14:paraId="394F6C68">
      <w:pPr>
        <w:spacing w:line="400" w:lineRule="exact"/>
        <w:rPr>
          <w:rFonts w:ascii="宋体" w:hAnsi="宋体" w:cs="宋体"/>
          <w:color w:val="000000"/>
          <w:szCs w:val="21"/>
          <w:highlight w:val="none"/>
        </w:rPr>
      </w:pPr>
      <w:r>
        <w:rPr>
          <w:rFonts w:ascii="宋体" w:hAnsi="宋体"/>
          <w:color w:val="000000"/>
          <w:szCs w:val="21"/>
          <w:highlight w:val="none"/>
        </w:rPr>
        <w:t>3</w:t>
      </w:r>
      <w:r>
        <w:rPr>
          <w:rFonts w:hint="eastAsia" w:ascii="宋体" w:hAnsi="宋体"/>
          <w:color w:val="000000"/>
          <w:szCs w:val="21"/>
          <w:highlight w:val="none"/>
        </w:rPr>
        <w:t>乙方有权</w:t>
      </w:r>
      <w:r>
        <w:rPr>
          <w:rFonts w:hint="eastAsia" w:ascii="宋体" w:hAnsi="宋体" w:cs="宋体"/>
          <w:color w:val="000000"/>
          <w:szCs w:val="21"/>
          <w:highlight w:val="none"/>
        </w:rPr>
        <w:t>根据合同约定向甲方收取合同价款。</w:t>
      </w:r>
    </w:p>
    <w:p w14:paraId="2403994E">
      <w:pPr>
        <w:spacing w:line="400" w:lineRule="exact"/>
        <w:rPr>
          <w:rFonts w:ascii="宋体" w:hAnsi="宋体" w:cs="宋体"/>
          <w:color w:val="000000"/>
          <w:szCs w:val="21"/>
          <w:highlight w:val="none"/>
        </w:rPr>
      </w:pPr>
      <w:r>
        <w:rPr>
          <w:rFonts w:ascii="宋体" w:hAnsi="宋体"/>
          <w:color w:val="000000"/>
          <w:szCs w:val="21"/>
          <w:highlight w:val="none"/>
        </w:rPr>
        <w:t>4</w:t>
      </w:r>
      <w:r>
        <w:rPr>
          <w:rFonts w:hint="eastAsia" w:ascii="宋体" w:hAnsi="宋体" w:cs="宋体"/>
          <w:color w:val="000000"/>
          <w:szCs w:val="21"/>
          <w:highlight w:val="none"/>
        </w:rPr>
        <w:t>国家法律法规规定</w:t>
      </w:r>
      <w:r>
        <w:rPr>
          <w:rFonts w:hint="eastAsia" w:ascii="宋体" w:hAnsi="宋体"/>
          <w:color w:val="000000"/>
          <w:szCs w:val="21"/>
          <w:highlight w:val="none"/>
        </w:rPr>
        <w:t>及</w:t>
      </w:r>
      <w:r>
        <w:rPr>
          <w:rFonts w:hint="eastAsia" w:ascii="宋体" w:hAnsi="宋体" w:cs="宋体"/>
          <w:b/>
          <w:bCs/>
          <w:szCs w:val="21"/>
          <w:highlight w:val="none"/>
        </w:rPr>
        <w:t>【政府采购合同专用条款】</w:t>
      </w:r>
      <w:r>
        <w:rPr>
          <w:rFonts w:hint="eastAsia" w:ascii="宋体" w:hAnsi="宋体" w:cs="宋体"/>
          <w:szCs w:val="21"/>
          <w:highlight w:val="none"/>
        </w:rPr>
        <w:t>约定应</w:t>
      </w:r>
      <w:r>
        <w:rPr>
          <w:rFonts w:hint="eastAsia" w:ascii="宋体" w:hAnsi="宋体" w:cs="宋体"/>
          <w:color w:val="000000"/>
          <w:szCs w:val="21"/>
          <w:highlight w:val="none"/>
        </w:rPr>
        <w:t>由乙方承担的其他义务和责任。</w:t>
      </w:r>
    </w:p>
    <w:p w14:paraId="445E0C88">
      <w:pPr>
        <w:numPr>
          <w:ilvl w:val="0"/>
          <w:numId w:val="68"/>
        </w:numPr>
        <w:autoSpaceDE w:val="0"/>
        <w:autoSpaceDN w:val="0"/>
        <w:adjustRightInd w:val="0"/>
        <w:snapToGrid w:val="0"/>
        <w:spacing w:line="400" w:lineRule="exact"/>
        <w:jc w:val="left"/>
        <w:rPr>
          <w:rFonts w:ascii="宋体" w:hAnsi="宋体"/>
          <w:b/>
          <w:bCs/>
          <w:color w:val="000000"/>
          <w:sz w:val="24"/>
          <w:szCs w:val="24"/>
          <w:highlight w:val="none"/>
        </w:rPr>
      </w:pPr>
      <w:r>
        <w:rPr>
          <w:rFonts w:hint="eastAsia" w:ascii="宋体" w:hAnsi="宋体"/>
          <w:b/>
          <w:bCs/>
          <w:color w:val="000000"/>
          <w:sz w:val="24"/>
          <w:szCs w:val="24"/>
          <w:highlight w:val="none"/>
        </w:rPr>
        <w:t>合同履行</w:t>
      </w:r>
    </w:p>
    <w:p w14:paraId="48C803DC">
      <w:pPr>
        <w:autoSpaceDE w:val="0"/>
        <w:autoSpaceDN w:val="0"/>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6.1 甲乙双方应当按照</w:t>
      </w:r>
      <w:r>
        <w:rPr>
          <w:rFonts w:hint="eastAsia" w:ascii="宋体" w:hAnsi="宋体" w:cs="宋体"/>
          <w:b/>
          <w:bCs/>
          <w:szCs w:val="21"/>
          <w:highlight w:val="none"/>
        </w:rPr>
        <w:t>【政府采购合同专用条款】</w:t>
      </w:r>
      <w:r>
        <w:rPr>
          <w:rFonts w:hint="eastAsia" w:ascii="宋体" w:hAnsi="宋体"/>
          <w:color w:val="000000"/>
          <w:szCs w:val="21"/>
          <w:highlight w:val="none"/>
        </w:rPr>
        <w:t>约定顺序履行合同义务；如果没有先后顺序的，应当同时履行。</w:t>
      </w:r>
    </w:p>
    <w:p w14:paraId="7854BCBD">
      <w:pPr>
        <w:autoSpaceDE w:val="0"/>
        <w:autoSpaceDN w:val="0"/>
        <w:adjustRightInd w:val="0"/>
        <w:snapToGrid w:val="0"/>
        <w:spacing w:line="400" w:lineRule="exact"/>
        <w:jc w:val="left"/>
        <w:rPr>
          <w:szCs w:val="24"/>
          <w:highlight w:val="none"/>
        </w:rPr>
      </w:pPr>
      <w:r>
        <w:rPr>
          <w:rFonts w:hint="eastAsia" w:ascii="宋体" w:hAnsi="宋体"/>
          <w:color w:val="000000"/>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58B30117">
      <w:pPr>
        <w:adjustRightInd w:val="0"/>
        <w:snapToGrid w:val="0"/>
        <w:spacing w:line="400" w:lineRule="exact"/>
        <w:jc w:val="left"/>
        <w:rPr>
          <w:rFonts w:ascii="宋体" w:hAnsi="宋体"/>
          <w:b/>
          <w:bCs/>
          <w:color w:val="000000"/>
          <w:sz w:val="24"/>
          <w:szCs w:val="24"/>
          <w:highlight w:val="none"/>
        </w:rPr>
      </w:pPr>
      <w:r>
        <w:rPr>
          <w:rFonts w:hint="eastAsia" w:ascii="宋体" w:hAnsi="宋体"/>
          <w:b/>
          <w:bCs/>
          <w:color w:val="000000"/>
          <w:sz w:val="24"/>
          <w:szCs w:val="24"/>
          <w:highlight w:val="none"/>
        </w:rPr>
        <w:t>7. 货物包装、运输、保险和交付要求</w:t>
      </w:r>
    </w:p>
    <w:p w14:paraId="697B4BE8">
      <w:pPr>
        <w:autoSpaceDE w:val="0"/>
        <w:autoSpaceDN w:val="0"/>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7.1 本合同</w:t>
      </w:r>
      <w:r>
        <w:rPr>
          <w:rFonts w:hint="eastAsia" w:ascii="宋体" w:hAnsi="宋体"/>
          <w:bCs/>
          <w:color w:val="000000"/>
          <w:szCs w:val="21"/>
          <w:highlight w:val="none"/>
        </w:rPr>
        <w:t>涉及商品包装、快递包装的，</w:t>
      </w:r>
      <w:r>
        <w:rPr>
          <w:rFonts w:hint="eastAsia" w:ascii="宋体" w:hAnsi="宋体"/>
          <w:color w:val="000000"/>
          <w:szCs w:val="21"/>
          <w:highlight w:val="none"/>
        </w:rPr>
        <w:t>除</w:t>
      </w:r>
      <w:r>
        <w:rPr>
          <w:rFonts w:hint="eastAsia" w:ascii="宋体" w:hAnsi="宋体"/>
          <w:b/>
          <w:color w:val="000000"/>
          <w:szCs w:val="21"/>
          <w:highlight w:val="none"/>
        </w:rPr>
        <w:t>【政府采购合同专用条款】</w:t>
      </w:r>
      <w:r>
        <w:rPr>
          <w:rFonts w:hint="eastAsia" w:ascii="宋体" w:hAnsi="宋体"/>
          <w:bCs/>
          <w:color w:val="000000"/>
          <w:szCs w:val="21"/>
          <w:highlight w:val="none"/>
        </w:rPr>
        <w:t>另有约定外，</w:t>
      </w:r>
      <w:r>
        <w:rPr>
          <w:rFonts w:hint="eastAsia" w:ascii="宋体" w:hAnsi="宋体"/>
          <w:color w:val="000000"/>
          <w:szCs w:val="21"/>
          <w:highlight w:val="none"/>
        </w:rPr>
        <w:t>包装应适应远距离运输、防潮、防震、防锈和防野蛮装卸等要求，确保货物安全无损地运抵</w:t>
      </w:r>
      <w:r>
        <w:rPr>
          <w:rFonts w:hint="eastAsia" w:ascii="宋体" w:hAnsi="宋体"/>
          <w:b/>
          <w:color w:val="000000"/>
          <w:szCs w:val="21"/>
          <w:highlight w:val="none"/>
        </w:rPr>
        <w:t>【政府采购合同专用条款】</w:t>
      </w:r>
      <w:r>
        <w:rPr>
          <w:rFonts w:hint="eastAsia" w:ascii="宋体" w:hAnsi="宋体"/>
          <w:bCs/>
          <w:color w:val="000000"/>
          <w:szCs w:val="21"/>
          <w:highlight w:val="none"/>
        </w:rPr>
        <w:t>约定的</w:t>
      </w:r>
      <w:r>
        <w:rPr>
          <w:rFonts w:hint="eastAsia" w:ascii="宋体" w:hAnsi="宋体"/>
          <w:color w:val="000000"/>
          <w:szCs w:val="21"/>
          <w:highlight w:val="none"/>
        </w:rPr>
        <w:t>指定现场。</w:t>
      </w:r>
    </w:p>
    <w:p w14:paraId="65FF84FE">
      <w:pPr>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7.2 除</w:t>
      </w:r>
      <w:r>
        <w:rPr>
          <w:rFonts w:hint="eastAsia" w:ascii="宋体" w:hAnsi="宋体"/>
          <w:b/>
          <w:color w:val="000000"/>
          <w:szCs w:val="21"/>
          <w:highlight w:val="none"/>
        </w:rPr>
        <w:t>【政府采购合同专用条款】</w:t>
      </w:r>
      <w:r>
        <w:rPr>
          <w:rFonts w:hint="eastAsia" w:ascii="宋体" w:hAnsi="宋体"/>
          <w:bCs/>
          <w:color w:val="000000"/>
          <w:szCs w:val="21"/>
          <w:highlight w:val="none"/>
        </w:rPr>
        <w:t>另有约定外，</w:t>
      </w:r>
      <w:r>
        <w:rPr>
          <w:rFonts w:hint="eastAsia" w:ascii="宋体" w:hAnsi="宋体"/>
          <w:color w:val="000000"/>
          <w:szCs w:val="21"/>
          <w:highlight w:val="none"/>
        </w:rPr>
        <w:t>乙方负责办理将货物运抵本合同规定的交货地点，并装卸、交付至甲方的一切运输事项，相关费用应包含在合同价款中。</w:t>
      </w:r>
    </w:p>
    <w:p w14:paraId="20C0FEB4">
      <w:pPr>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7.3 货物保险要求按</w:t>
      </w:r>
      <w:r>
        <w:rPr>
          <w:rFonts w:hint="eastAsia" w:ascii="宋体" w:hAnsi="宋体"/>
          <w:b/>
          <w:color w:val="000000"/>
          <w:szCs w:val="21"/>
          <w:highlight w:val="none"/>
        </w:rPr>
        <w:t>【政府采购合同专用条款】</w:t>
      </w:r>
      <w:r>
        <w:rPr>
          <w:rFonts w:hint="eastAsia" w:ascii="宋体" w:hAnsi="宋体"/>
          <w:bCs/>
          <w:color w:val="000000"/>
          <w:szCs w:val="21"/>
          <w:highlight w:val="none"/>
        </w:rPr>
        <w:t>规定执行</w:t>
      </w:r>
      <w:r>
        <w:rPr>
          <w:rFonts w:hint="eastAsia" w:ascii="宋体" w:hAnsi="宋体"/>
          <w:color w:val="000000"/>
          <w:szCs w:val="21"/>
          <w:highlight w:val="none"/>
        </w:rPr>
        <w:t>。</w:t>
      </w:r>
    </w:p>
    <w:p w14:paraId="1D82B1DD">
      <w:pPr>
        <w:autoSpaceDE w:val="0"/>
        <w:autoSpaceDN w:val="0"/>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2D9FA97">
      <w:pPr>
        <w:autoSpaceDE w:val="0"/>
        <w:autoSpaceDN w:val="0"/>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 xml:space="preserve">7.5 </w:t>
      </w:r>
      <w:r>
        <w:rPr>
          <w:rFonts w:hint="eastAsia" w:ascii="宋体" w:hAnsi="宋体" w:cs="宋体"/>
          <w:color w:val="000000"/>
          <w:szCs w:val="21"/>
          <w:highlight w:val="none"/>
        </w:rPr>
        <w:t>乙方在运输到达之前应提前通知甲方，并提示货物运输装卸的注意事项，甲方配合乙方做好货物的接收工作。</w:t>
      </w:r>
    </w:p>
    <w:p w14:paraId="1C17DFEF">
      <w:pPr>
        <w:widowControl/>
        <w:autoSpaceDE w:val="0"/>
        <w:autoSpaceDN w:val="0"/>
        <w:adjustRightInd w:val="0"/>
        <w:spacing w:line="400" w:lineRule="exact"/>
        <w:jc w:val="left"/>
        <w:rPr>
          <w:rFonts w:ascii="华文楷体" w:hAnsi="华文楷体" w:eastAsia="华文楷体" w:cs="华文楷体"/>
          <w:kern w:val="0"/>
          <w:szCs w:val="21"/>
          <w:highlight w:val="none"/>
        </w:rPr>
      </w:pPr>
      <w:r>
        <w:rPr>
          <w:rFonts w:hint="eastAsia" w:ascii="宋体" w:hAnsi="宋体"/>
          <w:color w:val="000000"/>
          <w:szCs w:val="21"/>
          <w:highlight w:val="none"/>
        </w:rPr>
        <w:t>7.6 如因包装、运输问题导致货物损毁、丢失或者品质下降，甲方有权要求降价、换货、拒收部分或整批货物，由此产生的费用和损失，均由乙方承担。</w:t>
      </w:r>
    </w:p>
    <w:p w14:paraId="547CF4D6">
      <w:pPr>
        <w:adjustRightInd w:val="0"/>
        <w:snapToGrid w:val="0"/>
        <w:spacing w:line="400" w:lineRule="exact"/>
        <w:jc w:val="left"/>
        <w:rPr>
          <w:rFonts w:ascii="宋体" w:hAnsi="宋体"/>
          <w:b/>
          <w:sz w:val="24"/>
          <w:szCs w:val="24"/>
          <w:highlight w:val="none"/>
        </w:rPr>
      </w:pPr>
      <w:r>
        <w:rPr>
          <w:rFonts w:hint="eastAsia" w:ascii="宋体" w:hAnsi="宋体"/>
          <w:b/>
          <w:color w:val="000000"/>
          <w:sz w:val="24"/>
          <w:szCs w:val="24"/>
          <w:highlight w:val="none"/>
        </w:rPr>
        <w:t xml:space="preserve">8. </w:t>
      </w:r>
      <w:r>
        <w:rPr>
          <w:rFonts w:hint="eastAsia" w:ascii="宋体" w:hAnsi="宋体"/>
          <w:b/>
          <w:sz w:val="24"/>
          <w:szCs w:val="24"/>
          <w:highlight w:val="none"/>
        </w:rPr>
        <w:t>质量标准和保证</w:t>
      </w:r>
    </w:p>
    <w:p w14:paraId="515F6757">
      <w:pPr>
        <w:adjustRightInd w:val="0"/>
        <w:snapToGrid w:val="0"/>
        <w:spacing w:line="400" w:lineRule="exact"/>
        <w:jc w:val="left"/>
        <w:rPr>
          <w:rFonts w:ascii="宋体" w:hAnsi="宋体" w:cs="Courier New"/>
          <w:b/>
          <w:szCs w:val="21"/>
          <w:highlight w:val="none"/>
        </w:rPr>
      </w:pPr>
      <w:r>
        <w:rPr>
          <w:rFonts w:hint="eastAsia" w:ascii="宋体" w:hAnsi="宋体" w:cs="Courier New"/>
          <w:szCs w:val="21"/>
          <w:highlight w:val="none"/>
        </w:rPr>
        <w:t>8.1 质量标准</w:t>
      </w:r>
    </w:p>
    <w:p w14:paraId="160CF033">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（1）本合同下提供的货物应符合合同</w:t>
      </w:r>
      <w:r>
        <w:rPr>
          <w:rFonts w:hint="eastAsia" w:ascii="宋体" w:hAnsi="宋体" w:cs="宋体"/>
          <w:color w:val="000000"/>
          <w:szCs w:val="21"/>
          <w:highlight w:val="none"/>
        </w:rPr>
        <w:t>约定的</w:t>
      </w:r>
      <w:r>
        <w:rPr>
          <w:rFonts w:hint="eastAsia" w:ascii="宋体" w:hAnsi="宋体" w:cs="宋体"/>
          <w:szCs w:val="21"/>
          <w:highlight w:val="none"/>
        </w:rPr>
        <w:t>品牌、规格型号、技术性能、配置、质量、数量等要求。</w:t>
      </w:r>
      <w:r>
        <w:rPr>
          <w:rFonts w:hint="eastAsia" w:ascii="宋体" w:hAnsi="宋体"/>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BAB558B">
      <w:pPr>
        <w:adjustRightInd w:val="0"/>
        <w:snapToGrid w:val="0"/>
        <w:spacing w:line="400" w:lineRule="exact"/>
        <w:jc w:val="left"/>
        <w:rPr>
          <w:rFonts w:ascii="宋体" w:hAnsi="宋体" w:cs="Courier New"/>
          <w:szCs w:val="21"/>
          <w:highlight w:val="none"/>
        </w:rPr>
      </w:pPr>
      <w:r>
        <w:rPr>
          <w:rFonts w:hint="eastAsia" w:ascii="宋体" w:hAnsi="宋体" w:cs="Courier New"/>
          <w:szCs w:val="21"/>
          <w:highlight w:val="none"/>
        </w:rPr>
        <w:t>（2）采用中华人民共和国法定计量单位。</w:t>
      </w:r>
    </w:p>
    <w:p w14:paraId="4DFF8555">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（3）乙方所提供的货物应符合国家有关安全、环保、卫生的规定。</w:t>
      </w:r>
    </w:p>
    <w:p w14:paraId="643CCA23">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（4）乙方应向甲方提交所提供货物的技术文件，包括相应的中文技术文件，如：产品目录、图纸、操作手册、使用说明、维护手册或服务指南等。上述文件应包装好随货物一同发运。</w:t>
      </w:r>
    </w:p>
    <w:p w14:paraId="5204BD7B">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8.2 保证</w:t>
      </w:r>
    </w:p>
    <w:p w14:paraId="2207A029">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（1）乙方应保证提供的货物完全符合合同规定的质量、规格和性能要求。乙方应保证货物在正确安装、正常使用和保养条件下，</w:t>
      </w:r>
      <w:r>
        <w:rPr>
          <w:rFonts w:hint="eastAsia" w:ascii="宋体" w:hAnsi="宋体" w:cs="宋体"/>
          <w:szCs w:val="21"/>
          <w:highlight w:val="none"/>
        </w:rPr>
        <w:t>在其使用寿命期内具备合同约定的性能</w:t>
      </w:r>
      <w:r>
        <w:rPr>
          <w:rFonts w:hint="eastAsia" w:ascii="宋体" w:hAnsi="宋体"/>
          <w:szCs w:val="21"/>
          <w:highlight w:val="none"/>
        </w:rPr>
        <w:t>。存在质量保证期的，货物最终交付验收合格后在</w:t>
      </w:r>
      <w:r>
        <w:rPr>
          <w:rFonts w:hint="eastAsia" w:ascii="宋体" w:hAnsi="宋体"/>
          <w:b/>
          <w:szCs w:val="21"/>
          <w:highlight w:val="none"/>
        </w:rPr>
        <w:t>【政府采购合同专用条款】</w:t>
      </w:r>
      <w:r>
        <w:rPr>
          <w:rFonts w:hint="eastAsia" w:ascii="宋体" w:hAnsi="宋体"/>
          <w:szCs w:val="21"/>
          <w:highlight w:val="none"/>
        </w:rPr>
        <w:t>规定或乙方书面承诺（两者以较长的为准）的质量保证期内，本保证保持有效。</w:t>
      </w:r>
    </w:p>
    <w:p w14:paraId="709D5037">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（2）在质量保证期内所发现的缺陷，甲方应尽快以书面形式通知乙方。</w:t>
      </w:r>
    </w:p>
    <w:p w14:paraId="572D6D0A">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（3）乙方收到通知后，应在</w:t>
      </w:r>
      <w:r>
        <w:rPr>
          <w:rFonts w:hint="eastAsia" w:ascii="宋体" w:hAnsi="宋体"/>
          <w:b/>
          <w:szCs w:val="21"/>
          <w:highlight w:val="none"/>
        </w:rPr>
        <w:t>【政府采购合同专用条款】</w:t>
      </w:r>
      <w:r>
        <w:rPr>
          <w:rFonts w:hint="eastAsia" w:ascii="宋体" w:hAnsi="宋体"/>
          <w:szCs w:val="21"/>
          <w:highlight w:val="none"/>
        </w:rPr>
        <w:t>规定的响应时间内以合理的速度免费维修或更换有缺陷的货物或部件。</w:t>
      </w:r>
    </w:p>
    <w:p w14:paraId="55B5E5C6">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（4）在质量保证期内，如果货物的质量或规格与合同不符，或证实货物是有缺陷的，包括潜在的缺陷或使用不符合要求的材料等，甲方可以根据本合同第11条规定以书面形式</w:t>
      </w:r>
      <w:r>
        <w:rPr>
          <w:rFonts w:hint="eastAsia" w:ascii="宋体" w:hAnsi="宋体"/>
          <w:color w:val="000000"/>
          <w:szCs w:val="21"/>
          <w:highlight w:val="none"/>
        </w:rPr>
        <w:t>追究</w:t>
      </w:r>
      <w:r>
        <w:rPr>
          <w:rFonts w:hint="eastAsia" w:ascii="宋体" w:hAnsi="宋体"/>
          <w:szCs w:val="21"/>
          <w:highlight w:val="none"/>
        </w:rPr>
        <w:t>乙方</w:t>
      </w:r>
      <w:r>
        <w:rPr>
          <w:rFonts w:hint="eastAsia" w:ascii="宋体" w:hAnsi="宋体"/>
          <w:color w:val="000000"/>
          <w:szCs w:val="21"/>
          <w:highlight w:val="none"/>
        </w:rPr>
        <w:t>的违约责任</w:t>
      </w:r>
      <w:r>
        <w:rPr>
          <w:rFonts w:hint="eastAsia" w:ascii="宋体" w:hAnsi="宋体"/>
          <w:szCs w:val="21"/>
          <w:highlight w:val="none"/>
        </w:rPr>
        <w:t>。</w:t>
      </w:r>
    </w:p>
    <w:p w14:paraId="5DBF0426">
      <w:pPr>
        <w:adjustRightInd w:val="0"/>
        <w:snapToGrid w:val="0"/>
        <w:spacing w:line="400" w:lineRule="exact"/>
        <w:jc w:val="left"/>
        <w:rPr>
          <w:szCs w:val="24"/>
          <w:highlight w:val="none"/>
        </w:rPr>
      </w:pPr>
      <w:r>
        <w:rPr>
          <w:rFonts w:hint="eastAsia" w:ascii="宋体" w:hAnsi="宋体"/>
          <w:szCs w:val="21"/>
          <w:highlight w:val="none"/>
        </w:rPr>
        <w:t>（5）乙方在约定的时间内未能弥补缺陷，甲方可采取必要的补救措施，但其风险和费用将由乙方承担，甲方根据合同约定对乙方行使的其他权利不受影响。</w:t>
      </w:r>
    </w:p>
    <w:p w14:paraId="57F6F7FD">
      <w:pPr>
        <w:adjustRightInd w:val="0"/>
        <w:snapToGrid w:val="0"/>
        <w:spacing w:line="400" w:lineRule="exact"/>
        <w:jc w:val="left"/>
        <w:rPr>
          <w:rFonts w:ascii="宋体" w:hAnsi="宋体"/>
          <w:b/>
          <w:bCs/>
          <w:sz w:val="24"/>
          <w:szCs w:val="24"/>
          <w:highlight w:val="none"/>
        </w:rPr>
      </w:pPr>
      <w:r>
        <w:rPr>
          <w:rFonts w:hint="eastAsia" w:ascii="宋体" w:hAnsi="宋体"/>
          <w:b/>
          <w:bCs/>
          <w:color w:val="000000"/>
          <w:sz w:val="24"/>
          <w:szCs w:val="24"/>
          <w:highlight w:val="none"/>
        </w:rPr>
        <w:t>9</w:t>
      </w:r>
      <w:r>
        <w:rPr>
          <w:rFonts w:hint="eastAsia" w:ascii="宋体" w:hAnsi="宋体"/>
          <w:b/>
          <w:bCs/>
          <w:sz w:val="24"/>
          <w:szCs w:val="24"/>
          <w:highlight w:val="none"/>
        </w:rPr>
        <w:t>.</w:t>
      </w:r>
      <w:r>
        <w:rPr>
          <w:rFonts w:hint="eastAsia" w:ascii="宋体" w:hAnsi="宋体"/>
          <w:b/>
          <w:bCs/>
          <w:color w:val="000000"/>
          <w:sz w:val="24"/>
          <w:szCs w:val="24"/>
          <w:highlight w:val="none"/>
        </w:rPr>
        <w:t xml:space="preserve"> </w:t>
      </w:r>
      <w:r>
        <w:rPr>
          <w:rFonts w:hint="eastAsia" w:ascii="宋体" w:hAnsi="宋体"/>
          <w:b/>
          <w:bCs/>
          <w:sz w:val="24"/>
          <w:szCs w:val="24"/>
          <w:highlight w:val="none"/>
        </w:rPr>
        <w:t>权利瑕疵担保</w:t>
      </w:r>
    </w:p>
    <w:p w14:paraId="131E3B79">
      <w:pPr>
        <w:autoSpaceDE w:val="0"/>
        <w:autoSpaceDN w:val="0"/>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9.1 乙方保证对其出售的货物享有合法的权利。</w:t>
      </w:r>
    </w:p>
    <w:p w14:paraId="23C90F1E">
      <w:pPr>
        <w:autoSpaceDE w:val="0"/>
        <w:autoSpaceDN w:val="0"/>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 xml:space="preserve">9.2 </w:t>
      </w:r>
      <w:r>
        <w:rPr>
          <w:rFonts w:hint="eastAsia" w:ascii="宋体" w:hAnsi="宋体" w:cs="宋体"/>
          <w:szCs w:val="15"/>
          <w:highlight w:val="none"/>
        </w:rPr>
        <w:t>乙方保证在交付的货物上不存在抵押权等担保物权。</w:t>
      </w:r>
    </w:p>
    <w:p w14:paraId="148E8F16">
      <w:pPr>
        <w:autoSpaceDE w:val="0"/>
        <w:autoSpaceDN w:val="0"/>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9.3 如甲方使用上述货物构成对第三人侵权的，则由乙方承担全部责任。</w:t>
      </w:r>
    </w:p>
    <w:p w14:paraId="4C5D66EF">
      <w:pPr>
        <w:autoSpaceDE w:val="0"/>
        <w:autoSpaceDN w:val="0"/>
        <w:adjustRightInd w:val="0"/>
        <w:snapToGrid w:val="0"/>
        <w:spacing w:line="400" w:lineRule="exact"/>
        <w:jc w:val="left"/>
        <w:rPr>
          <w:rFonts w:ascii="宋体" w:hAnsi="宋体"/>
          <w:b/>
          <w:bCs/>
          <w:color w:val="000000"/>
          <w:sz w:val="24"/>
          <w:szCs w:val="24"/>
          <w:highlight w:val="none"/>
        </w:rPr>
      </w:pPr>
      <w:r>
        <w:rPr>
          <w:rFonts w:hint="eastAsia" w:ascii="宋体" w:hAnsi="宋体"/>
          <w:b/>
          <w:bCs/>
          <w:color w:val="000000"/>
          <w:sz w:val="24"/>
          <w:szCs w:val="24"/>
          <w:highlight w:val="none"/>
        </w:rPr>
        <w:t>10. 知识产权保护</w:t>
      </w:r>
    </w:p>
    <w:p w14:paraId="69A1BEB1">
      <w:pPr>
        <w:autoSpaceDE w:val="0"/>
        <w:autoSpaceDN w:val="0"/>
        <w:adjustRightInd w:val="0"/>
        <w:snapToGrid w:val="0"/>
        <w:spacing w:line="400" w:lineRule="exact"/>
        <w:jc w:val="left"/>
        <w:rPr>
          <w:rFonts w:ascii="宋体" w:hAnsi="宋体"/>
          <w:szCs w:val="21"/>
          <w:highlight w:val="none"/>
        </w:rPr>
      </w:pPr>
      <w:r>
        <w:rPr>
          <w:rFonts w:hint="eastAsia" w:ascii="宋体" w:hAnsi="宋体"/>
          <w:color w:val="000000"/>
          <w:szCs w:val="21"/>
          <w:highlight w:val="none"/>
        </w:rPr>
        <w:t>10.1 乙方对其所销售的货物应当享有知识产权或经权利人合法授权，保证没有侵犯任</w:t>
      </w:r>
      <w:r>
        <w:rPr>
          <w:rFonts w:hint="eastAsia" w:ascii="宋体" w:hAnsi="宋体"/>
          <w:szCs w:val="21"/>
          <w:highlight w:val="none"/>
        </w:rPr>
        <w:t>何第三人的知识产权等权利。</w:t>
      </w:r>
      <w:bookmarkStart w:id="99" w:name="_Hlk163047038"/>
      <w:r>
        <w:rPr>
          <w:rFonts w:hint="eastAsia" w:ascii="宋体" w:hAnsi="宋体" w:cs="宋体"/>
          <w:szCs w:val="15"/>
          <w:highlight w:val="none"/>
        </w:rPr>
        <w:t>因违反前述约定对第三人构成侵权的，应当由乙方向第三人承担法律责任；甲方依法向第三人赔偿后，有权向乙方追偿。甲方有其他损失的，乙方应当赔偿</w:t>
      </w:r>
      <w:bookmarkEnd w:id="99"/>
      <w:r>
        <w:rPr>
          <w:rFonts w:hint="eastAsia" w:ascii="宋体" w:hAnsi="宋体"/>
          <w:szCs w:val="21"/>
          <w:highlight w:val="none"/>
        </w:rPr>
        <w:t>。</w:t>
      </w:r>
    </w:p>
    <w:p w14:paraId="64DD2D7D">
      <w:pPr>
        <w:autoSpaceDE w:val="0"/>
        <w:autoSpaceDN w:val="0"/>
        <w:adjustRightInd w:val="0"/>
        <w:snapToGrid w:val="0"/>
        <w:spacing w:line="400" w:lineRule="exact"/>
        <w:jc w:val="left"/>
        <w:rPr>
          <w:rFonts w:ascii="宋体" w:hAnsi="宋体"/>
          <w:b/>
          <w:bCs/>
          <w:sz w:val="24"/>
          <w:szCs w:val="24"/>
          <w:highlight w:val="none"/>
        </w:rPr>
      </w:pPr>
      <w:r>
        <w:rPr>
          <w:rFonts w:hint="eastAsia" w:ascii="宋体" w:hAnsi="宋体"/>
          <w:b/>
          <w:bCs/>
          <w:sz w:val="24"/>
          <w:szCs w:val="24"/>
          <w:highlight w:val="none"/>
        </w:rPr>
        <w:t>11. 保密义务</w:t>
      </w:r>
    </w:p>
    <w:p w14:paraId="00F6FBBF">
      <w:pPr>
        <w:autoSpaceDE w:val="0"/>
        <w:autoSpaceDN w:val="0"/>
        <w:adjustRightInd w:val="0"/>
        <w:snapToGrid w:val="0"/>
        <w:spacing w:line="400" w:lineRule="exact"/>
        <w:jc w:val="left"/>
        <w:rPr>
          <w:rFonts w:ascii="宋体" w:hAnsi="宋体" w:cs="宋体"/>
          <w:szCs w:val="15"/>
          <w:highlight w:val="none"/>
        </w:rPr>
      </w:pPr>
      <w:r>
        <w:rPr>
          <w:rFonts w:hint="eastAsia" w:ascii="宋体" w:hAnsi="宋体" w:cs="宋体"/>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highlight w:val="none"/>
        </w:rPr>
        <w:t>【政府采购合同专用条款】</w:t>
      </w:r>
      <w:r>
        <w:rPr>
          <w:rFonts w:hint="eastAsia" w:ascii="宋体" w:hAnsi="宋体" w:cs="宋体"/>
          <w:szCs w:val="15"/>
          <w:highlight w:val="none"/>
        </w:rPr>
        <w:t>中约定。</w:t>
      </w:r>
    </w:p>
    <w:p w14:paraId="0FB743C6">
      <w:pPr>
        <w:autoSpaceDE w:val="0"/>
        <w:autoSpaceDN w:val="0"/>
        <w:adjustRightInd w:val="0"/>
        <w:snapToGrid w:val="0"/>
        <w:spacing w:line="400" w:lineRule="exact"/>
        <w:jc w:val="left"/>
        <w:rPr>
          <w:rFonts w:ascii="宋体" w:hAnsi="宋体"/>
          <w:b/>
          <w:bCs/>
          <w:sz w:val="24"/>
          <w:szCs w:val="24"/>
          <w:highlight w:val="none"/>
        </w:rPr>
      </w:pPr>
      <w:r>
        <w:rPr>
          <w:rFonts w:hint="eastAsia" w:ascii="宋体" w:hAnsi="宋体"/>
          <w:b/>
          <w:bCs/>
          <w:sz w:val="24"/>
          <w:szCs w:val="24"/>
          <w:highlight w:val="none"/>
        </w:rPr>
        <w:t>12. 合同价款支付</w:t>
      </w:r>
    </w:p>
    <w:p w14:paraId="5F6375A7">
      <w:pPr>
        <w:adjustRightInd w:val="0"/>
        <w:snapToGrid w:val="0"/>
        <w:spacing w:line="400" w:lineRule="exact"/>
        <w:jc w:val="left"/>
        <w:rPr>
          <w:rFonts w:ascii="宋体" w:hAnsi="宋体"/>
          <w:szCs w:val="21"/>
          <w:highlight w:val="none"/>
        </w:rPr>
      </w:pPr>
      <w:r>
        <w:rPr>
          <w:rFonts w:hint="eastAsia" w:ascii="宋体" w:hAnsi="宋体"/>
          <w:szCs w:val="21"/>
          <w:highlight w:val="none"/>
        </w:rPr>
        <w:t>12.1 合同价款支付按照国库集中支付制度及财政管理相关规定执行。</w:t>
      </w:r>
    </w:p>
    <w:p w14:paraId="55913B6C">
      <w:pPr>
        <w:autoSpaceDE w:val="0"/>
        <w:autoSpaceDN w:val="0"/>
        <w:adjustRightInd w:val="0"/>
        <w:snapToGrid w:val="0"/>
        <w:spacing w:line="400" w:lineRule="exact"/>
        <w:jc w:val="left"/>
        <w:rPr>
          <w:rFonts w:ascii="宋体" w:hAnsi="宋体" w:cs="宋体"/>
          <w:color w:val="000000"/>
          <w:szCs w:val="21"/>
          <w:highlight w:val="none"/>
        </w:rPr>
      </w:pPr>
      <w:r>
        <w:rPr>
          <w:rFonts w:hint="eastAsia" w:ascii="宋体" w:hAnsi="宋体" w:cs="宋体"/>
          <w:color w:val="000000"/>
          <w:szCs w:val="21"/>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cs="宋体"/>
          <w:b/>
          <w:bCs/>
          <w:color w:val="000000"/>
          <w:szCs w:val="21"/>
          <w:highlight w:val="none"/>
        </w:rPr>
        <w:t>【政府采购合同专用条款】</w:t>
      </w:r>
      <w:r>
        <w:rPr>
          <w:rFonts w:hint="eastAsia" w:ascii="宋体" w:hAnsi="宋体" w:cs="宋体"/>
          <w:color w:val="000000"/>
          <w:szCs w:val="21"/>
          <w:highlight w:val="none"/>
        </w:rPr>
        <w:t>中约定。</w:t>
      </w:r>
    </w:p>
    <w:p w14:paraId="5FC5DF8C">
      <w:pPr>
        <w:spacing w:line="400" w:lineRule="exact"/>
        <w:rPr>
          <w:rFonts w:ascii="宋体" w:hAnsi="宋体"/>
          <w:b/>
          <w:bCs/>
          <w:sz w:val="24"/>
          <w:szCs w:val="24"/>
          <w:highlight w:val="none"/>
        </w:rPr>
      </w:pPr>
      <w:r>
        <w:rPr>
          <w:rFonts w:hint="eastAsia" w:ascii="宋体" w:hAnsi="宋体"/>
          <w:b/>
          <w:bCs/>
          <w:sz w:val="24"/>
          <w:szCs w:val="24"/>
          <w:highlight w:val="none"/>
        </w:rPr>
        <w:t>13. 履约保函</w:t>
      </w:r>
    </w:p>
    <w:p w14:paraId="052DB428">
      <w:pPr>
        <w:adjustRightInd w:val="0"/>
        <w:snapToGrid w:val="0"/>
        <w:spacing w:line="400" w:lineRule="exact"/>
        <w:jc w:val="left"/>
        <w:rPr>
          <w:rFonts w:ascii="宋体" w:hAnsi="宋体"/>
          <w:szCs w:val="21"/>
          <w:highlight w:val="none"/>
        </w:rPr>
      </w:pPr>
      <w:r>
        <w:rPr>
          <w:rFonts w:hint="eastAsia" w:ascii="宋体" w:hAnsi="宋体"/>
          <w:szCs w:val="21"/>
          <w:highlight w:val="none"/>
        </w:rPr>
        <w:t xml:space="preserve">13.1 </w:t>
      </w:r>
      <w:r>
        <w:rPr>
          <w:rFonts w:hint="eastAsia" w:ascii="宋体" w:hAnsi="宋体" w:cs="宋体"/>
          <w:szCs w:val="15"/>
          <w:highlight w:val="none"/>
        </w:rPr>
        <w:t>乙方应当以支票、汇票、本票或者金融机构、担保机构出具的保函等非现金形式提交。</w:t>
      </w:r>
    </w:p>
    <w:p w14:paraId="3DAB32B8">
      <w:pPr>
        <w:adjustRightInd w:val="0"/>
        <w:snapToGrid w:val="0"/>
        <w:spacing w:line="400" w:lineRule="exact"/>
        <w:jc w:val="left"/>
        <w:rPr>
          <w:rFonts w:ascii="宋体" w:hAnsi="宋体"/>
          <w:szCs w:val="21"/>
          <w:highlight w:val="none"/>
        </w:rPr>
      </w:pPr>
      <w:r>
        <w:rPr>
          <w:rFonts w:hint="eastAsia" w:ascii="宋体" w:hAnsi="宋体"/>
          <w:szCs w:val="21"/>
          <w:highlight w:val="none"/>
        </w:rPr>
        <w:t>13.2 如果乙方出现</w:t>
      </w:r>
      <w:r>
        <w:rPr>
          <w:rFonts w:hint="eastAsia" w:ascii="宋体" w:hAnsi="宋体" w:cs="宋体"/>
          <w:b/>
          <w:bCs/>
          <w:szCs w:val="15"/>
          <w:highlight w:val="none"/>
        </w:rPr>
        <w:t>【政府采购合同专用条款】</w:t>
      </w:r>
      <w:r>
        <w:rPr>
          <w:rFonts w:hint="eastAsia" w:ascii="宋体" w:hAnsi="宋体" w:cs="宋体"/>
          <w:szCs w:val="15"/>
          <w:highlight w:val="none"/>
        </w:rPr>
        <w:t>约定情形的</w:t>
      </w:r>
      <w:r>
        <w:rPr>
          <w:rFonts w:hint="eastAsia" w:ascii="宋体" w:hAnsi="宋体"/>
          <w:szCs w:val="21"/>
          <w:highlight w:val="none"/>
        </w:rPr>
        <w:t>，履约保函不予退还；如果乙方未能按合同约定全面履行义务，甲方有权从履约保函中取得补偿或赔偿，且不影响甲方要求乙方承担合同约定的超过履约保函的违约责任的权利。</w:t>
      </w:r>
    </w:p>
    <w:p w14:paraId="693E06A3">
      <w:pPr>
        <w:spacing w:line="400" w:lineRule="exact"/>
        <w:rPr>
          <w:szCs w:val="24"/>
          <w:highlight w:val="none"/>
        </w:rPr>
      </w:pPr>
      <w:r>
        <w:rPr>
          <w:rFonts w:hint="eastAsia" w:ascii="宋体" w:hAnsi="宋体"/>
          <w:szCs w:val="21"/>
          <w:highlight w:val="none"/>
        </w:rPr>
        <w:t>13.3 甲方在项目通过验收后按照</w:t>
      </w:r>
      <w:r>
        <w:rPr>
          <w:rFonts w:hint="eastAsia" w:ascii="宋体" w:hAnsi="宋体"/>
          <w:b/>
          <w:szCs w:val="21"/>
          <w:highlight w:val="none"/>
        </w:rPr>
        <w:t>【政府采购合同专用条款】</w:t>
      </w:r>
      <w:r>
        <w:rPr>
          <w:rFonts w:hint="eastAsia" w:ascii="宋体" w:hAnsi="宋体"/>
          <w:szCs w:val="21"/>
          <w:highlight w:val="none"/>
        </w:rPr>
        <w:t>规定的时间内将履约保函退还乙方；逾期退还的，乙方可要求甲方支付违约金，违约金按照</w:t>
      </w:r>
      <w:r>
        <w:rPr>
          <w:rFonts w:hint="eastAsia" w:ascii="宋体" w:hAnsi="宋体"/>
          <w:b/>
          <w:szCs w:val="21"/>
          <w:highlight w:val="none"/>
        </w:rPr>
        <w:t>【政府采购合同专用条款】</w:t>
      </w:r>
      <w:r>
        <w:rPr>
          <w:rFonts w:hint="eastAsia" w:ascii="宋体" w:hAnsi="宋体"/>
          <w:szCs w:val="21"/>
          <w:highlight w:val="none"/>
        </w:rPr>
        <w:t>规定支付。</w:t>
      </w:r>
    </w:p>
    <w:p w14:paraId="122D94FE">
      <w:pPr>
        <w:autoSpaceDE w:val="0"/>
        <w:autoSpaceDN w:val="0"/>
        <w:adjustRightInd w:val="0"/>
        <w:snapToGrid w:val="0"/>
        <w:spacing w:line="400" w:lineRule="exact"/>
        <w:jc w:val="left"/>
        <w:rPr>
          <w:rFonts w:ascii="宋体" w:hAnsi="宋体"/>
          <w:b/>
          <w:sz w:val="24"/>
          <w:szCs w:val="24"/>
          <w:highlight w:val="none"/>
        </w:rPr>
      </w:pPr>
      <w:r>
        <w:rPr>
          <w:rFonts w:hint="eastAsia" w:ascii="宋体" w:hAnsi="宋体"/>
          <w:b/>
          <w:bCs/>
          <w:sz w:val="24"/>
          <w:szCs w:val="24"/>
          <w:highlight w:val="none"/>
        </w:rPr>
        <w:t xml:space="preserve">14. </w:t>
      </w:r>
      <w:r>
        <w:rPr>
          <w:rFonts w:hint="eastAsia"/>
          <w:b/>
          <w:sz w:val="24"/>
          <w:szCs w:val="24"/>
          <w:highlight w:val="none"/>
        </w:rPr>
        <w:t>售后</w:t>
      </w:r>
      <w:r>
        <w:rPr>
          <w:rFonts w:hint="eastAsia" w:ascii="宋体" w:hAnsi="宋体"/>
          <w:b/>
          <w:sz w:val="24"/>
          <w:szCs w:val="24"/>
          <w:highlight w:val="none"/>
        </w:rPr>
        <w:t>服务</w:t>
      </w:r>
    </w:p>
    <w:p w14:paraId="16352BD1">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14.1 除项目不涉及或采购活动中明确约定无须承担外，乙方还应提供下列服务：</w:t>
      </w:r>
    </w:p>
    <w:p w14:paraId="2C27EA96">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（1）货物的现场移动、安装、调试、启动监督及技术支持；</w:t>
      </w:r>
    </w:p>
    <w:p w14:paraId="20F616AB">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（2）提供货物组装和维修所需的专用工具和辅助材料；</w:t>
      </w:r>
    </w:p>
    <w:p w14:paraId="1BB2DFC0">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（3）在</w:t>
      </w:r>
      <w:r>
        <w:rPr>
          <w:rFonts w:hint="eastAsia" w:ascii="宋体" w:hAnsi="宋体" w:cs="宋体"/>
          <w:b/>
          <w:bCs/>
          <w:szCs w:val="15"/>
          <w:highlight w:val="none"/>
        </w:rPr>
        <w:t>【政府采购合同专用条款】</w:t>
      </w:r>
      <w:r>
        <w:rPr>
          <w:rFonts w:hint="eastAsia" w:ascii="宋体" w:hAnsi="宋体"/>
          <w:szCs w:val="21"/>
          <w:highlight w:val="none"/>
        </w:rPr>
        <w:t>约定的期限内对所有的货物实施运行监督、维修，但前提条件是该服务并不能免除乙方在质量保证期内所承担的义务；</w:t>
      </w:r>
    </w:p>
    <w:p w14:paraId="41BA03F3">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（4）在制造商所在地或指定现场就货物的安装、启动、运营、维护、废弃处置等对甲方操作人员进行培训</w:t>
      </w:r>
      <w:r>
        <w:rPr>
          <w:rFonts w:hint="eastAsia" w:ascii="宋体" w:hAnsi="宋体" w:cs="宋体"/>
          <w:szCs w:val="15"/>
          <w:highlight w:val="none"/>
        </w:rPr>
        <w:t>；</w:t>
      </w:r>
    </w:p>
    <w:p w14:paraId="02BB6E77">
      <w:pPr>
        <w:widowControl/>
        <w:autoSpaceDE w:val="0"/>
        <w:autoSpaceDN w:val="0"/>
        <w:adjustRightInd w:val="0"/>
        <w:spacing w:line="400" w:lineRule="exact"/>
        <w:jc w:val="left"/>
        <w:rPr>
          <w:rFonts w:ascii="宋体" w:hAnsi="宋体" w:cs="宋体"/>
          <w:kern w:val="0"/>
          <w:szCs w:val="21"/>
          <w:highlight w:val="none"/>
        </w:rPr>
      </w:pPr>
      <w:r>
        <w:rPr>
          <w:rFonts w:hint="eastAsia" w:ascii="宋体" w:hAnsi="宋体" w:cs="宋体"/>
          <w:kern w:val="0"/>
          <w:szCs w:val="21"/>
          <w:highlight w:val="none"/>
        </w:rPr>
        <w:t>（5）依照法律、行政法规的规定或者按照</w:t>
      </w:r>
      <w:r>
        <w:rPr>
          <w:rFonts w:hint="eastAsia" w:ascii="宋体" w:hAnsi="宋体" w:cs="宋体"/>
          <w:b/>
          <w:bCs/>
          <w:kern w:val="0"/>
          <w:szCs w:val="21"/>
          <w:highlight w:val="none"/>
        </w:rPr>
        <w:t>【政府采购合同专用条款】</w:t>
      </w:r>
      <w:r>
        <w:rPr>
          <w:rFonts w:hint="eastAsia" w:ascii="宋体" w:hAnsi="宋体" w:cs="宋体"/>
          <w:kern w:val="0"/>
          <w:szCs w:val="21"/>
          <w:highlight w:val="none"/>
        </w:rPr>
        <w:t>约定，货物在有效使用年限届满后应予回收的，乙方负有自行或者委托第三人对货物予以回收的义务；</w:t>
      </w:r>
    </w:p>
    <w:p w14:paraId="3CBE9A5F">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（6）</w:t>
      </w:r>
      <w:r>
        <w:rPr>
          <w:rFonts w:hint="eastAsia" w:ascii="宋体" w:hAnsi="宋体"/>
          <w:b/>
          <w:szCs w:val="21"/>
          <w:highlight w:val="none"/>
        </w:rPr>
        <w:t>【政府采购合同专用条款】</w:t>
      </w:r>
      <w:r>
        <w:rPr>
          <w:rFonts w:hint="eastAsia" w:ascii="宋体" w:hAnsi="宋体"/>
          <w:szCs w:val="21"/>
          <w:highlight w:val="none"/>
        </w:rPr>
        <w:t>规定由乙方提供的其他服务。</w:t>
      </w:r>
    </w:p>
    <w:p w14:paraId="16302D7B">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14.2 乙方提供的售后服务的费用已包含在合同价款中，甲方不再另行支付。</w:t>
      </w:r>
    </w:p>
    <w:p w14:paraId="4A990E9C">
      <w:pPr>
        <w:adjustRightInd w:val="0"/>
        <w:snapToGrid w:val="0"/>
        <w:spacing w:line="400" w:lineRule="exact"/>
        <w:jc w:val="left"/>
        <w:rPr>
          <w:rFonts w:ascii="宋体" w:hAnsi="宋体"/>
          <w:b/>
          <w:bCs/>
          <w:sz w:val="24"/>
          <w:szCs w:val="24"/>
          <w:highlight w:val="none"/>
        </w:rPr>
      </w:pPr>
      <w:r>
        <w:rPr>
          <w:rFonts w:hint="eastAsia" w:ascii="宋体" w:hAnsi="宋体"/>
          <w:b/>
          <w:bCs/>
          <w:sz w:val="24"/>
          <w:szCs w:val="24"/>
          <w:highlight w:val="none"/>
        </w:rPr>
        <w:t>1 违约责任</w:t>
      </w:r>
    </w:p>
    <w:p w14:paraId="22E49DF8">
      <w:pPr>
        <w:adjustRightInd w:val="0"/>
        <w:snapToGrid w:val="0"/>
        <w:spacing w:line="400" w:lineRule="exact"/>
        <w:jc w:val="left"/>
        <w:rPr>
          <w:rFonts w:ascii="宋体" w:hAnsi="宋体"/>
          <w:bCs/>
          <w:szCs w:val="21"/>
          <w:highlight w:val="none"/>
        </w:rPr>
      </w:pPr>
      <w:r>
        <w:rPr>
          <w:rFonts w:hint="eastAsia" w:ascii="宋体" w:hAnsi="宋体"/>
          <w:bCs/>
          <w:szCs w:val="21"/>
          <w:highlight w:val="none"/>
        </w:rPr>
        <w:t>11质量瑕疵的违约责任</w:t>
      </w:r>
    </w:p>
    <w:p w14:paraId="36BFFDFD">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乙方提供的产品不符合合同约定的质量标准或存在产品质量缺陷，甲方有权要求乙方根据</w:t>
      </w:r>
      <w:r>
        <w:rPr>
          <w:rFonts w:hint="eastAsia" w:ascii="宋体" w:hAnsi="宋体"/>
          <w:b/>
          <w:szCs w:val="21"/>
          <w:highlight w:val="none"/>
        </w:rPr>
        <w:t>【政府采购合同专用条款】</w:t>
      </w:r>
      <w:r>
        <w:rPr>
          <w:rFonts w:hint="eastAsia" w:ascii="宋体" w:hAnsi="宋体"/>
          <w:bCs/>
          <w:szCs w:val="21"/>
          <w:highlight w:val="none"/>
        </w:rPr>
        <w:t>要求</w:t>
      </w:r>
      <w:r>
        <w:rPr>
          <w:rFonts w:hint="eastAsia" w:ascii="宋体" w:hAnsi="宋体"/>
          <w:szCs w:val="21"/>
          <w:highlight w:val="none"/>
        </w:rPr>
        <w:t>及时修理、重作、更换，并承担由此给甲方造成的损失。</w:t>
      </w:r>
    </w:p>
    <w:p w14:paraId="636C911B">
      <w:pPr>
        <w:autoSpaceDE w:val="0"/>
        <w:autoSpaceDN w:val="0"/>
        <w:adjustRightInd w:val="0"/>
        <w:snapToGrid w:val="0"/>
        <w:spacing w:line="400" w:lineRule="exact"/>
        <w:jc w:val="left"/>
        <w:rPr>
          <w:rFonts w:ascii="宋体" w:hAnsi="宋体"/>
          <w:bCs/>
          <w:szCs w:val="21"/>
          <w:highlight w:val="none"/>
        </w:rPr>
      </w:pPr>
      <w:r>
        <w:rPr>
          <w:rFonts w:hint="eastAsia" w:ascii="宋体" w:hAnsi="宋体"/>
          <w:bCs/>
          <w:szCs w:val="21"/>
          <w:highlight w:val="none"/>
        </w:rPr>
        <w:t>12 迟延交货的违约责任</w:t>
      </w:r>
    </w:p>
    <w:p w14:paraId="474C2000">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CA2FC1A">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（2）如果乙方没有按照合同规定的时间交货和提供相关服务，甲方有权从货款中扣除误期赔偿费而不影响合同项下的其他补救方法，赔偿费按</w:t>
      </w:r>
      <w:r>
        <w:rPr>
          <w:rFonts w:hint="eastAsia" w:ascii="宋体" w:hAnsi="宋体"/>
          <w:b/>
          <w:szCs w:val="21"/>
          <w:highlight w:val="none"/>
        </w:rPr>
        <w:t>【政府采购合同专用条款】</w:t>
      </w:r>
      <w:r>
        <w:rPr>
          <w:rFonts w:hint="eastAsia" w:ascii="宋体" w:hAnsi="宋体"/>
          <w:szCs w:val="21"/>
          <w:highlight w:val="none"/>
        </w:rPr>
        <w:t>规定执行。如果涉及公共利益，且赔偿金额无法弥补公共利益损失，甲方可要求继续履行或者采取其他补救措施。</w:t>
      </w:r>
    </w:p>
    <w:p w14:paraId="1A395C30">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13 迟延支付的违约责任</w:t>
      </w:r>
    </w:p>
    <w:p w14:paraId="516B3F43">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甲方存在迟延支付乙方合同款项的，应当承担</w:t>
      </w:r>
      <w:r>
        <w:rPr>
          <w:rFonts w:hint="eastAsia" w:ascii="宋体" w:hAnsi="宋体"/>
          <w:b/>
          <w:bCs/>
          <w:szCs w:val="21"/>
          <w:highlight w:val="none"/>
        </w:rPr>
        <w:t>【政府采购合同专用条款】</w:t>
      </w:r>
      <w:r>
        <w:rPr>
          <w:rFonts w:hint="eastAsia" w:ascii="宋体" w:hAnsi="宋体"/>
          <w:szCs w:val="21"/>
          <w:highlight w:val="none"/>
        </w:rPr>
        <w:t>规定的逾期付款利息。</w:t>
      </w:r>
    </w:p>
    <w:p w14:paraId="133E08CB">
      <w:pPr>
        <w:adjustRightInd w:val="0"/>
        <w:snapToGrid w:val="0"/>
        <w:spacing w:line="400" w:lineRule="exact"/>
        <w:jc w:val="left"/>
        <w:rPr>
          <w:rFonts w:ascii="宋体" w:hAnsi="宋体"/>
          <w:szCs w:val="21"/>
          <w:highlight w:val="none"/>
        </w:rPr>
      </w:pPr>
      <w:r>
        <w:rPr>
          <w:rFonts w:hint="eastAsia" w:ascii="宋体" w:hAnsi="宋体"/>
          <w:bCs/>
          <w:szCs w:val="21"/>
          <w:highlight w:val="none"/>
        </w:rPr>
        <w:t>14其他违约责任根据项目实际需要按</w:t>
      </w:r>
      <w:r>
        <w:rPr>
          <w:rFonts w:hint="eastAsia" w:ascii="宋体" w:hAnsi="宋体"/>
          <w:b/>
          <w:bCs/>
          <w:szCs w:val="21"/>
          <w:highlight w:val="none"/>
        </w:rPr>
        <w:t>【政府采购合同专用条款】</w:t>
      </w:r>
      <w:r>
        <w:rPr>
          <w:rFonts w:hint="eastAsia" w:ascii="宋体" w:hAnsi="宋体"/>
          <w:szCs w:val="21"/>
          <w:highlight w:val="none"/>
        </w:rPr>
        <w:t>规定执行。</w:t>
      </w:r>
    </w:p>
    <w:p w14:paraId="58D1FC15">
      <w:pPr>
        <w:numPr>
          <w:ilvl w:val="0"/>
          <w:numId w:val="69"/>
        </w:numPr>
        <w:autoSpaceDE w:val="0"/>
        <w:autoSpaceDN w:val="0"/>
        <w:adjustRightInd w:val="0"/>
        <w:snapToGrid w:val="0"/>
        <w:spacing w:line="400" w:lineRule="exact"/>
        <w:jc w:val="left"/>
        <w:rPr>
          <w:rFonts w:ascii="宋体" w:hAnsi="宋体"/>
          <w:b/>
          <w:sz w:val="24"/>
          <w:szCs w:val="24"/>
          <w:highlight w:val="none"/>
        </w:rPr>
      </w:pPr>
      <w:r>
        <w:rPr>
          <w:rFonts w:hint="eastAsia" w:ascii="宋体" w:hAnsi="宋体"/>
          <w:b/>
          <w:sz w:val="24"/>
          <w:szCs w:val="24"/>
          <w:highlight w:val="none"/>
        </w:rPr>
        <w:t>合同变更、中止与终止</w:t>
      </w:r>
    </w:p>
    <w:p w14:paraId="020C0411">
      <w:pPr>
        <w:adjustRightInd w:val="0"/>
        <w:snapToGrid w:val="0"/>
        <w:spacing w:line="400" w:lineRule="exact"/>
        <w:jc w:val="left"/>
        <w:rPr>
          <w:rFonts w:ascii="宋体" w:hAnsi="宋体"/>
          <w:szCs w:val="21"/>
          <w:highlight w:val="none"/>
        </w:rPr>
      </w:pPr>
      <w:r>
        <w:rPr>
          <w:rFonts w:hint="eastAsia" w:ascii="宋体" w:hAnsi="宋体"/>
          <w:szCs w:val="21"/>
          <w:highlight w:val="none"/>
        </w:rPr>
        <w:t xml:space="preserve">    16.1合同的变更</w:t>
      </w:r>
    </w:p>
    <w:p w14:paraId="65BF5C8A">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政府采购合同履行中，在不改变合同其他条款的前提下，甲方可以在合同价款10%的范围内追加与合同标的相同的货物，并就此与乙方协商一致后签订补充协议。</w:t>
      </w:r>
    </w:p>
    <w:p w14:paraId="64C7829D">
      <w:pPr>
        <w:adjustRightInd w:val="0"/>
        <w:snapToGrid w:val="0"/>
        <w:spacing w:line="400" w:lineRule="exact"/>
        <w:jc w:val="left"/>
        <w:rPr>
          <w:rFonts w:ascii="宋体" w:hAnsi="宋体"/>
          <w:szCs w:val="21"/>
          <w:highlight w:val="none"/>
        </w:rPr>
      </w:pPr>
      <w:r>
        <w:rPr>
          <w:rFonts w:hint="eastAsia" w:ascii="宋体" w:hAnsi="宋体"/>
          <w:szCs w:val="21"/>
          <w:highlight w:val="none"/>
        </w:rPr>
        <w:t>16.2合同的中止</w:t>
      </w:r>
    </w:p>
    <w:p w14:paraId="02091BCA">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（1）合同履行过程中因投标人就采购文件、采购过程或结果提起投诉的，甲方认为有必要的，可以中止合同的履行。</w:t>
      </w:r>
    </w:p>
    <w:p w14:paraId="2845C504">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终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9C09E56">
      <w:pPr>
        <w:widowControl/>
        <w:autoSpaceDE w:val="0"/>
        <w:autoSpaceDN w:val="0"/>
        <w:adjustRightInd w:val="0"/>
        <w:spacing w:line="400" w:lineRule="exact"/>
        <w:rPr>
          <w:rFonts w:ascii="华文楷体" w:hAnsi="华文楷体" w:eastAsia="华文楷体" w:cs="华文楷体"/>
          <w:kern w:val="0"/>
          <w:szCs w:val="21"/>
          <w:highlight w:val="none"/>
        </w:rPr>
      </w:pPr>
      <w:r>
        <w:rPr>
          <w:rFonts w:hint="eastAsia" w:ascii="宋体" w:hAnsi="宋体" w:cs="宋体"/>
          <w:kern w:val="0"/>
          <w:szCs w:val="21"/>
          <w:highlight w:val="none"/>
        </w:rPr>
        <w:t>（3）乙方分立、合并或者变更住所的，应当及时以书面形式告知甲方。乙方没有及时告知甲方，致使合同履行发生困难的，甲方可以中止合同履行并要求乙方承担由此给甲方造成的损失。</w:t>
      </w:r>
    </w:p>
    <w:p w14:paraId="493B384C">
      <w:pPr>
        <w:snapToGrid w:val="0"/>
        <w:spacing w:line="400" w:lineRule="exact"/>
        <w:jc w:val="left"/>
        <w:rPr>
          <w:szCs w:val="24"/>
          <w:highlight w:val="none"/>
        </w:rPr>
      </w:pPr>
      <w:r>
        <w:rPr>
          <w:rFonts w:hint="eastAsia" w:ascii="宋体" w:hAnsi="宋体"/>
          <w:szCs w:val="21"/>
          <w:highlight w:val="none"/>
        </w:rPr>
        <w:t>（4）甲方不得以行政区划调整、政府换届、机构或者职能调整以及相关责任人更替为由中止合同。</w:t>
      </w:r>
    </w:p>
    <w:p w14:paraId="4F168497">
      <w:pPr>
        <w:adjustRightInd w:val="0"/>
        <w:snapToGrid w:val="0"/>
        <w:spacing w:line="400" w:lineRule="exact"/>
        <w:jc w:val="left"/>
        <w:rPr>
          <w:rFonts w:ascii="宋体" w:hAnsi="宋体"/>
          <w:szCs w:val="21"/>
          <w:highlight w:val="none"/>
        </w:rPr>
      </w:pPr>
      <w:r>
        <w:rPr>
          <w:rFonts w:hint="eastAsia" w:ascii="宋体" w:hAnsi="宋体"/>
          <w:szCs w:val="21"/>
          <w:highlight w:val="none"/>
        </w:rPr>
        <w:t>16.3合同的终止</w:t>
      </w:r>
    </w:p>
    <w:p w14:paraId="53AEAE56">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（1）合同因有效期限届满而终止；</w:t>
      </w:r>
    </w:p>
    <w:p w14:paraId="5850A748">
      <w:pPr>
        <w:snapToGrid w:val="0"/>
        <w:spacing w:line="400" w:lineRule="exact"/>
        <w:rPr>
          <w:rFonts w:ascii="宋体" w:hAnsi="宋体" w:cs="宋体"/>
          <w:szCs w:val="21"/>
          <w:highlight w:val="none"/>
        </w:rPr>
      </w:pPr>
      <w:r>
        <w:rPr>
          <w:rFonts w:hint="eastAsia" w:ascii="宋体" w:hAnsi="宋体"/>
          <w:szCs w:val="21"/>
          <w:highlight w:val="none"/>
        </w:rPr>
        <w:t>（2）乙方未按合同约定履行，构成根本性违约的，甲方有权终止合同，</w:t>
      </w:r>
      <w:r>
        <w:rPr>
          <w:rFonts w:hint="eastAsia" w:ascii="宋体" w:hAnsi="宋体" w:cs="宋体"/>
          <w:szCs w:val="21"/>
          <w:highlight w:val="none"/>
        </w:rPr>
        <w:t>并追究乙方的违约责任</w:t>
      </w:r>
      <w:r>
        <w:rPr>
          <w:rFonts w:hint="eastAsia" w:ascii="宋体" w:hAnsi="宋体"/>
          <w:szCs w:val="21"/>
          <w:highlight w:val="none"/>
        </w:rPr>
        <w:t>。</w:t>
      </w:r>
    </w:p>
    <w:p w14:paraId="1A035BE5">
      <w:pPr>
        <w:widowControl/>
        <w:autoSpaceDE w:val="0"/>
        <w:autoSpaceDN w:val="0"/>
        <w:adjustRightInd w:val="0"/>
        <w:spacing w:line="400" w:lineRule="exact"/>
        <w:jc w:val="left"/>
        <w:rPr>
          <w:rFonts w:ascii="宋体" w:hAnsi="宋体" w:eastAsia="华文楷体" w:cs="华文楷体"/>
          <w:kern w:val="0"/>
          <w:sz w:val="22"/>
          <w:szCs w:val="21"/>
          <w:highlight w:val="none"/>
        </w:rPr>
      </w:pPr>
      <w:r>
        <w:rPr>
          <w:rFonts w:hint="eastAsia" w:ascii="宋体" w:hAnsi="宋体" w:eastAsia="华文楷体" w:cs="华文楷体"/>
          <w:kern w:val="0"/>
          <w:sz w:val="22"/>
          <w:szCs w:val="21"/>
          <w:highlight w:val="none"/>
        </w:rPr>
        <w:t xml:space="preserve">16.4 </w:t>
      </w:r>
      <w:r>
        <w:rPr>
          <w:rFonts w:hint="eastAsia" w:ascii="宋体" w:hAnsi="宋体"/>
          <w:szCs w:val="21"/>
          <w:highlight w:val="none"/>
        </w:rPr>
        <w:t>涉及国家利益、社会公共利益的情形</w:t>
      </w:r>
    </w:p>
    <w:p w14:paraId="1BA123D0">
      <w:pPr>
        <w:widowControl/>
        <w:autoSpaceDE w:val="0"/>
        <w:autoSpaceDN w:val="0"/>
        <w:adjustRightInd w:val="0"/>
        <w:spacing w:line="400" w:lineRule="exact"/>
        <w:rPr>
          <w:rFonts w:ascii="华文楷体" w:hAnsi="华文楷体" w:eastAsia="华文楷体" w:cs="华文楷体"/>
          <w:kern w:val="0"/>
          <w:szCs w:val="21"/>
          <w:highlight w:val="none"/>
        </w:rPr>
      </w:pPr>
      <w:r>
        <w:rPr>
          <w:rFonts w:hint="eastAsia" w:ascii="宋体" w:hAnsi="宋体" w:cs="宋体"/>
          <w:kern w:val="0"/>
          <w:szCs w:val="21"/>
          <w:highlight w:val="none"/>
        </w:rPr>
        <w:t>政府采购合同继续履行将损害国家利益和社会公共利益的，双方当事人应当变更、中止或者终止合同。有过错的一方应当承担赔偿责任，双方都有过错的，各自承担相应的责任。</w:t>
      </w:r>
    </w:p>
    <w:p w14:paraId="6A71397B">
      <w:pPr>
        <w:autoSpaceDE w:val="0"/>
        <w:autoSpaceDN w:val="0"/>
        <w:adjustRightInd w:val="0"/>
        <w:snapToGrid w:val="0"/>
        <w:spacing w:line="400" w:lineRule="exact"/>
        <w:jc w:val="left"/>
        <w:rPr>
          <w:rFonts w:ascii="宋体" w:hAnsi="宋体"/>
          <w:b/>
          <w:bCs/>
          <w:sz w:val="24"/>
          <w:szCs w:val="24"/>
          <w:highlight w:val="none"/>
        </w:rPr>
      </w:pPr>
      <w:r>
        <w:rPr>
          <w:rFonts w:hint="eastAsia" w:ascii="宋体" w:hAnsi="宋体"/>
          <w:b/>
          <w:bCs/>
          <w:sz w:val="24"/>
          <w:szCs w:val="24"/>
          <w:highlight w:val="none"/>
        </w:rPr>
        <w:t>17. 合同分包</w:t>
      </w:r>
    </w:p>
    <w:p w14:paraId="4CDFE1E1">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17.1 乙方不得将合同转包给其他投标人。涉及合同分包的，乙方应根据采购文件和投标（响应）文件规定进行合同分包。</w:t>
      </w:r>
    </w:p>
    <w:p w14:paraId="7B6AE881">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17.2 乙方执行政府采购政策向中小企业依法分包的，乙方应当按采购文件和投标（响应）文件签订分包意向协议，分包意向协议属于本合同组成部分。</w:t>
      </w:r>
    </w:p>
    <w:p w14:paraId="70CA55B0">
      <w:pPr>
        <w:autoSpaceDE w:val="0"/>
        <w:autoSpaceDN w:val="0"/>
        <w:adjustRightInd w:val="0"/>
        <w:snapToGrid w:val="0"/>
        <w:spacing w:line="400" w:lineRule="exact"/>
        <w:jc w:val="left"/>
        <w:rPr>
          <w:rFonts w:ascii="宋体" w:hAnsi="宋体"/>
          <w:b/>
          <w:bCs/>
          <w:sz w:val="24"/>
          <w:szCs w:val="24"/>
          <w:highlight w:val="none"/>
        </w:rPr>
      </w:pPr>
      <w:r>
        <w:rPr>
          <w:rFonts w:hint="eastAsia" w:ascii="宋体" w:hAnsi="宋体"/>
          <w:b/>
          <w:bCs/>
          <w:sz w:val="24"/>
          <w:szCs w:val="24"/>
          <w:highlight w:val="none"/>
        </w:rPr>
        <w:t>18. 不可抗力</w:t>
      </w:r>
    </w:p>
    <w:p w14:paraId="0E47351E">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18.1 不可抗力是指合同双方不能预见、不能避免且不能克服的客观情况。</w:t>
      </w:r>
    </w:p>
    <w:p w14:paraId="19EEB719">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18.2 任何一方对由于不可抗力造成的部分或全部不能履行合同不承担违约责任。但迟延履行后发生不可抗力的，不能免除责任。</w:t>
      </w:r>
    </w:p>
    <w:p w14:paraId="26DA25B9">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6E24363">
      <w:pPr>
        <w:autoSpaceDE w:val="0"/>
        <w:autoSpaceDN w:val="0"/>
        <w:adjustRightInd w:val="0"/>
        <w:snapToGrid w:val="0"/>
        <w:spacing w:line="400" w:lineRule="exact"/>
        <w:jc w:val="left"/>
        <w:rPr>
          <w:rFonts w:ascii="宋体" w:hAnsi="宋体"/>
          <w:b/>
          <w:bCs/>
          <w:sz w:val="24"/>
          <w:szCs w:val="24"/>
          <w:highlight w:val="none"/>
        </w:rPr>
      </w:pPr>
      <w:r>
        <w:rPr>
          <w:rFonts w:hint="eastAsia" w:ascii="宋体" w:hAnsi="宋体"/>
          <w:b/>
          <w:bCs/>
          <w:sz w:val="24"/>
          <w:szCs w:val="24"/>
          <w:highlight w:val="none"/>
        </w:rPr>
        <w:t>19. 解决争议的方法</w:t>
      </w:r>
    </w:p>
    <w:p w14:paraId="6DE5AFDE">
      <w:pPr>
        <w:widowControl/>
        <w:autoSpaceDE w:val="0"/>
        <w:autoSpaceDN w:val="0"/>
        <w:adjustRightInd w:val="0"/>
        <w:spacing w:line="400" w:lineRule="exact"/>
        <w:rPr>
          <w:rFonts w:ascii="宋体" w:hAnsi="宋体" w:cs="宋体"/>
          <w:kern w:val="0"/>
          <w:szCs w:val="21"/>
          <w:highlight w:val="none"/>
        </w:rPr>
      </w:pPr>
      <w:r>
        <w:rPr>
          <w:rFonts w:hint="eastAsia" w:ascii="宋体" w:hAnsi="宋体" w:cs="宋体"/>
          <w:kern w:val="0"/>
          <w:szCs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2FB44E05">
      <w:pPr>
        <w:widowControl/>
        <w:autoSpaceDE w:val="0"/>
        <w:autoSpaceDN w:val="0"/>
        <w:adjustRightInd w:val="0"/>
        <w:spacing w:line="400" w:lineRule="exact"/>
        <w:rPr>
          <w:rFonts w:ascii="宋体" w:hAnsi="宋体" w:cs="宋体"/>
          <w:kern w:val="0"/>
          <w:szCs w:val="21"/>
          <w:highlight w:val="none"/>
        </w:rPr>
      </w:pPr>
      <w:r>
        <w:rPr>
          <w:rFonts w:hint="eastAsia" w:ascii="宋体" w:hAnsi="宋体" w:cs="宋体"/>
          <w:kern w:val="0"/>
          <w:szCs w:val="21"/>
          <w:highlight w:val="none"/>
        </w:rPr>
        <w:t>19.2 选择仲裁的，应在</w:t>
      </w:r>
      <w:r>
        <w:rPr>
          <w:rFonts w:hint="eastAsia" w:ascii="宋体" w:hAnsi="宋体" w:cs="宋体"/>
          <w:b/>
          <w:bCs/>
          <w:kern w:val="0"/>
          <w:szCs w:val="21"/>
          <w:highlight w:val="none"/>
        </w:rPr>
        <w:t>【政府采购合同专用条款】</w:t>
      </w:r>
      <w:r>
        <w:rPr>
          <w:rFonts w:hint="eastAsia" w:ascii="宋体" w:hAnsi="宋体" w:cs="宋体"/>
          <w:kern w:val="0"/>
          <w:szCs w:val="21"/>
          <w:highlight w:val="none"/>
        </w:rPr>
        <w:t>中明确仲裁机构及仲裁地；通过诉讼方式解决的，可以在</w:t>
      </w:r>
      <w:r>
        <w:rPr>
          <w:rFonts w:hint="eastAsia" w:ascii="宋体" w:hAnsi="宋体" w:cs="宋体"/>
          <w:b/>
          <w:bCs/>
          <w:kern w:val="0"/>
          <w:szCs w:val="21"/>
          <w:highlight w:val="none"/>
        </w:rPr>
        <w:t>【政府采购合同专用条款】</w:t>
      </w:r>
      <w:r>
        <w:rPr>
          <w:rFonts w:hint="eastAsia" w:ascii="宋体" w:hAnsi="宋体" w:cs="宋体"/>
          <w:kern w:val="0"/>
          <w:szCs w:val="21"/>
          <w:highlight w:val="none"/>
        </w:rPr>
        <w:t>中进一步约定选择与争议有实际联系的地点的人民法院管辖，但管辖法院的约定不得违反级别管辖和专属管辖的规定。</w:t>
      </w:r>
    </w:p>
    <w:p w14:paraId="40A03B2B">
      <w:pPr>
        <w:widowControl/>
        <w:autoSpaceDE w:val="0"/>
        <w:autoSpaceDN w:val="0"/>
        <w:adjustRightInd w:val="0"/>
        <w:spacing w:line="400" w:lineRule="exact"/>
        <w:rPr>
          <w:rFonts w:ascii="宋体" w:hAnsi="宋体" w:cs="宋体"/>
          <w:kern w:val="0"/>
          <w:szCs w:val="21"/>
          <w:highlight w:val="none"/>
        </w:rPr>
      </w:pPr>
      <w:r>
        <w:rPr>
          <w:rFonts w:hint="eastAsia" w:ascii="宋体" w:hAnsi="宋体" w:cs="宋体"/>
          <w:kern w:val="0"/>
          <w:szCs w:val="21"/>
          <w:highlight w:val="none"/>
        </w:rPr>
        <w:t>19.3 如甲乙双方有争议的事项不影响合同其他部分的履行，在争议解决期间，合同其他部分应当继续履行。</w:t>
      </w:r>
    </w:p>
    <w:p w14:paraId="48E7A7ED">
      <w:pPr>
        <w:autoSpaceDE w:val="0"/>
        <w:autoSpaceDN w:val="0"/>
        <w:adjustRightInd w:val="0"/>
        <w:snapToGrid w:val="0"/>
        <w:spacing w:line="400" w:lineRule="exact"/>
        <w:jc w:val="left"/>
        <w:rPr>
          <w:rFonts w:ascii="宋体" w:hAnsi="宋体"/>
          <w:sz w:val="24"/>
          <w:szCs w:val="24"/>
          <w:highlight w:val="none"/>
        </w:rPr>
      </w:pPr>
      <w:r>
        <w:rPr>
          <w:rFonts w:hint="eastAsia" w:ascii="宋体" w:hAnsi="宋体"/>
          <w:b/>
          <w:sz w:val="24"/>
          <w:szCs w:val="24"/>
          <w:highlight w:val="none"/>
        </w:rPr>
        <w:t>20. 政府采购政策</w:t>
      </w:r>
    </w:p>
    <w:p w14:paraId="0F9B9168">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 xml:space="preserve">20.1 </w:t>
      </w:r>
      <w:r>
        <w:rPr>
          <w:rFonts w:hint="eastAsia" w:ascii="宋体" w:hAnsi="宋体" w:cs="宋体"/>
          <w:szCs w:val="24"/>
          <w:highlight w:val="none"/>
          <w:lang w:val="en-GB"/>
        </w:rPr>
        <w:t>本合同应当按照规定执行政府采购政策。</w:t>
      </w:r>
    </w:p>
    <w:p w14:paraId="0F0D768B">
      <w:pPr>
        <w:autoSpaceDE w:val="0"/>
        <w:autoSpaceDN w:val="0"/>
        <w:adjustRightInd w:val="0"/>
        <w:snapToGrid w:val="0"/>
        <w:spacing w:line="400" w:lineRule="exact"/>
        <w:jc w:val="left"/>
        <w:rPr>
          <w:rFonts w:ascii="宋体" w:hAnsi="宋体"/>
          <w:szCs w:val="21"/>
          <w:highlight w:val="none"/>
        </w:rPr>
      </w:pPr>
      <w:r>
        <w:rPr>
          <w:rFonts w:ascii="宋体" w:hAnsi="宋体"/>
          <w:szCs w:val="21"/>
          <w:highlight w:val="none"/>
        </w:rPr>
        <w:t>2</w:t>
      </w:r>
      <w:r>
        <w:rPr>
          <w:rFonts w:hint="eastAsia" w:ascii="宋体" w:hAnsi="宋体"/>
          <w:szCs w:val="21"/>
          <w:highlight w:val="none"/>
        </w:rPr>
        <w:t>0.2 本合同依法执行政府采购政策的方式和内容，属于合同履约验收的范围。</w:t>
      </w:r>
      <w:r>
        <w:rPr>
          <w:rFonts w:hint="eastAsia" w:ascii="宋体" w:hAnsi="宋体" w:cs="宋体"/>
          <w:szCs w:val="24"/>
          <w:highlight w:val="none"/>
        </w:rPr>
        <w:t>甲乙双方</w:t>
      </w:r>
      <w:r>
        <w:rPr>
          <w:rFonts w:hint="eastAsia" w:ascii="宋体" w:hAnsi="宋体" w:cs="宋体"/>
          <w:szCs w:val="24"/>
          <w:highlight w:val="none"/>
          <w:lang w:val="en-GB"/>
        </w:rPr>
        <w:t>未按规定要求执行政府采购政策造成损失的</w:t>
      </w:r>
      <w:r>
        <w:rPr>
          <w:rFonts w:hint="eastAsia" w:ascii="宋体" w:hAnsi="宋体"/>
          <w:szCs w:val="21"/>
          <w:highlight w:val="none"/>
        </w:rPr>
        <w:t>，有过错的一方应当承担赔偿责任，双方都有过错的，各自承担相应的责任。</w:t>
      </w:r>
    </w:p>
    <w:p w14:paraId="1FA93C3F">
      <w:pPr>
        <w:spacing w:line="400" w:lineRule="exact"/>
        <w:rPr>
          <w:rFonts w:ascii="Calibri" w:hAnsi="Calibri"/>
          <w:szCs w:val="22"/>
          <w:highlight w:val="none"/>
        </w:rPr>
      </w:pPr>
      <w:r>
        <w:rPr>
          <w:rFonts w:ascii="宋体" w:hAnsi="宋体"/>
          <w:szCs w:val="21"/>
          <w:highlight w:val="none"/>
        </w:rPr>
        <w:t>2</w:t>
      </w:r>
      <w:r>
        <w:rPr>
          <w:rFonts w:hint="eastAsia" w:ascii="宋体" w:hAnsi="宋体"/>
          <w:szCs w:val="21"/>
          <w:highlight w:val="none"/>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948052E">
      <w:pPr>
        <w:autoSpaceDE w:val="0"/>
        <w:autoSpaceDN w:val="0"/>
        <w:adjustRightInd w:val="0"/>
        <w:snapToGrid w:val="0"/>
        <w:spacing w:line="400" w:lineRule="exact"/>
        <w:jc w:val="left"/>
        <w:rPr>
          <w:rFonts w:ascii="宋体" w:hAnsi="宋体"/>
          <w:b/>
          <w:sz w:val="24"/>
          <w:szCs w:val="24"/>
          <w:highlight w:val="none"/>
        </w:rPr>
      </w:pPr>
      <w:r>
        <w:rPr>
          <w:rFonts w:hint="eastAsia" w:ascii="宋体" w:hAnsi="宋体"/>
          <w:b/>
          <w:sz w:val="24"/>
          <w:szCs w:val="24"/>
          <w:highlight w:val="none"/>
        </w:rPr>
        <w:t>21. 法律适用</w:t>
      </w:r>
    </w:p>
    <w:p w14:paraId="39FD5714">
      <w:pPr>
        <w:widowControl/>
        <w:autoSpaceDE w:val="0"/>
        <w:autoSpaceDN w:val="0"/>
        <w:adjustRightInd w:val="0"/>
        <w:spacing w:line="400" w:lineRule="exact"/>
        <w:rPr>
          <w:rFonts w:ascii="宋体" w:hAnsi="宋体" w:cs="宋体"/>
          <w:kern w:val="0"/>
          <w:szCs w:val="21"/>
          <w:highlight w:val="none"/>
        </w:rPr>
      </w:pPr>
      <w:r>
        <w:rPr>
          <w:rFonts w:hint="eastAsia" w:ascii="宋体" w:hAnsi="宋体" w:cs="宋体"/>
          <w:kern w:val="0"/>
          <w:szCs w:val="21"/>
          <w:highlight w:val="none"/>
        </w:rPr>
        <w:t>21.1 本合同的订立、生效、解释、履行及与本合同有关的争议解决，均适用法律、行政法规。</w:t>
      </w:r>
    </w:p>
    <w:p w14:paraId="430AC269">
      <w:pPr>
        <w:widowControl/>
        <w:autoSpaceDE w:val="0"/>
        <w:autoSpaceDN w:val="0"/>
        <w:adjustRightInd w:val="0"/>
        <w:spacing w:line="400" w:lineRule="exact"/>
        <w:rPr>
          <w:rFonts w:ascii="宋体" w:hAnsi="宋体" w:cs="宋体"/>
          <w:kern w:val="0"/>
          <w:szCs w:val="21"/>
          <w:highlight w:val="none"/>
        </w:rPr>
      </w:pPr>
      <w:r>
        <w:rPr>
          <w:rFonts w:hint="eastAsia" w:ascii="宋体" w:hAnsi="宋体" w:cs="宋体"/>
          <w:kern w:val="0"/>
          <w:szCs w:val="21"/>
          <w:highlight w:val="none"/>
        </w:rPr>
        <w:t>21.2 本合同条款与法律、行政法规的强制性规定不一致的，双方当事人应按照法律、行政法规的强制性规定修改本合同的相关条款。</w:t>
      </w:r>
    </w:p>
    <w:p w14:paraId="437A2E8D">
      <w:pPr>
        <w:autoSpaceDE w:val="0"/>
        <w:autoSpaceDN w:val="0"/>
        <w:adjustRightInd w:val="0"/>
        <w:snapToGrid w:val="0"/>
        <w:spacing w:line="400" w:lineRule="exact"/>
        <w:jc w:val="left"/>
        <w:rPr>
          <w:rFonts w:ascii="宋体" w:hAnsi="宋体"/>
          <w:b/>
          <w:sz w:val="24"/>
          <w:szCs w:val="24"/>
          <w:highlight w:val="none"/>
        </w:rPr>
      </w:pPr>
      <w:r>
        <w:rPr>
          <w:rFonts w:hint="eastAsia" w:ascii="宋体" w:hAnsi="宋体"/>
          <w:b/>
          <w:sz w:val="24"/>
          <w:szCs w:val="24"/>
          <w:highlight w:val="none"/>
        </w:rPr>
        <w:t>22. 通知</w:t>
      </w:r>
    </w:p>
    <w:p w14:paraId="38908607">
      <w:pPr>
        <w:widowControl/>
        <w:autoSpaceDE w:val="0"/>
        <w:autoSpaceDN w:val="0"/>
        <w:adjustRightInd w:val="0"/>
        <w:spacing w:line="400" w:lineRule="exact"/>
        <w:rPr>
          <w:rFonts w:ascii="宋体" w:hAnsi="宋体" w:cs="宋体"/>
          <w:kern w:val="0"/>
          <w:szCs w:val="21"/>
          <w:highlight w:val="none"/>
        </w:rPr>
      </w:pPr>
      <w:r>
        <w:rPr>
          <w:rFonts w:hint="eastAsia" w:ascii="宋体" w:hAnsi="宋体" w:cs="宋体"/>
          <w:kern w:val="0"/>
          <w:szCs w:val="21"/>
          <w:highlight w:val="none"/>
        </w:rPr>
        <w:t>22.1 本合同任何一方向对方发出的通知、信件、数据电文等，应当发送至本合同第一部分《政府采购合同协议书》所约定的通讯地址、联系人、联系电话或电子邮箱。</w:t>
      </w:r>
    </w:p>
    <w:p w14:paraId="7E027D02">
      <w:pPr>
        <w:widowControl/>
        <w:autoSpaceDE w:val="0"/>
        <w:autoSpaceDN w:val="0"/>
        <w:adjustRightInd w:val="0"/>
        <w:spacing w:line="400" w:lineRule="exact"/>
        <w:rPr>
          <w:rFonts w:ascii="华文楷体" w:hAnsi="华文楷体" w:eastAsia="华文楷体" w:cs="华文楷体"/>
          <w:kern w:val="0"/>
          <w:szCs w:val="21"/>
          <w:highlight w:val="none"/>
        </w:rPr>
      </w:pPr>
      <w:r>
        <w:rPr>
          <w:rFonts w:hint="eastAsia" w:ascii="宋体" w:hAnsi="宋体" w:cs="宋体"/>
          <w:kern w:val="0"/>
          <w:szCs w:val="21"/>
          <w:highlight w:val="none"/>
        </w:rPr>
        <w:t xml:space="preserve">    22.2 一方当事人变更名称、住所、联系人、联系电话或电子邮箱等信息的，应当在变更后3日内及时书面通知对方，对方实际收到变更通知前的送达仍为有效送达。</w:t>
      </w:r>
    </w:p>
    <w:p w14:paraId="766FB933">
      <w:pPr>
        <w:adjustRightInd w:val="0"/>
        <w:snapToGrid w:val="0"/>
        <w:spacing w:line="400" w:lineRule="exact"/>
        <w:jc w:val="left"/>
        <w:rPr>
          <w:rFonts w:ascii="宋体" w:hAnsi="宋体"/>
          <w:szCs w:val="21"/>
          <w:highlight w:val="none"/>
        </w:rPr>
      </w:pPr>
      <w:r>
        <w:rPr>
          <w:rFonts w:hint="eastAsia" w:ascii="宋体" w:hAnsi="宋体"/>
          <w:szCs w:val="21"/>
          <w:highlight w:val="none"/>
        </w:rPr>
        <w:t>22.3本合同一方给另一方的通知均应采用书面形式，传真或快递送到本合同中规定的对方的地址和办理签收手续。</w:t>
      </w:r>
    </w:p>
    <w:p w14:paraId="1F5C92B0">
      <w:pPr>
        <w:adjustRightInd w:val="0"/>
        <w:snapToGrid w:val="0"/>
        <w:spacing w:line="400" w:lineRule="exact"/>
        <w:jc w:val="left"/>
        <w:rPr>
          <w:rFonts w:ascii="宋体" w:hAnsi="宋体"/>
          <w:szCs w:val="21"/>
          <w:highlight w:val="none"/>
        </w:rPr>
      </w:pPr>
      <w:r>
        <w:rPr>
          <w:rFonts w:hint="eastAsia" w:ascii="宋体" w:hAnsi="宋体"/>
          <w:szCs w:val="21"/>
          <w:highlight w:val="none"/>
        </w:rPr>
        <w:t>22.4通知以送达之日或通知书中规定的生效之日起生效，两者中以较迟之日为准。</w:t>
      </w:r>
    </w:p>
    <w:p w14:paraId="43E4CF10">
      <w:pPr>
        <w:numPr>
          <w:ilvl w:val="0"/>
          <w:numId w:val="70"/>
        </w:numPr>
        <w:adjustRightInd w:val="0"/>
        <w:snapToGrid w:val="0"/>
        <w:spacing w:line="400" w:lineRule="exact"/>
        <w:jc w:val="left"/>
        <w:rPr>
          <w:rFonts w:ascii="宋体" w:hAnsi="宋体"/>
          <w:b/>
          <w:bCs/>
          <w:sz w:val="24"/>
          <w:szCs w:val="24"/>
          <w:highlight w:val="none"/>
        </w:rPr>
      </w:pPr>
      <w:r>
        <w:rPr>
          <w:rFonts w:hint="eastAsia" w:ascii="宋体" w:hAnsi="宋体"/>
          <w:b/>
          <w:bCs/>
          <w:sz w:val="24"/>
          <w:szCs w:val="24"/>
          <w:highlight w:val="none"/>
        </w:rPr>
        <w:t>合同未尽事项</w:t>
      </w:r>
    </w:p>
    <w:p w14:paraId="0602AED9">
      <w:pPr>
        <w:adjustRightInd w:val="0"/>
        <w:snapToGrid w:val="0"/>
        <w:spacing w:line="400" w:lineRule="exact"/>
        <w:jc w:val="left"/>
        <w:rPr>
          <w:rFonts w:ascii="宋体" w:hAnsi="宋体"/>
          <w:bCs/>
          <w:szCs w:val="21"/>
          <w:highlight w:val="none"/>
        </w:rPr>
      </w:pPr>
      <w:r>
        <w:rPr>
          <w:rFonts w:hint="eastAsia" w:ascii="宋体" w:hAnsi="宋体"/>
          <w:bCs/>
          <w:szCs w:val="21"/>
          <w:highlight w:val="none"/>
        </w:rPr>
        <w:t>23.1合同未尽事项见</w:t>
      </w:r>
      <w:r>
        <w:rPr>
          <w:rFonts w:hint="eastAsia" w:ascii="宋体" w:hAnsi="宋体"/>
          <w:b/>
          <w:szCs w:val="21"/>
          <w:highlight w:val="none"/>
        </w:rPr>
        <w:t>【政府采购合同专用条款】</w:t>
      </w:r>
      <w:r>
        <w:rPr>
          <w:rFonts w:hint="eastAsia" w:ascii="宋体" w:hAnsi="宋体"/>
          <w:bCs/>
          <w:szCs w:val="21"/>
          <w:highlight w:val="none"/>
        </w:rPr>
        <w:t>。</w:t>
      </w:r>
    </w:p>
    <w:p w14:paraId="066AA4CA">
      <w:pPr>
        <w:adjustRightInd w:val="0"/>
        <w:snapToGrid w:val="0"/>
        <w:spacing w:line="400" w:lineRule="exact"/>
        <w:jc w:val="left"/>
        <w:rPr>
          <w:rFonts w:ascii="黑体" w:hAnsi="华文中宋" w:eastAsia="黑体"/>
          <w:sz w:val="28"/>
          <w:szCs w:val="28"/>
          <w:highlight w:val="none"/>
        </w:rPr>
      </w:pPr>
      <w:r>
        <w:rPr>
          <w:rFonts w:hint="eastAsia" w:ascii="宋体" w:hAnsi="宋体"/>
          <w:bCs/>
          <w:szCs w:val="21"/>
          <w:highlight w:val="none"/>
        </w:rPr>
        <w:t xml:space="preserve">    23.2 合同附件与合同正文具有同等的法律效力。</w:t>
      </w:r>
      <w:bookmarkStart w:id="100" w:name="_Toc20313"/>
    </w:p>
    <w:p w14:paraId="2F801994">
      <w:pPr>
        <w:adjustRightInd w:val="0"/>
        <w:snapToGrid w:val="0"/>
        <w:jc w:val="center"/>
        <w:rPr>
          <w:rFonts w:ascii="黑体" w:hAnsi="华文中宋" w:eastAsia="黑体"/>
          <w:sz w:val="28"/>
          <w:szCs w:val="28"/>
          <w:highlight w:val="none"/>
        </w:rPr>
      </w:pPr>
      <w:r>
        <w:rPr>
          <w:rFonts w:hint="eastAsia" w:ascii="黑体" w:hAnsi="华文中宋" w:eastAsia="黑体"/>
          <w:sz w:val="28"/>
          <w:szCs w:val="28"/>
          <w:highlight w:val="none"/>
        </w:rPr>
        <w:br w:type="page"/>
      </w:r>
    </w:p>
    <w:p w14:paraId="5725BD76">
      <w:pPr>
        <w:jc w:val="center"/>
        <w:rPr>
          <w:rFonts w:ascii="Calibri" w:hAnsi="Calibri" w:eastAsia="黑体" w:cs="Calibri"/>
          <w:sz w:val="28"/>
          <w:szCs w:val="24"/>
          <w:highlight w:val="none"/>
        </w:rPr>
      </w:pPr>
      <w:r>
        <w:rPr>
          <w:rFonts w:hint="eastAsia" w:ascii="Calibri" w:hAnsi="Calibri" w:eastAsia="黑体" w:cs="Calibri"/>
          <w:sz w:val="28"/>
          <w:szCs w:val="24"/>
          <w:highlight w:val="none"/>
        </w:rPr>
        <w:t>第三节 政府采购合同专用条款</w:t>
      </w:r>
      <w:bookmarkEnd w:id="100"/>
    </w:p>
    <w:tbl>
      <w:tblPr>
        <w:tblStyle w:val="87"/>
        <w:tblW w:w="851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3964E6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D0786B0">
            <w:pPr>
              <w:adjustRightInd w:val="0"/>
              <w:snapToGrid w:val="0"/>
              <w:jc w:val="center"/>
              <w:rPr>
                <w:rFonts w:ascii="宋体" w:hAnsi="宋体"/>
                <w:szCs w:val="21"/>
                <w:highlight w:val="none"/>
              </w:rPr>
            </w:pPr>
            <w:r>
              <w:rPr>
                <w:rFonts w:hint="eastAsia" w:ascii="宋体" w:hAnsi="宋体"/>
                <w:szCs w:val="21"/>
                <w:highlight w:val="none"/>
              </w:rPr>
              <w:t>第二节</w:t>
            </w:r>
          </w:p>
          <w:p w14:paraId="0F1567AA">
            <w:pPr>
              <w:adjustRightInd w:val="0"/>
              <w:snapToGrid w:val="0"/>
              <w:jc w:val="center"/>
              <w:rPr>
                <w:rFonts w:ascii="宋体" w:hAnsi="宋体"/>
                <w:szCs w:val="21"/>
                <w:highlight w:val="none"/>
              </w:rPr>
            </w:pPr>
            <w:r>
              <w:rPr>
                <w:rFonts w:hint="eastAsia" w:ascii="宋体" w:hAnsi="宋体"/>
                <w:szCs w:val="21"/>
                <w:highlight w:val="none"/>
              </w:rPr>
              <w:t>第1.2（6）项</w:t>
            </w:r>
          </w:p>
        </w:tc>
        <w:tc>
          <w:tcPr>
            <w:tcW w:w="1742" w:type="dxa"/>
            <w:vAlign w:val="center"/>
          </w:tcPr>
          <w:p w14:paraId="49733669">
            <w:pPr>
              <w:adjustRightInd w:val="0"/>
              <w:snapToGrid w:val="0"/>
              <w:jc w:val="left"/>
              <w:rPr>
                <w:rFonts w:ascii="宋体" w:hAnsi="宋体"/>
                <w:szCs w:val="21"/>
                <w:highlight w:val="none"/>
              </w:rPr>
            </w:pPr>
            <w:r>
              <w:rPr>
                <w:rFonts w:hint="eastAsia" w:ascii="宋体" w:hAnsi="宋体"/>
                <w:szCs w:val="21"/>
                <w:highlight w:val="none"/>
              </w:rPr>
              <w:t>联合体具体要求</w:t>
            </w:r>
          </w:p>
        </w:tc>
        <w:tc>
          <w:tcPr>
            <w:tcW w:w="5170" w:type="dxa"/>
            <w:vAlign w:val="center"/>
          </w:tcPr>
          <w:p w14:paraId="672DC48B">
            <w:pPr>
              <w:adjustRightInd w:val="0"/>
              <w:snapToGrid w:val="0"/>
              <w:jc w:val="left"/>
              <w:rPr>
                <w:rFonts w:ascii="宋体" w:hAnsi="宋体"/>
                <w:szCs w:val="21"/>
                <w:highlight w:val="none"/>
              </w:rPr>
            </w:pPr>
          </w:p>
        </w:tc>
      </w:tr>
      <w:tr w14:paraId="6A1F2C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vAlign w:val="center"/>
          </w:tcPr>
          <w:p w14:paraId="0CA9A148">
            <w:pPr>
              <w:adjustRightInd w:val="0"/>
              <w:snapToGrid w:val="0"/>
              <w:jc w:val="center"/>
              <w:rPr>
                <w:rFonts w:ascii="宋体" w:hAnsi="宋体"/>
                <w:szCs w:val="21"/>
                <w:highlight w:val="none"/>
              </w:rPr>
            </w:pPr>
            <w:r>
              <w:rPr>
                <w:rFonts w:hint="eastAsia" w:ascii="宋体" w:hAnsi="宋体"/>
                <w:szCs w:val="21"/>
                <w:highlight w:val="none"/>
              </w:rPr>
              <w:t>第二节</w:t>
            </w:r>
          </w:p>
          <w:p w14:paraId="42DF7B26">
            <w:pPr>
              <w:adjustRightInd w:val="0"/>
              <w:snapToGrid w:val="0"/>
              <w:jc w:val="center"/>
              <w:rPr>
                <w:rFonts w:ascii="宋体" w:hAnsi="宋体"/>
                <w:szCs w:val="21"/>
                <w:highlight w:val="none"/>
              </w:rPr>
            </w:pPr>
            <w:r>
              <w:rPr>
                <w:rFonts w:hint="eastAsia" w:ascii="宋体" w:hAnsi="宋体"/>
                <w:szCs w:val="21"/>
                <w:highlight w:val="none"/>
              </w:rPr>
              <w:t>第1.2（7）项</w:t>
            </w:r>
          </w:p>
        </w:tc>
        <w:tc>
          <w:tcPr>
            <w:tcW w:w="1742" w:type="dxa"/>
            <w:vAlign w:val="center"/>
          </w:tcPr>
          <w:p w14:paraId="258FAF93">
            <w:pPr>
              <w:adjustRightInd w:val="0"/>
              <w:snapToGrid w:val="0"/>
              <w:jc w:val="left"/>
              <w:rPr>
                <w:rFonts w:ascii="宋体" w:hAnsi="宋体"/>
                <w:szCs w:val="21"/>
                <w:highlight w:val="none"/>
              </w:rPr>
            </w:pPr>
            <w:r>
              <w:rPr>
                <w:rFonts w:hint="eastAsia" w:ascii="宋体" w:hAnsi="宋体"/>
                <w:szCs w:val="21"/>
                <w:highlight w:val="none"/>
              </w:rPr>
              <w:t>其他术语解释</w:t>
            </w:r>
          </w:p>
        </w:tc>
        <w:tc>
          <w:tcPr>
            <w:tcW w:w="5170" w:type="dxa"/>
            <w:vAlign w:val="center"/>
          </w:tcPr>
          <w:p w14:paraId="6ABD3405">
            <w:pPr>
              <w:adjustRightInd w:val="0"/>
              <w:snapToGrid w:val="0"/>
              <w:jc w:val="left"/>
              <w:rPr>
                <w:rFonts w:ascii="宋体" w:hAnsi="宋体"/>
                <w:szCs w:val="21"/>
                <w:highlight w:val="none"/>
              </w:rPr>
            </w:pPr>
          </w:p>
        </w:tc>
      </w:tr>
      <w:tr w14:paraId="5D02B1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4882369C">
            <w:pPr>
              <w:adjustRightInd w:val="0"/>
              <w:snapToGrid w:val="0"/>
              <w:jc w:val="center"/>
              <w:rPr>
                <w:rFonts w:ascii="宋体" w:hAnsi="宋体"/>
                <w:szCs w:val="21"/>
                <w:highlight w:val="none"/>
              </w:rPr>
            </w:pPr>
            <w:r>
              <w:rPr>
                <w:rFonts w:hint="eastAsia" w:ascii="宋体" w:hAnsi="宋体"/>
                <w:szCs w:val="21"/>
                <w:highlight w:val="none"/>
              </w:rPr>
              <w:t>第二节</w:t>
            </w:r>
          </w:p>
          <w:p w14:paraId="015EF9E6">
            <w:pPr>
              <w:adjustRightInd w:val="0"/>
              <w:snapToGrid w:val="0"/>
              <w:jc w:val="center"/>
              <w:rPr>
                <w:rFonts w:ascii="宋体" w:hAnsi="宋体"/>
                <w:szCs w:val="21"/>
                <w:highlight w:val="none"/>
              </w:rPr>
            </w:pPr>
            <w:r>
              <w:rPr>
                <w:rFonts w:hint="eastAsia" w:ascii="宋体" w:hAnsi="宋体"/>
                <w:szCs w:val="21"/>
                <w:highlight w:val="none"/>
              </w:rPr>
              <w:t>第4.4款</w:t>
            </w:r>
          </w:p>
        </w:tc>
        <w:tc>
          <w:tcPr>
            <w:tcW w:w="1742" w:type="dxa"/>
            <w:vAlign w:val="center"/>
          </w:tcPr>
          <w:p w14:paraId="696F240E">
            <w:pPr>
              <w:adjustRightInd w:val="0"/>
              <w:snapToGrid w:val="0"/>
              <w:jc w:val="left"/>
              <w:rPr>
                <w:rFonts w:ascii="宋体" w:hAnsi="宋体"/>
                <w:szCs w:val="21"/>
                <w:highlight w:val="none"/>
              </w:rPr>
            </w:pPr>
            <w:r>
              <w:rPr>
                <w:rFonts w:hint="eastAsia" w:ascii="宋体" w:hAnsi="宋体"/>
                <w:szCs w:val="21"/>
                <w:highlight w:val="none"/>
              </w:rPr>
              <w:t>履约验收中甲方提出异议或作出说明的期限</w:t>
            </w:r>
          </w:p>
        </w:tc>
        <w:tc>
          <w:tcPr>
            <w:tcW w:w="5170" w:type="dxa"/>
            <w:vAlign w:val="center"/>
          </w:tcPr>
          <w:p w14:paraId="242A73A9">
            <w:pPr>
              <w:adjustRightInd w:val="0"/>
              <w:snapToGrid w:val="0"/>
              <w:jc w:val="left"/>
              <w:rPr>
                <w:rFonts w:ascii="宋体" w:hAnsi="宋体"/>
                <w:szCs w:val="21"/>
                <w:highlight w:val="none"/>
              </w:rPr>
            </w:pPr>
          </w:p>
        </w:tc>
      </w:tr>
      <w:tr w14:paraId="65007A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D82023A">
            <w:pPr>
              <w:adjustRightInd w:val="0"/>
              <w:snapToGrid w:val="0"/>
              <w:jc w:val="center"/>
              <w:rPr>
                <w:rFonts w:ascii="宋体" w:hAnsi="宋体"/>
                <w:szCs w:val="21"/>
                <w:highlight w:val="none"/>
              </w:rPr>
            </w:pPr>
            <w:r>
              <w:rPr>
                <w:rFonts w:hint="eastAsia" w:ascii="宋体" w:hAnsi="宋体"/>
                <w:szCs w:val="21"/>
                <w:highlight w:val="none"/>
              </w:rPr>
              <w:t>第二节</w:t>
            </w:r>
          </w:p>
          <w:p w14:paraId="000E02EB">
            <w:pPr>
              <w:adjustRightInd w:val="0"/>
              <w:snapToGrid w:val="0"/>
              <w:jc w:val="center"/>
              <w:rPr>
                <w:rFonts w:ascii="宋体" w:hAnsi="宋体"/>
                <w:szCs w:val="21"/>
                <w:highlight w:val="none"/>
              </w:rPr>
            </w:pPr>
            <w:r>
              <w:rPr>
                <w:rFonts w:hint="eastAsia" w:ascii="宋体" w:hAnsi="宋体"/>
                <w:szCs w:val="21"/>
                <w:highlight w:val="none"/>
              </w:rPr>
              <w:t>第4.6款</w:t>
            </w:r>
          </w:p>
        </w:tc>
        <w:tc>
          <w:tcPr>
            <w:tcW w:w="1742" w:type="dxa"/>
            <w:vAlign w:val="center"/>
          </w:tcPr>
          <w:p w14:paraId="46AC2B81">
            <w:pPr>
              <w:adjustRightInd w:val="0"/>
              <w:snapToGrid w:val="0"/>
              <w:jc w:val="left"/>
              <w:rPr>
                <w:rFonts w:ascii="宋体" w:hAnsi="宋体"/>
                <w:szCs w:val="21"/>
                <w:highlight w:val="none"/>
              </w:rPr>
            </w:pPr>
            <w:r>
              <w:rPr>
                <w:rFonts w:hint="eastAsia" w:ascii="宋体" w:hAnsi="宋体"/>
                <w:szCs w:val="21"/>
                <w:highlight w:val="none"/>
              </w:rPr>
              <w:t>约定甲方承担的其他义务和责任</w:t>
            </w:r>
          </w:p>
        </w:tc>
        <w:tc>
          <w:tcPr>
            <w:tcW w:w="5170" w:type="dxa"/>
            <w:vAlign w:val="center"/>
          </w:tcPr>
          <w:p w14:paraId="30CAFD2F">
            <w:pPr>
              <w:adjustRightInd w:val="0"/>
              <w:snapToGrid w:val="0"/>
              <w:jc w:val="left"/>
              <w:rPr>
                <w:rFonts w:ascii="宋体" w:hAnsi="宋体"/>
                <w:szCs w:val="21"/>
                <w:highlight w:val="none"/>
              </w:rPr>
            </w:pPr>
          </w:p>
        </w:tc>
      </w:tr>
      <w:tr w14:paraId="12598C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7729BA4">
            <w:pPr>
              <w:adjustRightInd w:val="0"/>
              <w:snapToGrid w:val="0"/>
              <w:jc w:val="center"/>
              <w:rPr>
                <w:rFonts w:ascii="宋体" w:hAnsi="宋体"/>
                <w:szCs w:val="21"/>
                <w:highlight w:val="none"/>
              </w:rPr>
            </w:pPr>
            <w:r>
              <w:rPr>
                <w:rFonts w:hint="eastAsia" w:ascii="宋体" w:hAnsi="宋体"/>
                <w:szCs w:val="21"/>
                <w:highlight w:val="none"/>
              </w:rPr>
              <w:t>第二节</w:t>
            </w:r>
          </w:p>
          <w:p w14:paraId="4424F5A7">
            <w:pPr>
              <w:snapToGrid w:val="0"/>
              <w:jc w:val="center"/>
              <w:rPr>
                <w:szCs w:val="24"/>
                <w:highlight w:val="none"/>
              </w:rPr>
            </w:pPr>
            <w:r>
              <w:rPr>
                <w:rFonts w:hint="eastAsia" w:ascii="宋体" w:hAnsi="宋体"/>
                <w:szCs w:val="21"/>
                <w:highlight w:val="none"/>
              </w:rPr>
              <w:t>第4款</w:t>
            </w:r>
          </w:p>
        </w:tc>
        <w:tc>
          <w:tcPr>
            <w:tcW w:w="1742" w:type="dxa"/>
            <w:vAlign w:val="center"/>
          </w:tcPr>
          <w:p w14:paraId="7C036F88">
            <w:pPr>
              <w:adjustRightInd w:val="0"/>
              <w:snapToGrid w:val="0"/>
              <w:jc w:val="left"/>
              <w:rPr>
                <w:rFonts w:ascii="宋体" w:hAnsi="宋体"/>
                <w:szCs w:val="21"/>
                <w:highlight w:val="none"/>
              </w:rPr>
            </w:pPr>
            <w:r>
              <w:rPr>
                <w:rFonts w:hint="eastAsia" w:ascii="宋体" w:hAnsi="宋体"/>
                <w:szCs w:val="21"/>
                <w:highlight w:val="none"/>
              </w:rPr>
              <w:t>约定乙方承担的其他义务和责任</w:t>
            </w:r>
          </w:p>
        </w:tc>
        <w:tc>
          <w:tcPr>
            <w:tcW w:w="5170" w:type="dxa"/>
            <w:vAlign w:val="center"/>
          </w:tcPr>
          <w:p w14:paraId="45A810F7">
            <w:pPr>
              <w:adjustRightInd w:val="0"/>
              <w:snapToGrid w:val="0"/>
              <w:jc w:val="left"/>
              <w:rPr>
                <w:rFonts w:ascii="宋体" w:hAnsi="宋体"/>
                <w:szCs w:val="21"/>
                <w:highlight w:val="none"/>
              </w:rPr>
            </w:pPr>
          </w:p>
        </w:tc>
      </w:tr>
      <w:tr w14:paraId="7BEAC4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A53F06D">
            <w:pPr>
              <w:adjustRightInd w:val="0"/>
              <w:snapToGrid w:val="0"/>
              <w:jc w:val="center"/>
              <w:rPr>
                <w:rFonts w:ascii="宋体" w:hAnsi="宋体"/>
                <w:szCs w:val="21"/>
                <w:highlight w:val="none"/>
              </w:rPr>
            </w:pPr>
            <w:r>
              <w:rPr>
                <w:rFonts w:hint="eastAsia" w:ascii="宋体" w:hAnsi="宋体"/>
                <w:szCs w:val="21"/>
                <w:highlight w:val="none"/>
              </w:rPr>
              <w:t>第二节</w:t>
            </w:r>
          </w:p>
          <w:p w14:paraId="43AC534A">
            <w:pPr>
              <w:snapToGrid w:val="0"/>
              <w:jc w:val="center"/>
              <w:rPr>
                <w:rFonts w:ascii="宋体" w:hAnsi="宋体"/>
                <w:szCs w:val="21"/>
                <w:highlight w:val="none"/>
              </w:rPr>
            </w:pPr>
            <w:r>
              <w:rPr>
                <w:rFonts w:hint="eastAsia" w:ascii="宋体" w:hAnsi="宋体"/>
                <w:szCs w:val="21"/>
                <w:highlight w:val="none"/>
              </w:rPr>
              <w:t>第6.1款</w:t>
            </w:r>
          </w:p>
        </w:tc>
        <w:tc>
          <w:tcPr>
            <w:tcW w:w="1742" w:type="dxa"/>
            <w:vAlign w:val="center"/>
          </w:tcPr>
          <w:p w14:paraId="331E969E">
            <w:pPr>
              <w:adjustRightInd w:val="0"/>
              <w:snapToGrid w:val="0"/>
              <w:jc w:val="left"/>
              <w:rPr>
                <w:rFonts w:ascii="宋体" w:hAnsi="宋体"/>
                <w:szCs w:val="21"/>
                <w:highlight w:val="none"/>
              </w:rPr>
            </w:pPr>
            <w:r>
              <w:rPr>
                <w:rFonts w:hint="eastAsia" w:ascii="宋体" w:hAnsi="宋体"/>
                <w:szCs w:val="21"/>
                <w:highlight w:val="none"/>
              </w:rPr>
              <w:t>履行合同义务的顺序</w:t>
            </w:r>
          </w:p>
        </w:tc>
        <w:tc>
          <w:tcPr>
            <w:tcW w:w="5170" w:type="dxa"/>
            <w:vAlign w:val="center"/>
          </w:tcPr>
          <w:p w14:paraId="5CA01EAD">
            <w:pPr>
              <w:adjustRightInd w:val="0"/>
              <w:snapToGrid w:val="0"/>
              <w:jc w:val="left"/>
              <w:rPr>
                <w:rFonts w:ascii="宋体" w:hAnsi="宋体"/>
                <w:szCs w:val="21"/>
                <w:highlight w:val="none"/>
              </w:rPr>
            </w:pPr>
          </w:p>
        </w:tc>
      </w:tr>
      <w:tr w14:paraId="4A7B70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restart"/>
            <w:vAlign w:val="center"/>
          </w:tcPr>
          <w:p w14:paraId="56BEE101">
            <w:pPr>
              <w:adjustRightInd w:val="0"/>
              <w:snapToGrid w:val="0"/>
              <w:jc w:val="center"/>
              <w:rPr>
                <w:rFonts w:ascii="宋体" w:hAnsi="宋体"/>
                <w:szCs w:val="21"/>
                <w:highlight w:val="none"/>
              </w:rPr>
            </w:pPr>
            <w:r>
              <w:rPr>
                <w:rFonts w:hint="eastAsia" w:ascii="宋体" w:hAnsi="宋体"/>
                <w:szCs w:val="21"/>
                <w:highlight w:val="none"/>
              </w:rPr>
              <w:t>第二节</w:t>
            </w:r>
          </w:p>
          <w:p w14:paraId="2A9413E3">
            <w:pPr>
              <w:adjustRightInd w:val="0"/>
              <w:snapToGrid w:val="0"/>
              <w:jc w:val="center"/>
              <w:rPr>
                <w:rFonts w:ascii="宋体" w:hAnsi="宋体"/>
                <w:szCs w:val="21"/>
                <w:highlight w:val="none"/>
              </w:rPr>
            </w:pPr>
            <w:r>
              <w:rPr>
                <w:rFonts w:hint="eastAsia" w:ascii="宋体" w:hAnsi="宋体"/>
                <w:szCs w:val="21"/>
                <w:highlight w:val="none"/>
              </w:rPr>
              <w:t>第7.1款</w:t>
            </w:r>
          </w:p>
        </w:tc>
        <w:tc>
          <w:tcPr>
            <w:tcW w:w="1742" w:type="dxa"/>
            <w:vAlign w:val="center"/>
          </w:tcPr>
          <w:p w14:paraId="637B338C">
            <w:pPr>
              <w:adjustRightInd w:val="0"/>
              <w:snapToGrid w:val="0"/>
              <w:jc w:val="left"/>
              <w:rPr>
                <w:rFonts w:ascii="宋体" w:hAnsi="宋体"/>
                <w:szCs w:val="21"/>
                <w:highlight w:val="none"/>
              </w:rPr>
            </w:pPr>
            <w:r>
              <w:rPr>
                <w:rFonts w:hint="eastAsia" w:ascii="宋体" w:hAnsi="宋体"/>
                <w:szCs w:val="21"/>
                <w:highlight w:val="none"/>
              </w:rPr>
              <w:t>包装特殊要求</w:t>
            </w:r>
          </w:p>
        </w:tc>
        <w:tc>
          <w:tcPr>
            <w:tcW w:w="5170" w:type="dxa"/>
            <w:vAlign w:val="center"/>
          </w:tcPr>
          <w:p w14:paraId="37C1EE08">
            <w:pPr>
              <w:rPr>
                <w:szCs w:val="24"/>
                <w:highlight w:val="none"/>
              </w:rPr>
            </w:pPr>
          </w:p>
        </w:tc>
      </w:tr>
      <w:tr w14:paraId="03F937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continue"/>
            <w:vAlign w:val="center"/>
          </w:tcPr>
          <w:p w14:paraId="7365D3AD">
            <w:pPr>
              <w:adjustRightInd w:val="0"/>
              <w:snapToGrid w:val="0"/>
              <w:jc w:val="center"/>
              <w:rPr>
                <w:rFonts w:ascii="宋体" w:hAnsi="宋体"/>
                <w:szCs w:val="21"/>
                <w:highlight w:val="none"/>
              </w:rPr>
            </w:pPr>
          </w:p>
        </w:tc>
        <w:tc>
          <w:tcPr>
            <w:tcW w:w="1742" w:type="dxa"/>
            <w:vAlign w:val="center"/>
          </w:tcPr>
          <w:p w14:paraId="69F4843D">
            <w:pPr>
              <w:adjustRightInd w:val="0"/>
              <w:snapToGrid w:val="0"/>
              <w:jc w:val="left"/>
              <w:rPr>
                <w:rFonts w:ascii="宋体" w:hAnsi="宋体"/>
                <w:szCs w:val="21"/>
                <w:highlight w:val="none"/>
              </w:rPr>
            </w:pPr>
            <w:r>
              <w:rPr>
                <w:rFonts w:hint="eastAsia" w:ascii="宋体" w:hAnsi="宋体"/>
                <w:szCs w:val="21"/>
                <w:highlight w:val="none"/>
              </w:rPr>
              <w:t>指定现场</w:t>
            </w:r>
          </w:p>
        </w:tc>
        <w:tc>
          <w:tcPr>
            <w:tcW w:w="5170" w:type="dxa"/>
            <w:vAlign w:val="center"/>
          </w:tcPr>
          <w:p w14:paraId="01006F12">
            <w:pPr>
              <w:rPr>
                <w:szCs w:val="24"/>
                <w:highlight w:val="none"/>
              </w:rPr>
            </w:pPr>
          </w:p>
        </w:tc>
      </w:tr>
      <w:tr w14:paraId="38D5A7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607" w:type="dxa"/>
            <w:vAlign w:val="center"/>
          </w:tcPr>
          <w:p w14:paraId="5D1856BB">
            <w:pPr>
              <w:adjustRightInd w:val="0"/>
              <w:snapToGrid w:val="0"/>
              <w:jc w:val="center"/>
              <w:rPr>
                <w:rFonts w:ascii="宋体" w:hAnsi="宋体"/>
                <w:szCs w:val="21"/>
                <w:highlight w:val="none"/>
              </w:rPr>
            </w:pPr>
            <w:r>
              <w:rPr>
                <w:rFonts w:hint="eastAsia" w:ascii="宋体" w:hAnsi="宋体"/>
                <w:szCs w:val="21"/>
                <w:highlight w:val="none"/>
              </w:rPr>
              <w:t>第二节</w:t>
            </w:r>
          </w:p>
          <w:p w14:paraId="06797E93">
            <w:pPr>
              <w:adjustRightInd w:val="0"/>
              <w:snapToGrid w:val="0"/>
              <w:jc w:val="center"/>
              <w:rPr>
                <w:rFonts w:ascii="宋体" w:hAnsi="宋体"/>
                <w:szCs w:val="21"/>
                <w:highlight w:val="none"/>
              </w:rPr>
            </w:pPr>
            <w:r>
              <w:rPr>
                <w:rFonts w:hint="eastAsia" w:ascii="宋体" w:hAnsi="宋体"/>
                <w:szCs w:val="21"/>
                <w:highlight w:val="none"/>
              </w:rPr>
              <w:t>第7.2款</w:t>
            </w:r>
          </w:p>
        </w:tc>
        <w:tc>
          <w:tcPr>
            <w:tcW w:w="1742" w:type="dxa"/>
            <w:vAlign w:val="center"/>
          </w:tcPr>
          <w:p w14:paraId="75A99F28">
            <w:pPr>
              <w:adjustRightInd w:val="0"/>
              <w:snapToGrid w:val="0"/>
              <w:jc w:val="left"/>
              <w:rPr>
                <w:rFonts w:ascii="宋体" w:hAnsi="宋体"/>
                <w:szCs w:val="21"/>
                <w:highlight w:val="none"/>
              </w:rPr>
            </w:pPr>
            <w:r>
              <w:rPr>
                <w:rFonts w:hint="eastAsia" w:ascii="宋体" w:hAnsi="宋体"/>
                <w:szCs w:val="21"/>
                <w:highlight w:val="none"/>
              </w:rPr>
              <w:t>运输特殊要求</w:t>
            </w:r>
          </w:p>
        </w:tc>
        <w:tc>
          <w:tcPr>
            <w:tcW w:w="5170" w:type="dxa"/>
            <w:vAlign w:val="center"/>
          </w:tcPr>
          <w:p w14:paraId="6196FD6E">
            <w:pPr>
              <w:rPr>
                <w:szCs w:val="24"/>
                <w:highlight w:val="none"/>
              </w:rPr>
            </w:pPr>
          </w:p>
        </w:tc>
      </w:tr>
      <w:tr w14:paraId="2C70B7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Align w:val="center"/>
          </w:tcPr>
          <w:p w14:paraId="2B2E5E28">
            <w:pPr>
              <w:adjustRightInd w:val="0"/>
              <w:snapToGrid w:val="0"/>
              <w:jc w:val="center"/>
              <w:rPr>
                <w:rFonts w:ascii="宋体" w:hAnsi="宋体"/>
                <w:szCs w:val="21"/>
                <w:highlight w:val="none"/>
              </w:rPr>
            </w:pPr>
            <w:r>
              <w:rPr>
                <w:rFonts w:hint="eastAsia" w:ascii="宋体" w:hAnsi="宋体"/>
                <w:szCs w:val="21"/>
                <w:highlight w:val="none"/>
              </w:rPr>
              <w:t>第二节</w:t>
            </w:r>
          </w:p>
          <w:p w14:paraId="0ACE82FB">
            <w:pPr>
              <w:adjustRightInd w:val="0"/>
              <w:snapToGrid w:val="0"/>
              <w:jc w:val="center"/>
              <w:rPr>
                <w:rFonts w:ascii="宋体" w:hAnsi="宋体"/>
                <w:szCs w:val="21"/>
                <w:highlight w:val="none"/>
              </w:rPr>
            </w:pPr>
            <w:r>
              <w:rPr>
                <w:rFonts w:hint="eastAsia" w:ascii="宋体" w:hAnsi="宋体"/>
                <w:szCs w:val="21"/>
                <w:highlight w:val="none"/>
              </w:rPr>
              <w:t>第7.3款</w:t>
            </w:r>
          </w:p>
        </w:tc>
        <w:tc>
          <w:tcPr>
            <w:tcW w:w="1742" w:type="dxa"/>
            <w:vAlign w:val="center"/>
          </w:tcPr>
          <w:p w14:paraId="08A4EABC">
            <w:pPr>
              <w:adjustRightInd w:val="0"/>
              <w:snapToGrid w:val="0"/>
              <w:jc w:val="left"/>
              <w:rPr>
                <w:rFonts w:ascii="宋体" w:hAnsi="宋体"/>
                <w:szCs w:val="21"/>
                <w:highlight w:val="none"/>
              </w:rPr>
            </w:pPr>
            <w:r>
              <w:rPr>
                <w:rFonts w:hint="eastAsia" w:ascii="宋体" w:hAnsi="宋体"/>
                <w:szCs w:val="21"/>
                <w:highlight w:val="none"/>
              </w:rPr>
              <w:t>保险要求</w:t>
            </w:r>
          </w:p>
        </w:tc>
        <w:tc>
          <w:tcPr>
            <w:tcW w:w="5170" w:type="dxa"/>
            <w:vAlign w:val="center"/>
          </w:tcPr>
          <w:p w14:paraId="2703D719">
            <w:pPr>
              <w:rPr>
                <w:szCs w:val="24"/>
                <w:highlight w:val="none"/>
              </w:rPr>
            </w:pPr>
          </w:p>
        </w:tc>
      </w:tr>
      <w:tr w14:paraId="131462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6D15884">
            <w:pPr>
              <w:adjustRightInd w:val="0"/>
              <w:snapToGrid w:val="0"/>
              <w:jc w:val="center"/>
              <w:rPr>
                <w:rFonts w:ascii="宋体" w:hAnsi="宋体"/>
                <w:szCs w:val="21"/>
                <w:highlight w:val="none"/>
              </w:rPr>
            </w:pPr>
            <w:r>
              <w:rPr>
                <w:rFonts w:hint="eastAsia" w:ascii="宋体" w:hAnsi="宋体"/>
                <w:szCs w:val="21"/>
                <w:highlight w:val="none"/>
              </w:rPr>
              <w:t>第二节</w:t>
            </w:r>
          </w:p>
          <w:p w14:paraId="5653A156">
            <w:pPr>
              <w:adjustRightInd w:val="0"/>
              <w:snapToGrid w:val="0"/>
              <w:jc w:val="center"/>
              <w:rPr>
                <w:rFonts w:ascii="宋体" w:hAnsi="宋体"/>
                <w:szCs w:val="21"/>
                <w:highlight w:val="none"/>
              </w:rPr>
            </w:pPr>
            <w:r>
              <w:rPr>
                <w:rFonts w:hint="eastAsia" w:ascii="宋体" w:hAnsi="宋体"/>
                <w:szCs w:val="21"/>
                <w:highlight w:val="none"/>
              </w:rPr>
              <w:t>第8.2（1）项</w:t>
            </w:r>
          </w:p>
        </w:tc>
        <w:tc>
          <w:tcPr>
            <w:tcW w:w="1742" w:type="dxa"/>
            <w:vAlign w:val="center"/>
          </w:tcPr>
          <w:p w14:paraId="168B93B6">
            <w:pPr>
              <w:adjustRightInd w:val="0"/>
              <w:snapToGrid w:val="0"/>
              <w:jc w:val="left"/>
              <w:rPr>
                <w:rFonts w:ascii="宋体" w:hAnsi="宋体"/>
                <w:szCs w:val="21"/>
                <w:highlight w:val="none"/>
              </w:rPr>
            </w:pPr>
            <w:r>
              <w:rPr>
                <w:rFonts w:hint="eastAsia" w:ascii="宋体" w:hAnsi="宋体"/>
                <w:szCs w:val="21"/>
                <w:highlight w:val="none"/>
              </w:rPr>
              <w:t>质量保证期</w:t>
            </w:r>
          </w:p>
        </w:tc>
        <w:tc>
          <w:tcPr>
            <w:tcW w:w="5170" w:type="dxa"/>
            <w:vAlign w:val="center"/>
          </w:tcPr>
          <w:p w14:paraId="462B2690">
            <w:pPr>
              <w:autoSpaceDE w:val="0"/>
              <w:autoSpaceDN w:val="0"/>
              <w:adjustRightInd w:val="0"/>
              <w:snapToGrid w:val="0"/>
              <w:jc w:val="left"/>
              <w:rPr>
                <w:rFonts w:ascii="宋体" w:hAnsi="宋体"/>
                <w:szCs w:val="21"/>
                <w:highlight w:val="none"/>
              </w:rPr>
            </w:pPr>
          </w:p>
        </w:tc>
      </w:tr>
      <w:tr w14:paraId="107F33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5122FDC">
            <w:pPr>
              <w:adjustRightInd w:val="0"/>
              <w:snapToGrid w:val="0"/>
              <w:jc w:val="center"/>
              <w:rPr>
                <w:rFonts w:ascii="宋体" w:hAnsi="宋体"/>
                <w:szCs w:val="21"/>
                <w:highlight w:val="none"/>
              </w:rPr>
            </w:pPr>
            <w:r>
              <w:rPr>
                <w:rFonts w:hint="eastAsia" w:ascii="宋体" w:hAnsi="宋体"/>
                <w:szCs w:val="21"/>
                <w:highlight w:val="none"/>
              </w:rPr>
              <w:t>第二节</w:t>
            </w:r>
          </w:p>
          <w:p w14:paraId="2D50CB3A">
            <w:pPr>
              <w:adjustRightInd w:val="0"/>
              <w:snapToGrid w:val="0"/>
              <w:jc w:val="center"/>
              <w:rPr>
                <w:rFonts w:ascii="宋体" w:hAnsi="宋体"/>
                <w:szCs w:val="21"/>
                <w:highlight w:val="none"/>
              </w:rPr>
            </w:pPr>
            <w:r>
              <w:rPr>
                <w:rFonts w:hint="eastAsia" w:ascii="宋体" w:hAnsi="宋体"/>
                <w:szCs w:val="21"/>
                <w:highlight w:val="none"/>
              </w:rPr>
              <w:t>第8.2（3）项</w:t>
            </w:r>
          </w:p>
        </w:tc>
        <w:tc>
          <w:tcPr>
            <w:tcW w:w="1742" w:type="dxa"/>
            <w:vAlign w:val="center"/>
          </w:tcPr>
          <w:p w14:paraId="444E4D6A">
            <w:pPr>
              <w:adjustRightInd w:val="0"/>
              <w:snapToGrid w:val="0"/>
              <w:jc w:val="left"/>
              <w:rPr>
                <w:rFonts w:ascii="宋体" w:hAnsi="宋体"/>
                <w:szCs w:val="21"/>
                <w:highlight w:val="none"/>
              </w:rPr>
            </w:pPr>
            <w:r>
              <w:rPr>
                <w:rFonts w:hint="eastAsia" w:ascii="宋体" w:hAnsi="宋体"/>
                <w:szCs w:val="21"/>
                <w:highlight w:val="none"/>
              </w:rPr>
              <w:t>货物质量缺陷</w:t>
            </w:r>
          </w:p>
          <w:p w14:paraId="49BC746E">
            <w:pPr>
              <w:adjustRightInd w:val="0"/>
              <w:snapToGrid w:val="0"/>
              <w:jc w:val="left"/>
              <w:rPr>
                <w:rFonts w:ascii="宋体" w:hAnsi="宋体"/>
                <w:szCs w:val="21"/>
                <w:highlight w:val="none"/>
              </w:rPr>
            </w:pPr>
            <w:r>
              <w:rPr>
                <w:rFonts w:hint="eastAsia" w:ascii="宋体" w:hAnsi="宋体"/>
                <w:szCs w:val="21"/>
                <w:highlight w:val="none"/>
              </w:rPr>
              <w:t>响应时间</w:t>
            </w:r>
          </w:p>
        </w:tc>
        <w:tc>
          <w:tcPr>
            <w:tcW w:w="5170" w:type="dxa"/>
            <w:vAlign w:val="center"/>
          </w:tcPr>
          <w:p w14:paraId="4FB154D2">
            <w:pPr>
              <w:adjustRightInd w:val="0"/>
              <w:snapToGrid w:val="0"/>
              <w:jc w:val="left"/>
              <w:rPr>
                <w:rFonts w:ascii="宋体" w:hAnsi="宋体"/>
                <w:szCs w:val="21"/>
                <w:highlight w:val="none"/>
              </w:rPr>
            </w:pPr>
          </w:p>
        </w:tc>
      </w:tr>
      <w:tr w14:paraId="18F4CB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825FA0D">
            <w:pPr>
              <w:snapToGrid w:val="0"/>
              <w:jc w:val="center"/>
              <w:rPr>
                <w:rFonts w:ascii="宋体" w:hAnsi="宋体" w:cs="宋体"/>
                <w:szCs w:val="21"/>
                <w:highlight w:val="none"/>
              </w:rPr>
            </w:pPr>
            <w:r>
              <w:rPr>
                <w:rFonts w:hint="eastAsia" w:ascii="宋体" w:hAnsi="宋体" w:cs="宋体"/>
                <w:szCs w:val="21"/>
                <w:highlight w:val="none"/>
              </w:rPr>
              <w:t>第二节</w:t>
            </w:r>
          </w:p>
          <w:p w14:paraId="77ED9D4F">
            <w:pPr>
              <w:widowControl/>
              <w:autoSpaceDE w:val="0"/>
              <w:autoSpaceDN w:val="0"/>
              <w:adjustRightInd w:val="0"/>
              <w:spacing w:line="400" w:lineRule="exact"/>
              <w:jc w:val="center"/>
              <w:rPr>
                <w:rFonts w:ascii="华文楷体" w:hAnsi="华文楷体" w:eastAsia="华文楷体" w:cs="华文楷体"/>
                <w:kern w:val="0"/>
                <w:sz w:val="22"/>
                <w:szCs w:val="21"/>
                <w:highlight w:val="none"/>
              </w:rPr>
            </w:pPr>
            <w:r>
              <w:rPr>
                <w:rFonts w:hint="eastAsia" w:ascii="宋体" w:hAnsi="宋体" w:cs="宋体"/>
                <w:kern w:val="0"/>
                <w:sz w:val="22"/>
                <w:szCs w:val="21"/>
                <w:highlight w:val="none"/>
              </w:rPr>
              <w:t>第11.1款</w:t>
            </w:r>
          </w:p>
        </w:tc>
        <w:tc>
          <w:tcPr>
            <w:tcW w:w="1742" w:type="dxa"/>
            <w:vAlign w:val="center"/>
          </w:tcPr>
          <w:p w14:paraId="7DFD7778">
            <w:pPr>
              <w:adjustRightInd w:val="0"/>
              <w:snapToGrid w:val="0"/>
              <w:rPr>
                <w:rFonts w:ascii="宋体" w:hAnsi="宋体"/>
                <w:szCs w:val="21"/>
                <w:highlight w:val="none"/>
              </w:rPr>
            </w:pPr>
            <w:r>
              <w:rPr>
                <w:rFonts w:hint="eastAsia" w:ascii="宋体" w:hAnsi="宋体"/>
                <w:szCs w:val="21"/>
                <w:highlight w:val="none"/>
              </w:rPr>
              <w:t>其他应当保密的信息</w:t>
            </w:r>
          </w:p>
        </w:tc>
        <w:tc>
          <w:tcPr>
            <w:tcW w:w="5170" w:type="dxa"/>
            <w:vAlign w:val="center"/>
          </w:tcPr>
          <w:p w14:paraId="69B2A8CE">
            <w:pPr>
              <w:adjustRightInd w:val="0"/>
              <w:snapToGrid w:val="0"/>
              <w:jc w:val="left"/>
              <w:rPr>
                <w:rFonts w:ascii="宋体" w:hAnsi="宋体"/>
                <w:szCs w:val="21"/>
                <w:highlight w:val="none"/>
              </w:rPr>
            </w:pPr>
          </w:p>
        </w:tc>
      </w:tr>
      <w:tr w14:paraId="1794F1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452DCBD1">
            <w:pPr>
              <w:adjustRightInd w:val="0"/>
              <w:snapToGrid w:val="0"/>
              <w:jc w:val="center"/>
              <w:rPr>
                <w:rFonts w:ascii="宋体" w:hAnsi="宋体"/>
                <w:szCs w:val="21"/>
                <w:highlight w:val="none"/>
              </w:rPr>
            </w:pPr>
            <w:r>
              <w:rPr>
                <w:rFonts w:hint="eastAsia" w:ascii="宋体" w:hAnsi="宋体"/>
                <w:szCs w:val="21"/>
                <w:highlight w:val="none"/>
              </w:rPr>
              <w:t>第二节</w:t>
            </w:r>
          </w:p>
          <w:p w14:paraId="4E7A378E">
            <w:pPr>
              <w:adjustRightInd w:val="0"/>
              <w:snapToGrid w:val="0"/>
              <w:jc w:val="center"/>
              <w:rPr>
                <w:rFonts w:ascii="宋体" w:hAnsi="宋体"/>
                <w:szCs w:val="21"/>
                <w:highlight w:val="none"/>
              </w:rPr>
            </w:pPr>
            <w:r>
              <w:rPr>
                <w:rFonts w:hint="eastAsia" w:ascii="宋体" w:hAnsi="宋体"/>
                <w:szCs w:val="21"/>
                <w:highlight w:val="none"/>
              </w:rPr>
              <w:t>第12.2款</w:t>
            </w:r>
          </w:p>
        </w:tc>
        <w:tc>
          <w:tcPr>
            <w:tcW w:w="1742" w:type="dxa"/>
            <w:vAlign w:val="center"/>
          </w:tcPr>
          <w:p w14:paraId="21536450">
            <w:pPr>
              <w:adjustRightInd w:val="0"/>
              <w:snapToGrid w:val="0"/>
              <w:jc w:val="left"/>
              <w:rPr>
                <w:rFonts w:ascii="宋体" w:hAnsi="宋体"/>
                <w:szCs w:val="21"/>
                <w:highlight w:val="none"/>
              </w:rPr>
            </w:pPr>
            <w:r>
              <w:rPr>
                <w:rFonts w:hint="eastAsia" w:ascii="宋体" w:hAnsi="宋体"/>
                <w:szCs w:val="21"/>
                <w:highlight w:val="none"/>
              </w:rPr>
              <w:t>合同价款支付时间</w:t>
            </w:r>
          </w:p>
        </w:tc>
        <w:tc>
          <w:tcPr>
            <w:tcW w:w="5170" w:type="dxa"/>
            <w:vAlign w:val="center"/>
          </w:tcPr>
          <w:p w14:paraId="2A233C3B">
            <w:pPr>
              <w:adjustRightInd w:val="0"/>
              <w:snapToGrid w:val="0"/>
              <w:jc w:val="left"/>
              <w:rPr>
                <w:rFonts w:ascii="宋体" w:hAnsi="宋体"/>
                <w:szCs w:val="21"/>
                <w:highlight w:val="none"/>
              </w:rPr>
            </w:pPr>
          </w:p>
        </w:tc>
      </w:tr>
      <w:tr w14:paraId="75BBE1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6BE6F41E">
            <w:pPr>
              <w:adjustRightInd w:val="0"/>
              <w:snapToGrid w:val="0"/>
              <w:jc w:val="center"/>
              <w:rPr>
                <w:rFonts w:ascii="宋体" w:hAnsi="宋体"/>
                <w:szCs w:val="21"/>
                <w:highlight w:val="none"/>
              </w:rPr>
            </w:pPr>
            <w:r>
              <w:rPr>
                <w:rFonts w:hint="eastAsia" w:ascii="宋体" w:hAnsi="宋体"/>
                <w:szCs w:val="21"/>
                <w:highlight w:val="none"/>
              </w:rPr>
              <w:t>第二节</w:t>
            </w:r>
          </w:p>
          <w:p w14:paraId="6B43E839">
            <w:pPr>
              <w:adjustRightInd w:val="0"/>
              <w:snapToGrid w:val="0"/>
              <w:jc w:val="center"/>
              <w:rPr>
                <w:rFonts w:ascii="宋体" w:hAnsi="宋体"/>
                <w:szCs w:val="21"/>
                <w:highlight w:val="none"/>
              </w:rPr>
            </w:pPr>
            <w:r>
              <w:rPr>
                <w:rFonts w:hint="eastAsia" w:ascii="宋体" w:hAnsi="宋体"/>
                <w:szCs w:val="21"/>
                <w:highlight w:val="none"/>
              </w:rPr>
              <w:t>第13.2款</w:t>
            </w:r>
          </w:p>
        </w:tc>
        <w:tc>
          <w:tcPr>
            <w:tcW w:w="1742" w:type="dxa"/>
            <w:vAlign w:val="center"/>
          </w:tcPr>
          <w:p w14:paraId="053279A0">
            <w:pPr>
              <w:adjustRightInd w:val="0"/>
              <w:snapToGrid w:val="0"/>
              <w:jc w:val="left"/>
              <w:rPr>
                <w:rFonts w:ascii="宋体" w:hAnsi="宋体"/>
                <w:szCs w:val="21"/>
                <w:highlight w:val="none"/>
              </w:rPr>
            </w:pPr>
            <w:r>
              <w:rPr>
                <w:rFonts w:hint="eastAsia" w:ascii="宋体" w:hAnsi="宋体"/>
                <w:szCs w:val="21"/>
                <w:highlight w:val="none"/>
              </w:rPr>
              <w:t>履约保函不予退还的情形</w:t>
            </w:r>
          </w:p>
        </w:tc>
        <w:tc>
          <w:tcPr>
            <w:tcW w:w="5170" w:type="dxa"/>
            <w:vAlign w:val="center"/>
          </w:tcPr>
          <w:p w14:paraId="624DE242">
            <w:pPr>
              <w:adjustRightInd w:val="0"/>
              <w:snapToGrid w:val="0"/>
              <w:jc w:val="left"/>
              <w:rPr>
                <w:rFonts w:ascii="宋体" w:hAnsi="宋体"/>
                <w:szCs w:val="21"/>
                <w:highlight w:val="none"/>
              </w:rPr>
            </w:pPr>
          </w:p>
        </w:tc>
      </w:tr>
      <w:tr w14:paraId="005863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361A51F">
            <w:pPr>
              <w:adjustRightInd w:val="0"/>
              <w:snapToGrid w:val="0"/>
              <w:jc w:val="center"/>
              <w:rPr>
                <w:rFonts w:ascii="宋体" w:hAnsi="宋体"/>
                <w:szCs w:val="21"/>
                <w:highlight w:val="none"/>
              </w:rPr>
            </w:pPr>
            <w:r>
              <w:rPr>
                <w:rFonts w:hint="eastAsia" w:ascii="宋体" w:hAnsi="宋体"/>
                <w:szCs w:val="21"/>
                <w:highlight w:val="none"/>
              </w:rPr>
              <w:t>第二节</w:t>
            </w:r>
          </w:p>
          <w:p w14:paraId="2FCB6553">
            <w:pPr>
              <w:adjustRightInd w:val="0"/>
              <w:snapToGrid w:val="0"/>
              <w:jc w:val="center"/>
              <w:rPr>
                <w:rFonts w:ascii="宋体" w:hAnsi="宋体"/>
                <w:szCs w:val="21"/>
                <w:highlight w:val="none"/>
              </w:rPr>
            </w:pPr>
            <w:r>
              <w:rPr>
                <w:rFonts w:hint="eastAsia" w:ascii="宋体" w:hAnsi="宋体"/>
                <w:szCs w:val="21"/>
                <w:highlight w:val="none"/>
              </w:rPr>
              <w:t>第13.3款</w:t>
            </w:r>
          </w:p>
        </w:tc>
        <w:tc>
          <w:tcPr>
            <w:tcW w:w="1742" w:type="dxa"/>
            <w:vAlign w:val="center"/>
          </w:tcPr>
          <w:p w14:paraId="7B251D59">
            <w:pPr>
              <w:adjustRightInd w:val="0"/>
              <w:snapToGrid w:val="0"/>
              <w:jc w:val="left"/>
              <w:rPr>
                <w:rFonts w:ascii="宋体" w:hAnsi="宋体"/>
                <w:szCs w:val="21"/>
                <w:highlight w:val="none"/>
              </w:rPr>
            </w:pPr>
            <w:r>
              <w:rPr>
                <w:rFonts w:hint="eastAsia" w:ascii="宋体" w:hAnsi="宋体"/>
                <w:szCs w:val="21"/>
                <w:highlight w:val="none"/>
              </w:rPr>
              <w:t>履约保函退还时间及逾期退还的违约金</w:t>
            </w:r>
          </w:p>
        </w:tc>
        <w:tc>
          <w:tcPr>
            <w:tcW w:w="5170" w:type="dxa"/>
            <w:vAlign w:val="center"/>
          </w:tcPr>
          <w:p w14:paraId="53C2556A">
            <w:pPr>
              <w:adjustRightInd w:val="0"/>
              <w:snapToGrid w:val="0"/>
              <w:jc w:val="left"/>
              <w:rPr>
                <w:rFonts w:ascii="宋体" w:hAnsi="宋体"/>
                <w:szCs w:val="21"/>
                <w:highlight w:val="none"/>
              </w:rPr>
            </w:pPr>
          </w:p>
        </w:tc>
      </w:tr>
      <w:tr w14:paraId="74944F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08B07F2B">
            <w:pPr>
              <w:adjustRightInd w:val="0"/>
              <w:snapToGrid w:val="0"/>
              <w:jc w:val="center"/>
              <w:rPr>
                <w:rFonts w:ascii="宋体" w:hAnsi="宋体"/>
                <w:szCs w:val="21"/>
                <w:highlight w:val="none"/>
              </w:rPr>
            </w:pPr>
            <w:r>
              <w:rPr>
                <w:rFonts w:hint="eastAsia" w:ascii="宋体" w:hAnsi="宋体"/>
                <w:szCs w:val="21"/>
                <w:highlight w:val="none"/>
              </w:rPr>
              <w:t>第二节</w:t>
            </w:r>
          </w:p>
          <w:p w14:paraId="1C399658">
            <w:pPr>
              <w:adjustRightInd w:val="0"/>
              <w:snapToGrid w:val="0"/>
              <w:jc w:val="center"/>
              <w:rPr>
                <w:rFonts w:ascii="宋体" w:hAnsi="宋体"/>
                <w:szCs w:val="21"/>
                <w:highlight w:val="none"/>
              </w:rPr>
            </w:pPr>
            <w:r>
              <w:rPr>
                <w:rFonts w:hint="eastAsia" w:ascii="宋体" w:hAnsi="宋体"/>
                <w:szCs w:val="21"/>
                <w:highlight w:val="none"/>
              </w:rPr>
              <w:t>第14.1（3）项</w:t>
            </w:r>
          </w:p>
        </w:tc>
        <w:tc>
          <w:tcPr>
            <w:tcW w:w="1742" w:type="dxa"/>
            <w:vAlign w:val="center"/>
          </w:tcPr>
          <w:p w14:paraId="54DAAB3D">
            <w:pPr>
              <w:adjustRightInd w:val="0"/>
              <w:snapToGrid w:val="0"/>
              <w:jc w:val="left"/>
              <w:rPr>
                <w:rFonts w:ascii="宋体" w:hAnsi="宋体"/>
                <w:szCs w:val="21"/>
                <w:highlight w:val="none"/>
              </w:rPr>
            </w:pPr>
            <w:r>
              <w:rPr>
                <w:rFonts w:hint="eastAsia" w:ascii="宋体" w:hAnsi="宋体"/>
                <w:szCs w:val="21"/>
                <w:highlight w:val="none"/>
              </w:rPr>
              <w:t>运行监督、维修期限</w:t>
            </w:r>
          </w:p>
        </w:tc>
        <w:tc>
          <w:tcPr>
            <w:tcW w:w="5170" w:type="dxa"/>
            <w:vAlign w:val="center"/>
          </w:tcPr>
          <w:p w14:paraId="110B9CBF">
            <w:pPr>
              <w:adjustRightInd w:val="0"/>
              <w:snapToGrid w:val="0"/>
              <w:jc w:val="left"/>
              <w:rPr>
                <w:rFonts w:ascii="宋体" w:hAnsi="宋体"/>
                <w:szCs w:val="21"/>
                <w:highlight w:val="none"/>
              </w:rPr>
            </w:pPr>
          </w:p>
        </w:tc>
      </w:tr>
      <w:tr w14:paraId="15A711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6AC3E389">
            <w:pPr>
              <w:adjustRightInd w:val="0"/>
              <w:snapToGrid w:val="0"/>
              <w:jc w:val="center"/>
              <w:rPr>
                <w:rFonts w:ascii="宋体" w:hAnsi="宋体"/>
                <w:szCs w:val="21"/>
                <w:highlight w:val="none"/>
              </w:rPr>
            </w:pPr>
            <w:r>
              <w:rPr>
                <w:rFonts w:hint="eastAsia" w:ascii="宋体" w:hAnsi="宋体"/>
                <w:szCs w:val="21"/>
                <w:highlight w:val="none"/>
              </w:rPr>
              <w:t>第二节</w:t>
            </w:r>
          </w:p>
          <w:p w14:paraId="0CC7FE41">
            <w:pPr>
              <w:adjustRightInd w:val="0"/>
              <w:snapToGrid w:val="0"/>
              <w:jc w:val="center"/>
              <w:rPr>
                <w:rFonts w:ascii="宋体" w:hAnsi="宋体"/>
                <w:szCs w:val="21"/>
                <w:highlight w:val="none"/>
              </w:rPr>
            </w:pPr>
            <w:r>
              <w:rPr>
                <w:rFonts w:hint="eastAsia" w:ascii="宋体" w:hAnsi="宋体"/>
                <w:szCs w:val="21"/>
                <w:highlight w:val="none"/>
              </w:rPr>
              <w:t>第14.1（5）项</w:t>
            </w:r>
          </w:p>
        </w:tc>
        <w:tc>
          <w:tcPr>
            <w:tcW w:w="1742" w:type="dxa"/>
            <w:vAlign w:val="center"/>
          </w:tcPr>
          <w:p w14:paraId="42337F3A">
            <w:pPr>
              <w:adjustRightInd w:val="0"/>
              <w:snapToGrid w:val="0"/>
              <w:jc w:val="left"/>
              <w:rPr>
                <w:rFonts w:ascii="宋体" w:hAnsi="宋体"/>
                <w:szCs w:val="21"/>
                <w:highlight w:val="none"/>
              </w:rPr>
            </w:pPr>
            <w:r>
              <w:rPr>
                <w:rFonts w:hint="eastAsia" w:ascii="宋体" w:hAnsi="宋体"/>
                <w:szCs w:val="21"/>
                <w:highlight w:val="none"/>
              </w:rPr>
              <w:t>货物回收的约定</w:t>
            </w:r>
          </w:p>
        </w:tc>
        <w:tc>
          <w:tcPr>
            <w:tcW w:w="5170" w:type="dxa"/>
            <w:vAlign w:val="center"/>
          </w:tcPr>
          <w:p w14:paraId="64BE6646">
            <w:pPr>
              <w:adjustRightInd w:val="0"/>
              <w:snapToGrid w:val="0"/>
              <w:jc w:val="left"/>
              <w:rPr>
                <w:rFonts w:ascii="宋体" w:hAnsi="宋体"/>
                <w:szCs w:val="21"/>
                <w:highlight w:val="none"/>
              </w:rPr>
            </w:pPr>
          </w:p>
        </w:tc>
      </w:tr>
      <w:tr w14:paraId="5A009C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57EB7935">
            <w:pPr>
              <w:adjustRightInd w:val="0"/>
              <w:snapToGrid w:val="0"/>
              <w:jc w:val="center"/>
              <w:rPr>
                <w:rFonts w:ascii="宋体" w:hAnsi="宋体"/>
                <w:szCs w:val="21"/>
                <w:highlight w:val="none"/>
              </w:rPr>
            </w:pPr>
            <w:r>
              <w:rPr>
                <w:rFonts w:hint="eastAsia" w:ascii="宋体" w:hAnsi="宋体"/>
                <w:szCs w:val="21"/>
                <w:highlight w:val="none"/>
              </w:rPr>
              <w:t>第二节</w:t>
            </w:r>
          </w:p>
          <w:p w14:paraId="1CA8B32A">
            <w:pPr>
              <w:adjustRightInd w:val="0"/>
              <w:snapToGrid w:val="0"/>
              <w:jc w:val="center"/>
              <w:rPr>
                <w:rFonts w:ascii="宋体" w:hAnsi="宋体"/>
                <w:szCs w:val="21"/>
                <w:highlight w:val="none"/>
              </w:rPr>
            </w:pPr>
            <w:r>
              <w:rPr>
                <w:rFonts w:hint="eastAsia" w:ascii="宋体" w:hAnsi="宋体"/>
                <w:szCs w:val="21"/>
                <w:highlight w:val="none"/>
              </w:rPr>
              <w:t>第14.1（6）项</w:t>
            </w:r>
          </w:p>
        </w:tc>
        <w:tc>
          <w:tcPr>
            <w:tcW w:w="1742" w:type="dxa"/>
            <w:vAlign w:val="center"/>
          </w:tcPr>
          <w:p w14:paraId="488FBB09">
            <w:pPr>
              <w:adjustRightInd w:val="0"/>
              <w:snapToGrid w:val="0"/>
              <w:jc w:val="left"/>
              <w:rPr>
                <w:rFonts w:ascii="宋体" w:hAnsi="宋体"/>
                <w:szCs w:val="21"/>
                <w:highlight w:val="none"/>
              </w:rPr>
            </w:pPr>
            <w:r>
              <w:rPr>
                <w:rFonts w:hint="eastAsia" w:ascii="宋体" w:hAnsi="宋体"/>
                <w:szCs w:val="21"/>
                <w:highlight w:val="none"/>
              </w:rPr>
              <w:t>乙方提供的其他服务</w:t>
            </w:r>
          </w:p>
        </w:tc>
        <w:tc>
          <w:tcPr>
            <w:tcW w:w="5170" w:type="dxa"/>
            <w:vAlign w:val="center"/>
          </w:tcPr>
          <w:p w14:paraId="6516ADBA">
            <w:pPr>
              <w:adjustRightInd w:val="0"/>
              <w:snapToGrid w:val="0"/>
              <w:jc w:val="left"/>
              <w:rPr>
                <w:rFonts w:ascii="宋体" w:hAnsi="宋体"/>
                <w:szCs w:val="21"/>
                <w:highlight w:val="none"/>
              </w:rPr>
            </w:pPr>
          </w:p>
        </w:tc>
      </w:tr>
      <w:tr w14:paraId="73DCCC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8AA71C3">
            <w:pPr>
              <w:adjustRightInd w:val="0"/>
              <w:snapToGrid w:val="0"/>
              <w:jc w:val="center"/>
              <w:rPr>
                <w:rFonts w:ascii="宋体" w:hAnsi="宋体"/>
                <w:szCs w:val="21"/>
                <w:highlight w:val="none"/>
              </w:rPr>
            </w:pPr>
            <w:r>
              <w:rPr>
                <w:rFonts w:hint="eastAsia" w:ascii="宋体" w:hAnsi="宋体"/>
                <w:szCs w:val="21"/>
                <w:highlight w:val="none"/>
              </w:rPr>
              <w:t>第二节</w:t>
            </w:r>
          </w:p>
          <w:p w14:paraId="3F523CA9">
            <w:pPr>
              <w:adjustRightInd w:val="0"/>
              <w:snapToGrid w:val="0"/>
              <w:jc w:val="center"/>
              <w:rPr>
                <w:rFonts w:ascii="宋体" w:hAnsi="宋体"/>
                <w:szCs w:val="21"/>
                <w:highlight w:val="none"/>
              </w:rPr>
            </w:pPr>
            <w:r>
              <w:rPr>
                <w:rFonts w:hint="eastAsia" w:ascii="宋体" w:hAnsi="宋体"/>
                <w:szCs w:val="21"/>
                <w:highlight w:val="none"/>
              </w:rPr>
              <w:t>第11款</w:t>
            </w:r>
          </w:p>
        </w:tc>
        <w:tc>
          <w:tcPr>
            <w:tcW w:w="1742" w:type="dxa"/>
            <w:vAlign w:val="center"/>
          </w:tcPr>
          <w:p w14:paraId="630EB74B">
            <w:pPr>
              <w:adjustRightInd w:val="0"/>
              <w:snapToGrid w:val="0"/>
              <w:jc w:val="left"/>
              <w:rPr>
                <w:rFonts w:ascii="宋体" w:hAnsi="宋体"/>
                <w:szCs w:val="21"/>
                <w:highlight w:val="none"/>
              </w:rPr>
            </w:pPr>
            <w:r>
              <w:rPr>
                <w:rFonts w:hint="eastAsia" w:ascii="宋体" w:hAnsi="宋体"/>
                <w:szCs w:val="21"/>
                <w:highlight w:val="none"/>
              </w:rPr>
              <w:t>修理、重作、更换相关具体规定</w:t>
            </w:r>
          </w:p>
        </w:tc>
        <w:tc>
          <w:tcPr>
            <w:tcW w:w="5170" w:type="dxa"/>
            <w:vAlign w:val="center"/>
          </w:tcPr>
          <w:p w14:paraId="2E85856D">
            <w:pPr>
              <w:adjustRightInd w:val="0"/>
              <w:snapToGrid w:val="0"/>
              <w:jc w:val="left"/>
              <w:rPr>
                <w:rFonts w:ascii="宋体" w:hAnsi="宋体"/>
                <w:szCs w:val="21"/>
                <w:highlight w:val="none"/>
              </w:rPr>
            </w:pPr>
          </w:p>
        </w:tc>
      </w:tr>
      <w:tr w14:paraId="2A79CF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644E0A5">
            <w:pPr>
              <w:adjustRightInd w:val="0"/>
              <w:snapToGrid w:val="0"/>
              <w:jc w:val="center"/>
              <w:rPr>
                <w:rFonts w:ascii="宋体" w:hAnsi="宋体"/>
                <w:szCs w:val="21"/>
                <w:highlight w:val="none"/>
              </w:rPr>
            </w:pPr>
            <w:r>
              <w:rPr>
                <w:rFonts w:hint="eastAsia" w:ascii="宋体" w:hAnsi="宋体"/>
                <w:szCs w:val="21"/>
                <w:highlight w:val="none"/>
              </w:rPr>
              <w:t>第二节</w:t>
            </w:r>
          </w:p>
          <w:p w14:paraId="4C1A4E85">
            <w:pPr>
              <w:adjustRightInd w:val="0"/>
              <w:snapToGrid w:val="0"/>
              <w:jc w:val="center"/>
              <w:rPr>
                <w:rFonts w:ascii="宋体" w:hAnsi="宋体"/>
                <w:szCs w:val="21"/>
                <w:highlight w:val="none"/>
              </w:rPr>
            </w:pPr>
            <w:r>
              <w:rPr>
                <w:rFonts w:hint="eastAsia" w:ascii="宋体" w:hAnsi="宋体"/>
                <w:szCs w:val="21"/>
                <w:highlight w:val="none"/>
              </w:rPr>
              <w:t>第12（2）项</w:t>
            </w:r>
          </w:p>
        </w:tc>
        <w:tc>
          <w:tcPr>
            <w:tcW w:w="1742" w:type="dxa"/>
            <w:vAlign w:val="center"/>
          </w:tcPr>
          <w:p w14:paraId="549ED052">
            <w:pPr>
              <w:adjustRightInd w:val="0"/>
              <w:snapToGrid w:val="0"/>
              <w:jc w:val="left"/>
              <w:rPr>
                <w:rFonts w:ascii="宋体" w:hAnsi="宋体"/>
                <w:szCs w:val="21"/>
                <w:highlight w:val="none"/>
              </w:rPr>
            </w:pPr>
            <w:r>
              <w:rPr>
                <w:rFonts w:hint="eastAsia" w:ascii="宋体" w:hAnsi="宋体"/>
                <w:szCs w:val="21"/>
                <w:highlight w:val="none"/>
              </w:rPr>
              <w:t>迟延交货赔偿费</w:t>
            </w:r>
          </w:p>
        </w:tc>
        <w:tc>
          <w:tcPr>
            <w:tcW w:w="5170" w:type="dxa"/>
            <w:vAlign w:val="center"/>
          </w:tcPr>
          <w:p w14:paraId="44F85F45">
            <w:pPr>
              <w:adjustRightInd w:val="0"/>
              <w:snapToGrid w:val="0"/>
              <w:jc w:val="left"/>
              <w:rPr>
                <w:rFonts w:ascii="宋体" w:hAnsi="宋体"/>
                <w:szCs w:val="21"/>
                <w:highlight w:val="none"/>
                <w:u w:val="single"/>
              </w:rPr>
            </w:pPr>
          </w:p>
        </w:tc>
      </w:tr>
      <w:tr w14:paraId="109003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4C939D45">
            <w:pPr>
              <w:adjustRightInd w:val="0"/>
              <w:snapToGrid w:val="0"/>
              <w:jc w:val="center"/>
              <w:rPr>
                <w:rFonts w:ascii="宋体" w:hAnsi="宋体"/>
                <w:szCs w:val="21"/>
                <w:highlight w:val="none"/>
              </w:rPr>
            </w:pPr>
            <w:r>
              <w:rPr>
                <w:rFonts w:hint="eastAsia" w:ascii="宋体" w:hAnsi="宋体"/>
                <w:szCs w:val="21"/>
                <w:highlight w:val="none"/>
              </w:rPr>
              <w:t>第二节</w:t>
            </w:r>
          </w:p>
          <w:p w14:paraId="5C5CDFA6">
            <w:pPr>
              <w:adjustRightInd w:val="0"/>
              <w:snapToGrid w:val="0"/>
              <w:jc w:val="center"/>
              <w:rPr>
                <w:rFonts w:ascii="宋体" w:hAnsi="宋体"/>
                <w:szCs w:val="21"/>
                <w:highlight w:val="none"/>
              </w:rPr>
            </w:pPr>
            <w:r>
              <w:rPr>
                <w:rFonts w:hint="eastAsia" w:ascii="宋体" w:hAnsi="宋体"/>
                <w:szCs w:val="21"/>
                <w:highlight w:val="none"/>
              </w:rPr>
              <w:t>第13款</w:t>
            </w:r>
          </w:p>
        </w:tc>
        <w:tc>
          <w:tcPr>
            <w:tcW w:w="1742" w:type="dxa"/>
            <w:vAlign w:val="center"/>
          </w:tcPr>
          <w:p w14:paraId="59098F82">
            <w:pPr>
              <w:adjustRightInd w:val="0"/>
              <w:snapToGrid w:val="0"/>
              <w:jc w:val="left"/>
              <w:rPr>
                <w:rFonts w:ascii="宋体" w:hAnsi="宋体"/>
                <w:szCs w:val="21"/>
                <w:highlight w:val="none"/>
              </w:rPr>
            </w:pPr>
            <w:r>
              <w:rPr>
                <w:rFonts w:hint="eastAsia" w:ascii="宋体" w:hAnsi="宋体"/>
                <w:szCs w:val="21"/>
                <w:highlight w:val="none"/>
              </w:rPr>
              <w:t>逾期付款利息</w:t>
            </w:r>
          </w:p>
        </w:tc>
        <w:tc>
          <w:tcPr>
            <w:tcW w:w="5170" w:type="dxa"/>
            <w:vAlign w:val="center"/>
          </w:tcPr>
          <w:p w14:paraId="4B05B3A1">
            <w:pPr>
              <w:adjustRightInd w:val="0"/>
              <w:snapToGrid w:val="0"/>
              <w:jc w:val="left"/>
              <w:rPr>
                <w:rFonts w:ascii="宋体" w:hAnsi="宋体"/>
                <w:szCs w:val="21"/>
                <w:highlight w:val="none"/>
                <w:u w:val="single"/>
              </w:rPr>
            </w:pPr>
          </w:p>
        </w:tc>
      </w:tr>
      <w:tr w14:paraId="27163E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vAlign w:val="center"/>
          </w:tcPr>
          <w:p w14:paraId="47B79008">
            <w:pPr>
              <w:adjustRightInd w:val="0"/>
              <w:snapToGrid w:val="0"/>
              <w:jc w:val="center"/>
              <w:rPr>
                <w:rFonts w:ascii="宋体" w:hAnsi="宋体"/>
                <w:szCs w:val="21"/>
                <w:highlight w:val="none"/>
              </w:rPr>
            </w:pPr>
            <w:r>
              <w:rPr>
                <w:rFonts w:hint="eastAsia" w:ascii="宋体" w:hAnsi="宋体"/>
                <w:szCs w:val="21"/>
                <w:highlight w:val="none"/>
              </w:rPr>
              <w:t>第二节</w:t>
            </w:r>
          </w:p>
          <w:p w14:paraId="4303C07C">
            <w:pPr>
              <w:adjustRightInd w:val="0"/>
              <w:snapToGrid w:val="0"/>
              <w:jc w:val="center"/>
              <w:rPr>
                <w:rFonts w:ascii="宋体" w:hAnsi="宋体"/>
                <w:szCs w:val="21"/>
                <w:highlight w:val="none"/>
              </w:rPr>
            </w:pPr>
            <w:r>
              <w:rPr>
                <w:rFonts w:hint="eastAsia" w:ascii="宋体" w:hAnsi="宋体"/>
                <w:szCs w:val="21"/>
                <w:highlight w:val="none"/>
              </w:rPr>
              <w:t>第14款</w:t>
            </w:r>
          </w:p>
        </w:tc>
        <w:tc>
          <w:tcPr>
            <w:tcW w:w="1742" w:type="dxa"/>
            <w:tcBorders>
              <w:left w:val="single" w:color="auto" w:sz="2" w:space="0"/>
              <w:bottom w:val="single" w:color="auto" w:sz="2" w:space="0"/>
              <w:right w:val="single" w:color="auto" w:sz="2" w:space="0"/>
            </w:tcBorders>
            <w:vAlign w:val="center"/>
          </w:tcPr>
          <w:p w14:paraId="684F708A">
            <w:pPr>
              <w:adjustRightInd w:val="0"/>
              <w:snapToGrid w:val="0"/>
              <w:jc w:val="left"/>
              <w:rPr>
                <w:rFonts w:ascii="宋体" w:hAnsi="宋体"/>
                <w:szCs w:val="21"/>
                <w:highlight w:val="none"/>
              </w:rPr>
            </w:pPr>
            <w:r>
              <w:rPr>
                <w:rFonts w:hint="eastAsia" w:ascii="宋体" w:hAnsi="宋体"/>
                <w:szCs w:val="21"/>
                <w:highlight w:val="none"/>
              </w:rPr>
              <w:t>其他违约责任</w:t>
            </w:r>
          </w:p>
        </w:tc>
        <w:tc>
          <w:tcPr>
            <w:tcW w:w="5170" w:type="dxa"/>
            <w:tcBorders>
              <w:left w:val="single" w:color="auto" w:sz="2" w:space="0"/>
              <w:bottom w:val="single" w:color="auto" w:sz="2" w:space="0"/>
            </w:tcBorders>
            <w:vAlign w:val="center"/>
          </w:tcPr>
          <w:p w14:paraId="3FFD2FB6">
            <w:pPr>
              <w:adjustRightInd w:val="0"/>
              <w:snapToGrid w:val="0"/>
              <w:jc w:val="left"/>
              <w:rPr>
                <w:rFonts w:ascii="宋体" w:hAnsi="宋体"/>
                <w:szCs w:val="21"/>
                <w:highlight w:val="none"/>
                <w:u w:val="single"/>
              </w:rPr>
            </w:pPr>
          </w:p>
        </w:tc>
      </w:tr>
      <w:tr w14:paraId="5BBB67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vAlign w:val="center"/>
          </w:tcPr>
          <w:p w14:paraId="1EB03BFE">
            <w:pPr>
              <w:adjustRightInd w:val="0"/>
              <w:snapToGrid w:val="0"/>
              <w:jc w:val="center"/>
              <w:rPr>
                <w:rFonts w:ascii="宋体" w:hAnsi="宋体"/>
                <w:szCs w:val="21"/>
                <w:highlight w:val="none"/>
              </w:rPr>
            </w:pPr>
            <w:r>
              <w:rPr>
                <w:rFonts w:hint="eastAsia" w:ascii="宋体" w:hAnsi="宋体"/>
                <w:szCs w:val="21"/>
                <w:highlight w:val="none"/>
              </w:rPr>
              <w:t>第二节</w:t>
            </w:r>
          </w:p>
          <w:p w14:paraId="7F94B9C5">
            <w:pPr>
              <w:adjustRightInd w:val="0"/>
              <w:snapToGrid w:val="0"/>
              <w:jc w:val="center"/>
              <w:rPr>
                <w:rFonts w:ascii="宋体" w:hAnsi="宋体"/>
                <w:szCs w:val="21"/>
                <w:highlight w:val="none"/>
              </w:rPr>
            </w:pPr>
            <w:r>
              <w:rPr>
                <w:rFonts w:hint="eastAsia" w:ascii="宋体" w:hAnsi="宋体"/>
                <w:szCs w:val="21"/>
                <w:highlight w:val="none"/>
              </w:rPr>
              <w:t>第19.2款</w:t>
            </w:r>
          </w:p>
        </w:tc>
        <w:tc>
          <w:tcPr>
            <w:tcW w:w="1742" w:type="dxa"/>
            <w:tcBorders>
              <w:top w:val="single" w:color="auto" w:sz="2" w:space="0"/>
              <w:left w:val="single" w:color="auto" w:sz="2" w:space="0"/>
              <w:right w:val="single" w:color="auto" w:sz="2" w:space="0"/>
            </w:tcBorders>
            <w:vAlign w:val="center"/>
          </w:tcPr>
          <w:p w14:paraId="20D8081B">
            <w:pPr>
              <w:adjustRightInd w:val="0"/>
              <w:snapToGrid w:val="0"/>
              <w:jc w:val="left"/>
              <w:rPr>
                <w:rFonts w:ascii="宋体" w:hAnsi="宋体"/>
                <w:szCs w:val="21"/>
                <w:highlight w:val="none"/>
              </w:rPr>
            </w:pPr>
            <w:r>
              <w:rPr>
                <w:rFonts w:hint="eastAsia" w:ascii="宋体" w:hAnsi="宋体"/>
                <w:szCs w:val="21"/>
                <w:highlight w:val="none"/>
              </w:rPr>
              <w:t>解决争议的方法</w:t>
            </w:r>
          </w:p>
        </w:tc>
        <w:tc>
          <w:tcPr>
            <w:tcW w:w="5170" w:type="dxa"/>
            <w:tcBorders>
              <w:top w:val="single" w:color="auto" w:sz="2" w:space="0"/>
              <w:left w:val="single" w:color="auto" w:sz="2" w:space="0"/>
            </w:tcBorders>
            <w:vAlign w:val="center"/>
          </w:tcPr>
          <w:p w14:paraId="4C2B6394">
            <w:pPr>
              <w:autoSpaceDE w:val="0"/>
              <w:autoSpaceDN w:val="0"/>
              <w:adjustRightInd w:val="0"/>
              <w:snapToGrid w:val="0"/>
              <w:spacing w:line="400" w:lineRule="exact"/>
              <w:jc w:val="left"/>
              <w:rPr>
                <w:rFonts w:ascii="宋体" w:hAnsi="宋体" w:cs="宋体"/>
                <w:iCs/>
                <w:szCs w:val="21"/>
                <w:highlight w:val="none"/>
              </w:rPr>
            </w:pPr>
            <w:r>
              <w:rPr>
                <w:rFonts w:hint="eastAsia" w:ascii="宋体" w:hAnsi="宋体" w:cs="宋体"/>
                <w:iCs/>
                <w:szCs w:val="21"/>
                <w:highlight w:val="none"/>
              </w:rPr>
              <w:t>因本合同及合同有关事项发生的争议，按下列第</w:t>
            </w:r>
            <w:r>
              <w:rPr>
                <w:rFonts w:hint="eastAsia" w:ascii="宋体" w:hAnsi="宋体" w:cs="宋体"/>
                <w:iCs/>
                <w:szCs w:val="21"/>
                <w:highlight w:val="none"/>
                <w:u w:val="single"/>
              </w:rPr>
              <w:t xml:space="preserve">   </w:t>
            </w:r>
            <w:r>
              <w:rPr>
                <w:rFonts w:hint="eastAsia" w:ascii="宋体" w:hAnsi="宋体" w:cs="宋体"/>
                <w:iCs/>
                <w:szCs w:val="21"/>
                <w:highlight w:val="none"/>
              </w:rPr>
              <w:t>种方式解决：</w:t>
            </w:r>
          </w:p>
          <w:p w14:paraId="787BAD50">
            <w:pPr>
              <w:autoSpaceDE w:val="0"/>
              <w:autoSpaceDN w:val="0"/>
              <w:adjustRightInd w:val="0"/>
              <w:snapToGrid w:val="0"/>
              <w:spacing w:line="400" w:lineRule="exact"/>
              <w:jc w:val="left"/>
              <w:rPr>
                <w:rFonts w:ascii="宋体" w:hAnsi="宋体" w:cs="宋体"/>
                <w:iCs/>
                <w:szCs w:val="21"/>
                <w:highlight w:val="none"/>
              </w:rPr>
            </w:pPr>
            <w:r>
              <w:rPr>
                <w:rFonts w:hint="eastAsia" w:ascii="宋体" w:hAnsi="宋体" w:cs="宋体"/>
                <w:iCs/>
                <w:szCs w:val="21"/>
                <w:highlight w:val="none"/>
              </w:rPr>
              <w:t>（1）向</w:t>
            </w:r>
            <w:r>
              <w:rPr>
                <w:rFonts w:hint="eastAsia" w:ascii="宋体" w:hAnsi="宋体" w:cs="宋体"/>
                <w:iCs/>
                <w:szCs w:val="21"/>
                <w:highlight w:val="none"/>
                <w:u w:val="single"/>
              </w:rPr>
              <w:t xml:space="preserve">                    </w:t>
            </w:r>
            <w:r>
              <w:rPr>
                <w:rFonts w:hint="eastAsia" w:ascii="宋体" w:hAnsi="宋体" w:cs="宋体"/>
                <w:iCs/>
                <w:szCs w:val="21"/>
                <w:highlight w:val="none"/>
              </w:rPr>
              <w:t>仲裁委员会申请仲裁，仲裁地点为</w:t>
            </w:r>
            <w:r>
              <w:rPr>
                <w:rFonts w:hint="eastAsia" w:ascii="宋体" w:hAnsi="宋体" w:cs="宋体"/>
                <w:iCs/>
                <w:szCs w:val="21"/>
                <w:highlight w:val="none"/>
                <w:u w:val="single"/>
              </w:rPr>
              <w:t xml:space="preserve">           </w:t>
            </w:r>
            <w:r>
              <w:rPr>
                <w:rFonts w:hint="eastAsia" w:ascii="宋体" w:hAnsi="宋体" w:cs="宋体"/>
                <w:iCs/>
                <w:szCs w:val="21"/>
                <w:highlight w:val="none"/>
              </w:rPr>
              <w:t>；</w:t>
            </w:r>
          </w:p>
          <w:p w14:paraId="788249BF">
            <w:pPr>
              <w:adjustRightInd w:val="0"/>
              <w:snapToGrid w:val="0"/>
              <w:jc w:val="left"/>
              <w:rPr>
                <w:rFonts w:ascii="宋体" w:hAnsi="宋体"/>
                <w:szCs w:val="21"/>
                <w:highlight w:val="none"/>
                <w:u w:val="single"/>
              </w:rPr>
            </w:pPr>
            <w:r>
              <w:rPr>
                <w:rFonts w:hint="eastAsia" w:ascii="宋体" w:hAnsi="宋体" w:cs="宋体"/>
                <w:iCs/>
                <w:szCs w:val="21"/>
                <w:highlight w:val="none"/>
              </w:rPr>
              <w:t>（2）向</w:t>
            </w:r>
            <w:r>
              <w:rPr>
                <w:rFonts w:hint="eastAsia" w:ascii="宋体" w:hAnsi="宋体" w:cs="宋体"/>
                <w:iCs/>
                <w:szCs w:val="21"/>
                <w:highlight w:val="none"/>
                <w:u w:val="single"/>
              </w:rPr>
              <w:t xml:space="preserve">                    </w:t>
            </w:r>
            <w:r>
              <w:rPr>
                <w:rFonts w:hint="eastAsia" w:ascii="宋体" w:hAnsi="宋体" w:cs="宋体"/>
                <w:iCs/>
                <w:szCs w:val="21"/>
                <w:highlight w:val="none"/>
              </w:rPr>
              <w:t>人民法院起诉。</w:t>
            </w:r>
          </w:p>
        </w:tc>
      </w:tr>
      <w:tr w14:paraId="5D75D4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vAlign w:val="center"/>
          </w:tcPr>
          <w:p w14:paraId="6DF6A607">
            <w:pPr>
              <w:adjustRightInd w:val="0"/>
              <w:snapToGrid w:val="0"/>
              <w:jc w:val="center"/>
              <w:rPr>
                <w:rFonts w:ascii="宋体" w:hAnsi="宋体"/>
                <w:szCs w:val="21"/>
                <w:highlight w:val="none"/>
              </w:rPr>
            </w:pPr>
            <w:r>
              <w:rPr>
                <w:rFonts w:hint="eastAsia" w:ascii="宋体" w:hAnsi="宋体"/>
                <w:szCs w:val="21"/>
                <w:highlight w:val="none"/>
              </w:rPr>
              <w:t>第二节</w:t>
            </w:r>
          </w:p>
          <w:p w14:paraId="434F6CD5">
            <w:pPr>
              <w:adjustRightInd w:val="0"/>
              <w:snapToGrid w:val="0"/>
              <w:jc w:val="center"/>
              <w:rPr>
                <w:rFonts w:ascii="宋体" w:hAnsi="宋体"/>
                <w:szCs w:val="21"/>
                <w:highlight w:val="none"/>
              </w:rPr>
            </w:pPr>
            <w:r>
              <w:rPr>
                <w:rFonts w:hint="eastAsia" w:ascii="宋体" w:hAnsi="宋体"/>
                <w:szCs w:val="21"/>
                <w:highlight w:val="none"/>
              </w:rPr>
              <w:t>第23.1款</w:t>
            </w:r>
          </w:p>
        </w:tc>
        <w:tc>
          <w:tcPr>
            <w:tcW w:w="1742" w:type="dxa"/>
            <w:vAlign w:val="center"/>
          </w:tcPr>
          <w:p w14:paraId="2D5D1700">
            <w:pPr>
              <w:adjustRightInd w:val="0"/>
              <w:snapToGrid w:val="0"/>
              <w:jc w:val="left"/>
              <w:rPr>
                <w:rFonts w:ascii="宋体" w:hAnsi="宋体"/>
                <w:szCs w:val="21"/>
                <w:highlight w:val="none"/>
              </w:rPr>
            </w:pPr>
            <w:r>
              <w:rPr>
                <w:rFonts w:hint="eastAsia" w:ascii="宋体" w:hAnsi="宋体"/>
                <w:bCs/>
                <w:szCs w:val="21"/>
                <w:highlight w:val="none"/>
              </w:rPr>
              <w:t>其他专用条款</w:t>
            </w:r>
          </w:p>
        </w:tc>
        <w:tc>
          <w:tcPr>
            <w:tcW w:w="5170" w:type="dxa"/>
            <w:vAlign w:val="center"/>
          </w:tcPr>
          <w:p w14:paraId="632D97A4">
            <w:pPr>
              <w:adjustRightInd w:val="0"/>
              <w:snapToGrid w:val="0"/>
              <w:jc w:val="left"/>
              <w:rPr>
                <w:rFonts w:ascii="宋体" w:hAnsi="宋体"/>
                <w:szCs w:val="21"/>
                <w:highlight w:val="none"/>
              </w:rPr>
            </w:pPr>
          </w:p>
        </w:tc>
      </w:tr>
    </w:tbl>
    <w:p w14:paraId="040A3843">
      <w:pPr>
        <w:snapToGrid w:val="0"/>
        <w:spacing w:line="360" w:lineRule="auto"/>
        <w:ind w:firstLine="560" w:firstLineChars="200"/>
        <w:jc w:val="left"/>
        <w:rPr>
          <w:rFonts w:ascii="宋体" w:hAnsi="宋体" w:cs="宋体"/>
          <w:sz w:val="28"/>
          <w:szCs w:val="28"/>
          <w:highlight w:val="none"/>
        </w:rPr>
      </w:pPr>
      <w:r>
        <w:rPr>
          <w:rFonts w:hint="eastAsia" w:ascii="宋体" w:hAnsi="宋体" w:cs="宋体"/>
          <w:sz w:val="28"/>
          <w:szCs w:val="28"/>
          <w:highlight w:val="none"/>
        </w:rPr>
        <w:t>注：1、合同最终以采购单位提供为主；</w:t>
      </w:r>
    </w:p>
    <w:p w14:paraId="7074314A">
      <w:pPr>
        <w:snapToGrid w:val="0"/>
        <w:spacing w:line="360" w:lineRule="auto"/>
        <w:ind w:firstLine="560" w:firstLineChars="200"/>
        <w:jc w:val="left"/>
        <w:rPr>
          <w:rFonts w:ascii="宋体" w:hAnsi="宋体" w:cs="宋体"/>
          <w:sz w:val="28"/>
          <w:szCs w:val="28"/>
          <w:highlight w:val="none"/>
        </w:rPr>
      </w:pPr>
      <w:r>
        <w:rPr>
          <w:rFonts w:hint="eastAsia" w:ascii="宋体" w:hAnsi="宋体" w:cs="宋体"/>
          <w:sz w:val="28"/>
          <w:szCs w:val="28"/>
          <w:highlight w:val="none"/>
        </w:rPr>
        <w:t>2、合同特殊条款若与第三部分货物需求及技术要求之间有抵触，以第三部分条款为准。</w:t>
      </w:r>
    </w:p>
    <w:p w14:paraId="12E8B6E1">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14:paraId="5CEFF5CE">
      <w:pPr>
        <w:pStyle w:val="3"/>
        <w:rPr>
          <w:rFonts w:ascii="宋体" w:hAnsi="宋体" w:cs="宋体"/>
          <w:color w:val="000000" w:themeColor="text1"/>
          <w:highlight w:val="none"/>
          <w14:textFill>
            <w14:solidFill>
              <w14:schemeClr w14:val="tx1"/>
            </w14:solidFill>
          </w14:textFill>
        </w:rPr>
      </w:pPr>
      <w:bookmarkStart w:id="101" w:name="_Toc4898"/>
      <w:r>
        <w:rPr>
          <w:rFonts w:hint="eastAsia" w:ascii="宋体" w:hAnsi="宋体" w:cs="宋体"/>
          <w:color w:val="000000" w:themeColor="text1"/>
          <w:highlight w:val="none"/>
          <w14:textFill>
            <w14:solidFill>
              <w14:schemeClr w14:val="tx1"/>
            </w14:solidFill>
          </w14:textFill>
        </w:rPr>
        <w:t>第五部分 范本格式</w:t>
      </w:r>
      <w:bookmarkEnd w:id="73"/>
      <w:bookmarkEnd w:id="74"/>
      <w:bookmarkEnd w:id="75"/>
      <w:bookmarkEnd w:id="76"/>
      <w:bookmarkEnd w:id="101"/>
    </w:p>
    <w:p w14:paraId="0BB75DCE">
      <w:pPr>
        <w:pStyle w:val="4"/>
        <w:rPr>
          <w:rFonts w:ascii="宋体" w:hAnsi="宋体" w:cs="宋体"/>
          <w:color w:val="000000" w:themeColor="text1"/>
          <w:highlight w:val="none"/>
          <w14:textFill>
            <w14:solidFill>
              <w14:schemeClr w14:val="tx1"/>
            </w14:solidFill>
          </w14:textFill>
        </w:rPr>
      </w:pPr>
      <w:bookmarkStart w:id="102" w:name="_Toc669"/>
      <w:r>
        <w:rPr>
          <w:rFonts w:hint="eastAsia" w:ascii="宋体" w:hAnsi="宋体" w:cs="宋体"/>
          <w:color w:val="000000" w:themeColor="text1"/>
          <w:highlight w:val="none"/>
          <w14:textFill>
            <w14:solidFill>
              <w14:schemeClr w14:val="tx1"/>
            </w14:solidFill>
          </w14:textFill>
        </w:rPr>
        <w:t>1、投标书</w:t>
      </w:r>
      <w:bookmarkEnd w:id="102"/>
    </w:p>
    <w:p w14:paraId="15DD5302">
      <w:pPr>
        <w:autoSpaceDE w:val="0"/>
        <w:autoSpaceDN w:val="0"/>
        <w:adjustRightInd w:val="0"/>
        <w:spacing w:line="360" w:lineRule="auto"/>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致</w:t>
      </w:r>
      <w:r>
        <w:rPr>
          <w:rFonts w:hint="eastAsia" w:ascii="宋体" w:hAnsi="宋体" w:cs="宋体"/>
          <w:color w:val="000000" w:themeColor="text1"/>
          <w:kern w:val="0"/>
          <w:sz w:val="24"/>
          <w:highlight w:val="none"/>
          <w14:textFill>
            <w14:solidFill>
              <w14:schemeClr w14:val="tx1"/>
            </w14:solidFill>
          </w14:textFill>
        </w:rPr>
        <w:t xml:space="preserve"> 新疆招标有限公司</w:t>
      </w:r>
      <w:r>
        <w:rPr>
          <w:rFonts w:hint="eastAsia" w:ascii="宋体" w:hAnsi="宋体" w:cs="宋体"/>
          <w:color w:val="000000" w:themeColor="text1"/>
          <w:kern w:val="0"/>
          <w:sz w:val="24"/>
          <w:highlight w:val="none"/>
          <w:lang w:val="zh-CN"/>
          <w14:textFill>
            <w14:solidFill>
              <w14:schemeClr w14:val="tx1"/>
            </w14:solidFill>
          </w14:textFill>
        </w:rPr>
        <w:t xml:space="preserve">： </w:t>
      </w:r>
    </w:p>
    <w:p w14:paraId="0D97DF56">
      <w:pPr>
        <w:autoSpaceDE w:val="0"/>
        <w:autoSpaceDN w:val="0"/>
        <w:adjustRightInd w:val="0"/>
        <w:spacing w:line="360" w:lineRule="auto"/>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我们收到</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u w:val="single"/>
          <w14:textFill>
            <w14:solidFill>
              <w14:schemeClr w14:val="tx1"/>
            </w14:solidFill>
          </w14:textFill>
        </w:rPr>
        <w:t xml:space="preserve">                             招标文件</w:t>
      </w:r>
      <w:r>
        <w:rPr>
          <w:rFonts w:hint="eastAsia" w:ascii="宋体" w:hAnsi="宋体" w:cs="宋体"/>
          <w:color w:val="000000" w:themeColor="text1"/>
          <w:kern w:val="0"/>
          <w:sz w:val="24"/>
          <w:highlight w:val="none"/>
          <w:lang w:val="zh-CN"/>
          <w14:textFill>
            <w14:solidFill>
              <w14:schemeClr w14:val="tx1"/>
            </w14:solidFill>
          </w14:textFill>
        </w:rPr>
        <w:t>，经研究，法定代表人（姓名、职务）正式授权（委托代理人姓名、职务）代表供应商（供应商名称、地址）提交投标文件。</w:t>
      </w:r>
    </w:p>
    <w:p w14:paraId="0190A309">
      <w:pPr>
        <w:autoSpaceDE w:val="0"/>
        <w:autoSpaceDN w:val="0"/>
        <w:adjustRightInd w:val="0"/>
        <w:spacing w:line="360" w:lineRule="auto"/>
        <w:ind w:firstLine="48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据此函，签字代表宣布同意如下：</w:t>
      </w:r>
    </w:p>
    <w:p w14:paraId="2F47A2BB">
      <w:pPr>
        <w:autoSpaceDE w:val="0"/>
        <w:autoSpaceDN w:val="0"/>
        <w:adjustRightInd w:val="0"/>
        <w:spacing w:line="360" w:lineRule="auto"/>
        <w:ind w:firstLine="48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1.我方已详阅招标文件的全部内容，包括澄清、修改条款等有关附件，承诺对其完全理解并接受。</w:t>
      </w:r>
    </w:p>
    <w:p w14:paraId="55DF0BC2">
      <w:pPr>
        <w:autoSpaceDE w:val="0"/>
        <w:autoSpaceDN w:val="0"/>
        <w:adjustRightInd w:val="0"/>
        <w:spacing w:line="360" w:lineRule="auto"/>
        <w:ind w:firstLine="48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2.投标有效期自开标之日起</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天内有效。如果在规定的开标时间后，我方在投标有效期内撤回投标或中标后不签约的，投标保证金将被贵方没收。</w:t>
      </w:r>
    </w:p>
    <w:p w14:paraId="70614BE3">
      <w:pPr>
        <w:autoSpaceDE w:val="0"/>
        <w:autoSpaceDN w:val="0"/>
        <w:adjustRightInd w:val="0"/>
        <w:spacing w:line="360" w:lineRule="auto"/>
        <w:ind w:firstLine="48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3.我方同意按照贵方要求提供与投标有关的一切数据或资料，理解并接受贵方制定的评标办法。</w:t>
      </w:r>
    </w:p>
    <w:p w14:paraId="3C5E1F19">
      <w:pPr>
        <w:autoSpaceDE w:val="0"/>
        <w:autoSpaceDN w:val="0"/>
        <w:adjustRightInd w:val="0"/>
        <w:spacing w:line="360" w:lineRule="auto"/>
        <w:ind w:firstLine="48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4.与本投标有关的一切正式往来通讯请寄：</w:t>
      </w:r>
    </w:p>
    <w:p w14:paraId="216AD568">
      <w:pPr>
        <w:autoSpaceDE w:val="0"/>
        <w:autoSpaceDN w:val="0"/>
        <w:adjustRightInd w:val="0"/>
        <w:spacing w:line="400" w:lineRule="exact"/>
        <w:rPr>
          <w:rFonts w:ascii="宋体" w:hAnsi="宋体" w:cs="宋体"/>
          <w:color w:val="000000" w:themeColor="text1"/>
          <w:kern w:val="0"/>
          <w:sz w:val="24"/>
          <w:highlight w:val="none"/>
          <w:lang w:val="zh-CN"/>
          <w14:textFill>
            <w14:solidFill>
              <w14:schemeClr w14:val="tx1"/>
            </w14:solidFill>
          </w14:textFill>
        </w:rPr>
      </w:pPr>
    </w:p>
    <w:p w14:paraId="52AD58EB">
      <w:pPr>
        <w:autoSpaceDE w:val="0"/>
        <w:autoSpaceDN w:val="0"/>
        <w:adjustRightInd w:val="0"/>
        <w:spacing w:line="400" w:lineRule="exac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地址：_______________          邮编：______________</w:t>
      </w:r>
    </w:p>
    <w:p w14:paraId="4CB9862F">
      <w:pPr>
        <w:autoSpaceDE w:val="0"/>
        <w:autoSpaceDN w:val="0"/>
        <w:adjustRightInd w:val="0"/>
        <w:spacing w:line="400" w:lineRule="exac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电话：_______________          传真：______________</w:t>
      </w:r>
    </w:p>
    <w:p w14:paraId="25F409D1">
      <w:pPr>
        <w:autoSpaceDE w:val="0"/>
        <w:autoSpaceDN w:val="0"/>
        <w:adjustRightInd w:val="0"/>
        <w:spacing w:line="400" w:lineRule="exac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法定代表人姓名： ___________   职务：____________</w:t>
      </w:r>
    </w:p>
    <w:p w14:paraId="59E76A3E">
      <w:pPr>
        <w:autoSpaceDE w:val="0"/>
        <w:autoSpaceDN w:val="0"/>
        <w:adjustRightInd w:val="0"/>
        <w:spacing w:line="400" w:lineRule="exac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w:t>
      </w:r>
    </w:p>
    <w:p w14:paraId="35906CB5">
      <w:pPr>
        <w:autoSpaceDE w:val="0"/>
        <w:autoSpaceDN w:val="0"/>
        <w:adjustRightInd w:val="0"/>
        <w:spacing w:line="400" w:lineRule="exac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w:t>
      </w:r>
    </w:p>
    <w:p w14:paraId="4FF9EA9A">
      <w:pPr>
        <w:autoSpaceDE w:val="0"/>
        <w:autoSpaceDN w:val="0"/>
        <w:adjustRightInd w:val="0"/>
        <w:spacing w:line="360" w:lineRule="auto"/>
        <w:rPr>
          <w:rFonts w:ascii="宋体" w:hAnsi="宋体" w:cs="宋体"/>
          <w:bCs/>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w:t>
      </w:r>
      <w:r>
        <w:rPr>
          <w:rFonts w:hint="eastAsia" w:ascii="宋体" w:hAnsi="宋体" w:cs="宋体"/>
          <w:bCs/>
          <w:color w:val="000000" w:themeColor="text1"/>
          <w:kern w:val="0"/>
          <w:sz w:val="24"/>
          <w:highlight w:val="none"/>
          <w:lang w:val="zh-CN"/>
          <w14:textFill>
            <w14:solidFill>
              <w14:schemeClr w14:val="tx1"/>
            </w14:solidFill>
          </w14:textFill>
        </w:rPr>
        <w:t>供应商：             （公章）</w:t>
      </w:r>
    </w:p>
    <w:p w14:paraId="5CC6FDC6">
      <w:pPr>
        <w:autoSpaceDE w:val="0"/>
        <w:autoSpaceDN w:val="0"/>
        <w:adjustRightInd w:val="0"/>
        <w:spacing w:line="360" w:lineRule="auto"/>
        <w:rPr>
          <w:rFonts w:ascii="宋体" w:hAnsi="宋体" w:cs="宋体"/>
          <w:bCs/>
          <w:color w:val="000000" w:themeColor="text1"/>
          <w:kern w:val="0"/>
          <w:sz w:val="24"/>
          <w:highlight w:val="none"/>
          <w:lang w:val="zh-CN"/>
          <w14:textFill>
            <w14:solidFill>
              <w14:schemeClr w14:val="tx1"/>
            </w14:solidFill>
          </w14:textFill>
        </w:rPr>
      </w:pPr>
      <w:r>
        <w:rPr>
          <w:rFonts w:hint="eastAsia" w:ascii="宋体" w:hAnsi="宋体" w:cs="宋体"/>
          <w:bCs/>
          <w:color w:val="000000" w:themeColor="text1"/>
          <w:kern w:val="0"/>
          <w:sz w:val="24"/>
          <w:highlight w:val="none"/>
          <w:lang w:val="zh-CN"/>
          <w14:textFill>
            <w14:solidFill>
              <w14:schemeClr w14:val="tx1"/>
            </w14:solidFill>
          </w14:textFill>
        </w:rPr>
        <w:t xml:space="preserve">                       法定代表人或委托授权代理人：             （签字或盖章）</w:t>
      </w:r>
    </w:p>
    <w:p w14:paraId="5D25A33D">
      <w:pPr>
        <w:spacing w:line="360" w:lineRule="auto"/>
        <w:rPr>
          <w:rFonts w:ascii="宋体" w:hAnsi="宋体" w:cs="宋体"/>
          <w:bCs/>
          <w:color w:val="000000" w:themeColor="text1"/>
          <w:kern w:val="0"/>
          <w:sz w:val="24"/>
          <w:highlight w:val="none"/>
          <w:lang w:val="zh-CN"/>
          <w14:textFill>
            <w14:solidFill>
              <w14:schemeClr w14:val="tx1"/>
            </w14:solidFill>
          </w14:textFill>
        </w:rPr>
      </w:pPr>
      <w:r>
        <w:rPr>
          <w:rFonts w:hint="eastAsia" w:ascii="宋体" w:hAnsi="宋体" w:cs="宋体"/>
          <w:bCs/>
          <w:color w:val="000000" w:themeColor="text1"/>
          <w:kern w:val="0"/>
          <w:sz w:val="24"/>
          <w:highlight w:val="none"/>
          <w:lang w:val="zh-CN"/>
          <w14:textFill>
            <w14:solidFill>
              <w14:schemeClr w14:val="tx1"/>
            </w14:solidFill>
          </w14:textFill>
        </w:rPr>
        <w:t xml:space="preserve">                                                年   月   日</w:t>
      </w:r>
    </w:p>
    <w:p w14:paraId="63E38838">
      <w:pPr>
        <w:pStyle w:val="5"/>
        <w:ind w:firstLine="480"/>
        <w:rPr>
          <w:rFonts w:ascii="宋体" w:hAnsi="宋体" w:cs="宋体"/>
          <w:bCs/>
          <w:color w:val="000000" w:themeColor="text1"/>
          <w:kern w:val="0"/>
          <w:sz w:val="24"/>
          <w:highlight w:val="none"/>
          <w:lang w:val="zh-CN"/>
          <w14:textFill>
            <w14:solidFill>
              <w14:schemeClr w14:val="tx1"/>
            </w14:solidFill>
          </w14:textFill>
        </w:rPr>
      </w:pPr>
    </w:p>
    <w:p w14:paraId="18D379A5">
      <w:pPr>
        <w:rPr>
          <w:rFonts w:ascii="宋体" w:hAnsi="宋体" w:cs="宋体"/>
          <w:color w:val="000000" w:themeColor="text1"/>
          <w:highlight w:val="none"/>
          <w14:textFill>
            <w14:solidFill>
              <w14:schemeClr w14:val="tx1"/>
            </w14:solidFill>
          </w14:textFill>
        </w:rPr>
        <w:sectPr>
          <w:footerReference r:id="rId12" w:type="first"/>
          <w:headerReference r:id="rId10" w:type="default"/>
          <w:footerReference r:id="rId11" w:type="default"/>
          <w:pgSz w:w="11907" w:h="16840"/>
          <w:pgMar w:top="1440" w:right="1080" w:bottom="1440" w:left="1080" w:header="851" w:footer="68" w:gutter="0"/>
          <w:cols w:space="720" w:num="1"/>
          <w:titlePg/>
          <w:docGrid w:type="lines" w:linePitch="409" w:charSpace="0"/>
        </w:sectPr>
      </w:pPr>
    </w:p>
    <w:p w14:paraId="01BBAC2E">
      <w:pPr>
        <w:pStyle w:val="4"/>
        <w:rPr>
          <w:rFonts w:ascii="宋体" w:hAnsi="宋体" w:cs="宋体"/>
          <w:b w:val="0"/>
          <w:bCs/>
          <w:color w:val="000000" w:themeColor="text1"/>
          <w:kern w:val="0"/>
          <w:sz w:val="24"/>
          <w:highlight w:val="none"/>
          <w:lang w:val="zh-CN"/>
          <w14:textFill>
            <w14:solidFill>
              <w14:schemeClr w14:val="tx1"/>
            </w14:solidFill>
          </w14:textFill>
        </w:rPr>
      </w:pPr>
      <w:bookmarkStart w:id="103" w:name="_Toc15321"/>
      <w:r>
        <w:rPr>
          <w:rFonts w:hint="eastAsia" w:ascii="宋体" w:hAnsi="宋体" w:cs="宋体"/>
          <w:color w:val="000000" w:themeColor="text1"/>
          <w:highlight w:val="none"/>
          <w14:textFill>
            <w14:solidFill>
              <w14:schemeClr w14:val="tx1"/>
            </w14:solidFill>
          </w14:textFill>
        </w:rPr>
        <w:t>2、报价一览表</w:t>
      </w:r>
      <w:bookmarkEnd w:id="103"/>
    </w:p>
    <w:p w14:paraId="1B294EA8">
      <w:pPr>
        <w:autoSpaceDE w:val="0"/>
        <w:autoSpaceDN w:val="0"/>
        <w:adjustRightInd w:val="0"/>
        <w:spacing w:line="400" w:lineRule="exact"/>
        <w:rPr>
          <w:rFonts w:ascii="宋体" w:hAnsi="宋体" w:cs="宋体"/>
          <w:bCs/>
          <w:color w:val="000000" w:themeColor="text1"/>
          <w:kern w:val="0"/>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供应商名称(公章)：                  </w:t>
      </w:r>
      <w:r>
        <w:rPr>
          <w:rFonts w:hint="eastAsia" w:ascii="宋体" w:hAnsi="宋体" w:cs="宋体"/>
          <w:bCs/>
          <w:color w:val="000000" w:themeColor="text1"/>
          <w:kern w:val="0"/>
          <w:sz w:val="24"/>
          <w:highlight w:val="none"/>
          <w:lang w:val="zh-CN"/>
          <w14:textFill>
            <w14:solidFill>
              <w14:schemeClr w14:val="tx1"/>
            </w14:solidFill>
          </w14:textFill>
        </w:rPr>
        <w:t>项目名称/包号：                                        单位：人民币(元)</w:t>
      </w:r>
    </w:p>
    <w:tbl>
      <w:tblPr>
        <w:tblStyle w:val="87"/>
        <w:tblW w:w="15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7"/>
        <w:gridCol w:w="4293"/>
        <w:gridCol w:w="2560"/>
        <w:gridCol w:w="2280"/>
        <w:gridCol w:w="2084"/>
        <w:gridCol w:w="2084"/>
      </w:tblGrid>
      <w:tr w14:paraId="36683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blHeader/>
        </w:trPr>
        <w:tc>
          <w:tcPr>
            <w:tcW w:w="2097" w:type="dxa"/>
            <w:vAlign w:val="center"/>
          </w:tcPr>
          <w:p w14:paraId="76C4BC27">
            <w:pPr>
              <w:tabs>
                <w:tab w:val="left" w:pos="9135"/>
              </w:tabs>
              <w:spacing w:line="400" w:lineRule="atLeas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包号及名称</w:t>
            </w:r>
          </w:p>
        </w:tc>
        <w:tc>
          <w:tcPr>
            <w:tcW w:w="4293" w:type="dxa"/>
            <w:vAlign w:val="center"/>
          </w:tcPr>
          <w:p w14:paraId="17ABF63D">
            <w:pPr>
              <w:tabs>
                <w:tab w:val="left" w:pos="9135"/>
              </w:tabs>
              <w:spacing w:line="400" w:lineRule="atLeas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投标报价（元）</w:t>
            </w:r>
          </w:p>
        </w:tc>
        <w:tc>
          <w:tcPr>
            <w:tcW w:w="2560" w:type="dxa"/>
            <w:vAlign w:val="center"/>
          </w:tcPr>
          <w:p w14:paraId="4B43F72C">
            <w:pPr>
              <w:tabs>
                <w:tab w:val="left" w:pos="9135"/>
              </w:tabs>
              <w:spacing w:line="400" w:lineRule="atLeas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w:t>
            </w:r>
          </w:p>
          <w:p w14:paraId="3FCBE480">
            <w:pPr>
              <w:tabs>
                <w:tab w:val="left" w:pos="9135"/>
              </w:tabs>
              <w:spacing w:line="400" w:lineRule="atLeas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保证金</w:t>
            </w:r>
          </w:p>
        </w:tc>
        <w:tc>
          <w:tcPr>
            <w:tcW w:w="2280" w:type="dxa"/>
            <w:vAlign w:val="center"/>
          </w:tcPr>
          <w:p w14:paraId="0F7819D3">
            <w:pPr>
              <w:tabs>
                <w:tab w:val="left" w:pos="9135"/>
              </w:tabs>
              <w:spacing w:line="400" w:lineRule="atLeast"/>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交货期</w:t>
            </w:r>
          </w:p>
        </w:tc>
        <w:tc>
          <w:tcPr>
            <w:tcW w:w="2084" w:type="dxa"/>
            <w:vAlign w:val="center"/>
          </w:tcPr>
          <w:p w14:paraId="2B5E4FF9">
            <w:pPr>
              <w:tabs>
                <w:tab w:val="left" w:pos="9135"/>
              </w:tabs>
              <w:spacing w:line="400" w:lineRule="atLeast"/>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质保期</w:t>
            </w:r>
          </w:p>
        </w:tc>
        <w:tc>
          <w:tcPr>
            <w:tcW w:w="2084" w:type="dxa"/>
            <w:vAlign w:val="center"/>
          </w:tcPr>
          <w:p w14:paraId="76F86C65">
            <w:pPr>
              <w:tabs>
                <w:tab w:val="left" w:pos="9135"/>
              </w:tabs>
              <w:spacing w:line="400" w:lineRule="atLeast"/>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备注</w:t>
            </w:r>
          </w:p>
        </w:tc>
      </w:tr>
      <w:tr w14:paraId="511A4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2097" w:type="dxa"/>
            <w:vAlign w:val="center"/>
          </w:tcPr>
          <w:p w14:paraId="6C462EB4">
            <w:pPr>
              <w:spacing w:line="400" w:lineRule="atLeast"/>
              <w:jc w:val="center"/>
              <w:rPr>
                <w:rFonts w:ascii="宋体" w:hAnsi="宋体" w:cs="宋体"/>
                <w:color w:val="000000" w:themeColor="text1"/>
                <w:sz w:val="24"/>
                <w:highlight w:val="none"/>
                <w14:textFill>
                  <w14:solidFill>
                    <w14:schemeClr w14:val="tx1"/>
                  </w14:solidFill>
                </w14:textFill>
              </w:rPr>
            </w:pPr>
          </w:p>
        </w:tc>
        <w:tc>
          <w:tcPr>
            <w:tcW w:w="4293" w:type="dxa"/>
            <w:vAlign w:val="center"/>
          </w:tcPr>
          <w:p w14:paraId="7AD84FF6">
            <w:pPr>
              <w:tabs>
                <w:tab w:val="left" w:pos="9135"/>
              </w:tabs>
              <w:spacing w:line="400" w:lineRule="atLeast"/>
              <w:jc w:val="center"/>
              <w:rPr>
                <w:rFonts w:ascii="宋体" w:hAnsi="宋体" w:cs="宋体"/>
                <w:color w:val="000000" w:themeColor="text1"/>
                <w:sz w:val="24"/>
                <w:highlight w:val="none"/>
                <w14:textFill>
                  <w14:solidFill>
                    <w14:schemeClr w14:val="tx1"/>
                  </w14:solidFill>
                </w14:textFill>
              </w:rPr>
            </w:pPr>
          </w:p>
        </w:tc>
        <w:tc>
          <w:tcPr>
            <w:tcW w:w="2560" w:type="dxa"/>
            <w:vAlign w:val="center"/>
          </w:tcPr>
          <w:p w14:paraId="6A2C2587">
            <w:pPr>
              <w:tabs>
                <w:tab w:val="left" w:pos="9135"/>
              </w:tabs>
              <w:spacing w:line="400" w:lineRule="atLeast"/>
              <w:jc w:val="center"/>
              <w:rPr>
                <w:rFonts w:ascii="宋体" w:hAnsi="宋体" w:cs="宋体"/>
                <w:color w:val="000000" w:themeColor="text1"/>
                <w:sz w:val="24"/>
                <w:highlight w:val="none"/>
                <w14:textFill>
                  <w14:solidFill>
                    <w14:schemeClr w14:val="tx1"/>
                  </w14:solidFill>
                </w14:textFill>
              </w:rPr>
            </w:pPr>
          </w:p>
        </w:tc>
        <w:tc>
          <w:tcPr>
            <w:tcW w:w="2280" w:type="dxa"/>
            <w:vAlign w:val="center"/>
          </w:tcPr>
          <w:p w14:paraId="4F7F4D27">
            <w:pPr>
              <w:tabs>
                <w:tab w:val="left" w:pos="9135"/>
              </w:tabs>
              <w:spacing w:line="400" w:lineRule="atLeast"/>
              <w:jc w:val="center"/>
              <w:rPr>
                <w:rFonts w:ascii="宋体" w:hAnsi="宋体" w:cs="宋体"/>
                <w:color w:val="000000" w:themeColor="text1"/>
                <w:sz w:val="24"/>
                <w:highlight w:val="none"/>
                <w14:textFill>
                  <w14:solidFill>
                    <w14:schemeClr w14:val="tx1"/>
                  </w14:solidFill>
                </w14:textFill>
              </w:rPr>
            </w:pPr>
          </w:p>
        </w:tc>
        <w:tc>
          <w:tcPr>
            <w:tcW w:w="2084" w:type="dxa"/>
            <w:vAlign w:val="center"/>
          </w:tcPr>
          <w:p w14:paraId="685381CB">
            <w:pPr>
              <w:tabs>
                <w:tab w:val="left" w:pos="9135"/>
              </w:tabs>
              <w:spacing w:line="400" w:lineRule="atLeast"/>
              <w:jc w:val="center"/>
              <w:rPr>
                <w:rFonts w:ascii="宋体" w:hAnsi="宋体" w:cs="宋体"/>
                <w:color w:val="000000" w:themeColor="text1"/>
                <w:sz w:val="24"/>
                <w:highlight w:val="none"/>
                <w14:textFill>
                  <w14:solidFill>
                    <w14:schemeClr w14:val="tx1"/>
                  </w14:solidFill>
                </w14:textFill>
              </w:rPr>
            </w:pPr>
          </w:p>
        </w:tc>
        <w:tc>
          <w:tcPr>
            <w:tcW w:w="2084" w:type="dxa"/>
            <w:vAlign w:val="center"/>
          </w:tcPr>
          <w:p w14:paraId="1F8865A8">
            <w:pPr>
              <w:tabs>
                <w:tab w:val="left" w:pos="9135"/>
              </w:tabs>
              <w:spacing w:line="400" w:lineRule="atLeast"/>
              <w:jc w:val="center"/>
              <w:rPr>
                <w:rFonts w:ascii="宋体" w:hAnsi="宋体" w:cs="宋体"/>
                <w:color w:val="000000" w:themeColor="text1"/>
                <w:sz w:val="24"/>
                <w:highlight w:val="none"/>
                <w14:textFill>
                  <w14:solidFill>
                    <w14:schemeClr w14:val="tx1"/>
                  </w14:solidFill>
                </w14:textFill>
              </w:rPr>
            </w:pPr>
          </w:p>
        </w:tc>
      </w:tr>
    </w:tbl>
    <w:p w14:paraId="1D55207E">
      <w:pPr>
        <w:autoSpaceDE w:val="0"/>
        <w:autoSpaceDN w:val="0"/>
        <w:adjustRightInd w:val="0"/>
        <w:spacing w:line="400" w:lineRule="exac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bCs/>
          <w:color w:val="000000" w:themeColor="text1"/>
          <w:kern w:val="0"/>
          <w:sz w:val="24"/>
          <w:highlight w:val="none"/>
          <w:lang w:val="zh-CN"/>
          <w14:textFill>
            <w14:solidFill>
              <w14:schemeClr w14:val="tx1"/>
            </w14:solidFill>
          </w14:textFill>
        </w:rPr>
        <w:t>注：</w:t>
      </w:r>
      <w:r>
        <w:rPr>
          <w:rFonts w:hint="eastAsia" w:ascii="宋体" w:hAnsi="宋体" w:cs="宋体"/>
          <w:color w:val="000000" w:themeColor="text1"/>
          <w:kern w:val="0"/>
          <w:sz w:val="24"/>
          <w:highlight w:val="none"/>
          <w:lang w:val="zh-CN"/>
          <w14:textFill>
            <w14:solidFill>
              <w14:schemeClr w14:val="tx1"/>
            </w14:solidFill>
          </w14:textFill>
        </w:rPr>
        <w:t>1.填写此表时不得改变表格形式</w:t>
      </w:r>
    </w:p>
    <w:p w14:paraId="59A86BA0">
      <w:pPr>
        <w:autoSpaceDE w:val="0"/>
        <w:autoSpaceDN w:val="0"/>
        <w:adjustRightInd w:val="0"/>
        <w:spacing w:line="400" w:lineRule="exact"/>
        <w:ind w:firstLine="480"/>
        <w:rPr>
          <w:rFonts w:ascii="宋体" w:hAnsi="宋体" w:cs="宋体"/>
          <w:b/>
          <w:bCs/>
          <w:color w:val="000000" w:themeColor="text1"/>
          <w:kern w:val="0"/>
          <w:sz w:val="24"/>
          <w:highlight w:val="none"/>
          <w:lang w:val="zh-CN"/>
          <w14:textFill>
            <w14:solidFill>
              <w14:schemeClr w14:val="tx1"/>
            </w14:solidFill>
          </w14:textFill>
        </w:rPr>
      </w:pPr>
      <w:r>
        <w:rPr>
          <w:rFonts w:hint="eastAsia" w:ascii="宋体" w:hAnsi="宋体" w:cs="宋体"/>
          <w:b/>
          <w:bCs/>
          <w:color w:val="000000" w:themeColor="text1"/>
          <w:kern w:val="0"/>
          <w:sz w:val="24"/>
          <w:highlight w:val="none"/>
          <w:lang w:val="zh-CN"/>
          <w14:textFill>
            <w14:solidFill>
              <w14:schemeClr w14:val="tx1"/>
            </w14:solidFill>
          </w14:textFill>
        </w:rPr>
        <w:t>2.“投标报价”为</w:t>
      </w:r>
      <w:r>
        <w:rPr>
          <w:rFonts w:hint="eastAsia" w:ascii="宋体" w:hAnsi="宋体" w:cs="宋体"/>
          <w:b/>
          <w:bCs/>
          <w:color w:val="000000" w:themeColor="text1"/>
          <w:kern w:val="0"/>
          <w:sz w:val="24"/>
          <w:highlight w:val="none"/>
          <w14:textFill>
            <w14:solidFill>
              <w14:schemeClr w14:val="tx1"/>
            </w14:solidFill>
          </w14:textFill>
        </w:rPr>
        <w:t>合计金额</w:t>
      </w:r>
      <w:r>
        <w:rPr>
          <w:rFonts w:hint="eastAsia" w:ascii="宋体" w:hAnsi="宋体" w:cs="宋体"/>
          <w:b/>
          <w:bCs/>
          <w:color w:val="000000" w:themeColor="text1"/>
          <w:kern w:val="0"/>
          <w:sz w:val="24"/>
          <w:highlight w:val="none"/>
          <w:lang w:val="zh-CN"/>
          <w14:textFill>
            <w14:solidFill>
              <w14:schemeClr w14:val="tx1"/>
            </w14:solidFill>
          </w14:textFill>
        </w:rPr>
        <w:t>。</w:t>
      </w:r>
    </w:p>
    <w:p w14:paraId="1C2AA76B">
      <w:pPr>
        <w:spacing w:line="400" w:lineRule="atLeast"/>
        <w:ind w:firstLine="480" w:firstLineChars="2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r>
        <w:rPr>
          <w:rFonts w:hint="eastAsia" w:ascii="宋体" w:hAnsi="宋体" w:cs="宋体"/>
          <w:color w:val="000000" w:themeColor="text1"/>
          <w:kern w:val="0"/>
          <w:sz w:val="24"/>
          <w:highlight w:val="none"/>
          <w:lang w:val="zh-CN"/>
          <w14:textFill>
            <w14:solidFill>
              <w14:schemeClr w14:val="tx1"/>
            </w14:solidFill>
          </w14:textFill>
        </w:rPr>
        <w:t>. 投标报价不能有两个或两个以上的报价方案。</w:t>
      </w:r>
    </w:p>
    <w:p w14:paraId="287206DA">
      <w:pPr>
        <w:spacing w:line="400" w:lineRule="atLeast"/>
        <w:ind w:firstLine="480" w:firstLineChars="200"/>
        <w:rPr>
          <w:rFonts w:ascii="宋体" w:hAnsi="宋体" w:cs="宋体"/>
          <w:color w:val="000000" w:themeColor="text1"/>
          <w:kern w:val="0"/>
          <w:sz w:val="24"/>
          <w:highlight w:val="none"/>
          <w:lang w:val="zh-CN"/>
          <w14:textFill>
            <w14:solidFill>
              <w14:schemeClr w14:val="tx1"/>
            </w14:solidFill>
          </w14:textFill>
        </w:rPr>
      </w:pPr>
    </w:p>
    <w:p w14:paraId="1968027D">
      <w:pPr>
        <w:spacing w:line="400" w:lineRule="atLeast"/>
        <w:ind w:left="2880" w:hanging="288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法定代表人或委托授权代理人（签字或盖章）：</w:t>
      </w:r>
      <w:r>
        <w:rPr>
          <w:rFonts w:hint="eastAsia" w:ascii="宋体" w:hAnsi="宋体" w:cs="宋体"/>
          <w:color w:val="000000" w:themeColor="text1"/>
          <w:sz w:val="24"/>
          <w:highlight w:val="none"/>
          <w:u w:val="single"/>
          <w14:textFill>
            <w14:solidFill>
              <w14:schemeClr w14:val="tx1"/>
            </w14:solidFill>
          </w14:textFill>
        </w:rPr>
        <w:t>　　　　　　　　　　　　　　　</w:t>
      </w:r>
    </w:p>
    <w:p w14:paraId="7B90362E">
      <w:pPr>
        <w:spacing w:line="400" w:lineRule="atLeast"/>
        <w:ind w:firstLine="480" w:firstLineChars="200"/>
        <w:rPr>
          <w:rFonts w:ascii="宋体" w:hAnsi="宋体" w:cs="宋体"/>
          <w:color w:val="000000" w:themeColor="text1"/>
          <w:sz w:val="24"/>
          <w:highlight w:val="none"/>
          <w14:textFill>
            <w14:solidFill>
              <w14:schemeClr w14:val="tx1"/>
            </w14:solidFill>
          </w14:textFill>
        </w:rPr>
      </w:pPr>
    </w:p>
    <w:p w14:paraId="12D60E9D">
      <w:pPr>
        <w:pStyle w:val="33"/>
        <w:rPr>
          <w:rFonts w:ascii="宋体" w:hAnsi="宋体" w:cs="宋体"/>
          <w:color w:val="000000" w:themeColor="text1"/>
          <w:highlight w:val="none"/>
          <w14:textFill>
            <w14:solidFill>
              <w14:schemeClr w14:val="tx1"/>
            </w14:solidFill>
          </w14:textFill>
        </w:rPr>
      </w:pPr>
    </w:p>
    <w:p w14:paraId="70B00054">
      <w:pPr>
        <w:pStyle w:val="33"/>
        <w:rPr>
          <w:rFonts w:ascii="宋体" w:hAnsi="宋体" w:cs="宋体"/>
          <w:color w:val="000000" w:themeColor="text1"/>
          <w:highlight w:val="none"/>
          <w14:textFill>
            <w14:solidFill>
              <w14:schemeClr w14:val="tx1"/>
            </w14:solidFill>
          </w14:textFill>
        </w:rPr>
      </w:pPr>
    </w:p>
    <w:p w14:paraId="7FDD110D">
      <w:pPr>
        <w:pStyle w:val="33"/>
        <w:rPr>
          <w:rFonts w:ascii="宋体" w:hAnsi="宋体" w:cs="宋体"/>
          <w:color w:val="000000" w:themeColor="text1"/>
          <w:highlight w:val="none"/>
          <w14:textFill>
            <w14:solidFill>
              <w14:schemeClr w14:val="tx1"/>
            </w14:solidFill>
          </w14:textFill>
        </w:rPr>
      </w:pPr>
    </w:p>
    <w:p w14:paraId="16D1B79C">
      <w:pPr>
        <w:keepNext/>
        <w:keepLines/>
        <w:spacing w:before="260" w:after="260" w:line="360" w:lineRule="auto"/>
        <w:jc w:val="center"/>
        <w:outlineLvl w:val="9"/>
        <w:rPr>
          <w:rFonts w:hint="eastAsia" w:ascii="宋体" w:hAnsi="宋体" w:cs="宋体"/>
          <w:b/>
          <w:color w:val="000000" w:themeColor="text1"/>
          <w:sz w:val="30"/>
          <w:highlight w:val="none"/>
          <w14:textFill>
            <w14:solidFill>
              <w14:schemeClr w14:val="tx1"/>
            </w14:solidFill>
          </w14:textFill>
        </w:rPr>
      </w:pPr>
      <w:bookmarkStart w:id="104" w:name="_Toc277841205"/>
    </w:p>
    <w:p w14:paraId="1E99F663">
      <w:pPr>
        <w:keepNext/>
        <w:keepLines/>
        <w:spacing w:before="260" w:after="260" w:line="360" w:lineRule="auto"/>
        <w:jc w:val="center"/>
        <w:outlineLvl w:val="1"/>
        <w:rPr>
          <w:rFonts w:ascii="宋体" w:hAnsi="宋体" w:cs="宋体"/>
          <w:b/>
          <w:color w:val="000000" w:themeColor="text1"/>
          <w:sz w:val="30"/>
          <w:highlight w:val="none"/>
          <w14:textFill>
            <w14:solidFill>
              <w14:schemeClr w14:val="tx1"/>
            </w14:solidFill>
          </w14:textFill>
        </w:rPr>
      </w:pPr>
      <w:bookmarkStart w:id="105" w:name="_Toc16531"/>
      <w:r>
        <w:rPr>
          <w:rFonts w:hint="eastAsia" w:ascii="宋体" w:hAnsi="宋体" w:cs="宋体"/>
          <w:b/>
          <w:color w:val="000000" w:themeColor="text1"/>
          <w:sz w:val="30"/>
          <w:highlight w:val="none"/>
          <w14:textFill>
            <w14:solidFill>
              <w14:schemeClr w14:val="tx1"/>
            </w14:solidFill>
          </w14:textFill>
        </w:rPr>
        <w:t>3、</w:t>
      </w:r>
      <w:bookmarkEnd w:id="104"/>
      <w:r>
        <w:rPr>
          <w:rFonts w:hint="eastAsia" w:ascii="宋体" w:hAnsi="宋体" w:cs="宋体"/>
          <w:b/>
          <w:color w:val="000000" w:themeColor="text1"/>
          <w:sz w:val="30"/>
          <w:highlight w:val="none"/>
          <w14:textFill>
            <w14:solidFill>
              <w14:schemeClr w14:val="tx1"/>
            </w14:solidFill>
          </w14:textFill>
        </w:rPr>
        <w:t>分项报价表</w:t>
      </w:r>
      <w:bookmarkEnd w:id="105"/>
    </w:p>
    <w:p w14:paraId="0ED9F741">
      <w:pPr>
        <w:spacing w:line="400" w:lineRule="atLeast"/>
        <w:ind w:firstLine="720" w:firstLineChars="3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供应商名称（公章）：</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项目编号/包号：</w:t>
      </w:r>
      <w:r>
        <w:rPr>
          <w:rFonts w:hint="eastAsia" w:ascii="宋体" w:hAnsi="宋体" w:cs="宋体"/>
          <w:color w:val="000000" w:themeColor="text1"/>
          <w:sz w:val="24"/>
          <w:highlight w:val="none"/>
          <w:u w:val="single"/>
          <w14:textFill>
            <w14:solidFill>
              <w14:schemeClr w14:val="tx1"/>
            </w14:solidFill>
          </w14:textFill>
        </w:rPr>
        <w:t xml:space="preserve">　　　　　　　　 </w:t>
      </w:r>
    </w:p>
    <w:tbl>
      <w:tblPr>
        <w:tblStyle w:val="87"/>
        <w:tblW w:w="15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461"/>
        <w:gridCol w:w="838"/>
        <w:gridCol w:w="1491"/>
        <w:gridCol w:w="1736"/>
        <w:gridCol w:w="1573"/>
        <w:gridCol w:w="1366"/>
        <w:gridCol w:w="1154"/>
        <w:gridCol w:w="1299"/>
        <w:gridCol w:w="1299"/>
        <w:gridCol w:w="1179"/>
        <w:gridCol w:w="1123"/>
        <w:gridCol w:w="897"/>
      </w:tblGrid>
      <w:tr w14:paraId="2D1D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blHeader/>
          <w:jc w:val="center"/>
        </w:trPr>
        <w:tc>
          <w:tcPr>
            <w:tcW w:w="838" w:type="dxa"/>
            <w:tcBorders>
              <w:top w:val="single" w:color="auto" w:sz="4" w:space="0"/>
              <w:left w:val="single" w:color="auto" w:sz="4" w:space="0"/>
              <w:bottom w:val="single" w:color="auto" w:sz="4" w:space="0"/>
              <w:right w:val="single" w:color="auto" w:sz="4" w:space="0"/>
            </w:tcBorders>
            <w:vAlign w:val="center"/>
          </w:tcPr>
          <w:p w14:paraId="5D7607E0">
            <w:pPr>
              <w:widowControl/>
              <w:jc w:val="center"/>
              <w:rPr>
                <w:rFonts w:ascii="宋体" w:hAnsi="宋体" w:cs="宋体"/>
                <w:color w:val="000000" w:themeColor="text1"/>
                <w:kern w:val="0"/>
                <w:szCs w:val="21"/>
                <w:highlight w:val="none"/>
                <w14:textFill>
                  <w14:solidFill>
                    <w14:schemeClr w14:val="tx1"/>
                  </w14:solidFill>
                </w14:textFill>
              </w:rPr>
            </w:pPr>
            <w:bookmarkStart w:id="106" w:name="_Hlk528071907"/>
            <w:r>
              <w:rPr>
                <w:rFonts w:hint="eastAsia" w:ascii="宋体" w:hAnsi="宋体" w:cs="宋体"/>
                <w:color w:val="000000" w:themeColor="text1"/>
                <w:kern w:val="0"/>
                <w:szCs w:val="21"/>
                <w:highlight w:val="none"/>
                <w14:textFill>
                  <w14:solidFill>
                    <w14:schemeClr w14:val="tx1"/>
                  </w14:solidFill>
                </w14:textFill>
              </w:rPr>
              <w:t>包号</w:t>
            </w:r>
          </w:p>
        </w:tc>
        <w:tc>
          <w:tcPr>
            <w:tcW w:w="1299" w:type="dxa"/>
            <w:gridSpan w:val="2"/>
            <w:tcBorders>
              <w:top w:val="single" w:color="auto" w:sz="4" w:space="0"/>
              <w:left w:val="single" w:color="auto" w:sz="4" w:space="0"/>
              <w:bottom w:val="single" w:color="auto" w:sz="4" w:space="0"/>
              <w:right w:val="single" w:color="auto" w:sz="4" w:space="0"/>
            </w:tcBorders>
            <w:noWrap/>
            <w:vAlign w:val="center"/>
          </w:tcPr>
          <w:p w14:paraId="37C99907">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序号</w:t>
            </w:r>
          </w:p>
        </w:tc>
        <w:tc>
          <w:tcPr>
            <w:tcW w:w="1491" w:type="dxa"/>
            <w:tcBorders>
              <w:top w:val="single" w:color="auto" w:sz="4" w:space="0"/>
              <w:left w:val="single" w:color="auto" w:sz="4" w:space="0"/>
              <w:bottom w:val="single" w:color="auto" w:sz="4" w:space="0"/>
              <w:right w:val="single" w:color="auto" w:sz="4" w:space="0"/>
            </w:tcBorders>
            <w:noWrap/>
            <w:vAlign w:val="center"/>
          </w:tcPr>
          <w:p w14:paraId="682C8483">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品目名称</w:t>
            </w:r>
          </w:p>
        </w:tc>
        <w:tc>
          <w:tcPr>
            <w:tcW w:w="1736" w:type="dxa"/>
            <w:tcBorders>
              <w:top w:val="single" w:color="auto" w:sz="4" w:space="0"/>
              <w:left w:val="single" w:color="auto" w:sz="4" w:space="0"/>
              <w:bottom w:val="single" w:color="auto" w:sz="4" w:space="0"/>
              <w:right w:val="single" w:color="auto" w:sz="4" w:space="0"/>
            </w:tcBorders>
            <w:vAlign w:val="center"/>
          </w:tcPr>
          <w:p w14:paraId="7DDBF1B0">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规格及技术参数</w:t>
            </w:r>
          </w:p>
        </w:tc>
        <w:tc>
          <w:tcPr>
            <w:tcW w:w="1573" w:type="dxa"/>
            <w:tcBorders>
              <w:top w:val="single" w:color="auto" w:sz="4" w:space="0"/>
              <w:left w:val="single" w:color="auto" w:sz="4" w:space="0"/>
              <w:bottom w:val="single" w:color="auto" w:sz="4" w:space="0"/>
              <w:right w:val="single" w:color="auto" w:sz="4" w:space="0"/>
            </w:tcBorders>
            <w:noWrap/>
            <w:vAlign w:val="center"/>
          </w:tcPr>
          <w:p w14:paraId="5905348F">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产品结构、材质及组成</w:t>
            </w:r>
          </w:p>
        </w:tc>
        <w:tc>
          <w:tcPr>
            <w:tcW w:w="1366" w:type="dxa"/>
            <w:tcBorders>
              <w:top w:val="single" w:color="auto" w:sz="4" w:space="0"/>
              <w:left w:val="single" w:color="auto" w:sz="4" w:space="0"/>
              <w:bottom w:val="single" w:color="auto" w:sz="4" w:space="0"/>
              <w:right w:val="single" w:color="auto" w:sz="4" w:space="0"/>
            </w:tcBorders>
            <w:vAlign w:val="center"/>
          </w:tcPr>
          <w:p w14:paraId="06A9A908">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投标产品规格型号</w:t>
            </w:r>
          </w:p>
        </w:tc>
        <w:tc>
          <w:tcPr>
            <w:tcW w:w="1154" w:type="dxa"/>
            <w:tcBorders>
              <w:top w:val="single" w:color="auto" w:sz="4" w:space="0"/>
              <w:left w:val="single" w:color="auto" w:sz="4" w:space="0"/>
              <w:bottom w:val="single" w:color="auto" w:sz="4" w:space="0"/>
              <w:right w:val="single" w:color="auto" w:sz="4" w:space="0"/>
            </w:tcBorders>
            <w:vAlign w:val="center"/>
          </w:tcPr>
          <w:p w14:paraId="2B51F0E8">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制造商</w:t>
            </w:r>
          </w:p>
        </w:tc>
        <w:tc>
          <w:tcPr>
            <w:tcW w:w="1299" w:type="dxa"/>
            <w:tcBorders>
              <w:top w:val="single" w:color="auto" w:sz="4" w:space="0"/>
              <w:left w:val="single" w:color="auto" w:sz="4" w:space="0"/>
              <w:bottom w:val="single" w:color="auto" w:sz="4" w:space="0"/>
              <w:right w:val="single" w:color="auto" w:sz="4" w:space="0"/>
            </w:tcBorders>
            <w:vAlign w:val="center"/>
          </w:tcPr>
          <w:p w14:paraId="5A941576">
            <w:pPr>
              <w:widowControl/>
              <w:jc w:val="center"/>
              <w:rPr>
                <w:rFonts w:hint="default" w:ascii="宋体" w:hAnsi="宋体" w:eastAsia="宋体" w:cs="宋体"/>
                <w:color w:val="000000" w:themeColor="text1"/>
                <w:kern w:val="0"/>
                <w:szCs w:val="21"/>
                <w:highlight w:val="none"/>
                <w:lang w:val="en-US" w:eastAsia="zh-CN" w:bidi="ar"/>
                <w14:textFill>
                  <w14:solidFill>
                    <w14:schemeClr w14:val="tx1"/>
                  </w14:solidFill>
                </w14:textFill>
              </w:rPr>
            </w:pPr>
            <w:r>
              <w:rPr>
                <w:rFonts w:hint="eastAsia" w:ascii="宋体" w:hAnsi="宋体" w:cs="宋体"/>
                <w:color w:val="000000" w:themeColor="text1"/>
                <w:kern w:val="0"/>
                <w:szCs w:val="21"/>
                <w:highlight w:val="none"/>
                <w:lang w:val="en-US" w:eastAsia="zh-CN" w:bidi="ar"/>
                <w14:textFill>
                  <w14:solidFill>
                    <w14:schemeClr w14:val="tx1"/>
                  </w14:solidFill>
                </w14:textFill>
              </w:rPr>
              <w:t>品牌</w:t>
            </w:r>
          </w:p>
        </w:tc>
        <w:tc>
          <w:tcPr>
            <w:tcW w:w="1299" w:type="dxa"/>
            <w:tcBorders>
              <w:top w:val="single" w:color="auto" w:sz="4" w:space="0"/>
              <w:left w:val="single" w:color="auto" w:sz="4" w:space="0"/>
              <w:bottom w:val="single" w:color="auto" w:sz="4" w:space="0"/>
              <w:right w:val="single" w:color="auto" w:sz="4" w:space="0"/>
            </w:tcBorders>
            <w:vAlign w:val="center"/>
          </w:tcPr>
          <w:p w14:paraId="61FE76A4">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单位</w:t>
            </w:r>
          </w:p>
        </w:tc>
        <w:tc>
          <w:tcPr>
            <w:tcW w:w="1179" w:type="dxa"/>
            <w:tcBorders>
              <w:top w:val="single" w:color="auto" w:sz="4" w:space="0"/>
              <w:left w:val="single" w:color="auto" w:sz="4" w:space="0"/>
              <w:bottom w:val="single" w:color="auto" w:sz="4" w:space="0"/>
              <w:right w:val="single" w:color="auto" w:sz="4" w:space="0"/>
            </w:tcBorders>
            <w:vAlign w:val="center"/>
          </w:tcPr>
          <w:p w14:paraId="32E2DFF8">
            <w:pPr>
              <w:widowControl/>
              <w:jc w:val="center"/>
              <w:rPr>
                <w:rFonts w:hint="default" w:ascii="宋体" w:hAnsi="宋体" w:eastAsia="宋体" w:cs="宋体"/>
                <w:color w:val="000000" w:themeColor="text1"/>
                <w:kern w:val="0"/>
                <w:szCs w:val="21"/>
                <w:highlight w:val="none"/>
                <w:lang w:val="en-US" w:eastAsia="zh-CN" w:bidi="ar"/>
                <w14:textFill>
                  <w14:solidFill>
                    <w14:schemeClr w14:val="tx1"/>
                  </w14:solidFill>
                </w14:textFill>
              </w:rPr>
            </w:pPr>
            <w:r>
              <w:rPr>
                <w:rFonts w:hint="eastAsia" w:ascii="宋体" w:hAnsi="宋体" w:cs="宋体"/>
                <w:color w:val="000000" w:themeColor="text1"/>
                <w:kern w:val="0"/>
                <w:szCs w:val="21"/>
                <w:highlight w:val="none"/>
                <w:lang w:val="en-US" w:eastAsia="zh-CN" w:bidi="ar"/>
                <w14:textFill>
                  <w14:solidFill>
                    <w14:schemeClr w14:val="tx1"/>
                  </w14:solidFill>
                </w14:textFill>
              </w:rPr>
              <w:t>数量</w:t>
            </w:r>
          </w:p>
        </w:tc>
        <w:tc>
          <w:tcPr>
            <w:tcW w:w="1123" w:type="dxa"/>
            <w:tcBorders>
              <w:top w:val="single" w:color="auto" w:sz="4" w:space="0"/>
              <w:left w:val="single" w:color="auto" w:sz="4" w:space="0"/>
              <w:bottom w:val="single" w:color="auto" w:sz="4" w:space="0"/>
              <w:right w:val="single" w:color="auto" w:sz="4" w:space="0"/>
            </w:tcBorders>
            <w:vAlign w:val="center"/>
          </w:tcPr>
          <w:p w14:paraId="3F912B6C">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单价（元）</w:t>
            </w:r>
          </w:p>
        </w:tc>
        <w:tc>
          <w:tcPr>
            <w:tcW w:w="897" w:type="dxa"/>
            <w:tcBorders>
              <w:top w:val="single" w:color="auto" w:sz="4" w:space="0"/>
              <w:left w:val="single" w:color="auto" w:sz="4" w:space="0"/>
              <w:bottom w:val="single" w:color="auto" w:sz="4" w:space="0"/>
              <w:right w:val="single" w:color="auto" w:sz="4" w:space="0"/>
            </w:tcBorders>
            <w:vAlign w:val="center"/>
          </w:tcPr>
          <w:p w14:paraId="513443D9">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备注</w:t>
            </w:r>
          </w:p>
        </w:tc>
      </w:tr>
      <w:tr w14:paraId="6A320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blHeader/>
          <w:jc w:val="center"/>
        </w:trPr>
        <w:tc>
          <w:tcPr>
            <w:tcW w:w="838" w:type="dxa"/>
            <w:tcBorders>
              <w:top w:val="single" w:color="auto" w:sz="4" w:space="0"/>
              <w:left w:val="single" w:color="auto" w:sz="4" w:space="0"/>
              <w:bottom w:val="single" w:color="auto" w:sz="4" w:space="0"/>
              <w:right w:val="single" w:color="auto" w:sz="4" w:space="0"/>
            </w:tcBorders>
            <w:vAlign w:val="center"/>
          </w:tcPr>
          <w:p w14:paraId="64226F47">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gridSpan w:val="2"/>
            <w:tcBorders>
              <w:top w:val="single" w:color="auto" w:sz="4" w:space="0"/>
              <w:left w:val="single" w:color="auto" w:sz="4" w:space="0"/>
              <w:bottom w:val="single" w:color="auto" w:sz="4" w:space="0"/>
              <w:right w:val="single" w:color="auto" w:sz="4" w:space="0"/>
            </w:tcBorders>
            <w:noWrap/>
            <w:vAlign w:val="center"/>
          </w:tcPr>
          <w:p w14:paraId="2ECE93B5">
            <w:pPr>
              <w:widowControl/>
              <w:jc w:val="center"/>
              <w:rPr>
                <w:rFonts w:ascii="宋体" w:hAnsi="宋体" w:cs="宋体"/>
                <w:color w:val="000000" w:themeColor="text1"/>
                <w:kern w:val="0"/>
                <w:szCs w:val="21"/>
                <w:highlight w:val="none"/>
                <w14:textFill>
                  <w14:solidFill>
                    <w14:schemeClr w14:val="tx1"/>
                  </w14:solidFill>
                </w14:textFill>
              </w:rPr>
            </w:pPr>
          </w:p>
        </w:tc>
        <w:tc>
          <w:tcPr>
            <w:tcW w:w="1491" w:type="dxa"/>
            <w:tcBorders>
              <w:top w:val="single" w:color="auto" w:sz="4" w:space="0"/>
              <w:left w:val="single" w:color="auto" w:sz="4" w:space="0"/>
              <w:bottom w:val="single" w:color="auto" w:sz="4" w:space="0"/>
              <w:right w:val="single" w:color="auto" w:sz="4" w:space="0"/>
            </w:tcBorders>
            <w:noWrap/>
            <w:vAlign w:val="center"/>
          </w:tcPr>
          <w:p w14:paraId="22AACCD6">
            <w:pPr>
              <w:widowControl/>
              <w:jc w:val="center"/>
              <w:rPr>
                <w:rFonts w:ascii="宋体" w:hAnsi="宋体" w:cs="宋体"/>
                <w:color w:val="000000" w:themeColor="text1"/>
                <w:kern w:val="0"/>
                <w:szCs w:val="21"/>
                <w:highlight w:val="none"/>
                <w14:textFill>
                  <w14:solidFill>
                    <w14:schemeClr w14:val="tx1"/>
                  </w14:solidFill>
                </w14:textFill>
              </w:rPr>
            </w:pPr>
          </w:p>
        </w:tc>
        <w:tc>
          <w:tcPr>
            <w:tcW w:w="1736" w:type="dxa"/>
            <w:tcBorders>
              <w:top w:val="single" w:color="auto" w:sz="4" w:space="0"/>
              <w:left w:val="single" w:color="auto" w:sz="4" w:space="0"/>
              <w:bottom w:val="single" w:color="auto" w:sz="4" w:space="0"/>
              <w:right w:val="single" w:color="auto" w:sz="4" w:space="0"/>
            </w:tcBorders>
            <w:vAlign w:val="center"/>
          </w:tcPr>
          <w:p w14:paraId="3CB51735">
            <w:pPr>
              <w:widowControl/>
              <w:jc w:val="center"/>
              <w:rPr>
                <w:rFonts w:ascii="宋体" w:hAnsi="宋体" w:cs="宋体"/>
                <w:color w:val="000000" w:themeColor="text1"/>
                <w:kern w:val="0"/>
                <w:szCs w:val="21"/>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12DE22FB">
            <w:pPr>
              <w:widowControl/>
              <w:jc w:val="center"/>
              <w:rPr>
                <w:rFonts w:ascii="宋体" w:hAnsi="宋体" w:cs="宋体"/>
                <w:color w:val="000000" w:themeColor="text1"/>
                <w:kern w:val="0"/>
                <w:szCs w:val="21"/>
                <w:highlight w:val="none"/>
                <w14:textFill>
                  <w14:solidFill>
                    <w14:schemeClr w14:val="tx1"/>
                  </w14:solidFill>
                </w14:textFill>
              </w:rPr>
            </w:pPr>
          </w:p>
        </w:tc>
        <w:tc>
          <w:tcPr>
            <w:tcW w:w="1366" w:type="dxa"/>
            <w:tcBorders>
              <w:top w:val="single" w:color="auto" w:sz="4" w:space="0"/>
              <w:left w:val="single" w:color="auto" w:sz="4" w:space="0"/>
              <w:bottom w:val="single" w:color="auto" w:sz="4" w:space="0"/>
              <w:right w:val="single" w:color="auto" w:sz="4" w:space="0"/>
            </w:tcBorders>
            <w:vAlign w:val="center"/>
          </w:tcPr>
          <w:p w14:paraId="1BF913D8">
            <w:pPr>
              <w:widowControl/>
              <w:jc w:val="center"/>
              <w:rPr>
                <w:rFonts w:ascii="宋体" w:hAnsi="宋体" w:cs="宋体"/>
                <w:color w:val="000000" w:themeColor="text1"/>
                <w:kern w:val="0"/>
                <w:szCs w:val="21"/>
                <w:highlight w:val="none"/>
                <w14:textFill>
                  <w14:solidFill>
                    <w14:schemeClr w14:val="tx1"/>
                  </w14:solidFill>
                </w14:textFill>
              </w:rPr>
            </w:pPr>
          </w:p>
        </w:tc>
        <w:tc>
          <w:tcPr>
            <w:tcW w:w="1154" w:type="dxa"/>
            <w:tcBorders>
              <w:top w:val="single" w:color="auto" w:sz="4" w:space="0"/>
              <w:left w:val="single" w:color="auto" w:sz="4" w:space="0"/>
              <w:bottom w:val="single" w:color="auto" w:sz="4" w:space="0"/>
              <w:right w:val="single" w:color="auto" w:sz="4" w:space="0"/>
            </w:tcBorders>
            <w:vAlign w:val="center"/>
          </w:tcPr>
          <w:p w14:paraId="6479A5C6">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039EB81F">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243204BD">
            <w:pPr>
              <w:widowControl/>
              <w:jc w:val="center"/>
              <w:rPr>
                <w:rFonts w:ascii="宋体" w:hAnsi="宋体" w:cs="宋体"/>
                <w:color w:val="000000" w:themeColor="text1"/>
                <w:kern w:val="0"/>
                <w:szCs w:val="21"/>
                <w:highlight w:val="none"/>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vAlign w:val="center"/>
          </w:tcPr>
          <w:p w14:paraId="3DD0131C">
            <w:pPr>
              <w:widowControl/>
              <w:jc w:val="center"/>
              <w:rPr>
                <w:rFonts w:ascii="宋体" w:hAnsi="宋体" w:cs="宋体"/>
                <w:color w:val="000000" w:themeColor="text1"/>
                <w:kern w:val="0"/>
                <w:szCs w:val="2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1D370209">
            <w:pPr>
              <w:widowControl/>
              <w:jc w:val="center"/>
              <w:rPr>
                <w:rFonts w:ascii="宋体" w:hAnsi="宋体" w:cs="宋体"/>
                <w:color w:val="000000" w:themeColor="text1"/>
                <w:kern w:val="0"/>
                <w:szCs w:val="21"/>
                <w:highlight w:val="none"/>
                <w14:textFill>
                  <w14:solidFill>
                    <w14:schemeClr w14:val="tx1"/>
                  </w14:solidFill>
                </w14:textFill>
              </w:rPr>
            </w:pPr>
          </w:p>
        </w:tc>
        <w:tc>
          <w:tcPr>
            <w:tcW w:w="897" w:type="dxa"/>
            <w:tcBorders>
              <w:top w:val="single" w:color="auto" w:sz="4" w:space="0"/>
              <w:left w:val="single" w:color="auto" w:sz="4" w:space="0"/>
              <w:bottom w:val="single" w:color="auto" w:sz="4" w:space="0"/>
              <w:right w:val="single" w:color="auto" w:sz="4" w:space="0"/>
            </w:tcBorders>
            <w:vAlign w:val="center"/>
          </w:tcPr>
          <w:p w14:paraId="568CE411">
            <w:pPr>
              <w:widowControl/>
              <w:jc w:val="center"/>
              <w:rPr>
                <w:rFonts w:ascii="宋体" w:hAnsi="宋体" w:cs="宋体"/>
                <w:color w:val="000000" w:themeColor="text1"/>
                <w:kern w:val="0"/>
                <w:szCs w:val="21"/>
                <w:highlight w:val="none"/>
                <w14:textFill>
                  <w14:solidFill>
                    <w14:schemeClr w14:val="tx1"/>
                  </w14:solidFill>
                </w14:textFill>
              </w:rPr>
            </w:pPr>
          </w:p>
        </w:tc>
      </w:tr>
      <w:tr w14:paraId="29120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blHeader/>
          <w:jc w:val="center"/>
        </w:trPr>
        <w:tc>
          <w:tcPr>
            <w:tcW w:w="838" w:type="dxa"/>
            <w:tcBorders>
              <w:top w:val="single" w:color="auto" w:sz="4" w:space="0"/>
              <w:left w:val="single" w:color="auto" w:sz="4" w:space="0"/>
              <w:bottom w:val="single" w:color="auto" w:sz="4" w:space="0"/>
              <w:right w:val="single" w:color="auto" w:sz="4" w:space="0"/>
            </w:tcBorders>
            <w:vAlign w:val="center"/>
          </w:tcPr>
          <w:p w14:paraId="273ADD0A">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gridSpan w:val="2"/>
            <w:tcBorders>
              <w:top w:val="single" w:color="auto" w:sz="4" w:space="0"/>
              <w:left w:val="single" w:color="auto" w:sz="4" w:space="0"/>
              <w:bottom w:val="single" w:color="auto" w:sz="4" w:space="0"/>
              <w:right w:val="single" w:color="auto" w:sz="4" w:space="0"/>
            </w:tcBorders>
            <w:noWrap/>
            <w:vAlign w:val="center"/>
          </w:tcPr>
          <w:p w14:paraId="0DC81AF3">
            <w:pPr>
              <w:widowControl/>
              <w:jc w:val="center"/>
              <w:rPr>
                <w:rFonts w:ascii="宋体" w:hAnsi="宋体" w:cs="宋体"/>
                <w:color w:val="000000" w:themeColor="text1"/>
                <w:kern w:val="0"/>
                <w:szCs w:val="21"/>
                <w:highlight w:val="none"/>
                <w14:textFill>
                  <w14:solidFill>
                    <w14:schemeClr w14:val="tx1"/>
                  </w14:solidFill>
                </w14:textFill>
              </w:rPr>
            </w:pPr>
          </w:p>
        </w:tc>
        <w:tc>
          <w:tcPr>
            <w:tcW w:w="1491" w:type="dxa"/>
            <w:tcBorders>
              <w:top w:val="single" w:color="auto" w:sz="4" w:space="0"/>
              <w:left w:val="single" w:color="auto" w:sz="4" w:space="0"/>
              <w:bottom w:val="single" w:color="auto" w:sz="4" w:space="0"/>
              <w:right w:val="single" w:color="auto" w:sz="4" w:space="0"/>
            </w:tcBorders>
            <w:noWrap/>
            <w:vAlign w:val="center"/>
          </w:tcPr>
          <w:p w14:paraId="4B22754C">
            <w:pPr>
              <w:widowControl/>
              <w:jc w:val="center"/>
              <w:rPr>
                <w:rFonts w:ascii="宋体" w:hAnsi="宋体" w:cs="宋体"/>
                <w:color w:val="000000" w:themeColor="text1"/>
                <w:kern w:val="0"/>
                <w:szCs w:val="21"/>
                <w:highlight w:val="none"/>
                <w14:textFill>
                  <w14:solidFill>
                    <w14:schemeClr w14:val="tx1"/>
                  </w14:solidFill>
                </w14:textFill>
              </w:rPr>
            </w:pPr>
          </w:p>
        </w:tc>
        <w:tc>
          <w:tcPr>
            <w:tcW w:w="1736" w:type="dxa"/>
            <w:tcBorders>
              <w:top w:val="single" w:color="auto" w:sz="4" w:space="0"/>
              <w:left w:val="single" w:color="auto" w:sz="4" w:space="0"/>
              <w:bottom w:val="single" w:color="auto" w:sz="4" w:space="0"/>
              <w:right w:val="single" w:color="auto" w:sz="4" w:space="0"/>
            </w:tcBorders>
            <w:vAlign w:val="center"/>
          </w:tcPr>
          <w:p w14:paraId="58543FD1">
            <w:pPr>
              <w:widowControl/>
              <w:jc w:val="center"/>
              <w:rPr>
                <w:rFonts w:ascii="宋体" w:hAnsi="宋体" w:cs="宋体"/>
                <w:color w:val="000000" w:themeColor="text1"/>
                <w:kern w:val="0"/>
                <w:szCs w:val="21"/>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61BE3E2D">
            <w:pPr>
              <w:widowControl/>
              <w:jc w:val="center"/>
              <w:rPr>
                <w:rFonts w:ascii="宋体" w:hAnsi="宋体" w:cs="宋体"/>
                <w:color w:val="000000" w:themeColor="text1"/>
                <w:kern w:val="0"/>
                <w:szCs w:val="21"/>
                <w:highlight w:val="none"/>
                <w14:textFill>
                  <w14:solidFill>
                    <w14:schemeClr w14:val="tx1"/>
                  </w14:solidFill>
                </w14:textFill>
              </w:rPr>
            </w:pPr>
          </w:p>
        </w:tc>
        <w:tc>
          <w:tcPr>
            <w:tcW w:w="1366" w:type="dxa"/>
            <w:tcBorders>
              <w:top w:val="single" w:color="auto" w:sz="4" w:space="0"/>
              <w:left w:val="single" w:color="auto" w:sz="4" w:space="0"/>
              <w:bottom w:val="single" w:color="auto" w:sz="4" w:space="0"/>
              <w:right w:val="single" w:color="auto" w:sz="4" w:space="0"/>
            </w:tcBorders>
            <w:vAlign w:val="center"/>
          </w:tcPr>
          <w:p w14:paraId="59468D65">
            <w:pPr>
              <w:widowControl/>
              <w:jc w:val="center"/>
              <w:rPr>
                <w:rFonts w:ascii="宋体" w:hAnsi="宋体" w:cs="宋体"/>
                <w:color w:val="000000" w:themeColor="text1"/>
                <w:kern w:val="0"/>
                <w:szCs w:val="21"/>
                <w:highlight w:val="none"/>
                <w14:textFill>
                  <w14:solidFill>
                    <w14:schemeClr w14:val="tx1"/>
                  </w14:solidFill>
                </w14:textFill>
              </w:rPr>
            </w:pPr>
          </w:p>
        </w:tc>
        <w:tc>
          <w:tcPr>
            <w:tcW w:w="1154" w:type="dxa"/>
            <w:tcBorders>
              <w:top w:val="single" w:color="auto" w:sz="4" w:space="0"/>
              <w:left w:val="single" w:color="auto" w:sz="4" w:space="0"/>
              <w:bottom w:val="single" w:color="auto" w:sz="4" w:space="0"/>
              <w:right w:val="single" w:color="auto" w:sz="4" w:space="0"/>
            </w:tcBorders>
            <w:vAlign w:val="center"/>
          </w:tcPr>
          <w:p w14:paraId="2F227C48">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3DFE99A2">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4589A243">
            <w:pPr>
              <w:widowControl/>
              <w:jc w:val="center"/>
              <w:rPr>
                <w:rFonts w:ascii="宋体" w:hAnsi="宋体" w:cs="宋体"/>
                <w:color w:val="000000" w:themeColor="text1"/>
                <w:kern w:val="0"/>
                <w:szCs w:val="21"/>
                <w:highlight w:val="none"/>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vAlign w:val="center"/>
          </w:tcPr>
          <w:p w14:paraId="2145198C">
            <w:pPr>
              <w:widowControl/>
              <w:jc w:val="center"/>
              <w:rPr>
                <w:rFonts w:ascii="宋体" w:hAnsi="宋体" w:cs="宋体"/>
                <w:color w:val="000000" w:themeColor="text1"/>
                <w:kern w:val="0"/>
                <w:szCs w:val="2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22A44A17">
            <w:pPr>
              <w:widowControl/>
              <w:jc w:val="center"/>
              <w:rPr>
                <w:rFonts w:ascii="宋体" w:hAnsi="宋体" w:cs="宋体"/>
                <w:color w:val="000000" w:themeColor="text1"/>
                <w:kern w:val="0"/>
                <w:szCs w:val="21"/>
                <w:highlight w:val="none"/>
                <w14:textFill>
                  <w14:solidFill>
                    <w14:schemeClr w14:val="tx1"/>
                  </w14:solidFill>
                </w14:textFill>
              </w:rPr>
            </w:pPr>
          </w:p>
        </w:tc>
        <w:tc>
          <w:tcPr>
            <w:tcW w:w="897" w:type="dxa"/>
            <w:tcBorders>
              <w:top w:val="single" w:color="auto" w:sz="4" w:space="0"/>
              <w:left w:val="single" w:color="auto" w:sz="4" w:space="0"/>
              <w:bottom w:val="single" w:color="auto" w:sz="4" w:space="0"/>
              <w:right w:val="single" w:color="auto" w:sz="4" w:space="0"/>
            </w:tcBorders>
            <w:vAlign w:val="center"/>
          </w:tcPr>
          <w:p w14:paraId="534C33DB">
            <w:pPr>
              <w:widowControl/>
              <w:jc w:val="center"/>
              <w:rPr>
                <w:rFonts w:ascii="宋体" w:hAnsi="宋体" w:cs="宋体"/>
                <w:color w:val="000000" w:themeColor="text1"/>
                <w:kern w:val="0"/>
                <w:szCs w:val="21"/>
                <w:highlight w:val="none"/>
                <w14:textFill>
                  <w14:solidFill>
                    <w14:schemeClr w14:val="tx1"/>
                  </w14:solidFill>
                </w14:textFill>
              </w:rPr>
            </w:pPr>
          </w:p>
        </w:tc>
      </w:tr>
      <w:tr w14:paraId="02578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blHeader/>
          <w:jc w:val="center"/>
        </w:trPr>
        <w:tc>
          <w:tcPr>
            <w:tcW w:w="838" w:type="dxa"/>
            <w:tcBorders>
              <w:top w:val="single" w:color="auto" w:sz="4" w:space="0"/>
              <w:left w:val="single" w:color="auto" w:sz="4" w:space="0"/>
              <w:bottom w:val="single" w:color="auto" w:sz="4" w:space="0"/>
              <w:right w:val="single" w:color="auto" w:sz="4" w:space="0"/>
            </w:tcBorders>
            <w:vAlign w:val="center"/>
          </w:tcPr>
          <w:p w14:paraId="3B9A6A1A">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gridSpan w:val="2"/>
            <w:tcBorders>
              <w:top w:val="single" w:color="auto" w:sz="4" w:space="0"/>
              <w:left w:val="single" w:color="auto" w:sz="4" w:space="0"/>
              <w:bottom w:val="single" w:color="auto" w:sz="4" w:space="0"/>
              <w:right w:val="single" w:color="auto" w:sz="4" w:space="0"/>
            </w:tcBorders>
            <w:noWrap/>
            <w:vAlign w:val="center"/>
          </w:tcPr>
          <w:p w14:paraId="57480D41">
            <w:pPr>
              <w:widowControl/>
              <w:jc w:val="center"/>
              <w:rPr>
                <w:rFonts w:ascii="宋体" w:hAnsi="宋体" w:cs="宋体"/>
                <w:color w:val="000000" w:themeColor="text1"/>
                <w:kern w:val="0"/>
                <w:szCs w:val="21"/>
                <w:highlight w:val="none"/>
                <w14:textFill>
                  <w14:solidFill>
                    <w14:schemeClr w14:val="tx1"/>
                  </w14:solidFill>
                </w14:textFill>
              </w:rPr>
            </w:pPr>
          </w:p>
        </w:tc>
        <w:tc>
          <w:tcPr>
            <w:tcW w:w="1491" w:type="dxa"/>
            <w:tcBorders>
              <w:top w:val="single" w:color="auto" w:sz="4" w:space="0"/>
              <w:left w:val="single" w:color="auto" w:sz="4" w:space="0"/>
              <w:bottom w:val="single" w:color="auto" w:sz="4" w:space="0"/>
              <w:right w:val="single" w:color="auto" w:sz="4" w:space="0"/>
            </w:tcBorders>
            <w:noWrap/>
            <w:vAlign w:val="center"/>
          </w:tcPr>
          <w:p w14:paraId="0FC76396">
            <w:pPr>
              <w:widowControl/>
              <w:jc w:val="center"/>
              <w:rPr>
                <w:rFonts w:ascii="宋体" w:hAnsi="宋体" w:cs="宋体"/>
                <w:color w:val="000000" w:themeColor="text1"/>
                <w:kern w:val="0"/>
                <w:szCs w:val="21"/>
                <w:highlight w:val="none"/>
                <w14:textFill>
                  <w14:solidFill>
                    <w14:schemeClr w14:val="tx1"/>
                  </w14:solidFill>
                </w14:textFill>
              </w:rPr>
            </w:pPr>
          </w:p>
        </w:tc>
        <w:tc>
          <w:tcPr>
            <w:tcW w:w="1736" w:type="dxa"/>
            <w:tcBorders>
              <w:top w:val="single" w:color="auto" w:sz="4" w:space="0"/>
              <w:left w:val="single" w:color="auto" w:sz="4" w:space="0"/>
              <w:bottom w:val="single" w:color="auto" w:sz="4" w:space="0"/>
              <w:right w:val="single" w:color="auto" w:sz="4" w:space="0"/>
            </w:tcBorders>
            <w:vAlign w:val="center"/>
          </w:tcPr>
          <w:p w14:paraId="6BEEEE97">
            <w:pPr>
              <w:widowControl/>
              <w:jc w:val="center"/>
              <w:rPr>
                <w:rFonts w:ascii="宋体" w:hAnsi="宋体" w:cs="宋体"/>
                <w:color w:val="000000" w:themeColor="text1"/>
                <w:kern w:val="0"/>
                <w:szCs w:val="21"/>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56088F87">
            <w:pPr>
              <w:widowControl/>
              <w:jc w:val="center"/>
              <w:rPr>
                <w:rFonts w:ascii="宋体" w:hAnsi="宋体" w:cs="宋体"/>
                <w:color w:val="000000" w:themeColor="text1"/>
                <w:kern w:val="0"/>
                <w:szCs w:val="21"/>
                <w:highlight w:val="none"/>
                <w14:textFill>
                  <w14:solidFill>
                    <w14:schemeClr w14:val="tx1"/>
                  </w14:solidFill>
                </w14:textFill>
              </w:rPr>
            </w:pPr>
          </w:p>
        </w:tc>
        <w:tc>
          <w:tcPr>
            <w:tcW w:w="1366" w:type="dxa"/>
            <w:tcBorders>
              <w:top w:val="single" w:color="auto" w:sz="4" w:space="0"/>
              <w:left w:val="single" w:color="auto" w:sz="4" w:space="0"/>
              <w:bottom w:val="single" w:color="auto" w:sz="4" w:space="0"/>
              <w:right w:val="single" w:color="auto" w:sz="4" w:space="0"/>
            </w:tcBorders>
            <w:vAlign w:val="center"/>
          </w:tcPr>
          <w:p w14:paraId="421406D4">
            <w:pPr>
              <w:widowControl/>
              <w:jc w:val="center"/>
              <w:rPr>
                <w:rFonts w:ascii="宋体" w:hAnsi="宋体" w:cs="宋体"/>
                <w:color w:val="000000" w:themeColor="text1"/>
                <w:kern w:val="0"/>
                <w:szCs w:val="21"/>
                <w:highlight w:val="none"/>
                <w14:textFill>
                  <w14:solidFill>
                    <w14:schemeClr w14:val="tx1"/>
                  </w14:solidFill>
                </w14:textFill>
              </w:rPr>
            </w:pPr>
          </w:p>
        </w:tc>
        <w:tc>
          <w:tcPr>
            <w:tcW w:w="1154" w:type="dxa"/>
            <w:tcBorders>
              <w:top w:val="single" w:color="auto" w:sz="4" w:space="0"/>
              <w:left w:val="single" w:color="auto" w:sz="4" w:space="0"/>
              <w:bottom w:val="single" w:color="auto" w:sz="4" w:space="0"/>
              <w:right w:val="single" w:color="auto" w:sz="4" w:space="0"/>
            </w:tcBorders>
            <w:vAlign w:val="center"/>
          </w:tcPr>
          <w:p w14:paraId="22D2EFA1">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573E800C">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05ABF846">
            <w:pPr>
              <w:widowControl/>
              <w:jc w:val="center"/>
              <w:rPr>
                <w:rFonts w:ascii="宋体" w:hAnsi="宋体" w:cs="宋体"/>
                <w:color w:val="000000" w:themeColor="text1"/>
                <w:kern w:val="0"/>
                <w:szCs w:val="21"/>
                <w:highlight w:val="none"/>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vAlign w:val="center"/>
          </w:tcPr>
          <w:p w14:paraId="1B435840">
            <w:pPr>
              <w:widowControl/>
              <w:jc w:val="center"/>
              <w:rPr>
                <w:rFonts w:ascii="宋体" w:hAnsi="宋体" w:cs="宋体"/>
                <w:color w:val="000000" w:themeColor="text1"/>
                <w:kern w:val="0"/>
                <w:szCs w:val="2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094D945D">
            <w:pPr>
              <w:widowControl/>
              <w:jc w:val="center"/>
              <w:rPr>
                <w:rFonts w:ascii="宋体" w:hAnsi="宋体" w:cs="宋体"/>
                <w:color w:val="000000" w:themeColor="text1"/>
                <w:kern w:val="0"/>
                <w:szCs w:val="21"/>
                <w:highlight w:val="none"/>
                <w14:textFill>
                  <w14:solidFill>
                    <w14:schemeClr w14:val="tx1"/>
                  </w14:solidFill>
                </w14:textFill>
              </w:rPr>
            </w:pPr>
          </w:p>
        </w:tc>
        <w:tc>
          <w:tcPr>
            <w:tcW w:w="897" w:type="dxa"/>
            <w:tcBorders>
              <w:top w:val="single" w:color="auto" w:sz="4" w:space="0"/>
              <w:left w:val="single" w:color="auto" w:sz="4" w:space="0"/>
              <w:bottom w:val="single" w:color="auto" w:sz="4" w:space="0"/>
              <w:right w:val="single" w:color="auto" w:sz="4" w:space="0"/>
            </w:tcBorders>
            <w:vAlign w:val="center"/>
          </w:tcPr>
          <w:p w14:paraId="2204289A">
            <w:pPr>
              <w:widowControl/>
              <w:jc w:val="center"/>
              <w:rPr>
                <w:rFonts w:ascii="宋体" w:hAnsi="宋体" w:cs="宋体"/>
                <w:color w:val="000000" w:themeColor="text1"/>
                <w:kern w:val="0"/>
                <w:szCs w:val="21"/>
                <w:highlight w:val="none"/>
                <w14:textFill>
                  <w14:solidFill>
                    <w14:schemeClr w14:val="tx1"/>
                  </w14:solidFill>
                </w14:textFill>
              </w:rPr>
            </w:pPr>
          </w:p>
        </w:tc>
      </w:tr>
      <w:tr w14:paraId="3C25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blHeader/>
          <w:jc w:val="center"/>
        </w:trPr>
        <w:tc>
          <w:tcPr>
            <w:tcW w:w="838" w:type="dxa"/>
            <w:tcBorders>
              <w:top w:val="single" w:color="auto" w:sz="4" w:space="0"/>
              <w:left w:val="single" w:color="auto" w:sz="4" w:space="0"/>
              <w:bottom w:val="single" w:color="auto" w:sz="4" w:space="0"/>
              <w:right w:val="single" w:color="auto" w:sz="4" w:space="0"/>
            </w:tcBorders>
            <w:vAlign w:val="center"/>
          </w:tcPr>
          <w:p w14:paraId="3ECFAAE1">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gridSpan w:val="2"/>
            <w:tcBorders>
              <w:top w:val="single" w:color="auto" w:sz="4" w:space="0"/>
              <w:left w:val="single" w:color="auto" w:sz="4" w:space="0"/>
              <w:bottom w:val="single" w:color="auto" w:sz="4" w:space="0"/>
              <w:right w:val="single" w:color="auto" w:sz="4" w:space="0"/>
            </w:tcBorders>
            <w:noWrap/>
            <w:vAlign w:val="center"/>
          </w:tcPr>
          <w:p w14:paraId="74781F78">
            <w:pPr>
              <w:widowControl/>
              <w:jc w:val="center"/>
              <w:rPr>
                <w:rFonts w:ascii="宋体" w:hAnsi="宋体" w:cs="宋体"/>
                <w:color w:val="000000" w:themeColor="text1"/>
                <w:kern w:val="0"/>
                <w:szCs w:val="21"/>
                <w:highlight w:val="none"/>
                <w14:textFill>
                  <w14:solidFill>
                    <w14:schemeClr w14:val="tx1"/>
                  </w14:solidFill>
                </w14:textFill>
              </w:rPr>
            </w:pPr>
          </w:p>
        </w:tc>
        <w:tc>
          <w:tcPr>
            <w:tcW w:w="1491" w:type="dxa"/>
            <w:tcBorders>
              <w:top w:val="single" w:color="auto" w:sz="4" w:space="0"/>
              <w:left w:val="single" w:color="auto" w:sz="4" w:space="0"/>
              <w:bottom w:val="single" w:color="auto" w:sz="4" w:space="0"/>
              <w:right w:val="single" w:color="auto" w:sz="4" w:space="0"/>
            </w:tcBorders>
            <w:noWrap/>
            <w:vAlign w:val="center"/>
          </w:tcPr>
          <w:p w14:paraId="6819F3F9">
            <w:pPr>
              <w:widowControl/>
              <w:jc w:val="center"/>
              <w:rPr>
                <w:rFonts w:ascii="宋体" w:hAnsi="宋体" w:cs="宋体"/>
                <w:color w:val="000000" w:themeColor="text1"/>
                <w:kern w:val="0"/>
                <w:szCs w:val="21"/>
                <w:highlight w:val="none"/>
                <w14:textFill>
                  <w14:solidFill>
                    <w14:schemeClr w14:val="tx1"/>
                  </w14:solidFill>
                </w14:textFill>
              </w:rPr>
            </w:pPr>
          </w:p>
        </w:tc>
        <w:tc>
          <w:tcPr>
            <w:tcW w:w="1736" w:type="dxa"/>
            <w:tcBorders>
              <w:top w:val="single" w:color="auto" w:sz="4" w:space="0"/>
              <w:left w:val="single" w:color="auto" w:sz="4" w:space="0"/>
              <w:bottom w:val="single" w:color="auto" w:sz="4" w:space="0"/>
              <w:right w:val="single" w:color="auto" w:sz="4" w:space="0"/>
            </w:tcBorders>
            <w:vAlign w:val="center"/>
          </w:tcPr>
          <w:p w14:paraId="3E7B1B2E">
            <w:pPr>
              <w:widowControl/>
              <w:jc w:val="center"/>
              <w:rPr>
                <w:rFonts w:ascii="宋体" w:hAnsi="宋体" w:cs="宋体"/>
                <w:color w:val="000000" w:themeColor="text1"/>
                <w:kern w:val="0"/>
                <w:szCs w:val="21"/>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3FEE80F3">
            <w:pPr>
              <w:widowControl/>
              <w:jc w:val="center"/>
              <w:rPr>
                <w:rFonts w:ascii="宋体" w:hAnsi="宋体" w:cs="宋体"/>
                <w:color w:val="000000" w:themeColor="text1"/>
                <w:kern w:val="0"/>
                <w:szCs w:val="21"/>
                <w:highlight w:val="none"/>
                <w14:textFill>
                  <w14:solidFill>
                    <w14:schemeClr w14:val="tx1"/>
                  </w14:solidFill>
                </w14:textFill>
              </w:rPr>
            </w:pPr>
          </w:p>
        </w:tc>
        <w:tc>
          <w:tcPr>
            <w:tcW w:w="1366" w:type="dxa"/>
            <w:tcBorders>
              <w:top w:val="single" w:color="auto" w:sz="4" w:space="0"/>
              <w:left w:val="single" w:color="auto" w:sz="4" w:space="0"/>
              <w:bottom w:val="single" w:color="auto" w:sz="4" w:space="0"/>
              <w:right w:val="single" w:color="auto" w:sz="4" w:space="0"/>
            </w:tcBorders>
            <w:vAlign w:val="center"/>
          </w:tcPr>
          <w:p w14:paraId="37426326">
            <w:pPr>
              <w:widowControl/>
              <w:jc w:val="center"/>
              <w:rPr>
                <w:rFonts w:ascii="宋体" w:hAnsi="宋体" w:cs="宋体"/>
                <w:color w:val="000000" w:themeColor="text1"/>
                <w:kern w:val="0"/>
                <w:szCs w:val="21"/>
                <w:highlight w:val="none"/>
                <w14:textFill>
                  <w14:solidFill>
                    <w14:schemeClr w14:val="tx1"/>
                  </w14:solidFill>
                </w14:textFill>
              </w:rPr>
            </w:pPr>
          </w:p>
        </w:tc>
        <w:tc>
          <w:tcPr>
            <w:tcW w:w="1154" w:type="dxa"/>
            <w:tcBorders>
              <w:top w:val="single" w:color="auto" w:sz="4" w:space="0"/>
              <w:left w:val="single" w:color="auto" w:sz="4" w:space="0"/>
              <w:bottom w:val="single" w:color="auto" w:sz="4" w:space="0"/>
              <w:right w:val="single" w:color="auto" w:sz="4" w:space="0"/>
            </w:tcBorders>
            <w:vAlign w:val="center"/>
          </w:tcPr>
          <w:p w14:paraId="02214159">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1BD2C8A4">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7DD86E80">
            <w:pPr>
              <w:widowControl/>
              <w:jc w:val="center"/>
              <w:rPr>
                <w:rFonts w:ascii="宋体" w:hAnsi="宋体" w:cs="宋体"/>
                <w:color w:val="000000" w:themeColor="text1"/>
                <w:kern w:val="0"/>
                <w:szCs w:val="21"/>
                <w:highlight w:val="none"/>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vAlign w:val="center"/>
          </w:tcPr>
          <w:p w14:paraId="06F3DB4B">
            <w:pPr>
              <w:widowControl/>
              <w:jc w:val="center"/>
              <w:rPr>
                <w:rFonts w:ascii="宋体" w:hAnsi="宋体" w:cs="宋体"/>
                <w:color w:val="000000" w:themeColor="text1"/>
                <w:kern w:val="0"/>
                <w:szCs w:val="2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26C92520">
            <w:pPr>
              <w:widowControl/>
              <w:jc w:val="center"/>
              <w:rPr>
                <w:rFonts w:ascii="宋体" w:hAnsi="宋体" w:cs="宋体"/>
                <w:color w:val="000000" w:themeColor="text1"/>
                <w:kern w:val="0"/>
                <w:szCs w:val="21"/>
                <w:highlight w:val="none"/>
                <w14:textFill>
                  <w14:solidFill>
                    <w14:schemeClr w14:val="tx1"/>
                  </w14:solidFill>
                </w14:textFill>
              </w:rPr>
            </w:pPr>
          </w:p>
        </w:tc>
        <w:tc>
          <w:tcPr>
            <w:tcW w:w="897" w:type="dxa"/>
            <w:tcBorders>
              <w:top w:val="single" w:color="auto" w:sz="4" w:space="0"/>
              <w:left w:val="single" w:color="auto" w:sz="4" w:space="0"/>
              <w:bottom w:val="single" w:color="auto" w:sz="4" w:space="0"/>
              <w:right w:val="single" w:color="auto" w:sz="4" w:space="0"/>
            </w:tcBorders>
            <w:vAlign w:val="center"/>
          </w:tcPr>
          <w:p w14:paraId="1A7DEC19">
            <w:pPr>
              <w:widowControl/>
              <w:jc w:val="center"/>
              <w:rPr>
                <w:rFonts w:ascii="宋体" w:hAnsi="宋体" w:cs="宋体"/>
                <w:color w:val="000000" w:themeColor="text1"/>
                <w:kern w:val="0"/>
                <w:szCs w:val="21"/>
                <w:highlight w:val="none"/>
                <w14:textFill>
                  <w14:solidFill>
                    <w14:schemeClr w14:val="tx1"/>
                  </w14:solidFill>
                </w14:textFill>
              </w:rPr>
            </w:pPr>
          </w:p>
        </w:tc>
      </w:tr>
      <w:tr w14:paraId="0FB5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blHeader/>
          <w:jc w:val="center"/>
        </w:trPr>
        <w:tc>
          <w:tcPr>
            <w:tcW w:w="838" w:type="dxa"/>
            <w:tcBorders>
              <w:top w:val="single" w:color="auto" w:sz="4" w:space="0"/>
              <w:left w:val="single" w:color="auto" w:sz="4" w:space="0"/>
              <w:bottom w:val="single" w:color="auto" w:sz="4" w:space="0"/>
              <w:right w:val="single" w:color="auto" w:sz="4" w:space="0"/>
            </w:tcBorders>
            <w:vAlign w:val="center"/>
          </w:tcPr>
          <w:p w14:paraId="2EF11803">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gridSpan w:val="2"/>
            <w:tcBorders>
              <w:top w:val="single" w:color="auto" w:sz="4" w:space="0"/>
              <w:left w:val="single" w:color="auto" w:sz="4" w:space="0"/>
              <w:bottom w:val="single" w:color="auto" w:sz="4" w:space="0"/>
              <w:right w:val="single" w:color="auto" w:sz="4" w:space="0"/>
            </w:tcBorders>
            <w:noWrap/>
            <w:vAlign w:val="center"/>
          </w:tcPr>
          <w:p w14:paraId="1BD61080">
            <w:pPr>
              <w:widowControl/>
              <w:jc w:val="center"/>
              <w:rPr>
                <w:rFonts w:ascii="宋体" w:hAnsi="宋体" w:cs="宋体"/>
                <w:color w:val="000000" w:themeColor="text1"/>
                <w:kern w:val="0"/>
                <w:szCs w:val="21"/>
                <w:highlight w:val="none"/>
                <w14:textFill>
                  <w14:solidFill>
                    <w14:schemeClr w14:val="tx1"/>
                  </w14:solidFill>
                </w14:textFill>
              </w:rPr>
            </w:pPr>
          </w:p>
        </w:tc>
        <w:tc>
          <w:tcPr>
            <w:tcW w:w="1491" w:type="dxa"/>
            <w:tcBorders>
              <w:top w:val="single" w:color="auto" w:sz="4" w:space="0"/>
              <w:left w:val="single" w:color="auto" w:sz="4" w:space="0"/>
              <w:bottom w:val="single" w:color="auto" w:sz="4" w:space="0"/>
              <w:right w:val="single" w:color="auto" w:sz="4" w:space="0"/>
            </w:tcBorders>
            <w:noWrap/>
            <w:vAlign w:val="center"/>
          </w:tcPr>
          <w:p w14:paraId="1DD94261">
            <w:pPr>
              <w:widowControl/>
              <w:jc w:val="center"/>
              <w:rPr>
                <w:rFonts w:ascii="宋体" w:hAnsi="宋体" w:cs="宋体"/>
                <w:color w:val="000000" w:themeColor="text1"/>
                <w:kern w:val="0"/>
                <w:szCs w:val="21"/>
                <w:highlight w:val="none"/>
                <w14:textFill>
                  <w14:solidFill>
                    <w14:schemeClr w14:val="tx1"/>
                  </w14:solidFill>
                </w14:textFill>
              </w:rPr>
            </w:pPr>
          </w:p>
        </w:tc>
        <w:tc>
          <w:tcPr>
            <w:tcW w:w="1736" w:type="dxa"/>
            <w:tcBorders>
              <w:top w:val="single" w:color="auto" w:sz="4" w:space="0"/>
              <w:left w:val="single" w:color="auto" w:sz="4" w:space="0"/>
              <w:bottom w:val="single" w:color="auto" w:sz="4" w:space="0"/>
              <w:right w:val="single" w:color="auto" w:sz="4" w:space="0"/>
            </w:tcBorders>
            <w:vAlign w:val="center"/>
          </w:tcPr>
          <w:p w14:paraId="2E98E2E7">
            <w:pPr>
              <w:widowControl/>
              <w:jc w:val="center"/>
              <w:rPr>
                <w:rFonts w:ascii="宋体" w:hAnsi="宋体" w:cs="宋体"/>
                <w:color w:val="000000" w:themeColor="text1"/>
                <w:kern w:val="0"/>
                <w:szCs w:val="21"/>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7775FD51">
            <w:pPr>
              <w:widowControl/>
              <w:jc w:val="center"/>
              <w:rPr>
                <w:rFonts w:ascii="宋体" w:hAnsi="宋体" w:cs="宋体"/>
                <w:color w:val="000000" w:themeColor="text1"/>
                <w:kern w:val="0"/>
                <w:szCs w:val="21"/>
                <w:highlight w:val="none"/>
                <w14:textFill>
                  <w14:solidFill>
                    <w14:schemeClr w14:val="tx1"/>
                  </w14:solidFill>
                </w14:textFill>
              </w:rPr>
            </w:pPr>
          </w:p>
        </w:tc>
        <w:tc>
          <w:tcPr>
            <w:tcW w:w="1366" w:type="dxa"/>
            <w:tcBorders>
              <w:top w:val="single" w:color="auto" w:sz="4" w:space="0"/>
              <w:left w:val="single" w:color="auto" w:sz="4" w:space="0"/>
              <w:bottom w:val="single" w:color="auto" w:sz="4" w:space="0"/>
              <w:right w:val="single" w:color="auto" w:sz="4" w:space="0"/>
            </w:tcBorders>
            <w:vAlign w:val="center"/>
          </w:tcPr>
          <w:p w14:paraId="234396F9">
            <w:pPr>
              <w:widowControl/>
              <w:jc w:val="center"/>
              <w:rPr>
                <w:rFonts w:ascii="宋体" w:hAnsi="宋体" w:cs="宋体"/>
                <w:color w:val="000000" w:themeColor="text1"/>
                <w:kern w:val="0"/>
                <w:szCs w:val="21"/>
                <w:highlight w:val="none"/>
                <w14:textFill>
                  <w14:solidFill>
                    <w14:schemeClr w14:val="tx1"/>
                  </w14:solidFill>
                </w14:textFill>
              </w:rPr>
            </w:pPr>
          </w:p>
        </w:tc>
        <w:tc>
          <w:tcPr>
            <w:tcW w:w="1154" w:type="dxa"/>
            <w:tcBorders>
              <w:top w:val="single" w:color="auto" w:sz="4" w:space="0"/>
              <w:left w:val="single" w:color="auto" w:sz="4" w:space="0"/>
              <w:bottom w:val="single" w:color="auto" w:sz="4" w:space="0"/>
              <w:right w:val="single" w:color="auto" w:sz="4" w:space="0"/>
            </w:tcBorders>
            <w:vAlign w:val="center"/>
          </w:tcPr>
          <w:p w14:paraId="0ED6AC58">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22B675F0">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301A79B1">
            <w:pPr>
              <w:widowControl/>
              <w:jc w:val="center"/>
              <w:rPr>
                <w:rFonts w:ascii="宋体" w:hAnsi="宋体" w:cs="宋体"/>
                <w:color w:val="000000" w:themeColor="text1"/>
                <w:kern w:val="0"/>
                <w:szCs w:val="21"/>
                <w:highlight w:val="none"/>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vAlign w:val="center"/>
          </w:tcPr>
          <w:p w14:paraId="5704A00C">
            <w:pPr>
              <w:widowControl/>
              <w:jc w:val="center"/>
              <w:rPr>
                <w:rFonts w:ascii="宋体" w:hAnsi="宋体" w:cs="宋体"/>
                <w:color w:val="000000" w:themeColor="text1"/>
                <w:kern w:val="0"/>
                <w:szCs w:val="2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51B4F1D0">
            <w:pPr>
              <w:widowControl/>
              <w:jc w:val="center"/>
              <w:rPr>
                <w:rFonts w:ascii="宋体" w:hAnsi="宋体" w:cs="宋体"/>
                <w:color w:val="000000" w:themeColor="text1"/>
                <w:kern w:val="0"/>
                <w:szCs w:val="21"/>
                <w:highlight w:val="none"/>
                <w14:textFill>
                  <w14:solidFill>
                    <w14:schemeClr w14:val="tx1"/>
                  </w14:solidFill>
                </w14:textFill>
              </w:rPr>
            </w:pPr>
          </w:p>
        </w:tc>
        <w:tc>
          <w:tcPr>
            <w:tcW w:w="897" w:type="dxa"/>
            <w:tcBorders>
              <w:top w:val="single" w:color="auto" w:sz="4" w:space="0"/>
              <w:left w:val="single" w:color="auto" w:sz="4" w:space="0"/>
              <w:bottom w:val="single" w:color="auto" w:sz="4" w:space="0"/>
              <w:right w:val="single" w:color="auto" w:sz="4" w:space="0"/>
            </w:tcBorders>
            <w:vAlign w:val="center"/>
          </w:tcPr>
          <w:p w14:paraId="34783C8F">
            <w:pPr>
              <w:widowControl/>
              <w:jc w:val="center"/>
              <w:rPr>
                <w:rFonts w:ascii="宋体" w:hAnsi="宋体" w:cs="宋体"/>
                <w:color w:val="000000" w:themeColor="text1"/>
                <w:kern w:val="0"/>
                <w:szCs w:val="21"/>
                <w:highlight w:val="none"/>
                <w14:textFill>
                  <w14:solidFill>
                    <w14:schemeClr w14:val="tx1"/>
                  </w14:solidFill>
                </w14:textFill>
              </w:rPr>
            </w:pPr>
          </w:p>
        </w:tc>
      </w:tr>
      <w:tr w14:paraId="384CA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blHeader/>
          <w:jc w:val="center"/>
        </w:trPr>
        <w:tc>
          <w:tcPr>
            <w:tcW w:w="838" w:type="dxa"/>
            <w:tcBorders>
              <w:top w:val="single" w:color="auto" w:sz="4" w:space="0"/>
              <w:left w:val="single" w:color="auto" w:sz="4" w:space="0"/>
              <w:bottom w:val="single" w:color="auto" w:sz="4" w:space="0"/>
              <w:right w:val="single" w:color="auto" w:sz="4" w:space="0"/>
            </w:tcBorders>
            <w:vAlign w:val="center"/>
          </w:tcPr>
          <w:p w14:paraId="1471A774">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gridSpan w:val="2"/>
            <w:tcBorders>
              <w:top w:val="single" w:color="auto" w:sz="4" w:space="0"/>
              <w:left w:val="single" w:color="auto" w:sz="4" w:space="0"/>
              <w:bottom w:val="single" w:color="auto" w:sz="4" w:space="0"/>
              <w:right w:val="single" w:color="auto" w:sz="4" w:space="0"/>
            </w:tcBorders>
            <w:noWrap/>
            <w:vAlign w:val="center"/>
          </w:tcPr>
          <w:p w14:paraId="1CBE2535">
            <w:pPr>
              <w:widowControl/>
              <w:jc w:val="center"/>
              <w:rPr>
                <w:rFonts w:ascii="宋体" w:hAnsi="宋体" w:cs="宋体"/>
                <w:color w:val="000000" w:themeColor="text1"/>
                <w:kern w:val="0"/>
                <w:szCs w:val="21"/>
                <w:highlight w:val="none"/>
                <w14:textFill>
                  <w14:solidFill>
                    <w14:schemeClr w14:val="tx1"/>
                  </w14:solidFill>
                </w14:textFill>
              </w:rPr>
            </w:pPr>
          </w:p>
        </w:tc>
        <w:tc>
          <w:tcPr>
            <w:tcW w:w="1491" w:type="dxa"/>
            <w:tcBorders>
              <w:top w:val="single" w:color="auto" w:sz="4" w:space="0"/>
              <w:left w:val="single" w:color="auto" w:sz="4" w:space="0"/>
              <w:bottom w:val="single" w:color="auto" w:sz="4" w:space="0"/>
              <w:right w:val="single" w:color="auto" w:sz="4" w:space="0"/>
            </w:tcBorders>
            <w:noWrap/>
            <w:vAlign w:val="center"/>
          </w:tcPr>
          <w:p w14:paraId="1732CF11">
            <w:pPr>
              <w:widowControl/>
              <w:jc w:val="center"/>
              <w:rPr>
                <w:rFonts w:ascii="宋体" w:hAnsi="宋体" w:cs="宋体"/>
                <w:color w:val="000000" w:themeColor="text1"/>
                <w:kern w:val="0"/>
                <w:szCs w:val="21"/>
                <w:highlight w:val="none"/>
                <w14:textFill>
                  <w14:solidFill>
                    <w14:schemeClr w14:val="tx1"/>
                  </w14:solidFill>
                </w14:textFill>
              </w:rPr>
            </w:pPr>
          </w:p>
        </w:tc>
        <w:tc>
          <w:tcPr>
            <w:tcW w:w="1736" w:type="dxa"/>
            <w:tcBorders>
              <w:top w:val="single" w:color="auto" w:sz="4" w:space="0"/>
              <w:left w:val="single" w:color="auto" w:sz="4" w:space="0"/>
              <w:bottom w:val="single" w:color="auto" w:sz="4" w:space="0"/>
              <w:right w:val="single" w:color="auto" w:sz="4" w:space="0"/>
            </w:tcBorders>
            <w:vAlign w:val="center"/>
          </w:tcPr>
          <w:p w14:paraId="62177BDD">
            <w:pPr>
              <w:widowControl/>
              <w:jc w:val="center"/>
              <w:rPr>
                <w:rFonts w:ascii="宋体" w:hAnsi="宋体" w:cs="宋体"/>
                <w:color w:val="000000" w:themeColor="text1"/>
                <w:kern w:val="0"/>
                <w:szCs w:val="21"/>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30E7DC72">
            <w:pPr>
              <w:widowControl/>
              <w:jc w:val="center"/>
              <w:rPr>
                <w:rFonts w:ascii="宋体" w:hAnsi="宋体" w:cs="宋体"/>
                <w:color w:val="000000" w:themeColor="text1"/>
                <w:kern w:val="0"/>
                <w:szCs w:val="21"/>
                <w:highlight w:val="none"/>
                <w14:textFill>
                  <w14:solidFill>
                    <w14:schemeClr w14:val="tx1"/>
                  </w14:solidFill>
                </w14:textFill>
              </w:rPr>
            </w:pPr>
          </w:p>
        </w:tc>
        <w:tc>
          <w:tcPr>
            <w:tcW w:w="1366" w:type="dxa"/>
            <w:tcBorders>
              <w:top w:val="single" w:color="auto" w:sz="4" w:space="0"/>
              <w:left w:val="single" w:color="auto" w:sz="4" w:space="0"/>
              <w:bottom w:val="single" w:color="auto" w:sz="4" w:space="0"/>
              <w:right w:val="single" w:color="auto" w:sz="4" w:space="0"/>
            </w:tcBorders>
            <w:vAlign w:val="center"/>
          </w:tcPr>
          <w:p w14:paraId="3E0F8620">
            <w:pPr>
              <w:widowControl/>
              <w:jc w:val="center"/>
              <w:rPr>
                <w:rFonts w:ascii="宋体" w:hAnsi="宋体" w:cs="宋体"/>
                <w:color w:val="000000" w:themeColor="text1"/>
                <w:kern w:val="0"/>
                <w:szCs w:val="21"/>
                <w:highlight w:val="none"/>
                <w14:textFill>
                  <w14:solidFill>
                    <w14:schemeClr w14:val="tx1"/>
                  </w14:solidFill>
                </w14:textFill>
              </w:rPr>
            </w:pPr>
          </w:p>
        </w:tc>
        <w:tc>
          <w:tcPr>
            <w:tcW w:w="1154" w:type="dxa"/>
            <w:tcBorders>
              <w:top w:val="single" w:color="auto" w:sz="4" w:space="0"/>
              <w:left w:val="single" w:color="auto" w:sz="4" w:space="0"/>
              <w:bottom w:val="single" w:color="auto" w:sz="4" w:space="0"/>
              <w:right w:val="single" w:color="auto" w:sz="4" w:space="0"/>
            </w:tcBorders>
            <w:vAlign w:val="center"/>
          </w:tcPr>
          <w:p w14:paraId="7DF6FF48">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0E6F6AD7">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323032E5">
            <w:pPr>
              <w:widowControl/>
              <w:jc w:val="center"/>
              <w:rPr>
                <w:rFonts w:ascii="宋体" w:hAnsi="宋体" w:cs="宋体"/>
                <w:color w:val="000000" w:themeColor="text1"/>
                <w:kern w:val="0"/>
                <w:szCs w:val="21"/>
                <w:highlight w:val="none"/>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vAlign w:val="center"/>
          </w:tcPr>
          <w:p w14:paraId="6A64FF79">
            <w:pPr>
              <w:widowControl/>
              <w:jc w:val="center"/>
              <w:rPr>
                <w:rFonts w:ascii="宋体" w:hAnsi="宋体" w:cs="宋体"/>
                <w:color w:val="000000" w:themeColor="text1"/>
                <w:kern w:val="0"/>
                <w:szCs w:val="2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52BB194C">
            <w:pPr>
              <w:widowControl/>
              <w:jc w:val="center"/>
              <w:rPr>
                <w:rFonts w:ascii="宋体" w:hAnsi="宋体" w:cs="宋体"/>
                <w:color w:val="000000" w:themeColor="text1"/>
                <w:kern w:val="0"/>
                <w:szCs w:val="21"/>
                <w:highlight w:val="none"/>
                <w14:textFill>
                  <w14:solidFill>
                    <w14:schemeClr w14:val="tx1"/>
                  </w14:solidFill>
                </w14:textFill>
              </w:rPr>
            </w:pPr>
          </w:p>
        </w:tc>
        <w:tc>
          <w:tcPr>
            <w:tcW w:w="897" w:type="dxa"/>
            <w:tcBorders>
              <w:top w:val="single" w:color="auto" w:sz="4" w:space="0"/>
              <w:left w:val="single" w:color="auto" w:sz="4" w:space="0"/>
              <w:bottom w:val="single" w:color="auto" w:sz="4" w:space="0"/>
              <w:right w:val="single" w:color="auto" w:sz="4" w:space="0"/>
            </w:tcBorders>
            <w:vAlign w:val="center"/>
          </w:tcPr>
          <w:p w14:paraId="6D7B1BF9">
            <w:pPr>
              <w:widowControl/>
              <w:jc w:val="center"/>
              <w:rPr>
                <w:rFonts w:ascii="宋体" w:hAnsi="宋体" w:cs="宋体"/>
                <w:color w:val="000000" w:themeColor="text1"/>
                <w:kern w:val="0"/>
                <w:szCs w:val="21"/>
                <w:highlight w:val="none"/>
                <w14:textFill>
                  <w14:solidFill>
                    <w14:schemeClr w14:val="tx1"/>
                  </w14:solidFill>
                </w14:textFill>
              </w:rPr>
            </w:pPr>
          </w:p>
        </w:tc>
      </w:tr>
      <w:tr w14:paraId="0BD1E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blHeader/>
          <w:jc w:val="center"/>
        </w:trPr>
        <w:tc>
          <w:tcPr>
            <w:tcW w:w="838" w:type="dxa"/>
            <w:tcBorders>
              <w:top w:val="single" w:color="auto" w:sz="4" w:space="0"/>
              <w:left w:val="single" w:color="auto" w:sz="4" w:space="0"/>
              <w:bottom w:val="single" w:color="auto" w:sz="4" w:space="0"/>
              <w:right w:val="single" w:color="auto" w:sz="4" w:space="0"/>
            </w:tcBorders>
            <w:vAlign w:val="center"/>
          </w:tcPr>
          <w:p w14:paraId="489D4BCE">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gridSpan w:val="2"/>
            <w:tcBorders>
              <w:top w:val="single" w:color="auto" w:sz="4" w:space="0"/>
              <w:left w:val="single" w:color="auto" w:sz="4" w:space="0"/>
              <w:bottom w:val="single" w:color="auto" w:sz="4" w:space="0"/>
              <w:right w:val="single" w:color="auto" w:sz="4" w:space="0"/>
            </w:tcBorders>
            <w:noWrap/>
            <w:vAlign w:val="center"/>
          </w:tcPr>
          <w:p w14:paraId="5F9454C6">
            <w:pPr>
              <w:widowControl/>
              <w:jc w:val="center"/>
              <w:rPr>
                <w:rFonts w:ascii="宋体" w:hAnsi="宋体" w:cs="宋体"/>
                <w:color w:val="000000" w:themeColor="text1"/>
                <w:kern w:val="0"/>
                <w:szCs w:val="21"/>
                <w:highlight w:val="none"/>
                <w14:textFill>
                  <w14:solidFill>
                    <w14:schemeClr w14:val="tx1"/>
                  </w14:solidFill>
                </w14:textFill>
              </w:rPr>
            </w:pPr>
          </w:p>
        </w:tc>
        <w:tc>
          <w:tcPr>
            <w:tcW w:w="1491" w:type="dxa"/>
            <w:tcBorders>
              <w:top w:val="single" w:color="auto" w:sz="4" w:space="0"/>
              <w:left w:val="single" w:color="auto" w:sz="4" w:space="0"/>
              <w:bottom w:val="single" w:color="auto" w:sz="4" w:space="0"/>
              <w:right w:val="single" w:color="auto" w:sz="4" w:space="0"/>
            </w:tcBorders>
            <w:noWrap/>
            <w:vAlign w:val="center"/>
          </w:tcPr>
          <w:p w14:paraId="25D09FC1">
            <w:pPr>
              <w:widowControl/>
              <w:jc w:val="center"/>
              <w:rPr>
                <w:rFonts w:ascii="宋体" w:hAnsi="宋体" w:cs="宋体"/>
                <w:color w:val="000000" w:themeColor="text1"/>
                <w:kern w:val="0"/>
                <w:szCs w:val="21"/>
                <w:highlight w:val="none"/>
                <w14:textFill>
                  <w14:solidFill>
                    <w14:schemeClr w14:val="tx1"/>
                  </w14:solidFill>
                </w14:textFill>
              </w:rPr>
            </w:pPr>
          </w:p>
        </w:tc>
        <w:tc>
          <w:tcPr>
            <w:tcW w:w="1736" w:type="dxa"/>
            <w:tcBorders>
              <w:top w:val="single" w:color="auto" w:sz="4" w:space="0"/>
              <w:left w:val="single" w:color="auto" w:sz="4" w:space="0"/>
              <w:bottom w:val="single" w:color="auto" w:sz="4" w:space="0"/>
              <w:right w:val="single" w:color="auto" w:sz="4" w:space="0"/>
            </w:tcBorders>
            <w:vAlign w:val="center"/>
          </w:tcPr>
          <w:p w14:paraId="4C8A4C49">
            <w:pPr>
              <w:widowControl/>
              <w:jc w:val="center"/>
              <w:rPr>
                <w:rFonts w:ascii="宋体" w:hAnsi="宋体" w:cs="宋体"/>
                <w:color w:val="000000" w:themeColor="text1"/>
                <w:kern w:val="0"/>
                <w:szCs w:val="21"/>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28A2FCE6">
            <w:pPr>
              <w:widowControl/>
              <w:jc w:val="center"/>
              <w:rPr>
                <w:rFonts w:ascii="宋体" w:hAnsi="宋体" w:cs="宋体"/>
                <w:color w:val="000000" w:themeColor="text1"/>
                <w:kern w:val="0"/>
                <w:szCs w:val="21"/>
                <w:highlight w:val="none"/>
                <w14:textFill>
                  <w14:solidFill>
                    <w14:schemeClr w14:val="tx1"/>
                  </w14:solidFill>
                </w14:textFill>
              </w:rPr>
            </w:pPr>
          </w:p>
        </w:tc>
        <w:tc>
          <w:tcPr>
            <w:tcW w:w="1366" w:type="dxa"/>
            <w:tcBorders>
              <w:top w:val="single" w:color="auto" w:sz="4" w:space="0"/>
              <w:left w:val="single" w:color="auto" w:sz="4" w:space="0"/>
              <w:bottom w:val="single" w:color="auto" w:sz="4" w:space="0"/>
              <w:right w:val="single" w:color="auto" w:sz="4" w:space="0"/>
            </w:tcBorders>
            <w:vAlign w:val="center"/>
          </w:tcPr>
          <w:p w14:paraId="2A8FAFFF">
            <w:pPr>
              <w:widowControl/>
              <w:jc w:val="center"/>
              <w:rPr>
                <w:rFonts w:ascii="宋体" w:hAnsi="宋体" w:cs="宋体"/>
                <w:color w:val="000000" w:themeColor="text1"/>
                <w:kern w:val="0"/>
                <w:szCs w:val="21"/>
                <w:highlight w:val="none"/>
                <w14:textFill>
                  <w14:solidFill>
                    <w14:schemeClr w14:val="tx1"/>
                  </w14:solidFill>
                </w14:textFill>
              </w:rPr>
            </w:pPr>
          </w:p>
        </w:tc>
        <w:tc>
          <w:tcPr>
            <w:tcW w:w="1154" w:type="dxa"/>
            <w:tcBorders>
              <w:top w:val="single" w:color="auto" w:sz="4" w:space="0"/>
              <w:left w:val="single" w:color="auto" w:sz="4" w:space="0"/>
              <w:bottom w:val="single" w:color="auto" w:sz="4" w:space="0"/>
              <w:right w:val="single" w:color="auto" w:sz="4" w:space="0"/>
            </w:tcBorders>
            <w:vAlign w:val="center"/>
          </w:tcPr>
          <w:p w14:paraId="0AD5C997">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3B248F61">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1694C20D">
            <w:pPr>
              <w:widowControl/>
              <w:jc w:val="center"/>
              <w:rPr>
                <w:rFonts w:ascii="宋体" w:hAnsi="宋体" w:cs="宋体"/>
                <w:color w:val="000000" w:themeColor="text1"/>
                <w:kern w:val="0"/>
                <w:szCs w:val="21"/>
                <w:highlight w:val="none"/>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vAlign w:val="center"/>
          </w:tcPr>
          <w:p w14:paraId="719ABD26">
            <w:pPr>
              <w:widowControl/>
              <w:jc w:val="center"/>
              <w:rPr>
                <w:rFonts w:ascii="宋体" w:hAnsi="宋体" w:cs="宋体"/>
                <w:color w:val="000000" w:themeColor="text1"/>
                <w:kern w:val="0"/>
                <w:szCs w:val="2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32593D7E">
            <w:pPr>
              <w:widowControl/>
              <w:jc w:val="center"/>
              <w:rPr>
                <w:rFonts w:ascii="宋体" w:hAnsi="宋体" w:cs="宋体"/>
                <w:color w:val="000000" w:themeColor="text1"/>
                <w:kern w:val="0"/>
                <w:szCs w:val="21"/>
                <w:highlight w:val="none"/>
                <w14:textFill>
                  <w14:solidFill>
                    <w14:schemeClr w14:val="tx1"/>
                  </w14:solidFill>
                </w14:textFill>
              </w:rPr>
            </w:pPr>
          </w:p>
        </w:tc>
        <w:tc>
          <w:tcPr>
            <w:tcW w:w="897" w:type="dxa"/>
            <w:tcBorders>
              <w:top w:val="single" w:color="auto" w:sz="4" w:space="0"/>
              <w:left w:val="single" w:color="auto" w:sz="4" w:space="0"/>
              <w:bottom w:val="single" w:color="auto" w:sz="4" w:space="0"/>
              <w:right w:val="single" w:color="auto" w:sz="4" w:space="0"/>
            </w:tcBorders>
            <w:vAlign w:val="center"/>
          </w:tcPr>
          <w:p w14:paraId="0B62970B">
            <w:pPr>
              <w:widowControl/>
              <w:jc w:val="center"/>
              <w:rPr>
                <w:rFonts w:ascii="宋体" w:hAnsi="宋体" w:cs="宋体"/>
                <w:color w:val="000000" w:themeColor="text1"/>
                <w:kern w:val="0"/>
                <w:szCs w:val="21"/>
                <w:highlight w:val="none"/>
                <w14:textFill>
                  <w14:solidFill>
                    <w14:schemeClr w14:val="tx1"/>
                  </w14:solidFill>
                </w14:textFill>
              </w:rPr>
            </w:pPr>
          </w:p>
        </w:tc>
      </w:tr>
      <w:tr w14:paraId="4EB8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blHeader/>
          <w:jc w:val="center"/>
        </w:trPr>
        <w:tc>
          <w:tcPr>
            <w:tcW w:w="838" w:type="dxa"/>
            <w:tcBorders>
              <w:top w:val="single" w:color="auto" w:sz="4" w:space="0"/>
              <w:left w:val="single" w:color="auto" w:sz="4" w:space="0"/>
              <w:bottom w:val="single" w:color="auto" w:sz="4" w:space="0"/>
              <w:right w:val="single" w:color="auto" w:sz="4" w:space="0"/>
            </w:tcBorders>
            <w:vAlign w:val="center"/>
          </w:tcPr>
          <w:p w14:paraId="1FFB049C">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gridSpan w:val="2"/>
            <w:tcBorders>
              <w:top w:val="single" w:color="auto" w:sz="4" w:space="0"/>
              <w:left w:val="single" w:color="auto" w:sz="4" w:space="0"/>
              <w:bottom w:val="single" w:color="auto" w:sz="4" w:space="0"/>
              <w:right w:val="single" w:color="auto" w:sz="4" w:space="0"/>
            </w:tcBorders>
            <w:noWrap/>
            <w:vAlign w:val="center"/>
          </w:tcPr>
          <w:p w14:paraId="3FE9EDE6">
            <w:pPr>
              <w:widowControl/>
              <w:jc w:val="center"/>
              <w:rPr>
                <w:rFonts w:ascii="宋体" w:hAnsi="宋体" w:cs="宋体"/>
                <w:color w:val="000000" w:themeColor="text1"/>
                <w:kern w:val="0"/>
                <w:szCs w:val="21"/>
                <w:highlight w:val="none"/>
                <w14:textFill>
                  <w14:solidFill>
                    <w14:schemeClr w14:val="tx1"/>
                  </w14:solidFill>
                </w14:textFill>
              </w:rPr>
            </w:pPr>
          </w:p>
        </w:tc>
        <w:tc>
          <w:tcPr>
            <w:tcW w:w="1491" w:type="dxa"/>
            <w:tcBorders>
              <w:top w:val="single" w:color="auto" w:sz="4" w:space="0"/>
              <w:left w:val="single" w:color="auto" w:sz="4" w:space="0"/>
              <w:bottom w:val="single" w:color="auto" w:sz="4" w:space="0"/>
              <w:right w:val="single" w:color="auto" w:sz="4" w:space="0"/>
            </w:tcBorders>
            <w:noWrap/>
            <w:vAlign w:val="center"/>
          </w:tcPr>
          <w:p w14:paraId="2B036145">
            <w:pPr>
              <w:widowControl/>
              <w:jc w:val="center"/>
              <w:rPr>
                <w:rFonts w:ascii="宋体" w:hAnsi="宋体" w:cs="宋体"/>
                <w:color w:val="000000" w:themeColor="text1"/>
                <w:kern w:val="0"/>
                <w:szCs w:val="21"/>
                <w:highlight w:val="none"/>
                <w14:textFill>
                  <w14:solidFill>
                    <w14:schemeClr w14:val="tx1"/>
                  </w14:solidFill>
                </w14:textFill>
              </w:rPr>
            </w:pPr>
          </w:p>
        </w:tc>
        <w:tc>
          <w:tcPr>
            <w:tcW w:w="1736" w:type="dxa"/>
            <w:tcBorders>
              <w:top w:val="single" w:color="auto" w:sz="4" w:space="0"/>
              <w:left w:val="single" w:color="auto" w:sz="4" w:space="0"/>
              <w:bottom w:val="single" w:color="auto" w:sz="4" w:space="0"/>
              <w:right w:val="single" w:color="auto" w:sz="4" w:space="0"/>
            </w:tcBorders>
            <w:vAlign w:val="center"/>
          </w:tcPr>
          <w:p w14:paraId="6946E10F">
            <w:pPr>
              <w:widowControl/>
              <w:jc w:val="center"/>
              <w:rPr>
                <w:rFonts w:ascii="宋体" w:hAnsi="宋体" w:cs="宋体"/>
                <w:color w:val="000000" w:themeColor="text1"/>
                <w:kern w:val="0"/>
                <w:szCs w:val="21"/>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2AE9CBB1">
            <w:pPr>
              <w:widowControl/>
              <w:jc w:val="center"/>
              <w:rPr>
                <w:rFonts w:ascii="宋体" w:hAnsi="宋体" w:cs="宋体"/>
                <w:color w:val="000000" w:themeColor="text1"/>
                <w:kern w:val="0"/>
                <w:szCs w:val="21"/>
                <w:highlight w:val="none"/>
                <w14:textFill>
                  <w14:solidFill>
                    <w14:schemeClr w14:val="tx1"/>
                  </w14:solidFill>
                </w14:textFill>
              </w:rPr>
            </w:pPr>
          </w:p>
        </w:tc>
        <w:tc>
          <w:tcPr>
            <w:tcW w:w="1366" w:type="dxa"/>
            <w:tcBorders>
              <w:top w:val="single" w:color="auto" w:sz="4" w:space="0"/>
              <w:left w:val="single" w:color="auto" w:sz="4" w:space="0"/>
              <w:bottom w:val="single" w:color="auto" w:sz="4" w:space="0"/>
              <w:right w:val="single" w:color="auto" w:sz="4" w:space="0"/>
            </w:tcBorders>
            <w:vAlign w:val="center"/>
          </w:tcPr>
          <w:p w14:paraId="28DB7851">
            <w:pPr>
              <w:widowControl/>
              <w:jc w:val="center"/>
              <w:rPr>
                <w:rFonts w:ascii="宋体" w:hAnsi="宋体" w:cs="宋体"/>
                <w:color w:val="000000" w:themeColor="text1"/>
                <w:kern w:val="0"/>
                <w:szCs w:val="21"/>
                <w:highlight w:val="none"/>
                <w14:textFill>
                  <w14:solidFill>
                    <w14:schemeClr w14:val="tx1"/>
                  </w14:solidFill>
                </w14:textFill>
              </w:rPr>
            </w:pPr>
          </w:p>
        </w:tc>
        <w:tc>
          <w:tcPr>
            <w:tcW w:w="1154" w:type="dxa"/>
            <w:tcBorders>
              <w:top w:val="single" w:color="auto" w:sz="4" w:space="0"/>
              <w:left w:val="single" w:color="auto" w:sz="4" w:space="0"/>
              <w:bottom w:val="single" w:color="auto" w:sz="4" w:space="0"/>
              <w:right w:val="single" w:color="auto" w:sz="4" w:space="0"/>
            </w:tcBorders>
            <w:vAlign w:val="center"/>
          </w:tcPr>
          <w:p w14:paraId="68828EB5">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7985236A">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5D48C874">
            <w:pPr>
              <w:widowControl/>
              <w:jc w:val="center"/>
              <w:rPr>
                <w:rFonts w:ascii="宋体" w:hAnsi="宋体" w:cs="宋体"/>
                <w:color w:val="000000" w:themeColor="text1"/>
                <w:kern w:val="0"/>
                <w:szCs w:val="21"/>
                <w:highlight w:val="none"/>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vAlign w:val="center"/>
          </w:tcPr>
          <w:p w14:paraId="7B04C3AE">
            <w:pPr>
              <w:widowControl/>
              <w:jc w:val="center"/>
              <w:rPr>
                <w:rFonts w:ascii="宋体" w:hAnsi="宋体" w:cs="宋体"/>
                <w:color w:val="000000" w:themeColor="text1"/>
                <w:kern w:val="0"/>
                <w:szCs w:val="2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79F57F17">
            <w:pPr>
              <w:widowControl/>
              <w:jc w:val="center"/>
              <w:rPr>
                <w:rFonts w:ascii="宋体" w:hAnsi="宋体" w:cs="宋体"/>
                <w:color w:val="000000" w:themeColor="text1"/>
                <w:kern w:val="0"/>
                <w:szCs w:val="21"/>
                <w:highlight w:val="none"/>
                <w14:textFill>
                  <w14:solidFill>
                    <w14:schemeClr w14:val="tx1"/>
                  </w14:solidFill>
                </w14:textFill>
              </w:rPr>
            </w:pPr>
          </w:p>
        </w:tc>
        <w:tc>
          <w:tcPr>
            <w:tcW w:w="897" w:type="dxa"/>
            <w:tcBorders>
              <w:top w:val="single" w:color="auto" w:sz="4" w:space="0"/>
              <w:left w:val="single" w:color="auto" w:sz="4" w:space="0"/>
              <w:bottom w:val="single" w:color="auto" w:sz="4" w:space="0"/>
              <w:right w:val="single" w:color="auto" w:sz="4" w:space="0"/>
            </w:tcBorders>
            <w:vAlign w:val="center"/>
          </w:tcPr>
          <w:p w14:paraId="153304EE">
            <w:pPr>
              <w:widowControl/>
              <w:jc w:val="center"/>
              <w:rPr>
                <w:rFonts w:ascii="宋体" w:hAnsi="宋体" w:cs="宋体"/>
                <w:color w:val="000000" w:themeColor="text1"/>
                <w:kern w:val="0"/>
                <w:szCs w:val="21"/>
                <w:highlight w:val="none"/>
                <w14:textFill>
                  <w14:solidFill>
                    <w14:schemeClr w14:val="tx1"/>
                  </w14:solidFill>
                </w14:textFill>
              </w:rPr>
            </w:pPr>
          </w:p>
        </w:tc>
      </w:tr>
      <w:tr w14:paraId="36258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blHeader/>
          <w:jc w:val="center"/>
        </w:trPr>
        <w:tc>
          <w:tcPr>
            <w:tcW w:w="838" w:type="dxa"/>
            <w:tcBorders>
              <w:top w:val="single" w:color="auto" w:sz="4" w:space="0"/>
              <w:left w:val="single" w:color="auto" w:sz="4" w:space="0"/>
              <w:bottom w:val="single" w:color="auto" w:sz="4" w:space="0"/>
              <w:right w:val="single" w:color="auto" w:sz="4" w:space="0"/>
            </w:tcBorders>
            <w:vAlign w:val="center"/>
          </w:tcPr>
          <w:p w14:paraId="5DAF9871">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gridSpan w:val="2"/>
            <w:tcBorders>
              <w:top w:val="single" w:color="auto" w:sz="4" w:space="0"/>
              <w:left w:val="single" w:color="auto" w:sz="4" w:space="0"/>
              <w:bottom w:val="single" w:color="auto" w:sz="4" w:space="0"/>
              <w:right w:val="single" w:color="auto" w:sz="4" w:space="0"/>
            </w:tcBorders>
            <w:noWrap/>
            <w:vAlign w:val="center"/>
          </w:tcPr>
          <w:p w14:paraId="4F549852">
            <w:pPr>
              <w:widowControl/>
              <w:jc w:val="center"/>
              <w:rPr>
                <w:rFonts w:ascii="宋体" w:hAnsi="宋体" w:cs="宋体"/>
                <w:color w:val="000000" w:themeColor="text1"/>
                <w:kern w:val="0"/>
                <w:szCs w:val="21"/>
                <w:highlight w:val="none"/>
                <w14:textFill>
                  <w14:solidFill>
                    <w14:schemeClr w14:val="tx1"/>
                  </w14:solidFill>
                </w14:textFill>
              </w:rPr>
            </w:pPr>
          </w:p>
        </w:tc>
        <w:tc>
          <w:tcPr>
            <w:tcW w:w="1491" w:type="dxa"/>
            <w:tcBorders>
              <w:top w:val="single" w:color="auto" w:sz="4" w:space="0"/>
              <w:left w:val="single" w:color="auto" w:sz="4" w:space="0"/>
              <w:bottom w:val="single" w:color="auto" w:sz="4" w:space="0"/>
              <w:right w:val="single" w:color="auto" w:sz="4" w:space="0"/>
            </w:tcBorders>
            <w:noWrap/>
            <w:vAlign w:val="center"/>
          </w:tcPr>
          <w:p w14:paraId="72AE2351">
            <w:pPr>
              <w:widowControl/>
              <w:jc w:val="center"/>
              <w:rPr>
                <w:rFonts w:ascii="宋体" w:hAnsi="宋体" w:cs="宋体"/>
                <w:color w:val="000000" w:themeColor="text1"/>
                <w:kern w:val="0"/>
                <w:szCs w:val="21"/>
                <w:highlight w:val="none"/>
                <w14:textFill>
                  <w14:solidFill>
                    <w14:schemeClr w14:val="tx1"/>
                  </w14:solidFill>
                </w14:textFill>
              </w:rPr>
            </w:pPr>
          </w:p>
        </w:tc>
        <w:tc>
          <w:tcPr>
            <w:tcW w:w="1736" w:type="dxa"/>
            <w:tcBorders>
              <w:top w:val="single" w:color="auto" w:sz="4" w:space="0"/>
              <w:left w:val="single" w:color="auto" w:sz="4" w:space="0"/>
              <w:bottom w:val="single" w:color="auto" w:sz="4" w:space="0"/>
              <w:right w:val="single" w:color="auto" w:sz="4" w:space="0"/>
            </w:tcBorders>
            <w:vAlign w:val="center"/>
          </w:tcPr>
          <w:p w14:paraId="2382F4C2">
            <w:pPr>
              <w:widowControl/>
              <w:jc w:val="center"/>
              <w:rPr>
                <w:rFonts w:ascii="宋体" w:hAnsi="宋体" w:cs="宋体"/>
                <w:color w:val="000000" w:themeColor="text1"/>
                <w:kern w:val="0"/>
                <w:szCs w:val="21"/>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2DF82EA4">
            <w:pPr>
              <w:widowControl/>
              <w:jc w:val="center"/>
              <w:rPr>
                <w:rFonts w:ascii="宋体" w:hAnsi="宋体" w:cs="宋体"/>
                <w:color w:val="000000" w:themeColor="text1"/>
                <w:kern w:val="0"/>
                <w:szCs w:val="21"/>
                <w:highlight w:val="none"/>
                <w14:textFill>
                  <w14:solidFill>
                    <w14:schemeClr w14:val="tx1"/>
                  </w14:solidFill>
                </w14:textFill>
              </w:rPr>
            </w:pPr>
          </w:p>
        </w:tc>
        <w:tc>
          <w:tcPr>
            <w:tcW w:w="1366" w:type="dxa"/>
            <w:tcBorders>
              <w:top w:val="single" w:color="auto" w:sz="4" w:space="0"/>
              <w:left w:val="single" w:color="auto" w:sz="4" w:space="0"/>
              <w:bottom w:val="single" w:color="auto" w:sz="4" w:space="0"/>
              <w:right w:val="single" w:color="auto" w:sz="4" w:space="0"/>
            </w:tcBorders>
            <w:vAlign w:val="center"/>
          </w:tcPr>
          <w:p w14:paraId="05FD6B1A">
            <w:pPr>
              <w:widowControl/>
              <w:jc w:val="center"/>
              <w:rPr>
                <w:rFonts w:ascii="宋体" w:hAnsi="宋体" w:cs="宋体"/>
                <w:color w:val="000000" w:themeColor="text1"/>
                <w:kern w:val="0"/>
                <w:szCs w:val="21"/>
                <w:highlight w:val="none"/>
                <w14:textFill>
                  <w14:solidFill>
                    <w14:schemeClr w14:val="tx1"/>
                  </w14:solidFill>
                </w14:textFill>
              </w:rPr>
            </w:pPr>
          </w:p>
        </w:tc>
        <w:tc>
          <w:tcPr>
            <w:tcW w:w="1154" w:type="dxa"/>
            <w:tcBorders>
              <w:top w:val="single" w:color="auto" w:sz="4" w:space="0"/>
              <w:left w:val="single" w:color="auto" w:sz="4" w:space="0"/>
              <w:bottom w:val="single" w:color="auto" w:sz="4" w:space="0"/>
              <w:right w:val="single" w:color="auto" w:sz="4" w:space="0"/>
            </w:tcBorders>
            <w:vAlign w:val="center"/>
          </w:tcPr>
          <w:p w14:paraId="0265D6F0">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45340A66">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5DFD76ED">
            <w:pPr>
              <w:widowControl/>
              <w:jc w:val="center"/>
              <w:rPr>
                <w:rFonts w:ascii="宋体" w:hAnsi="宋体" w:cs="宋体"/>
                <w:color w:val="000000" w:themeColor="text1"/>
                <w:kern w:val="0"/>
                <w:szCs w:val="21"/>
                <w:highlight w:val="none"/>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vAlign w:val="center"/>
          </w:tcPr>
          <w:p w14:paraId="09A3AF76">
            <w:pPr>
              <w:widowControl/>
              <w:jc w:val="center"/>
              <w:rPr>
                <w:rFonts w:ascii="宋体" w:hAnsi="宋体" w:cs="宋体"/>
                <w:color w:val="000000" w:themeColor="text1"/>
                <w:kern w:val="0"/>
                <w:szCs w:val="2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552E5264">
            <w:pPr>
              <w:widowControl/>
              <w:jc w:val="center"/>
              <w:rPr>
                <w:rFonts w:ascii="宋体" w:hAnsi="宋体" w:cs="宋体"/>
                <w:color w:val="000000" w:themeColor="text1"/>
                <w:kern w:val="0"/>
                <w:szCs w:val="21"/>
                <w:highlight w:val="none"/>
                <w14:textFill>
                  <w14:solidFill>
                    <w14:schemeClr w14:val="tx1"/>
                  </w14:solidFill>
                </w14:textFill>
              </w:rPr>
            </w:pPr>
          </w:p>
        </w:tc>
        <w:tc>
          <w:tcPr>
            <w:tcW w:w="897" w:type="dxa"/>
            <w:tcBorders>
              <w:top w:val="single" w:color="auto" w:sz="4" w:space="0"/>
              <w:left w:val="single" w:color="auto" w:sz="4" w:space="0"/>
              <w:bottom w:val="single" w:color="auto" w:sz="4" w:space="0"/>
              <w:right w:val="single" w:color="auto" w:sz="4" w:space="0"/>
            </w:tcBorders>
            <w:vAlign w:val="center"/>
          </w:tcPr>
          <w:p w14:paraId="50A49915">
            <w:pPr>
              <w:widowControl/>
              <w:jc w:val="center"/>
              <w:rPr>
                <w:rFonts w:ascii="宋体" w:hAnsi="宋体" w:cs="宋体"/>
                <w:color w:val="000000" w:themeColor="text1"/>
                <w:kern w:val="0"/>
                <w:szCs w:val="21"/>
                <w:highlight w:val="none"/>
                <w14:textFill>
                  <w14:solidFill>
                    <w14:schemeClr w14:val="tx1"/>
                  </w14:solidFill>
                </w14:textFill>
              </w:rPr>
            </w:pPr>
          </w:p>
        </w:tc>
      </w:tr>
      <w:tr w14:paraId="19F5D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blHeader/>
          <w:jc w:val="center"/>
        </w:trPr>
        <w:tc>
          <w:tcPr>
            <w:tcW w:w="1299" w:type="dxa"/>
            <w:gridSpan w:val="2"/>
            <w:tcBorders>
              <w:top w:val="single" w:color="auto" w:sz="4" w:space="0"/>
              <w:left w:val="single" w:color="auto" w:sz="4" w:space="0"/>
              <w:bottom w:val="single" w:color="auto" w:sz="4" w:space="0"/>
              <w:right w:val="single" w:color="auto" w:sz="4" w:space="0"/>
            </w:tcBorders>
            <w:vAlign w:val="center"/>
          </w:tcPr>
          <w:p w14:paraId="5864D26D">
            <w:pPr>
              <w:widowControl/>
              <w:jc w:val="center"/>
              <w:rPr>
                <w:rFonts w:hint="eastAsia" w:ascii="宋体" w:hAnsi="宋体" w:cs="宋体"/>
                <w:b/>
                <w:bCs/>
                <w:color w:val="000000" w:themeColor="text1"/>
                <w:kern w:val="0"/>
                <w:szCs w:val="21"/>
                <w:highlight w:val="none"/>
                <w14:textFill>
                  <w14:solidFill>
                    <w14:schemeClr w14:val="tx1"/>
                  </w14:solidFill>
                </w14:textFill>
              </w:rPr>
            </w:pPr>
          </w:p>
        </w:tc>
        <w:tc>
          <w:tcPr>
            <w:tcW w:w="10756" w:type="dxa"/>
            <w:gridSpan w:val="8"/>
            <w:tcBorders>
              <w:top w:val="single" w:color="auto" w:sz="4" w:space="0"/>
              <w:left w:val="single" w:color="auto" w:sz="4" w:space="0"/>
              <w:bottom w:val="single" w:color="auto" w:sz="4" w:space="0"/>
              <w:right w:val="single" w:color="auto" w:sz="4" w:space="0"/>
            </w:tcBorders>
            <w:vAlign w:val="center"/>
          </w:tcPr>
          <w:p w14:paraId="3697A06B">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合计（</w:t>
            </w:r>
            <w:r>
              <w:rPr>
                <w:rFonts w:hint="eastAsia" w:ascii="宋体" w:hAnsi="宋体" w:cs="宋体"/>
                <w:b/>
                <w:bCs/>
                <w:color w:val="000000" w:themeColor="text1"/>
                <w:kern w:val="0"/>
                <w:sz w:val="24"/>
                <w:highlight w:val="none"/>
                <w14:textFill>
                  <w14:solidFill>
                    <w14:schemeClr w14:val="tx1"/>
                  </w14:solidFill>
                </w14:textFill>
              </w:rPr>
              <w:t>合计金额</w:t>
            </w:r>
            <w:r>
              <w:rPr>
                <w:rFonts w:hint="eastAsia" w:ascii="宋体" w:hAnsi="宋体" w:cs="宋体"/>
                <w:b/>
                <w:bCs/>
                <w:color w:val="000000" w:themeColor="text1"/>
                <w:kern w:val="0"/>
                <w:szCs w:val="21"/>
                <w:highlight w:val="none"/>
                <w14:textFill>
                  <w14:solidFill>
                    <w14:schemeClr w14:val="tx1"/>
                  </w14:solidFill>
                </w14:textFill>
              </w:rPr>
              <w:t>）</w:t>
            </w:r>
          </w:p>
        </w:tc>
        <w:tc>
          <w:tcPr>
            <w:tcW w:w="1179" w:type="dxa"/>
            <w:tcBorders>
              <w:top w:val="single" w:color="auto" w:sz="4" w:space="0"/>
              <w:left w:val="single" w:color="auto" w:sz="4" w:space="0"/>
              <w:bottom w:val="single" w:color="auto" w:sz="4" w:space="0"/>
              <w:right w:val="single" w:color="auto" w:sz="4" w:space="0"/>
            </w:tcBorders>
            <w:vAlign w:val="center"/>
          </w:tcPr>
          <w:p w14:paraId="7BF58804">
            <w:pPr>
              <w:widowControl/>
              <w:jc w:val="center"/>
              <w:rPr>
                <w:rFonts w:hint="eastAsia" w:ascii="宋体" w:hAnsi="宋体" w:cs="宋体"/>
                <w:b/>
                <w:bCs/>
                <w:color w:val="000000" w:themeColor="text1"/>
                <w:kern w:val="0"/>
                <w:szCs w:val="2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5220DA29">
            <w:pPr>
              <w:widowControl/>
              <w:jc w:val="center"/>
              <w:rPr>
                <w:rFonts w:ascii="宋体" w:hAnsi="宋体" w:cs="宋体"/>
                <w:color w:val="000000" w:themeColor="text1"/>
                <w:kern w:val="0"/>
                <w:szCs w:val="21"/>
                <w:highlight w:val="none"/>
                <w14:textFill>
                  <w14:solidFill>
                    <w14:schemeClr w14:val="tx1"/>
                  </w14:solidFill>
                </w14:textFill>
              </w:rPr>
            </w:pPr>
          </w:p>
        </w:tc>
        <w:tc>
          <w:tcPr>
            <w:tcW w:w="897" w:type="dxa"/>
            <w:tcBorders>
              <w:top w:val="single" w:color="auto" w:sz="4" w:space="0"/>
              <w:left w:val="single" w:color="auto" w:sz="4" w:space="0"/>
              <w:bottom w:val="single" w:color="auto" w:sz="4" w:space="0"/>
              <w:right w:val="single" w:color="auto" w:sz="4" w:space="0"/>
            </w:tcBorders>
            <w:vAlign w:val="center"/>
          </w:tcPr>
          <w:p w14:paraId="776E8848">
            <w:pPr>
              <w:widowControl/>
              <w:jc w:val="center"/>
              <w:rPr>
                <w:rFonts w:ascii="宋体" w:hAnsi="宋体" w:cs="宋体"/>
                <w:color w:val="000000" w:themeColor="text1"/>
                <w:kern w:val="0"/>
                <w:szCs w:val="21"/>
                <w:highlight w:val="none"/>
                <w14:textFill>
                  <w14:solidFill>
                    <w14:schemeClr w14:val="tx1"/>
                  </w14:solidFill>
                </w14:textFill>
              </w:rPr>
            </w:pPr>
          </w:p>
        </w:tc>
      </w:tr>
    </w:tbl>
    <w:p w14:paraId="1B9E7431">
      <w:pPr>
        <w:spacing w:line="400" w:lineRule="atLeast"/>
        <w:rPr>
          <w:rFonts w:ascii="宋体" w:hAnsi="宋体" w:cs="宋体"/>
          <w:b/>
          <w:bCs/>
          <w:color w:val="FF0000"/>
          <w:sz w:val="24"/>
          <w:highlight w:val="none"/>
        </w:rPr>
      </w:pPr>
      <w:r>
        <w:rPr>
          <w:rFonts w:hint="eastAsia" w:ascii="宋体" w:hAnsi="宋体" w:cs="宋体"/>
          <w:color w:val="000000" w:themeColor="text1"/>
          <w:sz w:val="24"/>
          <w:highlight w:val="none"/>
          <w14:textFill>
            <w14:solidFill>
              <w14:schemeClr w14:val="tx1"/>
            </w14:solidFill>
          </w14:textFill>
        </w:rPr>
        <w:t>注：</w:t>
      </w:r>
      <w:r>
        <w:rPr>
          <w:rFonts w:hint="eastAsia" w:ascii="宋体" w:hAnsi="宋体" w:cs="宋体"/>
          <w:b/>
          <w:bCs/>
          <w:color w:val="000000" w:themeColor="text1"/>
          <w:sz w:val="24"/>
          <w:highlight w:val="none"/>
          <w14:textFill>
            <w14:solidFill>
              <w14:schemeClr w14:val="tx1"/>
            </w14:solidFill>
          </w14:textFill>
        </w:rPr>
        <w:t>1、</w:t>
      </w:r>
      <w:r>
        <w:rPr>
          <w:rFonts w:hint="eastAsia" w:ascii="宋体" w:hAnsi="宋体" w:cs="宋体"/>
          <w:b/>
          <w:bCs/>
          <w:color w:val="FF0000"/>
          <w:sz w:val="24"/>
          <w:highlight w:val="none"/>
        </w:rPr>
        <w:t>分项报价合计金额应于报价一览表投标报价相一致。每项</w:t>
      </w:r>
      <w:r>
        <w:rPr>
          <w:rFonts w:hint="eastAsia" w:ascii="宋体" w:hAnsi="宋体" w:cs="宋体"/>
          <w:b/>
          <w:bCs/>
          <w:color w:val="FF0000"/>
          <w:sz w:val="24"/>
          <w:highlight w:val="none"/>
          <w:lang w:val="en-US" w:eastAsia="zh-CN"/>
        </w:rPr>
        <w:t>设备</w:t>
      </w:r>
      <w:r>
        <w:rPr>
          <w:rFonts w:hint="eastAsia" w:ascii="宋体" w:hAnsi="宋体" w:cs="宋体"/>
          <w:b/>
          <w:bCs/>
          <w:color w:val="FF0000"/>
          <w:sz w:val="24"/>
          <w:highlight w:val="none"/>
        </w:rPr>
        <w:t>投标单价不得高于预算单价，否则其投标无效。</w:t>
      </w:r>
    </w:p>
    <w:p w14:paraId="1317050E">
      <w:pPr>
        <w:pStyle w:val="33"/>
        <w:numPr>
          <w:ilvl w:val="0"/>
          <w:numId w:val="71"/>
        </w:numPr>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供应商须按上表内容进行填写，不得随意删减或变更，仅需填写所投标包的信息。</w:t>
      </w:r>
    </w:p>
    <w:p w14:paraId="1BABC467">
      <w:pPr>
        <w:pStyle w:val="33"/>
        <w:numPr>
          <w:ilvl w:val="0"/>
          <w:numId w:val="71"/>
        </w:numPr>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上表产品结构、材质及组成及组成栏须如实填写产品情况。</w:t>
      </w:r>
    </w:p>
    <w:bookmarkEnd w:id="106"/>
    <w:p w14:paraId="7AE372D0">
      <w:pPr>
        <w:spacing w:line="400" w:lineRule="atLeast"/>
        <w:ind w:left="2928" w:leftChars="285" w:hanging="2330" w:hangingChars="971"/>
        <w:rPr>
          <w:rFonts w:hint="eastAsia" w:ascii="宋体" w:hAnsi="宋体" w:cs="宋体"/>
          <w:color w:val="000000" w:themeColor="text1"/>
          <w:sz w:val="24"/>
          <w:highlight w:val="none"/>
          <w14:textFill>
            <w14:solidFill>
              <w14:schemeClr w14:val="tx1"/>
            </w14:solidFill>
          </w14:textFill>
        </w:rPr>
      </w:pPr>
    </w:p>
    <w:p w14:paraId="0918DDCF">
      <w:pPr>
        <w:spacing w:line="400" w:lineRule="atLeast"/>
        <w:ind w:left="2928" w:leftChars="285" w:hanging="2330" w:hangingChars="971"/>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法定代表人或委托授权代理人（签字或盖章）：　　</w:t>
      </w:r>
    </w:p>
    <w:p w14:paraId="6468F398">
      <w:pPr>
        <w:pStyle w:val="33"/>
        <w:rPr>
          <w:rFonts w:ascii="宋体" w:hAnsi="宋体" w:cs="宋体"/>
          <w:color w:val="000000" w:themeColor="text1"/>
          <w:highlight w:val="none"/>
          <w14:textFill>
            <w14:solidFill>
              <w14:schemeClr w14:val="tx1"/>
            </w14:solidFill>
          </w14:textFill>
        </w:rPr>
      </w:pPr>
    </w:p>
    <w:p w14:paraId="3FEC5900">
      <w:pPr>
        <w:pStyle w:val="33"/>
        <w:rPr>
          <w:rFonts w:ascii="宋体" w:hAnsi="宋体" w:cs="宋体"/>
          <w:color w:val="000000" w:themeColor="text1"/>
          <w:highlight w:val="none"/>
          <w14:textFill>
            <w14:solidFill>
              <w14:schemeClr w14:val="tx1"/>
            </w14:solidFill>
          </w14:textFill>
        </w:rPr>
        <w:sectPr>
          <w:headerReference r:id="rId13" w:type="default"/>
          <w:pgSz w:w="16838" w:h="11906" w:orient="landscape"/>
          <w:pgMar w:top="720" w:right="720" w:bottom="720" w:left="720" w:header="709" w:footer="992" w:gutter="0"/>
          <w:cols w:space="720" w:num="1"/>
          <w:docGrid w:type="linesAndChars" w:linePitch="312" w:charSpace="0"/>
        </w:sectPr>
      </w:pPr>
    </w:p>
    <w:p w14:paraId="336E0997">
      <w:pPr>
        <w:adjustRightInd w:val="0"/>
        <w:snapToGrid w:val="0"/>
        <w:spacing w:line="400" w:lineRule="atLeast"/>
        <w:jc w:val="center"/>
        <w:outlineLvl w:val="1"/>
        <w:rPr>
          <w:rFonts w:ascii="宋体" w:hAnsi="宋体" w:cs="宋体"/>
          <w:color w:val="000000" w:themeColor="text1"/>
          <w:szCs w:val="24"/>
          <w:highlight w:val="none"/>
          <w14:textFill>
            <w14:solidFill>
              <w14:schemeClr w14:val="tx1"/>
            </w14:solidFill>
          </w14:textFill>
        </w:rPr>
      </w:pPr>
      <w:bookmarkStart w:id="107" w:name="_Toc21743"/>
      <w:bookmarkStart w:id="108" w:name="_Toc1702"/>
      <w:bookmarkStart w:id="109" w:name="_Toc2760"/>
      <w:r>
        <w:rPr>
          <w:rFonts w:hint="eastAsia" w:ascii="宋体" w:hAnsi="宋体" w:cs="宋体"/>
          <w:b/>
          <w:color w:val="000000" w:themeColor="text1"/>
          <w:szCs w:val="24"/>
          <w:highlight w:val="none"/>
          <w:lang w:bidi="ar"/>
          <w14:textFill>
            <w14:solidFill>
              <w14:schemeClr w14:val="tx1"/>
            </w14:solidFill>
          </w14:textFill>
        </w:rPr>
        <w:t>4、</w:t>
      </w:r>
      <w:r>
        <w:rPr>
          <w:rFonts w:hint="eastAsia" w:ascii="宋体" w:hAnsi="宋体" w:cs="宋体"/>
          <w:color w:val="000000" w:themeColor="text1"/>
          <w:szCs w:val="24"/>
          <w:highlight w:val="none"/>
          <w:lang w:bidi="ar"/>
          <w14:textFill>
            <w14:solidFill>
              <w14:schemeClr w14:val="tx1"/>
            </w14:solidFill>
          </w14:textFill>
        </w:rPr>
        <w:t>法定代表人身份证明书</w:t>
      </w:r>
      <w:bookmarkEnd w:id="107"/>
      <w:bookmarkEnd w:id="108"/>
      <w:bookmarkEnd w:id="109"/>
    </w:p>
    <w:p w14:paraId="7FA0DBF2">
      <w:pPr>
        <w:adjustRightInd w:val="0"/>
        <w:snapToGrid w:val="0"/>
        <w:spacing w:line="400" w:lineRule="atLeast"/>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 xml:space="preserve"> </w:t>
      </w:r>
    </w:p>
    <w:p w14:paraId="5CB7976D">
      <w:pPr>
        <w:adjustRightInd w:val="0"/>
        <w:snapToGrid w:val="0"/>
        <w:spacing w:line="400" w:lineRule="atLeast"/>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单位名称：</w:t>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p>
    <w:p w14:paraId="0AB3CDD5">
      <w:pPr>
        <w:adjustRightInd w:val="0"/>
        <w:snapToGrid w:val="0"/>
        <w:spacing w:line="400" w:lineRule="atLeast"/>
        <w:jc w:val="left"/>
        <w:rPr>
          <w:rFonts w:ascii="宋体" w:hAnsi="宋体" w:cs="宋体"/>
          <w:color w:val="000000" w:themeColor="text1"/>
          <w:szCs w:val="24"/>
          <w:highlight w:val="none"/>
          <w:u w:val="singl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单位性质：</w:t>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p>
    <w:p w14:paraId="7C16BD17">
      <w:pPr>
        <w:adjustRightInd w:val="0"/>
        <w:snapToGrid w:val="0"/>
        <w:spacing w:line="400" w:lineRule="atLeast"/>
        <w:jc w:val="left"/>
        <w:rPr>
          <w:rFonts w:ascii="宋体" w:hAnsi="宋体" w:cs="宋体"/>
          <w:color w:val="000000" w:themeColor="text1"/>
          <w:szCs w:val="24"/>
          <w:highlight w:val="none"/>
          <w:u w:val="singl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地    址：</w:t>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 xml:space="preserve">  </w:t>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 xml:space="preserve">       </w:t>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p>
    <w:p w14:paraId="13A18D04">
      <w:pPr>
        <w:adjustRightInd w:val="0"/>
        <w:snapToGrid w:val="0"/>
        <w:spacing w:line="400" w:lineRule="atLeast"/>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成立时间：</w:t>
      </w:r>
      <w:r>
        <w:rPr>
          <w:rFonts w:hint="eastAsia" w:ascii="宋体" w:hAnsi="宋体" w:cs="宋体"/>
          <w:color w:val="000000" w:themeColor="text1"/>
          <w:szCs w:val="24"/>
          <w:highlight w:val="none"/>
          <w:u w:val="single"/>
          <w:lang w:bidi="ar"/>
          <w14:textFill>
            <w14:solidFill>
              <w14:schemeClr w14:val="tx1"/>
            </w14:solidFill>
          </w14:textFill>
        </w:rPr>
        <w:t xml:space="preserve">            </w:t>
      </w:r>
      <w:r>
        <w:rPr>
          <w:rFonts w:hint="eastAsia" w:ascii="宋体" w:hAnsi="宋体" w:cs="宋体"/>
          <w:color w:val="000000" w:themeColor="text1"/>
          <w:szCs w:val="24"/>
          <w:highlight w:val="none"/>
          <w:lang w:bidi="ar"/>
          <w14:textFill>
            <w14:solidFill>
              <w14:schemeClr w14:val="tx1"/>
            </w14:solidFill>
          </w14:textFill>
        </w:rPr>
        <w:t>年</w:t>
      </w:r>
      <w:r>
        <w:rPr>
          <w:rFonts w:hint="eastAsia" w:ascii="宋体" w:hAnsi="宋体" w:cs="宋体"/>
          <w:color w:val="000000" w:themeColor="text1"/>
          <w:szCs w:val="24"/>
          <w:highlight w:val="none"/>
          <w:u w:val="single"/>
          <w:lang w:bidi="ar"/>
          <w14:textFill>
            <w14:solidFill>
              <w14:schemeClr w14:val="tx1"/>
            </w14:solidFill>
          </w14:textFill>
        </w:rPr>
        <w:t xml:space="preserve">                </w:t>
      </w:r>
      <w:r>
        <w:rPr>
          <w:rFonts w:hint="eastAsia" w:ascii="宋体" w:hAnsi="宋体" w:cs="宋体"/>
          <w:color w:val="000000" w:themeColor="text1"/>
          <w:szCs w:val="24"/>
          <w:highlight w:val="none"/>
          <w:lang w:bidi="ar"/>
          <w14:textFill>
            <w14:solidFill>
              <w14:schemeClr w14:val="tx1"/>
            </w14:solidFill>
          </w14:textFill>
        </w:rPr>
        <w:t>月</w:t>
      </w:r>
      <w:r>
        <w:rPr>
          <w:rFonts w:hint="eastAsia" w:ascii="宋体" w:hAnsi="宋体" w:cs="宋体"/>
          <w:color w:val="000000" w:themeColor="text1"/>
          <w:szCs w:val="24"/>
          <w:highlight w:val="none"/>
          <w:u w:val="single"/>
          <w:lang w:bidi="ar"/>
          <w14:textFill>
            <w14:solidFill>
              <w14:schemeClr w14:val="tx1"/>
            </w14:solidFill>
          </w14:textFill>
        </w:rPr>
        <w:t xml:space="preserve">                  </w:t>
      </w:r>
      <w:r>
        <w:rPr>
          <w:rFonts w:hint="eastAsia" w:ascii="宋体" w:hAnsi="宋体" w:cs="宋体"/>
          <w:color w:val="000000" w:themeColor="text1"/>
          <w:szCs w:val="24"/>
          <w:highlight w:val="none"/>
          <w:lang w:bidi="ar"/>
          <w14:textFill>
            <w14:solidFill>
              <w14:schemeClr w14:val="tx1"/>
            </w14:solidFill>
          </w14:textFill>
        </w:rPr>
        <w:t>日</w:t>
      </w:r>
    </w:p>
    <w:p w14:paraId="4A568FC9">
      <w:pPr>
        <w:adjustRightInd w:val="0"/>
        <w:snapToGrid w:val="0"/>
        <w:spacing w:line="400" w:lineRule="atLeast"/>
        <w:jc w:val="left"/>
        <w:rPr>
          <w:rFonts w:ascii="宋体" w:hAnsi="宋体" w:cs="宋体"/>
          <w:color w:val="000000" w:themeColor="text1"/>
          <w:szCs w:val="24"/>
          <w:highlight w:val="none"/>
          <w:u w:val="singl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经营期限：</w:t>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 xml:space="preserve">                                               </w:t>
      </w:r>
      <w:r>
        <w:rPr>
          <w:rFonts w:hint="eastAsia" w:ascii="宋体" w:hAnsi="宋体" w:cs="宋体"/>
          <w:color w:val="000000" w:themeColor="text1"/>
          <w:szCs w:val="24"/>
          <w:highlight w:val="none"/>
          <w:u w:val="single"/>
          <w:lang w:bidi="ar"/>
          <w14:textFill>
            <w14:solidFill>
              <w14:schemeClr w14:val="tx1"/>
            </w14:solidFill>
          </w14:textFill>
        </w:rPr>
        <w:tab/>
      </w:r>
    </w:p>
    <w:p w14:paraId="6507E661">
      <w:pPr>
        <w:adjustRightInd w:val="0"/>
        <w:snapToGrid w:val="0"/>
        <w:spacing w:line="400" w:lineRule="atLeast"/>
        <w:jc w:val="left"/>
        <w:rPr>
          <w:rFonts w:ascii="宋体" w:hAnsi="宋体" w:cs="宋体"/>
          <w:color w:val="000000" w:themeColor="text1"/>
          <w:szCs w:val="24"/>
          <w:highlight w:val="none"/>
          <w:u w:val="singl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姓    名：</w:t>
      </w:r>
      <w:r>
        <w:rPr>
          <w:rFonts w:hint="eastAsia" w:ascii="宋体" w:hAnsi="宋体" w:cs="宋体"/>
          <w:color w:val="000000" w:themeColor="text1"/>
          <w:szCs w:val="24"/>
          <w:highlight w:val="none"/>
          <w:u w:val="single"/>
          <w:lang w:bidi="ar"/>
          <w14:textFill>
            <w14:solidFill>
              <w14:schemeClr w14:val="tx1"/>
            </w14:solidFill>
          </w14:textFill>
        </w:rPr>
        <w:t xml:space="preserve">        </w:t>
      </w:r>
      <w:r>
        <w:rPr>
          <w:rFonts w:hint="eastAsia" w:ascii="宋体" w:hAnsi="宋体" w:cs="宋体"/>
          <w:color w:val="000000" w:themeColor="text1"/>
          <w:szCs w:val="24"/>
          <w:highlight w:val="none"/>
          <w:lang w:bidi="ar"/>
          <w14:textFill>
            <w14:solidFill>
              <w14:schemeClr w14:val="tx1"/>
            </w14:solidFill>
          </w14:textFill>
        </w:rPr>
        <w:t xml:space="preserve"> 性别：</w:t>
      </w:r>
      <w:r>
        <w:rPr>
          <w:rFonts w:hint="eastAsia" w:ascii="宋体" w:hAnsi="宋体" w:cs="宋体"/>
          <w:color w:val="000000" w:themeColor="text1"/>
          <w:szCs w:val="24"/>
          <w:highlight w:val="none"/>
          <w:u w:val="single"/>
          <w:lang w:bidi="ar"/>
          <w14:textFill>
            <w14:solidFill>
              <w14:schemeClr w14:val="tx1"/>
            </w14:solidFill>
          </w14:textFill>
        </w:rPr>
        <w:t xml:space="preserve">      </w:t>
      </w:r>
      <w:r>
        <w:rPr>
          <w:rFonts w:hint="eastAsia" w:ascii="宋体" w:hAnsi="宋体" w:cs="宋体"/>
          <w:color w:val="000000" w:themeColor="text1"/>
          <w:szCs w:val="24"/>
          <w:highlight w:val="none"/>
          <w:lang w:bidi="ar"/>
          <w14:textFill>
            <w14:solidFill>
              <w14:schemeClr w14:val="tx1"/>
            </w14:solidFill>
          </w14:textFill>
        </w:rPr>
        <w:t>年龄：</w:t>
      </w:r>
      <w:r>
        <w:rPr>
          <w:rFonts w:hint="eastAsia" w:ascii="宋体" w:hAnsi="宋体" w:cs="宋体"/>
          <w:color w:val="000000" w:themeColor="text1"/>
          <w:szCs w:val="24"/>
          <w:highlight w:val="none"/>
          <w:u w:val="single"/>
          <w:lang w:bidi="ar"/>
          <w14:textFill>
            <w14:solidFill>
              <w14:schemeClr w14:val="tx1"/>
            </w14:solidFill>
          </w14:textFill>
        </w:rPr>
        <w:t xml:space="preserve">        </w:t>
      </w:r>
      <w:r>
        <w:rPr>
          <w:rFonts w:hint="eastAsia" w:ascii="宋体" w:hAnsi="宋体" w:cs="宋体"/>
          <w:color w:val="000000" w:themeColor="text1"/>
          <w:szCs w:val="24"/>
          <w:highlight w:val="none"/>
          <w:lang w:bidi="ar"/>
          <w14:textFill>
            <w14:solidFill>
              <w14:schemeClr w14:val="tx1"/>
            </w14:solidFill>
          </w14:textFill>
        </w:rPr>
        <w:t>职务：</w:t>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 xml:space="preserve">       </w:t>
      </w:r>
    </w:p>
    <w:p w14:paraId="48B0DDB8">
      <w:pPr>
        <w:adjustRightInd w:val="0"/>
        <w:snapToGrid w:val="0"/>
        <w:spacing w:line="400" w:lineRule="atLeast"/>
        <w:jc w:val="left"/>
        <w:rPr>
          <w:rFonts w:ascii="宋体" w:hAnsi="宋体" w:cs="宋体"/>
          <w:color w:val="000000" w:themeColor="text1"/>
          <w:szCs w:val="24"/>
          <w:highlight w:val="none"/>
          <w:u w:val="singl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身份证号码：</w:t>
      </w:r>
      <w:r>
        <w:rPr>
          <w:rFonts w:hint="eastAsia" w:ascii="宋体" w:hAnsi="宋体" w:cs="宋体"/>
          <w:color w:val="000000" w:themeColor="text1"/>
          <w:szCs w:val="24"/>
          <w:highlight w:val="none"/>
          <w:u w:val="single"/>
          <w:lang w:bidi="ar"/>
          <w14:textFill>
            <w14:solidFill>
              <w14:schemeClr w14:val="tx1"/>
            </w14:solidFill>
          </w14:textFill>
        </w:rPr>
        <w:t xml:space="preserve">        （请随附身份证复印件并加盖申请人单位公章）</w:t>
      </w:r>
      <w:r>
        <w:rPr>
          <w:rFonts w:hint="eastAsia" w:ascii="宋体" w:hAnsi="宋体" w:cs="宋体"/>
          <w:color w:val="000000" w:themeColor="text1"/>
          <w:szCs w:val="24"/>
          <w:highlight w:val="none"/>
          <w:lang w:bidi="ar"/>
          <w14:textFill>
            <w14:solidFill>
              <w14:schemeClr w14:val="tx1"/>
            </w14:solidFill>
          </w14:textFill>
        </w:rPr>
        <w:t xml:space="preserve"> </w:t>
      </w:r>
    </w:p>
    <w:p w14:paraId="38BEFAFD">
      <w:pPr>
        <w:adjustRightInd w:val="0"/>
        <w:snapToGrid w:val="0"/>
        <w:spacing w:line="400" w:lineRule="atLeast"/>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系</w:t>
      </w:r>
      <w:r>
        <w:rPr>
          <w:rFonts w:hint="eastAsia" w:ascii="宋体" w:hAnsi="宋体" w:cs="宋体"/>
          <w:color w:val="000000" w:themeColor="text1"/>
          <w:szCs w:val="24"/>
          <w:highlight w:val="none"/>
          <w:u w:val="single"/>
          <w:lang w:bidi="ar"/>
          <w14:textFill>
            <w14:solidFill>
              <w14:schemeClr w14:val="tx1"/>
            </w14:solidFill>
          </w14:textFill>
        </w:rPr>
        <w:t xml:space="preserve">               （申请人单位名称）         </w:t>
      </w:r>
      <w:r>
        <w:rPr>
          <w:rFonts w:hint="eastAsia" w:ascii="宋体" w:hAnsi="宋体" w:cs="宋体"/>
          <w:color w:val="000000" w:themeColor="text1"/>
          <w:szCs w:val="24"/>
          <w:highlight w:val="none"/>
          <w:lang w:bidi="ar"/>
          <w14:textFill>
            <w14:solidFill>
              <w14:schemeClr w14:val="tx1"/>
            </w14:solidFill>
          </w14:textFill>
        </w:rPr>
        <w:t>的法定代表人。</w:t>
      </w:r>
    </w:p>
    <w:p w14:paraId="7A598CEC">
      <w:pPr>
        <w:adjustRightInd w:val="0"/>
        <w:snapToGrid w:val="0"/>
        <w:spacing w:line="400" w:lineRule="atLeast"/>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 xml:space="preserve"> </w:t>
      </w:r>
    </w:p>
    <w:p w14:paraId="3E01B068">
      <w:pPr>
        <w:adjustRightInd w:val="0"/>
        <w:snapToGrid w:val="0"/>
        <w:spacing w:line="400" w:lineRule="atLeast"/>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特此证明。</w:t>
      </w:r>
    </w:p>
    <w:p w14:paraId="73390E43">
      <w:pPr>
        <w:adjustRightInd w:val="0"/>
        <w:snapToGrid w:val="0"/>
        <w:spacing w:line="400" w:lineRule="atLeast"/>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 xml:space="preserve"> </w:t>
      </w:r>
    </w:p>
    <w:tbl>
      <w:tblPr>
        <w:tblStyle w:val="8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6"/>
      </w:tblGrid>
      <w:tr w14:paraId="492B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jc w:val="center"/>
        </w:trPr>
        <w:tc>
          <w:tcPr>
            <w:tcW w:w="5936" w:type="dxa"/>
            <w:tcBorders>
              <w:top w:val="single" w:color="auto" w:sz="4" w:space="0"/>
              <w:left w:val="single" w:color="auto" w:sz="4" w:space="0"/>
              <w:bottom w:val="single" w:color="auto" w:sz="4" w:space="0"/>
              <w:right w:val="single" w:color="auto" w:sz="4" w:space="0"/>
            </w:tcBorders>
          </w:tcPr>
          <w:p w14:paraId="628F58DA">
            <w:pPr>
              <w:adjustRightInd w:val="0"/>
              <w:snapToGrid w:val="0"/>
              <w:spacing w:line="400" w:lineRule="atLeast"/>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法定代表人身份证（正反面）</w:t>
            </w:r>
          </w:p>
        </w:tc>
      </w:tr>
    </w:tbl>
    <w:p w14:paraId="74EBFB5B">
      <w:pPr>
        <w:adjustRightInd w:val="0"/>
        <w:snapToGrid w:val="0"/>
        <w:spacing w:line="400" w:lineRule="atLeast"/>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 xml:space="preserve"> </w:t>
      </w:r>
    </w:p>
    <w:p w14:paraId="2AB987DF">
      <w:pPr>
        <w:adjustRightInd w:val="0"/>
        <w:snapToGrid w:val="0"/>
        <w:spacing w:line="400" w:lineRule="atLeast"/>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 xml:space="preserve"> </w:t>
      </w:r>
    </w:p>
    <w:p w14:paraId="384293EC">
      <w:pPr>
        <w:adjustRightInd w:val="0"/>
        <w:snapToGrid w:val="0"/>
        <w:spacing w:line="400" w:lineRule="atLeast"/>
        <w:jc w:val="righ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投标申请人：</w:t>
      </w:r>
      <w:r>
        <w:rPr>
          <w:rFonts w:hint="eastAsia" w:ascii="宋体" w:hAnsi="宋体" w:cs="宋体"/>
          <w:color w:val="000000" w:themeColor="text1"/>
          <w:szCs w:val="24"/>
          <w:highlight w:val="none"/>
          <w:u w:val="single"/>
          <w:lang w:bidi="ar"/>
          <w14:textFill>
            <w14:solidFill>
              <w14:schemeClr w14:val="tx1"/>
            </w14:solidFill>
          </w14:textFill>
        </w:rPr>
        <w:t xml:space="preserve">   （加盖申请人单位公章）</w:t>
      </w:r>
    </w:p>
    <w:p w14:paraId="3671157A">
      <w:pPr>
        <w:spacing w:line="400" w:lineRule="atLeast"/>
        <w:ind w:left="2880" w:hanging="2880"/>
        <w:jc w:val="center"/>
        <w:rPr>
          <w:color w:val="000000" w:themeColor="text1"/>
          <w:highlight w:val="none"/>
          <w14:textFill>
            <w14:solidFill>
              <w14:schemeClr w14:val="tx1"/>
            </w14:solidFill>
          </w14:textFill>
        </w:rPr>
      </w:pPr>
      <w:r>
        <w:rPr>
          <w:rFonts w:hint="eastAsia" w:ascii="宋体" w:hAnsi="宋体" w:cs="宋体"/>
          <w:bCs/>
          <w:color w:val="000000" w:themeColor="text1"/>
          <w:szCs w:val="24"/>
          <w:highlight w:val="none"/>
          <w:lang w:bidi="ar"/>
          <w14:textFill>
            <w14:solidFill>
              <w14:schemeClr w14:val="tx1"/>
            </w14:solidFill>
          </w14:textFill>
        </w:rPr>
        <w:t>年   月   日</w:t>
      </w:r>
    </w:p>
    <w:p w14:paraId="2D165479">
      <w:pPr>
        <w:rPr>
          <w:rFonts w:ascii="Arial" w:hAnsi="Arial" w:cs="Arial"/>
          <w:color w:val="000000" w:themeColor="text1"/>
          <w:szCs w:val="24"/>
          <w:highlight w:val="none"/>
          <w14:textFill>
            <w14:solidFill>
              <w14:schemeClr w14:val="tx1"/>
            </w14:solidFill>
          </w14:textFill>
        </w:rPr>
        <w:sectPr>
          <w:pgSz w:w="11906" w:h="16838"/>
          <w:pgMar w:top="1440" w:right="1080" w:bottom="1440" w:left="1080" w:header="851" w:footer="850" w:gutter="0"/>
          <w:cols w:space="720" w:num="1"/>
          <w:titlePg/>
          <w:docGrid w:type="lines" w:linePitch="409" w:charSpace="0"/>
        </w:sectPr>
      </w:pPr>
    </w:p>
    <w:p w14:paraId="7F4E6D5A">
      <w:pPr>
        <w:adjustRightInd w:val="0"/>
        <w:snapToGrid w:val="0"/>
        <w:spacing w:line="400" w:lineRule="atLeast"/>
        <w:jc w:val="center"/>
        <w:outlineLvl w:val="1"/>
        <w:rPr>
          <w:rFonts w:ascii="Arial" w:hAnsi="Arial" w:cs="Arial"/>
          <w:color w:val="000000" w:themeColor="text1"/>
          <w:szCs w:val="24"/>
          <w:highlight w:val="none"/>
          <w14:textFill>
            <w14:solidFill>
              <w14:schemeClr w14:val="tx1"/>
            </w14:solidFill>
          </w14:textFill>
        </w:rPr>
      </w:pPr>
      <w:bookmarkStart w:id="110" w:name="_Toc23680"/>
      <w:bookmarkStart w:id="111" w:name="_Toc9710"/>
      <w:bookmarkStart w:id="112" w:name="_Toc31039"/>
      <w:r>
        <w:rPr>
          <w:rFonts w:hint="eastAsia" w:ascii="宋体" w:hAnsi="宋体" w:cs="宋体"/>
          <w:color w:val="000000" w:themeColor="text1"/>
          <w:szCs w:val="24"/>
          <w:highlight w:val="none"/>
          <w:lang w:bidi="ar"/>
          <w14:textFill>
            <w14:solidFill>
              <w14:schemeClr w14:val="tx1"/>
            </w14:solidFill>
          </w14:textFill>
        </w:rPr>
        <w:t>5、法人代表授权委托书</w:t>
      </w:r>
      <w:bookmarkEnd w:id="110"/>
      <w:bookmarkEnd w:id="111"/>
      <w:bookmarkEnd w:id="112"/>
    </w:p>
    <w:p w14:paraId="30372E36">
      <w:pPr>
        <w:adjustRightInd w:val="0"/>
        <w:snapToGrid w:val="0"/>
        <w:spacing w:line="400" w:lineRule="atLeast"/>
        <w:rPr>
          <w:rFonts w:ascii="Arial" w:hAnsi="Arial" w:cs="Arial"/>
          <w:color w:val="000000" w:themeColor="text1"/>
          <w:szCs w:val="24"/>
          <w:highlight w:val="none"/>
          <w14:textFill>
            <w14:solidFill>
              <w14:schemeClr w14:val="tx1"/>
            </w14:solidFill>
          </w14:textFill>
        </w:rPr>
      </w:pPr>
      <w:r>
        <w:rPr>
          <w:rFonts w:ascii="Arial" w:hAnsi="Arial" w:cs="Arial"/>
          <w:color w:val="000000" w:themeColor="text1"/>
          <w:szCs w:val="24"/>
          <w:highlight w:val="none"/>
          <w:lang w:bidi="ar"/>
          <w14:textFill>
            <w14:solidFill>
              <w14:schemeClr w14:val="tx1"/>
            </w14:solidFill>
          </w14:textFill>
        </w:rPr>
        <w:t xml:space="preserve"> </w:t>
      </w:r>
    </w:p>
    <w:p w14:paraId="359A3C49">
      <w:pPr>
        <w:pStyle w:val="80"/>
        <w:widowControl w:val="0"/>
        <w:adjustRightInd w:val="0"/>
        <w:snapToGrid w:val="0"/>
        <w:spacing w:before="0" w:beforeAutospacing="0" w:after="0" w:afterAutospacing="0" w:line="400" w:lineRule="atLeast"/>
        <w:ind w:firstLine="480"/>
        <w:jc w:val="both"/>
        <w:rPr>
          <w:rFonts w:ascii="Arial" w:hAnsi="Arial" w:cs="Arial"/>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lang w:bidi="ar"/>
          <w14:textFill>
            <w14:solidFill>
              <w14:schemeClr w14:val="tx1"/>
            </w14:solidFill>
          </w14:textFill>
        </w:rPr>
        <w:t>本授权书声明：注册于</w:t>
      </w:r>
      <w:r>
        <w:rPr>
          <w:rFonts w:hint="eastAsia" w:ascii="宋体" w:hAnsi="宋体" w:eastAsia="宋体" w:cs="宋体"/>
          <w:color w:val="000000" w:themeColor="text1"/>
          <w:kern w:val="2"/>
          <w:highlight w:val="none"/>
          <w:u w:val="single"/>
          <w:lang w:bidi="ar"/>
          <w14:textFill>
            <w14:solidFill>
              <w14:schemeClr w14:val="tx1"/>
            </w14:solidFill>
          </w14:textFill>
        </w:rPr>
        <w:t>（地区的名称）</w:t>
      </w:r>
      <w:r>
        <w:rPr>
          <w:rFonts w:hint="eastAsia" w:ascii="宋体" w:hAnsi="宋体" w:eastAsia="宋体" w:cs="宋体"/>
          <w:color w:val="000000" w:themeColor="text1"/>
          <w:kern w:val="2"/>
          <w:highlight w:val="none"/>
          <w:lang w:bidi="ar"/>
          <w14:textFill>
            <w14:solidFill>
              <w14:schemeClr w14:val="tx1"/>
            </w14:solidFill>
          </w14:textFill>
        </w:rPr>
        <w:t>的</w:t>
      </w:r>
      <w:r>
        <w:rPr>
          <w:rFonts w:hint="eastAsia" w:ascii="宋体" w:hAnsi="宋体" w:eastAsia="宋体" w:cs="宋体"/>
          <w:color w:val="000000" w:themeColor="text1"/>
          <w:kern w:val="2"/>
          <w:highlight w:val="none"/>
          <w:u w:val="single"/>
          <w:lang w:bidi="ar"/>
          <w14:textFill>
            <w14:solidFill>
              <w14:schemeClr w14:val="tx1"/>
            </w14:solidFill>
          </w14:textFill>
        </w:rPr>
        <w:t>（公司名称）</w:t>
      </w:r>
      <w:r>
        <w:rPr>
          <w:rFonts w:hint="eastAsia" w:ascii="宋体" w:hAnsi="宋体" w:eastAsia="宋体" w:cs="宋体"/>
          <w:color w:val="000000" w:themeColor="text1"/>
          <w:kern w:val="2"/>
          <w:highlight w:val="none"/>
          <w:lang w:bidi="ar"/>
          <w14:textFill>
            <w14:solidFill>
              <w14:schemeClr w14:val="tx1"/>
            </w14:solidFill>
          </w14:textFill>
        </w:rPr>
        <w:t>的在下面签字的</w:t>
      </w:r>
      <w:r>
        <w:rPr>
          <w:rFonts w:hint="eastAsia" w:ascii="宋体" w:hAnsi="宋体" w:eastAsia="宋体" w:cs="宋体"/>
          <w:color w:val="000000" w:themeColor="text1"/>
          <w:kern w:val="2"/>
          <w:highlight w:val="none"/>
          <w:u w:val="single"/>
          <w:lang w:bidi="ar"/>
          <w14:textFill>
            <w14:solidFill>
              <w14:schemeClr w14:val="tx1"/>
            </w14:solidFill>
          </w14:textFill>
        </w:rPr>
        <w:t>（法人代表姓名、职务）</w:t>
      </w:r>
      <w:r>
        <w:rPr>
          <w:rFonts w:hint="eastAsia" w:ascii="宋体" w:hAnsi="宋体" w:eastAsia="宋体" w:cs="宋体"/>
          <w:color w:val="000000" w:themeColor="text1"/>
          <w:kern w:val="2"/>
          <w:highlight w:val="none"/>
          <w:lang w:bidi="ar"/>
          <w14:textFill>
            <w14:solidFill>
              <w14:schemeClr w14:val="tx1"/>
            </w14:solidFill>
          </w14:textFill>
        </w:rPr>
        <w:t>代表本公司授权</w:t>
      </w:r>
      <w:r>
        <w:rPr>
          <w:rFonts w:hint="eastAsia" w:ascii="宋体" w:hAnsi="宋体" w:eastAsia="宋体" w:cs="宋体"/>
          <w:color w:val="000000" w:themeColor="text1"/>
          <w:kern w:val="2"/>
          <w:highlight w:val="none"/>
          <w:u w:val="single"/>
          <w:lang w:bidi="ar"/>
          <w14:textFill>
            <w14:solidFill>
              <w14:schemeClr w14:val="tx1"/>
            </w14:solidFill>
          </w14:textFill>
        </w:rPr>
        <w:t>（单位名称）</w:t>
      </w:r>
      <w:r>
        <w:rPr>
          <w:rFonts w:hint="eastAsia" w:ascii="宋体" w:hAnsi="宋体" w:eastAsia="宋体" w:cs="宋体"/>
          <w:color w:val="000000" w:themeColor="text1"/>
          <w:kern w:val="2"/>
          <w:highlight w:val="none"/>
          <w:lang w:bidi="ar"/>
          <w14:textFill>
            <w14:solidFill>
              <w14:schemeClr w14:val="tx1"/>
            </w14:solidFill>
          </w14:textFill>
        </w:rPr>
        <w:t>的在下面签字的</w:t>
      </w:r>
      <w:r>
        <w:rPr>
          <w:rFonts w:hint="eastAsia" w:ascii="宋体" w:hAnsi="宋体" w:eastAsia="宋体" w:cs="宋体"/>
          <w:color w:val="000000" w:themeColor="text1"/>
          <w:kern w:val="2"/>
          <w:highlight w:val="none"/>
          <w:u w:val="single"/>
          <w:lang w:bidi="ar"/>
          <w14:textFill>
            <w14:solidFill>
              <w14:schemeClr w14:val="tx1"/>
            </w14:solidFill>
          </w14:textFill>
        </w:rPr>
        <w:t>（被授权人的姓名、职务）</w:t>
      </w:r>
      <w:r>
        <w:rPr>
          <w:rFonts w:hint="eastAsia" w:ascii="宋体" w:hAnsi="宋体" w:eastAsia="宋体" w:cs="宋体"/>
          <w:color w:val="000000" w:themeColor="text1"/>
          <w:kern w:val="2"/>
          <w:highlight w:val="none"/>
          <w:lang w:bidi="ar"/>
          <w14:textFill>
            <w14:solidFill>
              <w14:schemeClr w14:val="tx1"/>
            </w14:solidFill>
          </w14:textFill>
        </w:rPr>
        <w:t>为本公司的合法代理人，就</w:t>
      </w:r>
      <w:r>
        <w:rPr>
          <w:rFonts w:hint="eastAsia" w:ascii="宋体" w:hAnsi="宋体" w:eastAsia="宋体" w:cs="宋体"/>
          <w:color w:val="000000" w:themeColor="text1"/>
          <w:kern w:val="2"/>
          <w:highlight w:val="none"/>
          <w:u w:val="single"/>
          <w:lang w:bidi="ar"/>
          <w14:textFill>
            <w14:solidFill>
              <w14:schemeClr w14:val="tx1"/>
            </w14:solidFill>
          </w14:textFill>
        </w:rPr>
        <w:t>（项目名称、项目编号、设备名称）</w:t>
      </w:r>
      <w:r>
        <w:rPr>
          <w:rFonts w:hint="eastAsia" w:ascii="宋体" w:hAnsi="宋体" w:eastAsia="宋体" w:cs="宋体"/>
          <w:color w:val="000000" w:themeColor="text1"/>
          <w:kern w:val="2"/>
          <w:highlight w:val="none"/>
          <w:lang w:bidi="ar"/>
          <w14:textFill>
            <w14:solidFill>
              <w14:schemeClr w14:val="tx1"/>
            </w14:solidFill>
          </w14:textFill>
        </w:rPr>
        <w:t>的投标，以本公司的名义处理一切与之有关的事务。</w:t>
      </w:r>
    </w:p>
    <w:p w14:paraId="35F33EB8">
      <w:pPr>
        <w:adjustRightInd w:val="0"/>
        <w:snapToGrid w:val="0"/>
        <w:spacing w:line="400" w:lineRule="atLeast"/>
        <w:ind w:firstLine="480"/>
        <w:rPr>
          <w:rFonts w:ascii="Arial" w:hAnsi="Arial" w:cs="Arial"/>
          <w:color w:val="000000" w:themeColor="text1"/>
          <w:szCs w:val="24"/>
          <w:highlight w:val="none"/>
          <w14:textFill>
            <w14:solidFill>
              <w14:schemeClr w14:val="tx1"/>
            </w14:solidFill>
          </w14:textFill>
        </w:rPr>
      </w:pPr>
      <w:r>
        <w:rPr>
          <w:rFonts w:ascii="Arial" w:hAnsi="Arial" w:cs="Arial"/>
          <w:color w:val="000000" w:themeColor="text1"/>
          <w:szCs w:val="24"/>
          <w:highlight w:val="none"/>
          <w:lang w:bidi="ar"/>
          <w14:textFill>
            <w14:solidFill>
              <w14:schemeClr w14:val="tx1"/>
            </w14:solidFill>
          </w14:textFill>
        </w:rPr>
        <w:t xml:space="preserve"> </w:t>
      </w:r>
    </w:p>
    <w:p w14:paraId="6A1C5B68">
      <w:pPr>
        <w:adjustRightInd w:val="0"/>
        <w:snapToGrid w:val="0"/>
        <w:spacing w:line="400" w:lineRule="atLeast"/>
        <w:ind w:firstLine="480"/>
        <w:rPr>
          <w:rFonts w:ascii="Arial" w:hAnsi="Arial" w:cs="Arial"/>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本授权书于</w:t>
      </w:r>
      <w:r>
        <w:rPr>
          <w:rFonts w:hint="eastAsia" w:ascii="宋体" w:hAnsi="宋体" w:cs="宋体"/>
          <w:color w:val="000000" w:themeColor="text1"/>
          <w:szCs w:val="24"/>
          <w:highlight w:val="none"/>
          <w:u w:val="single"/>
          <w:lang w:bidi="ar"/>
          <w14:textFill>
            <w14:solidFill>
              <w14:schemeClr w14:val="tx1"/>
            </w14:solidFill>
          </w14:textFill>
        </w:rPr>
        <w:t xml:space="preserve">      </w:t>
      </w:r>
      <w:r>
        <w:rPr>
          <w:rFonts w:hint="eastAsia" w:ascii="宋体" w:hAnsi="宋体" w:cs="宋体"/>
          <w:color w:val="000000" w:themeColor="text1"/>
          <w:szCs w:val="24"/>
          <w:highlight w:val="none"/>
          <w:lang w:bidi="ar"/>
          <w14:textFill>
            <w14:solidFill>
              <w14:schemeClr w14:val="tx1"/>
            </w14:solidFill>
          </w14:textFill>
        </w:rPr>
        <w:t>年</w:t>
      </w:r>
      <w:r>
        <w:rPr>
          <w:rFonts w:hint="eastAsia" w:ascii="宋体" w:hAnsi="宋体" w:cs="宋体"/>
          <w:color w:val="000000" w:themeColor="text1"/>
          <w:szCs w:val="24"/>
          <w:highlight w:val="none"/>
          <w:u w:val="single"/>
          <w:lang w:bidi="ar"/>
          <w14:textFill>
            <w14:solidFill>
              <w14:schemeClr w14:val="tx1"/>
            </w14:solidFill>
          </w14:textFill>
        </w:rPr>
        <w:t xml:space="preserve">   </w:t>
      </w:r>
      <w:r>
        <w:rPr>
          <w:rFonts w:hint="eastAsia" w:ascii="宋体" w:hAnsi="宋体" w:cs="宋体"/>
          <w:color w:val="000000" w:themeColor="text1"/>
          <w:szCs w:val="24"/>
          <w:highlight w:val="none"/>
          <w:lang w:bidi="ar"/>
          <w14:textFill>
            <w14:solidFill>
              <w14:schemeClr w14:val="tx1"/>
            </w14:solidFill>
          </w14:textFill>
        </w:rPr>
        <w:t>月</w:t>
      </w:r>
      <w:r>
        <w:rPr>
          <w:rFonts w:hint="eastAsia" w:ascii="宋体" w:hAnsi="宋体" w:cs="宋体"/>
          <w:color w:val="000000" w:themeColor="text1"/>
          <w:szCs w:val="24"/>
          <w:highlight w:val="none"/>
          <w:u w:val="single"/>
          <w:lang w:bidi="ar"/>
          <w14:textFill>
            <w14:solidFill>
              <w14:schemeClr w14:val="tx1"/>
            </w14:solidFill>
          </w14:textFill>
        </w:rPr>
        <w:t xml:space="preserve">  </w:t>
      </w:r>
      <w:r>
        <w:rPr>
          <w:rFonts w:hint="eastAsia" w:ascii="宋体" w:hAnsi="宋体" w:cs="宋体"/>
          <w:color w:val="000000" w:themeColor="text1"/>
          <w:szCs w:val="24"/>
          <w:highlight w:val="none"/>
          <w:lang w:bidi="ar"/>
          <w14:textFill>
            <w14:solidFill>
              <w14:schemeClr w14:val="tx1"/>
            </w14:solidFill>
          </w14:textFill>
        </w:rPr>
        <w:t>日签字生效，特此声明。</w:t>
      </w:r>
    </w:p>
    <w:p w14:paraId="33B1BD00">
      <w:pPr>
        <w:adjustRightInd w:val="0"/>
        <w:snapToGrid w:val="0"/>
        <w:spacing w:line="400" w:lineRule="atLeast"/>
        <w:ind w:firstLine="480"/>
        <w:rPr>
          <w:rFonts w:ascii="Arial" w:hAnsi="Arial" w:cs="Arial"/>
          <w:color w:val="000000" w:themeColor="text1"/>
          <w:szCs w:val="24"/>
          <w:highlight w:val="none"/>
          <w14:textFill>
            <w14:solidFill>
              <w14:schemeClr w14:val="tx1"/>
            </w14:solidFill>
          </w14:textFill>
        </w:rPr>
      </w:pPr>
      <w:r>
        <w:rPr>
          <w:rFonts w:ascii="Arial" w:hAnsi="Arial" w:cs="Arial"/>
          <w:color w:val="000000" w:themeColor="text1"/>
          <w:szCs w:val="24"/>
          <w:highlight w:val="none"/>
          <w:lang w:bidi="ar"/>
          <w14:textFill>
            <w14:solidFill>
              <w14:schemeClr w14:val="tx1"/>
            </w14:solidFill>
          </w14:textFill>
        </w:rPr>
        <w:t xml:space="preserve"> </w:t>
      </w:r>
    </w:p>
    <w:tbl>
      <w:tblPr>
        <w:tblStyle w:val="8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0"/>
      </w:tblGrid>
      <w:tr w14:paraId="75C3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jc w:val="center"/>
        </w:trPr>
        <w:tc>
          <w:tcPr>
            <w:tcW w:w="6720" w:type="dxa"/>
            <w:tcBorders>
              <w:top w:val="single" w:color="auto" w:sz="4" w:space="0"/>
              <w:left w:val="single" w:color="auto" w:sz="4" w:space="0"/>
              <w:bottom w:val="single" w:color="auto" w:sz="4" w:space="0"/>
              <w:right w:val="single" w:color="auto" w:sz="4" w:space="0"/>
            </w:tcBorders>
          </w:tcPr>
          <w:p w14:paraId="5DFD254D">
            <w:pPr>
              <w:adjustRightInd w:val="0"/>
              <w:snapToGrid w:val="0"/>
              <w:spacing w:line="400" w:lineRule="atLeast"/>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法定代表人身份证（正反面）</w:t>
            </w:r>
          </w:p>
        </w:tc>
      </w:tr>
      <w:tr w14:paraId="7DFA3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9" w:hRule="atLeast"/>
          <w:jc w:val="center"/>
        </w:trPr>
        <w:tc>
          <w:tcPr>
            <w:tcW w:w="6720" w:type="dxa"/>
            <w:tcBorders>
              <w:top w:val="single" w:color="auto" w:sz="4" w:space="0"/>
              <w:left w:val="single" w:color="auto" w:sz="4" w:space="0"/>
              <w:bottom w:val="single" w:color="auto" w:sz="4" w:space="0"/>
              <w:right w:val="single" w:color="auto" w:sz="4" w:space="0"/>
            </w:tcBorders>
          </w:tcPr>
          <w:p w14:paraId="372EB9AB">
            <w:pPr>
              <w:adjustRightInd w:val="0"/>
              <w:snapToGrid w:val="0"/>
              <w:spacing w:line="400" w:lineRule="atLeast"/>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被授权人的身份证（正反面）</w:t>
            </w:r>
          </w:p>
        </w:tc>
      </w:tr>
    </w:tbl>
    <w:p w14:paraId="40888887">
      <w:pPr>
        <w:adjustRightInd w:val="0"/>
        <w:snapToGrid w:val="0"/>
        <w:spacing w:line="400" w:lineRule="atLeast"/>
        <w:ind w:firstLine="480"/>
        <w:rPr>
          <w:rFonts w:ascii="Arial" w:hAnsi="Arial" w:cs="Arial"/>
          <w:color w:val="000000" w:themeColor="text1"/>
          <w:szCs w:val="24"/>
          <w:highlight w:val="none"/>
          <w14:textFill>
            <w14:solidFill>
              <w14:schemeClr w14:val="tx1"/>
            </w14:solidFill>
          </w14:textFill>
        </w:rPr>
      </w:pPr>
      <w:r>
        <w:rPr>
          <w:rFonts w:ascii="Arial" w:hAnsi="Arial" w:cs="Arial"/>
          <w:color w:val="000000" w:themeColor="text1"/>
          <w:szCs w:val="24"/>
          <w:highlight w:val="none"/>
          <w:lang w:bidi="ar"/>
          <w14:textFill>
            <w14:solidFill>
              <w14:schemeClr w14:val="tx1"/>
            </w14:solidFill>
          </w14:textFill>
        </w:rPr>
        <w:t xml:space="preserve"> </w:t>
      </w:r>
    </w:p>
    <w:p w14:paraId="25371CFC">
      <w:pPr>
        <w:adjustRightInd w:val="0"/>
        <w:snapToGrid w:val="0"/>
        <w:spacing w:line="400" w:lineRule="atLeast"/>
        <w:ind w:firstLine="480"/>
        <w:rPr>
          <w:rFonts w:ascii="Arial" w:hAnsi="Arial" w:cs="Arial"/>
          <w:color w:val="000000" w:themeColor="text1"/>
          <w:szCs w:val="24"/>
          <w:highlight w:val="none"/>
          <w14:textFill>
            <w14:solidFill>
              <w14:schemeClr w14:val="tx1"/>
            </w14:solidFill>
          </w14:textFill>
        </w:rPr>
      </w:pPr>
      <w:r>
        <w:rPr>
          <w:rFonts w:ascii="Arial" w:hAnsi="Arial" w:cs="Arial"/>
          <w:color w:val="000000" w:themeColor="text1"/>
          <w:szCs w:val="24"/>
          <w:highlight w:val="none"/>
          <w:lang w:bidi="ar"/>
          <w14:textFill>
            <w14:solidFill>
              <w14:schemeClr w14:val="tx1"/>
            </w14:solidFill>
          </w14:textFill>
        </w:rPr>
        <w:t xml:space="preserve"> </w:t>
      </w:r>
    </w:p>
    <w:p w14:paraId="2B613294">
      <w:pPr>
        <w:adjustRightInd w:val="0"/>
        <w:snapToGrid w:val="0"/>
        <w:spacing w:line="400" w:lineRule="atLeast"/>
        <w:ind w:firstLine="480"/>
        <w:rPr>
          <w:rFonts w:ascii="Arial" w:hAnsi="Arial" w:cs="Arial"/>
          <w:color w:val="000000" w:themeColor="text1"/>
          <w:szCs w:val="24"/>
          <w:highlight w:val="none"/>
          <w14:textFill>
            <w14:solidFill>
              <w14:schemeClr w14:val="tx1"/>
            </w14:solidFill>
          </w14:textFill>
        </w:rPr>
      </w:pPr>
      <w:r>
        <w:rPr>
          <w:rFonts w:ascii="Arial" w:hAnsi="Arial" w:cs="Arial"/>
          <w:color w:val="000000" w:themeColor="text1"/>
          <w:szCs w:val="24"/>
          <w:highlight w:val="none"/>
          <w:lang w:bidi="ar"/>
          <w14:textFill>
            <w14:solidFill>
              <w14:schemeClr w14:val="tx1"/>
            </w14:solidFill>
          </w14:textFill>
        </w:rPr>
        <w:t xml:space="preserve"> </w:t>
      </w:r>
    </w:p>
    <w:p w14:paraId="7E1F7158">
      <w:pPr>
        <w:adjustRightInd w:val="0"/>
        <w:snapToGrid w:val="0"/>
        <w:spacing w:line="400" w:lineRule="atLeast"/>
        <w:ind w:firstLine="480"/>
        <w:rPr>
          <w:rFonts w:ascii="Arial" w:hAnsi="Arial" w:cs="Arial"/>
          <w:color w:val="000000" w:themeColor="text1"/>
          <w:szCs w:val="24"/>
          <w:highlight w:val="none"/>
          <w14:textFill>
            <w14:solidFill>
              <w14:schemeClr w14:val="tx1"/>
            </w14:solidFill>
          </w14:textFill>
        </w:rPr>
      </w:pPr>
      <w:r>
        <w:rPr>
          <w:rFonts w:ascii="Arial" w:hAnsi="Arial" w:cs="Arial"/>
          <w:color w:val="000000" w:themeColor="text1"/>
          <w:szCs w:val="24"/>
          <w:highlight w:val="none"/>
          <w:lang w:bidi="ar"/>
          <w14:textFill>
            <w14:solidFill>
              <w14:schemeClr w14:val="tx1"/>
            </w14:solidFill>
          </w14:textFill>
        </w:rPr>
        <w:t xml:space="preserve"> </w:t>
      </w:r>
    </w:p>
    <w:p w14:paraId="78103300">
      <w:pPr>
        <w:adjustRightInd w:val="0"/>
        <w:snapToGrid w:val="0"/>
        <w:spacing w:line="400" w:lineRule="atLeast"/>
        <w:ind w:firstLine="480"/>
        <w:rPr>
          <w:rFonts w:ascii="Arial" w:hAnsi="Arial" w:cs="Arial"/>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法人代表（签字或盖章）</w:t>
      </w:r>
      <w:r>
        <w:rPr>
          <w:rFonts w:hint="eastAsia" w:ascii="宋体" w:hAnsi="宋体" w:cs="宋体"/>
          <w:color w:val="000000" w:themeColor="text1"/>
          <w:szCs w:val="24"/>
          <w:highlight w:val="none"/>
          <w:u w:val="single"/>
          <w:lang w:bidi="ar"/>
          <w14:textFill>
            <w14:solidFill>
              <w14:schemeClr w14:val="tx1"/>
            </w14:solidFill>
          </w14:textFill>
        </w:rPr>
        <w:t xml:space="preserve">                 </w:t>
      </w:r>
    </w:p>
    <w:p w14:paraId="53D01659">
      <w:pPr>
        <w:adjustRightInd w:val="0"/>
        <w:snapToGrid w:val="0"/>
        <w:spacing w:line="400" w:lineRule="atLeast"/>
        <w:ind w:firstLine="480"/>
        <w:rPr>
          <w:rFonts w:ascii="Arial" w:hAnsi="Arial" w:cs="Arial"/>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被授权人（签字或盖章）</w:t>
      </w:r>
      <w:r>
        <w:rPr>
          <w:rFonts w:hint="eastAsia" w:ascii="宋体" w:hAnsi="宋体" w:cs="宋体"/>
          <w:color w:val="000000" w:themeColor="text1"/>
          <w:szCs w:val="24"/>
          <w:highlight w:val="none"/>
          <w:u w:val="single"/>
          <w:lang w:bidi="ar"/>
          <w14:textFill>
            <w14:solidFill>
              <w14:schemeClr w14:val="tx1"/>
            </w14:solidFill>
          </w14:textFill>
        </w:rPr>
        <w:t xml:space="preserve">                 </w:t>
      </w:r>
    </w:p>
    <w:p w14:paraId="0C75858A">
      <w:pPr>
        <w:adjustRightInd w:val="0"/>
        <w:snapToGrid w:val="0"/>
        <w:spacing w:line="400" w:lineRule="atLeast"/>
        <w:ind w:firstLine="480"/>
        <w:rPr>
          <w:rFonts w:ascii="Arial" w:hAnsi="Arial" w:cs="Arial"/>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公</w:t>
      </w:r>
      <w:r>
        <w:rPr>
          <w:rFonts w:ascii="Arial" w:hAnsi="Arial" w:cs="Arial"/>
          <w:color w:val="000000" w:themeColor="text1"/>
          <w:szCs w:val="24"/>
          <w:highlight w:val="none"/>
          <w:lang w:bidi="ar"/>
          <w14:textFill>
            <w14:solidFill>
              <w14:schemeClr w14:val="tx1"/>
            </w14:solidFill>
          </w14:textFill>
        </w:rPr>
        <w:t xml:space="preserve">        </w:t>
      </w:r>
      <w:r>
        <w:rPr>
          <w:rFonts w:hint="eastAsia" w:ascii="宋体" w:hAnsi="宋体" w:cs="宋体"/>
          <w:color w:val="000000" w:themeColor="text1"/>
          <w:szCs w:val="24"/>
          <w:highlight w:val="none"/>
          <w:lang w:bidi="ar"/>
          <w14:textFill>
            <w14:solidFill>
              <w14:schemeClr w14:val="tx1"/>
            </w14:solidFill>
          </w14:textFill>
        </w:rPr>
        <w:t>章：</w:t>
      </w:r>
      <w:r>
        <w:rPr>
          <w:rFonts w:hint="eastAsia" w:ascii="宋体" w:hAnsi="宋体" w:cs="宋体"/>
          <w:color w:val="000000" w:themeColor="text1"/>
          <w:szCs w:val="24"/>
          <w:highlight w:val="none"/>
          <w:u w:val="single"/>
          <w:lang w:bidi="ar"/>
          <w14:textFill>
            <w14:solidFill>
              <w14:schemeClr w14:val="tx1"/>
            </w14:solidFill>
          </w14:textFill>
        </w:rPr>
        <w:t xml:space="preserve">                         </w:t>
      </w:r>
    </w:p>
    <w:p w14:paraId="4509D66B">
      <w:pPr>
        <w:adjustRightInd w:val="0"/>
        <w:snapToGrid w:val="0"/>
        <w:spacing w:line="400" w:lineRule="atLeast"/>
        <w:ind w:firstLine="480"/>
        <w:rPr>
          <w:rFonts w:ascii="Arial" w:hAnsi="Arial" w:cs="Arial"/>
          <w:color w:val="000000" w:themeColor="text1"/>
          <w:szCs w:val="24"/>
          <w:highlight w:val="none"/>
          <w14:textFill>
            <w14:solidFill>
              <w14:schemeClr w14:val="tx1"/>
            </w14:solidFill>
          </w14:textFill>
        </w:rPr>
      </w:pPr>
      <w:r>
        <w:rPr>
          <w:rFonts w:ascii="Arial" w:hAnsi="Arial" w:cs="Arial"/>
          <w:color w:val="000000" w:themeColor="text1"/>
          <w:szCs w:val="24"/>
          <w:highlight w:val="none"/>
          <w:lang w:bidi="ar"/>
          <w14:textFill>
            <w14:solidFill>
              <w14:schemeClr w14:val="tx1"/>
            </w14:solidFill>
          </w14:textFill>
        </w:rPr>
        <w:t xml:space="preserve"> </w:t>
      </w:r>
    </w:p>
    <w:p w14:paraId="5BA0A6E5">
      <w:pPr>
        <w:adjustRightInd w:val="0"/>
        <w:snapToGrid w:val="0"/>
        <w:spacing w:line="400" w:lineRule="atLeast"/>
        <w:rPr>
          <w:rFonts w:ascii="Arial" w:hAnsi="Arial" w:cs="Arial"/>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注：凡公司法人前来参加投标的供应商，可以不提供此项证明文件。</w:t>
      </w:r>
    </w:p>
    <w:p w14:paraId="13425143">
      <w:pPr>
        <w:pStyle w:val="4"/>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bookmarkStart w:id="113" w:name="_Toc7775"/>
      <w:r>
        <w:rPr>
          <w:rFonts w:hint="eastAsia" w:ascii="宋体" w:hAnsi="宋体" w:cs="宋体"/>
          <w:color w:val="000000" w:themeColor="text1"/>
          <w:highlight w:val="none"/>
          <w14:textFill>
            <w14:solidFill>
              <w14:schemeClr w14:val="tx1"/>
            </w14:solidFill>
          </w14:textFill>
        </w:rPr>
        <w:t>6、技术参数、功能偏离表</w:t>
      </w:r>
      <w:bookmarkEnd w:id="113"/>
    </w:p>
    <w:p w14:paraId="7FBE7382">
      <w:pPr>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供应商名称（公章）：</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项目编号/包号：</w:t>
      </w:r>
      <w:r>
        <w:rPr>
          <w:rFonts w:hint="eastAsia" w:ascii="宋体" w:hAnsi="宋体" w:cs="宋体"/>
          <w:color w:val="000000" w:themeColor="text1"/>
          <w:sz w:val="24"/>
          <w:highlight w:val="none"/>
          <w:u w:val="single"/>
          <w14:textFill>
            <w14:solidFill>
              <w14:schemeClr w14:val="tx1"/>
            </w14:solidFill>
          </w14:textFill>
        </w:rPr>
        <w:t>　　　　　　　　　　　</w:t>
      </w:r>
    </w:p>
    <w:tbl>
      <w:tblPr>
        <w:tblStyle w:val="87"/>
        <w:tblW w:w="9637"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
        <w:gridCol w:w="1348"/>
        <w:gridCol w:w="2259"/>
        <w:gridCol w:w="2087"/>
        <w:gridCol w:w="1518"/>
        <w:gridCol w:w="1044"/>
        <w:gridCol w:w="1044"/>
      </w:tblGrid>
      <w:tr w14:paraId="3986E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337" w:type="dxa"/>
            <w:vAlign w:val="center"/>
          </w:tcPr>
          <w:p w14:paraId="11443E41">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348" w:type="dxa"/>
            <w:vAlign w:val="center"/>
          </w:tcPr>
          <w:p w14:paraId="0B9755CF">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招标文件规格条目号</w:t>
            </w:r>
          </w:p>
        </w:tc>
        <w:tc>
          <w:tcPr>
            <w:tcW w:w="2259" w:type="dxa"/>
            <w:vAlign w:val="center"/>
          </w:tcPr>
          <w:p w14:paraId="628AEB2F">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招标文件要求规格</w:t>
            </w:r>
          </w:p>
        </w:tc>
        <w:tc>
          <w:tcPr>
            <w:tcW w:w="2087" w:type="dxa"/>
            <w:vAlign w:val="center"/>
          </w:tcPr>
          <w:p w14:paraId="1CE2FFB3">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投标规格</w:t>
            </w:r>
          </w:p>
        </w:tc>
        <w:tc>
          <w:tcPr>
            <w:tcW w:w="1518" w:type="dxa"/>
            <w:vAlign w:val="center"/>
          </w:tcPr>
          <w:p w14:paraId="746914D4">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偏离</w:t>
            </w:r>
          </w:p>
        </w:tc>
        <w:tc>
          <w:tcPr>
            <w:tcW w:w="1044" w:type="dxa"/>
            <w:vAlign w:val="center"/>
          </w:tcPr>
          <w:p w14:paraId="653C5DBA">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说明</w:t>
            </w:r>
          </w:p>
        </w:tc>
        <w:tc>
          <w:tcPr>
            <w:tcW w:w="1044" w:type="dxa"/>
            <w:vAlign w:val="center"/>
          </w:tcPr>
          <w:p w14:paraId="30DEC987">
            <w:pPr>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页码</w:t>
            </w:r>
          </w:p>
        </w:tc>
      </w:tr>
      <w:tr w14:paraId="6B21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337" w:type="dxa"/>
            <w:vAlign w:val="center"/>
          </w:tcPr>
          <w:p w14:paraId="1AE066AB">
            <w:pPr>
              <w:jc w:val="center"/>
              <w:rPr>
                <w:rFonts w:ascii="宋体" w:hAnsi="宋体" w:cs="宋体"/>
                <w:color w:val="000000" w:themeColor="text1"/>
                <w:sz w:val="24"/>
                <w:highlight w:val="none"/>
                <w14:textFill>
                  <w14:solidFill>
                    <w14:schemeClr w14:val="tx1"/>
                  </w14:solidFill>
                </w14:textFill>
              </w:rPr>
            </w:pPr>
          </w:p>
          <w:p w14:paraId="17DB8CD9">
            <w:pPr>
              <w:jc w:val="center"/>
              <w:rPr>
                <w:rFonts w:ascii="宋体" w:hAnsi="宋体" w:cs="宋体"/>
                <w:color w:val="000000" w:themeColor="text1"/>
                <w:sz w:val="24"/>
                <w:highlight w:val="none"/>
                <w14:textFill>
                  <w14:solidFill>
                    <w14:schemeClr w14:val="tx1"/>
                  </w14:solidFill>
                </w14:textFill>
              </w:rPr>
            </w:pPr>
          </w:p>
        </w:tc>
        <w:tc>
          <w:tcPr>
            <w:tcW w:w="1348" w:type="dxa"/>
            <w:vAlign w:val="center"/>
          </w:tcPr>
          <w:p w14:paraId="7285BDF6">
            <w:pPr>
              <w:widowControl/>
              <w:jc w:val="center"/>
              <w:rPr>
                <w:rFonts w:ascii="宋体" w:hAnsi="宋体" w:cs="宋体"/>
                <w:color w:val="000000" w:themeColor="text1"/>
                <w:sz w:val="24"/>
                <w:highlight w:val="none"/>
                <w14:textFill>
                  <w14:solidFill>
                    <w14:schemeClr w14:val="tx1"/>
                  </w14:solidFill>
                </w14:textFill>
              </w:rPr>
            </w:pPr>
          </w:p>
          <w:p w14:paraId="3455770E">
            <w:pPr>
              <w:jc w:val="center"/>
              <w:rPr>
                <w:rFonts w:ascii="宋体" w:hAnsi="宋体" w:cs="宋体"/>
                <w:color w:val="000000" w:themeColor="text1"/>
                <w:sz w:val="24"/>
                <w:highlight w:val="none"/>
                <w14:textFill>
                  <w14:solidFill>
                    <w14:schemeClr w14:val="tx1"/>
                  </w14:solidFill>
                </w14:textFill>
              </w:rPr>
            </w:pPr>
          </w:p>
        </w:tc>
        <w:tc>
          <w:tcPr>
            <w:tcW w:w="2259" w:type="dxa"/>
            <w:vAlign w:val="center"/>
          </w:tcPr>
          <w:p w14:paraId="71F50A8F">
            <w:pPr>
              <w:jc w:val="center"/>
              <w:rPr>
                <w:rFonts w:ascii="宋体" w:hAnsi="宋体" w:cs="宋体"/>
                <w:color w:val="000000" w:themeColor="text1"/>
                <w:sz w:val="24"/>
                <w:highlight w:val="none"/>
                <w14:textFill>
                  <w14:solidFill>
                    <w14:schemeClr w14:val="tx1"/>
                  </w14:solidFill>
                </w14:textFill>
              </w:rPr>
            </w:pPr>
          </w:p>
        </w:tc>
        <w:tc>
          <w:tcPr>
            <w:tcW w:w="2087" w:type="dxa"/>
            <w:vAlign w:val="center"/>
          </w:tcPr>
          <w:p w14:paraId="3B1942AA">
            <w:pPr>
              <w:jc w:val="center"/>
              <w:rPr>
                <w:rFonts w:ascii="宋体" w:hAnsi="宋体" w:cs="宋体"/>
                <w:color w:val="000000" w:themeColor="text1"/>
                <w:sz w:val="24"/>
                <w:highlight w:val="none"/>
                <w14:textFill>
                  <w14:solidFill>
                    <w14:schemeClr w14:val="tx1"/>
                  </w14:solidFill>
                </w14:textFill>
              </w:rPr>
            </w:pPr>
          </w:p>
        </w:tc>
        <w:tc>
          <w:tcPr>
            <w:tcW w:w="1518" w:type="dxa"/>
            <w:vAlign w:val="center"/>
          </w:tcPr>
          <w:p w14:paraId="68BCED4A">
            <w:pPr>
              <w:jc w:val="center"/>
              <w:rPr>
                <w:rFonts w:ascii="宋体" w:hAnsi="宋体" w:cs="宋体"/>
                <w:color w:val="000000" w:themeColor="text1"/>
                <w:sz w:val="24"/>
                <w:highlight w:val="none"/>
                <w14:textFill>
                  <w14:solidFill>
                    <w14:schemeClr w14:val="tx1"/>
                  </w14:solidFill>
                </w14:textFill>
              </w:rPr>
            </w:pPr>
          </w:p>
        </w:tc>
        <w:tc>
          <w:tcPr>
            <w:tcW w:w="1044" w:type="dxa"/>
            <w:vAlign w:val="center"/>
          </w:tcPr>
          <w:p w14:paraId="6AE2C347">
            <w:pPr>
              <w:jc w:val="center"/>
              <w:rPr>
                <w:rFonts w:ascii="宋体" w:hAnsi="宋体" w:cs="宋体"/>
                <w:color w:val="000000" w:themeColor="text1"/>
                <w:sz w:val="24"/>
                <w:highlight w:val="none"/>
                <w14:textFill>
                  <w14:solidFill>
                    <w14:schemeClr w14:val="tx1"/>
                  </w14:solidFill>
                </w14:textFill>
              </w:rPr>
            </w:pPr>
          </w:p>
        </w:tc>
        <w:tc>
          <w:tcPr>
            <w:tcW w:w="1044" w:type="dxa"/>
            <w:vAlign w:val="center"/>
          </w:tcPr>
          <w:p w14:paraId="688FE028">
            <w:pPr>
              <w:jc w:val="center"/>
              <w:rPr>
                <w:rFonts w:ascii="宋体" w:hAnsi="宋体" w:cs="宋体"/>
                <w:color w:val="000000" w:themeColor="text1"/>
                <w:sz w:val="24"/>
                <w:highlight w:val="none"/>
                <w14:textFill>
                  <w14:solidFill>
                    <w14:schemeClr w14:val="tx1"/>
                  </w14:solidFill>
                </w14:textFill>
              </w:rPr>
            </w:pPr>
          </w:p>
        </w:tc>
      </w:tr>
      <w:tr w14:paraId="75CF6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337" w:type="dxa"/>
            <w:vAlign w:val="center"/>
          </w:tcPr>
          <w:p w14:paraId="59D7E03F">
            <w:pPr>
              <w:jc w:val="center"/>
              <w:rPr>
                <w:rFonts w:ascii="宋体" w:hAnsi="宋体" w:cs="宋体"/>
                <w:color w:val="000000" w:themeColor="text1"/>
                <w:sz w:val="24"/>
                <w:highlight w:val="none"/>
                <w14:textFill>
                  <w14:solidFill>
                    <w14:schemeClr w14:val="tx1"/>
                  </w14:solidFill>
                </w14:textFill>
              </w:rPr>
            </w:pPr>
          </w:p>
          <w:p w14:paraId="3FA759FF">
            <w:pPr>
              <w:jc w:val="center"/>
              <w:rPr>
                <w:rFonts w:ascii="宋体" w:hAnsi="宋体" w:cs="宋体"/>
                <w:color w:val="000000" w:themeColor="text1"/>
                <w:sz w:val="24"/>
                <w:highlight w:val="none"/>
                <w14:textFill>
                  <w14:solidFill>
                    <w14:schemeClr w14:val="tx1"/>
                  </w14:solidFill>
                </w14:textFill>
              </w:rPr>
            </w:pPr>
          </w:p>
        </w:tc>
        <w:tc>
          <w:tcPr>
            <w:tcW w:w="1348" w:type="dxa"/>
            <w:vAlign w:val="center"/>
          </w:tcPr>
          <w:p w14:paraId="4030373D">
            <w:pPr>
              <w:widowControl/>
              <w:jc w:val="center"/>
              <w:rPr>
                <w:rFonts w:ascii="宋体" w:hAnsi="宋体" w:cs="宋体"/>
                <w:color w:val="000000" w:themeColor="text1"/>
                <w:sz w:val="24"/>
                <w:highlight w:val="none"/>
                <w14:textFill>
                  <w14:solidFill>
                    <w14:schemeClr w14:val="tx1"/>
                  </w14:solidFill>
                </w14:textFill>
              </w:rPr>
            </w:pPr>
          </w:p>
          <w:p w14:paraId="5A02181E">
            <w:pPr>
              <w:jc w:val="center"/>
              <w:rPr>
                <w:rFonts w:ascii="宋体" w:hAnsi="宋体" w:cs="宋体"/>
                <w:color w:val="000000" w:themeColor="text1"/>
                <w:sz w:val="24"/>
                <w:highlight w:val="none"/>
                <w14:textFill>
                  <w14:solidFill>
                    <w14:schemeClr w14:val="tx1"/>
                  </w14:solidFill>
                </w14:textFill>
              </w:rPr>
            </w:pPr>
          </w:p>
        </w:tc>
        <w:tc>
          <w:tcPr>
            <w:tcW w:w="2259" w:type="dxa"/>
            <w:vAlign w:val="center"/>
          </w:tcPr>
          <w:p w14:paraId="0F7121E4">
            <w:pPr>
              <w:jc w:val="center"/>
              <w:rPr>
                <w:rFonts w:ascii="宋体" w:hAnsi="宋体" w:cs="宋体"/>
                <w:color w:val="000000" w:themeColor="text1"/>
                <w:sz w:val="24"/>
                <w:highlight w:val="none"/>
                <w14:textFill>
                  <w14:solidFill>
                    <w14:schemeClr w14:val="tx1"/>
                  </w14:solidFill>
                </w14:textFill>
              </w:rPr>
            </w:pPr>
          </w:p>
        </w:tc>
        <w:tc>
          <w:tcPr>
            <w:tcW w:w="2087" w:type="dxa"/>
            <w:vAlign w:val="center"/>
          </w:tcPr>
          <w:p w14:paraId="4E3C3CA5">
            <w:pPr>
              <w:jc w:val="center"/>
              <w:rPr>
                <w:rFonts w:ascii="宋体" w:hAnsi="宋体" w:cs="宋体"/>
                <w:color w:val="000000" w:themeColor="text1"/>
                <w:sz w:val="24"/>
                <w:highlight w:val="none"/>
                <w14:textFill>
                  <w14:solidFill>
                    <w14:schemeClr w14:val="tx1"/>
                  </w14:solidFill>
                </w14:textFill>
              </w:rPr>
            </w:pPr>
          </w:p>
        </w:tc>
        <w:tc>
          <w:tcPr>
            <w:tcW w:w="1518" w:type="dxa"/>
            <w:vAlign w:val="center"/>
          </w:tcPr>
          <w:p w14:paraId="0FD944DA">
            <w:pPr>
              <w:jc w:val="center"/>
              <w:rPr>
                <w:rFonts w:ascii="宋体" w:hAnsi="宋体" w:cs="宋体"/>
                <w:color w:val="000000" w:themeColor="text1"/>
                <w:sz w:val="24"/>
                <w:highlight w:val="none"/>
                <w14:textFill>
                  <w14:solidFill>
                    <w14:schemeClr w14:val="tx1"/>
                  </w14:solidFill>
                </w14:textFill>
              </w:rPr>
            </w:pPr>
          </w:p>
        </w:tc>
        <w:tc>
          <w:tcPr>
            <w:tcW w:w="1044" w:type="dxa"/>
            <w:vAlign w:val="center"/>
          </w:tcPr>
          <w:p w14:paraId="54DB006E">
            <w:pPr>
              <w:jc w:val="center"/>
              <w:rPr>
                <w:rFonts w:ascii="宋体" w:hAnsi="宋体" w:cs="宋体"/>
                <w:color w:val="000000" w:themeColor="text1"/>
                <w:sz w:val="24"/>
                <w:highlight w:val="none"/>
                <w14:textFill>
                  <w14:solidFill>
                    <w14:schemeClr w14:val="tx1"/>
                  </w14:solidFill>
                </w14:textFill>
              </w:rPr>
            </w:pPr>
          </w:p>
        </w:tc>
        <w:tc>
          <w:tcPr>
            <w:tcW w:w="1044" w:type="dxa"/>
            <w:vAlign w:val="center"/>
          </w:tcPr>
          <w:p w14:paraId="2F055C2D">
            <w:pPr>
              <w:jc w:val="center"/>
              <w:rPr>
                <w:rFonts w:ascii="宋体" w:hAnsi="宋体" w:cs="宋体"/>
                <w:color w:val="000000" w:themeColor="text1"/>
                <w:sz w:val="24"/>
                <w:highlight w:val="none"/>
                <w14:textFill>
                  <w14:solidFill>
                    <w14:schemeClr w14:val="tx1"/>
                  </w14:solidFill>
                </w14:textFill>
              </w:rPr>
            </w:pPr>
          </w:p>
        </w:tc>
      </w:tr>
      <w:tr w14:paraId="7A360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337" w:type="dxa"/>
            <w:vAlign w:val="center"/>
          </w:tcPr>
          <w:p w14:paraId="2E5CB730">
            <w:pPr>
              <w:jc w:val="center"/>
              <w:rPr>
                <w:rFonts w:ascii="宋体" w:hAnsi="宋体" w:cs="宋体"/>
                <w:color w:val="000000" w:themeColor="text1"/>
                <w:sz w:val="24"/>
                <w:highlight w:val="none"/>
                <w14:textFill>
                  <w14:solidFill>
                    <w14:schemeClr w14:val="tx1"/>
                  </w14:solidFill>
                </w14:textFill>
              </w:rPr>
            </w:pPr>
          </w:p>
          <w:p w14:paraId="004435E0">
            <w:pPr>
              <w:jc w:val="center"/>
              <w:rPr>
                <w:rFonts w:ascii="宋体" w:hAnsi="宋体" w:cs="宋体"/>
                <w:color w:val="000000" w:themeColor="text1"/>
                <w:sz w:val="24"/>
                <w:highlight w:val="none"/>
                <w14:textFill>
                  <w14:solidFill>
                    <w14:schemeClr w14:val="tx1"/>
                  </w14:solidFill>
                </w14:textFill>
              </w:rPr>
            </w:pPr>
          </w:p>
        </w:tc>
        <w:tc>
          <w:tcPr>
            <w:tcW w:w="1348" w:type="dxa"/>
            <w:vAlign w:val="center"/>
          </w:tcPr>
          <w:p w14:paraId="7296FF94">
            <w:pPr>
              <w:widowControl/>
              <w:jc w:val="center"/>
              <w:rPr>
                <w:rFonts w:ascii="宋体" w:hAnsi="宋体" w:cs="宋体"/>
                <w:color w:val="000000" w:themeColor="text1"/>
                <w:sz w:val="24"/>
                <w:highlight w:val="none"/>
                <w14:textFill>
                  <w14:solidFill>
                    <w14:schemeClr w14:val="tx1"/>
                  </w14:solidFill>
                </w14:textFill>
              </w:rPr>
            </w:pPr>
          </w:p>
          <w:p w14:paraId="02CDD94D">
            <w:pPr>
              <w:jc w:val="center"/>
              <w:rPr>
                <w:rFonts w:ascii="宋体" w:hAnsi="宋体" w:cs="宋体"/>
                <w:color w:val="000000" w:themeColor="text1"/>
                <w:sz w:val="24"/>
                <w:highlight w:val="none"/>
                <w14:textFill>
                  <w14:solidFill>
                    <w14:schemeClr w14:val="tx1"/>
                  </w14:solidFill>
                </w14:textFill>
              </w:rPr>
            </w:pPr>
          </w:p>
        </w:tc>
        <w:tc>
          <w:tcPr>
            <w:tcW w:w="2259" w:type="dxa"/>
            <w:vAlign w:val="center"/>
          </w:tcPr>
          <w:p w14:paraId="044430E3">
            <w:pPr>
              <w:jc w:val="center"/>
              <w:rPr>
                <w:rFonts w:ascii="宋体" w:hAnsi="宋体" w:cs="宋体"/>
                <w:color w:val="000000" w:themeColor="text1"/>
                <w:sz w:val="24"/>
                <w:highlight w:val="none"/>
                <w14:textFill>
                  <w14:solidFill>
                    <w14:schemeClr w14:val="tx1"/>
                  </w14:solidFill>
                </w14:textFill>
              </w:rPr>
            </w:pPr>
          </w:p>
        </w:tc>
        <w:tc>
          <w:tcPr>
            <w:tcW w:w="2087" w:type="dxa"/>
            <w:vAlign w:val="center"/>
          </w:tcPr>
          <w:p w14:paraId="694C0F91">
            <w:pPr>
              <w:jc w:val="center"/>
              <w:rPr>
                <w:rFonts w:ascii="宋体" w:hAnsi="宋体" w:cs="宋体"/>
                <w:color w:val="000000" w:themeColor="text1"/>
                <w:sz w:val="24"/>
                <w:highlight w:val="none"/>
                <w14:textFill>
                  <w14:solidFill>
                    <w14:schemeClr w14:val="tx1"/>
                  </w14:solidFill>
                </w14:textFill>
              </w:rPr>
            </w:pPr>
          </w:p>
        </w:tc>
        <w:tc>
          <w:tcPr>
            <w:tcW w:w="1518" w:type="dxa"/>
            <w:vAlign w:val="center"/>
          </w:tcPr>
          <w:p w14:paraId="063D3867">
            <w:pPr>
              <w:jc w:val="center"/>
              <w:rPr>
                <w:rFonts w:ascii="宋体" w:hAnsi="宋体" w:cs="宋体"/>
                <w:color w:val="000000" w:themeColor="text1"/>
                <w:sz w:val="24"/>
                <w:highlight w:val="none"/>
                <w14:textFill>
                  <w14:solidFill>
                    <w14:schemeClr w14:val="tx1"/>
                  </w14:solidFill>
                </w14:textFill>
              </w:rPr>
            </w:pPr>
          </w:p>
        </w:tc>
        <w:tc>
          <w:tcPr>
            <w:tcW w:w="1044" w:type="dxa"/>
            <w:vAlign w:val="center"/>
          </w:tcPr>
          <w:p w14:paraId="56A9F07A">
            <w:pPr>
              <w:jc w:val="center"/>
              <w:rPr>
                <w:rFonts w:ascii="宋体" w:hAnsi="宋体" w:cs="宋体"/>
                <w:color w:val="000000" w:themeColor="text1"/>
                <w:sz w:val="24"/>
                <w:highlight w:val="none"/>
                <w14:textFill>
                  <w14:solidFill>
                    <w14:schemeClr w14:val="tx1"/>
                  </w14:solidFill>
                </w14:textFill>
              </w:rPr>
            </w:pPr>
          </w:p>
        </w:tc>
        <w:tc>
          <w:tcPr>
            <w:tcW w:w="1044" w:type="dxa"/>
            <w:vAlign w:val="center"/>
          </w:tcPr>
          <w:p w14:paraId="6981C7BD">
            <w:pPr>
              <w:jc w:val="center"/>
              <w:rPr>
                <w:rFonts w:ascii="宋体" w:hAnsi="宋体" w:cs="宋体"/>
                <w:color w:val="000000" w:themeColor="text1"/>
                <w:sz w:val="24"/>
                <w:highlight w:val="none"/>
                <w14:textFill>
                  <w14:solidFill>
                    <w14:schemeClr w14:val="tx1"/>
                  </w14:solidFill>
                </w14:textFill>
              </w:rPr>
            </w:pPr>
          </w:p>
        </w:tc>
      </w:tr>
      <w:tr w14:paraId="69131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337" w:type="dxa"/>
            <w:vAlign w:val="center"/>
          </w:tcPr>
          <w:p w14:paraId="0AE3BC52">
            <w:pPr>
              <w:jc w:val="center"/>
              <w:rPr>
                <w:rFonts w:ascii="宋体" w:hAnsi="宋体" w:cs="宋体"/>
                <w:color w:val="000000" w:themeColor="text1"/>
                <w:sz w:val="24"/>
                <w:highlight w:val="none"/>
                <w14:textFill>
                  <w14:solidFill>
                    <w14:schemeClr w14:val="tx1"/>
                  </w14:solidFill>
                </w14:textFill>
              </w:rPr>
            </w:pPr>
          </w:p>
          <w:p w14:paraId="7E84C366">
            <w:pPr>
              <w:jc w:val="center"/>
              <w:rPr>
                <w:rFonts w:ascii="宋体" w:hAnsi="宋体" w:cs="宋体"/>
                <w:color w:val="000000" w:themeColor="text1"/>
                <w:sz w:val="24"/>
                <w:highlight w:val="none"/>
                <w14:textFill>
                  <w14:solidFill>
                    <w14:schemeClr w14:val="tx1"/>
                  </w14:solidFill>
                </w14:textFill>
              </w:rPr>
            </w:pPr>
          </w:p>
        </w:tc>
        <w:tc>
          <w:tcPr>
            <w:tcW w:w="1348" w:type="dxa"/>
            <w:vAlign w:val="center"/>
          </w:tcPr>
          <w:p w14:paraId="79221E2D">
            <w:pPr>
              <w:widowControl/>
              <w:jc w:val="center"/>
              <w:rPr>
                <w:rFonts w:ascii="宋体" w:hAnsi="宋体" w:cs="宋体"/>
                <w:color w:val="000000" w:themeColor="text1"/>
                <w:sz w:val="24"/>
                <w:highlight w:val="none"/>
                <w14:textFill>
                  <w14:solidFill>
                    <w14:schemeClr w14:val="tx1"/>
                  </w14:solidFill>
                </w14:textFill>
              </w:rPr>
            </w:pPr>
          </w:p>
          <w:p w14:paraId="3BE22770">
            <w:pPr>
              <w:jc w:val="center"/>
              <w:rPr>
                <w:rFonts w:ascii="宋体" w:hAnsi="宋体" w:cs="宋体"/>
                <w:color w:val="000000" w:themeColor="text1"/>
                <w:sz w:val="24"/>
                <w:highlight w:val="none"/>
                <w14:textFill>
                  <w14:solidFill>
                    <w14:schemeClr w14:val="tx1"/>
                  </w14:solidFill>
                </w14:textFill>
              </w:rPr>
            </w:pPr>
          </w:p>
        </w:tc>
        <w:tc>
          <w:tcPr>
            <w:tcW w:w="2259" w:type="dxa"/>
            <w:vAlign w:val="center"/>
          </w:tcPr>
          <w:p w14:paraId="1C81C8C1">
            <w:pPr>
              <w:jc w:val="center"/>
              <w:rPr>
                <w:rFonts w:ascii="宋体" w:hAnsi="宋体" w:cs="宋体"/>
                <w:color w:val="000000" w:themeColor="text1"/>
                <w:sz w:val="24"/>
                <w:highlight w:val="none"/>
                <w14:textFill>
                  <w14:solidFill>
                    <w14:schemeClr w14:val="tx1"/>
                  </w14:solidFill>
                </w14:textFill>
              </w:rPr>
            </w:pPr>
          </w:p>
        </w:tc>
        <w:tc>
          <w:tcPr>
            <w:tcW w:w="2087" w:type="dxa"/>
            <w:vAlign w:val="center"/>
          </w:tcPr>
          <w:p w14:paraId="1F1A3374">
            <w:pPr>
              <w:jc w:val="center"/>
              <w:rPr>
                <w:rFonts w:ascii="宋体" w:hAnsi="宋体" w:cs="宋体"/>
                <w:color w:val="000000" w:themeColor="text1"/>
                <w:sz w:val="24"/>
                <w:highlight w:val="none"/>
                <w14:textFill>
                  <w14:solidFill>
                    <w14:schemeClr w14:val="tx1"/>
                  </w14:solidFill>
                </w14:textFill>
              </w:rPr>
            </w:pPr>
          </w:p>
        </w:tc>
        <w:tc>
          <w:tcPr>
            <w:tcW w:w="1518" w:type="dxa"/>
            <w:vAlign w:val="center"/>
          </w:tcPr>
          <w:p w14:paraId="142A14D5">
            <w:pPr>
              <w:jc w:val="center"/>
              <w:rPr>
                <w:rFonts w:ascii="宋体" w:hAnsi="宋体" w:cs="宋体"/>
                <w:color w:val="000000" w:themeColor="text1"/>
                <w:sz w:val="24"/>
                <w:highlight w:val="none"/>
                <w14:textFill>
                  <w14:solidFill>
                    <w14:schemeClr w14:val="tx1"/>
                  </w14:solidFill>
                </w14:textFill>
              </w:rPr>
            </w:pPr>
          </w:p>
        </w:tc>
        <w:tc>
          <w:tcPr>
            <w:tcW w:w="1044" w:type="dxa"/>
            <w:vAlign w:val="center"/>
          </w:tcPr>
          <w:p w14:paraId="7E5B9FCB">
            <w:pPr>
              <w:jc w:val="center"/>
              <w:rPr>
                <w:rFonts w:ascii="宋体" w:hAnsi="宋体" w:cs="宋体"/>
                <w:color w:val="000000" w:themeColor="text1"/>
                <w:sz w:val="24"/>
                <w:highlight w:val="none"/>
                <w14:textFill>
                  <w14:solidFill>
                    <w14:schemeClr w14:val="tx1"/>
                  </w14:solidFill>
                </w14:textFill>
              </w:rPr>
            </w:pPr>
          </w:p>
        </w:tc>
        <w:tc>
          <w:tcPr>
            <w:tcW w:w="1044" w:type="dxa"/>
            <w:vAlign w:val="center"/>
          </w:tcPr>
          <w:p w14:paraId="05AF197C">
            <w:pPr>
              <w:jc w:val="center"/>
              <w:rPr>
                <w:rFonts w:ascii="宋体" w:hAnsi="宋体" w:cs="宋体"/>
                <w:color w:val="000000" w:themeColor="text1"/>
                <w:sz w:val="24"/>
                <w:highlight w:val="none"/>
                <w14:textFill>
                  <w14:solidFill>
                    <w14:schemeClr w14:val="tx1"/>
                  </w14:solidFill>
                </w14:textFill>
              </w:rPr>
            </w:pPr>
          </w:p>
        </w:tc>
      </w:tr>
      <w:tr w14:paraId="075F5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337" w:type="dxa"/>
            <w:vAlign w:val="center"/>
          </w:tcPr>
          <w:p w14:paraId="6D14C3A2">
            <w:pPr>
              <w:jc w:val="center"/>
              <w:rPr>
                <w:rFonts w:ascii="宋体" w:hAnsi="宋体" w:cs="宋体"/>
                <w:color w:val="000000" w:themeColor="text1"/>
                <w:sz w:val="24"/>
                <w:highlight w:val="none"/>
                <w14:textFill>
                  <w14:solidFill>
                    <w14:schemeClr w14:val="tx1"/>
                  </w14:solidFill>
                </w14:textFill>
              </w:rPr>
            </w:pPr>
          </w:p>
          <w:p w14:paraId="4F63EC46">
            <w:pPr>
              <w:jc w:val="center"/>
              <w:rPr>
                <w:rFonts w:ascii="宋体" w:hAnsi="宋体" w:cs="宋体"/>
                <w:color w:val="000000" w:themeColor="text1"/>
                <w:sz w:val="24"/>
                <w:highlight w:val="none"/>
                <w14:textFill>
                  <w14:solidFill>
                    <w14:schemeClr w14:val="tx1"/>
                  </w14:solidFill>
                </w14:textFill>
              </w:rPr>
            </w:pPr>
          </w:p>
        </w:tc>
        <w:tc>
          <w:tcPr>
            <w:tcW w:w="1348" w:type="dxa"/>
            <w:vAlign w:val="center"/>
          </w:tcPr>
          <w:p w14:paraId="060E8CD7">
            <w:pPr>
              <w:widowControl/>
              <w:jc w:val="center"/>
              <w:rPr>
                <w:rFonts w:ascii="宋体" w:hAnsi="宋体" w:cs="宋体"/>
                <w:color w:val="000000" w:themeColor="text1"/>
                <w:sz w:val="24"/>
                <w:highlight w:val="none"/>
                <w14:textFill>
                  <w14:solidFill>
                    <w14:schemeClr w14:val="tx1"/>
                  </w14:solidFill>
                </w14:textFill>
              </w:rPr>
            </w:pPr>
          </w:p>
          <w:p w14:paraId="22F6B82E">
            <w:pPr>
              <w:jc w:val="center"/>
              <w:rPr>
                <w:rFonts w:ascii="宋体" w:hAnsi="宋体" w:cs="宋体"/>
                <w:color w:val="000000" w:themeColor="text1"/>
                <w:sz w:val="24"/>
                <w:highlight w:val="none"/>
                <w14:textFill>
                  <w14:solidFill>
                    <w14:schemeClr w14:val="tx1"/>
                  </w14:solidFill>
                </w14:textFill>
              </w:rPr>
            </w:pPr>
          </w:p>
        </w:tc>
        <w:tc>
          <w:tcPr>
            <w:tcW w:w="2259" w:type="dxa"/>
            <w:vAlign w:val="center"/>
          </w:tcPr>
          <w:p w14:paraId="5DDD2E11">
            <w:pPr>
              <w:jc w:val="center"/>
              <w:rPr>
                <w:rFonts w:ascii="宋体" w:hAnsi="宋体" w:cs="宋体"/>
                <w:color w:val="000000" w:themeColor="text1"/>
                <w:sz w:val="24"/>
                <w:highlight w:val="none"/>
                <w14:textFill>
                  <w14:solidFill>
                    <w14:schemeClr w14:val="tx1"/>
                  </w14:solidFill>
                </w14:textFill>
              </w:rPr>
            </w:pPr>
          </w:p>
        </w:tc>
        <w:tc>
          <w:tcPr>
            <w:tcW w:w="2087" w:type="dxa"/>
            <w:vAlign w:val="center"/>
          </w:tcPr>
          <w:p w14:paraId="47DC2DC6">
            <w:pPr>
              <w:jc w:val="center"/>
              <w:rPr>
                <w:rFonts w:ascii="宋体" w:hAnsi="宋体" w:cs="宋体"/>
                <w:color w:val="000000" w:themeColor="text1"/>
                <w:sz w:val="24"/>
                <w:highlight w:val="none"/>
                <w14:textFill>
                  <w14:solidFill>
                    <w14:schemeClr w14:val="tx1"/>
                  </w14:solidFill>
                </w14:textFill>
              </w:rPr>
            </w:pPr>
          </w:p>
        </w:tc>
        <w:tc>
          <w:tcPr>
            <w:tcW w:w="1518" w:type="dxa"/>
            <w:vAlign w:val="center"/>
          </w:tcPr>
          <w:p w14:paraId="3CA75175">
            <w:pPr>
              <w:jc w:val="center"/>
              <w:rPr>
                <w:rFonts w:ascii="宋体" w:hAnsi="宋体" w:cs="宋体"/>
                <w:color w:val="000000" w:themeColor="text1"/>
                <w:sz w:val="24"/>
                <w:highlight w:val="none"/>
                <w14:textFill>
                  <w14:solidFill>
                    <w14:schemeClr w14:val="tx1"/>
                  </w14:solidFill>
                </w14:textFill>
              </w:rPr>
            </w:pPr>
          </w:p>
        </w:tc>
        <w:tc>
          <w:tcPr>
            <w:tcW w:w="1044" w:type="dxa"/>
            <w:vAlign w:val="center"/>
          </w:tcPr>
          <w:p w14:paraId="13D2026A">
            <w:pPr>
              <w:jc w:val="center"/>
              <w:rPr>
                <w:rFonts w:ascii="宋体" w:hAnsi="宋体" w:cs="宋体"/>
                <w:color w:val="000000" w:themeColor="text1"/>
                <w:sz w:val="24"/>
                <w:highlight w:val="none"/>
                <w14:textFill>
                  <w14:solidFill>
                    <w14:schemeClr w14:val="tx1"/>
                  </w14:solidFill>
                </w14:textFill>
              </w:rPr>
            </w:pPr>
          </w:p>
        </w:tc>
        <w:tc>
          <w:tcPr>
            <w:tcW w:w="1044" w:type="dxa"/>
            <w:vAlign w:val="center"/>
          </w:tcPr>
          <w:p w14:paraId="054514FE">
            <w:pPr>
              <w:jc w:val="center"/>
              <w:rPr>
                <w:rFonts w:ascii="宋体" w:hAnsi="宋体" w:cs="宋体"/>
                <w:color w:val="000000" w:themeColor="text1"/>
                <w:sz w:val="24"/>
                <w:highlight w:val="none"/>
                <w14:textFill>
                  <w14:solidFill>
                    <w14:schemeClr w14:val="tx1"/>
                  </w14:solidFill>
                </w14:textFill>
              </w:rPr>
            </w:pPr>
          </w:p>
        </w:tc>
      </w:tr>
      <w:tr w14:paraId="4AEB3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337" w:type="dxa"/>
            <w:vAlign w:val="center"/>
          </w:tcPr>
          <w:p w14:paraId="0D129440">
            <w:pPr>
              <w:jc w:val="center"/>
              <w:rPr>
                <w:rFonts w:ascii="宋体" w:hAnsi="宋体" w:cs="宋体"/>
                <w:color w:val="000000" w:themeColor="text1"/>
                <w:sz w:val="24"/>
                <w:highlight w:val="none"/>
                <w14:textFill>
                  <w14:solidFill>
                    <w14:schemeClr w14:val="tx1"/>
                  </w14:solidFill>
                </w14:textFill>
              </w:rPr>
            </w:pPr>
          </w:p>
          <w:p w14:paraId="0EC9DA13">
            <w:pPr>
              <w:jc w:val="center"/>
              <w:rPr>
                <w:rFonts w:ascii="宋体" w:hAnsi="宋体" w:cs="宋体"/>
                <w:color w:val="000000" w:themeColor="text1"/>
                <w:sz w:val="24"/>
                <w:highlight w:val="none"/>
                <w14:textFill>
                  <w14:solidFill>
                    <w14:schemeClr w14:val="tx1"/>
                  </w14:solidFill>
                </w14:textFill>
              </w:rPr>
            </w:pPr>
          </w:p>
        </w:tc>
        <w:tc>
          <w:tcPr>
            <w:tcW w:w="1348" w:type="dxa"/>
            <w:vAlign w:val="center"/>
          </w:tcPr>
          <w:p w14:paraId="239EE164">
            <w:pPr>
              <w:widowControl/>
              <w:jc w:val="center"/>
              <w:rPr>
                <w:rFonts w:ascii="宋体" w:hAnsi="宋体" w:cs="宋体"/>
                <w:color w:val="000000" w:themeColor="text1"/>
                <w:sz w:val="24"/>
                <w:highlight w:val="none"/>
                <w14:textFill>
                  <w14:solidFill>
                    <w14:schemeClr w14:val="tx1"/>
                  </w14:solidFill>
                </w14:textFill>
              </w:rPr>
            </w:pPr>
          </w:p>
          <w:p w14:paraId="30C7F967">
            <w:pPr>
              <w:jc w:val="center"/>
              <w:rPr>
                <w:rFonts w:ascii="宋体" w:hAnsi="宋体" w:cs="宋体"/>
                <w:color w:val="000000" w:themeColor="text1"/>
                <w:sz w:val="24"/>
                <w:highlight w:val="none"/>
                <w14:textFill>
                  <w14:solidFill>
                    <w14:schemeClr w14:val="tx1"/>
                  </w14:solidFill>
                </w14:textFill>
              </w:rPr>
            </w:pPr>
          </w:p>
        </w:tc>
        <w:tc>
          <w:tcPr>
            <w:tcW w:w="2259" w:type="dxa"/>
            <w:vAlign w:val="center"/>
          </w:tcPr>
          <w:p w14:paraId="32E7D63D">
            <w:pPr>
              <w:jc w:val="center"/>
              <w:rPr>
                <w:rFonts w:ascii="宋体" w:hAnsi="宋体" w:cs="宋体"/>
                <w:color w:val="000000" w:themeColor="text1"/>
                <w:sz w:val="24"/>
                <w:highlight w:val="none"/>
                <w14:textFill>
                  <w14:solidFill>
                    <w14:schemeClr w14:val="tx1"/>
                  </w14:solidFill>
                </w14:textFill>
              </w:rPr>
            </w:pPr>
          </w:p>
        </w:tc>
        <w:tc>
          <w:tcPr>
            <w:tcW w:w="2087" w:type="dxa"/>
            <w:vAlign w:val="center"/>
          </w:tcPr>
          <w:p w14:paraId="761175B4">
            <w:pPr>
              <w:jc w:val="center"/>
              <w:rPr>
                <w:rFonts w:ascii="宋体" w:hAnsi="宋体" w:cs="宋体"/>
                <w:color w:val="000000" w:themeColor="text1"/>
                <w:sz w:val="24"/>
                <w:highlight w:val="none"/>
                <w14:textFill>
                  <w14:solidFill>
                    <w14:schemeClr w14:val="tx1"/>
                  </w14:solidFill>
                </w14:textFill>
              </w:rPr>
            </w:pPr>
          </w:p>
        </w:tc>
        <w:tc>
          <w:tcPr>
            <w:tcW w:w="1518" w:type="dxa"/>
            <w:vAlign w:val="center"/>
          </w:tcPr>
          <w:p w14:paraId="09594F04">
            <w:pPr>
              <w:jc w:val="center"/>
              <w:rPr>
                <w:rFonts w:ascii="宋体" w:hAnsi="宋体" w:cs="宋体"/>
                <w:color w:val="000000" w:themeColor="text1"/>
                <w:sz w:val="24"/>
                <w:highlight w:val="none"/>
                <w14:textFill>
                  <w14:solidFill>
                    <w14:schemeClr w14:val="tx1"/>
                  </w14:solidFill>
                </w14:textFill>
              </w:rPr>
            </w:pPr>
          </w:p>
        </w:tc>
        <w:tc>
          <w:tcPr>
            <w:tcW w:w="1044" w:type="dxa"/>
            <w:vAlign w:val="center"/>
          </w:tcPr>
          <w:p w14:paraId="689CC6F7">
            <w:pPr>
              <w:jc w:val="center"/>
              <w:rPr>
                <w:rFonts w:ascii="宋体" w:hAnsi="宋体" w:cs="宋体"/>
                <w:color w:val="000000" w:themeColor="text1"/>
                <w:sz w:val="24"/>
                <w:highlight w:val="none"/>
                <w14:textFill>
                  <w14:solidFill>
                    <w14:schemeClr w14:val="tx1"/>
                  </w14:solidFill>
                </w14:textFill>
              </w:rPr>
            </w:pPr>
          </w:p>
        </w:tc>
        <w:tc>
          <w:tcPr>
            <w:tcW w:w="1044" w:type="dxa"/>
            <w:vAlign w:val="center"/>
          </w:tcPr>
          <w:p w14:paraId="7CC8B42F">
            <w:pPr>
              <w:jc w:val="center"/>
              <w:rPr>
                <w:rFonts w:ascii="宋体" w:hAnsi="宋体" w:cs="宋体"/>
                <w:color w:val="000000" w:themeColor="text1"/>
                <w:sz w:val="24"/>
                <w:highlight w:val="none"/>
                <w14:textFill>
                  <w14:solidFill>
                    <w14:schemeClr w14:val="tx1"/>
                  </w14:solidFill>
                </w14:textFill>
              </w:rPr>
            </w:pPr>
          </w:p>
        </w:tc>
      </w:tr>
      <w:tr w14:paraId="4BD8C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337" w:type="dxa"/>
            <w:vAlign w:val="center"/>
          </w:tcPr>
          <w:p w14:paraId="1453789F">
            <w:pPr>
              <w:jc w:val="center"/>
              <w:rPr>
                <w:rFonts w:ascii="宋体" w:hAnsi="宋体" w:cs="宋体"/>
                <w:color w:val="000000" w:themeColor="text1"/>
                <w:sz w:val="24"/>
                <w:highlight w:val="none"/>
                <w14:textFill>
                  <w14:solidFill>
                    <w14:schemeClr w14:val="tx1"/>
                  </w14:solidFill>
                </w14:textFill>
              </w:rPr>
            </w:pPr>
          </w:p>
          <w:p w14:paraId="38906F8E">
            <w:pPr>
              <w:jc w:val="center"/>
              <w:rPr>
                <w:rFonts w:ascii="宋体" w:hAnsi="宋体" w:cs="宋体"/>
                <w:color w:val="000000" w:themeColor="text1"/>
                <w:sz w:val="24"/>
                <w:highlight w:val="none"/>
                <w14:textFill>
                  <w14:solidFill>
                    <w14:schemeClr w14:val="tx1"/>
                  </w14:solidFill>
                </w14:textFill>
              </w:rPr>
            </w:pPr>
          </w:p>
        </w:tc>
        <w:tc>
          <w:tcPr>
            <w:tcW w:w="1348" w:type="dxa"/>
            <w:vAlign w:val="center"/>
          </w:tcPr>
          <w:p w14:paraId="37C2D0A4">
            <w:pPr>
              <w:widowControl/>
              <w:jc w:val="center"/>
              <w:rPr>
                <w:rFonts w:ascii="宋体" w:hAnsi="宋体" w:cs="宋体"/>
                <w:color w:val="000000" w:themeColor="text1"/>
                <w:sz w:val="24"/>
                <w:highlight w:val="none"/>
                <w14:textFill>
                  <w14:solidFill>
                    <w14:schemeClr w14:val="tx1"/>
                  </w14:solidFill>
                </w14:textFill>
              </w:rPr>
            </w:pPr>
          </w:p>
          <w:p w14:paraId="2C5B5A1B">
            <w:pPr>
              <w:jc w:val="center"/>
              <w:rPr>
                <w:rFonts w:ascii="宋体" w:hAnsi="宋体" w:cs="宋体"/>
                <w:color w:val="000000" w:themeColor="text1"/>
                <w:sz w:val="24"/>
                <w:highlight w:val="none"/>
                <w14:textFill>
                  <w14:solidFill>
                    <w14:schemeClr w14:val="tx1"/>
                  </w14:solidFill>
                </w14:textFill>
              </w:rPr>
            </w:pPr>
          </w:p>
        </w:tc>
        <w:tc>
          <w:tcPr>
            <w:tcW w:w="2259" w:type="dxa"/>
            <w:vAlign w:val="center"/>
          </w:tcPr>
          <w:p w14:paraId="085C3987">
            <w:pPr>
              <w:jc w:val="center"/>
              <w:rPr>
                <w:rFonts w:ascii="宋体" w:hAnsi="宋体" w:cs="宋体"/>
                <w:color w:val="000000" w:themeColor="text1"/>
                <w:sz w:val="24"/>
                <w:highlight w:val="none"/>
                <w14:textFill>
                  <w14:solidFill>
                    <w14:schemeClr w14:val="tx1"/>
                  </w14:solidFill>
                </w14:textFill>
              </w:rPr>
            </w:pPr>
          </w:p>
        </w:tc>
        <w:tc>
          <w:tcPr>
            <w:tcW w:w="2087" w:type="dxa"/>
            <w:vAlign w:val="center"/>
          </w:tcPr>
          <w:p w14:paraId="55819BAE">
            <w:pPr>
              <w:jc w:val="center"/>
              <w:rPr>
                <w:rFonts w:ascii="宋体" w:hAnsi="宋体" w:cs="宋体"/>
                <w:color w:val="000000" w:themeColor="text1"/>
                <w:sz w:val="24"/>
                <w:highlight w:val="none"/>
                <w14:textFill>
                  <w14:solidFill>
                    <w14:schemeClr w14:val="tx1"/>
                  </w14:solidFill>
                </w14:textFill>
              </w:rPr>
            </w:pPr>
          </w:p>
        </w:tc>
        <w:tc>
          <w:tcPr>
            <w:tcW w:w="1518" w:type="dxa"/>
            <w:vAlign w:val="center"/>
          </w:tcPr>
          <w:p w14:paraId="3F4B4E1B">
            <w:pPr>
              <w:jc w:val="center"/>
              <w:rPr>
                <w:rFonts w:ascii="宋体" w:hAnsi="宋体" w:cs="宋体"/>
                <w:color w:val="000000" w:themeColor="text1"/>
                <w:sz w:val="24"/>
                <w:highlight w:val="none"/>
                <w14:textFill>
                  <w14:solidFill>
                    <w14:schemeClr w14:val="tx1"/>
                  </w14:solidFill>
                </w14:textFill>
              </w:rPr>
            </w:pPr>
          </w:p>
        </w:tc>
        <w:tc>
          <w:tcPr>
            <w:tcW w:w="1044" w:type="dxa"/>
            <w:vAlign w:val="center"/>
          </w:tcPr>
          <w:p w14:paraId="5DF9C44C">
            <w:pPr>
              <w:jc w:val="center"/>
              <w:rPr>
                <w:rFonts w:ascii="宋体" w:hAnsi="宋体" w:cs="宋体"/>
                <w:color w:val="000000" w:themeColor="text1"/>
                <w:sz w:val="24"/>
                <w:highlight w:val="none"/>
                <w14:textFill>
                  <w14:solidFill>
                    <w14:schemeClr w14:val="tx1"/>
                  </w14:solidFill>
                </w14:textFill>
              </w:rPr>
            </w:pPr>
          </w:p>
        </w:tc>
        <w:tc>
          <w:tcPr>
            <w:tcW w:w="1044" w:type="dxa"/>
            <w:vAlign w:val="center"/>
          </w:tcPr>
          <w:p w14:paraId="25A0D914">
            <w:pPr>
              <w:jc w:val="center"/>
              <w:rPr>
                <w:rFonts w:ascii="宋体" w:hAnsi="宋体" w:cs="宋体"/>
                <w:color w:val="000000" w:themeColor="text1"/>
                <w:sz w:val="24"/>
                <w:highlight w:val="none"/>
                <w14:textFill>
                  <w14:solidFill>
                    <w14:schemeClr w14:val="tx1"/>
                  </w14:solidFill>
                </w14:textFill>
              </w:rPr>
            </w:pPr>
          </w:p>
        </w:tc>
      </w:tr>
      <w:tr w14:paraId="22606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337" w:type="dxa"/>
            <w:vAlign w:val="center"/>
          </w:tcPr>
          <w:p w14:paraId="211F43D7">
            <w:pPr>
              <w:jc w:val="center"/>
              <w:rPr>
                <w:rFonts w:ascii="宋体" w:hAnsi="宋体" w:cs="宋体"/>
                <w:color w:val="000000" w:themeColor="text1"/>
                <w:sz w:val="24"/>
                <w:highlight w:val="none"/>
                <w14:textFill>
                  <w14:solidFill>
                    <w14:schemeClr w14:val="tx1"/>
                  </w14:solidFill>
                </w14:textFill>
              </w:rPr>
            </w:pPr>
          </w:p>
          <w:p w14:paraId="5AD89088">
            <w:pPr>
              <w:jc w:val="center"/>
              <w:rPr>
                <w:rFonts w:ascii="宋体" w:hAnsi="宋体" w:cs="宋体"/>
                <w:color w:val="000000" w:themeColor="text1"/>
                <w:sz w:val="24"/>
                <w:highlight w:val="none"/>
                <w14:textFill>
                  <w14:solidFill>
                    <w14:schemeClr w14:val="tx1"/>
                  </w14:solidFill>
                </w14:textFill>
              </w:rPr>
            </w:pPr>
          </w:p>
        </w:tc>
        <w:tc>
          <w:tcPr>
            <w:tcW w:w="1348" w:type="dxa"/>
            <w:vAlign w:val="center"/>
          </w:tcPr>
          <w:p w14:paraId="7CB5C9B4">
            <w:pPr>
              <w:widowControl/>
              <w:jc w:val="center"/>
              <w:rPr>
                <w:rFonts w:ascii="宋体" w:hAnsi="宋体" w:cs="宋体"/>
                <w:color w:val="000000" w:themeColor="text1"/>
                <w:sz w:val="24"/>
                <w:highlight w:val="none"/>
                <w14:textFill>
                  <w14:solidFill>
                    <w14:schemeClr w14:val="tx1"/>
                  </w14:solidFill>
                </w14:textFill>
              </w:rPr>
            </w:pPr>
          </w:p>
          <w:p w14:paraId="297725FB">
            <w:pPr>
              <w:jc w:val="center"/>
              <w:rPr>
                <w:rFonts w:ascii="宋体" w:hAnsi="宋体" w:cs="宋体"/>
                <w:color w:val="000000" w:themeColor="text1"/>
                <w:sz w:val="24"/>
                <w:highlight w:val="none"/>
                <w14:textFill>
                  <w14:solidFill>
                    <w14:schemeClr w14:val="tx1"/>
                  </w14:solidFill>
                </w14:textFill>
              </w:rPr>
            </w:pPr>
          </w:p>
        </w:tc>
        <w:tc>
          <w:tcPr>
            <w:tcW w:w="2259" w:type="dxa"/>
            <w:vAlign w:val="center"/>
          </w:tcPr>
          <w:p w14:paraId="74B9EEA8">
            <w:pPr>
              <w:jc w:val="center"/>
              <w:rPr>
                <w:rFonts w:ascii="宋体" w:hAnsi="宋体" w:cs="宋体"/>
                <w:color w:val="000000" w:themeColor="text1"/>
                <w:sz w:val="24"/>
                <w:highlight w:val="none"/>
                <w14:textFill>
                  <w14:solidFill>
                    <w14:schemeClr w14:val="tx1"/>
                  </w14:solidFill>
                </w14:textFill>
              </w:rPr>
            </w:pPr>
          </w:p>
        </w:tc>
        <w:tc>
          <w:tcPr>
            <w:tcW w:w="2087" w:type="dxa"/>
            <w:vAlign w:val="center"/>
          </w:tcPr>
          <w:p w14:paraId="5EF2EC3E">
            <w:pPr>
              <w:jc w:val="center"/>
              <w:rPr>
                <w:rFonts w:ascii="宋体" w:hAnsi="宋体" w:cs="宋体"/>
                <w:color w:val="000000" w:themeColor="text1"/>
                <w:sz w:val="24"/>
                <w:highlight w:val="none"/>
                <w14:textFill>
                  <w14:solidFill>
                    <w14:schemeClr w14:val="tx1"/>
                  </w14:solidFill>
                </w14:textFill>
              </w:rPr>
            </w:pPr>
          </w:p>
        </w:tc>
        <w:tc>
          <w:tcPr>
            <w:tcW w:w="1518" w:type="dxa"/>
            <w:vAlign w:val="center"/>
          </w:tcPr>
          <w:p w14:paraId="6EA3CDAE">
            <w:pPr>
              <w:jc w:val="center"/>
              <w:rPr>
                <w:rFonts w:ascii="宋体" w:hAnsi="宋体" w:cs="宋体"/>
                <w:color w:val="000000" w:themeColor="text1"/>
                <w:sz w:val="24"/>
                <w:highlight w:val="none"/>
                <w14:textFill>
                  <w14:solidFill>
                    <w14:schemeClr w14:val="tx1"/>
                  </w14:solidFill>
                </w14:textFill>
              </w:rPr>
            </w:pPr>
          </w:p>
        </w:tc>
        <w:tc>
          <w:tcPr>
            <w:tcW w:w="1044" w:type="dxa"/>
            <w:vAlign w:val="center"/>
          </w:tcPr>
          <w:p w14:paraId="6A486774">
            <w:pPr>
              <w:jc w:val="center"/>
              <w:rPr>
                <w:rFonts w:ascii="宋体" w:hAnsi="宋体" w:cs="宋体"/>
                <w:color w:val="000000" w:themeColor="text1"/>
                <w:sz w:val="24"/>
                <w:highlight w:val="none"/>
                <w14:textFill>
                  <w14:solidFill>
                    <w14:schemeClr w14:val="tx1"/>
                  </w14:solidFill>
                </w14:textFill>
              </w:rPr>
            </w:pPr>
          </w:p>
        </w:tc>
        <w:tc>
          <w:tcPr>
            <w:tcW w:w="1044" w:type="dxa"/>
            <w:vAlign w:val="center"/>
          </w:tcPr>
          <w:p w14:paraId="575B2C11">
            <w:pPr>
              <w:jc w:val="center"/>
              <w:rPr>
                <w:rFonts w:ascii="宋体" w:hAnsi="宋体" w:cs="宋体"/>
                <w:color w:val="000000" w:themeColor="text1"/>
                <w:sz w:val="24"/>
                <w:highlight w:val="none"/>
                <w14:textFill>
                  <w14:solidFill>
                    <w14:schemeClr w14:val="tx1"/>
                  </w14:solidFill>
                </w14:textFill>
              </w:rPr>
            </w:pPr>
          </w:p>
        </w:tc>
      </w:tr>
      <w:tr w14:paraId="2D751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337" w:type="dxa"/>
            <w:vAlign w:val="center"/>
          </w:tcPr>
          <w:p w14:paraId="67214B68">
            <w:pPr>
              <w:jc w:val="center"/>
              <w:rPr>
                <w:rFonts w:ascii="宋体" w:hAnsi="宋体" w:cs="宋体"/>
                <w:color w:val="000000" w:themeColor="text1"/>
                <w:sz w:val="24"/>
                <w:highlight w:val="none"/>
                <w14:textFill>
                  <w14:solidFill>
                    <w14:schemeClr w14:val="tx1"/>
                  </w14:solidFill>
                </w14:textFill>
              </w:rPr>
            </w:pPr>
          </w:p>
          <w:p w14:paraId="294D0909">
            <w:pPr>
              <w:jc w:val="center"/>
              <w:rPr>
                <w:rFonts w:ascii="宋体" w:hAnsi="宋体" w:cs="宋体"/>
                <w:color w:val="000000" w:themeColor="text1"/>
                <w:sz w:val="24"/>
                <w:highlight w:val="none"/>
                <w14:textFill>
                  <w14:solidFill>
                    <w14:schemeClr w14:val="tx1"/>
                  </w14:solidFill>
                </w14:textFill>
              </w:rPr>
            </w:pPr>
          </w:p>
        </w:tc>
        <w:tc>
          <w:tcPr>
            <w:tcW w:w="1348" w:type="dxa"/>
            <w:vAlign w:val="center"/>
          </w:tcPr>
          <w:p w14:paraId="1AAC9DF9">
            <w:pPr>
              <w:widowControl/>
              <w:jc w:val="center"/>
              <w:rPr>
                <w:rFonts w:ascii="宋体" w:hAnsi="宋体" w:cs="宋体"/>
                <w:color w:val="000000" w:themeColor="text1"/>
                <w:sz w:val="24"/>
                <w:highlight w:val="none"/>
                <w14:textFill>
                  <w14:solidFill>
                    <w14:schemeClr w14:val="tx1"/>
                  </w14:solidFill>
                </w14:textFill>
              </w:rPr>
            </w:pPr>
          </w:p>
          <w:p w14:paraId="5746FAD4">
            <w:pPr>
              <w:jc w:val="center"/>
              <w:rPr>
                <w:rFonts w:ascii="宋体" w:hAnsi="宋体" w:cs="宋体"/>
                <w:color w:val="000000" w:themeColor="text1"/>
                <w:sz w:val="24"/>
                <w:highlight w:val="none"/>
                <w14:textFill>
                  <w14:solidFill>
                    <w14:schemeClr w14:val="tx1"/>
                  </w14:solidFill>
                </w14:textFill>
              </w:rPr>
            </w:pPr>
          </w:p>
        </w:tc>
        <w:tc>
          <w:tcPr>
            <w:tcW w:w="2259" w:type="dxa"/>
            <w:vAlign w:val="center"/>
          </w:tcPr>
          <w:p w14:paraId="03158FED">
            <w:pPr>
              <w:jc w:val="center"/>
              <w:rPr>
                <w:rFonts w:ascii="宋体" w:hAnsi="宋体" w:cs="宋体"/>
                <w:color w:val="000000" w:themeColor="text1"/>
                <w:sz w:val="24"/>
                <w:highlight w:val="none"/>
                <w14:textFill>
                  <w14:solidFill>
                    <w14:schemeClr w14:val="tx1"/>
                  </w14:solidFill>
                </w14:textFill>
              </w:rPr>
            </w:pPr>
          </w:p>
        </w:tc>
        <w:tc>
          <w:tcPr>
            <w:tcW w:w="2087" w:type="dxa"/>
            <w:vAlign w:val="center"/>
          </w:tcPr>
          <w:p w14:paraId="1FB29CAA">
            <w:pPr>
              <w:jc w:val="center"/>
              <w:rPr>
                <w:rFonts w:ascii="宋体" w:hAnsi="宋体" w:cs="宋体"/>
                <w:color w:val="000000" w:themeColor="text1"/>
                <w:sz w:val="24"/>
                <w:highlight w:val="none"/>
                <w14:textFill>
                  <w14:solidFill>
                    <w14:schemeClr w14:val="tx1"/>
                  </w14:solidFill>
                </w14:textFill>
              </w:rPr>
            </w:pPr>
          </w:p>
        </w:tc>
        <w:tc>
          <w:tcPr>
            <w:tcW w:w="1518" w:type="dxa"/>
            <w:vAlign w:val="center"/>
          </w:tcPr>
          <w:p w14:paraId="749F861C">
            <w:pPr>
              <w:jc w:val="center"/>
              <w:rPr>
                <w:rFonts w:ascii="宋体" w:hAnsi="宋体" w:cs="宋体"/>
                <w:color w:val="000000" w:themeColor="text1"/>
                <w:sz w:val="24"/>
                <w:highlight w:val="none"/>
                <w14:textFill>
                  <w14:solidFill>
                    <w14:schemeClr w14:val="tx1"/>
                  </w14:solidFill>
                </w14:textFill>
              </w:rPr>
            </w:pPr>
          </w:p>
        </w:tc>
        <w:tc>
          <w:tcPr>
            <w:tcW w:w="1044" w:type="dxa"/>
            <w:vAlign w:val="center"/>
          </w:tcPr>
          <w:p w14:paraId="15BEB480">
            <w:pPr>
              <w:jc w:val="center"/>
              <w:rPr>
                <w:rFonts w:ascii="宋体" w:hAnsi="宋体" w:cs="宋体"/>
                <w:color w:val="000000" w:themeColor="text1"/>
                <w:sz w:val="24"/>
                <w:highlight w:val="none"/>
                <w14:textFill>
                  <w14:solidFill>
                    <w14:schemeClr w14:val="tx1"/>
                  </w14:solidFill>
                </w14:textFill>
              </w:rPr>
            </w:pPr>
          </w:p>
        </w:tc>
        <w:tc>
          <w:tcPr>
            <w:tcW w:w="1044" w:type="dxa"/>
            <w:vAlign w:val="center"/>
          </w:tcPr>
          <w:p w14:paraId="1DB27D33">
            <w:pPr>
              <w:jc w:val="center"/>
              <w:rPr>
                <w:rFonts w:ascii="宋体" w:hAnsi="宋体" w:cs="宋体"/>
                <w:color w:val="000000" w:themeColor="text1"/>
                <w:sz w:val="24"/>
                <w:highlight w:val="none"/>
                <w14:textFill>
                  <w14:solidFill>
                    <w14:schemeClr w14:val="tx1"/>
                  </w14:solidFill>
                </w14:textFill>
              </w:rPr>
            </w:pPr>
          </w:p>
        </w:tc>
      </w:tr>
      <w:tr w14:paraId="786E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337" w:type="dxa"/>
            <w:vAlign w:val="center"/>
          </w:tcPr>
          <w:p w14:paraId="2EB05ED3">
            <w:pPr>
              <w:jc w:val="center"/>
              <w:rPr>
                <w:rFonts w:ascii="宋体" w:hAnsi="宋体" w:cs="宋体"/>
                <w:color w:val="000000" w:themeColor="text1"/>
                <w:sz w:val="24"/>
                <w:highlight w:val="none"/>
                <w14:textFill>
                  <w14:solidFill>
                    <w14:schemeClr w14:val="tx1"/>
                  </w14:solidFill>
                </w14:textFill>
              </w:rPr>
            </w:pPr>
          </w:p>
        </w:tc>
        <w:tc>
          <w:tcPr>
            <w:tcW w:w="1348" w:type="dxa"/>
            <w:vAlign w:val="center"/>
          </w:tcPr>
          <w:p w14:paraId="541FEE4D">
            <w:pPr>
              <w:jc w:val="center"/>
              <w:rPr>
                <w:rFonts w:ascii="宋体" w:hAnsi="宋体" w:cs="宋体"/>
                <w:color w:val="000000" w:themeColor="text1"/>
                <w:sz w:val="24"/>
                <w:highlight w:val="none"/>
                <w14:textFill>
                  <w14:solidFill>
                    <w14:schemeClr w14:val="tx1"/>
                  </w14:solidFill>
                </w14:textFill>
              </w:rPr>
            </w:pPr>
          </w:p>
        </w:tc>
        <w:tc>
          <w:tcPr>
            <w:tcW w:w="2259" w:type="dxa"/>
            <w:vAlign w:val="center"/>
          </w:tcPr>
          <w:p w14:paraId="0DEA2526">
            <w:pPr>
              <w:rPr>
                <w:rFonts w:ascii="宋体" w:hAnsi="宋体" w:cs="宋体"/>
                <w:color w:val="000000" w:themeColor="text1"/>
                <w:sz w:val="24"/>
                <w:highlight w:val="none"/>
                <w14:textFill>
                  <w14:solidFill>
                    <w14:schemeClr w14:val="tx1"/>
                  </w14:solidFill>
                </w14:textFill>
              </w:rPr>
            </w:pPr>
          </w:p>
        </w:tc>
        <w:tc>
          <w:tcPr>
            <w:tcW w:w="2087" w:type="dxa"/>
            <w:vAlign w:val="center"/>
          </w:tcPr>
          <w:p w14:paraId="27F9C830">
            <w:pPr>
              <w:widowControl/>
              <w:jc w:val="center"/>
              <w:rPr>
                <w:rFonts w:ascii="宋体" w:hAnsi="宋体" w:cs="宋体"/>
                <w:color w:val="000000" w:themeColor="text1"/>
                <w:sz w:val="24"/>
                <w:highlight w:val="none"/>
                <w14:textFill>
                  <w14:solidFill>
                    <w14:schemeClr w14:val="tx1"/>
                  </w14:solidFill>
                </w14:textFill>
              </w:rPr>
            </w:pPr>
          </w:p>
          <w:p w14:paraId="61E6376E">
            <w:pPr>
              <w:jc w:val="center"/>
              <w:rPr>
                <w:rFonts w:ascii="宋体" w:hAnsi="宋体" w:cs="宋体"/>
                <w:color w:val="000000" w:themeColor="text1"/>
                <w:sz w:val="24"/>
                <w:highlight w:val="none"/>
                <w14:textFill>
                  <w14:solidFill>
                    <w14:schemeClr w14:val="tx1"/>
                  </w14:solidFill>
                </w14:textFill>
              </w:rPr>
            </w:pPr>
          </w:p>
        </w:tc>
        <w:tc>
          <w:tcPr>
            <w:tcW w:w="1518" w:type="dxa"/>
            <w:vAlign w:val="center"/>
          </w:tcPr>
          <w:p w14:paraId="1F6C7A54">
            <w:pPr>
              <w:jc w:val="center"/>
              <w:rPr>
                <w:rFonts w:ascii="宋体" w:hAnsi="宋体" w:cs="宋体"/>
                <w:color w:val="000000" w:themeColor="text1"/>
                <w:sz w:val="24"/>
                <w:highlight w:val="none"/>
                <w14:textFill>
                  <w14:solidFill>
                    <w14:schemeClr w14:val="tx1"/>
                  </w14:solidFill>
                </w14:textFill>
              </w:rPr>
            </w:pPr>
          </w:p>
        </w:tc>
        <w:tc>
          <w:tcPr>
            <w:tcW w:w="1044" w:type="dxa"/>
            <w:vAlign w:val="center"/>
          </w:tcPr>
          <w:p w14:paraId="353FB86F">
            <w:pPr>
              <w:jc w:val="center"/>
              <w:rPr>
                <w:rFonts w:ascii="宋体" w:hAnsi="宋体" w:cs="宋体"/>
                <w:color w:val="000000" w:themeColor="text1"/>
                <w:sz w:val="24"/>
                <w:highlight w:val="none"/>
                <w14:textFill>
                  <w14:solidFill>
                    <w14:schemeClr w14:val="tx1"/>
                  </w14:solidFill>
                </w14:textFill>
              </w:rPr>
            </w:pPr>
          </w:p>
        </w:tc>
        <w:tc>
          <w:tcPr>
            <w:tcW w:w="1044" w:type="dxa"/>
            <w:vAlign w:val="center"/>
          </w:tcPr>
          <w:p w14:paraId="0759C43F">
            <w:pPr>
              <w:jc w:val="center"/>
              <w:rPr>
                <w:rFonts w:ascii="宋体" w:hAnsi="宋体" w:cs="宋体"/>
                <w:color w:val="000000" w:themeColor="text1"/>
                <w:sz w:val="24"/>
                <w:highlight w:val="none"/>
                <w14:textFill>
                  <w14:solidFill>
                    <w14:schemeClr w14:val="tx1"/>
                  </w14:solidFill>
                </w14:textFill>
              </w:rPr>
            </w:pPr>
          </w:p>
        </w:tc>
      </w:tr>
      <w:tr w14:paraId="6A4C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337" w:type="dxa"/>
            <w:vAlign w:val="center"/>
          </w:tcPr>
          <w:p w14:paraId="58860230">
            <w:pPr>
              <w:jc w:val="center"/>
              <w:rPr>
                <w:rFonts w:ascii="宋体" w:hAnsi="宋体" w:cs="宋体"/>
                <w:color w:val="000000" w:themeColor="text1"/>
                <w:sz w:val="24"/>
                <w:highlight w:val="none"/>
                <w14:textFill>
                  <w14:solidFill>
                    <w14:schemeClr w14:val="tx1"/>
                  </w14:solidFill>
                </w14:textFill>
              </w:rPr>
            </w:pPr>
          </w:p>
        </w:tc>
        <w:tc>
          <w:tcPr>
            <w:tcW w:w="1348" w:type="dxa"/>
            <w:vAlign w:val="center"/>
          </w:tcPr>
          <w:p w14:paraId="490D6BCA">
            <w:pPr>
              <w:jc w:val="center"/>
              <w:rPr>
                <w:rFonts w:ascii="宋体" w:hAnsi="宋体" w:cs="宋体"/>
                <w:color w:val="000000" w:themeColor="text1"/>
                <w:sz w:val="24"/>
                <w:highlight w:val="none"/>
                <w14:textFill>
                  <w14:solidFill>
                    <w14:schemeClr w14:val="tx1"/>
                  </w14:solidFill>
                </w14:textFill>
              </w:rPr>
            </w:pPr>
          </w:p>
        </w:tc>
        <w:tc>
          <w:tcPr>
            <w:tcW w:w="2259" w:type="dxa"/>
            <w:vAlign w:val="center"/>
          </w:tcPr>
          <w:p w14:paraId="71D69DEF">
            <w:pPr>
              <w:jc w:val="center"/>
              <w:rPr>
                <w:rFonts w:ascii="宋体" w:hAnsi="宋体" w:cs="宋体"/>
                <w:color w:val="000000" w:themeColor="text1"/>
                <w:sz w:val="24"/>
                <w:highlight w:val="none"/>
                <w14:textFill>
                  <w14:solidFill>
                    <w14:schemeClr w14:val="tx1"/>
                  </w14:solidFill>
                </w14:textFill>
              </w:rPr>
            </w:pPr>
          </w:p>
        </w:tc>
        <w:tc>
          <w:tcPr>
            <w:tcW w:w="2087" w:type="dxa"/>
            <w:vAlign w:val="center"/>
          </w:tcPr>
          <w:p w14:paraId="642D03B6">
            <w:pPr>
              <w:widowControl/>
              <w:jc w:val="center"/>
              <w:rPr>
                <w:rFonts w:ascii="宋体" w:hAnsi="宋体" w:cs="宋体"/>
                <w:color w:val="000000" w:themeColor="text1"/>
                <w:sz w:val="24"/>
                <w:highlight w:val="none"/>
                <w14:textFill>
                  <w14:solidFill>
                    <w14:schemeClr w14:val="tx1"/>
                  </w14:solidFill>
                </w14:textFill>
              </w:rPr>
            </w:pPr>
          </w:p>
        </w:tc>
        <w:tc>
          <w:tcPr>
            <w:tcW w:w="1518" w:type="dxa"/>
            <w:vAlign w:val="center"/>
          </w:tcPr>
          <w:p w14:paraId="1202E11A">
            <w:pPr>
              <w:jc w:val="center"/>
              <w:rPr>
                <w:rFonts w:ascii="宋体" w:hAnsi="宋体" w:cs="宋体"/>
                <w:color w:val="000000" w:themeColor="text1"/>
                <w:sz w:val="24"/>
                <w:highlight w:val="none"/>
                <w14:textFill>
                  <w14:solidFill>
                    <w14:schemeClr w14:val="tx1"/>
                  </w14:solidFill>
                </w14:textFill>
              </w:rPr>
            </w:pPr>
          </w:p>
        </w:tc>
        <w:tc>
          <w:tcPr>
            <w:tcW w:w="1044" w:type="dxa"/>
            <w:vAlign w:val="center"/>
          </w:tcPr>
          <w:p w14:paraId="03BA038A">
            <w:pPr>
              <w:jc w:val="center"/>
              <w:rPr>
                <w:rFonts w:ascii="宋体" w:hAnsi="宋体" w:cs="宋体"/>
                <w:color w:val="000000" w:themeColor="text1"/>
                <w:sz w:val="24"/>
                <w:highlight w:val="none"/>
                <w14:textFill>
                  <w14:solidFill>
                    <w14:schemeClr w14:val="tx1"/>
                  </w14:solidFill>
                </w14:textFill>
              </w:rPr>
            </w:pPr>
          </w:p>
        </w:tc>
        <w:tc>
          <w:tcPr>
            <w:tcW w:w="1044" w:type="dxa"/>
            <w:vAlign w:val="center"/>
          </w:tcPr>
          <w:p w14:paraId="683A3E2D">
            <w:pPr>
              <w:jc w:val="center"/>
              <w:rPr>
                <w:rFonts w:ascii="宋体" w:hAnsi="宋体" w:cs="宋体"/>
                <w:color w:val="000000" w:themeColor="text1"/>
                <w:sz w:val="24"/>
                <w:highlight w:val="none"/>
                <w14:textFill>
                  <w14:solidFill>
                    <w14:schemeClr w14:val="tx1"/>
                  </w14:solidFill>
                </w14:textFill>
              </w:rPr>
            </w:pPr>
          </w:p>
        </w:tc>
      </w:tr>
      <w:tr w14:paraId="6E713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337" w:type="dxa"/>
            <w:vAlign w:val="center"/>
          </w:tcPr>
          <w:p w14:paraId="17189896">
            <w:pPr>
              <w:jc w:val="center"/>
              <w:rPr>
                <w:rFonts w:ascii="宋体" w:hAnsi="宋体" w:cs="宋体"/>
                <w:color w:val="000000" w:themeColor="text1"/>
                <w:sz w:val="24"/>
                <w:highlight w:val="none"/>
                <w14:textFill>
                  <w14:solidFill>
                    <w14:schemeClr w14:val="tx1"/>
                  </w14:solidFill>
                </w14:textFill>
              </w:rPr>
            </w:pPr>
          </w:p>
        </w:tc>
        <w:tc>
          <w:tcPr>
            <w:tcW w:w="1348" w:type="dxa"/>
            <w:vAlign w:val="center"/>
          </w:tcPr>
          <w:p w14:paraId="06BB6136">
            <w:pPr>
              <w:jc w:val="center"/>
              <w:rPr>
                <w:rFonts w:ascii="宋体" w:hAnsi="宋体" w:cs="宋体"/>
                <w:color w:val="000000" w:themeColor="text1"/>
                <w:sz w:val="24"/>
                <w:highlight w:val="none"/>
                <w14:textFill>
                  <w14:solidFill>
                    <w14:schemeClr w14:val="tx1"/>
                  </w14:solidFill>
                </w14:textFill>
              </w:rPr>
            </w:pPr>
          </w:p>
        </w:tc>
        <w:tc>
          <w:tcPr>
            <w:tcW w:w="2259" w:type="dxa"/>
            <w:vAlign w:val="center"/>
          </w:tcPr>
          <w:p w14:paraId="54CB5731">
            <w:pPr>
              <w:jc w:val="center"/>
              <w:rPr>
                <w:rFonts w:ascii="宋体" w:hAnsi="宋体" w:cs="宋体"/>
                <w:color w:val="000000" w:themeColor="text1"/>
                <w:sz w:val="24"/>
                <w:highlight w:val="none"/>
                <w14:textFill>
                  <w14:solidFill>
                    <w14:schemeClr w14:val="tx1"/>
                  </w14:solidFill>
                </w14:textFill>
              </w:rPr>
            </w:pPr>
          </w:p>
        </w:tc>
        <w:tc>
          <w:tcPr>
            <w:tcW w:w="2087" w:type="dxa"/>
            <w:vAlign w:val="center"/>
          </w:tcPr>
          <w:p w14:paraId="6C48034D">
            <w:pPr>
              <w:widowControl/>
              <w:jc w:val="center"/>
              <w:rPr>
                <w:rFonts w:ascii="宋体" w:hAnsi="宋体" w:cs="宋体"/>
                <w:color w:val="000000" w:themeColor="text1"/>
                <w:sz w:val="24"/>
                <w:highlight w:val="none"/>
                <w14:textFill>
                  <w14:solidFill>
                    <w14:schemeClr w14:val="tx1"/>
                  </w14:solidFill>
                </w14:textFill>
              </w:rPr>
            </w:pPr>
          </w:p>
        </w:tc>
        <w:tc>
          <w:tcPr>
            <w:tcW w:w="1518" w:type="dxa"/>
            <w:vAlign w:val="center"/>
          </w:tcPr>
          <w:p w14:paraId="50BB759F">
            <w:pPr>
              <w:jc w:val="center"/>
              <w:rPr>
                <w:rFonts w:ascii="宋体" w:hAnsi="宋体" w:cs="宋体"/>
                <w:color w:val="000000" w:themeColor="text1"/>
                <w:sz w:val="24"/>
                <w:highlight w:val="none"/>
                <w14:textFill>
                  <w14:solidFill>
                    <w14:schemeClr w14:val="tx1"/>
                  </w14:solidFill>
                </w14:textFill>
              </w:rPr>
            </w:pPr>
          </w:p>
        </w:tc>
        <w:tc>
          <w:tcPr>
            <w:tcW w:w="1044" w:type="dxa"/>
            <w:vAlign w:val="center"/>
          </w:tcPr>
          <w:p w14:paraId="0AF2FCB0">
            <w:pPr>
              <w:jc w:val="center"/>
              <w:rPr>
                <w:rFonts w:ascii="宋体" w:hAnsi="宋体" w:cs="宋体"/>
                <w:color w:val="000000" w:themeColor="text1"/>
                <w:sz w:val="24"/>
                <w:highlight w:val="none"/>
                <w14:textFill>
                  <w14:solidFill>
                    <w14:schemeClr w14:val="tx1"/>
                  </w14:solidFill>
                </w14:textFill>
              </w:rPr>
            </w:pPr>
          </w:p>
        </w:tc>
        <w:tc>
          <w:tcPr>
            <w:tcW w:w="1044" w:type="dxa"/>
            <w:vAlign w:val="center"/>
          </w:tcPr>
          <w:p w14:paraId="335B659B">
            <w:pPr>
              <w:jc w:val="center"/>
              <w:rPr>
                <w:rFonts w:ascii="宋体" w:hAnsi="宋体" w:cs="宋体"/>
                <w:color w:val="000000" w:themeColor="text1"/>
                <w:sz w:val="24"/>
                <w:highlight w:val="none"/>
                <w14:textFill>
                  <w14:solidFill>
                    <w14:schemeClr w14:val="tx1"/>
                  </w14:solidFill>
                </w14:textFill>
              </w:rPr>
            </w:pPr>
          </w:p>
        </w:tc>
      </w:tr>
    </w:tbl>
    <w:p w14:paraId="7DBA0414">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注：与招标文件要求逐条对应填写。</w:t>
      </w:r>
    </w:p>
    <w:p w14:paraId="6E8741B5">
      <w:pPr>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法定代表人或委托授权代理人（签字或盖章）：</w:t>
      </w:r>
      <w:r>
        <w:rPr>
          <w:rFonts w:hint="eastAsia" w:ascii="宋体" w:hAnsi="宋体" w:cs="宋体"/>
          <w:color w:val="000000" w:themeColor="text1"/>
          <w:sz w:val="24"/>
          <w:highlight w:val="none"/>
          <w:u w:val="single"/>
          <w14:textFill>
            <w14:solidFill>
              <w14:schemeClr w14:val="tx1"/>
            </w14:solidFill>
          </w14:textFill>
        </w:rPr>
        <w:t>　　　　　　　　　　　　　　　</w:t>
      </w:r>
    </w:p>
    <w:p w14:paraId="5AF14EA2">
      <w:pPr>
        <w:pStyle w:val="4"/>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br w:type="page"/>
      </w:r>
      <w:bookmarkStart w:id="114" w:name="_Toc29135"/>
      <w:r>
        <w:rPr>
          <w:rFonts w:hint="eastAsia" w:ascii="宋体" w:hAnsi="宋体" w:cs="宋体"/>
          <w:color w:val="000000" w:themeColor="text1"/>
          <w:highlight w:val="none"/>
          <w14:textFill>
            <w14:solidFill>
              <w14:schemeClr w14:val="tx1"/>
            </w14:solidFill>
          </w14:textFill>
        </w:rPr>
        <w:t>7、商务条款偏离表</w:t>
      </w:r>
      <w:bookmarkEnd w:id="114"/>
    </w:p>
    <w:p w14:paraId="6784CD3A">
      <w:pPr>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供应商名称（公章）：</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项目编号：</w:t>
      </w:r>
      <w:r>
        <w:rPr>
          <w:rFonts w:hint="eastAsia" w:ascii="宋体" w:hAnsi="宋体" w:cs="宋体"/>
          <w:color w:val="000000" w:themeColor="text1"/>
          <w:sz w:val="24"/>
          <w:highlight w:val="none"/>
          <w:u w:val="single"/>
          <w14:textFill>
            <w14:solidFill>
              <w14:schemeClr w14:val="tx1"/>
            </w14:solidFill>
          </w14:textFill>
        </w:rPr>
        <w:t>　　　　　　　　　　　</w:t>
      </w:r>
    </w:p>
    <w:tbl>
      <w:tblPr>
        <w:tblStyle w:val="87"/>
        <w:tblW w:w="9498"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199"/>
        <w:gridCol w:w="2128"/>
        <w:gridCol w:w="2364"/>
        <w:gridCol w:w="1655"/>
        <w:gridCol w:w="1655"/>
      </w:tblGrid>
      <w:tr w14:paraId="548BE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trPr>
        <w:tc>
          <w:tcPr>
            <w:tcW w:w="497" w:type="dxa"/>
            <w:vAlign w:val="center"/>
          </w:tcPr>
          <w:p w14:paraId="066EF4B6">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199" w:type="dxa"/>
            <w:vAlign w:val="center"/>
          </w:tcPr>
          <w:p w14:paraId="2FE333DB">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招标文件</w:t>
            </w:r>
          </w:p>
          <w:p w14:paraId="5DE2AABE">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条目号</w:t>
            </w:r>
          </w:p>
        </w:tc>
        <w:tc>
          <w:tcPr>
            <w:tcW w:w="2128" w:type="dxa"/>
            <w:vAlign w:val="center"/>
          </w:tcPr>
          <w:p w14:paraId="6913D6D0">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招标文件的商务条款</w:t>
            </w:r>
          </w:p>
        </w:tc>
        <w:tc>
          <w:tcPr>
            <w:tcW w:w="2364" w:type="dxa"/>
            <w:vAlign w:val="center"/>
          </w:tcPr>
          <w:p w14:paraId="28A17EF6">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投标文件的商务条款</w:t>
            </w:r>
          </w:p>
        </w:tc>
        <w:tc>
          <w:tcPr>
            <w:tcW w:w="1655" w:type="dxa"/>
            <w:vAlign w:val="center"/>
          </w:tcPr>
          <w:p w14:paraId="4735B25F">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说明</w:t>
            </w:r>
          </w:p>
        </w:tc>
        <w:tc>
          <w:tcPr>
            <w:tcW w:w="1655" w:type="dxa"/>
            <w:vAlign w:val="center"/>
          </w:tcPr>
          <w:p w14:paraId="3C0E7C6B">
            <w:pPr>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页码</w:t>
            </w:r>
          </w:p>
        </w:tc>
      </w:tr>
      <w:tr w14:paraId="19377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trPr>
        <w:tc>
          <w:tcPr>
            <w:tcW w:w="497" w:type="dxa"/>
            <w:vAlign w:val="center"/>
          </w:tcPr>
          <w:p w14:paraId="7E167672">
            <w:pPr>
              <w:rPr>
                <w:rFonts w:ascii="宋体" w:hAnsi="宋体" w:cs="宋体"/>
                <w:color w:val="000000" w:themeColor="text1"/>
                <w:sz w:val="24"/>
                <w:highlight w:val="none"/>
                <w14:textFill>
                  <w14:solidFill>
                    <w14:schemeClr w14:val="tx1"/>
                  </w14:solidFill>
                </w14:textFill>
              </w:rPr>
            </w:pPr>
          </w:p>
          <w:p w14:paraId="41C327F1">
            <w:pPr>
              <w:rPr>
                <w:rFonts w:ascii="宋体" w:hAnsi="宋体" w:cs="宋体"/>
                <w:color w:val="000000" w:themeColor="text1"/>
                <w:sz w:val="24"/>
                <w:highlight w:val="none"/>
                <w14:textFill>
                  <w14:solidFill>
                    <w14:schemeClr w14:val="tx1"/>
                  </w14:solidFill>
                </w14:textFill>
              </w:rPr>
            </w:pPr>
          </w:p>
        </w:tc>
        <w:tc>
          <w:tcPr>
            <w:tcW w:w="1199" w:type="dxa"/>
            <w:vAlign w:val="center"/>
          </w:tcPr>
          <w:p w14:paraId="49EF8868">
            <w:pPr>
              <w:widowControl/>
              <w:rPr>
                <w:rFonts w:ascii="宋体" w:hAnsi="宋体" w:cs="宋体"/>
                <w:color w:val="000000" w:themeColor="text1"/>
                <w:sz w:val="24"/>
                <w:highlight w:val="none"/>
                <w14:textFill>
                  <w14:solidFill>
                    <w14:schemeClr w14:val="tx1"/>
                  </w14:solidFill>
                </w14:textFill>
              </w:rPr>
            </w:pPr>
          </w:p>
          <w:p w14:paraId="031FDD1A">
            <w:pPr>
              <w:rPr>
                <w:rFonts w:ascii="宋体" w:hAnsi="宋体" w:cs="宋体"/>
                <w:color w:val="000000" w:themeColor="text1"/>
                <w:sz w:val="24"/>
                <w:highlight w:val="none"/>
                <w14:textFill>
                  <w14:solidFill>
                    <w14:schemeClr w14:val="tx1"/>
                  </w14:solidFill>
                </w14:textFill>
              </w:rPr>
            </w:pPr>
          </w:p>
        </w:tc>
        <w:tc>
          <w:tcPr>
            <w:tcW w:w="2128" w:type="dxa"/>
            <w:vAlign w:val="center"/>
          </w:tcPr>
          <w:p w14:paraId="5D91CD44">
            <w:pPr>
              <w:rPr>
                <w:rFonts w:ascii="宋体" w:hAnsi="宋体" w:cs="宋体"/>
                <w:color w:val="000000" w:themeColor="text1"/>
                <w:sz w:val="24"/>
                <w:highlight w:val="none"/>
                <w14:textFill>
                  <w14:solidFill>
                    <w14:schemeClr w14:val="tx1"/>
                  </w14:solidFill>
                </w14:textFill>
              </w:rPr>
            </w:pPr>
          </w:p>
        </w:tc>
        <w:tc>
          <w:tcPr>
            <w:tcW w:w="2364" w:type="dxa"/>
            <w:vAlign w:val="center"/>
          </w:tcPr>
          <w:p w14:paraId="074EF8C9">
            <w:pPr>
              <w:rPr>
                <w:rFonts w:ascii="宋体" w:hAnsi="宋体" w:cs="宋体"/>
                <w:color w:val="000000" w:themeColor="text1"/>
                <w:sz w:val="24"/>
                <w:highlight w:val="none"/>
                <w14:textFill>
                  <w14:solidFill>
                    <w14:schemeClr w14:val="tx1"/>
                  </w14:solidFill>
                </w14:textFill>
              </w:rPr>
            </w:pPr>
          </w:p>
        </w:tc>
        <w:tc>
          <w:tcPr>
            <w:tcW w:w="1655" w:type="dxa"/>
            <w:vAlign w:val="center"/>
          </w:tcPr>
          <w:p w14:paraId="0C54F8D9">
            <w:pPr>
              <w:rPr>
                <w:rFonts w:ascii="宋体" w:hAnsi="宋体" w:cs="宋体"/>
                <w:color w:val="000000" w:themeColor="text1"/>
                <w:sz w:val="24"/>
                <w:highlight w:val="none"/>
                <w14:textFill>
                  <w14:solidFill>
                    <w14:schemeClr w14:val="tx1"/>
                  </w14:solidFill>
                </w14:textFill>
              </w:rPr>
            </w:pPr>
          </w:p>
        </w:tc>
        <w:tc>
          <w:tcPr>
            <w:tcW w:w="1655" w:type="dxa"/>
            <w:vAlign w:val="center"/>
          </w:tcPr>
          <w:p w14:paraId="76D90F9C">
            <w:pPr>
              <w:rPr>
                <w:rFonts w:ascii="宋体" w:hAnsi="宋体" w:cs="宋体"/>
                <w:color w:val="000000" w:themeColor="text1"/>
                <w:sz w:val="24"/>
                <w:highlight w:val="none"/>
                <w14:textFill>
                  <w14:solidFill>
                    <w14:schemeClr w14:val="tx1"/>
                  </w14:solidFill>
                </w14:textFill>
              </w:rPr>
            </w:pPr>
          </w:p>
        </w:tc>
      </w:tr>
      <w:tr w14:paraId="544FB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trPr>
        <w:tc>
          <w:tcPr>
            <w:tcW w:w="497" w:type="dxa"/>
            <w:vAlign w:val="center"/>
          </w:tcPr>
          <w:p w14:paraId="340FC1F8">
            <w:pPr>
              <w:rPr>
                <w:rFonts w:ascii="宋体" w:hAnsi="宋体" w:cs="宋体"/>
                <w:color w:val="000000" w:themeColor="text1"/>
                <w:sz w:val="24"/>
                <w:highlight w:val="none"/>
                <w14:textFill>
                  <w14:solidFill>
                    <w14:schemeClr w14:val="tx1"/>
                  </w14:solidFill>
                </w14:textFill>
              </w:rPr>
            </w:pPr>
          </w:p>
          <w:p w14:paraId="497F4E3E">
            <w:pPr>
              <w:rPr>
                <w:rFonts w:ascii="宋体" w:hAnsi="宋体" w:cs="宋体"/>
                <w:color w:val="000000" w:themeColor="text1"/>
                <w:sz w:val="24"/>
                <w:highlight w:val="none"/>
                <w14:textFill>
                  <w14:solidFill>
                    <w14:schemeClr w14:val="tx1"/>
                  </w14:solidFill>
                </w14:textFill>
              </w:rPr>
            </w:pPr>
          </w:p>
        </w:tc>
        <w:tc>
          <w:tcPr>
            <w:tcW w:w="1199" w:type="dxa"/>
            <w:vAlign w:val="center"/>
          </w:tcPr>
          <w:p w14:paraId="731BE0F4">
            <w:pPr>
              <w:widowControl/>
              <w:rPr>
                <w:rFonts w:ascii="宋体" w:hAnsi="宋体" w:cs="宋体"/>
                <w:color w:val="000000" w:themeColor="text1"/>
                <w:sz w:val="24"/>
                <w:highlight w:val="none"/>
                <w14:textFill>
                  <w14:solidFill>
                    <w14:schemeClr w14:val="tx1"/>
                  </w14:solidFill>
                </w14:textFill>
              </w:rPr>
            </w:pPr>
          </w:p>
          <w:p w14:paraId="3ADBC6FF">
            <w:pPr>
              <w:rPr>
                <w:rFonts w:ascii="宋体" w:hAnsi="宋体" w:cs="宋体"/>
                <w:color w:val="000000" w:themeColor="text1"/>
                <w:sz w:val="24"/>
                <w:highlight w:val="none"/>
                <w14:textFill>
                  <w14:solidFill>
                    <w14:schemeClr w14:val="tx1"/>
                  </w14:solidFill>
                </w14:textFill>
              </w:rPr>
            </w:pPr>
          </w:p>
        </w:tc>
        <w:tc>
          <w:tcPr>
            <w:tcW w:w="2128" w:type="dxa"/>
            <w:vAlign w:val="center"/>
          </w:tcPr>
          <w:p w14:paraId="3C7358B4">
            <w:pPr>
              <w:rPr>
                <w:rFonts w:ascii="宋体" w:hAnsi="宋体" w:cs="宋体"/>
                <w:color w:val="000000" w:themeColor="text1"/>
                <w:sz w:val="24"/>
                <w:highlight w:val="none"/>
                <w14:textFill>
                  <w14:solidFill>
                    <w14:schemeClr w14:val="tx1"/>
                  </w14:solidFill>
                </w14:textFill>
              </w:rPr>
            </w:pPr>
          </w:p>
        </w:tc>
        <w:tc>
          <w:tcPr>
            <w:tcW w:w="2364" w:type="dxa"/>
            <w:vAlign w:val="center"/>
          </w:tcPr>
          <w:p w14:paraId="19D50CFF">
            <w:pPr>
              <w:rPr>
                <w:rFonts w:ascii="宋体" w:hAnsi="宋体" w:cs="宋体"/>
                <w:color w:val="000000" w:themeColor="text1"/>
                <w:sz w:val="24"/>
                <w:highlight w:val="none"/>
                <w14:textFill>
                  <w14:solidFill>
                    <w14:schemeClr w14:val="tx1"/>
                  </w14:solidFill>
                </w14:textFill>
              </w:rPr>
            </w:pPr>
          </w:p>
        </w:tc>
        <w:tc>
          <w:tcPr>
            <w:tcW w:w="1655" w:type="dxa"/>
            <w:vAlign w:val="center"/>
          </w:tcPr>
          <w:p w14:paraId="54349ADD">
            <w:pPr>
              <w:rPr>
                <w:rFonts w:ascii="宋体" w:hAnsi="宋体" w:cs="宋体"/>
                <w:color w:val="000000" w:themeColor="text1"/>
                <w:sz w:val="24"/>
                <w:highlight w:val="none"/>
                <w14:textFill>
                  <w14:solidFill>
                    <w14:schemeClr w14:val="tx1"/>
                  </w14:solidFill>
                </w14:textFill>
              </w:rPr>
            </w:pPr>
          </w:p>
        </w:tc>
        <w:tc>
          <w:tcPr>
            <w:tcW w:w="1655" w:type="dxa"/>
            <w:vAlign w:val="center"/>
          </w:tcPr>
          <w:p w14:paraId="4919F1DE">
            <w:pPr>
              <w:rPr>
                <w:rFonts w:ascii="宋体" w:hAnsi="宋体" w:cs="宋体"/>
                <w:color w:val="000000" w:themeColor="text1"/>
                <w:sz w:val="24"/>
                <w:highlight w:val="none"/>
                <w14:textFill>
                  <w14:solidFill>
                    <w14:schemeClr w14:val="tx1"/>
                  </w14:solidFill>
                </w14:textFill>
              </w:rPr>
            </w:pPr>
          </w:p>
        </w:tc>
      </w:tr>
      <w:tr w14:paraId="4CDC1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trPr>
        <w:tc>
          <w:tcPr>
            <w:tcW w:w="497" w:type="dxa"/>
            <w:vAlign w:val="center"/>
          </w:tcPr>
          <w:p w14:paraId="1920BEB5">
            <w:pPr>
              <w:rPr>
                <w:rFonts w:ascii="宋体" w:hAnsi="宋体" w:cs="宋体"/>
                <w:color w:val="000000" w:themeColor="text1"/>
                <w:sz w:val="24"/>
                <w:highlight w:val="none"/>
                <w14:textFill>
                  <w14:solidFill>
                    <w14:schemeClr w14:val="tx1"/>
                  </w14:solidFill>
                </w14:textFill>
              </w:rPr>
            </w:pPr>
          </w:p>
          <w:p w14:paraId="0BE8842A">
            <w:pPr>
              <w:rPr>
                <w:rFonts w:ascii="宋体" w:hAnsi="宋体" w:cs="宋体"/>
                <w:color w:val="000000" w:themeColor="text1"/>
                <w:sz w:val="24"/>
                <w:highlight w:val="none"/>
                <w14:textFill>
                  <w14:solidFill>
                    <w14:schemeClr w14:val="tx1"/>
                  </w14:solidFill>
                </w14:textFill>
              </w:rPr>
            </w:pPr>
          </w:p>
        </w:tc>
        <w:tc>
          <w:tcPr>
            <w:tcW w:w="1199" w:type="dxa"/>
            <w:vAlign w:val="center"/>
          </w:tcPr>
          <w:p w14:paraId="61D02672">
            <w:pPr>
              <w:widowControl/>
              <w:rPr>
                <w:rFonts w:ascii="宋体" w:hAnsi="宋体" w:cs="宋体"/>
                <w:color w:val="000000" w:themeColor="text1"/>
                <w:sz w:val="24"/>
                <w:highlight w:val="none"/>
                <w14:textFill>
                  <w14:solidFill>
                    <w14:schemeClr w14:val="tx1"/>
                  </w14:solidFill>
                </w14:textFill>
              </w:rPr>
            </w:pPr>
          </w:p>
          <w:p w14:paraId="4D345A2E">
            <w:pPr>
              <w:rPr>
                <w:rFonts w:ascii="宋体" w:hAnsi="宋体" w:cs="宋体"/>
                <w:color w:val="000000" w:themeColor="text1"/>
                <w:sz w:val="24"/>
                <w:highlight w:val="none"/>
                <w14:textFill>
                  <w14:solidFill>
                    <w14:schemeClr w14:val="tx1"/>
                  </w14:solidFill>
                </w14:textFill>
              </w:rPr>
            </w:pPr>
          </w:p>
        </w:tc>
        <w:tc>
          <w:tcPr>
            <w:tcW w:w="2128" w:type="dxa"/>
            <w:vAlign w:val="center"/>
          </w:tcPr>
          <w:p w14:paraId="46D360F1">
            <w:pPr>
              <w:rPr>
                <w:rFonts w:ascii="宋体" w:hAnsi="宋体" w:cs="宋体"/>
                <w:color w:val="000000" w:themeColor="text1"/>
                <w:sz w:val="24"/>
                <w:highlight w:val="none"/>
                <w14:textFill>
                  <w14:solidFill>
                    <w14:schemeClr w14:val="tx1"/>
                  </w14:solidFill>
                </w14:textFill>
              </w:rPr>
            </w:pPr>
          </w:p>
        </w:tc>
        <w:tc>
          <w:tcPr>
            <w:tcW w:w="2364" w:type="dxa"/>
            <w:vAlign w:val="center"/>
          </w:tcPr>
          <w:p w14:paraId="4E1EA1D8">
            <w:pPr>
              <w:rPr>
                <w:rFonts w:ascii="宋体" w:hAnsi="宋体" w:cs="宋体"/>
                <w:color w:val="000000" w:themeColor="text1"/>
                <w:sz w:val="24"/>
                <w:highlight w:val="none"/>
                <w14:textFill>
                  <w14:solidFill>
                    <w14:schemeClr w14:val="tx1"/>
                  </w14:solidFill>
                </w14:textFill>
              </w:rPr>
            </w:pPr>
          </w:p>
        </w:tc>
        <w:tc>
          <w:tcPr>
            <w:tcW w:w="1655" w:type="dxa"/>
            <w:vAlign w:val="center"/>
          </w:tcPr>
          <w:p w14:paraId="53826A21">
            <w:pPr>
              <w:rPr>
                <w:rFonts w:ascii="宋体" w:hAnsi="宋体" w:cs="宋体"/>
                <w:color w:val="000000" w:themeColor="text1"/>
                <w:sz w:val="24"/>
                <w:highlight w:val="none"/>
                <w14:textFill>
                  <w14:solidFill>
                    <w14:schemeClr w14:val="tx1"/>
                  </w14:solidFill>
                </w14:textFill>
              </w:rPr>
            </w:pPr>
          </w:p>
        </w:tc>
        <w:tc>
          <w:tcPr>
            <w:tcW w:w="1655" w:type="dxa"/>
            <w:vAlign w:val="center"/>
          </w:tcPr>
          <w:p w14:paraId="328CB0BF">
            <w:pPr>
              <w:rPr>
                <w:rFonts w:ascii="宋体" w:hAnsi="宋体" w:cs="宋体"/>
                <w:color w:val="000000" w:themeColor="text1"/>
                <w:sz w:val="24"/>
                <w:highlight w:val="none"/>
                <w14:textFill>
                  <w14:solidFill>
                    <w14:schemeClr w14:val="tx1"/>
                  </w14:solidFill>
                </w14:textFill>
              </w:rPr>
            </w:pPr>
          </w:p>
        </w:tc>
      </w:tr>
      <w:tr w14:paraId="13707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trPr>
        <w:tc>
          <w:tcPr>
            <w:tcW w:w="497" w:type="dxa"/>
            <w:vAlign w:val="center"/>
          </w:tcPr>
          <w:p w14:paraId="3ECB3CAA">
            <w:pPr>
              <w:rPr>
                <w:rFonts w:ascii="宋体" w:hAnsi="宋体" w:cs="宋体"/>
                <w:color w:val="000000" w:themeColor="text1"/>
                <w:sz w:val="24"/>
                <w:highlight w:val="none"/>
                <w14:textFill>
                  <w14:solidFill>
                    <w14:schemeClr w14:val="tx1"/>
                  </w14:solidFill>
                </w14:textFill>
              </w:rPr>
            </w:pPr>
          </w:p>
          <w:p w14:paraId="0103EDA8">
            <w:pPr>
              <w:rPr>
                <w:rFonts w:ascii="宋体" w:hAnsi="宋体" w:cs="宋体"/>
                <w:color w:val="000000" w:themeColor="text1"/>
                <w:sz w:val="24"/>
                <w:highlight w:val="none"/>
                <w14:textFill>
                  <w14:solidFill>
                    <w14:schemeClr w14:val="tx1"/>
                  </w14:solidFill>
                </w14:textFill>
              </w:rPr>
            </w:pPr>
          </w:p>
        </w:tc>
        <w:tc>
          <w:tcPr>
            <w:tcW w:w="1199" w:type="dxa"/>
            <w:vAlign w:val="center"/>
          </w:tcPr>
          <w:p w14:paraId="54BA938C">
            <w:pPr>
              <w:widowControl/>
              <w:rPr>
                <w:rFonts w:ascii="宋体" w:hAnsi="宋体" w:cs="宋体"/>
                <w:color w:val="000000" w:themeColor="text1"/>
                <w:sz w:val="24"/>
                <w:highlight w:val="none"/>
                <w14:textFill>
                  <w14:solidFill>
                    <w14:schemeClr w14:val="tx1"/>
                  </w14:solidFill>
                </w14:textFill>
              </w:rPr>
            </w:pPr>
          </w:p>
          <w:p w14:paraId="5AFB15BF">
            <w:pPr>
              <w:rPr>
                <w:rFonts w:ascii="宋体" w:hAnsi="宋体" w:cs="宋体"/>
                <w:color w:val="000000" w:themeColor="text1"/>
                <w:sz w:val="24"/>
                <w:highlight w:val="none"/>
                <w14:textFill>
                  <w14:solidFill>
                    <w14:schemeClr w14:val="tx1"/>
                  </w14:solidFill>
                </w14:textFill>
              </w:rPr>
            </w:pPr>
          </w:p>
        </w:tc>
        <w:tc>
          <w:tcPr>
            <w:tcW w:w="2128" w:type="dxa"/>
            <w:vAlign w:val="center"/>
          </w:tcPr>
          <w:p w14:paraId="3C1B2855">
            <w:pPr>
              <w:rPr>
                <w:rFonts w:ascii="宋体" w:hAnsi="宋体" w:cs="宋体"/>
                <w:color w:val="000000" w:themeColor="text1"/>
                <w:sz w:val="24"/>
                <w:highlight w:val="none"/>
                <w14:textFill>
                  <w14:solidFill>
                    <w14:schemeClr w14:val="tx1"/>
                  </w14:solidFill>
                </w14:textFill>
              </w:rPr>
            </w:pPr>
          </w:p>
        </w:tc>
        <w:tc>
          <w:tcPr>
            <w:tcW w:w="2364" w:type="dxa"/>
            <w:vAlign w:val="center"/>
          </w:tcPr>
          <w:p w14:paraId="09DA6644">
            <w:pPr>
              <w:rPr>
                <w:rFonts w:ascii="宋体" w:hAnsi="宋体" w:cs="宋体"/>
                <w:color w:val="000000" w:themeColor="text1"/>
                <w:sz w:val="24"/>
                <w:highlight w:val="none"/>
                <w14:textFill>
                  <w14:solidFill>
                    <w14:schemeClr w14:val="tx1"/>
                  </w14:solidFill>
                </w14:textFill>
              </w:rPr>
            </w:pPr>
          </w:p>
        </w:tc>
        <w:tc>
          <w:tcPr>
            <w:tcW w:w="1655" w:type="dxa"/>
            <w:vAlign w:val="center"/>
          </w:tcPr>
          <w:p w14:paraId="6667F759">
            <w:pPr>
              <w:rPr>
                <w:rFonts w:ascii="宋体" w:hAnsi="宋体" w:cs="宋体"/>
                <w:color w:val="000000" w:themeColor="text1"/>
                <w:sz w:val="24"/>
                <w:highlight w:val="none"/>
                <w14:textFill>
                  <w14:solidFill>
                    <w14:schemeClr w14:val="tx1"/>
                  </w14:solidFill>
                </w14:textFill>
              </w:rPr>
            </w:pPr>
          </w:p>
        </w:tc>
        <w:tc>
          <w:tcPr>
            <w:tcW w:w="1655" w:type="dxa"/>
            <w:vAlign w:val="center"/>
          </w:tcPr>
          <w:p w14:paraId="4B9812E8">
            <w:pPr>
              <w:rPr>
                <w:rFonts w:ascii="宋体" w:hAnsi="宋体" w:cs="宋体"/>
                <w:color w:val="000000" w:themeColor="text1"/>
                <w:sz w:val="24"/>
                <w:highlight w:val="none"/>
                <w14:textFill>
                  <w14:solidFill>
                    <w14:schemeClr w14:val="tx1"/>
                  </w14:solidFill>
                </w14:textFill>
              </w:rPr>
            </w:pPr>
          </w:p>
        </w:tc>
      </w:tr>
      <w:tr w14:paraId="6C79E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trPr>
        <w:tc>
          <w:tcPr>
            <w:tcW w:w="497" w:type="dxa"/>
            <w:vAlign w:val="center"/>
          </w:tcPr>
          <w:p w14:paraId="48DF1607">
            <w:pPr>
              <w:rPr>
                <w:rFonts w:ascii="宋体" w:hAnsi="宋体" w:cs="宋体"/>
                <w:color w:val="000000" w:themeColor="text1"/>
                <w:sz w:val="24"/>
                <w:highlight w:val="none"/>
                <w14:textFill>
                  <w14:solidFill>
                    <w14:schemeClr w14:val="tx1"/>
                  </w14:solidFill>
                </w14:textFill>
              </w:rPr>
            </w:pPr>
          </w:p>
          <w:p w14:paraId="50A3E1D4">
            <w:pPr>
              <w:rPr>
                <w:rFonts w:ascii="宋体" w:hAnsi="宋体" w:cs="宋体"/>
                <w:color w:val="000000" w:themeColor="text1"/>
                <w:sz w:val="24"/>
                <w:highlight w:val="none"/>
                <w14:textFill>
                  <w14:solidFill>
                    <w14:schemeClr w14:val="tx1"/>
                  </w14:solidFill>
                </w14:textFill>
              </w:rPr>
            </w:pPr>
          </w:p>
        </w:tc>
        <w:tc>
          <w:tcPr>
            <w:tcW w:w="1199" w:type="dxa"/>
            <w:vAlign w:val="center"/>
          </w:tcPr>
          <w:p w14:paraId="3B13CD5D">
            <w:pPr>
              <w:widowControl/>
              <w:rPr>
                <w:rFonts w:ascii="宋体" w:hAnsi="宋体" w:cs="宋体"/>
                <w:color w:val="000000" w:themeColor="text1"/>
                <w:sz w:val="24"/>
                <w:highlight w:val="none"/>
                <w14:textFill>
                  <w14:solidFill>
                    <w14:schemeClr w14:val="tx1"/>
                  </w14:solidFill>
                </w14:textFill>
              </w:rPr>
            </w:pPr>
          </w:p>
          <w:p w14:paraId="0760F122">
            <w:pPr>
              <w:rPr>
                <w:rFonts w:ascii="宋体" w:hAnsi="宋体" w:cs="宋体"/>
                <w:color w:val="000000" w:themeColor="text1"/>
                <w:sz w:val="24"/>
                <w:highlight w:val="none"/>
                <w14:textFill>
                  <w14:solidFill>
                    <w14:schemeClr w14:val="tx1"/>
                  </w14:solidFill>
                </w14:textFill>
              </w:rPr>
            </w:pPr>
          </w:p>
        </w:tc>
        <w:tc>
          <w:tcPr>
            <w:tcW w:w="2128" w:type="dxa"/>
            <w:vAlign w:val="center"/>
          </w:tcPr>
          <w:p w14:paraId="5AB58565">
            <w:pPr>
              <w:rPr>
                <w:rFonts w:ascii="宋体" w:hAnsi="宋体" w:cs="宋体"/>
                <w:color w:val="000000" w:themeColor="text1"/>
                <w:sz w:val="24"/>
                <w:highlight w:val="none"/>
                <w14:textFill>
                  <w14:solidFill>
                    <w14:schemeClr w14:val="tx1"/>
                  </w14:solidFill>
                </w14:textFill>
              </w:rPr>
            </w:pPr>
          </w:p>
        </w:tc>
        <w:tc>
          <w:tcPr>
            <w:tcW w:w="2364" w:type="dxa"/>
            <w:vAlign w:val="center"/>
          </w:tcPr>
          <w:p w14:paraId="00F05CD1">
            <w:pPr>
              <w:rPr>
                <w:rFonts w:ascii="宋体" w:hAnsi="宋体" w:cs="宋体"/>
                <w:color w:val="000000" w:themeColor="text1"/>
                <w:sz w:val="24"/>
                <w:highlight w:val="none"/>
                <w14:textFill>
                  <w14:solidFill>
                    <w14:schemeClr w14:val="tx1"/>
                  </w14:solidFill>
                </w14:textFill>
              </w:rPr>
            </w:pPr>
          </w:p>
        </w:tc>
        <w:tc>
          <w:tcPr>
            <w:tcW w:w="1655" w:type="dxa"/>
            <w:vAlign w:val="center"/>
          </w:tcPr>
          <w:p w14:paraId="332988D9">
            <w:pPr>
              <w:rPr>
                <w:rFonts w:ascii="宋体" w:hAnsi="宋体" w:cs="宋体"/>
                <w:color w:val="000000" w:themeColor="text1"/>
                <w:sz w:val="24"/>
                <w:highlight w:val="none"/>
                <w14:textFill>
                  <w14:solidFill>
                    <w14:schemeClr w14:val="tx1"/>
                  </w14:solidFill>
                </w14:textFill>
              </w:rPr>
            </w:pPr>
          </w:p>
        </w:tc>
        <w:tc>
          <w:tcPr>
            <w:tcW w:w="1655" w:type="dxa"/>
            <w:vAlign w:val="center"/>
          </w:tcPr>
          <w:p w14:paraId="3C96811C">
            <w:pPr>
              <w:rPr>
                <w:rFonts w:ascii="宋体" w:hAnsi="宋体" w:cs="宋体"/>
                <w:color w:val="000000" w:themeColor="text1"/>
                <w:sz w:val="24"/>
                <w:highlight w:val="none"/>
                <w14:textFill>
                  <w14:solidFill>
                    <w14:schemeClr w14:val="tx1"/>
                  </w14:solidFill>
                </w14:textFill>
              </w:rPr>
            </w:pPr>
          </w:p>
        </w:tc>
      </w:tr>
      <w:tr w14:paraId="05DC3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trPr>
        <w:tc>
          <w:tcPr>
            <w:tcW w:w="497" w:type="dxa"/>
            <w:vAlign w:val="center"/>
          </w:tcPr>
          <w:p w14:paraId="3DC1EBBE">
            <w:pPr>
              <w:rPr>
                <w:rFonts w:ascii="宋体" w:hAnsi="宋体" w:cs="宋体"/>
                <w:color w:val="000000" w:themeColor="text1"/>
                <w:sz w:val="24"/>
                <w:highlight w:val="none"/>
                <w14:textFill>
                  <w14:solidFill>
                    <w14:schemeClr w14:val="tx1"/>
                  </w14:solidFill>
                </w14:textFill>
              </w:rPr>
            </w:pPr>
          </w:p>
          <w:p w14:paraId="1310D216">
            <w:pPr>
              <w:rPr>
                <w:rFonts w:ascii="宋体" w:hAnsi="宋体" w:cs="宋体"/>
                <w:color w:val="000000" w:themeColor="text1"/>
                <w:sz w:val="24"/>
                <w:highlight w:val="none"/>
                <w14:textFill>
                  <w14:solidFill>
                    <w14:schemeClr w14:val="tx1"/>
                  </w14:solidFill>
                </w14:textFill>
              </w:rPr>
            </w:pPr>
          </w:p>
        </w:tc>
        <w:tc>
          <w:tcPr>
            <w:tcW w:w="1199" w:type="dxa"/>
            <w:vAlign w:val="center"/>
          </w:tcPr>
          <w:p w14:paraId="001A4530">
            <w:pPr>
              <w:widowControl/>
              <w:rPr>
                <w:rFonts w:ascii="宋体" w:hAnsi="宋体" w:cs="宋体"/>
                <w:color w:val="000000" w:themeColor="text1"/>
                <w:sz w:val="24"/>
                <w:highlight w:val="none"/>
                <w14:textFill>
                  <w14:solidFill>
                    <w14:schemeClr w14:val="tx1"/>
                  </w14:solidFill>
                </w14:textFill>
              </w:rPr>
            </w:pPr>
          </w:p>
          <w:p w14:paraId="70CEB4E9">
            <w:pPr>
              <w:rPr>
                <w:rFonts w:ascii="宋体" w:hAnsi="宋体" w:cs="宋体"/>
                <w:color w:val="000000" w:themeColor="text1"/>
                <w:sz w:val="24"/>
                <w:highlight w:val="none"/>
                <w14:textFill>
                  <w14:solidFill>
                    <w14:schemeClr w14:val="tx1"/>
                  </w14:solidFill>
                </w14:textFill>
              </w:rPr>
            </w:pPr>
          </w:p>
        </w:tc>
        <w:tc>
          <w:tcPr>
            <w:tcW w:w="2128" w:type="dxa"/>
            <w:vAlign w:val="center"/>
          </w:tcPr>
          <w:p w14:paraId="288559ED">
            <w:pPr>
              <w:rPr>
                <w:rFonts w:ascii="宋体" w:hAnsi="宋体" w:cs="宋体"/>
                <w:color w:val="000000" w:themeColor="text1"/>
                <w:sz w:val="24"/>
                <w:highlight w:val="none"/>
                <w14:textFill>
                  <w14:solidFill>
                    <w14:schemeClr w14:val="tx1"/>
                  </w14:solidFill>
                </w14:textFill>
              </w:rPr>
            </w:pPr>
          </w:p>
        </w:tc>
        <w:tc>
          <w:tcPr>
            <w:tcW w:w="2364" w:type="dxa"/>
            <w:vAlign w:val="center"/>
          </w:tcPr>
          <w:p w14:paraId="6A07AC6B">
            <w:pPr>
              <w:rPr>
                <w:rFonts w:ascii="宋体" w:hAnsi="宋体" w:cs="宋体"/>
                <w:color w:val="000000" w:themeColor="text1"/>
                <w:sz w:val="24"/>
                <w:highlight w:val="none"/>
                <w14:textFill>
                  <w14:solidFill>
                    <w14:schemeClr w14:val="tx1"/>
                  </w14:solidFill>
                </w14:textFill>
              </w:rPr>
            </w:pPr>
          </w:p>
        </w:tc>
        <w:tc>
          <w:tcPr>
            <w:tcW w:w="1655" w:type="dxa"/>
            <w:vAlign w:val="center"/>
          </w:tcPr>
          <w:p w14:paraId="55C4B1EB">
            <w:pPr>
              <w:rPr>
                <w:rFonts w:ascii="宋体" w:hAnsi="宋体" w:cs="宋体"/>
                <w:color w:val="000000" w:themeColor="text1"/>
                <w:sz w:val="24"/>
                <w:highlight w:val="none"/>
                <w14:textFill>
                  <w14:solidFill>
                    <w14:schemeClr w14:val="tx1"/>
                  </w14:solidFill>
                </w14:textFill>
              </w:rPr>
            </w:pPr>
          </w:p>
        </w:tc>
        <w:tc>
          <w:tcPr>
            <w:tcW w:w="1655" w:type="dxa"/>
            <w:vAlign w:val="center"/>
          </w:tcPr>
          <w:p w14:paraId="7A2BF1F0">
            <w:pPr>
              <w:rPr>
                <w:rFonts w:ascii="宋体" w:hAnsi="宋体" w:cs="宋体"/>
                <w:color w:val="000000" w:themeColor="text1"/>
                <w:sz w:val="24"/>
                <w:highlight w:val="none"/>
                <w14:textFill>
                  <w14:solidFill>
                    <w14:schemeClr w14:val="tx1"/>
                  </w14:solidFill>
                </w14:textFill>
              </w:rPr>
            </w:pPr>
          </w:p>
        </w:tc>
      </w:tr>
      <w:tr w14:paraId="3A00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97" w:type="dxa"/>
            <w:vAlign w:val="center"/>
          </w:tcPr>
          <w:p w14:paraId="0C1D8680">
            <w:pPr>
              <w:rPr>
                <w:rFonts w:ascii="宋体" w:hAnsi="宋体" w:cs="宋体"/>
                <w:color w:val="000000" w:themeColor="text1"/>
                <w:sz w:val="24"/>
                <w:highlight w:val="none"/>
                <w14:textFill>
                  <w14:solidFill>
                    <w14:schemeClr w14:val="tx1"/>
                  </w14:solidFill>
                </w14:textFill>
              </w:rPr>
            </w:pPr>
          </w:p>
        </w:tc>
        <w:tc>
          <w:tcPr>
            <w:tcW w:w="1199" w:type="dxa"/>
            <w:vAlign w:val="center"/>
          </w:tcPr>
          <w:p w14:paraId="47AE3162">
            <w:pPr>
              <w:rPr>
                <w:rFonts w:ascii="宋体" w:hAnsi="宋体" w:cs="宋体"/>
                <w:color w:val="000000" w:themeColor="text1"/>
                <w:sz w:val="24"/>
                <w:highlight w:val="none"/>
                <w14:textFill>
                  <w14:solidFill>
                    <w14:schemeClr w14:val="tx1"/>
                  </w14:solidFill>
                </w14:textFill>
              </w:rPr>
            </w:pPr>
          </w:p>
        </w:tc>
        <w:tc>
          <w:tcPr>
            <w:tcW w:w="2128" w:type="dxa"/>
            <w:vAlign w:val="center"/>
          </w:tcPr>
          <w:p w14:paraId="3E5A717E">
            <w:pPr>
              <w:rPr>
                <w:rFonts w:ascii="宋体" w:hAnsi="宋体" w:cs="宋体"/>
                <w:color w:val="000000" w:themeColor="text1"/>
                <w:sz w:val="24"/>
                <w:highlight w:val="none"/>
                <w14:textFill>
                  <w14:solidFill>
                    <w14:schemeClr w14:val="tx1"/>
                  </w14:solidFill>
                </w14:textFill>
              </w:rPr>
            </w:pPr>
          </w:p>
        </w:tc>
        <w:tc>
          <w:tcPr>
            <w:tcW w:w="2364" w:type="dxa"/>
            <w:vAlign w:val="center"/>
          </w:tcPr>
          <w:p w14:paraId="2141DED0">
            <w:pPr>
              <w:rPr>
                <w:rFonts w:ascii="宋体" w:hAnsi="宋体" w:cs="宋体"/>
                <w:color w:val="000000" w:themeColor="text1"/>
                <w:sz w:val="24"/>
                <w:highlight w:val="none"/>
                <w14:textFill>
                  <w14:solidFill>
                    <w14:schemeClr w14:val="tx1"/>
                  </w14:solidFill>
                </w14:textFill>
              </w:rPr>
            </w:pPr>
          </w:p>
        </w:tc>
        <w:tc>
          <w:tcPr>
            <w:tcW w:w="1655" w:type="dxa"/>
            <w:vAlign w:val="center"/>
          </w:tcPr>
          <w:p w14:paraId="2B105578">
            <w:pPr>
              <w:rPr>
                <w:rFonts w:ascii="宋体" w:hAnsi="宋体" w:cs="宋体"/>
                <w:color w:val="000000" w:themeColor="text1"/>
                <w:sz w:val="24"/>
                <w:highlight w:val="none"/>
                <w14:textFill>
                  <w14:solidFill>
                    <w14:schemeClr w14:val="tx1"/>
                  </w14:solidFill>
                </w14:textFill>
              </w:rPr>
            </w:pPr>
          </w:p>
        </w:tc>
        <w:tc>
          <w:tcPr>
            <w:tcW w:w="1655" w:type="dxa"/>
            <w:vAlign w:val="center"/>
          </w:tcPr>
          <w:p w14:paraId="262F3AEB">
            <w:pPr>
              <w:rPr>
                <w:rFonts w:ascii="宋体" w:hAnsi="宋体" w:cs="宋体"/>
                <w:color w:val="000000" w:themeColor="text1"/>
                <w:sz w:val="24"/>
                <w:highlight w:val="none"/>
                <w14:textFill>
                  <w14:solidFill>
                    <w14:schemeClr w14:val="tx1"/>
                  </w14:solidFill>
                </w14:textFill>
              </w:rPr>
            </w:pPr>
          </w:p>
        </w:tc>
      </w:tr>
      <w:tr w14:paraId="459CC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trPr>
        <w:tc>
          <w:tcPr>
            <w:tcW w:w="497" w:type="dxa"/>
            <w:vAlign w:val="center"/>
          </w:tcPr>
          <w:p w14:paraId="4A0837F0">
            <w:pPr>
              <w:rPr>
                <w:rFonts w:ascii="宋体" w:hAnsi="宋体" w:cs="宋体"/>
                <w:color w:val="000000" w:themeColor="text1"/>
                <w:sz w:val="24"/>
                <w:highlight w:val="none"/>
                <w14:textFill>
                  <w14:solidFill>
                    <w14:schemeClr w14:val="tx1"/>
                  </w14:solidFill>
                </w14:textFill>
              </w:rPr>
            </w:pPr>
          </w:p>
        </w:tc>
        <w:tc>
          <w:tcPr>
            <w:tcW w:w="1199" w:type="dxa"/>
            <w:vAlign w:val="center"/>
          </w:tcPr>
          <w:p w14:paraId="6D906660">
            <w:pPr>
              <w:rPr>
                <w:rFonts w:ascii="宋体" w:hAnsi="宋体" w:cs="宋体"/>
                <w:color w:val="000000" w:themeColor="text1"/>
                <w:sz w:val="24"/>
                <w:highlight w:val="none"/>
                <w14:textFill>
                  <w14:solidFill>
                    <w14:schemeClr w14:val="tx1"/>
                  </w14:solidFill>
                </w14:textFill>
              </w:rPr>
            </w:pPr>
          </w:p>
        </w:tc>
        <w:tc>
          <w:tcPr>
            <w:tcW w:w="2128" w:type="dxa"/>
            <w:vAlign w:val="center"/>
          </w:tcPr>
          <w:p w14:paraId="36BE2E73">
            <w:pPr>
              <w:rPr>
                <w:rFonts w:ascii="宋体" w:hAnsi="宋体" w:cs="宋体"/>
                <w:color w:val="000000" w:themeColor="text1"/>
                <w:sz w:val="24"/>
                <w:highlight w:val="none"/>
                <w14:textFill>
                  <w14:solidFill>
                    <w14:schemeClr w14:val="tx1"/>
                  </w14:solidFill>
                </w14:textFill>
              </w:rPr>
            </w:pPr>
          </w:p>
          <w:p w14:paraId="59B6B8FE">
            <w:pPr>
              <w:rPr>
                <w:rFonts w:ascii="宋体" w:hAnsi="宋体" w:cs="宋体"/>
                <w:color w:val="000000" w:themeColor="text1"/>
                <w:sz w:val="24"/>
                <w:highlight w:val="none"/>
                <w14:textFill>
                  <w14:solidFill>
                    <w14:schemeClr w14:val="tx1"/>
                  </w14:solidFill>
                </w14:textFill>
              </w:rPr>
            </w:pPr>
          </w:p>
        </w:tc>
        <w:tc>
          <w:tcPr>
            <w:tcW w:w="2364" w:type="dxa"/>
            <w:vAlign w:val="center"/>
          </w:tcPr>
          <w:p w14:paraId="316DECD6">
            <w:pPr>
              <w:widowControl/>
              <w:rPr>
                <w:rFonts w:ascii="宋体" w:hAnsi="宋体" w:cs="宋体"/>
                <w:color w:val="000000" w:themeColor="text1"/>
                <w:sz w:val="24"/>
                <w:highlight w:val="none"/>
                <w14:textFill>
                  <w14:solidFill>
                    <w14:schemeClr w14:val="tx1"/>
                  </w14:solidFill>
                </w14:textFill>
              </w:rPr>
            </w:pPr>
          </w:p>
          <w:p w14:paraId="0120097F">
            <w:pPr>
              <w:rPr>
                <w:rFonts w:ascii="宋体" w:hAnsi="宋体" w:cs="宋体"/>
                <w:color w:val="000000" w:themeColor="text1"/>
                <w:sz w:val="24"/>
                <w:highlight w:val="none"/>
                <w14:textFill>
                  <w14:solidFill>
                    <w14:schemeClr w14:val="tx1"/>
                  </w14:solidFill>
                </w14:textFill>
              </w:rPr>
            </w:pPr>
          </w:p>
        </w:tc>
        <w:tc>
          <w:tcPr>
            <w:tcW w:w="1655" w:type="dxa"/>
            <w:vAlign w:val="center"/>
          </w:tcPr>
          <w:p w14:paraId="5D0DC730">
            <w:pPr>
              <w:rPr>
                <w:rFonts w:ascii="宋体" w:hAnsi="宋体" w:cs="宋体"/>
                <w:color w:val="000000" w:themeColor="text1"/>
                <w:sz w:val="24"/>
                <w:highlight w:val="none"/>
                <w14:textFill>
                  <w14:solidFill>
                    <w14:schemeClr w14:val="tx1"/>
                  </w14:solidFill>
                </w14:textFill>
              </w:rPr>
            </w:pPr>
          </w:p>
        </w:tc>
        <w:tc>
          <w:tcPr>
            <w:tcW w:w="1655" w:type="dxa"/>
            <w:vAlign w:val="center"/>
          </w:tcPr>
          <w:p w14:paraId="7D4DA9E1">
            <w:pPr>
              <w:rPr>
                <w:rFonts w:ascii="宋体" w:hAnsi="宋体" w:cs="宋体"/>
                <w:color w:val="000000" w:themeColor="text1"/>
                <w:sz w:val="24"/>
                <w:highlight w:val="none"/>
                <w14:textFill>
                  <w14:solidFill>
                    <w14:schemeClr w14:val="tx1"/>
                  </w14:solidFill>
                </w14:textFill>
              </w:rPr>
            </w:pPr>
          </w:p>
        </w:tc>
      </w:tr>
      <w:tr w14:paraId="3F4A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97" w:type="dxa"/>
            <w:vAlign w:val="center"/>
          </w:tcPr>
          <w:p w14:paraId="0C68BF31">
            <w:pPr>
              <w:rPr>
                <w:rFonts w:ascii="宋体" w:hAnsi="宋体" w:cs="宋体"/>
                <w:color w:val="000000" w:themeColor="text1"/>
                <w:sz w:val="24"/>
                <w:highlight w:val="none"/>
                <w14:textFill>
                  <w14:solidFill>
                    <w14:schemeClr w14:val="tx1"/>
                  </w14:solidFill>
                </w14:textFill>
              </w:rPr>
            </w:pPr>
          </w:p>
        </w:tc>
        <w:tc>
          <w:tcPr>
            <w:tcW w:w="1199" w:type="dxa"/>
            <w:vAlign w:val="center"/>
          </w:tcPr>
          <w:p w14:paraId="448808C8">
            <w:pPr>
              <w:rPr>
                <w:rFonts w:ascii="宋体" w:hAnsi="宋体" w:cs="宋体"/>
                <w:color w:val="000000" w:themeColor="text1"/>
                <w:sz w:val="24"/>
                <w:highlight w:val="none"/>
                <w14:textFill>
                  <w14:solidFill>
                    <w14:schemeClr w14:val="tx1"/>
                  </w14:solidFill>
                </w14:textFill>
              </w:rPr>
            </w:pPr>
          </w:p>
        </w:tc>
        <w:tc>
          <w:tcPr>
            <w:tcW w:w="2128" w:type="dxa"/>
            <w:vAlign w:val="center"/>
          </w:tcPr>
          <w:p w14:paraId="7674EB44">
            <w:pPr>
              <w:rPr>
                <w:rFonts w:ascii="宋体" w:hAnsi="宋体" w:cs="宋体"/>
                <w:color w:val="000000" w:themeColor="text1"/>
                <w:sz w:val="24"/>
                <w:highlight w:val="none"/>
                <w14:textFill>
                  <w14:solidFill>
                    <w14:schemeClr w14:val="tx1"/>
                  </w14:solidFill>
                </w14:textFill>
              </w:rPr>
            </w:pPr>
          </w:p>
        </w:tc>
        <w:tc>
          <w:tcPr>
            <w:tcW w:w="2364" w:type="dxa"/>
            <w:vAlign w:val="center"/>
          </w:tcPr>
          <w:p w14:paraId="0BE1883E">
            <w:pPr>
              <w:rPr>
                <w:rFonts w:ascii="宋体" w:hAnsi="宋体" w:cs="宋体"/>
                <w:color w:val="000000" w:themeColor="text1"/>
                <w:sz w:val="24"/>
                <w:highlight w:val="none"/>
                <w14:textFill>
                  <w14:solidFill>
                    <w14:schemeClr w14:val="tx1"/>
                  </w14:solidFill>
                </w14:textFill>
              </w:rPr>
            </w:pPr>
          </w:p>
        </w:tc>
        <w:tc>
          <w:tcPr>
            <w:tcW w:w="1655" w:type="dxa"/>
            <w:vAlign w:val="center"/>
          </w:tcPr>
          <w:p w14:paraId="67EFB1AF">
            <w:pPr>
              <w:rPr>
                <w:rFonts w:ascii="宋体" w:hAnsi="宋体" w:cs="宋体"/>
                <w:color w:val="000000" w:themeColor="text1"/>
                <w:sz w:val="24"/>
                <w:highlight w:val="none"/>
                <w14:textFill>
                  <w14:solidFill>
                    <w14:schemeClr w14:val="tx1"/>
                  </w14:solidFill>
                </w14:textFill>
              </w:rPr>
            </w:pPr>
          </w:p>
        </w:tc>
        <w:tc>
          <w:tcPr>
            <w:tcW w:w="1655" w:type="dxa"/>
            <w:vAlign w:val="center"/>
          </w:tcPr>
          <w:p w14:paraId="167A34EB">
            <w:pPr>
              <w:rPr>
                <w:rFonts w:ascii="宋体" w:hAnsi="宋体" w:cs="宋体"/>
                <w:color w:val="000000" w:themeColor="text1"/>
                <w:sz w:val="24"/>
                <w:highlight w:val="none"/>
                <w14:textFill>
                  <w14:solidFill>
                    <w14:schemeClr w14:val="tx1"/>
                  </w14:solidFill>
                </w14:textFill>
              </w:rPr>
            </w:pPr>
          </w:p>
        </w:tc>
      </w:tr>
      <w:tr w14:paraId="6245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97" w:type="dxa"/>
            <w:vAlign w:val="center"/>
          </w:tcPr>
          <w:p w14:paraId="4A3936AC">
            <w:pPr>
              <w:rPr>
                <w:rFonts w:ascii="宋体" w:hAnsi="宋体" w:cs="宋体"/>
                <w:color w:val="000000" w:themeColor="text1"/>
                <w:sz w:val="24"/>
                <w:highlight w:val="none"/>
                <w14:textFill>
                  <w14:solidFill>
                    <w14:schemeClr w14:val="tx1"/>
                  </w14:solidFill>
                </w14:textFill>
              </w:rPr>
            </w:pPr>
          </w:p>
        </w:tc>
        <w:tc>
          <w:tcPr>
            <w:tcW w:w="1199" w:type="dxa"/>
            <w:vAlign w:val="center"/>
          </w:tcPr>
          <w:p w14:paraId="3376931F">
            <w:pPr>
              <w:rPr>
                <w:rFonts w:ascii="宋体" w:hAnsi="宋体" w:cs="宋体"/>
                <w:color w:val="000000" w:themeColor="text1"/>
                <w:sz w:val="24"/>
                <w:highlight w:val="none"/>
                <w14:textFill>
                  <w14:solidFill>
                    <w14:schemeClr w14:val="tx1"/>
                  </w14:solidFill>
                </w14:textFill>
              </w:rPr>
            </w:pPr>
          </w:p>
        </w:tc>
        <w:tc>
          <w:tcPr>
            <w:tcW w:w="2128" w:type="dxa"/>
            <w:vAlign w:val="center"/>
          </w:tcPr>
          <w:p w14:paraId="1534D01D">
            <w:pPr>
              <w:rPr>
                <w:rFonts w:ascii="宋体" w:hAnsi="宋体" w:cs="宋体"/>
                <w:color w:val="000000" w:themeColor="text1"/>
                <w:sz w:val="24"/>
                <w:highlight w:val="none"/>
                <w14:textFill>
                  <w14:solidFill>
                    <w14:schemeClr w14:val="tx1"/>
                  </w14:solidFill>
                </w14:textFill>
              </w:rPr>
            </w:pPr>
          </w:p>
        </w:tc>
        <w:tc>
          <w:tcPr>
            <w:tcW w:w="2364" w:type="dxa"/>
            <w:vAlign w:val="center"/>
          </w:tcPr>
          <w:p w14:paraId="578F2A0A">
            <w:pPr>
              <w:rPr>
                <w:rFonts w:ascii="宋体" w:hAnsi="宋体" w:cs="宋体"/>
                <w:color w:val="000000" w:themeColor="text1"/>
                <w:sz w:val="24"/>
                <w:highlight w:val="none"/>
                <w14:textFill>
                  <w14:solidFill>
                    <w14:schemeClr w14:val="tx1"/>
                  </w14:solidFill>
                </w14:textFill>
              </w:rPr>
            </w:pPr>
          </w:p>
        </w:tc>
        <w:tc>
          <w:tcPr>
            <w:tcW w:w="1655" w:type="dxa"/>
            <w:vAlign w:val="center"/>
          </w:tcPr>
          <w:p w14:paraId="212CCE33">
            <w:pPr>
              <w:rPr>
                <w:rFonts w:ascii="宋体" w:hAnsi="宋体" w:cs="宋体"/>
                <w:color w:val="000000" w:themeColor="text1"/>
                <w:sz w:val="24"/>
                <w:highlight w:val="none"/>
                <w14:textFill>
                  <w14:solidFill>
                    <w14:schemeClr w14:val="tx1"/>
                  </w14:solidFill>
                </w14:textFill>
              </w:rPr>
            </w:pPr>
          </w:p>
        </w:tc>
        <w:tc>
          <w:tcPr>
            <w:tcW w:w="1655" w:type="dxa"/>
            <w:vAlign w:val="center"/>
          </w:tcPr>
          <w:p w14:paraId="686BDFA2">
            <w:pPr>
              <w:rPr>
                <w:rFonts w:ascii="宋体" w:hAnsi="宋体" w:cs="宋体"/>
                <w:color w:val="000000" w:themeColor="text1"/>
                <w:sz w:val="24"/>
                <w:highlight w:val="none"/>
                <w14:textFill>
                  <w14:solidFill>
                    <w14:schemeClr w14:val="tx1"/>
                  </w14:solidFill>
                </w14:textFill>
              </w:rPr>
            </w:pPr>
          </w:p>
        </w:tc>
      </w:tr>
      <w:tr w14:paraId="5AB8B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497" w:type="dxa"/>
            <w:vAlign w:val="center"/>
          </w:tcPr>
          <w:p w14:paraId="4D3D5652">
            <w:pPr>
              <w:rPr>
                <w:rFonts w:ascii="宋体" w:hAnsi="宋体" w:cs="宋体"/>
                <w:color w:val="000000" w:themeColor="text1"/>
                <w:sz w:val="24"/>
                <w:highlight w:val="none"/>
                <w14:textFill>
                  <w14:solidFill>
                    <w14:schemeClr w14:val="tx1"/>
                  </w14:solidFill>
                </w14:textFill>
              </w:rPr>
            </w:pPr>
          </w:p>
        </w:tc>
        <w:tc>
          <w:tcPr>
            <w:tcW w:w="1199" w:type="dxa"/>
            <w:vAlign w:val="center"/>
          </w:tcPr>
          <w:p w14:paraId="7EFA96DD">
            <w:pPr>
              <w:rPr>
                <w:rFonts w:ascii="宋体" w:hAnsi="宋体" w:cs="宋体"/>
                <w:color w:val="000000" w:themeColor="text1"/>
                <w:sz w:val="24"/>
                <w:highlight w:val="none"/>
                <w14:textFill>
                  <w14:solidFill>
                    <w14:schemeClr w14:val="tx1"/>
                  </w14:solidFill>
                </w14:textFill>
              </w:rPr>
            </w:pPr>
          </w:p>
        </w:tc>
        <w:tc>
          <w:tcPr>
            <w:tcW w:w="2128" w:type="dxa"/>
            <w:vAlign w:val="center"/>
          </w:tcPr>
          <w:p w14:paraId="47DEAC04">
            <w:pPr>
              <w:rPr>
                <w:rFonts w:ascii="宋体" w:hAnsi="宋体" w:cs="宋体"/>
                <w:color w:val="000000" w:themeColor="text1"/>
                <w:sz w:val="24"/>
                <w:highlight w:val="none"/>
                <w14:textFill>
                  <w14:solidFill>
                    <w14:schemeClr w14:val="tx1"/>
                  </w14:solidFill>
                </w14:textFill>
              </w:rPr>
            </w:pPr>
          </w:p>
        </w:tc>
        <w:tc>
          <w:tcPr>
            <w:tcW w:w="2364" w:type="dxa"/>
            <w:vAlign w:val="center"/>
          </w:tcPr>
          <w:p w14:paraId="09BAB230">
            <w:pPr>
              <w:rPr>
                <w:rFonts w:ascii="宋体" w:hAnsi="宋体" w:cs="宋体"/>
                <w:color w:val="000000" w:themeColor="text1"/>
                <w:sz w:val="24"/>
                <w:highlight w:val="none"/>
                <w14:textFill>
                  <w14:solidFill>
                    <w14:schemeClr w14:val="tx1"/>
                  </w14:solidFill>
                </w14:textFill>
              </w:rPr>
            </w:pPr>
          </w:p>
        </w:tc>
        <w:tc>
          <w:tcPr>
            <w:tcW w:w="1655" w:type="dxa"/>
            <w:vAlign w:val="center"/>
          </w:tcPr>
          <w:p w14:paraId="03BB2159">
            <w:pPr>
              <w:rPr>
                <w:rFonts w:ascii="宋体" w:hAnsi="宋体" w:cs="宋体"/>
                <w:color w:val="000000" w:themeColor="text1"/>
                <w:sz w:val="24"/>
                <w:highlight w:val="none"/>
                <w14:textFill>
                  <w14:solidFill>
                    <w14:schemeClr w14:val="tx1"/>
                  </w14:solidFill>
                </w14:textFill>
              </w:rPr>
            </w:pPr>
          </w:p>
        </w:tc>
        <w:tc>
          <w:tcPr>
            <w:tcW w:w="1655" w:type="dxa"/>
            <w:vAlign w:val="center"/>
          </w:tcPr>
          <w:p w14:paraId="17F197E9">
            <w:pPr>
              <w:rPr>
                <w:rFonts w:ascii="宋体" w:hAnsi="宋体" w:cs="宋体"/>
                <w:color w:val="000000" w:themeColor="text1"/>
                <w:sz w:val="24"/>
                <w:highlight w:val="none"/>
                <w14:textFill>
                  <w14:solidFill>
                    <w14:schemeClr w14:val="tx1"/>
                  </w14:solidFill>
                </w14:textFill>
              </w:rPr>
            </w:pPr>
          </w:p>
        </w:tc>
      </w:tr>
    </w:tbl>
    <w:p w14:paraId="7F6DE162">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w:t>
      </w:r>
    </w:p>
    <w:p w14:paraId="68DF1A2D">
      <w:pPr>
        <w:pStyle w:val="44"/>
        <w:spacing w:line="400" w:lineRule="atLeast"/>
        <w:ind w:firstLine="48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法定代表人或委托授权代理人（签字或盖章）：</w:t>
      </w:r>
      <w:r>
        <w:rPr>
          <w:rFonts w:hint="eastAsia" w:hAnsi="宋体" w:cs="宋体"/>
          <w:color w:val="000000" w:themeColor="text1"/>
          <w:sz w:val="24"/>
          <w:highlight w:val="none"/>
          <w:u w:val="single"/>
          <w14:textFill>
            <w14:solidFill>
              <w14:schemeClr w14:val="tx1"/>
            </w14:solidFill>
          </w14:textFill>
        </w:rPr>
        <w:t>　　　　　　　　　　　　　　　</w:t>
      </w:r>
      <w:r>
        <w:rPr>
          <w:rFonts w:hint="eastAsia" w:hAnsi="宋体" w:cs="宋体"/>
          <w:color w:val="000000" w:themeColor="text1"/>
          <w:sz w:val="24"/>
          <w:highlight w:val="none"/>
          <w14:textFill>
            <w14:solidFill>
              <w14:schemeClr w14:val="tx1"/>
            </w14:solidFill>
          </w14:textFill>
        </w:rPr>
        <w:t>　</w:t>
      </w:r>
      <w:bookmarkStart w:id="115" w:name="_Toc197140584"/>
    </w:p>
    <w:p w14:paraId="229688AF">
      <w:pPr>
        <w:spacing w:line="400" w:lineRule="atLeast"/>
        <w:jc w:val="center"/>
        <w:rPr>
          <w:rFonts w:ascii="宋体" w:hAnsi="宋体" w:cs="宋体"/>
          <w:color w:val="000000" w:themeColor="text1"/>
          <w:sz w:val="24"/>
          <w:highlight w:val="none"/>
          <w14:textFill>
            <w14:solidFill>
              <w14:schemeClr w14:val="tx1"/>
            </w14:solidFill>
          </w14:textFill>
        </w:rPr>
      </w:pPr>
    </w:p>
    <w:p w14:paraId="4EB93C3E">
      <w:pPr>
        <w:pStyle w:val="4"/>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bookmarkStart w:id="116" w:name="_Toc12771"/>
      <w:r>
        <w:rPr>
          <w:rFonts w:hint="eastAsia" w:ascii="宋体" w:hAnsi="宋体" w:cs="宋体"/>
          <w:color w:val="000000" w:themeColor="text1"/>
          <w:highlight w:val="none"/>
          <w14:textFill>
            <w14:solidFill>
              <w14:schemeClr w14:val="tx1"/>
            </w14:solidFill>
          </w14:textFill>
        </w:rPr>
        <w:t>8、近三年经营业绩</w:t>
      </w:r>
      <w:bookmarkEnd w:id="116"/>
    </w:p>
    <w:p w14:paraId="2C23055E">
      <w:pPr>
        <w:pStyle w:val="4"/>
        <w:keepNext/>
        <w:keepLines/>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color w:val="000000" w:themeColor="text1"/>
          <w:kern w:val="2"/>
          <w:sz w:val="24"/>
          <w:highlight w:val="none"/>
          <w:lang w:val="en-US" w:eastAsia="zh-CN" w:bidi="ar-SA"/>
          <w14:textFill>
            <w14:solidFill>
              <w14:schemeClr w14:val="tx1"/>
            </w14:solidFill>
          </w14:textFill>
        </w:rPr>
      </w:pPr>
      <w:bookmarkStart w:id="117" w:name="_Toc12397"/>
      <w:r>
        <w:rPr>
          <w:rFonts w:hint="eastAsia" w:ascii="宋体" w:hAnsi="宋体" w:eastAsia="宋体" w:cs="宋体"/>
          <w:b w:val="0"/>
          <w:color w:val="000000" w:themeColor="text1"/>
          <w:kern w:val="2"/>
          <w:sz w:val="24"/>
          <w:highlight w:val="none"/>
          <w:lang w:val="en-US" w:eastAsia="zh-CN" w:bidi="ar-SA"/>
          <w14:textFill>
            <w14:solidFill>
              <w14:schemeClr w14:val="tx1"/>
            </w14:solidFill>
          </w14:textFill>
        </w:rPr>
        <w:t>需附业绩对应产品的中标（成交）通知书、全套采购合同及采购人的项目验收单(报告)并加盖投标人公章</w:t>
      </w:r>
      <w:bookmarkEnd w:id="117"/>
    </w:p>
    <w:p w14:paraId="566B5B60">
      <w:pPr>
        <w:pStyle w:val="4"/>
        <w:rPr>
          <w:rFonts w:ascii="宋体" w:hAnsi="宋体" w:cs="宋体"/>
          <w:color w:val="000000" w:themeColor="text1"/>
          <w:highlight w:val="none"/>
          <w14:textFill>
            <w14:solidFill>
              <w14:schemeClr w14:val="tx1"/>
            </w14:solidFill>
          </w14:textFill>
        </w:rPr>
      </w:pPr>
      <w:bookmarkStart w:id="118" w:name="_Toc28328"/>
      <w:r>
        <w:rPr>
          <w:rFonts w:hint="eastAsia" w:ascii="宋体" w:hAnsi="宋体" w:cs="宋体"/>
          <w:color w:val="000000" w:themeColor="text1"/>
          <w:highlight w:val="none"/>
          <w14:textFill>
            <w14:solidFill>
              <w14:schemeClr w14:val="tx1"/>
            </w14:solidFill>
          </w14:textFill>
        </w:rPr>
        <w:t>9、资格证明文件</w:t>
      </w:r>
      <w:bookmarkEnd w:id="118"/>
    </w:p>
    <w:p w14:paraId="4C5723F4">
      <w:pPr>
        <w:spacing w:line="400" w:lineRule="atLeas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1、内容见“供应商须知”。 </w:t>
      </w:r>
    </w:p>
    <w:p w14:paraId="04C528D2">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2、其它一切有利于产品和供应商的证明材料。</w:t>
      </w:r>
    </w:p>
    <w:p w14:paraId="78F28C16">
      <w:pPr>
        <w:spacing w:line="400" w:lineRule="exact"/>
        <w:rPr>
          <w:rFonts w:ascii="宋体" w:hAnsi="宋体" w:cs="宋体"/>
          <w:color w:val="000000" w:themeColor="text1"/>
          <w:sz w:val="24"/>
          <w:highlight w:val="none"/>
          <w14:textFill>
            <w14:solidFill>
              <w14:schemeClr w14:val="tx1"/>
            </w14:solidFill>
          </w14:textFill>
        </w:rPr>
      </w:pPr>
    </w:p>
    <w:p w14:paraId="19AD23BE">
      <w:pPr>
        <w:rPr>
          <w:rFonts w:ascii="宋体" w:hAnsi="宋体" w:cs="宋体"/>
          <w:color w:val="000000" w:themeColor="text1"/>
          <w:highlight w:val="none"/>
          <w14:textFill>
            <w14:solidFill>
              <w14:schemeClr w14:val="tx1"/>
            </w14:solidFill>
          </w14:textFill>
        </w:rPr>
      </w:pPr>
    </w:p>
    <w:p w14:paraId="47939F6A">
      <w:pPr>
        <w:pStyle w:val="4"/>
        <w:rPr>
          <w:rFonts w:hint="default" w:ascii="宋体" w:hAnsi="宋体" w:eastAsia="宋体" w:cs="宋体"/>
          <w:color w:val="000000" w:themeColor="text1"/>
          <w:highlight w:val="none"/>
          <w:lang w:val="en-US" w:eastAsia="zh-CN"/>
          <w14:textFill>
            <w14:solidFill>
              <w14:schemeClr w14:val="tx1"/>
            </w14:solidFill>
          </w14:textFill>
        </w:rPr>
      </w:pPr>
      <w:bookmarkStart w:id="119" w:name="_Toc25567"/>
      <w:r>
        <w:rPr>
          <w:rFonts w:hint="eastAsia" w:ascii="宋体" w:hAnsi="宋体" w:cs="宋体"/>
          <w:color w:val="000000" w:themeColor="text1"/>
          <w:highlight w:val="none"/>
          <w14:textFill>
            <w14:solidFill>
              <w14:schemeClr w14:val="tx1"/>
            </w14:solidFill>
          </w14:textFill>
        </w:rPr>
        <w:t>10、</w:t>
      </w:r>
      <w:bookmarkEnd w:id="115"/>
      <w:r>
        <w:rPr>
          <w:rFonts w:hint="eastAsia" w:ascii="宋体" w:hAnsi="宋体" w:cs="宋体"/>
          <w:color w:val="000000" w:themeColor="text1"/>
          <w:highlight w:val="none"/>
          <w:lang w:val="en-US" w:eastAsia="zh-CN"/>
          <w14:textFill>
            <w14:solidFill>
              <w14:schemeClr w14:val="tx1"/>
            </w14:solidFill>
          </w14:textFill>
        </w:rPr>
        <w:t>配置情况</w:t>
      </w:r>
      <w:bookmarkEnd w:id="119"/>
    </w:p>
    <w:p w14:paraId="5E6672F9">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（由供应商自行编写提供，格式自拟）</w:t>
      </w:r>
    </w:p>
    <w:p w14:paraId="6582B14C">
      <w:pPr>
        <w:pStyle w:val="50"/>
        <w:rPr>
          <w:rFonts w:cs="宋体"/>
          <w:color w:val="000000" w:themeColor="text1"/>
          <w:highlight w:val="none"/>
          <w14:textFill>
            <w14:solidFill>
              <w14:schemeClr w14:val="tx1"/>
            </w14:solidFill>
          </w14:textFill>
        </w:rPr>
      </w:pPr>
    </w:p>
    <w:p w14:paraId="4B942485">
      <w:pPr>
        <w:pStyle w:val="50"/>
        <w:rPr>
          <w:rFonts w:cs="宋体"/>
          <w:color w:val="000000" w:themeColor="text1"/>
          <w:highlight w:val="none"/>
          <w14:textFill>
            <w14:solidFill>
              <w14:schemeClr w14:val="tx1"/>
            </w14:solidFill>
          </w14:textFill>
        </w:rPr>
      </w:pPr>
    </w:p>
    <w:p w14:paraId="7C64A5FC">
      <w:pPr>
        <w:pStyle w:val="4"/>
        <w:rPr>
          <w:rFonts w:ascii="宋体" w:hAnsi="宋体" w:cs="宋体"/>
          <w:color w:val="000000" w:themeColor="text1"/>
          <w:highlight w:val="none"/>
          <w14:textFill>
            <w14:solidFill>
              <w14:schemeClr w14:val="tx1"/>
            </w14:solidFill>
          </w14:textFill>
        </w:rPr>
      </w:pPr>
      <w:bookmarkStart w:id="120" w:name="_Toc7224"/>
      <w:r>
        <w:rPr>
          <w:rFonts w:hint="eastAsia" w:ascii="宋体" w:hAnsi="宋体" w:cs="宋体"/>
          <w:color w:val="000000" w:themeColor="text1"/>
          <w:highlight w:val="none"/>
          <w14:textFill>
            <w14:solidFill>
              <w14:schemeClr w14:val="tx1"/>
            </w14:solidFill>
          </w14:textFill>
        </w:rPr>
        <w:t>11、供货、安装、调试方案</w:t>
      </w:r>
      <w:bookmarkEnd w:id="120"/>
    </w:p>
    <w:p w14:paraId="246D9B42">
      <w:pPr>
        <w:pStyle w:val="50"/>
        <w:ind w:firstLine="0"/>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（由供应商自行编写提供，格式自拟）</w:t>
      </w:r>
    </w:p>
    <w:p w14:paraId="4A458058">
      <w:pPr>
        <w:pStyle w:val="50"/>
        <w:numPr>
          <w:ilvl w:val="0"/>
          <w:numId w:val="0"/>
        </w:numPr>
        <w:ind w:left="0" w:leftChars="0" w:firstLine="0" w:firstLineChars="0"/>
        <w:jc w:val="center"/>
        <w:rPr>
          <w:rFonts w:hint="eastAsia" w:ascii="宋体" w:hAnsi="宋体" w:eastAsia="宋体" w:cs="宋体"/>
          <w:b/>
          <w:color w:val="000000" w:themeColor="text1"/>
          <w:kern w:val="2"/>
          <w:sz w:val="30"/>
          <w:highlight w:val="none"/>
          <w:lang w:val="en-US" w:eastAsia="zh-CN" w:bidi="ar-SA"/>
          <w14:textFill>
            <w14:solidFill>
              <w14:schemeClr w14:val="tx1"/>
            </w14:solidFill>
          </w14:textFill>
        </w:rPr>
      </w:pPr>
    </w:p>
    <w:p w14:paraId="4F55ED03">
      <w:pPr>
        <w:pStyle w:val="50"/>
        <w:numPr>
          <w:ilvl w:val="0"/>
          <w:numId w:val="0"/>
        </w:numPr>
        <w:ind w:left="0" w:leftChars="0" w:firstLine="0" w:firstLineChars="0"/>
        <w:jc w:val="center"/>
        <w:rPr>
          <w:rFonts w:hint="eastAsia" w:ascii="宋体" w:hAnsi="宋体" w:eastAsia="宋体" w:cs="宋体"/>
          <w:b/>
          <w:color w:val="000000" w:themeColor="text1"/>
          <w:kern w:val="2"/>
          <w:sz w:val="30"/>
          <w:highlight w:val="none"/>
          <w:lang w:val="en-US" w:eastAsia="zh-CN" w:bidi="ar-SA"/>
          <w14:textFill>
            <w14:solidFill>
              <w14:schemeClr w14:val="tx1"/>
            </w14:solidFill>
          </w14:textFill>
        </w:rPr>
      </w:pPr>
    </w:p>
    <w:p w14:paraId="5999CCF4">
      <w:pPr>
        <w:pStyle w:val="50"/>
        <w:numPr>
          <w:ilvl w:val="0"/>
          <w:numId w:val="0"/>
        </w:numPr>
        <w:ind w:left="0" w:leftChars="0" w:firstLine="0" w:firstLineChars="0"/>
        <w:jc w:val="center"/>
        <w:outlineLvl w:val="1"/>
        <w:rPr>
          <w:rFonts w:hint="eastAsia" w:ascii="宋体" w:hAnsi="宋体" w:eastAsia="宋体" w:cs="宋体"/>
          <w:b/>
          <w:color w:val="000000" w:themeColor="text1"/>
          <w:kern w:val="2"/>
          <w:sz w:val="30"/>
          <w:highlight w:val="none"/>
          <w:lang w:val="en-US" w:eastAsia="zh-CN" w:bidi="ar-SA"/>
          <w14:textFill>
            <w14:solidFill>
              <w14:schemeClr w14:val="tx1"/>
            </w14:solidFill>
          </w14:textFill>
        </w:rPr>
      </w:pPr>
      <w:bookmarkStart w:id="121" w:name="_Toc29730"/>
      <w:r>
        <w:rPr>
          <w:rFonts w:hint="eastAsia" w:ascii="宋体" w:hAnsi="宋体" w:eastAsia="宋体" w:cs="宋体"/>
          <w:b/>
          <w:color w:val="000000" w:themeColor="text1"/>
          <w:kern w:val="2"/>
          <w:sz w:val="30"/>
          <w:highlight w:val="none"/>
          <w:lang w:val="en-US" w:eastAsia="zh-CN" w:bidi="ar-SA"/>
          <w14:textFill>
            <w14:solidFill>
              <w14:schemeClr w14:val="tx1"/>
            </w14:solidFill>
          </w14:textFill>
        </w:rPr>
        <w:t>12、实施方案</w:t>
      </w:r>
      <w:bookmarkEnd w:id="121"/>
    </w:p>
    <w:p w14:paraId="3F19B0DB">
      <w:pPr>
        <w:pStyle w:val="50"/>
        <w:numPr>
          <w:ilvl w:val="0"/>
          <w:numId w:val="0"/>
        </w:numPr>
        <w:ind w:leftChars="0"/>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（由供应商自行编写提供，格式自拟）</w:t>
      </w:r>
    </w:p>
    <w:p w14:paraId="0E78BE86">
      <w:pPr>
        <w:pStyle w:val="50"/>
        <w:numPr>
          <w:ilvl w:val="0"/>
          <w:numId w:val="0"/>
        </w:numPr>
        <w:ind w:leftChars="0"/>
        <w:jc w:val="center"/>
        <w:rPr>
          <w:rFonts w:hint="eastAsia" w:ascii="宋体" w:hAnsi="宋体" w:eastAsia="宋体" w:cs="宋体"/>
          <w:b/>
          <w:color w:val="000000" w:themeColor="text1"/>
          <w:kern w:val="2"/>
          <w:sz w:val="30"/>
          <w:highlight w:val="none"/>
          <w:lang w:val="en-US" w:eastAsia="zh-CN" w:bidi="ar-SA"/>
          <w14:textFill>
            <w14:solidFill>
              <w14:schemeClr w14:val="tx1"/>
            </w14:solidFill>
          </w14:textFill>
        </w:rPr>
      </w:pPr>
    </w:p>
    <w:p w14:paraId="75202E2F">
      <w:pPr>
        <w:pStyle w:val="50"/>
        <w:numPr>
          <w:ilvl w:val="0"/>
          <w:numId w:val="0"/>
        </w:numPr>
        <w:ind w:leftChars="0"/>
        <w:jc w:val="center"/>
        <w:rPr>
          <w:rFonts w:hint="eastAsia" w:ascii="宋体" w:hAnsi="宋体" w:eastAsia="宋体" w:cs="宋体"/>
          <w:b/>
          <w:color w:val="000000" w:themeColor="text1"/>
          <w:kern w:val="2"/>
          <w:sz w:val="30"/>
          <w:highlight w:val="none"/>
          <w:lang w:val="en-US" w:eastAsia="zh-CN" w:bidi="ar-SA"/>
          <w14:textFill>
            <w14:solidFill>
              <w14:schemeClr w14:val="tx1"/>
            </w14:solidFill>
          </w14:textFill>
        </w:rPr>
      </w:pPr>
    </w:p>
    <w:p w14:paraId="30CF580D">
      <w:pPr>
        <w:pStyle w:val="50"/>
        <w:numPr>
          <w:ilvl w:val="0"/>
          <w:numId w:val="0"/>
        </w:numPr>
        <w:ind w:leftChars="0"/>
        <w:jc w:val="center"/>
        <w:rPr>
          <w:rFonts w:hint="eastAsia" w:ascii="宋体" w:hAnsi="宋体" w:eastAsia="宋体" w:cs="宋体"/>
          <w:b/>
          <w:color w:val="000000" w:themeColor="text1"/>
          <w:kern w:val="2"/>
          <w:sz w:val="30"/>
          <w:highlight w:val="none"/>
          <w:lang w:val="en-US" w:eastAsia="zh-CN" w:bidi="ar-SA"/>
          <w14:textFill>
            <w14:solidFill>
              <w14:schemeClr w14:val="tx1"/>
            </w14:solidFill>
          </w14:textFill>
        </w:rPr>
      </w:pPr>
    </w:p>
    <w:p w14:paraId="3BF16981">
      <w:pPr>
        <w:pStyle w:val="50"/>
        <w:numPr>
          <w:ilvl w:val="0"/>
          <w:numId w:val="72"/>
        </w:numPr>
        <w:ind w:leftChars="0"/>
        <w:jc w:val="center"/>
        <w:outlineLvl w:val="1"/>
        <w:rPr>
          <w:rFonts w:hint="eastAsia" w:ascii="宋体" w:hAnsi="宋体" w:eastAsia="宋体" w:cs="宋体"/>
          <w:b/>
          <w:color w:val="000000" w:themeColor="text1"/>
          <w:kern w:val="2"/>
          <w:sz w:val="30"/>
          <w:highlight w:val="none"/>
          <w:lang w:val="en-US" w:eastAsia="zh-CN" w:bidi="ar-SA"/>
          <w14:textFill>
            <w14:solidFill>
              <w14:schemeClr w14:val="tx1"/>
            </w14:solidFill>
          </w14:textFill>
        </w:rPr>
      </w:pPr>
      <w:bookmarkStart w:id="122" w:name="_Toc20142"/>
      <w:r>
        <w:rPr>
          <w:rFonts w:hint="eastAsia" w:ascii="宋体" w:hAnsi="宋体" w:eastAsia="宋体" w:cs="宋体"/>
          <w:b/>
          <w:color w:val="000000" w:themeColor="text1"/>
          <w:kern w:val="2"/>
          <w:sz w:val="30"/>
          <w:highlight w:val="none"/>
          <w:lang w:val="en-US" w:eastAsia="zh-CN" w:bidi="ar-SA"/>
          <w14:textFill>
            <w14:solidFill>
              <w14:schemeClr w14:val="tx1"/>
            </w14:solidFill>
          </w14:textFill>
        </w:rPr>
        <w:t>售后服务体系</w:t>
      </w:r>
      <w:bookmarkEnd w:id="122"/>
    </w:p>
    <w:p w14:paraId="37AE609C">
      <w:pPr>
        <w:pStyle w:val="50"/>
        <w:numPr>
          <w:ilvl w:val="0"/>
          <w:numId w:val="0"/>
        </w:numPr>
        <w:ind w:left="435" w:leftChars="0"/>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（由供应商自行编写提供，格式自拟）</w:t>
      </w:r>
    </w:p>
    <w:p w14:paraId="067873CA">
      <w:pPr>
        <w:pStyle w:val="50"/>
        <w:numPr>
          <w:ilvl w:val="0"/>
          <w:numId w:val="0"/>
        </w:numPr>
        <w:ind w:leftChars="0"/>
        <w:jc w:val="center"/>
        <w:rPr>
          <w:rFonts w:hint="default" w:ascii="宋体" w:hAnsi="宋体" w:eastAsia="宋体" w:cs="宋体"/>
          <w:b/>
          <w:color w:val="000000" w:themeColor="text1"/>
          <w:kern w:val="2"/>
          <w:sz w:val="30"/>
          <w:highlight w:val="none"/>
          <w:lang w:val="en-US" w:eastAsia="zh-CN" w:bidi="ar-SA"/>
          <w14:textFill>
            <w14:solidFill>
              <w14:schemeClr w14:val="tx1"/>
            </w14:solidFill>
          </w14:textFill>
        </w:rPr>
      </w:pPr>
    </w:p>
    <w:p w14:paraId="21D50E1A">
      <w:pP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bookmarkStart w:id="123" w:name="_Toc27952"/>
    </w:p>
    <w:p w14:paraId="0FD89620">
      <w:pPr>
        <w:pStyle w:val="4"/>
        <w:rPr>
          <w:rFonts w:ascii="宋体" w:hAnsi="宋体" w:cs="宋体"/>
          <w:color w:val="000000" w:themeColor="text1"/>
          <w:highlight w:val="none"/>
          <w:lang w:val="zh-CN"/>
          <w14:textFill>
            <w14:solidFill>
              <w14:schemeClr w14:val="tx1"/>
            </w14:solidFill>
          </w14:textFill>
        </w:rPr>
      </w:pPr>
      <w:bookmarkStart w:id="124" w:name="_Toc10399"/>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zh-CN"/>
          <w14:textFill>
            <w14:solidFill>
              <w14:schemeClr w14:val="tx1"/>
            </w14:solidFill>
          </w14:textFill>
        </w:rPr>
        <w:t>监狱企业证明文件（如有）、残疾人福利性单位声明函（如有）、</w:t>
      </w:r>
      <w:r>
        <w:rPr>
          <w:rFonts w:hint="eastAsia" w:ascii="宋体" w:hAnsi="宋体" w:cs="宋体"/>
          <w:color w:val="000000" w:themeColor="text1"/>
          <w:highlight w:val="none"/>
          <w14:textFill>
            <w14:solidFill>
              <w14:schemeClr w14:val="tx1"/>
            </w14:solidFill>
          </w14:textFill>
        </w:rPr>
        <w:t>中小企业</w:t>
      </w:r>
      <w:r>
        <w:rPr>
          <w:rFonts w:hint="eastAsia" w:ascii="宋体" w:hAnsi="宋体" w:cs="宋体"/>
          <w:color w:val="000000" w:themeColor="text1"/>
          <w:highlight w:val="none"/>
          <w:lang w:val="zh-CN"/>
          <w14:textFill>
            <w14:solidFill>
              <w14:schemeClr w14:val="tx1"/>
            </w14:solidFill>
          </w14:textFill>
        </w:rPr>
        <w:t>声明函（如有）、关于符合本国产品标准的声明函</w:t>
      </w:r>
      <w:bookmarkEnd w:id="124"/>
    </w:p>
    <w:p w14:paraId="6DC3D93E">
      <w:pPr>
        <w:numPr>
          <w:ilvl w:val="3"/>
          <w:numId w:val="73"/>
        </w:numPr>
        <w:tabs>
          <w:tab w:val="left" w:pos="0"/>
          <w:tab w:val="clear" w:pos="1680"/>
        </w:tabs>
        <w:adjustRightInd w:val="0"/>
        <w:snapToGrid w:val="0"/>
        <w:spacing w:line="400" w:lineRule="atLeast"/>
        <w:ind w:hanging="168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监狱企业证明文件</w:t>
      </w:r>
    </w:p>
    <w:p w14:paraId="4363B7BF">
      <w:pPr>
        <w:adjustRightInd w:val="0"/>
        <w:snapToGrid w:val="0"/>
        <w:spacing w:line="400" w:lineRule="atLeast"/>
        <w:ind w:firstLine="480" w:firstLineChars="20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2.残疾人福利性单位声明函</w:t>
      </w:r>
    </w:p>
    <w:p w14:paraId="02C6B6FF">
      <w:pPr>
        <w:adjustRightInd w:val="0"/>
        <w:snapToGrid w:val="0"/>
        <w:spacing w:line="400" w:lineRule="atLeas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本公司郑重声明，根据《财政部 民政部 中国残疾人联合会关于促进残疾人就业政府采购政策的通知》（财库（2017）141号）的规定，本单位为符合条件的残疾人福利性单位，且本单位参加的</w:t>
      </w:r>
    </w:p>
    <w:p w14:paraId="64DC9D25">
      <w:pPr>
        <w:adjustRightInd w:val="0"/>
        <w:snapToGrid w:val="0"/>
        <w:spacing w:line="400" w:lineRule="atLeas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 xml:space="preserve">                 单位的                        </w:t>
      </w:r>
      <w:r>
        <w:rPr>
          <w:rFonts w:hint="eastAsia" w:ascii="宋体" w:hAnsi="宋体" w:cs="宋体"/>
          <w:color w:val="000000" w:themeColor="text1"/>
          <w:sz w:val="24"/>
          <w:szCs w:val="24"/>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29943B7E">
      <w:pPr>
        <w:adjustRightInd w:val="0"/>
        <w:snapToGrid w:val="0"/>
        <w:spacing w:line="400" w:lineRule="atLeas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本单位对上述声明的真实性负责，如有虚假，将依法承担相应责任。</w:t>
      </w:r>
    </w:p>
    <w:p w14:paraId="4DCB2A46">
      <w:pPr>
        <w:adjustRightInd w:val="0"/>
        <w:snapToGrid w:val="0"/>
        <w:spacing w:line="400" w:lineRule="atLeast"/>
        <w:ind w:firstLine="480" w:firstLineChars="200"/>
        <w:jc w:val="center"/>
        <w:rPr>
          <w:rFonts w:ascii="宋体" w:hAnsi="宋体" w:cs="宋体"/>
          <w:color w:val="000000" w:themeColor="text1"/>
          <w:sz w:val="24"/>
          <w:szCs w:val="24"/>
          <w:highlight w:val="none"/>
          <w14:textFill>
            <w14:solidFill>
              <w14:schemeClr w14:val="tx1"/>
            </w14:solidFill>
          </w14:textFill>
        </w:rPr>
      </w:pPr>
    </w:p>
    <w:p w14:paraId="292AF8C9">
      <w:pPr>
        <w:adjustRightInd w:val="0"/>
        <w:snapToGrid w:val="0"/>
        <w:spacing w:line="400" w:lineRule="atLeast"/>
        <w:ind w:firstLine="7200" w:firstLineChars="30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企业名称（公章）：</w:t>
      </w:r>
    </w:p>
    <w:p w14:paraId="60C88746">
      <w:pPr>
        <w:adjustRightInd w:val="0"/>
        <w:snapToGrid w:val="0"/>
        <w:spacing w:line="400" w:lineRule="atLeast"/>
        <w:ind w:firstLine="48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日  期：</w:t>
      </w:r>
    </w:p>
    <w:p w14:paraId="2BC07D7F">
      <w:pPr>
        <w:tabs>
          <w:tab w:val="left" w:pos="0"/>
        </w:tabs>
        <w:adjustRightInd w:val="0"/>
        <w:snapToGrid w:val="0"/>
        <w:spacing w:line="400" w:lineRule="atLeast"/>
        <w:jc w:val="cente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3.中小企业声明函(货物)</w:t>
      </w:r>
      <w:bookmarkEnd w:id="123"/>
    </w:p>
    <w:p w14:paraId="6DC01536">
      <w:pPr>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本公司（联合体）郑重声明，根据《政府采购促进中小企业发展管理办法》（财库[2020]46号）的规定，本公司（联合体）参加</w:t>
      </w:r>
      <w:r>
        <w:rPr>
          <w:rFonts w:hint="eastAsia" w:ascii="宋体" w:hAnsi="宋体" w:cs="宋体"/>
          <w:i/>
          <w:color w:val="000000" w:themeColor="text1"/>
          <w:sz w:val="24"/>
          <w:szCs w:val="24"/>
          <w:highlight w:val="none"/>
          <w:u w:val="single"/>
          <w14:textFill>
            <w14:solidFill>
              <w14:schemeClr w14:val="tx1"/>
            </w14:solidFill>
          </w14:textFill>
        </w:rPr>
        <w:t>（单位名称）</w:t>
      </w:r>
      <w:r>
        <w:rPr>
          <w:rFonts w:hint="eastAsia" w:ascii="宋体" w:hAnsi="宋体" w:cs="宋体"/>
          <w:color w:val="000000" w:themeColor="text1"/>
          <w:sz w:val="24"/>
          <w:szCs w:val="24"/>
          <w:highlight w:val="none"/>
          <w14:textFill>
            <w14:solidFill>
              <w14:schemeClr w14:val="tx1"/>
            </w14:solidFill>
          </w14:textFill>
        </w:rPr>
        <w:t>的</w:t>
      </w:r>
      <w:r>
        <w:rPr>
          <w:rFonts w:hint="eastAsia" w:ascii="宋体" w:hAnsi="宋体" w:cs="宋体"/>
          <w:i/>
          <w:color w:val="000000" w:themeColor="text1"/>
          <w:sz w:val="24"/>
          <w:szCs w:val="24"/>
          <w:highlight w:val="none"/>
          <w:u w:val="single"/>
          <w14:textFill>
            <w14:solidFill>
              <w14:schemeClr w14:val="tx1"/>
            </w14:solidFill>
          </w14:textFill>
        </w:rPr>
        <w:t>（项目名称）</w:t>
      </w:r>
      <w:r>
        <w:rPr>
          <w:rFonts w:hint="eastAsia" w:ascii="宋体" w:hAnsi="宋体" w:cs="宋体"/>
          <w:color w:val="000000" w:themeColor="text1"/>
          <w:sz w:val="24"/>
          <w:szCs w:val="24"/>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14:paraId="395EAC23">
      <w:pPr>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i/>
          <w:color w:val="000000" w:themeColor="text1"/>
          <w:sz w:val="24"/>
          <w:szCs w:val="24"/>
          <w:highlight w:val="none"/>
          <w:u w:val="single"/>
          <w14:textFill>
            <w14:solidFill>
              <w14:schemeClr w14:val="tx1"/>
            </w14:solidFill>
          </w14:textFill>
        </w:rPr>
        <w:t>（标的名称）</w:t>
      </w:r>
      <w:r>
        <w:rPr>
          <w:rFonts w:hint="eastAsia" w:ascii="宋体" w:hAnsi="宋体" w:cs="宋体"/>
          <w:color w:val="000000" w:themeColor="text1"/>
          <w:sz w:val="24"/>
          <w:szCs w:val="24"/>
          <w:highlight w:val="none"/>
          <w14:textFill>
            <w14:solidFill>
              <w14:schemeClr w14:val="tx1"/>
            </w14:solidFill>
          </w14:textFill>
        </w:rPr>
        <w:t>，属于</w:t>
      </w:r>
      <w:r>
        <w:rPr>
          <w:rFonts w:hint="eastAsia" w:ascii="宋体" w:hAnsi="宋体" w:cs="宋体"/>
          <w:i/>
          <w:color w:val="000000" w:themeColor="text1"/>
          <w:sz w:val="24"/>
          <w:szCs w:val="24"/>
          <w:highlight w:val="none"/>
          <w:u w:val="single"/>
          <w14:textFill>
            <w14:solidFill>
              <w14:schemeClr w14:val="tx1"/>
            </w14:solidFill>
          </w14:textFill>
        </w:rPr>
        <w:t>（招标文件中明确的所属行业）</w:t>
      </w:r>
      <w:r>
        <w:rPr>
          <w:rFonts w:hint="eastAsia" w:ascii="宋体" w:hAnsi="宋体" w:cs="宋体"/>
          <w:color w:val="000000" w:themeColor="text1"/>
          <w:sz w:val="24"/>
          <w:szCs w:val="24"/>
          <w:highlight w:val="none"/>
          <w14:textFill>
            <w14:solidFill>
              <w14:schemeClr w14:val="tx1"/>
            </w14:solidFill>
          </w14:textFill>
        </w:rPr>
        <w:t>；制造商为</w:t>
      </w:r>
      <w:r>
        <w:rPr>
          <w:rFonts w:hint="eastAsia" w:ascii="宋体" w:hAnsi="宋体" w:cs="宋体"/>
          <w:i/>
          <w:color w:val="000000" w:themeColor="text1"/>
          <w:sz w:val="24"/>
          <w:szCs w:val="24"/>
          <w:highlight w:val="none"/>
          <w:u w:val="single"/>
          <w14:textFill>
            <w14:solidFill>
              <w14:schemeClr w14:val="tx1"/>
            </w14:solidFill>
          </w14:textFill>
        </w:rPr>
        <w:t>（企业名称）</w:t>
      </w:r>
      <w:r>
        <w:rPr>
          <w:rFonts w:hint="eastAsia" w:ascii="宋体" w:hAnsi="宋体" w:cs="宋体"/>
          <w:color w:val="000000" w:themeColor="text1"/>
          <w:sz w:val="24"/>
          <w:szCs w:val="24"/>
          <w:highlight w:val="none"/>
          <w14:textFill>
            <w14:solidFill>
              <w14:schemeClr w14:val="tx1"/>
            </w14:solidFill>
          </w14:textFill>
        </w:rPr>
        <w:t>，从业人员</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人，营业收入为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万元，资产总额为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万元</w:t>
      </w:r>
      <w:r>
        <w:rPr>
          <w:rFonts w:hint="eastAsia" w:ascii="宋体" w:hAnsi="宋体" w:cs="宋体"/>
          <w:color w:val="000000" w:themeColor="text1"/>
          <w:sz w:val="24"/>
          <w:szCs w:val="24"/>
          <w:highlight w:val="none"/>
          <w:vertAlign w:val="superscript"/>
          <w14:textFill>
            <w14:solidFill>
              <w14:schemeClr w14:val="tx1"/>
            </w14:solidFill>
          </w14:textFill>
        </w:rPr>
        <w:footnoteReference w:id="0"/>
      </w:r>
      <w:r>
        <w:rPr>
          <w:rFonts w:hint="eastAsia" w:ascii="宋体" w:hAnsi="宋体" w:cs="宋体"/>
          <w:color w:val="000000" w:themeColor="text1"/>
          <w:sz w:val="24"/>
          <w:szCs w:val="24"/>
          <w:highlight w:val="none"/>
          <w14:textFill>
            <w14:solidFill>
              <w14:schemeClr w14:val="tx1"/>
            </w14:solidFill>
          </w14:textFill>
        </w:rPr>
        <w:t>，属于</w:t>
      </w:r>
      <w:r>
        <w:rPr>
          <w:rFonts w:hint="eastAsia" w:ascii="宋体" w:hAnsi="宋体" w:cs="宋体"/>
          <w:i/>
          <w:color w:val="000000" w:themeColor="text1"/>
          <w:sz w:val="24"/>
          <w:szCs w:val="24"/>
          <w:highlight w:val="none"/>
          <w:u w:val="single"/>
          <w14:textFill>
            <w14:solidFill>
              <w14:schemeClr w14:val="tx1"/>
            </w14:solidFill>
          </w14:textFill>
        </w:rPr>
        <w:t>（中型企业、小型企业、微型企业）</w:t>
      </w:r>
      <w:r>
        <w:rPr>
          <w:rFonts w:hint="eastAsia" w:ascii="宋体" w:hAnsi="宋体" w:cs="宋体"/>
          <w:color w:val="000000" w:themeColor="text1"/>
          <w:sz w:val="24"/>
          <w:szCs w:val="24"/>
          <w:highlight w:val="none"/>
          <w14:textFill>
            <w14:solidFill>
              <w14:schemeClr w14:val="tx1"/>
            </w14:solidFill>
          </w14:textFill>
        </w:rPr>
        <w:t>；</w:t>
      </w:r>
    </w:p>
    <w:p w14:paraId="7CB90150">
      <w:pPr>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2. </w:t>
      </w:r>
      <w:r>
        <w:rPr>
          <w:rFonts w:hint="eastAsia" w:ascii="宋体" w:hAnsi="宋体" w:cs="宋体"/>
          <w:i/>
          <w:color w:val="000000" w:themeColor="text1"/>
          <w:sz w:val="24"/>
          <w:szCs w:val="24"/>
          <w:highlight w:val="none"/>
          <w:u w:val="single"/>
          <w14:textFill>
            <w14:solidFill>
              <w14:schemeClr w14:val="tx1"/>
            </w14:solidFill>
          </w14:textFill>
        </w:rPr>
        <w:t>（标的名称）</w:t>
      </w:r>
      <w:r>
        <w:rPr>
          <w:rFonts w:hint="eastAsia" w:ascii="宋体" w:hAnsi="宋体" w:cs="宋体"/>
          <w:color w:val="000000" w:themeColor="text1"/>
          <w:sz w:val="24"/>
          <w:szCs w:val="24"/>
          <w:highlight w:val="none"/>
          <w14:textFill>
            <w14:solidFill>
              <w14:schemeClr w14:val="tx1"/>
            </w14:solidFill>
          </w14:textFill>
        </w:rPr>
        <w:t>，属于</w:t>
      </w:r>
      <w:r>
        <w:rPr>
          <w:rFonts w:hint="eastAsia" w:ascii="宋体" w:hAnsi="宋体" w:cs="宋体"/>
          <w:i/>
          <w:color w:val="000000" w:themeColor="text1"/>
          <w:sz w:val="24"/>
          <w:szCs w:val="24"/>
          <w:highlight w:val="none"/>
          <w:u w:val="single"/>
          <w14:textFill>
            <w14:solidFill>
              <w14:schemeClr w14:val="tx1"/>
            </w14:solidFill>
          </w14:textFill>
        </w:rPr>
        <w:t>（招标文件中明确的所属行业）</w:t>
      </w:r>
      <w:r>
        <w:rPr>
          <w:rFonts w:hint="eastAsia" w:ascii="宋体" w:hAnsi="宋体" w:cs="宋体"/>
          <w:color w:val="000000" w:themeColor="text1"/>
          <w:sz w:val="24"/>
          <w:szCs w:val="24"/>
          <w:highlight w:val="none"/>
          <w14:textFill>
            <w14:solidFill>
              <w14:schemeClr w14:val="tx1"/>
            </w14:solidFill>
          </w14:textFill>
        </w:rPr>
        <w:t>；制造商为</w:t>
      </w:r>
      <w:r>
        <w:rPr>
          <w:rFonts w:hint="eastAsia" w:ascii="宋体" w:hAnsi="宋体" w:cs="宋体"/>
          <w:i/>
          <w:color w:val="000000" w:themeColor="text1"/>
          <w:sz w:val="24"/>
          <w:szCs w:val="24"/>
          <w:highlight w:val="none"/>
          <w:u w:val="single"/>
          <w14:textFill>
            <w14:solidFill>
              <w14:schemeClr w14:val="tx1"/>
            </w14:solidFill>
          </w14:textFill>
        </w:rPr>
        <w:t>（企业名称）</w:t>
      </w:r>
      <w:r>
        <w:rPr>
          <w:rFonts w:hint="eastAsia" w:ascii="宋体" w:hAnsi="宋体" w:cs="宋体"/>
          <w:color w:val="000000" w:themeColor="text1"/>
          <w:sz w:val="24"/>
          <w:szCs w:val="24"/>
          <w:highlight w:val="none"/>
          <w14:textFill>
            <w14:solidFill>
              <w14:schemeClr w14:val="tx1"/>
            </w14:solidFill>
          </w14:textFill>
        </w:rPr>
        <w:t>，从业人员</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人，营业收入为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万元，资产总额为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万元，属于</w:t>
      </w:r>
      <w:r>
        <w:rPr>
          <w:rFonts w:hint="eastAsia" w:ascii="宋体" w:hAnsi="宋体" w:cs="宋体"/>
          <w:i/>
          <w:color w:val="000000" w:themeColor="text1"/>
          <w:sz w:val="24"/>
          <w:szCs w:val="24"/>
          <w:highlight w:val="none"/>
          <w:u w:val="single"/>
          <w14:textFill>
            <w14:solidFill>
              <w14:schemeClr w14:val="tx1"/>
            </w14:solidFill>
          </w14:textFill>
        </w:rPr>
        <w:t>（中型企业、小型企业、微型企业）</w:t>
      </w:r>
      <w:r>
        <w:rPr>
          <w:rFonts w:hint="eastAsia" w:ascii="宋体" w:hAnsi="宋体" w:cs="宋体"/>
          <w:color w:val="000000" w:themeColor="text1"/>
          <w:sz w:val="24"/>
          <w:szCs w:val="24"/>
          <w:highlight w:val="none"/>
          <w14:textFill>
            <w14:solidFill>
              <w14:schemeClr w14:val="tx1"/>
            </w14:solidFill>
          </w14:textFill>
        </w:rPr>
        <w:t>；</w:t>
      </w:r>
    </w:p>
    <w:p w14:paraId="6FFD386E">
      <w:pPr>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p>
    <w:p w14:paraId="4376A3EA">
      <w:pPr>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14:paraId="4B4E7A35">
      <w:pPr>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本企业对上述声明内容的真实性负责。如有虚假，将依法承担相应责任。</w:t>
      </w:r>
    </w:p>
    <w:p w14:paraId="4D6A5D31">
      <w:pPr>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企业名称（盖章）：</w:t>
      </w:r>
    </w:p>
    <w:p w14:paraId="44ED7C53">
      <w:pPr>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日期：</w:t>
      </w:r>
    </w:p>
    <w:p w14:paraId="40DE4D8B">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br w:type="page"/>
      </w:r>
    </w:p>
    <w:p w14:paraId="77A0C1EB">
      <w:pPr>
        <w:pStyle w:val="8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4" w:beforeAutospacing="0" w:after="24" w:afterAutospacing="0"/>
        <w:ind w:left="0" w:right="0" w:firstLine="0"/>
        <w:jc w:val="center"/>
        <w:rPr>
          <w:rFonts w:hint="eastAsia" w:ascii="宋体" w:hAnsi="宋体" w:eastAsia="宋体" w:cs="宋体"/>
          <w:i w:val="0"/>
          <w:iCs w:val="0"/>
          <w:caps w:val="0"/>
          <w:spacing w:val="0"/>
          <w:sz w:val="21"/>
          <w:szCs w:val="24"/>
          <w:highlight w:val="none"/>
          <w:lang w:bidi="ar"/>
        </w:rPr>
      </w:pPr>
      <w:r>
        <w:rPr>
          <w:rFonts w:hint="eastAsia" w:ascii="宋体" w:hAnsi="宋体" w:eastAsia="宋体" w:cs="宋体"/>
          <w:i w:val="0"/>
          <w:iCs w:val="0"/>
          <w:caps w:val="0"/>
          <w:spacing w:val="0"/>
          <w:sz w:val="21"/>
          <w:szCs w:val="24"/>
          <w:highlight w:val="none"/>
          <w:shd w:val="clear" w:color="auto" w:fill="auto"/>
          <w:lang w:val="en-US" w:eastAsia="zh-CN" w:bidi="ar"/>
        </w:rPr>
        <w:t>4.</w:t>
      </w:r>
      <w:r>
        <w:rPr>
          <w:rFonts w:hint="eastAsia" w:ascii="宋体" w:hAnsi="宋体" w:eastAsia="宋体" w:cs="宋体"/>
          <w:i w:val="0"/>
          <w:iCs w:val="0"/>
          <w:caps w:val="0"/>
          <w:spacing w:val="0"/>
          <w:sz w:val="21"/>
          <w:szCs w:val="24"/>
          <w:highlight w:val="none"/>
          <w:shd w:val="clear" w:color="auto" w:fill="auto"/>
          <w:lang w:bidi="ar"/>
        </w:rPr>
        <w:t>关于符合本国产品标准的声明函</w:t>
      </w:r>
    </w:p>
    <w:p w14:paraId="345BA96C">
      <w:pPr>
        <w:pStyle w:val="8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4" w:beforeAutospacing="0" w:after="24" w:afterAutospacing="0"/>
        <w:ind w:left="0" w:right="0" w:firstLine="420"/>
        <w:rPr>
          <w:rFonts w:hint="eastAsia" w:ascii="宋体" w:hAnsi="宋体" w:eastAsia="宋体" w:cs="宋体"/>
          <w:i w:val="0"/>
          <w:iCs w:val="0"/>
          <w:caps w:val="0"/>
          <w:spacing w:val="0"/>
          <w:sz w:val="21"/>
          <w:szCs w:val="24"/>
          <w:highlight w:val="none"/>
          <w:lang w:bidi="ar"/>
        </w:rPr>
      </w:pPr>
    </w:p>
    <w:p w14:paraId="7AB5454C">
      <w:pPr>
        <w:pStyle w:val="8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4" w:beforeAutospacing="0" w:after="24" w:afterAutospacing="0"/>
        <w:ind w:left="0" w:right="0" w:firstLine="420"/>
        <w:rPr>
          <w:rFonts w:hint="eastAsia" w:ascii="宋体" w:hAnsi="宋体" w:eastAsia="宋体" w:cs="宋体"/>
          <w:i w:val="0"/>
          <w:iCs w:val="0"/>
          <w:caps w:val="0"/>
          <w:spacing w:val="0"/>
          <w:sz w:val="21"/>
          <w:szCs w:val="24"/>
          <w:highlight w:val="none"/>
          <w:lang w:bidi="ar"/>
        </w:rPr>
      </w:pPr>
      <w:r>
        <w:rPr>
          <w:rFonts w:hint="eastAsia" w:ascii="宋体" w:hAnsi="宋体" w:eastAsia="宋体" w:cs="宋体"/>
          <w:i w:val="0"/>
          <w:iCs w:val="0"/>
          <w:caps w:val="0"/>
          <w:spacing w:val="0"/>
          <w:sz w:val="21"/>
          <w:szCs w:val="24"/>
          <w:highlight w:val="none"/>
          <w:shd w:val="clear" w:color="auto" w:fill="auto"/>
          <w:lang w:bidi="ar"/>
        </w:rPr>
        <w:t>本公司（单位）郑重声明，根据《国务院办公厅关于在政府采购中实施本国产品标准及相关政策的通知》（国办发〔2025〕34号）的规定，本公司（单位）提供的以下产品属于本国产品。具体情况如下：</w:t>
      </w:r>
    </w:p>
    <w:p w14:paraId="7B73DEB2">
      <w:pPr>
        <w:pStyle w:val="8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4" w:beforeAutospacing="0" w:after="24" w:afterAutospacing="0"/>
        <w:ind w:left="0" w:right="0" w:firstLine="420"/>
        <w:rPr>
          <w:rFonts w:hint="eastAsia" w:ascii="宋体" w:hAnsi="宋体" w:eastAsia="宋体" w:cs="宋体"/>
          <w:i w:val="0"/>
          <w:iCs w:val="0"/>
          <w:caps w:val="0"/>
          <w:spacing w:val="0"/>
          <w:sz w:val="21"/>
          <w:szCs w:val="24"/>
          <w:highlight w:val="none"/>
          <w:lang w:bidi="ar"/>
        </w:rPr>
      </w:pPr>
      <w:r>
        <w:rPr>
          <w:rFonts w:hint="eastAsia" w:ascii="宋体" w:hAnsi="宋体" w:eastAsia="宋体" w:cs="宋体"/>
          <w:i w:val="0"/>
          <w:iCs w:val="0"/>
          <w:caps w:val="0"/>
          <w:spacing w:val="0"/>
          <w:sz w:val="21"/>
          <w:szCs w:val="24"/>
          <w:highlight w:val="none"/>
          <w:shd w:val="clear" w:color="auto" w:fill="auto"/>
          <w:lang w:bidi="ar"/>
        </w:rPr>
        <w:t>1.</w:t>
      </w:r>
      <w:r>
        <w:rPr>
          <w:rFonts w:hint="eastAsia" w:ascii="宋体" w:hAnsi="宋体" w:eastAsia="宋体" w:cs="宋体"/>
          <w:i w:val="0"/>
          <w:iCs w:val="0"/>
          <w:caps w:val="0"/>
          <w:spacing w:val="0"/>
          <w:sz w:val="21"/>
          <w:szCs w:val="24"/>
          <w:highlight w:val="none"/>
          <w:u w:val="none"/>
          <w:shd w:val="clear" w:color="auto" w:fill="auto"/>
          <w:lang w:bidi="ar"/>
        </w:rPr>
        <w:t>（产品名称1）</w:t>
      </w:r>
      <w:r>
        <w:rPr>
          <w:rFonts w:hint="eastAsia" w:ascii="宋体" w:hAnsi="宋体" w:eastAsia="宋体" w:cs="宋体"/>
          <w:i w:val="0"/>
          <w:iCs w:val="0"/>
          <w:caps w:val="0"/>
          <w:spacing w:val="0"/>
          <w:sz w:val="21"/>
          <w:szCs w:val="24"/>
          <w:highlight w:val="none"/>
          <w:u w:val="none"/>
          <w:shd w:val="clear" w:color="auto" w:fill="auto"/>
          <w:vertAlign w:val="baseline"/>
          <w:lang w:bidi="ar"/>
        </w:rPr>
        <w:t>1</w:t>
      </w:r>
      <w:r>
        <w:rPr>
          <w:rFonts w:hint="eastAsia" w:ascii="宋体" w:hAnsi="宋体" w:eastAsia="宋体" w:cs="宋体"/>
          <w:i w:val="0"/>
          <w:iCs w:val="0"/>
          <w:caps w:val="0"/>
          <w:spacing w:val="0"/>
          <w:sz w:val="21"/>
          <w:szCs w:val="24"/>
          <w:highlight w:val="none"/>
          <w:shd w:val="clear" w:color="auto" w:fill="auto"/>
          <w:lang w:bidi="ar"/>
        </w:rPr>
        <w:t>，生产厂为</w:t>
      </w:r>
      <w:r>
        <w:rPr>
          <w:rFonts w:hint="eastAsia" w:ascii="宋体" w:hAnsi="宋体" w:eastAsia="宋体" w:cs="宋体"/>
          <w:i w:val="0"/>
          <w:iCs w:val="0"/>
          <w:caps w:val="0"/>
          <w:spacing w:val="0"/>
          <w:sz w:val="21"/>
          <w:szCs w:val="24"/>
          <w:highlight w:val="none"/>
          <w:u w:val="none"/>
          <w:shd w:val="clear" w:color="auto" w:fill="auto"/>
          <w:lang w:bidi="ar"/>
        </w:rPr>
        <w:t>（厂名）</w:t>
      </w:r>
      <w:r>
        <w:rPr>
          <w:rFonts w:hint="eastAsia" w:ascii="宋体" w:hAnsi="宋体" w:eastAsia="宋体" w:cs="宋体"/>
          <w:i w:val="0"/>
          <w:iCs w:val="0"/>
          <w:caps w:val="0"/>
          <w:spacing w:val="0"/>
          <w:sz w:val="21"/>
          <w:szCs w:val="24"/>
          <w:highlight w:val="none"/>
          <w:u w:val="none"/>
          <w:shd w:val="clear" w:color="auto" w:fill="auto"/>
          <w:vertAlign w:val="baseline"/>
          <w:lang w:bidi="ar"/>
        </w:rPr>
        <w:t>2</w:t>
      </w:r>
      <w:r>
        <w:rPr>
          <w:rFonts w:hint="eastAsia" w:ascii="宋体" w:hAnsi="宋体" w:eastAsia="宋体" w:cs="宋体"/>
          <w:i w:val="0"/>
          <w:iCs w:val="0"/>
          <w:caps w:val="0"/>
          <w:spacing w:val="0"/>
          <w:sz w:val="21"/>
          <w:szCs w:val="24"/>
          <w:highlight w:val="none"/>
          <w:shd w:val="clear" w:color="auto" w:fill="auto"/>
          <w:lang w:bidi="ar"/>
        </w:rPr>
        <w:t>，厂址为</w:t>
      </w:r>
      <w:r>
        <w:rPr>
          <w:rFonts w:hint="eastAsia" w:ascii="宋体" w:hAnsi="宋体" w:eastAsia="宋体" w:cs="宋体"/>
          <w:i w:val="0"/>
          <w:iCs w:val="0"/>
          <w:caps w:val="0"/>
          <w:spacing w:val="0"/>
          <w:sz w:val="21"/>
          <w:szCs w:val="24"/>
          <w:highlight w:val="none"/>
          <w:u w:val="none"/>
          <w:shd w:val="clear" w:color="auto" w:fill="auto"/>
          <w:lang w:bidi="ar"/>
        </w:rPr>
        <w:t>（生产厂址）</w:t>
      </w:r>
      <w:r>
        <w:rPr>
          <w:rFonts w:hint="eastAsia" w:ascii="宋体" w:hAnsi="宋体" w:eastAsia="宋体" w:cs="宋体"/>
          <w:i w:val="0"/>
          <w:iCs w:val="0"/>
          <w:caps w:val="0"/>
          <w:spacing w:val="0"/>
          <w:sz w:val="21"/>
          <w:szCs w:val="24"/>
          <w:highlight w:val="none"/>
          <w:shd w:val="clear" w:color="auto" w:fill="auto"/>
          <w:lang w:bidi="ar"/>
        </w:rPr>
        <w:t>。</w:t>
      </w:r>
      <w:r>
        <w:rPr>
          <w:rFonts w:hint="eastAsia" w:ascii="宋体" w:hAnsi="宋体" w:eastAsia="宋体" w:cs="宋体"/>
          <w:i w:val="0"/>
          <w:iCs w:val="0"/>
          <w:caps w:val="0"/>
          <w:spacing w:val="0"/>
          <w:sz w:val="21"/>
          <w:szCs w:val="24"/>
          <w:highlight w:val="none"/>
          <w:u w:val="none"/>
          <w:shd w:val="clear" w:color="auto" w:fill="auto"/>
          <w:lang w:bidi="ar"/>
        </w:rPr>
        <w:t>（产品名称1）</w:t>
      </w:r>
      <w:r>
        <w:rPr>
          <w:rFonts w:hint="eastAsia" w:ascii="宋体" w:hAnsi="宋体" w:eastAsia="宋体" w:cs="宋体"/>
          <w:i w:val="0"/>
          <w:iCs w:val="0"/>
          <w:caps w:val="0"/>
          <w:spacing w:val="0"/>
          <w:sz w:val="21"/>
          <w:szCs w:val="24"/>
          <w:highlight w:val="none"/>
          <w:shd w:val="clear" w:color="auto" w:fill="auto"/>
          <w:lang w:bidi="ar"/>
        </w:rPr>
        <w:t>的中国境内生产的组件成本占比≥</w:t>
      </w:r>
      <w:r>
        <w:rPr>
          <w:rFonts w:hint="eastAsia" w:ascii="宋体" w:hAnsi="宋体" w:eastAsia="宋体" w:cs="宋体"/>
          <w:i w:val="0"/>
          <w:iCs w:val="0"/>
          <w:caps w:val="0"/>
          <w:spacing w:val="0"/>
          <w:sz w:val="21"/>
          <w:szCs w:val="24"/>
          <w:highlight w:val="none"/>
          <w:u w:val="none"/>
          <w:shd w:val="clear" w:color="auto" w:fill="auto"/>
          <w:lang w:bidi="ar"/>
        </w:rPr>
        <w:t>（规定比例）</w:t>
      </w:r>
      <w:r>
        <w:rPr>
          <w:rFonts w:hint="eastAsia" w:ascii="宋体" w:hAnsi="宋体" w:eastAsia="宋体" w:cs="宋体"/>
          <w:i w:val="0"/>
          <w:iCs w:val="0"/>
          <w:caps w:val="0"/>
          <w:spacing w:val="0"/>
          <w:sz w:val="21"/>
          <w:szCs w:val="24"/>
          <w:highlight w:val="none"/>
          <w:u w:val="none"/>
          <w:shd w:val="clear" w:color="auto" w:fill="auto"/>
          <w:vertAlign w:val="baseline"/>
          <w:lang w:bidi="ar"/>
        </w:rPr>
        <w:t>3</w:t>
      </w:r>
      <w:r>
        <w:rPr>
          <w:rFonts w:hint="eastAsia" w:ascii="宋体" w:hAnsi="宋体" w:eastAsia="宋体" w:cs="宋体"/>
          <w:i w:val="0"/>
          <w:iCs w:val="0"/>
          <w:caps w:val="0"/>
          <w:spacing w:val="0"/>
          <w:sz w:val="21"/>
          <w:szCs w:val="24"/>
          <w:highlight w:val="none"/>
          <w:shd w:val="clear" w:color="auto" w:fill="auto"/>
          <w:lang w:bidi="ar"/>
        </w:rPr>
        <w:t>。</w:t>
      </w:r>
      <w:r>
        <w:rPr>
          <w:rFonts w:hint="eastAsia" w:ascii="宋体" w:hAnsi="宋体" w:eastAsia="宋体" w:cs="宋体"/>
          <w:i w:val="0"/>
          <w:iCs w:val="0"/>
          <w:caps w:val="0"/>
          <w:spacing w:val="0"/>
          <w:sz w:val="21"/>
          <w:szCs w:val="24"/>
          <w:highlight w:val="none"/>
          <w:u w:val="none"/>
          <w:shd w:val="clear" w:color="auto" w:fill="auto"/>
          <w:lang w:bidi="ar"/>
        </w:rPr>
        <w:t>（产品名称1）</w:t>
      </w:r>
      <w:r>
        <w:rPr>
          <w:rFonts w:hint="eastAsia" w:ascii="宋体" w:hAnsi="宋体" w:eastAsia="宋体" w:cs="宋体"/>
          <w:i w:val="0"/>
          <w:iCs w:val="0"/>
          <w:caps w:val="0"/>
          <w:spacing w:val="0"/>
          <w:sz w:val="21"/>
          <w:szCs w:val="24"/>
          <w:highlight w:val="none"/>
          <w:shd w:val="clear" w:color="auto" w:fill="auto"/>
          <w:lang w:bidi="ar"/>
        </w:rPr>
        <w:t>的</w:t>
      </w:r>
      <w:r>
        <w:rPr>
          <w:rFonts w:hint="eastAsia" w:ascii="宋体" w:hAnsi="宋体" w:eastAsia="宋体" w:cs="宋体"/>
          <w:i w:val="0"/>
          <w:iCs w:val="0"/>
          <w:caps w:val="0"/>
          <w:spacing w:val="0"/>
          <w:sz w:val="21"/>
          <w:szCs w:val="24"/>
          <w:highlight w:val="none"/>
          <w:u w:val="none"/>
          <w:shd w:val="clear" w:color="auto" w:fill="auto"/>
          <w:lang w:bidi="ar"/>
        </w:rPr>
        <w:t>（关键组件）</w:t>
      </w:r>
      <w:r>
        <w:rPr>
          <w:rFonts w:hint="eastAsia" w:ascii="宋体" w:hAnsi="宋体" w:eastAsia="宋体" w:cs="宋体"/>
          <w:i w:val="0"/>
          <w:iCs w:val="0"/>
          <w:caps w:val="0"/>
          <w:spacing w:val="0"/>
          <w:sz w:val="21"/>
          <w:szCs w:val="24"/>
          <w:highlight w:val="none"/>
          <w:u w:val="none"/>
          <w:shd w:val="clear" w:color="auto" w:fill="auto"/>
          <w:vertAlign w:val="baseline"/>
          <w:lang w:bidi="ar"/>
        </w:rPr>
        <w:t>4</w:t>
      </w:r>
      <w:r>
        <w:rPr>
          <w:rFonts w:hint="eastAsia" w:ascii="宋体" w:hAnsi="宋体" w:eastAsia="宋体" w:cs="宋体"/>
          <w:i w:val="0"/>
          <w:iCs w:val="0"/>
          <w:caps w:val="0"/>
          <w:spacing w:val="0"/>
          <w:sz w:val="21"/>
          <w:szCs w:val="24"/>
          <w:highlight w:val="none"/>
          <w:shd w:val="clear" w:color="auto" w:fill="auto"/>
          <w:lang w:bidi="ar"/>
        </w:rPr>
        <w:t>在中国境内生产。</w:t>
      </w:r>
      <w:r>
        <w:rPr>
          <w:rFonts w:hint="eastAsia" w:ascii="宋体" w:hAnsi="宋体" w:eastAsia="宋体" w:cs="宋体"/>
          <w:i w:val="0"/>
          <w:iCs w:val="0"/>
          <w:caps w:val="0"/>
          <w:spacing w:val="0"/>
          <w:sz w:val="21"/>
          <w:szCs w:val="24"/>
          <w:highlight w:val="none"/>
          <w:u w:val="none"/>
          <w:shd w:val="clear" w:color="auto" w:fill="auto"/>
          <w:lang w:bidi="ar"/>
        </w:rPr>
        <w:t>（产品名称1）</w:t>
      </w:r>
      <w:r>
        <w:rPr>
          <w:rFonts w:hint="eastAsia" w:ascii="宋体" w:hAnsi="宋体" w:eastAsia="宋体" w:cs="宋体"/>
          <w:i w:val="0"/>
          <w:iCs w:val="0"/>
          <w:caps w:val="0"/>
          <w:spacing w:val="0"/>
          <w:sz w:val="21"/>
          <w:szCs w:val="24"/>
          <w:highlight w:val="none"/>
          <w:shd w:val="clear" w:color="auto" w:fill="auto"/>
          <w:lang w:bidi="ar"/>
        </w:rPr>
        <w:t>的</w:t>
      </w:r>
      <w:r>
        <w:rPr>
          <w:rFonts w:hint="eastAsia" w:ascii="宋体" w:hAnsi="宋体" w:eastAsia="宋体" w:cs="宋体"/>
          <w:i w:val="0"/>
          <w:iCs w:val="0"/>
          <w:caps w:val="0"/>
          <w:spacing w:val="0"/>
          <w:sz w:val="21"/>
          <w:szCs w:val="24"/>
          <w:highlight w:val="none"/>
          <w:u w:val="none"/>
          <w:shd w:val="clear" w:color="auto" w:fill="auto"/>
          <w:lang w:bidi="ar"/>
        </w:rPr>
        <w:t>（关键工序）</w:t>
      </w:r>
      <w:r>
        <w:rPr>
          <w:rFonts w:hint="eastAsia" w:ascii="宋体" w:hAnsi="宋体" w:eastAsia="宋体" w:cs="宋体"/>
          <w:i w:val="0"/>
          <w:iCs w:val="0"/>
          <w:caps w:val="0"/>
          <w:spacing w:val="0"/>
          <w:sz w:val="21"/>
          <w:szCs w:val="24"/>
          <w:highlight w:val="none"/>
          <w:u w:val="none"/>
          <w:shd w:val="clear" w:color="auto" w:fill="auto"/>
          <w:vertAlign w:val="baseline"/>
          <w:lang w:bidi="ar"/>
        </w:rPr>
        <w:t>5</w:t>
      </w:r>
      <w:r>
        <w:rPr>
          <w:rFonts w:hint="eastAsia" w:ascii="宋体" w:hAnsi="宋体" w:eastAsia="宋体" w:cs="宋体"/>
          <w:i w:val="0"/>
          <w:iCs w:val="0"/>
          <w:caps w:val="0"/>
          <w:spacing w:val="0"/>
          <w:sz w:val="21"/>
          <w:szCs w:val="24"/>
          <w:highlight w:val="none"/>
          <w:shd w:val="clear" w:color="auto" w:fill="auto"/>
          <w:lang w:bidi="ar"/>
        </w:rPr>
        <w:t>在中国境内完成。</w:t>
      </w:r>
    </w:p>
    <w:p w14:paraId="1ACB57FA">
      <w:pPr>
        <w:pStyle w:val="8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4" w:beforeAutospacing="0" w:after="24" w:afterAutospacing="0"/>
        <w:ind w:left="0" w:right="0" w:firstLine="420"/>
        <w:rPr>
          <w:rFonts w:hint="eastAsia" w:ascii="宋体" w:hAnsi="宋体" w:eastAsia="宋体" w:cs="宋体"/>
          <w:i w:val="0"/>
          <w:iCs w:val="0"/>
          <w:caps w:val="0"/>
          <w:spacing w:val="0"/>
          <w:sz w:val="21"/>
          <w:szCs w:val="24"/>
          <w:highlight w:val="none"/>
          <w:lang w:bidi="ar"/>
        </w:rPr>
      </w:pPr>
      <w:r>
        <w:rPr>
          <w:rFonts w:hint="eastAsia" w:ascii="宋体" w:hAnsi="宋体" w:eastAsia="宋体" w:cs="宋体"/>
          <w:i w:val="0"/>
          <w:iCs w:val="0"/>
          <w:caps w:val="0"/>
          <w:spacing w:val="0"/>
          <w:sz w:val="21"/>
          <w:szCs w:val="24"/>
          <w:highlight w:val="none"/>
          <w:shd w:val="clear" w:color="auto" w:fill="auto"/>
          <w:lang w:bidi="ar"/>
        </w:rPr>
        <w:t>2.</w:t>
      </w:r>
      <w:r>
        <w:rPr>
          <w:rFonts w:hint="eastAsia" w:ascii="宋体" w:hAnsi="宋体" w:eastAsia="宋体" w:cs="宋体"/>
          <w:i w:val="0"/>
          <w:iCs w:val="0"/>
          <w:caps w:val="0"/>
          <w:spacing w:val="0"/>
          <w:sz w:val="21"/>
          <w:szCs w:val="24"/>
          <w:highlight w:val="none"/>
          <w:u w:val="none"/>
          <w:shd w:val="clear" w:color="auto" w:fill="auto"/>
          <w:lang w:bidi="ar"/>
        </w:rPr>
        <w:t>（产品名称2）</w:t>
      </w:r>
      <w:r>
        <w:rPr>
          <w:rFonts w:hint="eastAsia" w:ascii="宋体" w:hAnsi="宋体" w:eastAsia="宋体" w:cs="宋体"/>
          <w:i w:val="0"/>
          <w:iCs w:val="0"/>
          <w:caps w:val="0"/>
          <w:spacing w:val="0"/>
          <w:sz w:val="21"/>
          <w:szCs w:val="24"/>
          <w:highlight w:val="none"/>
          <w:shd w:val="clear" w:color="auto" w:fill="auto"/>
          <w:lang w:bidi="ar"/>
        </w:rPr>
        <w:t>，生产厂为</w:t>
      </w:r>
      <w:r>
        <w:rPr>
          <w:rFonts w:hint="eastAsia" w:ascii="宋体" w:hAnsi="宋体" w:eastAsia="宋体" w:cs="宋体"/>
          <w:i w:val="0"/>
          <w:iCs w:val="0"/>
          <w:caps w:val="0"/>
          <w:spacing w:val="0"/>
          <w:sz w:val="21"/>
          <w:szCs w:val="24"/>
          <w:highlight w:val="none"/>
          <w:u w:val="none"/>
          <w:shd w:val="clear" w:color="auto" w:fill="auto"/>
          <w:lang w:bidi="ar"/>
        </w:rPr>
        <w:t>（厂名）</w:t>
      </w:r>
      <w:r>
        <w:rPr>
          <w:rFonts w:hint="eastAsia" w:ascii="宋体" w:hAnsi="宋体" w:eastAsia="宋体" w:cs="宋体"/>
          <w:i w:val="0"/>
          <w:iCs w:val="0"/>
          <w:caps w:val="0"/>
          <w:spacing w:val="0"/>
          <w:sz w:val="21"/>
          <w:szCs w:val="24"/>
          <w:highlight w:val="none"/>
          <w:shd w:val="clear" w:color="auto" w:fill="auto"/>
          <w:lang w:bidi="ar"/>
        </w:rPr>
        <w:t>，厂址为</w:t>
      </w:r>
      <w:r>
        <w:rPr>
          <w:rFonts w:hint="eastAsia" w:ascii="宋体" w:hAnsi="宋体" w:eastAsia="宋体" w:cs="宋体"/>
          <w:i w:val="0"/>
          <w:iCs w:val="0"/>
          <w:caps w:val="0"/>
          <w:spacing w:val="0"/>
          <w:sz w:val="21"/>
          <w:szCs w:val="24"/>
          <w:highlight w:val="none"/>
          <w:u w:val="none"/>
          <w:shd w:val="clear" w:color="auto" w:fill="auto"/>
          <w:lang w:bidi="ar"/>
        </w:rPr>
        <w:t>（生产厂址）</w:t>
      </w:r>
      <w:r>
        <w:rPr>
          <w:rFonts w:hint="eastAsia" w:ascii="宋体" w:hAnsi="宋体" w:eastAsia="宋体" w:cs="宋体"/>
          <w:i w:val="0"/>
          <w:iCs w:val="0"/>
          <w:caps w:val="0"/>
          <w:spacing w:val="0"/>
          <w:sz w:val="21"/>
          <w:szCs w:val="24"/>
          <w:highlight w:val="none"/>
          <w:shd w:val="clear" w:color="auto" w:fill="auto"/>
          <w:lang w:bidi="ar"/>
        </w:rPr>
        <w:t>。</w:t>
      </w:r>
      <w:r>
        <w:rPr>
          <w:rFonts w:hint="eastAsia" w:ascii="宋体" w:hAnsi="宋体" w:eastAsia="宋体" w:cs="宋体"/>
          <w:i w:val="0"/>
          <w:iCs w:val="0"/>
          <w:caps w:val="0"/>
          <w:spacing w:val="0"/>
          <w:sz w:val="21"/>
          <w:szCs w:val="24"/>
          <w:highlight w:val="none"/>
          <w:u w:val="none"/>
          <w:shd w:val="clear" w:color="auto" w:fill="auto"/>
          <w:lang w:bidi="ar"/>
        </w:rPr>
        <w:t>（产品名称2）</w:t>
      </w:r>
      <w:r>
        <w:rPr>
          <w:rFonts w:hint="eastAsia" w:ascii="宋体" w:hAnsi="宋体" w:eastAsia="宋体" w:cs="宋体"/>
          <w:i w:val="0"/>
          <w:iCs w:val="0"/>
          <w:caps w:val="0"/>
          <w:spacing w:val="0"/>
          <w:sz w:val="21"/>
          <w:szCs w:val="24"/>
          <w:highlight w:val="none"/>
          <w:shd w:val="clear" w:color="auto" w:fill="auto"/>
          <w:lang w:bidi="ar"/>
        </w:rPr>
        <w:t>的中国境内生产的组件成本占比≥</w:t>
      </w:r>
      <w:r>
        <w:rPr>
          <w:rFonts w:hint="eastAsia" w:ascii="宋体" w:hAnsi="宋体" w:eastAsia="宋体" w:cs="宋体"/>
          <w:i w:val="0"/>
          <w:iCs w:val="0"/>
          <w:caps w:val="0"/>
          <w:spacing w:val="0"/>
          <w:sz w:val="21"/>
          <w:szCs w:val="24"/>
          <w:highlight w:val="none"/>
          <w:u w:val="none"/>
          <w:shd w:val="clear" w:color="auto" w:fill="auto"/>
          <w:lang w:bidi="ar"/>
        </w:rPr>
        <w:t>（规定比例）</w:t>
      </w:r>
      <w:r>
        <w:rPr>
          <w:rFonts w:hint="eastAsia" w:ascii="宋体" w:hAnsi="宋体" w:eastAsia="宋体" w:cs="宋体"/>
          <w:i w:val="0"/>
          <w:iCs w:val="0"/>
          <w:caps w:val="0"/>
          <w:spacing w:val="0"/>
          <w:sz w:val="21"/>
          <w:szCs w:val="24"/>
          <w:highlight w:val="none"/>
          <w:shd w:val="clear" w:color="auto" w:fill="auto"/>
          <w:lang w:bidi="ar"/>
        </w:rPr>
        <w:t>。</w:t>
      </w:r>
      <w:r>
        <w:rPr>
          <w:rFonts w:hint="eastAsia" w:ascii="宋体" w:hAnsi="宋体" w:eastAsia="宋体" w:cs="宋体"/>
          <w:i w:val="0"/>
          <w:iCs w:val="0"/>
          <w:caps w:val="0"/>
          <w:spacing w:val="0"/>
          <w:sz w:val="21"/>
          <w:szCs w:val="24"/>
          <w:highlight w:val="none"/>
          <w:u w:val="none"/>
          <w:shd w:val="clear" w:color="auto" w:fill="auto"/>
          <w:lang w:bidi="ar"/>
        </w:rPr>
        <w:t>（产品名称2）</w:t>
      </w:r>
      <w:r>
        <w:rPr>
          <w:rFonts w:hint="eastAsia" w:ascii="宋体" w:hAnsi="宋体" w:eastAsia="宋体" w:cs="宋体"/>
          <w:i w:val="0"/>
          <w:iCs w:val="0"/>
          <w:caps w:val="0"/>
          <w:spacing w:val="0"/>
          <w:sz w:val="21"/>
          <w:szCs w:val="24"/>
          <w:highlight w:val="none"/>
          <w:shd w:val="clear" w:color="auto" w:fill="auto"/>
          <w:lang w:bidi="ar"/>
        </w:rPr>
        <w:t>的</w:t>
      </w:r>
      <w:r>
        <w:rPr>
          <w:rFonts w:hint="eastAsia" w:ascii="宋体" w:hAnsi="宋体" w:eastAsia="宋体" w:cs="宋体"/>
          <w:i w:val="0"/>
          <w:iCs w:val="0"/>
          <w:caps w:val="0"/>
          <w:spacing w:val="0"/>
          <w:sz w:val="21"/>
          <w:szCs w:val="24"/>
          <w:highlight w:val="none"/>
          <w:u w:val="none"/>
          <w:shd w:val="clear" w:color="auto" w:fill="auto"/>
          <w:lang w:bidi="ar"/>
        </w:rPr>
        <w:t>（关键组件）</w:t>
      </w:r>
      <w:r>
        <w:rPr>
          <w:rFonts w:hint="eastAsia" w:ascii="宋体" w:hAnsi="宋体" w:eastAsia="宋体" w:cs="宋体"/>
          <w:i w:val="0"/>
          <w:iCs w:val="0"/>
          <w:caps w:val="0"/>
          <w:spacing w:val="0"/>
          <w:sz w:val="21"/>
          <w:szCs w:val="24"/>
          <w:highlight w:val="none"/>
          <w:shd w:val="clear" w:color="auto" w:fill="auto"/>
          <w:lang w:bidi="ar"/>
        </w:rPr>
        <w:t>在中国境内生产。</w:t>
      </w:r>
      <w:r>
        <w:rPr>
          <w:rFonts w:hint="eastAsia" w:ascii="宋体" w:hAnsi="宋体" w:eastAsia="宋体" w:cs="宋体"/>
          <w:i w:val="0"/>
          <w:iCs w:val="0"/>
          <w:caps w:val="0"/>
          <w:spacing w:val="0"/>
          <w:sz w:val="21"/>
          <w:szCs w:val="24"/>
          <w:highlight w:val="none"/>
          <w:u w:val="none"/>
          <w:shd w:val="clear" w:color="auto" w:fill="auto"/>
          <w:lang w:bidi="ar"/>
        </w:rPr>
        <w:t>（产品名称2）</w:t>
      </w:r>
      <w:r>
        <w:rPr>
          <w:rFonts w:hint="eastAsia" w:ascii="宋体" w:hAnsi="宋体" w:eastAsia="宋体" w:cs="宋体"/>
          <w:i w:val="0"/>
          <w:iCs w:val="0"/>
          <w:caps w:val="0"/>
          <w:spacing w:val="0"/>
          <w:sz w:val="21"/>
          <w:szCs w:val="24"/>
          <w:highlight w:val="none"/>
          <w:shd w:val="clear" w:color="auto" w:fill="auto"/>
          <w:lang w:bidi="ar"/>
        </w:rPr>
        <w:t>的</w:t>
      </w:r>
      <w:r>
        <w:rPr>
          <w:rFonts w:hint="eastAsia" w:ascii="宋体" w:hAnsi="宋体" w:eastAsia="宋体" w:cs="宋体"/>
          <w:i w:val="0"/>
          <w:iCs w:val="0"/>
          <w:caps w:val="0"/>
          <w:spacing w:val="0"/>
          <w:sz w:val="21"/>
          <w:szCs w:val="24"/>
          <w:highlight w:val="none"/>
          <w:u w:val="none"/>
          <w:shd w:val="clear" w:color="auto" w:fill="auto"/>
          <w:lang w:bidi="ar"/>
        </w:rPr>
        <w:t>（关键工序）</w:t>
      </w:r>
      <w:r>
        <w:rPr>
          <w:rFonts w:hint="eastAsia" w:ascii="宋体" w:hAnsi="宋体" w:eastAsia="宋体" w:cs="宋体"/>
          <w:i w:val="0"/>
          <w:iCs w:val="0"/>
          <w:caps w:val="0"/>
          <w:spacing w:val="0"/>
          <w:sz w:val="21"/>
          <w:szCs w:val="24"/>
          <w:highlight w:val="none"/>
          <w:shd w:val="clear" w:color="auto" w:fill="auto"/>
          <w:lang w:bidi="ar"/>
        </w:rPr>
        <w:t>在中国境内完成。</w:t>
      </w:r>
    </w:p>
    <w:p w14:paraId="64300974">
      <w:pPr>
        <w:pStyle w:val="8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4" w:beforeAutospacing="0" w:after="24" w:afterAutospacing="0"/>
        <w:ind w:left="0" w:right="0" w:firstLine="420"/>
        <w:rPr>
          <w:rFonts w:hint="eastAsia" w:ascii="宋体" w:hAnsi="宋体" w:eastAsia="宋体" w:cs="宋体"/>
          <w:i w:val="0"/>
          <w:iCs w:val="0"/>
          <w:caps w:val="0"/>
          <w:spacing w:val="0"/>
          <w:sz w:val="21"/>
          <w:szCs w:val="24"/>
          <w:highlight w:val="none"/>
          <w:lang w:bidi="ar"/>
        </w:rPr>
      </w:pPr>
      <w:r>
        <w:rPr>
          <w:rFonts w:hint="eastAsia" w:ascii="宋体" w:hAnsi="宋体" w:eastAsia="宋体" w:cs="宋体"/>
          <w:i w:val="0"/>
          <w:iCs w:val="0"/>
          <w:caps w:val="0"/>
          <w:spacing w:val="0"/>
          <w:sz w:val="21"/>
          <w:szCs w:val="24"/>
          <w:highlight w:val="none"/>
          <w:shd w:val="clear" w:color="auto" w:fill="auto"/>
          <w:lang w:bidi="ar"/>
        </w:rPr>
        <w:t>……</w:t>
      </w:r>
    </w:p>
    <w:p w14:paraId="47394311">
      <w:pPr>
        <w:pStyle w:val="8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4" w:beforeAutospacing="0" w:after="24" w:afterAutospacing="0"/>
        <w:ind w:left="0" w:right="0" w:firstLine="420"/>
        <w:rPr>
          <w:rFonts w:hint="eastAsia" w:ascii="宋体" w:hAnsi="宋体" w:eastAsia="宋体" w:cs="宋体"/>
          <w:i w:val="0"/>
          <w:iCs w:val="0"/>
          <w:caps w:val="0"/>
          <w:spacing w:val="0"/>
          <w:sz w:val="21"/>
          <w:szCs w:val="24"/>
          <w:highlight w:val="none"/>
          <w:lang w:bidi="ar"/>
        </w:rPr>
      </w:pPr>
      <w:r>
        <w:rPr>
          <w:rFonts w:hint="eastAsia" w:ascii="宋体" w:hAnsi="宋体" w:eastAsia="宋体" w:cs="宋体"/>
          <w:i w:val="0"/>
          <w:iCs w:val="0"/>
          <w:caps w:val="0"/>
          <w:spacing w:val="0"/>
          <w:sz w:val="21"/>
          <w:szCs w:val="24"/>
          <w:highlight w:val="none"/>
          <w:shd w:val="clear" w:color="auto" w:fill="auto"/>
          <w:lang w:bidi="ar"/>
        </w:rPr>
        <w:t>本公司（单位）对上述声明内容的真实性负责。如有虚假，愿承担相应法律责任。</w:t>
      </w:r>
    </w:p>
    <w:p w14:paraId="5FBEF2F3">
      <w:pPr>
        <w:pStyle w:val="8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4" w:beforeAutospacing="0" w:after="24" w:afterAutospacing="0"/>
        <w:ind w:left="0" w:right="0" w:firstLine="0"/>
        <w:rPr>
          <w:rFonts w:hint="eastAsia" w:ascii="宋体" w:hAnsi="宋体" w:eastAsia="宋体" w:cs="宋体"/>
          <w:i w:val="0"/>
          <w:iCs w:val="0"/>
          <w:caps w:val="0"/>
          <w:spacing w:val="0"/>
          <w:sz w:val="21"/>
          <w:szCs w:val="24"/>
          <w:highlight w:val="none"/>
          <w:lang w:bidi="ar"/>
        </w:rPr>
      </w:pPr>
    </w:p>
    <w:p w14:paraId="1399EE2B">
      <w:pPr>
        <w:pStyle w:val="8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4" w:beforeAutospacing="0" w:after="24" w:afterAutospacing="0"/>
        <w:ind w:left="0" w:right="0" w:firstLine="0"/>
        <w:jc w:val="right"/>
        <w:rPr>
          <w:rFonts w:hint="eastAsia" w:ascii="宋体" w:hAnsi="宋体" w:eastAsia="宋体" w:cs="宋体"/>
          <w:i w:val="0"/>
          <w:iCs w:val="0"/>
          <w:caps w:val="0"/>
          <w:spacing w:val="0"/>
          <w:sz w:val="21"/>
          <w:szCs w:val="24"/>
          <w:highlight w:val="none"/>
          <w:lang w:bidi="ar"/>
        </w:rPr>
      </w:pPr>
      <w:r>
        <w:rPr>
          <w:rFonts w:hint="eastAsia" w:ascii="宋体" w:hAnsi="宋体" w:eastAsia="宋体" w:cs="宋体"/>
          <w:i w:val="0"/>
          <w:iCs w:val="0"/>
          <w:caps w:val="0"/>
          <w:spacing w:val="0"/>
          <w:sz w:val="21"/>
          <w:szCs w:val="24"/>
          <w:highlight w:val="none"/>
          <w:shd w:val="clear" w:color="auto" w:fill="auto"/>
          <w:lang w:bidi="ar"/>
        </w:rPr>
        <w:t>公司（单位）名称（盖章）：　        </w:t>
      </w:r>
    </w:p>
    <w:p w14:paraId="464B8623">
      <w:pPr>
        <w:snapToGrid w:val="0"/>
        <w:spacing w:line="360" w:lineRule="auto"/>
        <w:ind w:firstLine="420" w:firstLineChars="200"/>
        <w:jc w:val="righ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spacing w:val="0"/>
          <w:sz w:val="21"/>
          <w:szCs w:val="24"/>
          <w:highlight w:val="none"/>
          <w:shd w:val="clear" w:color="auto" w:fill="auto"/>
          <w:lang w:bidi="ar"/>
        </w:rPr>
        <w:t>日期：　     年　  月　  日 </w:t>
      </w:r>
    </w:p>
    <w:p w14:paraId="7DB902AC">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14:paraId="32DD5120">
      <w:pPr>
        <w:pStyle w:val="4"/>
        <w:rPr>
          <w:rFonts w:ascii="宋体" w:hAnsi="宋体" w:cs="宋体"/>
          <w:color w:val="000000" w:themeColor="text1"/>
          <w:highlight w:val="none"/>
          <w14:textFill>
            <w14:solidFill>
              <w14:schemeClr w14:val="tx1"/>
            </w14:solidFill>
          </w14:textFill>
        </w:rPr>
      </w:pPr>
      <w:bookmarkStart w:id="125" w:name="_Toc27840"/>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、供应商诚信承诺书</w:t>
      </w:r>
      <w:bookmarkEnd w:id="125"/>
    </w:p>
    <w:p w14:paraId="459401C1">
      <w:pPr>
        <w:autoSpaceDE w:val="0"/>
        <w:autoSpaceDN w:val="0"/>
        <w:adjustRightInd w:val="0"/>
        <w:spacing w:line="360" w:lineRule="auto"/>
        <w:ind w:firstLine="48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为了诚实、客观、有序地参与洛浦县人民医院招标活动，愿就以下内容作出承诺：</w:t>
      </w:r>
    </w:p>
    <w:p w14:paraId="59F4C282">
      <w:pPr>
        <w:autoSpaceDE w:val="0"/>
        <w:autoSpaceDN w:val="0"/>
        <w:adjustRightInd w:val="0"/>
        <w:spacing w:line="360" w:lineRule="auto"/>
        <w:ind w:firstLine="48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一、自觉遵守各项法律、法规、规章、制度以及社会公德，维护廉洁环境，与同场竞争的供应商平等参加招标活动。</w:t>
      </w:r>
    </w:p>
    <w:p w14:paraId="7A150B2C">
      <w:pPr>
        <w:autoSpaceDE w:val="0"/>
        <w:autoSpaceDN w:val="0"/>
        <w:adjustRightInd w:val="0"/>
        <w:spacing w:line="360" w:lineRule="auto"/>
        <w:ind w:firstLine="48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二、参加采购人组织的招标活动时，严格按照招标文件的规定和要求提供所需的相关材料，并对所提供的各类资料的真实性负责，不虚假应标，不虚列业绩。</w:t>
      </w:r>
    </w:p>
    <w:p w14:paraId="6AE7B39D">
      <w:pPr>
        <w:autoSpaceDE w:val="0"/>
        <w:autoSpaceDN w:val="0"/>
        <w:adjustRightInd w:val="0"/>
        <w:spacing w:line="360" w:lineRule="auto"/>
        <w:ind w:firstLine="48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三、尊重参与招标活动各相关方的合法行为，接受招标活动依法形成的意见、结果。</w:t>
      </w:r>
    </w:p>
    <w:p w14:paraId="50730B39">
      <w:pPr>
        <w:autoSpaceDE w:val="0"/>
        <w:autoSpaceDN w:val="0"/>
        <w:adjustRightInd w:val="0"/>
        <w:spacing w:line="360" w:lineRule="auto"/>
        <w:ind w:firstLine="48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四、依法参加招标活动，不围标、串标，维护市场秩序，不提供“三无”产品、以次充好。</w:t>
      </w:r>
    </w:p>
    <w:p w14:paraId="58C76E58">
      <w:pPr>
        <w:autoSpaceDE w:val="0"/>
        <w:autoSpaceDN w:val="0"/>
        <w:adjustRightInd w:val="0"/>
        <w:spacing w:line="360" w:lineRule="auto"/>
        <w:ind w:firstLine="48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五、积极推动招标活动健康开展，对采购活动有疑问、异议时，按法律规定的程序实名（加盖单位章和法定代表人签名）反映情况，不恶意中伤、无事生非，以和谐、平等的心态参加招标活动。</w:t>
      </w:r>
    </w:p>
    <w:p w14:paraId="2F7C99B8">
      <w:pPr>
        <w:autoSpaceDE w:val="0"/>
        <w:autoSpaceDN w:val="0"/>
        <w:adjustRightInd w:val="0"/>
        <w:spacing w:line="360" w:lineRule="auto"/>
        <w:ind w:firstLine="48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六、认真履行中标人应承担的责任和义务，全面执行采购合同规定的各项内容，保质保量地按时提供采购物品。</w:t>
      </w:r>
    </w:p>
    <w:p w14:paraId="44E00A44">
      <w:pPr>
        <w:autoSpaceDE w:val="0"/>
        <w:autoSpaceDN w:val="0"/>
        <w:adjustRightInd w:val="0"/>
        <w:spacing w:line="360" w:lineRule="auto"/>
        <w:ind w:firstLine="480" w:firstLineChars="2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若本企业（单位）发生有悖于上述承诺的行为，愿意接受《中华人民共和国招标投标法》等有关法律法规中对供应商的相关处理。</w:t>
      </w:r>
    </w:p>
    <w:p w14:paraId="7918A314">
      <w:pPr>
        <w:autoSpaceDE w:val="0"/>
        <w:autoSpaceDN w:val="0"/>
        <w:adjustRightInd w:val="0"/>
        <w:spacing w:line="360" w:lineRule="auto"/>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本承诺是采购项目投标文件的组成部分。</w:t>
      </w:r>
    </w:p>
    <w:p w14:paraId="38F7584A">
      <w:pPr>
        <w:autoSpaceDE w:val="0"/>
        <w:autoSpaceDN w:val="0"/>
        <w:adjustRightInd w:val="0"/>
        <w:spacing w:line="360" w:lineRule="auto"/>
        <w:ind w:firstLine="4435" w:firstLineChars="1848"/>
        <w:rPr>
          <w:rFonts w:ascii="宋体" w:hAnsi="宋体" w:cs="宋体"/>
          <w:bCs/>
          <w:color w:val="000000" w:themeColor="text1"/>
          <w:kern w:val="0"/>
          <w:sz w:val="24"/>
          <w:highlight w:val="none"/>
          <w:lang w:val="zh-CN"/>
          <w14:textFill>
            <w14:solidFill>
              <w14:schemeClr w14:val="tx1"/>
            </w14:solidFill>
          </w14:textFill>
        </w:rPr>
      </w:pPr>
      <w:r>
        <w:rPr>
          <w:rFonts w:hint="eastAsia" w:ascii="宋体" w:hAnsi="宋体" w:cs="宋体"/>
          <w:bCs/>
          <w:color w:val="000000" w:themeColor="text1"/>
          <w:kern w:val="0"/>
          <w:sz w:val="24"/>
          <w:highlight w:val="none"/>
          <w:lang w:val="zh-CN"/>
          <w14:textFill>
            <w14:solidFill>
              <w14:schemeClr w14:val="tx1"/>
            </w14:solidFill>
          </w14:textFill>
        </w:rPr>
        <w:t>供应商：             （公章）</w:t>
      </w:r>
    </w:p>
    <w:p w14:paraId="220C56BB">
      <w:pPr>
        <w:autoSpaceDE w:val="0"/>
        <w:autoSpaceDN w:val="0"/>
        <w:adjustRightInd w:val="0"/>
        <w:spacing w:line="360" w:lineRule="auto"/>
        <w:rPr>
          <w:rFonts w:ascii="宋体" w:hAnsi="宋体" w:cs="宋体"/>
          <w:bCs/>
          <w:color w:val="000000" w:themeColor="text1"/>
          <w:kern w:val="0"/>
          <w:sz w:val="24"/>
          <w:highlight w:val="none"/>
          <w:lang w:val="zh-CN"/>
          <w14:textFill>
            <w14:solidFill>
              <w14:schemeClr w14:val="tx1"/>
            </w14:solidFill>
          </w14:textFill>
        </w:rPr>
      </w:pPr>
      <w:r>
        <w:rPr>
          <w:rFonts w:hint="eastAsia" w:ascii="宋体" w:hAnsi="宋体" w:cs="宋体"/>
          <w:bCs/>
          <w:color w:val="000000" w:themeColor="text1"/>
          <w:kern w:val="0"/>
          <w:sz w:val="24"/>
          <w:highlight w:val="none"/>
          <w:lang w:val="zh-CN"/>
          <w14:textFill>
            <w14:solidFill>
              <w14:schemeClr w14:val="tx1"/>
            </w14:solidFill>
          </w14:textFill>
        </w:rPr>
        <w:t xml:space="preserve">                     法定代表人或委托代理人：             （签字）</w:t>
      </w:r>
    </w:p>
    <w:p w14:paraId="7096BF1E">
      <w:pPr>
        <w:spacing w:line="360" w:lineRule="auto"/>
        <w:rPr>
          <w:rFonts w:ascii="宋体" w:hAnsi="宋体" w:cs="宋体"/>
          <w:bCs/>
          <w:color w:val="000000" w:themeColor="text1"/>
          <w:kern w:val="0"/>
          <w:sz w:val="24"/>
          <w:highlight w:val="none"/>
          <w:lang w:val="zh-CN"/>
          <w14:textFill>
            <w14:solidFill>
              <w14:schemeClr w14:val="tx1"/>
            </w14:solidFill>
          </w14:textFill>
        </w:rPr>
      </w:pPr>
      <w:r>
        <w:rPr>
          <w:rFonts w:hint="eastAsia" w:ascii="宋体" w:hAnsi="宋体" w:cs="宋体"/>
          <w:bCs/>
          <w:color w:val="000000" w:themeColor="text1"/>
          <w:kern w:val="0"/>
          <w:sz w:val="24"/>
          <w:highlight w:val="none"/>
          <w:lang w:val="zh-CN"/>
          <w14:textFill>
            <w14:solidFill>
              <w14:schemeClr w14:val="tx1"/>
            </w14:solidFill>
          </w14:textFill>
        </w:rPr>
        <w:t xml:space="preserve">                                         年   月   日</w:t>
      </w:r>
    </w:p>
    <w:p w14:paraId="06EA2E4C">
      <w:pP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br w:type="page"/>
      </w:r>
    </w:p>
    <w:p w14:paraId="74422F1D">
      <w:pPr>
        <w:pStyle w:val="33"/>
        <w:jc w:val="center"/>
        <w:outlineLvl w:val="1"/>
        <w:rPr>
          <w:rFonts w:ascii="宋体" w:hAnsi="宋体" w:cs="宋体"/>
          <w:b/>
          <w:color w:val="000000" w:themeColor="text1"/>
          <w:sz w:val="30"/>
          <w:highlight w:val="none"/>
          <w14:textFill>
            <w14:solidFill>
              <w14:schemeClr w14:val="tx1"/>
            </w14:solidFill>
          </w14:textFill>
        </w:rPr>
      </w:pPr>
      <w:bookmarkStart w:id="126" w:name="_Toc15984"/>
      <w:r>
        <w:rPr>
          <w:rFonts w:hint="eastAsia" w:ascii="宋体" w:hAnsi="宋体" w:cs="宋体"/>
          <w:b/>
          <w:color w:val="000000" w:themeColor="text1"/>
          <w:sz w:val="30"/>
          <w:highlight w:val="none"/>
          <w14:textFill>
            <w14:solidFill>
              <w14:schemeClr w14:val="tx1"/>
            </w14:solidFill>
          </w14:textFill>
        </w:rPr>
        <w:t>1</w:t>
      </w:r>
      <w:r>
        <w:rPr>
          <w:rFonts w:hint="eastAsia" w:ascii="宋体" w:hAnsi="宋体" w:cs="宋体"/>
          <w:b/>
          <w:color w:val="000000" w:themeColor="text1"/>
          <w:sz w:val="30"/>
          <w:highlight w:val="none"/>
          <w:lang w:val="en-US" w:eastAsia="zh-CN"/>
          <w14:textFill>
            <w14:solidFill>
              <w14:schemeClr w14:val="tx1"/>
            </w14:solidFill>
          </w14:textFill>
        </w:rPr>
        <w:t>6</w:t>
      </w:r>
      <w:r>
        <w:rPr>
          <w:rFonts w:hint="eastAsia" w:ascii="宋体" w:hAnsi="宋体" w:cs="宋体"/>
          <w:b/>
          <w:color w:val="000000" w:themeColor="text1"/>
          <w:sz w:val="30"/>
          <w:highlight w:val="none"/>
          <w14:textFill>
            <w14:solidFill>
              <w14:schemeClr w14:val="tx1"/>
            </w14:solidFill>
          </w14:textFill>
        </w:rPr>
        <w:t>、保证金凭证</w:t>
      </w:r>
      <w:bookmarkEnd w:id="126"/>
    </w:p>
    <w:p w14:paraId="54024F88">
      <w:pPr>
        <w:pStyle w:val="33"/>
        <w:jc w:val="center"/>
        <w:outlineLvl w:val="1"/>
        <w:rPr>
          <w:rFonts w:ascii="宋体" w:hAnsi="宋体" w:cs="宋体"/>
          <w:b/>
          <w:color w:val="000000" w:themeColor="text1"/>
          <w:sz w:val="30"/>
          <w:highlight w:val="none"/>
          <w14:textFill>
            <w14:solidFill>
              <w14:schemeClr w14:val="tx1"/>
            </w14:solidFill>
          </w14:textFill>
        </w:rPr>
      </w:pPr>
      <w:bookmarkStart w:id="127" w:name="_Toc29525"/>
      <w:r>
        <w:rPr>
          <w:rFonts w:hint="eastAsia" w:ascii="宋体" w:hAnsi="宋体" w:cs="宋体"/>
          <w:b/>
          <w:color w:val="000000" w:themeColor="text1"/>
          <w:sz w:val="30"/>
          <w:highlight w:val="none"/>
          <w14:textFill>
            <w14:solidFill>
              <w14:schemeClr w14:val="tx1"/>
            </w14:solidFill>
          </w14:textFill>
        </w:rPr>
        <w:t>1</w:t>
      </w:r>
      <w:r>
        <w:rPr>
          <w:rFonts w:hint="eastAsia" w:ascii="宋体" w:hAnsi="宋体" w:cs="宋体"/>
          <w:b/>
          <w:color w:val="000000" w:themeColor="text1"/>
          <w:sz w:val="30"/>
          <w:highlight w:val="none"/>
          <w:lang w:val="en-US" w:eastAsia="zh-CN"/>
          <w14:textFill>
            <w14:solidFill>
              <w14:schemeClr w14:val="tx1"/>
            </w14:solidFill>
          </w14:textFill>
        </w:rPr>
        <w:t>7</w:t>
      </w:r>
      <w:r>
        <w:rPr>
          <w:rFonts w:hint="eastAsia" w:ascii="宋体" w:hAnsi="宋体" w:cs="宋体"/>
          <w:b/>
          <w:color w:val="000000" w:themeColor="text1"/>
          <w:sz w:val="30"/>
          <w:highlight w:val="none"/>
          <w14:textFill>
            <w14:solidFill>
              <w14:schemeClr w14:val="tx1"/>
            </w14:solidFill>
          </w14:textFill>
        </w:rPr>
        <w:t>、投标人认为可以提供的其他资料</w:t>
      </w:r>
      <w:bookmarkEnd w:id="127"/>
    </w:p>
    <w:p w14:paraId="30774141">
      <w:pPr>
        <w:rPr>
          <w:rFonts w:hint="eastAsia" w:ascii="宋体" w:hAnsi="宋体" w:eastAsia="宋体" w:cs="宋体"/>
          <w:b/>
          <w:bCs/>
          <w:kern w:val="0"/>
          <w:sz w:val="28"/>
          <w:szCs w:val="28"/>
          <w:highlight w:val="none"/>
          <w:lang w:val="en-US" w:eastAsia="zh-CN" w:bidi="ar"/>
        </w:rPr>
      </w:pPr>
      <w:r>
        <w:rPr>
          <w:rFonts w:hint="eastAsia" w:ascii="宋体" w:hAnsi="宋体" w:eastAsia="宋体" w:cs="宋体"/>
          <w:b/>
          <w:bCs/>
          <w:kern w:val="0"/>
          <w:sz w:val="28"/>
          <w:szCs w:val="28"/>
          <w:highlight w:val="none"/>
          <w:lang w:val="en-US" w:eastAsia="zh-CN" w:bidi="ar"/>
        </w:rPr>
        <w:br w:type="page"/>
      </w:r>
    </w:p>
    <w:p w14:paraId="2A023344">
      <w:pPr>
        <w:pStyle w:val="1284"/>
        <w:spacing w:line="360" w:lineRule="auto"/>
        <w:jc w:val="center"/>
        <w:rPr>
          <w:rFonts w:hint="eastAsia" w:ascii="宋体" w:hAnsi="宋体" w:eastAsia="宋体" w:cs="宋体"/>
          <w:b/>
          <w:bCs/>
          <w:color w:val="FF0000"/>
          <w:kern w:val="0"/>
          <w:sz w:val="28"/>
          <w:szCs w:val="28"/>
          <w:highlight w:val="none"/>
          <w:lang w:val="en-US" w:eastAsia="zh-CN" w:bidi="ar"/>
        </w:rPr>
      </w:pPr>
      <w:r>
        <w:rPr>
          <w:rFonts w:hint="eastAsia" w:ascii="宋体" w:hAnsi="宋体" w:eastAsia="宋体" w:cs="宋体"/>
          <w:b/>
          <w:bCs/>
          <w:color w:val="FF0000"/>
          <w:kern w:val="0"/>
          <w:sz w:val="28"/>
          <w:szCs w:val="28"/>
          <w:highlight w:val="none"/>
          <w:lang w:val="en-US" w:eastAsia="zh-CN" w:bidi="ar"/>
        </w:rPr>
        <w:t>开票信息</w:t>
      </w:r>
      <w:r>
        <w:rPr>
          <w:rFonts w:hint="eastAsia" w:ascii="宋体" w:hAnsi="宋体" w:cs="宋体"/>
          <w:b/>
          <w:bCs/>
          <w:color w:val="FF0000"/>
          <w:kern w:val="0"/>
          <w:sz w:val="28"/>
          <w:szCs w:val="28"/>
          <w:highlight w:val="none"/>
          <w:lang w:val="en-US" w:eastAsia="zh-CN" w:bidi="ar"/>
        </w:rPr>
        <w:t>（必填）</w:t>
      </w:r>
    </w:p>
    <w:p w14:paraId="191FCBAA">
      <w:pPr>
        <w:pStyle w:val="34"/>
        <w:spacing w:line="360" w:lineRule="auto"/>
        <w:ind w:firstLine="210"/>
        <w:rPr>
          <w:b/>
          <w:sz w:val="32"/>
          <w:szCs w:val="32"/>
          <w:highlight w:val="none"/>
        </w:rPr>
      </w:pPr>
      <w:r>
        <w:rPr>
          <w:highlight w:val="none"/>
        </w:rPr>
        <w:t>致：新疆招标有限公司</w:t>
      </w:r>
    </w:p>
    <w:p w14:paraId="616D38FC">
      <w:pPr>
        <w:pStyle w:val="34"/>
        <w:spacing w:line="360" w:lineRule="auto"/>
        <w:ind w:firstLine="210"/>
        <w:rPr>
          <w:b/>
          <w:sz w:val="32"/>
          <w:szCs w:val="32"/>
          <w:highlight w:val="none"/>
        </w:rPr>
      </w:pPr>
      <w:r>
        <w:rPr>
          <w:highlight w:val="none"/>
        </w:rPr>
        <w:t>请按以下开票信息出具增值税</w:t>
      </w:r>
      <w:r>
        <w:rPr>
          <w:highlight w:val="none"/>
          <w:u w:val="single"/>
        </w:rPr>
        <w:t xml:space="preserve">（专用/普通）          </w:t>
      </w:r>
      <w:r>
        <w:rPr>
          <w:highlight w:val="none"/>
        </w:rPr>
        <w:t>发票：</w:t>
      </w:r>
    </w:p>
    <w:p w14:paraId="2FD15538">
      <w:pPr>
        <w:pStyle w:val="34"/>
        <w:spacing w:line="360" w:lineRule="auto"/>
        <w:ind w:firstLine="210"/>
        <w:rPr>
          <w:highlight w:val="none"/>
          <w:u w:val="single"/>
        </w:rPr>
      </w:pPr>
      <w:r>
        <w:rPr>
          <w:highlight w:val="none"/>
        </w:rPr>
        <w:t>开票单位名称：</w:t>
      </w:r>
      <w:r>
        <w:rPr>
          <w:highlight w:val="none"/>
          <w:u w:val="single"/>
        </w:rPr>
        <w:t xml:space="preserve">                                               </w:t>
      </w:r>
    </w:p>
    <w:p w14:paraId="6E302BC4">
      <w:pPr>
        <w:pStyle w:val="34"/>
        <w:spacing w:line="360" w:lineRule="auto"/>
        <w:ind w:firstLine="210"/>
        <w:rPr>
          <w:b/>
          <w:sz w:val="32"/>
          <w:szCs w:val="32"/>
          <w:highlight w:val="none"/>
        </w:rPr>
      </w:pPr>
      <w:r>
        <w:rPr>
          <w:highlight w:val="none"/>
        </w:rPr>
        <w:t>统一社会信用代码：</w:t>
      </w:r>
      <w:r>
        <w:rPr>
          <w:highlight w:val="none"/>
          <w:u w:val="single"/>
        </w:rPr>
        <w:t xml:space="preserve">                                           </w:t>
      </w:r>
    </w:p>
    <w:p w14:paraId="39168F08">
      <w:pPr>
        <w:pStyle w:val="34"/>
        <w:spacing w:line="360" w:lineRule="auto"/>
        <w:ind w:firstLine="210"/>
        <w:rPr>
          <w:highlight w:val="none"/>
          <w:u w:val="single"/>
        </w:rPr>
      </w:pPr>
      <w:r>
        <w:rPr>
          <w:highlight w:val="none"/>
        </w:rPr>
        <w:t>地址：</w:t>
      </w:r>
      <w:r>
        <w:rPr>
          <w:highlight w:val="none"/>
          <w:u w:val="single"/>
        </w:rPr>
        <w:t xml:space="preserve">                                     </w:t>
      </w:r>
    </w:p>
    <w:p w14:paraId="156BEB48">
      <w:pPr>
        <w:pStyle w:val="34"/>
        <w:spacing w:line="360" w:lineRule="auto"/>
        <w:ind w:firstLine="210"/>
        <w:rPr>
          <w:highlight w:val="none"/>
          <w:u w:val="single"/>
        </w:rPr>
      </w:pPr>
      <w:r>
        <w:rPr>
          <w:highlight w:val="none"/>
        </w:rPr>
        <w:t>开票信息备案电话：</w:t>
      </w:r>
      <w:r>
        <w:rPr>
          <w:highlight w:val="none"/>
          <w:u w:val="single"/>
        </w:rPr>
        <w:t xml:space="preserve">               </w:t>
      </w:r>
    </w:p>
    <w:p w14:paraId="76E2F002">
      <w:pPr>
        <w:pStyle w:val="34"/>
        <w:spacing w:line="360" w:lineRule="auto"/>
        <w:ind w:firstLine="210"/>
        <w:rPr>
          <w:b/>
          <w:sz w:val="32"/>
          <w:szCs w:val="32"/>
          <w:highlight w:val="none"/>
        </w:rPr>
      </w:pPr>
      <w:r>
        <w:rPr>
          <w:highlight w:val="none"/>
        </w:rPr>
        <w:t>开户行：</w:t>
      </w:r>
      <w:r>
        <w:rPr>
          <w:highlight w:val="none"/>
          <w:u w:val="single"/>
        </w:rPr>
        <w:t xml:space="preserve">                                   </w:t>
      </w:r>
    </w:p>
    <w:p w14:paraId="09EF8687">
      <w:pPr>
        <w:pStyle w:val="34"/>
        <w:spacing w:line="360" w:lineRule="auto"/>
        <w:ind w:firstLine="210"/>
        <w:rPr>
          <w:b/>
          <w:sz w:val="32"/>
          <w:szCs w:val="32"/>
          <w:highlight w:val="none"/>
        </w:rPr>
      </w:pPr>
      <w:r>
        <w:rPr>
          <w:highlight w:val="none"/>
        </w:rPr>
        <w:t>账号：</w:t>
      </w:r>
      <w:r>
        <w:rPr>
          <w:highlight w:val="none"/>
          <w:u w:val="single"/>
        </w:rPr>
        <w:t xml:space="preserve">                                     </w:t>
      </w:r>
    </w:p>
    <w:p w14:paraId="62317237">
      <w:pPr>
        <w:pStyle w:val="34"/>
        <w:spacing w:line="360" w:lineRule="auto"/>
        <w:ind w:firstLine="210"/>
        <w:rPr>
          <w:highlight w:val="none"/>
          <w:u w:val="single"/>
        </w:rPr>
      </w:pPr>
      <w:r>
        <w:rPr>
          <w:highlight w:val="none"/>
        </w:rPr>
        <w:t>电子发票接收邮箱：</w:t>
      </w:r>
      <w:r>
        <w:rPr>
          <w:rFonts w:hint="eastAsia"/>
          <w:highlight w:val="none"/>
          <w:lang w:eastAsia="zh-CN"/>
        </w:rPr>
        <w:t>（</w:t>
      </w:r>
      <w:r>
        <w:rPr>
          <w:rFonts w:hint="eastAsia"/>
          <w:highlight w:val="none"/>
          <w:lang w:val="en-US" w:eastAsia="zh-CN"/>
        </w:rPr>
        <w:t>必填</w:t>
      </w:r>
      <w:r>
        <w:rPr>
          <w:rFonts w:hint="eastAsia"/>
          <w:highlight w:val="none"/>
          <w:lang w:eastAsia="zh-CN"/>
        </w:rPr>
        <w:t>）</w:t>
      </w:r>
      <w:r>
        <w:rPr>
          <w:highlight w:val="none"/>
          <w:u w:val="single"/>
        </w:rPr>
        <w:t xml:space="preserve">                     </w:t>
      </w:r>
      <w:r>
        <w:rPr>
          <w:rFonts w:hint="eastAsia"/>
          <w:highlight w:val="none"/>
          <w:u w:val="single"/>
        </w:rPr>
        <w:t xml:space="preserve">    </w:t>
      </w:r>
    </w:p>
    <w:p w14:paraId="288A0F3D">
      <w:pPr>
        <w:pStyle w:val="34"/>
        <w:ind w:firstLine="0"/>
        <w:rPr>
          <w:b/>
          <w:sz w:val="32"/>
          <w:szCs w:val="32"/>
          <w:highlight w:val="none"/>
        </w:rPr>
      </w:pPr>
    </w:p>
    <w:p w14:paraId="3DE09E30">
      <w:pPr>
        <w:pStyle w:val="34"/>
        <w:ind w:firstLine="210"/>
        <w:rPr>
          <w:highlight w:val="none"/>
          <w:u w:val="single"/>
        </w:rPr>
      </w:pPr>
      <w:r>
        <w:rPr>
          <w:highlight w:val="none"/>
        </w:rPr>
        <w:t xml:space="preserve">                          供应商名称：</w:t>
      </w:r>
      <w:r>
        <w:rPr>
          <w:rFonts w:hint="eastAsia"/>
          <w:highlight w:val="none"/>
          <w:lang w:eastAsia="zh-CN"/>
        </w:rPr>
        <w:t>（</w:t>
      </w:r>
      <w:r>
        <w:rPr>
          <w:rFonts w:hint="eastAsia"/>
          <w:highlight w:val="none"/>
          <w:lang w:val="en-US" w:eastAsia="zh-CN"/>
        </w:rPr>
        <w:t>盖章</w:t>
      </w:r>
      <w:r>
        <w:rPr>
          <w:rFonts w:hint="eastAsia"/>
          <w:highlight w:val="none"/>
          <w:lang w:eastAsia="zh-CN"/>
        </w:rPr>
        <w:t>）</w:t>
      </w:r>
      <w:r>
        <w:rPr>
          <w:highlight w:val="none"/>
          <w:u w:val="single"/>
        </w:rPr>
        <w:t xml:space="preserve">                              </w:t>
      </w:r>
    </w:p>
    <w:p w14:paraId="26886F66">
      <w:pPr>
        <w:pStyle w:val="34"/>
        <w:ind w:right="960" w:firstLine="210"/>
        <w:jc w:val="center"/>
        <w:rPr>
          <w:b/>
          <w:sz w:val="32"/>
          <w:szCs w:val="32"/>
          <w:highlight w:val="none"/>
        </w:rPr>
      </w:pPr>
      <w:r>
        <w:rPr>
          <w:highlight w:val="none"/>
        </w:rPr>
        <w:t xml:space="preserve">                       </w:t>
      </w:r>
    </w:p>
    <w:p w14:paraId="04F48E85">
      <w:pPr>
        <w:pStyle w:val="34"/>
        <w:ind w:right="960" w:firstLine="210"/>
        <w:jc w:val="center"/>
        <w:rPr>
          <w:b/>
          <w:color w:val="FF0000"/>
          <w:sz w:val="32"/>
          <w:szCs w:val="32"/>
          <w:highlight w:val="none"/>
        </w:rPr>
      </w:pPr>
      <w:r>
        <w:rPr>
          <w:highlight w:val="none"/>
        </w:rPr>
        <w:t xml:space="preserve">                              </w:t>
      </w:r>
    </w:p>
    <w:p w14:paraId="1996C8BB">
      <w:pPr>
        <w:pStyle w:val="34"/>
        <w:ind w:right="960" w:firstLine="210"/>
        <w:jc w:val="center"/>
        <w:rPr>
          <w:rFonts w:hint="eastAsia" w:ascii="宋体" w:hAnsi="宋体" w:eastAsia="宋体" w:cs="宋体"/>
          <w:kern w:val="0"/>
          <w:sz w:val="21"/>
          <w:szCs w:val="24"/>
          <w:highlight w:val="none"/>
          <w:lang w:val="en-US" w:eastAsia="zh-CN" w:bidi="ar"/>
        </w:rPr>
      </w:pPr>
      <w:r>
        <w:rPr>
          <w:rFonts w:hint="eastAsia" w:ascii="宋体" w:hAnsi="宋体" w:eastAsia="宋体" w:cs="宋体"/>
          <w:kern w:val="0"/>
          <w:sz w:val="21"/>
          <w:szCs w:val="24"/>
          <w:highlight w:val="none"/>
          <w:lang w:val="en-US" w:eastAsia="zh-CN" w:bidi="ar"/>
        </w:rPr>
        <w:t xml:space="preserve">                       </w:t>
      </w:r>
    </w:p>
    <w:p w14:paraId="6A73FE76">
      <w:pPr>
        <w:pStyle w:val="86"/>
        <w:ind w:firstLine="562"/>
        <w:rPr>
          <w:rFonts w:hint="eastAsia" w:ascii="宋体" w:hAnsi="宋体" w:eastAsia="宋体" w:cs="宋体"/>
          <w:color w:val="FF0000"/>
          <w:kern w:val="0"/>
          <w:sz w:val="30"/>
          <w:szCs w:val="30"/>
          <w:highlight w:val="none"/>
          <w:lang w:val="en-US" w:eastAsia="zh-CN" w:bidi="ar"/>
        </w:rPr>
      </w:pPr>
      <w:r>
        <w:rPr>
          <w:rFonts w:hint="eastAsia" w:ascii="宋体" w:hAnsi="宋体" w:eastAsia="宋体" w:cs="宋体"/>
          <w:color w:val="FF0000"/>
          <w:kern w:val="0"/>
          <w:sz w:val="30"/>
          <w:szCs w:val="30"/>
          <w:highlight w:val="none"/>
          <w:lang w:val="en-US" w:eastAsia="zh-CN" w:bidi="ar"/>
        </w:rPr>
        <w:t>注：1、以上开票信息必须由供应商财务部门出具或经供应商财务部门确认。如开票信息有误，发票一经开出，一概不换。</w:t>
      </w:r>
    </w:p>
    <w:p w14:paraId="3AC7D258">
      <w:pPr>
        <w:rPr>
          <w:rFonts w:ascii="宋体" w:hAnsi="宋体" w:cs="宋体"/>
          <w:b/>
          <w:color w:val="000000" w:themeColor="text1"/>
          <w:sz w:val="30"/>
          <w:highlight w:val="none"/>
          <w14:textFill>
            <w14:solidFill>
              <w14:schemeClr w14:val="tx1"/>
            </w14:solidFill>
          </w14:textFill>
        </w:rPr>
      </w:pPr>
    </w:p>
    <w:sectPr>
      <w:headerReference r:id="rId14" w:type="default"/>
      <w:pgSz w:w="11907" w:h="16840"/>
      <w:pgMar w:top="1440" w:right="1080" w:bottom="1440" w:left="1080" w:header="907" w:footer="567" w:gutter="0"/>
      <w:cols w:space="720" w:num="1"/>
      <w:titlePg/>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PMingLiU">
    <w:altName w:val="Microsoft JhengHei UI"/>
    <w:panose1 w:val="02020500000000000000"/>
    <w:charset w:val="88"/>
    <w:family w:val="auto"/>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Verdana">
    <w:panose1 w:val="020B0604030504040204"/>
    <w:charset w:val="00"/>
    <w:family w:val="swiss"/>
    <w:pitch w:val="default"/>
    <w:sig w:usb0="A00006FF" w:usb1="4000205B" w:usb2="0000001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Arial Black">
    <w:panose1 w:val="020B0A04020102020204"/>
    <w:charset w:val="00"/>
    <w:family w:val="swiss"/>
    <w:pitch w:val="default"/>
    <w:sig w:usb0="A00002AF" w:usb1="400078FB" w:usb2="00000000" w:usb3="00000000" w:csb0="6000009F" w:csb1="DFD7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_GB2312">
    <w:altName w:val="微软雅黑"/>
    <w:panose1 w:val="00000000000000000000"/>
    <w:charset w:val="00"/>
    <w:family w:val="roman"/>
    <w:pitch w:val="default"/>
    <w:sig w:usb0="00000000" w:usb1="00000000" w:usb2="00000000" w:usb3="00000000" w:csb0="00040001" w:csb1="00000000"/>
  </w:font>
  <w:font w:name="方正仿宋简体">
    <w:altName w:val="微软雅黑"/>
    <w:panose1 w:val="02000000000000000000"/>
    <w:charset w:val="86"/>
    <w:family w:val="auto"/>
    <w:pitch w:val="default"/>
    <w:sig w:usb0="00000000" w:usb1="00000000" w:usb2="00000012"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Calibri Light">
    <w:panose1 w:val="020F03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Helv">
    <w:altName w:val="Segoe Print"/>
    <w:panose1 w:val="020B060402020203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G Times">
    <w:altName w:val="Segoe Print"/>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Garamond">
    <w:altName w:val="MV Boli"/>
    <w:panose1 w:val="02020404030301010803"/>
    <w:charset w:val="00"/>
    <w:family w:val="roman"/>
    <w:pitch w:val="default"/>
    <w:sig w:usb0="00000000" w:usb1="00000000" w:usb2="00000000" w:usb3="00000000" w:csb0="0000009F" w:csb1="DFD70000"/>
  </w:font>
  <w:font w:name="MV Boli">
    <w:panose1 w:val="02000500030200090000"/>
    <w:charset w:val="00"/>
    <w:family w:val="auto"/>
    <w:pitch w:val="default"/>
    <w:sig w:usb0="00000003" w:usb1="00000000" w:usb2="00000100" w:usb3="00000000" w:csb0="00000001" w:csb1="00000000"/>
  </w:font>
  <w:font w:name="新宋体">
    <w:panose1 w:val="02010609030101010101"/>
    <w:charset w:val="86"/>
    <w:family w:val="modern"/>
    <w:pitch w:val="default"/>
    <w:sig w:usb0="00000203" w:usb1="288F0000" w:usb2="00000006" w:usb3="00000000" w:csb0="00040001" w:csb1="00000000"/>
  </w:font>
  <w:font w:name="oúì.">
    <w:altName w:val="宋体"/>
    <w:panose1 w:val="00000000000000000000"/>
    <w:charset w:val="86"/>
    <w:family w:val="modern"/>
    <w:pitch w:val="default"/>
    <w:sig w:usb0="00000000" w:usb1="00000000" w:usb2="0000001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DFKai-SB">
    <w:altName w:val="Microsoft JhengHei"/>
    <w:panose1 w:val="03000509000000000000"/>
    <w:charset w:val="78"/>
    <w:family w:val="script"/>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華康細圓體">
    <w:altName w:val="Microsoft JhengHei"/>
    <w:panose1 w:val="00000000000000000000"/>
    <w:charset w:val="88"/>
    <w:family w:val="modern"/>
    <w:pitch w:val="default"/>
    <w:sig w:usb0="00000000" w:usb1="00000000" w:usb2="00000010" w:usb3="00000000" w:csb0="00100000" w:csb1="00000000"/>
  </w:font>
  <w:font w:name="Century Gothic">
    <w:altName w:val="Segoe Print"/>
    <w:panose1 w:val="020B0502020202020204"/>
    <w:charset w:val="00"/>
    <w:family w:val="swiss"/>
    <w:pitch w:val="default"/>
    <w:sig w:usb0="00000000" w:usb1="00000000" w:usb2="00000000" w:usb3="00000000" w:csb0="2000009F" w:csb1="DFD70000"/>
  </w:font>
  <w:font w:name="Frutiger-Bold">
    <w:altName w:val="Times New Roman"/>
    <w:panose1 w:val="00000000000000000000"/>
    <w:charset w:val="00"/>
    <w:family w:val="auto"/>
    <w:pitch w:val="default"/>
    <w:sig w:usb0="00000000" w:usb1="00000000" w:usb2="00000000" w:usb3="00000000" w:csb0="00000009" w:csb1="00000000"/>
  </w:font>
  <w:font w:name="Frutiger-Roman">
    <w:altName w:val="Times New Roman"/>
    <w:panose1 w:val="00000000000000000000"/>
    <w:charset w:val="00"/>
    <w:family w:val="auto"/>
    <w:pitch w:val="default"/>
    <w:sig w:usb0="00000000" w:usb1="00000000" w:usb2="00000000" w:usb3="00000000" w:csb0="00000009" w:csb1="00000000"/>
  </w:font>
  <w:font w:name="汉仪细等线简">
    <w:altName w:val="宋体"/>
    <w:panose1 w:val="00000000000000000000"/>
    <w:charset w:val="86"/>
    <w:family w:val="modern"/>
    <w:pitch w:val="default"/>
    <w:sig w:usb0="00000000" w:usb1="00000000" w:usb2="00000012"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宋">
    <w:altName w:val="宋体"/>
    <w:panose1 w:val="00000000000000000000"/>
    <w:charset w:val="86"/>
    <w:family w:val="auto"/>
    <w:pitch w:val="default"/>
    <w:sig w:usb0="00000000" w:usb1="00000000" w:usb2="00000010" w:usb3="00000000" w:csb0="00040000" w:csb1="00000000"/>
  </w:font>
  <w:font w:name="文鼎书宋繁">
    <w:altName w:val="宋体"/>
    <w:panose1 w:val="00000000000000000000"/>
    <w:charset w:val="86"/>
    <w:family w:val="modern"/>
    <w:pitch w:val="default"/>
    <w:sig w:usb0="00000000" w:usb1="00000000" w:usb2="00000010" w:usb3="00000000" w:csb0="00040000" w:csb1="00000000"/>
  </w:font>
  <w:font w:name="Book Antiqua">
    <w:altName w:val="Segoe Print"/>
    <w:panose1 w:val="02040602050305030304"/>
    <w:charset w:val="00"/>
    <w:family w:val="roman"/>
    <w:pitch w:val="default"/>
    <w:sig w:usb0="00000000" w:usb1="00000000" w:usb2="00000000" w:usb3="00000000" w:csb0="2000009F" w:csb1="DFD70000"/>
  </w:font>
  <w:font w:name="华文细黑">
    <w:altName w:val="微软雅黑"/>
    <w:panose1 w:val="02010600040101010101"/>
    <w:charset w:val="86"/>
    <w:family w:val="auto"/>
    <w:pitch w:val="default"/>
    <w:sig w:usb0="00000000" w:usb1="0000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仿宋_GB23">
    <w:altName w:val="仿宋"/>
    <w:panose1 w:val="00000000000000000000"/>
    <w:charset w:val="86"/>
    <w:family w:val="modern"/>
    <w:pitch w:val="default"/>
    <w:sig w:usb0="00000000" w:usb1="00000000" w:usb2="00000010" w:usb3="00000000" w:csb0="00040000" w:csb1="00000000"/>
  </w:font>
  <w:font w:name="汉仪书宋二S">
    <w:altName w:val="宋体"/>
    <w:panose1 w:val="00000000000000000000"/>
    <w:charset w:val="00"/>
    <w:family w:val="auto"/>
    <w:pitch w:val="default"/>
    <w:sig w:usb0="00000000" w:usb1="00000000" w:usb2="00000000"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8A558">
    <w:pPr>
      <w:pStyle w:val="54"/>
      <w:jc w:val="center"/>
    </w:pPr>
  </w:p>
  <w:p w14:paraId="54808E67">
    <w:pPr>
      <w:pStyle w:val="5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A69DF">
    <w:pPr>
      <w:pStyle w:val="5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3B1AB0">
                          <w:pPr>
                            <w:pStyle w:val="54"/>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233B1AB0">
                    <w:pPr>
                      <w:pStyle w:val="54"/>
                    </w:pPr>
                    <w:r>
                      <w:fldChar w:fldCharType="begin"/>
                    </w:r>
                    <w:r>
                      <w:instrText xml:space="preserve"> PAGE  \* MERGEFORMAT </w:instrText>
                    </w:r>
                    <w:r>
                      <w:fldChar w:fldCharType="separate"/>
                    </w:r>
                    <w:r>
                      <w:t>1</w:t>
                    </w:r>
                    <w:r>
                      <w:fldChar w:fldCharType="end"/>
                    </w:r>
                  </w:p>
                </w:txbxContent>
              </v:textbox>
            </v:shape>
          </w:pict>
        </mc:Fallback>
      </mc:AlternateContent>
    </w:r>
  </w:p>
  <w:p w14:paraId="53A5D34C">
    <w:pPr>
      <w:pStyle w:val="5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943C2">
    <w:pPr>
      <w:pStyle w:val="5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48B063">
                          <w:pPr>
                            <w:pStyle w:val="54"/>
                          </w:pPr>
                          <w:r>
                            <w:fldChar w:fldCharType="begin"/>
                          </w:r>
                          <w:r>
                            <w:instrText xml:space="preserve"> PAGE  \* MERGEFORMAT </w:instrText>
                          </w:r>
                          <w:r>
                            <w:fldChar w:fldCharType="separate"/>
                          </w:r>
                          <w:r>
                            <w:t>184</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5gLis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LmAuKyQEAAJkDAAAOAAAAAAAAAAEAIAAAAB4BAABkcnMvZTJvRG9j&#10;LnhtbFBLBQYAAAAABgAGAFkBAABZBQAAAAA=&#10;">
              <v:fill on="f" focussize="0,0"/>
              <v:stroke on="f"/>
              <v:imagedata o:title=""/>
              <o:lock v:ext="edit" aspectratio="f"/>
              <v:textbox inset="0mm,0mm,0mm,0mm" style="mso-fit-shape-to-text:t;">
                <w:txbxContent>
                  <w:p w14:paraId="1D48B063">
                    <w:pPr>
                      <w:pStyle w:val="54"/>
                    </w:pPr>
                    <w:r>
                      <w:fldChar w:fldCharType="begin"/>
                    </w:r>
                    <w:r>
                      <w:instrText xml:space="preserve"> PAGE  \* MERGEFORMAT </w:instrText>
                    </w:r>
                    <w:r>
                      <w:fldChar w:fldCharType="separate"/>
                    </w:r>
                    <w:r>
                      <w:t>184</w:t>
                    </w:r>
                    <w:r>
                      <w:fldChar w:fldCharType="end"/>
                    </w:r>
                  </w:p>
                </w:txbxContent>
              </v:textbox>
            </v:shape>
          </w:pict>
        </mc:Fallback>
      </mc:AlternateContent>
    </w:r>
  </w:p>
  <w:p w14:paraId="7453F650">
    <w:pPr>
      <w:pStyle w:val="5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B0C1B">
    <w:pPr>
      <w:snapToGrid w:val="0"/>
      <w:jc w:val="left"/>
      <w:rPr>
        <w:sz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3" name="文本框 3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F90DAA">
                          <w:pPr>
                            <w:snapToGrid w:val="0"/>
                            <w:jc w:val="left"/>
                            <w:rPr>
                              <w:sz w:val="18"/>
                            </w:rPr>
                          </w:pPr>
                          <w:r>
                            <w:rPr>
                              <w:sz w:val="18"/>
                            </w:rPr>
                            <w:fldChar w:fldCharType="begin"/>
                          </w:r>
                          <w:r>
                            <w:rPr>
                              <w:sz w:val="18"/>
                            </w:rPr>
                            <w:instrText xml:space="preserve"> PAGE  \* MERGEFORMAT </w:instrText>
                          </w:r>
                          <w:r>
                            <w:rPr>
                              <w:sz w:val="18"/>
                            </w:rPr>
                            <w:fldChar w:fldCharType="separate"/>
                          </w:r>
                          <w:r>
                            <w:rPr>
                              <w:sz w:val="18"/>
                            </w:rPr>
                            <w:t>36</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uOfI0AgAAZ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o7jnyNAIAAGcEAAAOAAAAAAAAAAEAIAAAAB8BAABkcnMvZTJvRG9jLnhtbFBL&#10;BQYAAAAABgAGAFkBAADFBQAAAAA=&#10;">
              <v:fill on="f" focussize="0,0"/>
              <v:stroke on="f" weight="0.5pt"/>
              <v:imagedata o:title=""/>
              <o:lock v:ext="edit" aspectratio="f"/>
              <v:textbox inset="0mm,0mm,0mm,0mm" style="mso-fit-shape-to-text:t;">
                <w:txbxContent>
                  <w:p w14:paraId="15F90DAA">
                    <w:pPr>
                      <w:snapToGrid w:val="0"/>
                      <w:jc w:val="left"/>
                      <w:rPr>
                        <w:sz w:val="18"/>
                      </w:rPr>
                    </w:pPr>
                    <w:r>
                      <w:rPr>
                        <w:sz w:val="18"/>
                      </w:rPr>
                      <w:fldChar w:fldCharType="begin"/>
                    </w:r>
                    <w:r>
                      <w:rPr>
                        <w:sz w:val="18"/>
                      </w:rPr>
                      <w:instrText xml:space="preserve"> PAGE  \* MERGEFORMAT </w:instrText>
                    </w:r>
                    <w:r>
                      <w:rPr>
                        <w:sz w:val="18"/>
                      </w:rPr>
                      <w:fldChar w:fldCharType="separate"/>
                    </w:r>
                    <w:r>
                      <w:rPr>
                        <w:sz w:val="18"/>
                      </w:rPr>
                      <w:t>36</w:t>
                    </w:r>
                    <w:r>
                      <w:rPr>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FB026">
    <w:pPr>
      <w:pStyle w:val="5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ED1B1C">
                          <w:pPr>
                            <w:pStyle w:val="54"/>
                          </w:pPr>
                          <w:r>
                            <w:fldChar w:fldCharType="begin"/>
                          </w:r>
                          <w:r>
                            <w:instrText xml:space="preserve"> PAGE  \* MERGEFORMAT </w:instrText>
                          </w:r>
                          <w:r>
                            <w:fldChar w:fldCharType="separate"/>
                          </w:r>
                          <w:r>
                            <w:t>195</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BX5skBAACZ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9YFfmyQEAAJkDAAAOAAAAAAAAAAEAIAAAAB4BAABkcnMvZTJvRG9j&#10;LnhtbFBLBQYAAAAABgAGAFkBAABZBQAAAAA=&#10;">
              <v:fill on="f" focussize="0,0"/>
              <v:stroke on="f"/>
              <v:imagedata o:title=""/>
              <o:lock v:ext="edit" aspectratio="f"/>
              <v:textbox inset="0mm,0mm,0mm,0mm" style="mso-fit-shape-to-text:t;">
                <w:txbxContent>
                  <w:p w14:paraId="39ED1B1C">
                    <w:pPr>
                      <w:pStyle w:val="54"/>
                    </w:pPr>
                    <w:r>
                      <w:fldChar w:fldCharType="begin"/>
                    </w:r>
                    <w:r>
                      <w:instrText xml:space="preserve"> PAGE  \* MERGEFORMAT </w:instrText>
                    </w:r>
                    <w:r>
                      <w:fldChar w:fldCharType="separate"/>
                    </w:r>
                    <w:r>
                      <w:t>195</w:t>
                    </w:r>
                    <w:r>
                      <w:fldChar w:fldCharType="end"/>
                    </w:r>
                  </w:p>
                </w:txbxContent>
              </v:textbox>
            </v:shape>
          </w:pict>
        </mc:Fallback>
      </mc:AlternateContent>
    </w:r>
  </w:p>
  <w:p w14:paraId="1A6DE9BB">
    <w:pPr>
      <w:pStyle w:val="5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3BD8B">
    <w:pPr>
      <w:pStyle w:val="54"/>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673C13">
                          <w:pPr>
                            <w:pStyle w:val="54"/>
                          </w:pPr>
                          <w:r>
                            <w:fldChar w:fldCharType="begin"/>
                          </w:r>
                          <w:r>
                            <w:instrText xml:space="preserve"> PAGE  \* MERGEFORMAT </w:instrText>
                          </w:r>
                          <w:r>
                            <w:fldChar w:fldCharType="separate"/>
                          </w:r>
                          <w:r>
                            <w:t>193</w:t>
                          </w:r>
                          <w: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864O8kBAACZAwAADgAAAGRycy9lMm9Eb2MueG1srVPNjtMwEL4j8Q6W&#10;79RpB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zrg7yQEAAJkDAAAOAAAAAAAAAAEAIAAAAB4BAABkcnMvZTJvRG9j&#10;LnhtbFBLBQYAAAAABgAGAFkBAABZBQAAAAA=&#10;">
              <v:fill on="f" focussize="0,0"/>
              <v:stroke on="f"/>
              <v:imagedata o:title=""/>
              <o:lock v:ext="edit" aspectratio="f"/>
              <v:textbox inset="0mm,0mm,0mm,0mm" style="mso-fit-shape-to-text:t;">
                <w:txbxContent>
                  <w:p w14:paraId="23673C13">
                    <w:pPr>
                      <w:pStyle w:val="54"/>
                    </w:pPr>
                    <w:r>
                      <w:fldChar w:fldCharType="begin"/>
                    </w:r>
                    <w:r>
                      <w:instrText xml:space="preserve"> PAGE  \* MERGEFORMAT </w:instrText>
                    </w:r>
                    <w:r>
                      <w:fldChar w:fldCharType="separate"/>
                    </w:r>
                    <w:r>
                      <w:t>193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4DED5D24">
      <w:pPr>
        <w:snapToGrid w:val="0"/>
        <w:ind w:firstLine="360" w:firstLineChars="200"/>
        <w:jc w:val="left"/>
        <w:rPr>
          <w:rFonts w:ascii="Calibri" w:hAnsi="Calibri"/>
          <w:sz w:val="18"/>
          <w:szCs w:val="18"/>
        </w:rPr>
      </w:pPr>
      <w:r>
        <w:rPr>
          <w:rFonts w:ascii="Calibri" w:hAnsi="Calibri"/>
          <w:sz w:val="18"/>
          <w:szCs w:val="18"/>
          <w:vertAlign w:val="superscript"/>
        </w:rPr>
        <w:footnoteRef/>
      </w:r>
      <w:r>
        <w:rPr>
          <w:rFonts w:ascii="Calibri" w:hAnsi="Calibri"/>
          <w:sz w:val="18"/>
          <w:szCs w:val="18"/>
        </w:rPr>
        <w:t xml:space="preserve"> </w:t>
      </w:r>
      <w:r>
        <w:rPr>
          <w:rFonts w:hint="eastAsia" w:ascii="Calibri" w:hAnsi="Calibri"/>
          <w:sz w:val="18"/>
          <w:szCs w:val="18"/>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D3E88">
    <w:pPr>
      <w:pStyle w:val="56"/>
    </w:pPr>
    <w:r>
      <w:rPr>
        <w:rFonts w:hint="eastAsia"/>
        <w:sz w:val="20"/>
        <w:szCs w:val="21"/>
      </w:rPr>
      <w:t xml:space="preserve">招标文件                                                       新疆招标有限公司  </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BFCB8">
    <w:pPr>
      <w:pBdr>
        <w:bottom w:val="single" w:color="auto" w:sz="6" w:space="1"/>
      </w:pBdr>
      <w:snapToGrid w:val="0"/>
      <w:rPr>
        <w:sz w:val="18"/>
      </w:rPr>
    </w:pPr>
    <w:r>
      <w:rPr>
        <w:rFonts w:hint="eastAsia"/>
        <w:sz w:val="18"/>
      </w:rPr>
      <w:t>招标文件                                                                    新疆招标有限公司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E9C7C">
    <w:pPr>
      <w:pStyle w:val="56"/>
      <w:jc w:val="both"/>
      <w:rPr>
        <w:b/>
      </w:rPr>
    </w:pPr>
  </w:p>
  <w:p w14:paraId="4D1B30BF">
    <w:pPr>
      <w:pStyle w:val="56"/>
    </w:pPr>
    <w:r>
      <w:rPr>
        <w:rFonts w:hint="eastAsia"/>
        <w:b/>
      </w:rPr>
      <w:t>招标文件  　　</w:t>
    </w:r>
    <w:r>
      <w:rPr>
        <w:b/>
      </w:rPr>
      <w:t xml:space="preserve">             </w:t>
    </w:r>
    <w:r>
      <w:rPr>
        <w:rFonts w:hint="eastAsia"/>
        <w:b/>
      </w:rPr>
      <w:t xml:space="preserve">                  　　　　　　　　　 </w:t>
    </w:r>
    <w:r>
      <w:rPr>
        <w:b/>
      </w:rPr>
      <w:t xml:space="preserve">     </w:t>
    </w:r>
    <w:r>
      <w:rPr>
        <w:rFonts w:hint="eastAsia"/>
        <w:b/>
      </w:rPr>
      <w:t xml:space="preserve">     新疆招标有限公司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891C8">
    <w:pPr>
      <w:pStyle w:val="56"/>
      <w:rPr>
        <w:b/>
      </w:rPr>
    </w:pPr>
  </w:p>
  <w:p w14:paraId="0D498B3A">
    <w:pPr>
      <w:pStyle w:val="56"/>
      <w:rPr>
        <w:b/>
      </w:rPr>
    </w:pPr>
  </w:p>
  <w:p w14:paraId="6748E7D7">
    <w:pPr>
      <w:pStyle w:val="56"/>
      <w:rPr>
        <w:b/>
      </w:rPr>
    </w:pPr>
  </w:p>
  <w:p w14:paraId="047C78E9">
    <w:pPr>
      <w:pStyle w:val="56"/>
    </w:pPr>
    <w:r>
      <w:rPr>
        <w:rFonts w:hint="eastAsia"/>
        <w:b/>
      </w:rPr>
      <w:t>招标文件   　　</w:t>
    </w:r>
    <w:r>
      <w:rPr>
        <w:b/>
      </w:rPr>
      <w:t xml:space="preserve">           </w:t>
    </w:r>
    <w:r>
      <w:rPr>
        <w:rFonts w:hint="eastAsia"/>
        <w:b/>
      </w:rPr>
      <w:t xml:space="preserve">                                                       </w:t>
    </w:r>
    <w:r>
      <w:rPr>
        <w:b/>
      </w:rPr>
      <w:t xml:space="preserve">  </w:t>
    </w:r>
    <w:r>
      <w:rPr>
        <w:rFonts w:hint="eastAsia"/>
        <w:b/>
      </w:rPr>
      <w:t xml:space="preserve">                  　　　　　　　　　 </w:t>
    </w:r>
    <w:r>
      <w:rPr>
        <w:b/>
      </w:rPr>
      <w:t xml:space="preserve">            </w:t>
    </w:r>
    <w:r>
      <w:rPr>
        <w:rFonts w:hint="eastAsia"/>
        <w:b/>
      </w:rPr>
      <w:t xml:space="preserve">　新疆招标有限公司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AE6C4">
    <w:pPr>
      <w:pStyle w:val="56"/>
      <w:rPr>
        <w:sz w:val="21"/>
      </w:rPr>
    </w:pPr>
    <w:r>
      <w:rPr>
        <w:rFonts w:hint="eastAsia"/>
        <w:sz w:val="21"/>
      </w:rPr>
      <w:t xml:space="preserve">招标文件                                                       新疆招标有限公司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B63E320"/>
    <w:multiLevelType w:val="singleLevel"/>
    <w:tmpl w:val="CB63E320"/>
    <w:lvl w:ilvl="0" w:tentative="0">
      <w:start w:val="13"/>
      <w:numFmt w:val="decimal"/>
      <w:suff w:val="nothing"/>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436EAF4"/>
    <w:multiLevelType w:val="singleLevel"/>
    <w:tmpl w:val="D436EAF4"/>
    <w:lvl w:ilvl="0" w:tentative="0">
      <w:start w:val="2"/>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00000001"/>
    <w:multiLevelType w:val="singleLevel"/>
    <w:tmpl w:val="00000001"/>
    <w:lvl w:ilvl="0" w:tentative="0">
      <w:start w:val="26"/>
      <w:numFmt w:val="decimal"/>
      <w:lvlText w:val="%1."/>
      <w:lvlJc w:val="left"/>
      <w:pPr>
        <w:tabs>
          <w:tab w:val="left" w:pos="312"/>
        </w:tabs>
      </w:pPr>
    </w:lvl>
  </w:abstractNum>
  <w:abstractNum w:abstractNumId="9">
    <w:nsid w:val="00000002"/>
    <w:multiLevelType w:val="singleLevel"/>
    <w:tmpl w:val="00000002"/>
    <w:lvl w:ilvl="0" w:tentative="0">
      <w:start w:val="2"/>
      <w:numFmt w:val="decimal"/>
      <w:suff w:val="nothing"/>
      <w:lvlText w:val="%1、"/>
      <w:lvlJc w:val="left"/>
    </w:lvl>
  </w:abstractNum>
  <w:abstractNum w:abstractNumId="10">
    <w:nsid w:val="00000003"/>
    <w:multiLevelType w:val="singleLevel"/>
    <w:tmpl w:val="00000003"/>
    <w:lvl w:ilvl="0" w:tentative="0">
      <w:start w:val="1"/>
      <w:numFmt w:val="decimal"/>
      <w:pStyle w:val="64"/>
      <w:lvlText w:val="%1."/>
      <w:lvlJc w:val="left"/>
      <w:pPr>
        <w:tabs>
          <w:tab w:val="left" w:pos="900"/>
        </w:tabs>
        <w:ind w:left="900" w:hanging="360"/>
      </w:pPr>
    </w:lvl>
  </w:abstractNum>
  <w:abstractNum w:abstractNumId="11">
    <w:nsid w:val="00000004"/>
    <w:multiLevelType w:val="singleLevel"/>
    <w:tmpl w:val="00000004"/>
    <w:lvl w:ilvl="0" w:tentative="0">
      <w:start w:val="1"/>
      <w:numFmt w:val="decimal"/>
      <w:pStyle w:val="46"/>
      <w:lvlText w:val="%1."/>
      <w:lvlJc w:val="left"/>
      <w:pPr>
        <w:tabs>
          <w:tab w:val="left" w:pos="1620"/>
        </w:tabs>
        <w:ind w:left="1620" w:hanging="360"/>
      </w:pPr>
    </w:lvl>
  </w:abstractNum>
  <w:abstractNum w:abstractNumId="12">
    <w:nsid w:val="00000005"/>
    <w:multiLevelType w:val="singleLevel"/>
    <w:tmpl w:val="00000005"/>
    <w:lvl w:ilvl="0" w:tentative="0">
      <w:start w:val="1"/>
      <w:numFmt w:val="decimal"/>
      <w:pStyle w:val="35"/>
      <w:lvlText w:val="%1."/>
      <w:lvlJc w:val="left"/>
      <w:pPr>
        <w:tabs>
          <w:tab w:val="left" w:pos="1200"/>
        </w:tabs>
        <w:ind w:left="1200" w:hanging="360"/>
      </w:pPr>
    </w:lvl>
  </w:abstractNum>
  <w:abstractNum w:abstractNumId="13">
    <w:nsid w:val="00000006"/>
    <w:multiLevelType w:val="singleLevel"/>
    <w:tmpl w:val="00000006"/>
    <w:lvl w:ilvl="0" w:tentative="0">
      <w:start w:val="1"/>
      <w:numFmt w:val="decimal"/>
      <w:pStyle w:val="1262"/>
      <w:lvlText w:val="%1)"/>
      <w:lvlJc w:val="left"/>
      <w:pPr>
        <w:ind w:left="620" w:hanging="420"/>
      </w:pPr>
    </w:lvl>
  </w:abstractNum>
  <w:abstractNum w:abstractNumId="14">
    <w:nsid w:val="00000007"/>
    <w:multiLevelType w:val="singleLevel"/>
    <w:tmpl w:val="00000007"/>
    <w:lvl w:ilvl="0" w:tentative="0">
      <w:start w:val="1"/>
      <w:numFmt w:val="bullet"/>
      <w:pStyle w:val="32"/>
      <w:lvlText w:val=""/>
      <w:lvlJc w:val="left"/>
      <w:pPr>
        <w:tabs>
          <w:tab w:val="left" w:pos="1200"/>
        </w:tabs>
        <w:ind w:left="1200" w:hanging="360"/>
      </w:pPr>
      <w:rPr>
        <w:rFonts w:hint="default" w:ascii="Wingdings" w:hAnsi="Wingdings"/>
      </w:rPr>
    </w:lvl>
  </w:abstractNum>
  <w:abstractNum w:abstractNumId="15">
    <w:nsid w:val="00000008"/>
    <w:multiLevelType w:val="singleLevel"/>
    <w:tmpl w:val="00000008"/>
    <w:lvl w:ilvl="0" w:tentative="0">
      <w:start w:val="1"/>
      <w:numFmt w:val="bullet"/>
      <w:pStyle w:val="24"/>
      <w:lvlText w:val=""/>
      <w:lvlJc w:val="left"/>
      <w:pPr>
        <w:tabs>
          <w:tab w:val="left" w:pos="360"/>
        </w:tabs>
        <w:ind w:left="360" w:hanging="360"/>
      </w:pPr>
      <w:rPr>
        <w:rFonts w:hint="default" w:ascii="Wingdings" w:hAnsi="Wingdings"/>
      </w:rPr>
    </w:lvl>
  </w:abstractNum>
  <w:abstractNum w:abstractNumId="16">
    <w:nsid w:val="00000009"/>
    <w:multiLevelType w:val="multilevel"/>
    <w:tmpl w:val="00000009"/>
    <w:lvl w:ilvl="0" w:tentative="0">
      <w:start w:val="1"/>
      <w:numFmt w:val="bullet"/>
      <w:pStyle w:val="45"/>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7">
    <w:nsid w:val="0000000B"/>
    <w:multiLevelType w:val="multilevel"/>
    <w:tmpl w:val="0000000B"/>
    <w:lvl w:ilvl="0" w:tentative="0">
      <w:start w:val="1"/>
      <w:numFmt w:val="bullet"/>
      <w:pStyle w:val="1266"/>
      <w:lvlText w:val=""/>
      <w:lvlJc w:val="left"/>
      <w:pPr>
        <w:tabs>
          <w:tab w:val="left" w:pos="794"/>
        </w:tabs>
        <w:ind w:left="794" w:hanging="397"/>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0000000D"/>
    <w:multiLevelType w:val="multilevel"/>
    <w:tmpl w:val="0000000D"/>
    <w:lvl w:ilvl="0" w:tentative="0">
      <w:start w:val="1"/>
      <w:numFmt w:val="decimal"/>
      <w:pStyle w:val="937"/>
      <w:suff w:val="space"/>
      <w:lvlText w:val="第%1章"/>
      <w:lvlJc w:val="center"/>
      <w:pPr>
        <w:ind w:left="0" w:firstLine="288"/>
      </w:pPr>
      <w:rPr>
        <w:b w:val="0"/>
        <w:bCs w:val="0"/>
        <w:i w:val="0"/>
        <w:iCs w:val="0"/>
        <w:caps w:val="0"/>
        <w:smallCaps w:val="0"/>
        <w:vanish w:val="0"/>
        <w:color w:val="000000"/>
        <w:spacing w:val="0"/>
        <w:position w:val="0"/>
        <w:u w:val="none"/>
        <w:vertAlign w:val="baseline"/>
      </w:rPr>
    </w:lvl>
    <w:lvl w:ilvl="1" w:tentative="0">
      <w:start w:val="1"/>
      <w:numFmt w:val="decimal"/>
      <w:pStyle w:val="371"/>
      <w:suff w:val="space"/>
      <w:lvlText w:val="%1.%2"/>
      <w:lvlJc w:val="left"/>
      <w:pPr>
        <w:ind w:left="0" w:firstLine="0"/>
      </w:pPr>
      <w:rPr>
        <w:rFonts w:hint="eastAsia" w:ascii="黑体" w:hAnsi="黑体" w:eastAsia="黑体"/>
        <w:sz w:val="30"/>
      </w:rPr>
    </w:lvl>
    <w:lvl w:ilvl="2" w:tentative="0">
      <w:start w:val="1"/>
      <w:numFmt w:val="decimal"/>
      <w:pStyle w:val="366"/>
      <w:suff w:val="space"/>
      <w:lvlText w:val="%1.%2.%3"/>
      <w:lvlJc w:val="left"/>
      <w:pPr>
        <w:ind w:left="0" w:firstLine="0"/>
      </w:pPr>
      <w:rPr>
        <w:rFonts w:hint="eastAsia" w:ascii="黑体" w:hAnsi="黑体" w:eastAsia="黑体"/>
        <w:sz w:val="28"/>
      </w:rPr>
    </w:lvl>
    <w:lvl w:ilvl="3" w:tentative="0">
      <w:start w:val="1"/>
      <w:numFmt w:val="decimal"/>
      <w:suff w:val="space"/>
      <w:lvlText w:val="%1.%2.%3.%4"/>
      <w:lvlJc w:val="left"/>
      <w:pPr>
        <w:ind w:left="0" w:firstLine="0"/>
      </w:pPr>
      <w:rPr>
        <w:rFonts w:hint="eastAsia" w:ascii="黑体" w:hAnsi="黑体" w:eastAsia="黑体"/>
        <w:sz w:val="24"/>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9">
    <w:nsid w:val="0000000E"/>
    <w:multiLevelType w:val="multilevel"/>
    <w:tmpl w:val="0000000E"/>
    <w:lvl w:ilvl="0" w:tentative="0">
      <w:start w:val="1"/>
      <w:numFmt w:val="bullet"/>
      <w:pStyle w:val="1244"/>
      <w:lvlText w:val=""/>
      <w:lvlJc w:val="left"/>
      <w:pPr>
        <w:tabs>
          <w:tab w:val="left" w:pos="360"/>
        </w:tabs>
        <w:ind w:left="0" w:firstLine="0"/>
      </w:pPr>
      <w:rPr>
        <w:rFonts w:hint="default" w:ascii="Wingdings" w:hAnsi="Wingdings"/>
        <w:sz w:val="14"/>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0">
    <w:nsid w:val="0000000F"/>
    <w:multiLevelType w:val="multilevel"/>
    <w:tmpl w:val="0000000F"/>
    <w:lvl w:ilvl="0" w:tentative="0">
      <w:start w:val="1"/>
      <w:numFmt w:val="bullet"/>
      <w:pStyle w:val="480"/>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1">
    <w:nsid w:val="00000011"/>
    <w:multiLevelType w:val="singleLevel"/>
    <w:tmpl w:val="00000011"/>
    <w:lvl w:ilvl="0" w:tentative="0">
      <w:start w:val="1"/>
      <w:numFmt w:val="decimal"/>
      <w:lvlText w:val="（%1）"/>
      <w:lvlJc w:val="left"/>
      <w:pPr>
        <w:tabs>
          <w:tab w:val="left" w:pos="1468"/>
        </w:tabs>
        <w:ind w:left="1468" w:hanging="900"/>
      </w:pPr>
      <w:rPr>
        <w:rFonts w:hint="eastAsia"/>
      </w:rPr>
    </w:lvl>
  </w:abstractNum>
  <w:abstractNum w:abstractNumId="22">
    <w:nsid w:val="00000012"/>
    <w:multiLevelType w:val="multilevel"/>
    <w:tmpl w:val="00000012"/>
    <w:lvl w:ilvl="0" w:tentative="0">
      <w:start w:val="1"/>
      <w:numFmt w:val="bullet"/>
      <w:pStyle w:val="774"/>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3">
    <w:nsid w:val="00000015"/>
    <w:multiLevelType w:val="multilevel"/>
    <w:tmpl w:val="00000015"/>
    <w:lvl w:ilvl="0" w:tentative="0">
      <w:start w:val="1"/>
      <w:numFmt w:val="bullet"/>
      <w:pStyle w:val="39"/>
      <w:lvlText w:val=""/>
      <w:lvlJc w:val="left"/>
      <w:pPr>
        <w:tabs>
          <w:tab w:val="left" w:pos="780"/>
        </w:tabs>
        <w:ind w:left="704" w:hanging="284"/>
      </w:pPr>
      <w:rPr>
        <w:rFonts w:hint="default" w:ascii="Wingdings" w:hAnsi="Wingdings"/>
        <w:sz w:val="21"/>
      </w:rPr>
    </w:lvl>
    <w:lvl w:ilvl="1" w:tentative="0">
      <w:start w:val="1"/>
      <w:numFmt w:val="bullet"/>
      <w:lvlText w:val=""/>
      <w:lvlJc w:val="left"/>
      <w:pPr>
        <w:tabs>
          <w:tab w:val="left" w:pos="415"/>
        </w:tabs>
        <w:ind w:left="415" w:hanging="420"/>
      </w:pPr>
      <w:rPr>
        <w:rFonts w:hint="default" w:ascii="Wingdings" w:hAnsi="Wingdings"/>
      </w:rPr>
    </w:lvl>
    <w:lvl w:ilvl="2" w:tentative="0">
      <w:start w:val="1"/>
      <w:numFmt w:val="bullet"/>
      <w:lvlText w:val=""/>
      <w:lvlJc w:val="left"/>
      <w:pPr>
        <w:tabs>
          <w:tab w:val="left" w:pos="835"/>
        </w:tabs>
        <w:ind w:left="835" w:hanging="420"/>
      </w:pPr>
      <w:rPr>
        <w:rFonts w:hint="default" w:ascii="Wingdings" w:hAnsi="Wingdings"/>
      </w:rPr>
    </w:lvl>
    <w:lvl w:ilvl="3" w:tentative="0">
      <w:start w:val="1"/>
      <w:numFmt w:val="bullet"/>
      <w:lvlText w:val=""/>
      <w:lvlJc w:val="left"/>
      <w:pPr>
        <w:tabs>
          <w:tab w:val="left" w:pos="1255"/>
        </w:tabs>
        <w:ind w:left="1255" w:hanging="420"/>
      </w:pPr>
      <w:rPr>
        <w:rFonts w:hint="default" w:ascii="Wingdings" w:hAnsi="Wingdings"/>
      </w:rPr>
    </w:lvl>
    <w:lvl w:ilvl="4" w:tentative="0">
      <w:start w:val="1"/>
      <w:numFmt w:val="bullet"/>
      <w:lvlText w:val=""/>
      <w:lvlJc w:val="left"/>
      <w:pPr>
        <w:tabs>
          <w:tab w:val="left" w:pos="1675"/>
        </w:tabs>
        <w:ind w:left="1675" w:hanging="420"/>
      </w:pPr>
      <w:rPr>
        <w:rFonts w:hint="default" w:ascii="Wingdings" w:hAnsi="Wingdings"/>
      </w:rPr>
    </w:lvl>
    <w:lvl w:ilvl="5" w:tentative="0">
      <w:start w:val="1"/>
      <w:numFmt w:val="bullet"/>
      <w:lvlText w:val=""/>
      <w:lvlJc w:val="left"/>
      <w:pPr>
        <w:tabs>
          <w:tab w:val="left" w:pos="2095"/>
        </w:tabs>
        <w:ind w:left="2095" w:hanging="420"/>
      </w:pPr>
      <w:rPr>
        <w:rFonts w:hint="default" w:ascii="Wingdings" w:hAnsi="Wingdings"/>
      </w:rPr>
    </w:lvl>
    <w:lvl w:ilvl="6" w:tentative="0">
      <w:start w:val="1"/>
      <w:numFmt w:val="bullet"/>
      <w:lvlText w:val=""/>
      <w:lvlJc w:val="left"/>
      <w:pPr>
        <w:tabs>
          <w:tab w:val="left" w:pos="2515"/>
        </w:tabs>
        <w:ind w:left="2515" w:hanging="420"/>
      </w:pPr>
      <w:rPr>
        <w:rFonts w:hint="default" w:ascii="Wingdings" w:hAnsi="Wingdings"/>
      </w:rPr>
    </w:lvl>
    <w:lvl w:ilvl="7" w:tentative="0">
      <w:start w:val="1"/>
      <w:numFmt w:val="bullet"/>
      <w:lvlText w:val=""/>
      <w:lvlJc w:val="left"/>
      <w:pPr>
        <w:tabs>
          <w:tab w:val="left" w:pos="2935"/>
        </w:tabs>
        <w:ind w:left="2935" w:hanging="420"/>
      </w:pPr>
      <w:rPr>
        <w:rFonts w:hint="default" w:ascii="Wingdings" w:hAnsi="Wingdings"/>
      </w:rPr>
    </w:lvl>
    <w:lvl w:ilvl="8" w:tentative="0">
      <w:start w:val="1"/>
      <w:numFmt w:val="bullet"/>
      <w:lvlText w:val=""/>
      <w:lvlJc w:val="left"/>
      <w:pPr>
        <w:tabs>
          <w:tab w:val="left" w:pos="3355"/>
        </w:tabs>
        <w:ind w:left="3355" w:hanging="420"/>
      </w:pPr>
      <w:rPr>
        <w:rFonts w:hint="default" w:ascii="Wingdings" w:hAnsi="Wingdings"/>
      </w:rPr>
    </w:lvl>
  </w:abstractNum>
  <w:abstractNum w:abstractNumId="24">
    <w:nsid w:val="00000016"/>
    <w:multiLevelType w:val="multilevel"/>
    <w:tmpl w:val="00000016"/>
    <w:lvl w:ilvl="0" w:tentative="0">
      <w:start w:val="1"/>
      <w:numFmt w:val="decimal"/>
      <w:pStyle w:val="514"/>
      <w:lvlText w:val="图%1"/>
      <w:lvlJc w:val="left"/>
      <w:pPr>
        <w:ind w:left="1413" w:hanging="420"/>
      </w:pPr>
      <w:rPr>
        <w:rFonts w:cs="Times New Roman"/>
        <w:b w:val="0"/>
        <w:bCs w:val="0"/>
        <w:i w:val="0"/>
        <w:iCs w:val="0"/>
        <w:caps w:val="0"/>
        <w:smallCaps w:val="0"/>
        <w:vanish w:val="0"/>
        <w:color w:val="000000"/>
        <w:spacing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00000017"/>
    <w:multiLevelType w:val="multilevel"/>
    <w:tmpl w:val="00000017"/>
    <w:lvl w:ilvl="0" w:tentative="0">
      <w:start w:val="1"/>
      <w:numFmt w:val="bullet"/>
      <w:pStyle w:val="1105"/>
      <w:lvlText w:val=""/>
      <w:lvlJc w:val="left"/>
      <w:pPr>
        <w:ind w:left="0" w:hanging="420"/>
      </w:pPr>
      <w:rPr>
        <w:rFonts w:hint="default" w:ascii="Wingdings" w:hAnsi="Wingdings"/>
      </w:rPr>
    </w:lvl>
    <w:lvl w:ilvl="1" w:tentative="0">
      <w:start w:val="1"/>
      <w:numFmt w:val="bullet"/>
      <w:lvlText w:val=""/>
      <w:lvlJc w:val="left"/>
      <w:pPr>
        <w:ind w:left="420" w:hanging="420"/>
      </w:pPr>
      <w:rPr>
        <w:rFonts w:hint="default" w:ascii="Wingdings" w:hAnsi="Wingdings"/>
      </w:rPr>
    </w:lvl>
    <w:lvl w:ilvl="2" w:tentative="0">
      <w:start w:val="1"/>
      <w:numFmt w:val="bullet"/>
      <w:lvlText w:val=""/>
      <w:lvlJc w:val="left"/>
      <w:pPr>
        <w:ind w:left="840" w:hanging="420"/>
      </w:pPr>
      <w:rPr>
        <w:rFonts w:hint="default" w:ascii="Wingdings" w:hAnsi="Wingdings"/>
      </w:rPr>
    </w:lvl>
    <w:lvl w:ilvl="3" w:tentative="0">
      <w:start w:val="1"/>
      <w:numFmt w:val="bullet"/>
      <w:lvlText w:val=""/>
      <w:lvlJc w:val="left"/>
      <w:pPr>
        <w:ind w:left="1260" w:hanging="420"/>
      </w:pPr>
      <w:rPr>
        <w:rFonts w:hint="default" w:ascii="Wingdings" w:hAnsi="Wingdings"/>
      </w:rPr>
    </w:lvl>
    <w:lvl w:ilvl="4" w:tentative="0">
      <w:start w:val="1"/>
      <w:numFmt w:val="bullet"/>
      <w:lvlText w:val=""/>
      <w:lvlJc w:val="left"/>
      <w:pPr>
        <w:ind w:left="1680" w:hanging="420"/>
      </w:pPr>
      <w:rPr>
        <w:rFonts w:hint="default" w:ascii="Wingdings" w:hAnsi="Wingdings"/>
      </w:rPr>
    </w:lvl>
    <w:lvl w:ilvl="5" w:tentative="0">
      <w:start w:val="1"/>
      <w:numFmt w:val="bullet"/>
      <w:lvlText w:val=""/>
      <w:lvlJc w:val="left"/>
      <w:pPr>
        <w:ind w:left="2100" w:hanging="420"/>
      </w:pPr>
      <w:rPr>
        <w:rFonts w:hint="default" w:ascii="Wingdings" w:hAnsi="Wingdings"/>
      </w:rPr>
    </w:lvl>
    <w:lvl w:ilvl="6" w:tentative="0">
      <w:start w:val="1"/>
      <w:numFmt w:val="bullet"/>
      <w:lvlText w:val=""/>
      <w:lvlJc w:val="left"/>
      <w:pPr>
        <w:ind w:left="2520" w:hanging="420"/>
      </w:pPr>
      <w:rPr>
        <w:rFonts w:hint="default" w:ascii="Wingdings" w:hAnsi="Wingdings"/>
      </w:rPr>
    </w:lvl>
    <w:lvl w:ilvl="7" w:tentative="0">
      <w:start w:val="1"/>
      <w:numFmt w:val="bullet"/>
      <w:lvlText w:val=""/>
      <w:lvlJc w:val="left"/>
      <w:pPr>
        <w:ind w:left="2940" w:hanging="420"/>
      </w:pPr>
      <w:rPr>
        <w:rFonts w:hint="default" w:ascii="Wingdings" w:hAnsi="Wingdings"/>
      </w:rPr>
    </w:lvl>
    <w:lvl w:ilvl="8" w:tentative="0">
      <w:start w:val="1"/>
      <w:numFmt w:val="bullet"/>
      <w:lvlText w:val=""/>
      <w:lvlJc w:val="left"/>
      <w:pPr>
        <w:ind w:left="3360" w:hanging="420"/>
      </w:pPr>
      <w:rPr>
        <w:rFonts w:hint="default" w:ascii="Wingdings" w:hAnsi="Wingdings"/>
      </w:rPr>
    </w:lvl>
  </w:abstractNum>
  <w:abstractNum w:abstractNumId="26">
    <w:nsid w:val="00000018"/>
    <w:multiLevelType w:val="multilevel"/>
    <w:tmpl w:val="00000018"/>
    <w:lvl w:ilvl="0" w:tentative="0">
      <w:start w:val="1"/>
      <w:numFmt w:val="decimal"/>
      <w:pStyle w:val="303"/>
      <w:lvlText w:val="%1)"/>
      <w:lvlJc w:val="left"/>
      <w:pPr>
        <w:ind w:left="900" w:hanging="420"/>
      </w:pPr>
      <w:rPr>
        <w:rFonts w:hint="default"/>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7">
    <w:nsid w:val="00000019"/>
    <w:multiLevelType w:val="multilevel"/>
    <w:tmpl w:val="00000019"/>
    <w:lvl w:ilvl="0" w:tentative="0">
      <w:start w:val="1"/>
      <w:numFmt w:val="decimal"/>
      <w:pStyle w:val="652"/>
      <w:suff w:val="space"/>
      <w:lvlText w:val="表%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8">
    <w:nsid w:val="0000001A"/>
    <w:multiLevelType w:val="multilevel"/>
    <w:tmpl w:val="0000001A"/>
    <w:lvl w:ilvl="0" w:tentative="0">
      <w:start w:val="1"/>
      <w:numFmt w:val="bullet"/>
      <w:pStyle w:val="302"/>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9">
    <w:nsid w:val="0000001B"/>
    <w:multiLevelType w:val="multilevel"/>
    <w:tmpl w:val="0000001B"/>
    <w:lvl w:ilvl="0" w:tentative="0">
      <w:start w:val="1"/>
      <w:numFmt w:val="bullet"/>
      <w:pStyle w:val="486"/>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abstractNum w:abstractNumId="30">
    <w:nsid w:val="0000001D"/>
    <w:multiLevelType w:val="multilevel"/>
    <w:tmpl w:val="0000001D"/>
    <w:lvl w:ilvl="0" w:tentative="0">
      <w:start w:val="1"/>
      <w:numFmt w:val="bullet"/>
      <w:pStyle w:val="390"/>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1">
    <w:nsid w:val="00000020"/>
    <w:multiLevelType w:val="multilevel"/>
    <w:tmpl w:val="00000020"/>
    <w:lvl w:ilvl="0" w:tentative="0">
      <w:start w:val="1"/>
      <w:numFmt w:val="decimal"/>
      <w:suff w:val="space"/>
      <w:lvlText w:val="第%1章 "/>
      <w:lvlJc w:val="left"/>
      <w:pPr>
        <w:ind w:left="0" w:firstLine="0"/>
      </w:pPr>
      <w:rPr>
        <w:rFonts w:hint="eastAsia"/>
      </w:rPr>
    </w:lvl>
    <w:lvl w:ilvl="1" w:tentative="0">
      <w:start w:val="1"/>
      <w:numFmt w:val="decimal"/>
      <w:suff w:val="space"/>
      <w:lvlText w:val="%1.%2 "/>
      <w:lvlJc w:val="left"/>
      <w:pPr>
        <w:ind w:left="0" w:firstLine="0"/>
      </w:pPr>
      <w:rPr>
        <w:rFonts w:hint="eastAsia"/>
      </w:rPr>
    </w:lvl>
    <w:lvl w:ilvl="2" w:tentative="0">
      <w:start w:val="1"/>
      <w:numFmt w:val="decimal"/>
      <w:pStyle w:val="913"/>
      <w:lvlText w:val="%1.%2.%3"/>
      <w:lvlJc w:val="left"/>
      <w:pPr>
        <w:tabs>
          <w:tab w:val="left" w:pos="1080"/>
        </w:tabs>
        <w:ind w:left="0" w:firstLine="0"/>
      </w:pPr>
      <w:rPr>
        <w:rFonts w:hint="eastAsia"/>
      </w:rPr>
    </w:lvl>
    <w:lvl w:ilvl="3" w:tentative="0">
      <w:start w:val="1"/>
      <w:numFmt w:val="decimal"/>
      <w:pStyle w:val="907"/>
      <w:suff w:val="space"/>
      <w:lvlText w:val="表%1-%4 "/>
      <w:lvlJc w:val="left"/>
      <w:pPr>
        <w:ind w:left="0" w:firstLine="0"/>
      </w:pPr>
      <w:rPr>
        <w:rFonts w:hint="eastAsia"/>
      </w:rPr>
    </w:lvl>
    <w:lvl w:ilvl="4" w:tentative="0">
      <w:start w:val="1"/>
      <w:numFmt w:val="decimal"/>
      <w:pStyle w:val="1241"/>
      <w:suff w:val="space"/>
      <w:lvlText w:val="图%1-%5 "/>
      <w:lvlJc w:val="left"/>
      <w:pPr>
        <w:ind w:left="0" w:firstLine="0"/>
      </w:pPr>
      <w:rPr>
        <w:rFonts w:hint="eastAsia"/>
      </w:rPr>
    </w:lvl>
    <w:lvl w:ilvl="5" w:tentative="0">
      <w:start w:val="1"/>
      <w:numFmt w:val="decimal"/>
      <w:lvlText w:val="%1.%2.%3.%4.%5.%6"/>
      <w:lvlJc w:val="left"/>
      <w:pPr>
        <w:tabs>
          <w:tab w:val="left" w:pos="3820"/>
        </w:tabs>
        <w:ind w:left="3820" w:hanging="1134"/>
      </w:pPr>
      <w:rPr>
        <w:rFonts w:hint="eastAsia"/>
      </w:rPr>
    </w:lvl>
    <w:lvl w:ilvl="6" w:tentative="0">
      <w:start w:val="1"/>
      <w:numFmt w:val="decimal"/>
      <w:lvlText w:val="%1.%2.%3.%4.%5.%6.%7"/>
      <w:lvlJc w:val="left"/>
      <w:pPr>
        <w:tabs>
          <w:tab w:val="left" w:pos="4387"/>
        </w:tabs>
        <w:ind w:left="4387" w:hanging="1276"/>
      </w:pPr>
      <w:rPr>
        <w:rFonts w:hint="eastAsia"/>
      </w:rPr>
    </w:lvl>
    <w:lvl w:ilvl="7" w:tentative="0">
      <w:start w:val="1"/>
      <w:numFmt w:val="decimal"/>
      <w:lvlText w:val="%1.%2.%3.%4.%5.%6.%7.%8"/>
      <w:lvlJc w:val="left"/>
      <w:pPr>
        <w:tabs>
          <w:tab w:val="left" w:pos="4954"/>
        </w:tabs>
        <w:ind w:left="4954" w:hanging="1418"/>
      </w:pPr>
      <w:rPr>
        <w:rFonts w:hint="eastAsia"/>
      </w:rPr>
    </w:lvl>
    <w:lvl w:ilvl="8" w:tentative="0">
      <w:start w:val="1"/>
      <w:numFmt w:val="decimal"/>
      <w:lvlText w:val="%1.%2.%3.%4.%5.%6.%7.%8.%9"/>
      <w:lvlJc w:val="left"/>
      <w:pPr>
        <w:tabs>
          <w:tab w:val="left" w:pos="5662"/>
        </w:tabs>
        <w:ind w:left="5662" w:hanging="1700"/>
      </w:pPr>
      <w:rPr>
        <w:rFonts w:hint="eastAsia"/>
      </w:rPr>
    </w:lvl>
  </w:abstractNum>
  <w:abstractNum w:abstractNumId="32">
    <w:nsid w:val="00000025"/>
    <w:multiLevelType w:val="multilevel"/>
    <w:tmpl w:val="00000025"/>
    <w:lvl w:ilvl="0" w:tentative="0">
      <w:start w:val="1"/>
      <w:numFmt w:val="bullet"/>
      <w:pStyle w:val="250"/>
      <w:lvlText w:val=""/>
      <w:lvlJc w:val="left"/>
      <w:pPr>
        <w:ind w:left="618"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3">
    <w:nsid w:val="00000026"/>
    <w:multiLevelType w:val="multilevel"/>
    <w:tmpl w:val="00000026"/>
    <w:lvl w:ilvl="0" w:tentative="0">
      <w:start w:val="1"/>
      <w:numFmt w:val="bullet"/>
      <w:pStyle w:val="273"/>
      <w:lvlText w:val=""/>
      <w:lvlJc w:val="left"/>
      <w:pPr>
        <w:ind w:left="42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4">
    <w:nsid w:val="00000027"/>
    <w:multiLevelType w:val="multilevel"/>
    <w:tmpl w:val="00000027"/>
    <w:lvl w:ilvl="0" w:tentative="0">
      <w:start w:val="1"/>
      <w:numFmt w:val="bullet"/>
      <w:pStyle w:val="1099"/>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5">
    <w:nsid w:val="00000028"/>
    <w:multiLevelType w:val="multilevel"/>
    <w:tmpl w:val="00000028"/>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36">
    <w:nsid w:val="00000029"/>
    <w:multiLevelType w:val="multilevel"/>
    <w:tmpl w:val="00000029"/>
    <w:lvl w:ilvl="0" w:tentative="0">
      <w:start w:val="1"/>
      <w:numFmt w:val="chineseCountingThousand"/>
      <w:pStyle w:val="1218"/>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7">
    <w:nsid w:val="0000002A"/>
    <w:multiLevelType w:val="multilevel"/>
    <w:tmpl w:val="0000002A"/>
    <w:lvl w:ilvl="0" w:tentative="0">
      <w:start w:val="1"/>
      <w:numFmt w:val="bullet"/>
      <w:pStyle w:val="338"/>
      <w:lvlText w:val="–"/>
      <w:lvlJc w:val="left"/>
      <w:pPr>
        <w:ind w:left="1697" w:hanging="420"/>
      </w:pPr>
      <w:rPr>
        <w:rFonts w:hint="eastAsia" w:ascii="宋体" w:hAnsi="宋体" w:eastAsia="宋体"/>
      </w:rPr>
    </w:lvl>
    <w:lvl w:ilvl="1" w:tentative="0">
      <w:start w:val="1"/>
      <w:numFmt w:val="bullet"/>
      <w:lvlText w:val=""/>
      <w:lvlJc w:val="left"/>
      <w:pPr>
        <w:ind w:left="2117" w:hanging="420"/>
      </w:pPr>
      <w:rPr>
        <w:rFonts w:hint="default" w:ascii="Wingdings" w:hAnsi="Wingdings"/>
      </w:rPr>
    </w:lvl>
    <w:lvl w:ilvl="2" w:tentative="0">
      <w:start w:val="1"/>
      <w:numFmt w:val="bullet"/>
      <w:lvlText w:val=""/>
      <w:lvlJc w:val="left"/>
      <w:pPr>
        <w:ind w:left="2537" w:hanging="420"/>
      </w:pPr>
      <w:rPr>
        <w:rFonts w:hint="default" w:ascii="Wingdings" w:hAnsi="Wingdings"/>
      </w:rPr>
    </w:lvl>
    <w:lvl w:ilvl="3" w:tentative="0">
      <w:start w:val="1"/>
      <w:numFmt w:val="bullet"/>
      <w:lvlText w:val=""/>
      <w:lvlJc w:val="left"/>
      <w:pPr>
        <w:ind w:left="2957" w:hanging="420"/>
      </w:pPr>
      <w:rPr>
        <w:rFonts w:hint="default" w:ascii="Wingdings" w:hAnsi="Wingdings"/>
      </w:rPr>
    </w:lvl>
    <w:lvl w:ilvl="4" w:tentative="0">
      <w:start w:val="1"/>
      <w:numFmt w:val="bullet"/>
      <w:lvlText w:val=""/>
      <w:lvlJc w:val="left"/>
      <w:pPr>
        <w:ind w:left="3377" w:hanging="420"/>
      </w:pPr>
      <w:rPr>
        <w:rFonts w:hint="default" w:ascii="Wingdings" w:hAnsi="Wingdings"/>
      </w:rPr>
    </w:lvl>
    <w:lvl w:ilvl="5" w:tentative="0">
      <w:start w:val="1"/>
      <w:numFmt w:val="bullet"/>
      <w:lvlText w:val=""/>
      <w:lvlJc w:val="left"/>
      <w:pPr>
        <w:ind w:left="3797" w:hanging="420"/>
      </w:pPr>
      <w:rPr>
        <w:rFonts w:hint="default" w:ascii="Wingdings" w:hAnsi="Wingdings"/>
      </w:rPr>
    </w:lvl>
    <w:lvl w:ilvl="6" w:tentative="0">
      <w:start w:val="1"/>
      <w:numFmt w:val="bullet"/>
      <w:lvlText w:val=""/>
      <w:lvlJc w:val="left"/>
      <w:pPr>
        <w:ind w:left="4217" w:hanging="420"/>
      </w:pPr>
      <w:rPr>
        <w:rFonts w:hint="default" w:ascii="Wingdings" w:hAnsi="Wingdings"/>
      </w:rPr>
    </w:lvl>
    <w:lvl w:ilvl="7" w:tentative="0">
      <w:start w:val="1"/>
      <w:numFmt w:val="bullet"/>
      <w:lvlText w:val=""/>
      <w:lvlJc w:val="left"/>
      <w:pPr>
        <w:ind w:left="4637" w:hanging="420"/>
      </w:pPr>
      <w:rPr>
        <w:rFonts w:hint="default" w:ascii="Wingdings" w:hAnsi="Wingdings"/>
      </w:rPr>
    </w:lvl>
    <w:lvl w:ilvl="8" w:tentative="0">
      <w:start w:val="1"/>
      <w:numFmt w:val="bullet"/>
      <w:lvlText w:val=""/>
      <w:lvlJc w:val="left"/>
      <w:pPr>
        <w:ind w:left="5057" w:hanging="420"/>
      </w:pPr>
      <w:rPr>
        <w:rFonts w:hint="default" w:ascii="Wingdings" w:hAnsi="Wingdings"/>
      </w:rPr>
    </w:lvl>
  </w:abstractNum>
  <w:abstractNum w:abstractNumId="38">
    <w:nsid w:val="0000002B"/>
    <w:multiLevelType w:val="multilevel"/>
    <w:tmpl w:val="0000002B"/>
    <w:lvl w:ilvl="0" w:tentative="0">
      <w:start w:val="1"/>
      <w:numFmt w:val="chineseCountingThousand"/>
      <w:suff w:val="space"/>
      <w:lvlText w:val="%1. "/>
      <w:lvlJc w:val="left"/>
      <w:pPr>
        <w:ind w:left="907" w:hanging="907"/>
      </w:pPr>
      <w:rPr>
        <w:rFonts w:hint="eastAsia"/>
      </w:rPr>
    </w:lvl>
    <w:lvl w:ilvl="1" w:tentative="0">
      <w:start w:val="1"/>
      <w:numFmt w:val="decimal"/>
      <w:pStyle w:val="1021"/>
      <w:isLgl/>
      <w:suff w:val="space"/>
      <w:lvlText w:val="%1.%2 "/>
      <w:lvlJc w:val="left"/>
      <w:pPr>
        <w:ind w:left="1154" w:hanging="794"/>
      </w:pPr>
      <w:rPr>
        <w:rFonts w:hint="eastAsia"/>
      </w:rPr>
    </w:lvl>
    <w:lvl w:ilvl="2" w:tentative="0">
      <w:start w:val="1"/>
      <w:numFmt w:val="decimal"/>
      <w:isLgl/>
      <w:suff w:val="space"/>
      <w:lvlText w:val="%1.%2.%3 "/>
      <w:lvlJc w:val="left"/>
      <w:pPr>
        <w:ind w:left="907" w:hanging="907"/>
      </w:pPr>
      <w:rPr>
        <w:rFonts w:hint="eastAsia"/>
      </w:rPr>
    </w:lvl>
    <w:lvl w:ilvl="3" w:tentative="0">
      <w:start w:val="1"/>
      <w:numFmt w:val="decimal"/>
      <w:isLgl/>
      <w:suff w:val="space"/>
      <w:lvlText w:val="%1.%2.%3.%4 "/>
      <w:lvlJc w:val="left"/>
      <w:pPr>
        <w:ind w:left="1021" w:hanging="1021"/>
      </w:pPr>
      <w:rPr>
        <w:rFonts w:hint="eastAsia"/>
      </w:rPr>
    </w:lvl>
    <w:lvl w:ilvl="4" w:tentative="0">
      <w:start w:val="1"/>
      <w:numFmt w:val="decimal"/>
      <w:isLgl/>
      <w:suff w:val="space"/>
      <w:lvlText w:val="%1.%2.%3.%4.%5 "/>
      <w:lvlJc w:val="left"/>
      <w:pPr>
        <w:ind w:left="1134" w:hanging="1134"/>
      </w:pPr>
      <w:rPr>
        <w:rFonts w:hint="eastAsia"/>
      </w:rPr>
    </w:lvl>
    <w:lvl w:ilvl="5" w:tentative="0">
      <w:start w:val="1"/>
      <w:numFmt w:val="decimal"/>
      <w:isLgl/>
      <w:suff w:val="space"/>
      <w:lvlText w:val="%1.%2.%3.%4.%5.%6 "/>
      <w:lvlJc w:val="left"/>
      <w:pPr>
        <w:ind w:left="1247" w:hanging="1247"/>
      </w:pPr>
      <w:rPr>
        <w:rFonts w:hint="eastAsia"/>
      </w:rPr>
    </w:lvl>
    <w:lvl w:ilvl="6" w:tentative="0">
      <w:start w:val="1"/>
      <w:numFmt w:val="decimal"/>
      <w:isLgl/>
      <w:suff w:val="space"/>
      <w:lvlText w:val="图 %1.%7 "/>
      <w:lvlJc w:val="left"/>
      <w:pPr>
        <w:ind w:left="0" w:firstLine="0"/>
      </w:pPr>
      <w:rPr>
        <w:rFonts w:hint="eastAsia"/>
      </w:rPr>
    </w:lvl>
    <w:lvl w:ilvl="7" w:tentative="0">
      <w:start w:val="1"/>
      <w:numFmt w:val="decimal"/>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9">
    <w:nsid w:val="0000002C"/>
    <w:multiLevelType w:val="multilevel"/>
    <w:tmpl w:val="0000002C"/>
    <w:lvl w:ilvl="0" w:tentative="0">
      <w:start w:val="1"/>
      <w:numFmt w:val="upperLetter"/>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0000002E"/>
    <w:multiLevelType w:val="multilevel"/>
    <w:tmpl w:val="0000002E"/>
    <w:lvl w:ilvl="0" w:tentative="0">
      <w:start w:val="1"/>
      <w:numFmt w:val="none"/>
      <w:pStyle w:val="1197"/>
      <w:lvlText w:val=""/>
      <w:lvlJc w:val="left"/>
      <w:pPr>
        <w:tabs>
          <w:tab w:val="left" w:pos="960"/>
        </w:tabs>
        <w:ind w:left="917" w:hanging="317"/>
      </w:pPr>
      <w:rPr>
        <w:rFonts w:hint="eastAsia" w:ascii="宋体" w:hAnsi="Times New Roman" w:eastAsia="宋体"/>
        <w:b w:val="0"/>
        <w:i w:val="0"/>
        <w:position w:val="4"/>
        <w:sz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1">
    <w:nsid w:val="0000002F"/>
    <w:multiLevelType w:val="multilevel"/>
    <w:tmpl w:val="0000002F"/>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pStyle w:val="728"/>
      <w:lvlText w:val="-"/>
      <w:lvlJc w:val="left"/>
      <w:pPr>
        <w:tabs>
          <w:tab w:val="left" w:pos="1260"/>
        </w:tabs>
        <w:ind w:left="1260" w:hanging="420"/>
      </w:pPr>
      <w:rPr>
        <w:rFonts w:hint="eastAsia" w:ascii="Batang" w:hAnsi="Batang" w:eastAsia="Batang"/>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2">
    <w:nsid w:val="00000030"/>
    <w:multiLevelType w:val="multilevel"/>
    <w:tmpl w:val="00000030"/>
    <w:lvl w:ilvl="0" w:tentative="0">
      <w:start w:val="1"/>
      <w:numFmt w:val="chineseCountingThousand"/>
      <w:suff w:val="space"/>
      <w:lvlText w:val="第 %1 章"/>
      <w:lvlJc w:val="left"/>
      <w:pPr>
        <w:ind w:left="0" w:firstLine="0"/>
      </w:pPr>
      <w:rPr>
        <w:rFonts w:hint="eastAsia" w:cs="Times New Roman"/>
        <w:b w:val="0"/>
        <w:bCs w:val="0"/>
        <w:i w:val="0"/>
        <w:iCs w:val="0"/>
        <w:caps w:val="0"/>
        <w:smallCaps w:val="0"/>
        <w:vanish w:val="0"/>
        <w:color w:val="000000"/>
        <w:spacing w:val="0"/>
        <w:kern w:val="0"/>
        <w:position w:val="0"/>
        <w:u w:val="none"/>
        <w:vertAlign w:val="baseline"/>
      </w:rPr>
    </w:lvl>
    <w:lvl w:ilvl="1" w:tentative="0">
      <w:start w:val="1"/>
      <w:numFmt w:val="decimal"/>
      <w:pStyle w:val="923"/>
      <w:isLgl/>
      <w:suff w:val="space"/>
      <w:lvlText w:val="%1.%2"/>
      <w:lvlJc w:val="left"/>
      <w:pPr>
        <w:ind w:left="142" w:firstLine="0"/>
      </w:pPr>
      <w:rPr>
        <w:b w:val="0"/>
        <w:bCs w:val="0"/>
        <w:i w:val="0"/>
        <w:iCs w:val="0"/>
        <w:caps w:val="0"/>
        <w:smallCaps w:val="0"/>
        <w:vanish w:val="0"/>
        <w:color w:val="000000"/>
        <w:spacing w:val="0"/>
        <w:position w:val="0"/>
        <w:u w:val="none"/>
        <w:vertAlign w:val="baseline"/>
        <w:lang w:val="en-US"/>
      </w:rPr>
    </w:lvl>
    <w:lvl w:ilvl="2" w:tentative="0">
      <w:start w:val="1"/>
      <w:numFmt w:val="decimal"/>
      <w:isLgl/>
      <w:suff w:val="space"/>
      <w:lvlText w:val="%1.%2.%3"/>
      <w:lvlJc w:val="left"/>
      <w:pPr>
        <w:ind w:left="0" w:firstLine="0"/>
      </w:pPr>
      <w:rPr>
        <w:rFonts w:hint="eastAsia" w:cs="Times New Roman"/>
        <w:b w:val="0"/>
        <w:bCs w:val="0"/>
        <w:i w:val="0"/>
        <w:iCs w:val="0"/>
        <w:caps w:val="0"/>
        <w:smallCaps w:val="0"/>
        <w:vanish w:val="0"/>
        <w:color w:val="000000"/>
        <w:spacing w:val="0"/>
        <w:kern w:val="0"/>
        <w:position w:val="0"/>
        <w:u w:val="none"/>
        <w:vertAlign w:val="baseline"/>
        <w:lang w:val="en-US"/>
      </w:rPr>
    </w:lvl>
    <w:lvl w:ilvl="3" w:tentative="0">
      <w:start w:val="1"/>
      <w:numFmt w:val="decimal"/>
      <w:isLgl/>
      <w:suff w:val="space"/>
      <w:lvlText w:val="%1.%2.%3.%4"/>
      <w:lvlJc w:val="left"/>
      <w:pPr>
        <w:ind w:left="0" w:firstLine="0"/>
      </w:pPr>
      <w:rPr>
        <w:rFonts w:hint="default" w:ascii="Arial" w:hAnsi="Arial" w:eastAsia="黑体"/>
        <w:b w:val="0"/>
        <w:i w:val="0"/>
        <w:sz w:val="30"/>
        <w:lang w:val="zh-CN"/>
      </w:rPr>
    </w:lvl>
    <w:lvl w:ilvl="4" w:tentative="0">
      <w:start w:val="1"/>
      <w:numFmt w:val="decimal"/>
      <w:isLgl/>
      <w:suff w:val="space"/>
      <w:lvlText w:val="%1.%2.%3.%4.%5"/>
      <w:lvlJc w:val="left"/>
      <w:pPr>
        <w:ind w:left="0" w:firstLine="0"/>
      </w:pPr>
      <w:rPr>
        <w:rFonts w:hint="default" w:ascii="Arial" w:hAnsi="Arial" w:eastAsia="黑体"/>
        <w:b w:val="0"/>
        <w:i w:val="0"/>
        <w:sz w:val="28"/>
      </w:rPr>
    </w:lvl>
    <w:lvl w:ilvl="5" w:tentative="0">
      <w:start w:val="1"/>
      <w:numFmt w:val="decimal"/>
      <w:isLgl/>
      <w:suff w:val="space"/>
      <w:lvlText w:val="%1.%2.%3.%4.%5.%6"/>
      <w:lvlJc w:val="left"/>
      <w:pPr>
        <w:ind w:left="0" w:firstLine="0"/>
      </w:pPr>
      <w:rPr>
        <w:rFonts w:hint="eastAsia" w:cs="Times New Roman"/>
        <w:b w:val="0"/>
        <w:bCs w:val="0"/>
        <w:i w:val="0"/>
        <w:iCs w:val="0"/>
        <w:caps w:val="0"/>
        <w:smallCaps w:val="0"/>
        <w:vanish w:val="0"/>
        <w:color w:val="000000"/>
        <w:spacing w:val="0"/>
        <w:position w:val="0"/>
        <w:u w:val="none"/>
        <w:vertAlign w:val="baseline"/>
      </w:rPr>
    </w:lvl>
    <w:lvl w:ilvl="6" w:tentative="0">
      <w:start w:val="1"/>
      <w:numFmt w:val="decimal"/>
      <w:isLgl/>
      <w:suff w:val="space"/>
      <w:lvlText w:val="%1.%2.%3.%4.%5.%6.%7"/>
      <w:lvlJc w:val="left"/>
      <w:pPr>
        <w:ind w:left="0" w:firstLine="0"/>
      </w:pPr>
      <w:rPr>
        <w:rFonts w:hint="eastAsia" w:cs="Times New Roman"/>
        <w:b w:val="0"/>
        <w:bCs w:val="0"/>
        <w:i w:val="0"/>
        <w:iCs w:val="0"/>
        <w:caps w:val="0"/>
        <w:smallCaps w:val="0"/>
        <w:vanish w:val="0"/>
        <w:color w:val="000000"/>
        <w:spacing w:val="0"/>
        <w:position w:val="0"/>
        <w:u w:val="none"/>
        <w:vertAlign w:val="baseline"/>
      </w:rPr>
    </w:lvl>
    <w:lvl w:ilvl="7" w:tentative="0">
      <w:start w:val="1"/>
      <w:numFmt w:val="decimal"/>
      <w:isLgl/>
      <w:suff w:val="space"/>
      <w:lvlText w:val="%1.%2.%3.%4.%5.%6.%7.%8"/>
      <w:lvlJc w:val="left"/>
      <w:pPr>
        <w:ind w:left="0" w:firstLine="0"/>
      </w:pPr>
      <w:rPr>
        <w:rFonts w:hint="eastAsia" w:cs="Times New Roman"/>
        <w:b w:val="0"/>
        <w:bCs w:val="0"/>
        <w:i w:val="0"/>
        <w:iCs w:val="0"/>
        <w:caps w:val="0"/>
        <w:smallCaps w:val="0"/>
        <w:vanish w:val="0"/>
        <w:color w:val="000000"/>
        <w:spacing w:val="0"/>
        <w:position w:val="0"/>
        <w:u w:val="none"/>
        <w:vertAlign w:val="baseline"/>
      </w:rPr>
    </w:lvl>
    <w:lvl w:ilvl="8" w:tentative="0">
      <w:start w:val="1"/>
      <w:numFmt w:val="decimal"/>
      <w:isLgl/>
      <w:suff w:val="space"/>
      <w:lvlText w:val="%1.%2.%3.%4.%5.%6.%7.%8.%9"/>
      <w:lvlJc w:val="left"/>
      <w:pPr>
        <w:ind w:left="0" w:firstLine="0"/>
      </w:pPr>
      <w:rPr>
        <w:b w:val="0"/>
        <w:bCs w:val="0"/>
        <w:i w:val="0"/>
        <w:iCs w:val="0"/>
        <w:caps w:val="0"/>
        <w:smallCaps w:val="0"/>
        <w:vanish w:val="0"/>
        <w:color w:val="000000"/>
        <w:spacing w:val="0"/>
        <w:position w:val="0"/>
        <w:u w:val="none"/>
        <w:vertAlign w:val="baseline"/>
      </w:rPr>
    </w:lvl>
  </w:abstractNum>
  <w:abstractNum w:abstractNumId="43">
    <w:nsid w:val="00000033"/>
    <w:multiLevelType w:val="multilevel"/>
    <w:tmpl w:val="00000033"/>
    <w:lvl w:ilvl="0" w:tentative="0">
      <w:start w:val="1"/>
      <w:numFmt w:val="bullet"/>
      <w:pStyle w:val="495"/>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4">
    <w:nsid w:val="00000035"/>
    <w:multiLevelType w:val="multilevel"/>
    <w:tmpl w:val="00000035"/>
    <w:lvl w:ilvl="0" w:tentative="0">
      <w:start w:val="1"/>
      <w:numFmt w:val="decimal"/>
      <w:pStyle w:val="300"/>
      <w:lvlText w:val="%1)"/>
      <w:lvlJc w:val="left"/>
      <w:pPr>
        <w:ind w:left="840" w:hanging="420"/>
      </w:pPr>
      <w:rPr>
        <w:rFonts w:hint="eastAsia"/>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45">
    <w:nsid w:val="00000036"/>
    <w:multiLevelType w:val="multilevel"/>
    <w:tmpl w:val="00000036"/>
    <w:lvl w:ilvl="0" w:tentative="0">
      <w:start w:val="1"/>
      <w:numFmt w:val="bullet"/>
      <w:pStyle w:val="895"/>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6">
    <w:nsid w:val="00000039"/>
    <w:multiLevelType w:val="singleLevel"/>
    <w:tmpl w:val="00000039"/>
    <w:lvl w:ilvl="0" w:tentative="0">
      <w:start w:val="1"/>
      <w:numFmt w:val="bullet"/>
      <w:pStyle w:val="943"/>
      <w:lvlText w:val=""/>
      <w:lvlJc w:val="left"/>
      <w:pPr>
        <w:tabs>
          <w:tab w:val="left" w:pos="964"/>
        </w:tabs>
        <w:ind w:left="964" w:hanging="397"/>
      </w:pPr>
      <w:rPr>
        <w:rFonts w:hint="default" w:ascii="Wingdings" w:hAnsi="Wingdings"/>
        <w:sz w:val="21"/>
      </w:rPr>
    </w:lvl>
  </w:abstractNum>
  <w:abstractNum w:abstractNumId="47">
    <w:nsid w:val="0000003B"/>
    <w:multiLevelType w:val="multilevel"/>
    <w:tmpl w:val="0000003B"/>
    <w:lvl w:ilvl="0" w:tentative="0">
      <w:start w:val="1"/>
      <w:numFmt w:val="bullet"/>
      <w:pStyle w:val="1149"/>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8">
    <w:nsid w:val="0000003F"/>
    <w:multiLevelType w:val="multilevel"/>
    <w:tmpl w:val="0000003F"/>
    <w:lvl w:ilvl="0" w:tentative="0">
      <w:start w:val="1"/>
      <w:numFmt w:val="bullet"/>
      <w:pStyle w:val="896"/>
      <w:lvlText w:val=""/>
      <w:lvlJc w:val="left"/>
      <w:pPr>
        <w:tabs>
          <w:tab w:val="left" w:pos="1061"/>
        </w:tabs>
        <w:ind w:left="1061" w:hanging="420"/>
      </w:pPr>
      <w:rPr>
        <w:rFonts w:hint="default" w:ascii="Wingdings" w:hAnsi="Wingdings"/>
      </w:rPr>
    </w:lvl>
    <w:lvl w:ilvl="1" w:tentative="0">
      <w:start w:val="1"/>
      <w:numFmt w:val="bullet"/>
      <w:lvlText w:val=""/>
      <w:lvlJc w:val="left"/>
      <w:pPr>
        <w:tabs>
          <w:tab w:val="left" w:pos="1481"/>
        </w:tabs>
        <w:ind w:left="1481" w:hanging="420"/>
      </w:pPr>
      <w:rPr>
        <w:rFonts w:hint="default" w:ascii="Wingdings" w:hAnsi="Wingdings"/>
      </w:rPr>
    </w:lvl>
    <w:lvl w:ilvl="2" w:tentative="0">
      <w:start w:val="1"/>
      <w:numFmt w:val="bullet"/>
      <w:lvlText w:val=""/>
      <w:lvlJc w:val="left"/>
      <w:pPr>
        <w:tabs>
          <w:tab w:val="left" w:pos="1901"/>
        </w:tabs>
        <w:ind w:left="1901" w:hanging="420"/>
      </w:pPr>
      <w:rPr>
        <w:rFonts w:hint="default" w:ascii="Wingdings" w:hAnsi="Wingdings"/>
      </w:rPr>
    </w:lvl>
    <w:lvl w:ilvl="3" w:tentative="0">
      <w:start w:val="1"/>
      <w:numFmt w:val="bullet"/>
      <w:lvlText w:val=""/>
      <w:lvlJc w:val="left"/>
      <w:pPr>
        <w:tabs>
          <w:tab w:val="left" w:pos="2321"/>
        </w:tabs>
        <w:ind w:left="2321" w:hanging="420"/>
      </w:pPr>
      <w:rPr>
        <w:rFonts w:hint="default" w:ascii="Wingdings" w:hAnsi="Wingdings"/>
      </w:rPr>
    </w:lvl>
    <w:lvl w:ilvl="4" w:tentative="0">
      <w:start w:val="1"/>
      <w:numFmt w:val="bullet"/>
      <w:lvlText w:val=""/>
      <w:lvlJc w:val="left"/>
      <w:pPr>
        <w:tabs>
          <w:tab w:val="left" w:pos="2741"/>
        </w:tabs>
        <w:ind w:left="2741" w:hanging="420"/>
      </w:pPr>
      <w:rPr>
        <w:rFonts w:hint="default" w:ascii="Wingdings" w:hAnsi="Wingdings"/>
      </w:rPr>
    </w:lvl>
    <w:lvl w:ilvl="5" w:tentative="0">
      <w:start w:val="1"/>
      <w:numFmt w:val="bullet"/>
      <w:lvlText w:val=""/>
      <w:lvlJc w:val="left"/>
      <w:pPr>
        <w:tabs>
          <w:tab w:val="left" w:pos="3161"/>
        </w:tabs>
        <w:ind w:left="3161" w:hanging="420"/>
      </w:pPr>
      <w:rPr>
        <w:rFonts w:hint="default" w:ascii="Wingdings" w:hAnsi="Wingdings"/>
      </w:rPr>
    </w:lvl>
    <w:lvl w:ilvl="6" w:tentative="0">
      <w:start w:val="1"/>
      <w:numFmt w:val="bullet"/>
      <w:lvlText w:val=""/>
      <w:lvlJc w:val="left"/>
      <w:pPr>
        <w:tabs>
          <w:tab w:val="left" w:pos="3581"/>
        </w:tabs>
        <w:ind w:left="3581" w:hanging="420"/>
      </w:pPr>
      <w:rPr>
        <w:rFonts w:hint="default" w:ascii="Wingdings" w:hAnsi="Wingdings"/>
      </w:rPr>
    </w:lvl>
    <w:lvl w:ilvl="7" w:tentative="0">
      <w:start w:val="1"/>
      <w:numFmt w:val="bullet"/>
      <w:lvlText w:val=""/>
      <w:lvlJc w:val="left"/>
      <w:pPr>
        <w:tabs>
          <w:tab w:val="left" w:pos="4001"/>
        </w:tabs>
        <w:ind w:left="4001" w:hanging="420"/>
      </w:pPr>
      <w:rPr>
        <w:rFonts w:hint="default" w:ascii="Wingdings" w:hAnsi="Wingdings"/>
      </w:rPr>
    </w:lvl>
    <w:lvl w:ilvl="8" w:tentative="0">
      <w:start w:val="1"/>
      <w:numFmt w:val="bullet"/>
      <w:lvlText w:val=""/>
      <w:lvlJc w:val="left"/>
      <w:pPr>
        <w:tabs>
          <w:tab w:val="left" w:pos="4421"/>
        </w:tabs>
        <w:ind w:left="4421" w:hanging="420"/>
      </w:pPr>
      <w:rPr>
        <w:rFonts w:hint="default" w:ascii="Wingdings" w:hAnsi="Wingdings"/>
      </w:rPr>
    </w:lvl>
  </w:abstractNum>
  <w:abstractNum w:abstractNumId="49">
    <w:nsid w:val="00000040"/>
    <w:multiLevelType w:val="singleLevel"/>
    <w:tmpl w:val="00000040"/>
    <w:lvl w:ilvl="0" w:tentative="0">
      <w:start w:val="5"/>
      <w:numFmt w:val="decimal"/>
      <w:suff w:val="nothing"/>
      <w:lvlText w:val="%1、"/>
      <w:lvlJc w:val="left"/>
    </w:lvl>
  </w:abstractNum>
  <w:abstractNum w:abstractNumId="50">
    <w:nsid w:val="00000042"/>
    <w:multiLevelType w:val="multilevel"/>
    <w:tmpl w:val="00000042"/>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rPr>
        <w:b/>
      </w:rPr>
    </w:lvl>
    <w:lvl w:ilvl="2" w:tentative="0">
      <w:start w:val="1"/>
      <w:numFmt w:val="decimal"/>
      <w:pStyle w:val="1136"/>
      <w:suff w:val="space"/>
      <w:lvlText w:val="%1.%2.%3"/>
      <w:lvlJc w:val="left"/>
      <w:pPr>
        <w:tabs>
          <w:tab w:val="left" w:pos="1418"/>
        </w:tabs>
        <w:ind w:left="0" w:firstLine="0"/>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1">
    <w:nsid w:val="00000044"/>
    <w:multiLevelType w:val="multilevel"/>
    <w:tmpl w:val="00000044"/>
    <w:lvl w:ilvl="0" w:tentative="0">
      <w:start w:val="1"/>
      <w:numFmt w:val="decimal"/>
      <w:suff w:val="space"/>
      <w:lvlText w:val="第 %1 章"/>
      <w:lvlJc w:val="center"/>
      <w:pPr>
        <w:ind w:left="0" w:firstLine="288"/>
      </w:pPr>
      <w:rPr>
        <w:rFonts w:hint="default" w:ascii="Times New Roman" w:hAnsi="Times New Roman" w:eastAsia="黑体"/>
        <w:b w:val="0"/>
        <w:i w:val="0"/>
        <w:sz w:val="44"/>
      </w:rPr>
    </w:lvl>
    <w:lvl w:ilvl="1" w:tentative="0">
      <w:start w:val="1"/>
      <w:numFmt w:val="decimal"/>
      <w:isLgl/>
      <w:suff w:val="space"/>
      <w:lvlText w:val="%1.%2"/>
      <w:lvlJc w:val="left"/>
      <w:pPr>
        <w:ind w:left="2268" w:hanging="2268"/>
      </w:pPr>
      <w:rPr>
        <w:rFonts w:hint="eastAsia" w:ascii="Arial" w:hAnsi="Arial" w:eastAsia="黑体" w:cs="Times New Roman"/>
        <w:b w:val="0"/>
        <w:bCs w:val="0"/>
        <w:i w:val="0"/>
        <w:iCs w:val="0"/>
        <w:caps w:val="0"/>
        <w:smallCaps w:val="0"/>
        <w:vanish w:val="0"/>
        <w:color w:val="auto"/>
        <w:spacing w:val="0"/>
        <w:w w:val="100"/>
        <w:kern w:val="2"/>
        <w:position w:val="0"/>
        <w:sz w:val="36"/>
        <w:u w:val="none"/>
        <w:shd w:val="clear" w:color="auto" w:fill="auto"/>
        <w:vertAlign w:val="baseline"/>
      </w:rPr>
    </w:lvl>
    <w:lvl w:ilvl="2" w:tentative="0">
      <w:start w:val="1"/>
      <w:numFmt w:val="decimal"/>
      <w:isLgl/>
      <w:suff w:val="space"/>
      <w:lvlText w:val="%1.%2.%3"/>
      <w:lvlJc w:val="left"/>
      <w:pPr>
        <w:ind w:left="2270" w:hanging="2270"/>
      </w:pPr>
      <w:rPr>
        <w:rFonts w:hint="eastAsia" w:ascii="Times New Roman" w:hAnsi="Times New Roman" w:cs="Times New Roman"/>
        <w:b w:val="0"/>
        <w:bCs w:val="0"/>
        <w:i w:val="0"/>
        <w:iCs w:val="0"/>
        <w:caps w:val="0"/>
        <w:smallCaps w:val="0"/>
        <w:vanish w:val="0"/>
        <w:color w:val="000000"/>
        <w:spacing w:val="0"/>
        <w:kern w:val="0"/>
        <w:position w:val="0"/>
        <w:u w:val="none"/>
        <w:vertAlign w:val="baseline"/>
      </w:rPr>
    </w:lvl>
    <w:lvl w:ilvl="3" w:tentative="0">
      <w:start w:val="1"/>
      <w:numFmt w:val="decimal"/>
      <w:isLgl/>
      <w:suff w:val="space"/>
      <w:lvlText w:val="%1.%2.%3.%4"/>
      <w:lvlJc w:val="left"/>
      <w:pPr>
        <w:ind w:left="2268" w:hanging="2268"/>
      </w:pPr>
      <w:rPr>
        <w:rFonts w:hint="default" w:ascii="Arial" w:hAnsi="Arial" w:eastAsia="黑体"/>
        <w:b w:val="0"/>
        <w:i w:val="0"/>
        <w:sz w:val="30"/>
      </w:rPr>
    </w:lvl>
    <w:lvl w:ilvl="4" w:tentative="0">
      <w:start w:val="1"/>
      <w:numFmt w:val="decimal"/>
      <w:isLgl/>
      <w:suff w:val="space"/>
      <w:lvlText w:val="%1.%2.%3.%4.%5"/>
      <w:lvlJc w:val="left"/>
      <w:pPr>
        <w:ind w:left="2268" w:hanging="2268"/>
      </w:pPr>
      <w:rPr>
        <w:rFonts w:hint="default" w:ascii="Arial" w:hAnsi="Arial" w:eastAsia="黑体"/>
        <w:b w:val="0"/>
        <w:i w:val="0"/>
        <w:sz w:val="28"/>
      </w:rPr>
    </w:lvl>
    <w:lvl w:ilvl="5" w:tentative="0">
      <w:start w:val="1"/>
      <w:numFmt w:val="decimal"/>
      <w:isLgl/>
      <w:lvlText w:val="%1.%2.%3.%4.%5.%6"/>
      <w:lvlJc w:val="left"/>
      <w:pPr>
        <w:tabs>
          <w:tab w:val="left" w:pos="1992"/>
        </w:tabs>
        <w:ind w:left="2268" w:hanging="2268"/>
      </w:pPr>
      <w:rPr>
        <w:rFonts w:hint="eastAsia"/>
      </w:rPr>
    </w:lvl>
    <w:lvl w:ilvl="6" w:tentative="0">
      <w:start w:val="1"/>
      <w:numFmt w:val="decimal"/>
      <w:pStyle w:val="1223"/>
      <w:suff w:val="space"/>
      <w:lvlText w:val="%1.%2.%3.%4.%5.%6.%7"/>
      <w:lvlJc w:val="left"/>
      <w:pPr>
        <w:ind w:left="2268" w:hanging="2268"/>
      </w:pPr>
      <w:rPr>
        <w:b w:val="0"/>
        <w:bCs w:val="0"/>
        <w:i w:val="0"/>
        <w:iCs w:val="0"/>
        <w:caps w:val="0"/>
        <w:smallCaps w:val="0"/>
        <w:vanish w:val="0"/>
        <w:color w:val="000000"/>
        <w:spacing w:val="0"/>
        <w:position w:val="0"/>
        <w:u w:val="none"/>
        <w:vertAlign w:val="baseline"/>
      </w:rPr>
    </w:lvl>
    <w:lvl w:ilvl="7" w:tentative="0">
      <w:start w:val="1"/>
      <w:numFmt w:val="decimal"/>
      <w:lvlText w:val="%1.%2.%3.%4.%5.%6.%7.%8"/>
      <w:lvlJc w:val="left"/>
      <w:pPr>
        <w:tabs>
          <w:tab w:val="left" w:pos="2280"/>
        </w:tabs>
        <w:ind w:left="2280" w:hanging="1440"/>
      </w:pPr>
      <w:rPr>
        <w:rFonts w:hint="eastAsia"/>
      </w:rPr>
    </w:lvl>
    <w:lvl w:ilvl="8" w:tentative="0">
      <w:start w:val="1"/>
      <w:numFmt w:val="decimal"/>
      <w:lvlText w:val="%1.%2.%3.%4.%5.%6.%7.%8.%9"/>
      <w:lvlJc w:val="left"/>
      <w:pPr>
        <w:tabs>
          <w:tab w:val="left" w:pos="2424"/>
        </w:tabs>
        <w:ind w:left="2424" w:hanging="1584"/>
      </w:pPr>
      <w:rPr>
        <w:rFonts w:hint="eastAsia"/>
      </w:rPr>
    </w:lvl>
  </w:abstractNum>
  <w:abstractNum w:abstractNumId="52">
    <w:nsid w:val="00000046"/>
    <w:multiLevelType w:val="multilevel"/>
    <w:tmpl w:val="00000046"/>
    <w:lvl w:ilvl="0" w:tentative="0">
      <w:start w:val="1"/>
      <w:numFmt w:val="decimal"/>
      <w:pStyle w:val="403"/>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3">
    <w:nsid w:val="00000049"/>
    <w:multiLevelType w:val="multilevel"/>
    <w:tmpl w:val="00000049"/>
    <w:lvl w:ilvl="0" w:tentative="0">
      <w:start w:val="1"/>
      <w:numFmt w:val="decimal"/>
      <w:pStyle w:val="873"/>
      <w:lvlText w:val="表%1."/>
      <w:lvlJc w:val="left"/>
      <w:pPr>
        <w:ind w:left="382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0000004B"/>
    <w:multiLevelType w:val="multilevel"/>
    <w:tmpl w:val="0000004B"/>
    <w:lvl w:ilvl="0" w:tentative="0">
      <w:start w:val="1"/>
      <w:numFmt w:val="lowerLetter"/>
      <w:lvlText w:val="%1)"/>
      <w:lvlJc w:val="left"/>
      <w:pPr>
        <w:tabs>
          <w:tab w:val="left" w:pos="420"/>
        </w:tabs>
        <w:ind w:left="420" w:hanging="420"/>
      </w:pPr>
    </w:lvl>
    <w:lvl w:ilvl="1" w:tentative="0">
      <w:start w:val="1"/>
      <w:numFmt w:val="decimal"/>
      <w:pStyle w:val="880"/>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5">
    <w:nsid w:val="0000004C"/>
    <w:multiLevelType w:val="multilevel"/>
    <w:tmpl w:val="0000004C"/>
    <w:lvl w:ilvl="0" w:tentative="0">
      <w:start w:val="1"/>
      <w:numFmt w:val="bullet"/>
      <w:pStyle w:val="571"/>
      <w:lvlText w:val=""/>
      <w:lvlJc w:val="left"/>
      <w:pPr>
        <w:ind w:left="620" w:hanging="420"/>
      </w:pPr>
      <w:rPr>
        <w:rFonts w:hint="default" w:ascii="Wingdings" w:hAnsi="Wingdings"/>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56">
    <w:nsid w:val="0000004D"/>
    <w:multiLevelType w:val="multilevel"/>
    <w:tmpl w:val="0000004D"/>
    <w:lvl w:ilvl="0" w:tentative="0">
      <w:start w:val="1"/>
      <w:numFmt w:val="bullet"/>
      <w:pStyle w:val="1057"/>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7">
    <w:nsid w:val="0000004E"/>
    <w:multiLevelType w:val="multilevel"/>
    <w:tmpl w:val="0000004E"/>
    <w:lvl w:ilvl="0" w:tentative="0">
      <w:start w:val="1"/>
      <w:numFmt w:val="chineseCountingThousand"/>
      <w:lvlText w:val="%1、"/>
      <w:lvlJc w:val="left"/>
      <w:pPr>
        <w:tabs>
          <w:tab w:val="left" w:pos="432"/>
        </w:tabs>
        <w:ind w:left="432" w:hanging="432"/>
      </w:pPr>
      <w:rPr>
        <w:rFonts w:hint="eastAsia"/>
      </w:rPr>
    </w:lvl>
    <w:lvl w:ilvl="1" w:tentative="0">
      <w:start w:val="1"/>
      <w:numFmt w:val="decimal"/>
      <w:pStyle w:val="972"/>
      <w:isLgl/>
      <w:lvlText w:val="%1.%2"/>
      <w:lvlJc w:val="left"/>
      <w:pPr>
        <w:tabs>
          <w:tab w:val="left" w:pos="576"/>
        </w:tabs>
        <w:ind w:left="576" w:hanging="576"/>
      </w:pPr>
      <w:rPr>
        <w:rFonts w:hint="eastAsia"/>
      </w:rPr>
    </w:lvl>
    <w:lvl w:ilvl="2" w:tentative="0">
      <w:start w:val="1"/>
      <w:numFmt w:val="decimal"/>
      <w:pStyle w:val="973"/>
      <w:isLg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8">
    <w:nsid w:val="00000051"/>
    <w:multiLevelType w:val="multilevel"/>
    <w:tmpl w:val="00000051"/>
    <w:lvl w:ilvl="0" w:tentative="0">
      <w:start w:val="1"/>
      <w:numFmt w:val="decimal"/>
      <w:pStyle w:val="1025"/>
      <w:lvlText w:val="%1."/>
      <w:lvlJc w:val="left"/>
      <w:pPr>
        <w:tabs>
          <w:tab w:val="left" w:pos="432"/>
        </w:tabs>
        <w:ind w:left="432" w:hanging="432"/>
      </w:pPr>
      <w:rPr>
        <w:rFonts w:hint="default" w:ascii="Frutiger-Bold" w:hAnsi="Frutiger-Bold"/>
        <w:b w:val="0"/>
        <w:i w:val="0"/>
        <w:sz w:val="24"/>
        <w:u w:val="single"/>
      </w:rPr>
    </w:lvl>
    <w:lvl w:ilvl="1" w:tentative="0">
      <w:start w:val="1"/>
      <w:numFmt w:val="decimal"/>
      <w:pStyle w:val="1026"/>
      <w:lvlText w:val="%1.%2."/>
      <w:lvlJc w:val="left"/>
      <w:pPr>
        <w:tabs>
          <w:tab w:val="left" w:pos="576"/>
        </w:tabs>
        <w:ind w:left="576" w:hanging="576"/>
      </w:pPr>
      <w:rPr>
        <w:rFonts w:hint="default" w:ascii="Frutiger-Roman" w:hAnsi="Frutiger-Roman"/>
        <w:b w:val="0"/>
        <w:i w:val="0"/>
        <w:sz w:val="24"/>
        <w:u w:val="single"/>
      </w:rPr>
    </w:lvl>
    <w:lvl w:ilvl="2" w:tentative="0">
      <w:start w:val="1"/>
      <w:numFmt w:val="decimal"/>
      <w:pStyle w:val="1027"/>
      <w:lvlText w:val="%1.%2.%3."/>
      <w:lvlJc w:val="left"/>
      <w:pPr>
        <w:tabs>
          <w:tab w:val="left" w:pos="720"/>
        </w:tabs>
        <w:ind w:left="720" w:hanging="720"/>
      </w:pPr>
      <w:rPr>
        <w:rFonts w:hint="default" w:ascii="Frutiger-Roman" w:hAnsi="Frutiger-Roman"/>
        <w:b w:val="0"/>
        <w:i w:val="0"/>
        <w:sz w:val="24"/>
        <w:u w:val="single"/>
      </w:rPr>
    </w:lvl>
    <w:lvl w:ilvl="3" w:tentative="0">
      <w:start w:val="1"/>
      <w:numFmt w:val="decimal"/>
      <w:pStyle w:val="1028"/>
      <w:lvlText w:val="%1.%2.%3.%4."/>
      <w:lvlJc w:val="left"/>
      <w:pPr>
        <w:tabs>
          <w:tab w:val="left" w:pos="864"/>
        </w:tabs>
        <w:ind w:left="864" w:hanging="864"/>
      </w:pPr>
      <w:rPr>
        <w:rFonts w:hint="default" w:ascii="Frutiger-Roman" w:hAnsi="Frutiger-Roman"/>
        <w:b w:val="0"/>
        <w:i w:val="0"/>
        <w:sz w:val="24"/>
        <w:u w:val="single"/>
      </w:rPr>
    </w:lvl>
    <w:lvl w:ilvl="4" w:tentative="0">
      <w:start w:val="1"/>
      <w:numFmt w:val="decimal"/>
      <w:pStyle w:val="1029"/>
      <w:lvlText w:val="%1.%2.%3.%4.%5."/>
      <w:lvlJc w:val="left"/>
      <w:pPr>
        <w:tabs>
          <w:tab w:val="left" w:pos="1008"/>
        </w:tabs>
        <w:ind w:left="1008" w:hanging="1008"/>
      </w:pPr>
      <w:rPr>
        <w:rFonts w:hint="default" w:ascii="Frutiger-Roman" w:hAnsi="Frutiger-Roman"/>
        <w:b w:val="0"/>
        <w:i w:val="0"/>
        <w:sz w:val="24"/>
        <w:u w:val="single"/>
      </w:r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59">
    <w:nsid w:val="00000053"/>
    <w:multiLevelType w:val="multilevel"/>
    <w:tmpl w:val="00000053"/>
    <w:lvl w:ilvl="0" w:tentative="0">
      <w:start w:val="1"/>
      <w:numFmt w:val="chineseCountingThousand"/>
      <w:suff w:val="space"/>
      <w:lvlText w:val="第%1章"/>
      <w:lvlJc w:val="left"/>
      <w:pPr>
        <w:ind w:left="1702" w:firstLine="0"/>
      </w:pPr>
      <w:rPr>
        <w:rFonts w:hint="eastAsia"/>
      </w:rPr>
    </w:lvl>
    <w:lvl w:ilvl="1" w:tentative="0">
      <w:start w:val="1"/>
      <w:numFmt w:val="decimal"/>
      <w:isLgl/>
      <w:suff w:val="space"/>
      <w:lvlText w:val="%1.%2"/>
      <w:lvlJc w:val="left"/>
      <w:pPr>
        <w:ind w:left="1702" w:firstLine="0"/>
      </w:pPr>
      <w:rPr>
        <w:rFonts w:hint="eastAsia"/>
      </w:rPr>
    </w:lvl>
    <w:lvl w:ilvl="2" w:tentative="0">
      <w:start w:val="1"/>
      <w:numFmt w:val="decimal"/>
      <w:pStyle w:val="474"/>
      <w:isLgl/>
      <w:suff w:val="space"/>
      <w:lvlText w:val="%1.%2.%3"/>
      <w:lvlJc w:val="left"/>
      <w:pPr>
        <w:ind w:left="1702" w:firstLine="0"/>
      </w:pPr>
      <w:rPr>
        <w:rFonts w:hint="eastAsia"/>
      </w:rPr>
    </w:lvl>
    <w:lvl w:ilvl="3" w:tentative="0">
      <w:start w:val="1"/>
      <w:numFmt w:val="decimal"/>
      <w:isLgl/>
      <w:suff w:val="space"/>
      <w:lvlText w:val="%1.%2.%3.%4"/>
      <w:lvlJc w:val="left"/>
      <w:pPr>
        <w:ind w:left="1702" w:firstLine="0"/>
      </w:pPr>
      <w:rPr>
        <w:rFonts w:hint="eastAsia"/>
      </w:rPr>
    </w:lvl>
    <w:lvl w:ilvl="4" w:tentative="0">
      <w:start w:val="1"/>
      <w:numFmt w:val="decimal"/>
      <w:isLgl/>
      <w:suff w:val="space"/>
      <w:lvlText w:val="%1.%2.%3.%4.%5"/>
      <w:lvlJc w:val="left"/>
      <w:pPr>
        <w:ind w:left="1702" w:firstLine="0"/>
      </w:pPr>
      <w:rPr>
        <w:rFonts w:hint="eastAsia"/>
      </w:rPr>
    </w:lvl>
    <w:lvl w:ilvl="5" w:tentative="0">
      <w:start w:val="1"/>
      <w:numFmt w:val="decimal"/>
      <w:suff w:val="space"/>
      <w:lvlText w:val="%1.%2.%3.%4.%5.%6"/>
      <w:lvlJc w:val="left"/>
      <w:pPr>
        <w:ind w:left="1702" w:firstLine="0"/>
      </w:pPr>
      <w:rPr>
        <w:rFonts w:hint="eastAsia"/>
      </w:rPr>
    </w:lvl>
    <w:lvl w:ilvl="6" w:tentative="0">
      <w:start w:val="1"/>
      <w:numFmt w:val="decimal"/>
      <w:lvlText w:val="%1.%2.%3.%4.%5.%6.%7"/>
      <w:lvlJc w:val="left"/>
      <w:pPr>
        <w:ind w:left="1702" w:firstLine="0"/>
      </w:pPr>
      <w:rPr>
        <w:rFonts w:hint="eastAsia"/>
      </w:rPr>
    </w:lvl>
    <w:lvl w:ilvl="7" w:tentative="0">
      <w:start w:val="1"/>
      <w:numFmt w:val="decimal"/>
      <w:lvlText w:val="%1.%2.%3.%4.%5.%6.%7.%8"/>
      <w:lvlJc w:val="left"/>
      <w:pPr>
        <w:ind w:left="1702" w:firstLine="0"/>
      </w:pPr>
      <w:rPr>
        <w:rFonts w:hint="eastAsia"/>
      </w:rPr>
    </w:lvl>
    <w:lvl w:ilvl="8" w:tentative="0">
      <w:start w:val="1"/>
      <w:numFmt w:val="decimal"/>
      <w:lvlText w:val="%1.%2.%3.%4.%5.%6.%7.%8.%9"/>
      <w:lvlJc w:val="left"/>
      <w:pPr>
        <w:ind w:left="1702" w:firstLine="0"/>
      </w:pPr>
      <w:rPr>
        <w:rFonts w:hint="eastAsia"/>
      </w:rPr>
    </w:lvl>
  </w:abstractNum>
  <w:abstractNum w:abstractNumId="60">
    <w:nsid w:val="00000054"/>
    <w:multiLevelType w:val="multilevel"/>
    <w:tmpl w:val="00000054"/>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pStyle w:val="993"/>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pStyle w:val="915"/>
      <w:lvlText w:val="%1.%2.%3.%4.%5.%6.%7.%8.%9."/>
      <w:lvlJc w:val="left"/>
      <w:pPr>
        <w:ind w:left="1559" w:hanging="1559"/>
      </w:pPr>
      <w:rPr>
        <w:rFonts w:hint="eastAsia"/>
      </w:rPr>
    </w:lvl>
  </w:abstractNum>
  <w:abstractNum w:abstractNumId="61">
    <w:nsid w:val="00000055"/>
    <w:multiLevelType w:val="multilevel"/>
    <w:tmpl w:val="00000055"/>
    <w:lvl w:ilvl="0" w:tentative="0">
      <w:start w:val="1"/>
      <w:numFmt w:val="decimal"/>
      <w:pStyle w:val="646"/>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00000056"/>
    <w:multiLevelType w:val="singleLevel"/>
    <w:tmpl w:val="00000056"/>
    <w:lvl w:ilvl="0" w:tentative="0">
      <w:start w:val="3"/>
      <w:numFmt w:val="chineseCounting"/>
      <w:suff w:val="space"/>
      <w:lvlText w:val="第%1部分"/>
      <w:lvlJc w:val="left"/>
      <w:rPr>
        <w:rFonts w:hint="eastAsia"/>
      </w:rPr>
    </w:lvl>
  </w:abstractNum>
  <w:abstractNum w:abstractNumId="63">
    <w:nsid w:val="00000058"/>
    <w:multiLevelType w:val="multilevel"/>
    <w:tmpl w:val="00000058"/>
    <w:lvl w:ilvl="0" w:tentative="0">
      <w:start w:val="1"/>
      <w:numFmt w:val="decimal"/>
      <w:pStyle w:val="1039"/>
      <w:lvlText w:val="%1)"/>
      <w:lvlJc w:val="left"/>
      <w:pPr>
        <w:tabs>
          <w:tab w:val="left" w:pos="794"/>
        </w:tabs>
        <w:ind w:left="794"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4">
    <w:nsid w:val="0000005A"/>
    <w:multiLevelType w:val="multilevel"/>
    <w:tmpl w:val="0000005A"/>
    <w:lvl w:ilvl="0" w:tentative="0">
      <w:start w:val="1"/>
      <w:numFmt w:val="decimal"/>
      <w:pStyle w:val="702"/>
      <w:lvlText w:val="图 %1 "/>
      <w:lvlJc w:val="left"/>
      <w:pPr>
        <w:ind w:left="425" w:hanging="425"/>
      </w:pPr>
      <w:rPr>
        <w:rFonts w:hint="eastAsia"/>
      </w:rPr>
    </w:lvl>
    <w:lvl w:ilvl="1" w:tentative="0">
      <w:start w:val="1"/>
      <w:numFmt w:val="decimal"/>
      <w:lvlText w:val="图%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5">
    <w:nsid w:val="00901119"/>
    <w:multiLevelType w:val="singleLevel"/>
    <w:tmpl w:val="00901119"/>
    <w:lvl w:ilvl="0" w:tentative="0">
      <w:start w:val="1"/>
      <w:numFmt w:val="decimal"/>
      <w:suff w:val="nothing"/>
      <w:lvlText w:val="%1、"/>
      <w:lvlJc w:val="left"/>
    </w:lvl>
  </w:abstractNum>
  <w:abstractNum w:abstractNumId="66">
    <w:nsid w:val="2FE475BE"/>
    <w:multiLevelType w:val="multilevel"/>
    <w:tmpl w:val="2FE475BE"/>
    <w:lvl w:ilvl="0" w:tentative="0">
      <w:start w:val="1"/>
      <w:numFmt w:val="chineseCountingThousand"/>
      <w:lvlText w:val="%1、"/>
      <w:lvlJc w:val="left"/>
      <w:pPr>
        <w:tabs>
          <w:tab w:val="left" w:pos="960"/>
        </w:tabs>
        <w:ind w:left="960" w:hanging="720"/>
      </w:pPr>
      <w:rPr>
        <w:rFonts w:hint="default" w:hAnsi="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7">
    <w:nsid w:val="423C0BD0"/>
    <w:multiLevelType w:val="singleLevel"/>
    <w:tmpl w:val="423C0BD0"/>
    <w:lvl w:ilvl="0" w:tentative="0">
      <w:start w:val="17"/>
      <w:numFmt w:val="decimal"/>
      <w:lvlText w:val="%1."/>
      <w:lvlJc w:val="left"/>
      <w:pPr>
        <w:tabs>
          <w:tab w:val="left" w:pos="312"/>
        </w:tabs>
      </w:pPr>
    </w:lvl>
  </w:abstractNum>
  <w:abstractNum w:abstractNumId="68">
    <w:nsid w:val="4C3AB83E"/>
    <w:multiLevelType w:val="singleLevel"/>
    <w:tmpl w:val="4C3AB83E"/>
    <w:lvl w:ilvl="0" w:tentative="0">
      <w:start w:val="6"/>
      <w:numFmt w:val="decimal"/>
      <w:suff w:val="nothing"/>
      <w:lvlText w:val="%1、"/>
      <w:lvlJc w:val="left"/>
    </w:lvl>
  </w:abstractNum>
  <w:abstractNum w:abstractNumId="69">
    <w:nsid w:val="60A55D4B"/>
    <w:multiLevelType w:val="singleLevel"/>
    <w:tmpl w:val="60A55D4B"/>
    <w:lvl w:ilvl="0" w:tentative="0">
      <w:start w:val="1"/>
      <w:numFmt w:val="decimal"/>
      <w:lvlText w:val="（%1）"/>
      <w:lvlJc w:val="left"/>
      <w:pPr>
        <w:tabs>
          <w:tab w:val="left" w:pos="1260"/>
        </w:tabs>
        <w:ind w:left="1260" w:hanging="900"/>
      </w:pPr>
      <w:rPr>
        <w:rFonts w:hint="eastAsia"/>
      </w:rPr>
    </w:lvl>
  </w:abstractNum>
  <w:abstractNum w:abstractNumId="70">
    <w:nsid w:val="62A1F138"/>
    <w:multiLevelType w:val="singleLevel"/>
    <w:tmpl w:val="62A1F138"/>
    <w:lvl w:ilvl="0" w:tentative="0">
      <w:start w:val="1"/>
      <w:numFmt w:val="decimal"/>
      <w:lvlText w:val="%1."/>
      <w:lvlJc w:val="left"/>
      <w:pPr>
        <w:tabs>
          <w:tab w:val="left" w:pos="312"/>
        </w:tabs>
      </w:pPr>
    </w:lvl>
  </w:abstractNum>
  <w:abstractNum w:abstractNumId="71">
    <w:nsid w:val="6BCBD898"/>
    <w:multiLevelType w:val="singleLevel"/>
    <w:tmpl w:val="6BCBD898"/>
    <w:lvl w:ilvl="0" w:tentative="0">
      <w:start w:val="1"/>
      <w:numFmt w:val="chineseCounting"/>
      <w:suff w:val="nothing"/>
      <w:lvlText w:val="%1、"/>
      <w:lvlJc w:val="left"/>
      <w:rPr>
        <w:rFonts w:hint="eastAsia"/>
      </w:rPr>
    </w:lvl>
  </w:abstractNum>
  <w:abstractNum w:abstractNumId="72">
    <w:nsid w:val="7A0F6431"/>
    <w:multiLevelType w:val="singleLevel"/>
    <w:tmpl w:val="7A0F6431"/>
    <w:lvl w:ilvl="0" w:tentative="0">
      <w:start w:val="1"/>
      <w:numFmt w:val="decimal"/>
      <w:suff w:val="space"/>
      <w:lvlText w:val="%1."/>
      <w:lvlJc w:val="left"/>
    </w:lvl>
  </w:abstractNum>
  <w:num w:numId="1">
    <w:abstractNumId w:val="15"/>
  </w:num>
  <w:num w:numId="2">
    <w:abstractNumId w:val="14"/>
  </w:num>
  <w:num w:numId="3">
    <w:abstractNumId w:val="12"/>
  </w:num>
  <w:num w:numId="4">
    <w:abstractNumId w:val="23"/>
  </w:num>
  <w:num w:numId="5">
    <w:abstractNumId w:val="16"/>
  </w:num>
  <w:num w:numId="6">
    <w:abstractNumId w:val="11"/>
  </w:num>
  <w:num w:numId="7">
    <w:abstractNumId w:val="10"/>
  </w:num>
  <w:num w:numId="8">
    <w:abstractNumId w:val="32"/>
  </w:num>
  <w:num w:numId="9">
    <w:abstractNumId w:val="33"/>
  </w:num>
  <w:num w:numId="10">
    <w:abstractNumId w:val="44"/>
  </w:num>
  <w:num w:numId="11">
    <w:abstractNumId w:val="28"/>
  </w:num>
  <w:num w:numId="12">
    <w:abstractNumId w:val="26"/>
  </w:num>
  <w:num w:numId="13">
    <w:abstractNumId w:val="37"/>
  </w:num>
  <w:num w:numId="14">
    <w:abstractNumId w:val="18"/>
  </w:num>
  <w:num w:numId="15">
    <w:abstractNumId w:val="30"/>
  </w:num>
  <w:num w:numId="16">
    <w:abstractNumId w:val="52"/>
  </w:num>
  <w:num w:numId="17">
    <w:abstractNumId w:val="59"/>
  </w:num>
  <w:num w:numId="18">
    <w:abstractNumId w:val="20"/>
  </w:num>
  <w:num w:numId="19">
    <w:abstractNumId w:val="29"/>
  </w:num>
  <w:num w:numId="20">
    <w:abstractNumId w:val="43"/>
  </w:num>
  <w:num w:numId="21">
    <w:abstractNumId w:val="24"/>
  </w:num>
  <w:num w:numId="22">
    <w:abstractNumId w:val="55"/>
  </w:num>
  <w:num w:numId="23">
    <w:abstractNumId w:val="61"/>
  </w:num>
  <w:num w:numId="24">
    <w:abstractNumId w:val="27"/>
  </w:num>
  <w:num w:numId="25">
    <w:abstractNumId w:val="64"/>
  </w:num>
  <w:num w:numId="26">
    <w:abstractNumId w:val="41"/>
  </w:num>
  <w:num w:numId="27">
    <w:abstractNumId w:val="22"/>
  </w:num>
  <w:num w:numId="28">
    <w:abstractNumId w:val="53"/>
  </w:num>
  <w:num w:numId="29">
    <w:abstractNumId w:val="54"/>
  </w:num>
  <w:num w:numId="30">
    <w:abstractNumId w:val="45"/>
  </w:num>
  <w:num w:numId="31">
    <w:abstractNumId w:val="48"/>
  </w:num>
  <w:num w:numId="32">
    <w:abstractNumId w:val="31"/>
  </w:num>
  <w:num w:numId="33">
    <w:abstractNumId w:val="60"/>
  </w:num>
  <w:num w:numId="34">
    <w:abstractNumId w:val="42"/>
  </w:num>
  <w:num w:numId="35">
    <w:abstractNumId w:val="46"/>
  </w:num>
  <w:num w:numId="36">
    <w:abstractNumId w:val="57"/>
  </w:num>
  <w:num w:numId="37">
    <w:abstractNumId w:val="38"/>
  </w:num>
  <w:num w:numId="38">
    <w:abstractNumId w:val="58"/>
  </w:num>
  <w:num w:numId="39">
    <w:abstractNumId w:val="63"/>
  </w:num>
  <w:num w:numId="40">
    <w:abstractNumId w:val="56"/>
  </w:num>
  <w:num w:numId="41">
    <w:abstractNumId w:val="34"/>
  </w:num>
  <w:num w:numId="42">
    <w:abstractNumId w:val="25"/>
  </w:num>
  <w:num w:numId="43">
    <w:abstractNumId w:val="50"/>
  </w:num>
  <w:num w:numId="44">
    <w:abstractNumId w:val="47"/>
  </w:num>
  <w:num w:numId="45">
    <w:abstractNumId w:val="40"/>
  </w:num>
  <w:num w:numId="46">
    <w:abstractNumId w:val="36"/>
  </w:num>
  <w:num w:numId="47">
    <w:abstractNumId w:val="51"/>
  </w:num>
  <w:num w:numId="48">
    <w:abstractNumId w:val="19"/>
  </w:num>
  <w:num w:numId="49">
    <w:abstractNumId w:val="13"/>
  </w:num>
  <w:num w:numId="50">
    <w:abstractNumId w:val="17"/>
  </w:num>
  <w:num w:numId="51">
    <w:abstractNumId w:val="39"/>
  </w:num>
  <w:num w:numId="52">
    <w:abstractNumId w:val="68"/>
  </w:num>
  <w:num w:numId="53">
    <w:abstractNumId w:val="71"/>
  </w:num>
  <w:num w:numId="54">
    <w:abstractNumId w:val="35"/>
  </w:num>
  <w:num w:numId="55">
    <w:abstractNumId w:val="21"/>
  </w:num>
  <w:num w:numId="56">
    <w:abstractNumId w:val="69"/>
  </w:num>
  <w:num w:numId="57">
    <w:abstractNumId w:val="70"/>
  </w:num>
  <w:num w:numId="58">
    <w:abstractNumId w:val="62"/>
  </w:num>
  <w:num w:numId="59">
    <w:abstractNumId w:val="49"/>
  </w:num>
  <w:num w:numId="60">
    <w:abstractNumId w:val="8"/>
  </w:num>
  <w:num w:numId="61">
    <w:abstractNumId w:val="3"/>
  </w:num>
  <w:num w:numId="62">
    <w:abstractNumId w:val="65"/>
  </w:num>
  <w:num w:numId="63">
    <w:abstractNumId w:val="67"/>
  </w:num>
  <w:num w:numId="64">
    <w:abstractNumId w:val="72"/>
  </w:num>
  <w:num w:numId="65">
    <w:abstractNumId w:val="2"/>
  </w:num>
  <w:num w:numId="66">
    <w:abstractNumId w:val="7"/>
  </w:num>
  <w:num w:numId="67">
    <w:abstractNumId w:val="5"/>
  </w:num>
  <w:num w:numId="68">
    <w:abstractNumId w:val="4"/>
  </w:num>
  <w:num w:numId="69">
    <w:abstractNumId w:val="0"/>
  </w:num>
  <w:num w:numId="70">
    <w:abstractNumId w:val="6"/>
  </w:num>
  <w:num w:numId="71">
    <w:abstractNumId w:val="9"/>
  </w:num>
  <w:num w:numId="72">
    <w:abstractNumId w:val="1"/>
  </w:num>
  <w:num w:numId="73">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4ZTBjM2NmYmQ1ODgyMGJmYzc0YjYyM2QxZGEyYjQifQ=="/>
  </w:docVars>
  <w:rsids>
    <w:rsidRoot w:val="00172A27"/>
    <w:rsid w:val="00000D6C"/>
    <w:rsid w:val="00001415"/>
    <w:rsid w:val="00001DB3"/>
    <w:rsid w:val="000046C4"/>
    <w:rsid w:val="00004FC1"/>
    <w:rsid w:val="00004FFE"/>
    <w:rsid w:val="000057E7"/>
    <w:rsid w:val="000061C7"/>
    <w:rsid w:val="000074FB"/>
    <w:rsid w:val="0001091B"/>
    <w:rsid w:val="000109E0"/>
    <w:rsid w:val="000118A6"/>
    <w:rsid w:val="00011CAB"/>
    <w:rsid w:val="0001239A"/>
    <w:rsid w:val="00013111"/>
    <w:rsid w:val="000132BE"/>
    <w:rsid w:val="00013B18"/>
    <w:rsid w:val="00013EB5"/>
    <w:rsid w:val="00014512"/>
    <w:rsid w:val="000160EB"/>
    <w:rsid w:val="00016364"/>
    <w:rsid w:val="00016B94"/>
    <w:rsid w:val="00016C3D"/>
    <w:rsid w:val="000207F7"/>
    <w:rsid w:val="000207F9"/>
    <w:rsid w:val="00022A77"/>
    <w:rsid w:val="00022B65"/>
    <w:rsid w:val="0002373F"/>
    <w:rsid w:val="00024614"/>
    <w:rsid w:val="00024722"/>
    <w:rsid w:val="00025601"/>
    <w:rsid w:val="000258A3"/>
    <w:rsid w:val="00025A8F"/>
    <w:rsid w:val="00026DE8"/>
    <w:rsid w:val="00027D44"/>
    <w:rsid w:val="00027FD0"/>
    <w:rsid w:val="00031738"/>
    <w:rsid w:val="00031CF4"/>
    <w:rsid w:val="0003351D"/>
    <w:rsid w:val="00033B07"/>
    <w:rsid w:val="00036F08"/>
    <w:rsid w:val="0004009A"/>
    <w:rsid w:val="00040908"/>
    <w:rsid w:val="0004132A"/>
    <w:rsid w:val="0004183F"/>
    <w:rsid w:val="0004199F"/>
    <w:rsid w:val="000420D2"/>
    <w:rsid w:val="00043722"/>
    <w:rsid w:val="00044466"/>
    <w:rsid w:val="000448E2"/>
    <w:rsid w:val="00045BC1"/>
    <w:rsid w:val="000504FA"/>
    <w:rsid w:val="0005063D"/>
    <w:rsid w:val="00051458"/>
    <w:rsid w:val="00052A5C"/>
    <w:rsid w:val="00055905"/>
    <w:rsid w:val="0005613E"/>
    <w:rsid w:val="000574C2"/>
    <w:rsid w:val="00057F96"/>
    <w:rsid w:val="000623FD"/>
    <w:rsid w:val="00062451"/>
    <w:rsid w:val="00063C32"/>
    <w:rsid w:val="000657D2"/>
    <w:rsid w:val="0006698F"/>
    <w:rsid w:val="00066DFB"/>
    <w:rsid w:val="00066F32"/>
    <w:rsid w:val="00067023"/>
    <w:rsid w:val="000677BD"/>
    <w:rsid w:val="00067BFD"/>
    <w:rsid w:val="0007366A"/>
    <w:rsid w:val="000739D8"/>
    <w:rsid w:val="00074386"/>
    <w:rsid w:val="000744A4"/>
    <w:rsid w:val="000747B3"/>
    <w:rsid w:val="00075355"/>
    <w:rsid w:val="00075A54"/>
    <w:rsid w:val="00076AC6"/>
    <w:rsid w:val="00077498"/>
    <w:rsid w:val="00077D65"/>
    <w:rsid w:val="00080470"/>
    <w:rsid w:val="000804B5"/>
    <w:rsid w:val="00081D39"/>
    <w:rsid w:val="00082075"/>
    <w:rsid w:val="000827AD"/>
    <w:rsid w:val="00082EA1"/>
    <w:rsid w:val="0008449E"/>
    <w:rsid w:val="00084519"/>
    <w:rsid w:val="000847A3"/>
    <w:rsid w:val="000851D4"/>
    <w:rsid w:val="00085A4A"/>
    <w:rsid w:val="000876AB"/>
    <w:rsid w:val="00087D47"/>
    <w:rsid w:val="00091451"/>
    <w:rsid w:val="000921BB"/>
    <w:rsid w:val="000923DD"/>
    <w:rsid w:val="000926E2"/>
    <w:rsid w:val="0009315F"/>
    <w:rsid w:val="000937AF"/>
    <w:rsid w:val="0009671A"/>
    <w:rsid w:val="00096948"/>
    <w:rsid w:val="000969AD"/>
    <w:rsid w:val="00096BE6"/>
    <w:rsid w:val="0009719C"/>
    <w:rsid w:val="0009754F"/>
    <w:rsid w:val="000977C9"/>
    <w:rsid w:val="00097902"/>
    <w:rsid w:val="000A37E0"/>
    <w:rsid w:val="000A3ACD"/>
    <w:rsid w:val="000A5C03"/>
    <w:rsid w:val="000A6078"/>
    <w:rsid w:val="000A6640"/>
    <w:rsid w:val="000A7C33"/>
    <w:rsid w:val="000B01AC"/>
    <w:rsid w:val="000B1143"/>
    <w:rsid w:val="000B2118"/>
    <w:rsid w:val="000B4E76"/>
    <w:rsid w:val="000B5A32"/>
    <w:rsid w:val="000C003F"/>
    <w:rsid w:val="000C08C1"/>
    <w:rsid w:val="000C0B27"/>
    <w:rsid w:val="000C1ADA"/>
    <w:rsid w:val="000C1DAD"/>
    <w:rsid w:val="000C1E31"/>
    <w:rsid w:val="000C260D"/>
    <w:rsid w:val="000C2D4E"/>
    <w:rsid w:val="000C2EB1"/>
    <w:rsid w:val="000C2FF0"/>
    <w:rsid w:val="000C377A"/>
    <w:rsid w:val="000C4196"/>
    <w:rsid w:val="000C45C3"/>
    <w:rsid w:val="000C4A7C"/>
    <w:rsid w:val="000C589F"/>
    <w:rsid w:val="000D154B"/>
    <w:rsid w:val="000D1F33"/>
    <w:rsid w:val="000D204E"/>
    <w:rsid w:val="000D2780"/>
    <w:rsid w:val="000D29BD"/>
    <w:rsid w:val="000D2B56"/>
    <w:rsid w:val="000D307D"/>
    <w:rsid w:val="000D3437"/>
    <w:rsid w:val="000D41E9"/>
    <w:rsid w:val="000D4A3B"/>
    <w:rsid w:val="000D54F9"/>
    <w:rsid w:val="000D6738"/>
    <w:rsid w:val="000D6857"/>
    <w:rsid w:val="000D7872"/>
    <w:rsid w:val="000D7D12"/>
    <w:rsid w:val="000E0305"/>
    <w:rsid w:val="000E0EE9"/>
    <w:rsid w:val="000E1273"/>
    <w:rsid w:val="000E2BCA"/>
    <w:rsid w:val="000E2D34"/>
    <w:rsid w:val="000E3D02"/>
    <w:rsid w:val="000E4648"/>
    <w:rsid w:val="000E5B96"/>
    <w:rsid w:val="000E6337"/>
    <w:rsid w:val="000E7603"/>
    <w:rsid w:val="000F1DAD"/>
    <w:rsid w:val="000F25DB"/>
    <w:rsid w:val="000F3052"/>
    <w:rsid w:val="000F4D32"/>
    <w:rsid w:val="000F5672"/>
    <w:rsid w:val="000F67AB"/>
    <w:rsid w:val="000F68E7"/>
    <w:rsid w:val="000F6F63"/>
    <w:rsid w:val="000F706E"/>
    <w:rsid w:val="000F71FA"/>
    <w:rsid w:val="000F7A90"/>
    <w:rsid w:val="00100ECF"/>
    <w:rsid w:val="001014DB"/>
    <w:rsid w:val="00103CB8"/>
    <w:rsid w:val="001041B5"/>
    <w:rsid w:val="00104B8D"/>
    <w:rsid w:val="001056EF"/>
    <w:rsid w:val="001058EB"/>
    <w:rsid w:val="0010590C"/>
    <w:rsid w:val="00106813"/>
    <w:rsid w:val="00107732"/>
    <w:rsid w:val="00110C27"/>
    <w:rsid w:val="00113266"/>
    <w:rsid w:val="00113AD1"/>
    <w:rsid w:val="00113E34"/>
    <w:rsid w:val="001149E2"/>
    <w:rsid w:val="00115382"/>
    <w:rsid w:val="00116D47"/>
    <w:rsid w:val="0011740B"/>
    <w:rsid w:val="00117C39"/>
    <w:rsid w:val="0012251C"/>
    <w:rsid w:val="00122E31"/>
    <w:rsid w:val="00123D52"/>
    <w:rsid w:val="001275EE"/>
    <w:rsid w:val="00127777"/>
    <w:rsid w:val="00127C49"/>
    <w:rsid w:val="00130B0D"/>
    <w:rsid w:val="00130D71"/>
    <w:rsid w:val="00130FAA"/>
    <w:rsid w:val="0013288D"/>
    <w:rsid w:val="001329F0"/>
    <w:rsid w:val="001346EF"/>
    <w:rsid w:val="00134925"/>
    <w:rsid w:val="00135378"/>
    <w:rsid w:val="0013560F"/>
    <w:rsid w:val="00136D24"/>
    <w:rsid w:val="00136DFE"/>
    <w:rsid w:val="001401FD"/>
    <w:rsid w:val="00140544"/>
    <w:rsid w:val="001405F6"/>
    <w:rsid w:val="00140C37"/>
    <w:rsid w:val="001410D3"/>
    <w:rsid w:val="001411BE"/>
    <w:rsid w:val="0014138E"/>
    <w:rsid w:val="001442E0"/>
    <w:rsid w:val="00145298"/>
    <w:rsid w:val="00145A18"/>
    <w:rsid w:val="00146D6C"/>
    <w:rsid w:val="00146DFE"/>
    <w:rsid w:val="00146FDF"/>
    <w:rsid w:val="00146FF4"/>
    <w:rsid w:val="001476EC"/>
    <w:rsid w:val="00147E61"/>
    <w:rsid w:val="00150084"/>
    <w:rsid w:val="00150AFD"/>
    <w:rsid w:val="00150CFA"/>
    <w:rsid w:val="0015259E"/>
    <w:rsid w:val="001529D8"/>
    <w:rsid w:val="00152BEF"/>
    <w:rsid w:val="001533A7"/>
    <w:rsid w:val="001553F4"/>
    <w:rsid w:val="0015692C"/>
    <w:rsid w:val="00156E6E"/>
    <w:rsid w:val="00157A3C"/>
    <w:rsid w:val="00160BBB"/>
    <w:rsid w:val="00161B09"/>
    <w:rsid w:val="00162827"/>
    <w:rsid w:val="001629A2"/>
    <w:rsid w:val="0016389F"/>
    <w:rsid w:val="00163B87"/>
    <w:rsid w:val="00164078"/>
    <w:rsid w:val="0016425B"/>
    <w:rsid w:val="00164C57"/>
    <w:rsid w:val="00166347"/>
    <w:rsid w:val="00166546"/>
    <w:rsid w:val="001679DE"/>
    <w:rsid w:val="00172A0F"/>
    <w:rsid w:val="00172A27"/>
    <w:rsid w:val="00172B77"/>
    <w:rsid w:val="00172E78"/>
    <w:rsid w:val="0017302B"/>
    <w:rsid w:val="001739FB"/>
    <w:rsid w:val="00173D1D"/>
    <w:rsid w:val="001775D6"/>
    <w:rsid w:val="0018068C"/>
    <w:rsid w:val="001807F4"/>
    <w:rsid w:val="00181D87"/>
    <w:rsid w:val="001820A0"/>
    <w:rsid w:val="001833CB"/>
    <w:rsid w:val="00183E66"/>
    <w:rsid w:val="001846BB"/>
    <w:rsid w:val="001846BE"/>
    <w:rsid w:val="001849C3"/>
    <w:rsid w:val="00184CD3"/>
    <w:rsid w:val="0018566D"/>
    <w:rsid w:val="00186831"/>
    <w:rsid w:val="00186992"/>
    <w:rsid w:val="001908E9"/>
    <w:rsid w:val="001919A0"/>
    <w:rsid w:val="001933B8"/>
    <w:rsid w:val="00193895"/>
    <w:rsid w:val="001956A8"/>
    <w:rsid w:val="001A0FD7"/>
    <w:rsid w:val="001A1048"/>
    <w:rsid w:val="001A14FB"/>
    <w:rsid w:val="001A1A49"/>
    <w:rsid w:val="001A22C7"/>
    <w:rsid w:val="001A346E"/>
    <w:rsid w:val="001A4FE0"/>
    <w:rsid w:val="001A671D"/>
    <w:rsid w:val="001A75E7"/>
    <w:rsid w:val="001A7E1D"/>
    <w:rsid w:val="001B21A0"/>
    <w:rsid w:val="001B36CD"/>
    <w:rsid w:val="001B4960"/>
    <w:rsid w:val="001B55DF"/>
    <w:rsid w:val="001B57F8"/>
    <w:rsid w:val="001B5D75"/>
    <w:rsid w:val="001B6C0C"/>
    <w:rsid w:val="001B6EDE"/>
    <w:rsid w:val="001C0FEC"/>
    <w:rsid w:val="001C11F2"/>
    <w:rsid w:val="001C2B0C"/>
    <w:rsid w:val="001C2FED"/>
    <w:rsid w:val="001C3DBC"/>
    <w:rsid w:val="001C4125"/>
    <w:rsid w:val="001C5D46"/>
    <w:rsid w:val="001C67D2"/>
    <w:rsid w:val="001C7B10"/>
    <w:rsid w:val="001D055D"/>
    <w:rsid w:val="001D0A8F"/>
    <w:rsid w:val="001D1C64"/>
    <w:rsid w:val="001D3347"/>
    <w:rsid w:val="001D355E"/>
    <w:rsid w:val="001D4A9D"/>
    <w:rsid w:val="001D6204"/>
    <w:rsid w:val="001D7AEB"/>
    <w:rsid w:val="001E0404"/>
    <w:rsid w:val="001E2997"/>
    <w:rsid w:val="001E2E85"/>
    <w:rsid w:val="001E3104"/>
    <w:rsid w:val="001E43FE"/>
    <w:rsid w:val="001E494B"/>
    <w:rsid w:val="001E4DFE"/>
    <w:rsid w:val="001E4E9F"/>
    <w:rsid w:val="001E62EF"/>
    <w:rsid w:val="001E664C"/>
    <w:rsid w:val="001E7D13"/>
    <w:rsid w:val="001F0CD7"/>
    <w:rsid w:val="001F1AD1"/>
    <w:rsid w:val="001F2B2B"/>
    <w:rsid w:val="001F3FF3"/>
    <w:rsid w:val="001F483E"/>
    <w:rsid w:val="001F5128"/>
    <w:rsid w:val="001F7278"/>
    <w:rsid w:val="001F7B69"/>
    <w:rsid w:val="001F7F7E"/>
    <w:rsid w:val="00200A96"/>
    <w:rsid w:val="00200B62"/>
    <w:rsid w:val="002014A8"/>
    <w:rsid w:val="0020256F"/>
    <w:rsid w:val="00202C97"/>
    <w:rsid w:val="00204E18"/>
    <w:rsid w:val="00204EC4"/>
    <w:rsid w:val="0020518C"/>
    <w:rsid w:val="002052BE"/>
    <w:rsid w:val="00206937"/>
    <w:rsid w:val="00207C72"/>
    <w:rsid w:val="00207F36"/>
    <w:rsid w:val="00210326"/>
    <w:rsid w:val="00210530"/>
    <w:rsid w:val="002121F5"/>
    <w:rsid w:val="00212876"/>
    <w:rsid w:val="00212BE3"/>
    <w:rsid w:val="0021306A"/>
    <w:rsid w:val="002133F8"/>
    <w:rsid w:val="00213578"/>
    <w:rsid w:val="00213F50"/>
    <w:rsid w:val="002146AA"/>
    <w:rsid w:val="002146D2"/>
    <w:rsid w:val="00214AE9"/>
    <w:rsid w:val="00215F75"/>
    <w:rsid w:val="0021715E"/>
    <w:rsid w:val="00217905"/>
    <w:rsid w:val="00217FD3"/>
    <w:rsid w:val="002204B5"/>
    <w:rsid w:val="00220C65"/>
    <w:rsid w:val="00220DF0"/>
    <w:rsid w:val="00221512"/>
    <w:rsid w:val="00221BC8"/>
    <w:rsid w:val="00224391"/>
    <w:rsid w:val="00225308"/>
    <w:rsid w:val="00225E42"/>
    <w:rsid w:val="00227318"/>
    <w:rsid w:val="0022788B"/>
    <w:rsid w:val="00230413"/>
    <w:rsid w:val="00230B34"/>
    <w:rsid w:val="002311F7"/>
    <w:rsid w:val="00231698"/>
    <w:rsid w:val="00232411"/>
    <w:rsid w:val="00232570"/>
    <w:rsid w:val="002327C9"/>
    <w:rsid w:val="00232990"/>
    <w:rsid w:val="002330CB"/>
    <w:rsid w:val="002358F8"/>
    <w:rsid w:val="00235B48"/>
    <w:rsid w:val="00235BF2"/>
    <w:rsid w:val="00236E63"/>
    <w:rsid w:val="00237B8E"/>
    <w:rsid w:val="0024028B"/>
    <w:rsid w:val="00240845"/>
    <w:rsid w:val="0024159B"/>
    <w:rsid w:val="00241A8A"/>
    <w:rsid w:val="00242440"/>
    <w:rsid w:val="002431DC"/>
    <w:rsid w:val="00243AED"/>
    <w:rsid w:val="002442BE"/>
    <w:rsid w:val="00244CDE"/>
    <w:rsid w:val="0024527C"/>
    <w:rsid w:val="002455AB"/>
    <w:rsid w:val="00245761"/>
    <w:rsid w:val="00246026"/>
    <w:rsid w:val="002469E3"/>
    <w:rsid w:val="00246BD4"/>
    <w:rsid w:val="00247761"/>
    <w:rsid w:val="00247984"/>
    <w:rsid w:val="00247FD0"/>
    <w:rsid w:val="00252218"/>
    <w:rsid w:val="00253767"/>
    <w:rsid w:val="00253CDC"/>
    <w:rsid w:val="0025420B"/>
    <w:rsid w:val="002547F2"/>
    <w:rsid w:val="002555DE"/>
    <w:rsid w:val="00256FA0"/>
    <w:rsid w:val="0025771B"/>
    <w:rsid w:val="00260551"/>
    <w:rsid w:val="0026288F"/>
    <w:rsid w:val="002631FB"/>
    <w:rsid w:val="002642F7"/>
    <w:rsid w:val="00264773"/>
    <w:rsid w:val="00265381"/>
    <w:rsid w:val="002655F3"/>
    <w:rsid w:val="0026704A"/>
    <w:rsid w:val="00270766"/>
    <w:rsid w:val="00270AC6"/>
    <w:rsid w:val="0027179E"/>
    <w:rsid w:val="002724F7"/>
    <w:rsid w:val="00272554"/>
    <w:rsid w:val="00273253"/>
    <w:rsid w:val="00274EAD"/>
    <w:rsid w:val="002750BC"/>
    <w:rsid w:val="002775DB"/>
    <w:rsid w:val="00282C57"/>
    <w:rsid w:val="0028311E"/>
    <w:rsid w:val="00284B8C"/>
    <w:rsid w:val="00284C37"/>
    <w:rsid w:val="00284ED2"/>
    <w:rsid w:val="0028585C"/>
    <w:rsid w:val="002861D6"/>
    <w:rsid w:val="0028631A"/>
    <w:rsid w:val="002863C4"/>
    <w:rsid w:val="00291181"/>
    <w:rsid w:val="00291F33"/>
    <w:rsid w:val="00292039"/>
    <w:rsid w:val="00293C30"/>
    <w:rsid w:val="00294ABC"/>
    <w:rsid w:val="00295682"/>
    <w:rsid w:val="002965B7"/>
    <w:rsid w:val="002A1705"/>
    <w:rsid w:val="002A3994"/>
    <w:rsid w:val="002A3BD0"/>
    <w:rsid w:val="002A3D91"/>
    <w:rsid w:val="002A42A1"/>
    <w:rsid w:val="002A43A4"/>
    <w:rsid w:val="002A511F"/>
    <w:rsid w:val="002A538D"/>
    <w:rsid w:val="002A711D"/>
    <w:rsid w:val="002B0BB3"/>
    <w:rsid w:val="002B1965"/>
    <w:rsid w:val="002B2283"/>
    <w:rsid w:val="002B319B"/>
    <w:rsid w:val="002B38E3"/>
    <w:rsid w:val="002B4212"/>
    <w:rsid w:val="002B4C1E"/>
    <w:rsid w:val="002B4E6D"/>
    <w:rsid w:val="002B5710"/>
    <w:rsid w:val="002B59C8"/>
    <w:rsid w:val="002B5A1B"/>
    <w:rsid w:val="002B67AD"/>
    <w:rsid w:val="002C16FA"/>
    <w:rsid w:val="002C1863"/>
    <w:rsid w:val="002C1A88"/>
    <w:rsid w:val="002C1EA9"/>
    <w:rsid w:val="002C210F"/>
    <w:rsid w:val="002C2E48"/>
    <w:rsid w:val="002C31C3"/>
    <w:rsid w:val="002C399F"/>
    <w:rsid w:val="002C39A6"/>
    <w:rsid w:val="002C738E"/>
    <w:rsid w:val="002C77EF"/>
    <w:rsid w:val="002C7E11"/>
    <w:rsid w:val="002D0231"/>
    <w:rsid w:val="002D0DD3"/>
    <w:rsid w:val="002D1F15"/>
    <w:rsid w:val="002D261B"/>
    <w:rsid w:val="002D3BBF"/>
    <w:rsid w:val="002D418B"/>
    <w:rsid w:val="002D4E79"/>
    <w:rsid w:val="002D68DA"/>
    <w:rsid w:val="002D6F7E"/>
    <w:rsid w:val="002E0176"/>
    <w:rsid w:val="002E0435"/>
    <w:rsid w:val="002E0A8B"/>
    <w:rsid w:val="002E1021"/>
    <w:rsid w:val="002E124C"/>
    <w:rsid w:val="002E21AC"/>
    <w:rsid w:val="002E23CD"/>
    <w:rsid w:val="002E276E"/>
    <w:rsid w:val="002E381B"/>
    <w:rsid w:val="002E4538"/>
    <w:rsid w:val="002E49BE"/>
    <w:rsid w:val="002E4A47"/>
    <w:rsid w:val="002E4AAE"/>
    <w:rsid w:val="002E6155"/>
    <w:rsid w:val="002E683A"/>
    <w:rsid w:val="002E70AE"/>
    <w:rsid w:val="002E71EF"/>
    <w:rsid w:val="002E7895"/>
    <w:rsid w:val="002E7BF5"/>
    <w:rsid w:val="002E7D0D"/>
    <w:rsid w:val="002F145B"/>
    <w:rsid w:val="002F21FF"/>
    <w:rsid w:val="002F37E7"/>
    <w:rsid w:val="002F38A2"/>
    <w:rsid w:val="002F3F7A"/>
    <w:rsid w:val="002F4B22"/>
    <w:rsid w:val="002F5180"/>
    <w:rsid w:val="002F521A"/>
    <w:rsid w:val="002F6023"/>
    <w:rsid w:val="002F6936"/>
    <w:rsid w:val="002F713A"/>
    <w:rsid w:val="002F748A"/>
    <w:rsid w:val="002F7535"/>
    <w:rsid w:val="00300339"/>
    <w:rsid w:val="00301244"/>
    <w:rsid w:val="00301CEF"/>
    <w:rsid w:val="00302FDC"/>
    <w:rsid w:val="003038C1"/>
    <w:rsid w:val="0030628A"/>
    <w:rsid w:val="00306BED"/>
    <w:rsid w:val="00306EBF"/>
    <w:rsid w:val="00306FC9"/>
    <w:rsid w:val="00307B53"/>
    <w:rsid w:val="003110B3"/>
    <w:rsid w:val="0031265E"/>
    <w:rsid w:val="003127F2"/>
    <w:rsid w:val="00316965"/>
    <w:rsid w:val="00316BF2"/>
    <w:rsid w:val="00321529"/>
    <w:rsid w:val="00322069"/>
    <w:rsid w:val="00322A48"/>
    <w:rsid w:val="003231FA"/>
    <w:rsid w:val="00323662"/>
    <w:rsid w:val="00324891"/>
    <w:rsid w:val="00325624"/>
    <w:rsid w:val="00327297"/>
    <w:rsid w:val="00327D5F"/>
    <w:rsid w:val="003302DE"/>
    <w:rsid w:val="00330779"/>
    <w:rsid w:val="00330BF7"/>
    <w:rsid w:val="00331DA5"/>
    <w:rsid w:val="0033244D"/>
    <w:rsid w:val="0033266E"/>
    <w:rsid w:val="0033420B"/>
    <w:rsid w:val="00335422"/>
    <w:rsid w:val="0033584C"/>
    <w:rsid w:val="00337586"/>
    <w:rsid w:val="00337DE9"/>
    <w:rsid w:val="003408F5"/>
    <w:rsid w:val="0034142A"/>
    <w:rsid w:val="003425AB"/>
    <w:rsid w:val="00343557"/>
    <w:rsid w:val="00344EDA"/>
    <w:rsid w:val="00344F6B"/>
    <w:rsid w:val="00345E2B"/>
    <w:rsid w:val="00345F8B"/>
    <w:rsid w:val="00346363"/>
    <w:rsid w:val="0034659B"/>
    <w:rsid w:val="0034673C"/>
    <w:rsid w:val="00350083"/>
    <w:rsid w:val="00350800"/>
    <w:rsid w:val="00350E43"/>
    <w:rsid w:val="0035242A"/>
    <w:rsid w:val="0035291E"/>
    <w:rsid w:val="00352EEA"/>
    <w:rsid w:val="00353EF1"/>
    <w:rsid w:val="0035415D"/>
    <w:rsid w:val="003547F1"/>
    <w:rsid w:val="0035572B"/>
    <w:rsid w:val="00355F11"/>
    <w:rsid w:val="00356340"/>
    <w:rsid w:val="003603F9"/>
    <w:rsid w:val="00360474"/>
    <w:rsid w:val="00360A30"/>
    <w:rsid w:val="00361079"/>
    <w:rsid w:val="00361516"/>
    <w:rsid w:val="003619C4"/>
    <w:rsid w:val="00362B54"/>
    <w:rsid w:val="00363217"/>
    <w:rsid w:val="00363912"/>
    <w:rsid w:val="0036399E"/>
    <w:rsid w:val="003642E8"/>
    <w:rsid w:val="00364DFC"/>
    <w:rsid w:val="00366846"/>
    <w:rsid w:val="003675A0"/>
    <w:rsid w:val="00367984"/>
    <w:rsid w:val="00372C51"/>
    <w:rsid w:val="00372F00"/>
    <w:rsid w:val="003744F0"/>
    <w:rsid w:val="003756A8"/>
    <w:rsid w:val="0037763B"/>
    <w:rsid w:val="0038000D"/>
    <w:rsid w:val="003808A7"/>
    <w:rsid w:val="00381D3C"/>
    <w:rsid w:val="003826B3"/>
    <w:rsid w:val="003826E2"/>
    <w:rsid w:val="00382BF5"/>
    <w:rsid w:val="00385F89"/>
    <w:rsid w:val="00387FDA"/>
    <w:rsid w:val="003901FB"/>
    <w:rsid w:val="003912BF"/>
    <w:rsid w:val="00391931"/>
    <w:rsid w:val="003924CC"/>
    <w:rsid w:val="00392619"/>
    <w:rsid w:val="00392F2D"/>
    <w:rsid w:val="00392F8C"/>
    <w:rsid w:val="00393ED4"/>
    <w:rsid w:val="00394435"/>
    <w:rsid w:val="003948C1"/>
    <w:rsid w:val="003951FC"/>
    <w:rsid w:val="003972BE"/>
    <w:rsid w:val="00397604"/>
    <w:rsid w:val="00397A52"/>
    <w:rsid w:val="003A0200"/>
    <w:rsid w:val="003A0722"/>
    <w:rsid w:val="003A17E8"/>
    <w:rsid w:val="003A184A"/>
    <w:rsid w:val="003A1FB5"/>
    <w:rsid w:val="003A2BDE"/>
    <w:rsid w:val="003A389A"/>
    <w:rsid w:val="003A3CBC"/>
    <w:rsid w:val="003A46DF"/>
    <w:rsid w:val="003A65BA"/>
    <w:rsid w:val="003A67DF"/>
    <w:rsid w:val="003A7163"/>
    <w:rsid w:val="003A7E9B"/>
    <w:rsid w:val="003B00AD"/>
    <w:rsid w:val="003B0835"/>
    <w:rsid w:val="003B0B4C"/>
    <w:rsid w:val="003B0C09"/>
    <w:rsid w:val="003B1142"/>
    <w:rsid w:val="003B241A"/>
    <w:rsid w:val="003B3700"/>
    <w:rsid w:val="003B4363"/>
    <w:rsid w:val="003B58E6"/>
    <w:rsid w:val="003B5B58"/>
    <w:rsid w:val="003B6E04"/>
    <w:rsid w:val="003C08FD"/>
    <w:rsid w:val="003C1193"/>
    <w:rsid w:val="003C13F8"/>
    <w:rsid w:val="003C17F8"/>
    <w:rsid w:val="003C19D0"/>
    <w:rsid w:val="003C2A6C"/>
    <w:rsid w:val="003C375F"/>
    <w:rsid w:val="003C3976"/>
    <w:rsid w:val="003C42C7"/>
    <w:rsid w:val="003C4914"/>
    <w:rsid w:val="003C4CDE"/>
    <w:rsid w:val="003C4D8E"/>
    <w:rsid w:val="003C58FF"/>
    <w:rsid w:val="003C75A7"/>
    <w:rsid w:val="003C7861"/>
    <w:rsid w:val="003D0064"/>
    <w:rsid w:val="003D0406"/>
    <w:rsid w:val="003D0619"/>
    <w:rsid w:val="003D19D3"/>
    <w:rsid w:val="003D27E1"/>
    <w:rsid w:val="003D28CE"/>
    <w:rsid w:val="003D43CA"/>
    <w:rsid w:val="003D5090"/>
    <w:rsid w:val="003D50CD"/>
    <w:rsid w:val="003D5E84"/>
    <w:rsid w:val="003E0598"/>
    <w:rsid w:val="003E25A9"/>
    <w:rsid w:val="003E2D1F"/>
    <w:rsid w:val="003E46C4"/>
    <w:rsid w:val="003E46EA"/>
    <w:rsid w:val="003E4E44"/>
    <w:rsid w:val="003E5F98"/>
    <w:rsid w:val="003E60A4"/>
    <w:rsid w:val="003E6316"/>
    <w:rsid w:val="003E7862"/>
    <w:rsid w:val="003F314B"/>
    <w:rsid w:val="003F417C"/>
    <w:rsid w:val="003F41C1"/>
    <w:rsid w:val="003F42C9"/>
    <w:rsid w:val="003F5A71"/>
    <w:rsid w:val="003F6914"/>
    <w:rsid w:val="003F733C"/>
    <w:rsid w:val="003F73E5"/>
    <w:rsid w:val="003F743F"/>
    <w:rsid w:val="003F7C3B"/>
    <w:rsid w:val="003F7EF6"/>
    <w:rsid w:val="003F7F8B"/>
    <w:rsid w:val="00400D38"/>
    <w:rsid w:val="00401037"/>
    <w:rsid w:val="004010B6"/>
    <w:rsid w:val="00402A84"/>
    <w:rsid w:val="004030F6"/>
    <w:rsid w:val="00403A64"/>
    <w:rsid w:val="004045B8"/>
    <w:rsid w:val="004046AB"/>
    <w:rsid w:val="0040499A"/>
    <w:rsid w:val="00404AED"/>
    <w:rsid w:val="00405362"/>
    <w:rsid w:val="00405B55"/>
    <w:rsid w:val="00406483"/>
    <w:rsid w:val="004064AA"/>
    <w:rsid w:val="0040770F"/>
    <w:rsid w:val="00407D4A"/>
    <w:rsid w:val="004102C8"/>
    <w:rsid w:val="0041033C"/>
    <w:rsid w:val="00410A28"/>
    <w:rsid w:val="00411460"/>
    <w:rsid w:val="004124D9"/>
    <w:rsid w:val="00413221"/>
    <w:rsid w:val="0041400B"/>
    <w:rsid w:val="0041407B"/>
    <w:rsid w:val="00414B8F"/>
    <w:rsid w:val="00416703"/>
    <w:rsid w:val="00421FE8"/>
    <w:rsid w:val="004226D6"/>
    <w:rsid w:val="00423C43"/>
    <w:rsid w:val="004242C4"/>
    <w:rsid w:val="00424A21"/>
    <w:rsid w:val="00425A54"/>
    <w:rsid w:val="00426824"/>
    <w:rsid w:val="00427848"/>
    <w:rsid w:val="00427E29"/>
    <w:rsid w:val="00427FE3"/>
    <w:rsid w:val="00431723"/>
    <w:rsid w:val="00432008"/>
    <w:rsid w:val="00434AAD"/>
    <w:rsid w:val="00435C66"/>
    <w:rsid w:val="004401B7"/>
    <w:rsid w:val="00440898"/>
    <w:rsid w:val="00442571"/>
    <w:rsid w:val="004476E3"/>
    <w:rsid w:val="004478BF"/>
    <w:rsid w:val="00447BDB"/>
    <w:rsid w:val="0045043E"/>
    <w:rsid w:val="004508B2"/>
    <w:rsid w:val="00450C50"/>
    <w:rsid w:val="0045375D"/>
    <w:rsid w:val="004537CC"/>
    <w:rsid w:val="004575B5"/>
    <w:rsid w:val="00457874"/>
    <w:rsid w:val="004618E5"/>
    <w:rsid w:val="00461B12"/>
    <w:rsid w:val="0046211C"/>
    <w:rsid w:val="00462522"/>
    <w:rsid w:val="004634A5"/>
    <w:rsid w:val="0046400C"/>
    <w:rsid w:val="004643A7"/>
    <w:rsid w:val="00464698"/>
    <w:rsid w:val="0046478C"/>
    <w:rsid w:val="00465E51"/>
    <w:rsid w:val="00467B73"/>
    <w:rsid w:val="00467E18"/>
    <w:rsid w:val="004721D2"/>
    <w:rsid w:val="00472CA4"/>
    <w:rsid w:val="00472F21"/>
    <w:rsid w:val="004730C3"/>
    <w:rsid w:val="00473BC3"/>
    <w:rsid w:val="00474D9E"/>
    <w:rsid w:val="00476233"/>
    <w:rsid w:val="0047627C"/>
    <w:rsid w:val="00476821"/>
    <w:rsid w:val="00477990"/>
    <w:rsid w:val="00477A40"/>
    <w:rsid w:val="004800D8"/>
    <w:rsid w:val="0048102F"/>
    <w:rsid w:val="00481759"/>
    <w:rsid w:val="004822F6"/>
    <w:rsid w:val="0048236C"/>
    <w:rsid w:val="0048347B"/>
    <w:rsid w:val="00483A75"/>
    <w:rsid w:val="004853CB"/>
    <w:rsid w:val="004878A1"/>
    <w:rsid w:val="0049077A"/>
    <w:rsid w:val="00490CB4"/>
    <w:rsid w:val="00491FD5"/>
    <w:rsid w:val="00492D7E"/>
    <w:rsid w:val="00492FE7"/>
    <w:rsid w:val="00493299"/>
    <w:rsid w:val="00493818"/>
    <w:rsid w:val="004939B3"/>
    <w:rsid w:val="0049495C"/>
    <w:rsid w:val="0049676C"/>
    <w:rsid w:val="004967E6"/>
    <w:rsid w:val="0049731E"/>
    <w:rsid w:val="004A0CCE"/>
    <w:rsid w:val="004A0F86"/>
    <w:rsid w:val="004A132B"/>
    <w:rsid w:val="004A3292"/>
    <w:rsid w:val="004A3F08"/>
    <w:rsid w:val="004A3FF2"/>
    <w:rsid w:val="004A4B37"/>
    <w:rsid w:val="004A52DB"/>
    <w:rsid w:val="004A552C"/>
    <w:rsid w:val="004A67D8"/>
    <w:rsid w:val="004A6BA3"/>
    <w:rsid w:val="004A6D05"/>
    <w:rsid w:val="004B0B3B"/>
    <w:rsid w:val="004B0D0B"/>
    <w:rsid w:val="004B1418"/>
    <w:rsid w:val="004B2E04"/>
    <w:rsid w:val="004B59D4"/>
    <w:rsid w:val="004B661D"/>
    <w:rsid w:val="004B6A1A"/>
    <w:rsid w:val="004B746F"/>
    <w:rsid w:val="004B7D2B"/>
    <w:rsid w:val="004C0184"/>
    <w:rsid w:val="004C0B9A"/>
    <w:rsid w:val="004C0C90"/>
    <w:rsid w:val="004C0FE0"/>
    <w:rsid w:val="004C1C19"/>
    <w:rsid w:val="004C26AA"/>
    <w:rsid w:val="004C26AD"/>
    <w:rsid w:val="004C2D72"/>
    <w:rsid w:val="004C3C28"/>
    <w:rsid w:val="004C49BE"/>
    <w:rsid w:val="004C4B7E"/>
    <w:rsid w:val="004C59CE"/>
    <w:rsid w:val="004C77B1"/>
    <w:rsid w:val="004D01B8"/>
    <w:rsid w:val="004D064C"/>
    <w:rsid w:val="004D10F1"/>
    <w:rsid w:val="004D3FC8"/>
    <w:rsid w:val="004D44FF"/>
    <w:rsid w:val="004D54D2"/>
    <w:rsid w:val="004D7E58"/>
    <w:rsid w:val="004E13E1"/>
    <w:rsid w:val="004E22BD"/>
    <w:rsid w:val="004E4FA4"/>
    <w:rsid w:val="004E5315"/>
    <w:rsid w:val="004E6296"/>
    <w:rsid w:val="004E678F"/>
    <w:rsid w:val="004E72D6"/>
    <w:rsid w:val="004E742C"/>
    <w:rsid w:val="004F100C"/>
    <w:rsid w:val="004F2C08"/>
    <w:rsid w:val="004F2F43"/>
    <w:rsid w:val="004F33CE"/>
    <w:rsid w:val="004F3F8B"/>
    <w:rsid w:val="004F4D73"/>
    <w:rsid w:val="004F555C"/>
    <w:rsid w:val="004F59B0"/>
    <w:rsid w:val="004F625B"/>
    <w:rsid w:val="00500B78"/>
    <w:rsid w:val="00500FF4"/>
    <w:rsid w:val="00501932"/>
    <w:rsid w:val="00501A26"/>
    <w:rsid w:val="00501B62"/>
    <w:rsid w:val="00501BD6"/>
    <w:rsid w:val="00501C7D"/>
    <w:rsid w:val="005025AF"/>
    <w:rsid w:val="0050278F"/>
    <w:rsid w:val="005028A5"/>
    <w:rsid w:val="0050335C"/>
    <w:rsid w:val="005039C3"/>
    <w:rsid w:val="00505AEE"/>
    <w:rsid w:val="00505B00"/>
    <w:rsid w:val="005062E0"/>
    <w:rsid w:val="00506806"/>
    <w:rsid w:val="00506BB6"/>
    <w:rsid w:val="00512896"/>
    <w:rsid w:val="00512BE4"/>
    <w:rsid w:val="00512F7F"/>
    <w:rsid w:val="00513C93"/>
    <w:rsid w:val="0051456A"/>
    <w:rsid w:val="00514D45"/>
    <w:rsid w:val="005157DE"/>
    <w:rsid w:val="00517420"/>
    <w:rsid w:val="00521B76"/>
    <w:rsid w:val="00522102"/>
    <w:rsid w:val="00522726"/>
    <w:rsid w:val="00522E32"/>
    <w:rsid w:val="005231C8"/>
    <w:rsid w:val="00523CE9"/>
    <w:rsid w:val="00523DFC"/>
    <w:rsid w:val="005262AA"/>
    <w:rsid w:val="00526DFD"/>
    <w:rsid w:val="0052720B"/>
    <w:rsid w:val="00527463"/>
    <w:rsid w:val="005277EE"/>
    <w:rsid w:val="00527D35"/>
    <w:rsid w:val="0053055D"/>
    <w:rsid w:val="00530DD1"/>
    <w:rsid w:val="00531C26"/>
    <w:rsid w:val="00531EF8"/>
    <w:rsid w:val="00532B56"/>
    <w:rsid w:val="00532F2D"/>
    <w:rsid w:val="00533296"/>
    <w:rsid w:val="0053361D"/>
    <w:rsid w:val="005341F0"/>
    <w:rsid w:val="0053451C"/>
    <w:rsid w:val="00535154"/>
    <w:rsid w:val="005352DC"/>
    <w:rsid w:val="00535B66"/>
    <w:rsid w:val="005368B4"/>
    <w:rsid w:val="0053772E"/>
    <w:rsid w:val="005378B3"/>
    <w:rsid w:val="00537FA2"/>
    <w:rsid w:val="00541970"/>
    <w:rsid w:val="005423CC"/>
    <w:rsid w:val="0054306F"/>
    <w:rsid w:val="005440E5"/>
    <w:rsid w:val="00544891"/>
    <w:rsid w:val="00544B99"/>
    <w:rsid w:val="00544D9B"/>
    <w:rsid w:val="00545866"/>
    <w:rsid w:val="0054665F"/>
    <w:rsid w:val="005473E2"/>
    <w:rsid w:val="00547CE8"/>
    <w:rsid w:val="00551689"/>
    <w:rsid w:val="005522A0"/>
    <w:rsid w:val="00552E19"/>
    <w:rsid w:val="005561A0"/>
    <w:rsid w:val="00556462"/>
    <w:rsid w:val="005567CE"/>
    <w:rsid w:val="00556EA4"/>
    <w:rsid w:val="00557C28"/>
    <w:rsid w:val="00563A09"/>
    <w:rsid w:val="00563BDC"/>
    <w:rsid w:val="00564237"/>
    <w:rsid w:val="005660EF"/>
    <w:rsid w:val="005665DA"/>
    <w:rsid w:val="005723AE"/>
    <w:rsid w:val="00572F55"/>
    <w:rsid w:val="00573551"/>
    <w:rsid w:val="005756CD"/>
    <w:rsid w:val="00575D5A"/>
    <w:rsid w:val="00576C5B"/>
    <w:rsid w:val="00577B02"/>
    <w:rsid w:val="00577DEE"/>
    <w:rsid w:val="00581012"/>
    <w:rsid w:val="005817C9"/>
    <w:rsid w:val="00583B04"/>
    <w:rsid w:val="00585641"/>
    <w:rsid w:val="00585828"/>
    <w:rsid w:val="00585EC8"/>
    <w:rsid w:val="005877A7"/>
    <w:rsid w:val="0059134E"/>
    <w:rsid w:val="00591472"/>
    <w:rsid w:val="005915CF"/>
    <w:rsid w:val="00591EB0"/>
    <w:rsid w:val="00592246"/>
    <w:rsid w:val="00592993"/>
    <w:rsid w:val="00594816"/>
    <w:rsid w:val="00595282"/>
    <w:rsid w:val="005953FB"/>
    <w:rsid w:val="00595641"/>
    <w:rsid w:val="00597C79"/>
    <w:rsid w:val="005A0715"/>
    <w:rsid w:val="005A20F7"/>
    <w:rsid w:val="005A277D"/>
    <w:rsid w:val="005A3C5C"/>
    <w:rsid w:val="005A4194"/>
    <w:rsid w:val="005A44F9"/>
    <w:rsid w:val="005A4D72"/>
    <w:rsid w:val="005A58CD"/>
    <w:rsid w:val="005A5EFE"/>
    <w:rsid w:val="005A7535"/>
    <w:rsid w:val="005B06F0"/>
    <w:rsid w:val="005B14A1"/>
    <w:rsid w:val="005B16C5"/>
    <w:rsid w:val="005B48E1"/>
    <w:rsid w:val="005B51E4"/>
    <w:rsid w:val="005B5920"/>
    <w:rsid w:val="005B65EB"/>
    <w:rsid w:val="005B6B05"/>
    <w:rsid w:val="005B7788"/>
    <w:rsid w:val="005B7B7A"/>
    <w:rsid w:val="005B7C07"/>
    <w:rsid w:val="005C038B"/>
    <w:rsid w:val="005C08F0"/>
    <w:rsid w:val="005C1246"/>
    <w:rsid w:val="005C1257"/>
    <w:rsid w:val="005C1C25"/>
    <w:rsid w:val="005C2871"/>
    <w:rsid w:val="005C41CC"/>
    <w:rsid w:val="005C5504"/>
    <w:rsid w:val="005C7273"/>
    <w:rsid w:val="005D1316"/>
    <w:rsid w:val="005D33AD"/>
    <w:rsid w:val="005D34BD"/>
    <w:rsid w:val="005D3C4E"/>
    <w:rsid w:val="005D3F3A"/>
    <w:rsid w:val="005D4DE5"/>
    <w:rsid w:val="005D5ADF"/>
    <w:rsid w:val="005D5B8C"/>
    <w:rsid w:val="005D6176"/>
    <w:rsid w:val="005D6910"/>
    <w:rsid w:val="005D6929"/>
    <w:rsid w:val="005D7837"/>
    <w:rsid w:val="005E32CC"/>
    <w:rsid w:val="005E3662"/>
    <w:rsid w:val="005E4264"/>
    <w:rsid w:val="005E4BF3"/>
    <w:rsid w:val="005E4CCD"/>
    <w:rsid w:val="005E5325"/>
    <w:rsid w:val="005E540D"/>
    <w:rsid w:val="005E7554"/>
    <w:rsid w:val="005E7DEA"/>
    <w:rsid w:val="005F0841"/>
    <w:rsid w:val="005F0DBB"/>
    <w:rsid w:val="005F1B8D"/>
    <w:rsid w:val="005F20F2"/>
    <w:rsid w:val="005F2BC5"/>
    <w:rsid w:val="005F44DC"/>
    <w:rsid w:val="005F65B7"/>
    <w:rsid w:val="005F7422"/>
    <w:rsid w:val="005F7D4C"/>
    <w:rsid w:val="00600F66"/>
    <w:rsid w:val="006032DC"/>
    <w:rsid w:val="00603A31"/>
    <w:rsid w:val="00603AB3"/>
    <w:rsid w:val="006048B0"/>
    <w:rsid w:val="006050A4"/>
    <w:rsid w:val="00612345"/>
    <w:rsid w:val="00613092"/>
    <w:rsid w:val="006135D6"/>
    <w:rsid w:val="006149D4"/>
    <w:rsid w:val="00615DA3"/>
    <w:rsid w:val="00616AB4"/>
    <w:rsid w:val="0061764E"/>
    <w:rsid w:val="00617B18"/>
    <w:rsid w:val="00620CB7"/>
    <w:rsid w:val="006212A8"/>
    <w:rsid w:val="00621BF6"/>
    <w:rsid w:val="0062273C"/>
    <w:rsid w:val="006231BF"/>
    <w:rsid w:val="00623E76"/>
    <w:rsid w:val="00624BD4"/>
    <w:rsid w:val="00625634"/>
    <w:rsid w:val="006264B3"/>
    <w:rsid w:val="00627521"/>
    <w:rsid w:val="006306CB"/>
    <w:rsid w:val="006308D2"/>
    <w:rsid w:val="00632AFD"/>
    <w:rsid w:val="006345B6"/>
    <w:rsid w:val="0063483F"/>
    <w:rsid w:val="00635EB1"/>
    <w:rsid w:val="00635EB7"/>
    <w:rsid w:val="00635ED9"/>
    <w:rsid w:val="00636DF3"/>
    <w:rsid w:val="00637B8F"/>
    <w:rsid w:val="00637FA5"/>
    <w:rsid w:val="0064181D"/>
    <w:rsid w:val="00642E4B"/>
    <w:rsid w:val="006437CD"/>
    <w:rsid w:val="0064480D"/>
    <w:rsid w:val="00645617"/>
    <w:rsid w:val="00645B95"/>
    <w:rsid w:val="00646F0F"/>
    <w:rsid w:val="006471F2"/>
    <w:rsid w:val="0064784A"/>
    <w:rsid w:val="00650636"/>
    <w:rsid w:val="006520B0"/>
    <w:rsid w:val="006521C9"/>
    <w:rsid w:val="006535AC"/>
    <w:rsid w:val="006538C2"/>
    <w:rsid w:val="00653912"/>
    <w:rsid w:val="0065558D"/>
    <w:rsid w:val="006556A5"/>
    <w:rsid w:val="00655985"/>
    <w:rsid w:val="00655B7C"/>
    <w:rsid w:val="00655C10"/>
    <w:rsid w:val="00655E0F"/>
    <w:rsid w:val="00656A06"/>
    <w:rsid w:val="006578BA"/>
    <w:rsid w:val="00657E8D"/>
    <w:rsid w:val="0066014D"/>
    <w:rsid w:val="00660925"/>
    <w:rsid w:val="00661D53"/>
    <w:rsid w:val="00662C04"/>
    <w:rsid w:val="00664F5A"/>
    <w:rsid w:val="006652A5"/>
    <w:rsid w:val="00666E2E"/>
    <w:rsid w:val="00667112"/>
    <w:rsid w:val="00670B37"/>
    <w:rsid w:val="0067206F"/>
    <w:rsid w:val="006730BD"/>
    <w:rsid w:val="00677613"/>
    <w:rsid w:val="00677F3D"/>
    <w:rsid w:val="006804C6"/>
    <w:rsid w:val="006805E0"/>
    <w:rsid w:val="00681D1C"/>
    <w:rsid w:val="0068257A"/>
    <w:rsid w:val="0068264A"/>
    <w:rsid w:val="00682F29"/>
    <w:rsid w:val="00684159"/>
    <w:rsid w:val="00684ABA"/>
    <w:rsid w:val="00684B23"/>
    <w:rsid w:val="00684D86"/>
    <w:rsid w:val="0068508A"/>
    <w:rsid w:val="00686871"/>
    <w:rsid w:val="00686E65"/>
    <w:rsid w:val="00686F07"/>
    <w:rsid w:val="006875A3"/>
    <w:rsid w:val="00692A72"/>
    <w:rsid w:val="00693121"/>
    <w:rsid w:val="00693565"/>
    <w:rsid w:val="006935C5"/>
    <w:rsid w:val="00693EBA"/>
    <w:rsid w:val="0069437E"/>
    <w:rsid w:val="0069474F"/>
    <w:rsid w:val="006950F4"/>
    <w:rsid w:val="006955A3"/>
    <w:rsid w:val="0069611E"/>
    <w:rsid w:val="006962D9"/>
    <w:rsid w:val="00697258"/>
    <w:rsid w:val="006A0EF2"/>
    <w:rsid w:val="006A3247"/>
    <w:rsid w:val="006A405D"/>
    <w:rsid w:val="006A41BA"/>
    <w:rsid w:val="006A428C"/>
    <w:rsid w:val="006A546F"/>
    <w:rsid w:val="006A5908"/>
    <w:rsid w:val="006A5FF9"/>
    <w:rsid w:val="006A62C0"/>
    <w:rsid w:val="006A6FC0"/>
    <w:rsid w:val="006A749C"/>
    <w:rsid w:val="006A767C"/>
    <w:rsid w:val="006B0154"/>
    <w:rsid w:val="006B02C2"/>
    <w:rsid w:val="006B06D0"/>
    <w:rsid w:val="006B21B0"/>
    <w:rsid w:val="006B32D8"/>
    <w:rsid w:val="006B4B88"/>
    <w:rsid w:val="006B4CFC"/>
    <w:rsid w:val="006B512C"/>
    <w:rsid w:val="006B67D1"/>
    <w:rsid w:val="006C044E"/>
    <w:rsid w:val="006C1678"/>
    <w:rsid w:val="006C280B"/>
    <w:rsid w:val="006C5A92"/>
    <w:rsid w:val="006C6A1B"/>
    <w:rsid w:val="006C7AED"/>
    <w:rsid w:val="006D0D54"/>
    <w:rsid w:val="006D1284"/>
    <w:rsid w:val="006D22B2"/>
    <w:rsid w:val="006D3050"/>
    <w:rsid w:val="006D3726"/>
    <w:rsid w:val="006D4A26"/>
    <w:rsid w:val="006D5885"/>
    <w:rsid w:val="006D5B5E"/>
    <w:rsid w:val="006D6F4A"/>
    <w:rsid w:val="006D7327"/>
    <w:rsid w:val="006E0480"/>
    <w:rsid w:val="006E0602"/>
    <w:rsid w:val="006E148D"/>
    <w:rsid w:val="006E23FC"/>
    <w:rsid w:val="006E2AAE"/>
    <w:rsid w:val="006E2D36"/>
    <w:rsid w:val="006E30DE"/>
    <w:rsid w:val="006E47A1"/>
    <w:rsid w:val="006E4AF4"/>
    <w:rsid w:val="006E4D33"/>
    <w:rsid w:val="006E5D15"/>
    <w:rsid w:val="006E76D8"/>
    <w:rsid w:val="006F022B"/>
    <w:rsid w:val="006F18A2"/>
    <w:rsid w:val="006F2050"/>
    <w:rsid w:val="006F3DFB"/>
    <w:rsid w:val="006F43DE"/>
    <w:rsid w:val="006F4F63"/>
    <w:rsid w:val="006F5630"/>
    <w:rsid w:val="006F5782"/>
    <w:rsid w:val="006F5DCD"/>
    <w:rsid w:val="006F777A"/>
    <w:rsid w:val="00700627"/>
    <w:rsid w:val="00700EEB"/>
    <w:rsid w:val="0070254A"/>
    <w:rsid w:val="007025AD"/>
    <w:rsid w:val="007027C9"/>
    <w:rsid w:val="007038B3"/>
    <w:rsid w:val="00703D4E"/>
    <w:rsid w:val="007056A3"/>
    <w:rsid w:val="00705719"/>
    <w:rsid w:val="00706D84"/>
    <w:rsid w:val="00707CA7"/>
    <w:rsid w:val="007109CB"/>
    <w:rsid w:val="00710CC1"/>
    <w:rsid w:val="0071141B"/>
    <w:rsid w:val="00711606"/>
    <w:rsid w:val="00711BCD"/>
    <w:rsid w:val="007135AE"/>
    <w:rsid w:val="00715482"/>
    <w:rsid w:val="007159A3"/>
    <w:rsid w:val="00715A28"/>
    <w:rsid w:val="00715F29"/>
    <w:rsid w:val="0071635A"/>
    <w:rsid w:val="00717038"/>
    <w:rsid w:val="00720A4F"/>
    <w:rsid w:val="00720BCE"/>
    <w:rsid w:val="00720F58"/>
    <w:rsid w:val="00721AB9"/>
    <w:rsid w:val="00724552"/>
    <w:rsid w:val="00724C22"/>
    <w:rsid w:val="00725B02"/>
    <w:rsid w:val="00725B82"/>
    <w:rsid w:val="0072614B"/>
    <w:rsid w:val="0072766F"/>
    <w:rsid w:val="007278D1"/>
    <w:rsid w:val="00730094"/>
    <w:rsid w:val="00730694"/>
    <w:rsid w:val="00731319"/>
    <w:rsid w:val="007326C9"/>
    <w:rsid w:val="00732CA3"/>
    <w:rsid w:val="00733B64"/>
    <w:rsid w:val="00735B90"/>
    <w:rsid w:val="00737E92"/>
    <w:rsid w:val="00740157"/>
    <w:rsid w:val="00742389"/>
    <w:rsid w:val="00742CF7"/>
    <w:rsid w:val="0074305B"/>
    <w:rsid w:val="00743566"/>
    <w:rsid w:val="00743693"/>
    <w:rsid w:val="00743A2A"/>
    <w:rsid w:val="00743B53"/>
    <w:rsid w:val="00743F3C"/>
    <w:rsid w:val="00744927"/>
    <w:rsid w:val="007460B2"/>
    <w:rsid w:val="00746C63"/>
    <w:rsid w:val="007472D6"/>
    <w:rsid w:val="007474B1"/>
    <w:rsid w:val="00750265"/>
    <w:rsid w:val="007516F4"/>
    <w:rsid w:val="00751853"/>
    <w:rsid w:val="00751E56"/>
    <w:rsid w:val="00752350"/>
    <w:rsid w:val="00752C59"/>
    <w:rsid w:val="00753333"/>
    <w:rsid w:val="007537C6"/>
    <w:rsid w:val="007541EF"/>
    <w:rsid w:val="00755109"/>
    <w:rsid w:val="00756273"/>
    <w:rsid w:val="00756284"/>
    <w:rsid w:val="0075712C"/>
    <w:rsid w:val="00760831"/>
    <w:rsid w:val="00761A6B"/>
    <w:rsid w:val="00762F90"/>
    <w:rsid w:val="00763783"/>
    <w:rsid w:val="00763D8A"/>
    <w:rsid w:val="00763F13"/>
    <w:rsid w:val="007643FF"/>
    <w:rsid w:val="00764816"/>
    <w:rsid w:val="00764914"/>
    <w:rsid w:val="00764B8D"/>
    <w:rsid w:val="007651BB"/>
    <w:rsid w:val="00765210"/>
    <w:rsid w:val="00766784"/>
    <w:rsid w:val="007671F5"/>
    <w:rsid w:val="007675D2"/>
    <w:rsid w:val="007676BF"/>
    <w:rsid w:val="00770101"/>
    <w:rsid w:val="00770CB7"/>
    <w:rsid w:val="007710AC"/>
    <w:rsid w:val="0077154F"/>
    <w:rsid w:val="0077179A"/>
    <w:rsid w:val="007724A4"/>
    <w:rsid w:val="00772E0F"/>
    <w:rsid w:val="007733C8"/>
    <w:rsid w:val="007734C6"/>
    <w:rsid w:val="00774C9B"/>
    <w:rsid w:val="00774FDB"/>
    <w:rsid w:val="00775091"/>
    <w:rsid w:val="007751EC"/>
    <w:rsid w:val="00775A38"/>
    <w:rsid w:val="00775A41"/>
    <w:rsid w:val="007762E9"/>
    <w:rsid w:val="00776770"/>
    <w:rsid w:val="00776889"/>
    <w:rsid w:val="00780571"/>
    <w:rsid w:val="0078326C"/>
    <w:rsid w:val="00785152"/>
    <w:rsid w:val="007853B8"/>
    <w:rsid w:val="0078572D"/>
    <w:rsid w:val="007860D8"/>
    <w:rsid w:val="007862B7"/>
    <w:rsid w:val="00786468"/>
    <w:rsid w:val="00787B6E"/>
    <w:rsid w:val="007923C8"/>
    <w:rsid w:val="0079247D"/>
    <w:rsid w:val="00792D4D"/>
    <w:rsid w:val="00792DF8"/>
    <w:rsid w:val="00794981"/>
    <w:rsid w:val="00796EEC"/>
    <w:rsid w:val="0079779F"/>
    <w:rsid w:val="00797FCC"/>
    <w:rsid w:val="007A057C"/>
    <w:rsid w:val="007A076E"/>
    <w:rsid w:val="007A1872"/>
    <w:rsid w:val="007A1D0E"/>
    <w:rsid w:val="007A34A9"/>
    <w:rsid w:val="007A3D21"/>
    <w:rsid w:val="007A4236"/>
    <w:rsid w:val="007A4583"/>
    <w:rsid w:val="007A4E72"/>
    <w:rsid w:val="007A5928"/>
    <w:rsid w:val="007A61B2"/>
    <w:rsid w:val="007B0944"/>
    <w:rsid w:val="007B0CD8"/>
    <w:rsid w:val="007B2327"/>
    <w:rsid w:val="007B2B3E"/>
    <w:rsid w:val="007B4B88"/>
    <w:rsid w:val="007B5DCB"/>
    <w:rsid w:val="007B5E03"/>
    <w:rsid w:val="007B61B8"/>
    <w:rsid w:val="007B642D"/>
    <w:rsid w:val="007B7768"/>
    <w:rsid w:val="007C0113"/>
    <w:rsid w:val="007C0681"/>
    <w:rsid w:val="007C0A3D"/>
    <w:rsid w:val="007C179B"/>
    <w:rsid w:val="007C1918"/>
    <w:rsid w:val="007C241C"/>
    <w:rsid w:val="007C3ADE"/>
    <w:rsid w:val="007C473D"/>
    <w:rsid w:val="007C4E6A"/>
    <w:rsid w:val="007C7050"/>
    <w:rsid w:val="007D04EA"/>
    <w:rsid w:val="007D0801"/>
    <w:rsid w:val="007D0AE5"/>
    <w:rsid w:val="007D0B71"/>
    <w:rsid w:val="007D0D05"/>
    <w:rsid w:val="007D2408"/>
    <w:rsid w:val="007D285A"/>
    <w:rsid w:val="007D2AA7"/>
    <w:rsid w:val="007D2CFA"/>
    <w:rsid w:val="007D3333"/>
    <w:rsid w:val="007D3649"/>
    <w:rsid w:val="007D43C3"/>
    <w:rsid w:val="007D4C01"/>
    <w:rsid w:val="007D55D9"/>
    <w:rsid w:val="007D6FA7"/>
    <w:rsid w:val="007D7D09"/>
    <w:rsid w:val="007E1C09"/>
    <w:rsid w:val="007E2104"/>
    <w:rsid w:val="007E2D41"/>
    <w:rsid w:val="007E2F18"/>
    <w:rsid w:val="007E310E"/>
    <w:rsid w:val="007E35E6"/>
    <w:rsid w:val="007E37A2"/>
    <w:rsid w:val="007E4346"/>
    <w:rsid w:val="007E43C8"/>
    <w:rsid w:val="007E4B44"/>
    <w:rsid w:val="007E70FC"/>
    <w:rsid w:val="007F06E2"/>
    <w:rsid w:val="007F09FD"/>
    <w:rsid w:val="007F0E8A"/>
    <w:rsid w:val="007F1A62"/>
    <w:rsid w:val="007F2285"/>
    <w:rsid w:val="007F25FC"/>
    <w:rsid w:val="007F445D"/>
    <w:rsid w:val="00800328"/>
    <w:rsid w:val="008012AF"/>
    <w:rsid w:val="00802739"/>
    <w:rsid w:val="00802765"/>
    <w:rsid w:val="008034A7"/>
    <w:rsid w:val="008039E9"/>
    <w:rsid w:val="00804138"/>
    <w:rsid w:val="0080534B"/>
    <w:rsid w:val="0080647B"/>
    <w:rsid w:val="0080679B"/>
    <w:rsid w:val="008068A6"/>
    <w:rsid w:val="00806D85"/>
    <w:rsid w:val="008079EA"/>
    <w:rsid w:val="008106AB"/>
    <w:rsid w:val="0081111A"/>
    <w:rsid w:val="00811481"/>
    <w:rsid w:val="008114EC"/>
    <w:rsid w:val="00812590"/>
    <w:rsid w:val="0081506D"/>
    <w:rsid w:val="00816731"/>
    <w:rsid w:val="008214BA"/>
    <w:rsid w:val="008223E9"/>
    <w:rsid w:val="00822BC3"/>
    <w:rsid w:val="00824B33"/>
    <w:rsid w:val="00827634"/>
    <w:rsid w:val="00827F0E"/>
    <w:rsid w:val="008303AD"/>
    <w:rsid w:val="00830EA4"/>
    <w:rsid w:val="00831067"/>
    <w:rsid w:val="0083148C"/>
    <w:rsid w:val="00831B34"/>
    <w:rsid w:val="008328A0"/>
    <w:rsid w:val="00832FCD"/>
    <w:rsid w:val="00834CC8"/>
    <w:rsid w:val="00835237"/>
    <w:rsid w:val="00837E74"/>
    <w:rsid w:val="0084027D"/>
    <w:rsid w:val="0084092C"/>
    <w:rsid w:val="0084100F"/>
    <w:rsid w:val="008410BD"/>
    <w:rsid w:val="00841478"/>
    <w:rsid w:val="00841717"/>
    <w:rsid w:val="00842777"/>
    <w:rsid w:val="00843AA0"/>
    <w:rsid w:val="00844C23"/>
    <w:rsid w:val="00845A98"/>
    <w:rsid w:val="00846D39"/>
    <w:rsid w:val="0084705C"/>
    <w:rsid w:val="00847B6A"/>
    <w:rsid w:val="0085021F"/>
    <w:rsid w:val="00852E24"/>
    <w:rsid w:val="00855364"/>
    <w:rsid w:val="00855702"/>
    <w:rsid w:val="00855C26"/>
    <w:rsid w:val="00856BF1"/>
    <w:rsid w:val="0085771C"/>
    <w:rsid w:val="00857794"/>
    <w:rsid w:val="00860E5B"/>
    <w:rsid w:val="00861FA5"/>
    <w:rsid w:val="00862A97"/>
    <w:rsid w:val="00862C3E"/>
    <w:rsid w:val="00862E98"/>
    <w:rsid w:val="00863159"/>
    <w:rsid w:val="00863692"/>
    <w:rsid w:val="00863B59"/>
    <w:rsid w:val="00863F7E"/>
    <w:rsid w:val="00864629"/>
    <w:rsid w:val="00865003"/>
    <w:rsid w:val="00865D01"/>
    <w:rsid w:val="00865FED"/>
    <w:rsid w:val="0086655D"/>
    <w:rsid w:val="00866C53"/>
    <w:rsid w:val="0087044C"/>
    <w:rsid w:val="008706A6"/>
    <w:rsid w:val="00871D25"/>
    <w:rsid w:val="00873852"/>
    <w:rsid w:val="00874040"/>
    <w:rsid w:val="008769A1"/>
    <w:rsid w:val="00876E67"/>
    <w:rsid w:val="00877ADF"/>
    <w:rsid w:val="008802B8"/>
    <w:rsid w:val="00882C63"/>
    <w:rsid w:val="00882F5F"/>
    <w:rsid w:val="008835AA"/>
    <w:rsid w:val="008846E2"/>
    <w:rsid w:val="00885F4D"/>
    <w:rsid w:val="00886755"/>
    <w:rsid w:val="00886DE8"/>
    <w:rsid w:val="0089068D"/>
    <w:rsid w:val="00890CE7"/>
    <w:rsid w:val="0089244D"/>
    <w:rsid w:val="00893FC9"/>
    <w:rsid w:val="00894071"/>
    <w:rsid w:val="008947C5"/>
    <w:rsid w:val="00894A1A"/>
    <w:rsid w:val="00895609"/>
    <w:rsid w:val="00895C7E"/>
    <w:rsid w:val="0089684B"/>
    <w:rsid w:val="00896FAF"/>
    <w:rsid w:val="00897A2E"/>
    <w:rsid w:val="008A1EF9"/>
    <w:rsid w:val="008A2F67"/>
    <w:rsid w:val="008A33A6"/>
    <w:rsid w:val="008A3FDE"/>
    <w:rsid w:val="008A410A"/>
    <w:rsid w:val="008A4ABD"/>
    <w:rsid w:val="008A5101"/>
    <w:rsid w:val="008A5337"/>
    <w:rsid w:val="008A5F0A"/>
    <w:rsid w:val="008A79C4"/>
    <w:rsid w:val="008A7AE2"/>
    <w:rsid w:val="008B214C"/>
    <w:rsid w:val="008B2417"/>
    <w:rsid w:val="008B2A4D"/>
    <w:rsid w:val="008B37A1"/>
    <w:rsid w:val="008B420E"/>
    <w:rsid w:val="008B42D5"/>
    <w:rsid w:val="008B4AE4"/>
    <w:rsid w:val="008B5BAF"/>
    <w:rsid w:val="008B5EE5"/>
    <w:rsid w:val="008B5F7A"/>
    <w:rsid w:val="008B7105"/>
    <w:rsid w:val="008B7FD9"/>
    <w:rsid w:val="008C5192"/>
    <w:rsid w:val="008C6A29"/>
    <w:rsid w:val="008D0866"/>
    <w:rsid w:val="008D086F"/>
    <w:rsid w:val="008D0DCB"/>
    <w:rsid w:val="008D1A29"/>
    <w:rsid w:val="008D2145"/>
    <w:rsid w:val="008D2FDA"/>
    <w:rsid w:val="008D51B5"/>
    <w:rsid w:val="008D5808"/>
    <w:rsid w:val="008D5B16"/>
    <w:rsid w:val="008D5FCD"/>
    <w:rsid w:val="008D73B7"/>
    <w:rsid w:val="008D7732"/>
    <w:rsid w:val="008E015E"/>
    <w:rsid w:val="008E37D8"/>
    <w:rsid w:val="008E387D"/>
    <w:rsid w:val="008E3A79"/>
    <w:rsid w:val="008E4920"/>
    <w:rsid w:val="008E4968"/>
    <w:rsid w:val="008E4ACE"/>
    <w:rsid w:val="008E5241"/>
    <w:rsid w:val="008E5FFF"/>
    <w:rsid w:val="008E636F"/>
    <w:rsid w:val="008E697A"/>
    <w:rsid w:val="008E6EA3"/>
    <w:rsid w:val="008E77A6"/>
    <w:rsid w:val="008F066A"/>
    <w:rsid w:val="008F10FF"/>
    <w:rsid w:val="008F1342"/>
    <w:rsid w:val="008F25DD"/>
    <w:rsid w:val="008F29EE"/>
    <w:rsid w:val="008F3099"/>
    <w:rsid w:val="008F3EE9"/>
    <w:rsid w:val="008F41B2"/>
    <w:rsid w:val="008F5B8F"/>
    <w:rsid w:val="008F7169"/>
    <w:rsid w:val="008F797F"/>
    <w:rsid w:val="00901294"/>
    <w:rsid w:val="0090382A"/>
    <w:rsid w:val="00903F14"/>
    <w:rsid w:val="009041FB"/>
    <w:rsid w:val="0090502B"/>
    <w:rsid w:val="0090518F"/>
    <w:rsid w:val="0090546C"/>
    <w:rsid w:val="009063F5"/>
    <w:rsid w:val="009078A8"/>
    <w:rsid w:val="00907931"/>
    <w:rsid w:val="00907E76"/>
    <w:rsid w:val="00907FED"/>
    <w:rsid w:val="009122BA"/>
    <w:rsid w:val="00912EB6"/>
    <w:rsid w:val="00916D12"/>
    <w:rsid w:val="00916F15"/>
    <w:rsid w:val="00917778"/>
    <w:rsid w:val="0092076F"/>
    <w:rsid w:val="00921C59"/>
    <w:rsid w:val="009235CE"/>
    <w:rsid w:val="0092444F"/>
    <w:rsid w:val="00924B3A"/>
    <w:rsid w:val="009255C6"/>
    <w:rsid w:val="00926053"/>
    <w:rsid w:val="009260B3"/>
    <w:rsid w:val="00926730"/>
    <w:rsid w:val="009271AA"/>
    <w:rsid w:val="0093008C"/>
    <w:rsid w:val="00931042"/>
    <w:rsid w:val="00931253"/>
    <w:rsid w:val="009312DF"/>
    <w:rsid w:val="009316EE"/>
    <w:rsid w:val="00931B5D"/>
    <w:rsid w:val="0093243A"/>
    <w:rsid w:val="00932A28"/>
    <w:rsid w:val="00932ABE"/>
    <w:rsid w:val="00933197"/>
    <w:rsid w:val="00933F28"/>
    <w:rsid w:val="009343D3"/>
    <w:rsid w:val="00934607"/>
    <w:rsid w:val="0093467A"/>
    <w:rsid w:val="00934688"/>
    <w:rsid w:val="00935851"/>
    <w:rsid w:val="00935C80"/>
    <w:rsid w:val="00942008"/>
    <w:rsid w:val="009429D2"/>
    <w:rsid w:val="00944B7E"/>
    <w:rsid w:val="00946620"/>
    <w:rsid w:val="00947343"/>
    <w:rsid w:val="00950507"/>
    <w:rsid w:val="00950AE6"/>
    <w:rsid w:val="00951774"/>
    <w:rsid w:val="00953710"/>
    <w:rsid w:val="00953E43"/>
    <w:rsid w:val="00954368"/>
    <w:rsid w:val="00954864"/>
    <w:rsid w:val="00954B56"/>
    <w:rsid w:val="009551B5"/>
    <w:rsid w:val="00955433"/>
    <w:rsid w:val="00955F33"/>
    <w:rsid w:val="009573EB"/>
    <w:rsid w:val="0095743D"/>
    <w:rsid w:val="00957E2F"/>
    <w:rsid w:val="00962647"/>
    <w:rsid w:val="00962A63"/>
    <w:rsid w:val="009632F7"/>
    <w:rsid w:val="009651E7"/>
    <w:rsid w:val="009654FF"/>
    <w:rsid w:val="009663BB"/>
    <w:rsid w:val="0096660C"/>
    <w:rsid w:val="009666FA"/>
    <w:rsid w:val="00966F94"/>
    <w:rsid w:val="00970050"/>
    <w:rsid w:val="00972625"/>
    <w:rsid w:val="009728C8"/>
    <w:rsid w:val="00972DF5"/>
    <w:rsid w:val="0097496B"/>
    <w:rsid w:val="009753EF"/>
    <w:rsid w:val="009762F2"/>
    <w:rsid w:val="009774ED"/>
    <w:rsid w:val="00977708"/>
    <w:rsid w:val="0098113B"/>
    <w:rsid w:val="009816E2"/>
    <w:rsid w:val="00982010"/>
    <w:rsid w:val="009820C5"/>
    <w:rsid w:val="009831A9"/>
    <w:rsid w:val="009833D0"/>
    <w:rsid w:val="009837E5"/>
    <w:rsid w:val="00983977"/>
    <w:rsid w:val="009839E7"/>
    <w:rsid w:val="00985A74"/>
    <w:rsid w:val="00986727"/>
    <w:rsid w:val="00987206"/>
    <w:rsid w:val="00991325"/>
    <w:rsid w:val="00991F9A"/>
    <w:rsid w:val="00991FDA"/>
    <w:rsid w:val="00993311"/>
    <w:rsid w:val="009946CB"/>
    <w:rsid w:val="00994B24"/>
    <w:rsid w:val="00994BCC"/>
    <w:rsid w:val="00995B88"/>
    <w:rsid w:val="009971E0"/>
    <w:rsid w:val="009971ED"/>
    <w:rsid w:val="009972C6"/>
    <w:rsid w:val="00997F76"/>
    <w:rsid w:val="009A00E3"/>
    <w:rsid w:val="009A15CA"/>
    <w:rsid w:val="009A211A"/>
    <w:rsid w:val="009A2843"/>
    <w:rsid w:val="009A41D7"/>
    <w:rsid w:val="009A46D9"/>
    <w:rsid w:val="009A786D"/>
    <w:rsid w:val="009B2212"/>
    <w:rsid w:val="009B2532"/>
    <w:rsid w:val="009B2997"/>
    <w:rsid w:val="009B2A7E"/>
    <w:rsid w:val="009B2AEB"/>
    <w:rsid w:val="009B6F62"/>
    <w:rsid w:val="009B715B"/>
    <w:rsid w:val="009B763C"/>
    <w:rsid w:val="009B7D9B"/>
    <w:rsid w:val="009C0104"/>
    <w:rsid w:val="009C091C"/>
    <w:rsid w:val="009C15A1"/>
    <w:rsid w:val="009C1F11"/>
    <w:rsid w:val="009C25C1"/>
    <w:rsid w:val="009C326A"/>
    <w:rsid w:val="009C5979"/>
    <w:rsid w:val="009C59FD"/>
    <w:rsid w:val="009C5C42"/>
    <w:rsid w:val="009C5CB1"/>
    <w:rsid w:val="009C5FC2"/>
    <w:rsid w:val="009C6A45"/>
    <w:rsid w:val="009C7ED5"/>
    <w:rsid w:val="009D0B7F"/>
    <w:rsid w:val="009D0BEF"/>
    <w:rsid w:val="009D1756"/>
    <w:rsid w:val="009D2A4C"/>
    <w:rsid w:val="009D2BE0"/>
    <w:rsid w:val="009D39B7"/>
    <w:rsid w:val="009D4233"/>
    <w:rsid w:val="009D5163"/>
    <w:rsid w:val="009D590B"/>
    <w:rsid w:val="009D59F7"/>
    <w:rsid w:val="009D68A5"/>
    <w:rsid w:val="009D6EC2"/>
    <w:rsid w:val="009D7530"/>
    <w:rsid w:val="009D7844"/>
    <w:rsid w:val="009D7F28"/>
    <w:rsid w:val="009E03C4"/>
    <w:rsid w:val="009E1C48"/>
    <w:rsid w:val="009E23ED"/>
    <w:rsid w:val="009E25B9"/>
    <w:rsid w:val="009E3983"/>
    <w:rsid w:val="009E3D31"/>
    <w:rsid w:val="009E4170"/>
    <w:rsid w:val="009E5C8C"/>
    <w:rsid w:val="009E62AB"/>
    <w:rsid w:val="009E7223"/>
    <w:rsid w:val="009E7747"/>
    <w:rsid w:val="009E7CCF"/>
    <w:rsid w:val="009F04F5"/>
    <w:rsid w:val="009F0BA3"/>
    <w:rsid w:val="009F2797"/>
    <w:rsid w:val="009F39C3"/>
    <w:rsid w:val="009F3BBF"/>
    <w:rsid w:val="009F62DE"/>
    <w:rsid w:val="009F6A8C"/>
    <w:rsid w:val="009F7FC5"/>
    <w:rsid w:val="00A01EBB"/>
    <w:rsid w:val="00A02F00"/>
    <w:rsid w:val="00A036F8"/>
    <w:rsid w:val="00A03A38"/>
    <w:rsid w:val="00A04083"/>
    <w:rsid w:val="00A040B7"/>
    <w:rsid w:val="00A041B3"/>
    <w:rsid w:val="00A050AE"/>
    <w:rsid w:val="00A05716"/>
    <w:rsid w:val="00A05C20"/>
    <w:rsid w:val="00A0613D"/>
    <w:rsid w:val="00A07A4C"/>
    <w:rsid w:val="00A07F35"/>
    <w:rsid w:val="00A1026A"/>
    <w:rsid w:val="00A10FF6"/>
    <w:rsid w:val="00A115A5"/>
    <w:rsid w:val="00A1162F"/>
    <w:rsid w:val="00A119E3"/>
    <w:rsid w:val="00A11BCD"/>
    <w:rsid w:val="00A12355"/>
    <w:rsid w:val="00A126C1"/>
    <w:rsid w:val="00A132BC"/>
    <w:rsid w:val="00A134C9"/>
    <w:rsid w:val="00A1512F"/>
    <w:rsid w:val="00A1514F"/>
    <w:rsid w:val="00A15AE6"/>
    <w:rsid w:val="00A16CEC"/>
    <w:rsid w:val="00A23A8E"/>
    <w:rsid w:val="00A23E9D"/>
    <w:rsid w:val="00A255F6"/>
    <w:rsid w:val="00A25A78"/>
    <w:rsid w:val="00A26527"/>
    <w:rsid w:val="00A26B26"/>
    <w:rsid w:val="00A27644"/>
    <w:rsid w:val="00A300A3"/>
    <w:rsid w:val="00A30257"/>
    <w:rsid w:val="00A30DE7"/>
    <w:rsid w:val="00A3100C"/>
    <w:rsid w:val="00A31035"/>
    <w:rsid w:val="00A322F3"/>
    <w:rsid w:val="00A33BA4"/>
    <w:rsid w:val="00A348DD"/>
    <w:rsid w:val="00A34A95"/>
    <w:rsid w:val="00A34C21"/>
    <w:rsid w:val="00A35333"/>
    <w:rsid w:val="00A3594D"/>
    <w:rsid w:val="00A35A48"/>
    <w:rsid w:val="00A35D85"/>
    <w:rsid w:val="00A35F41"/>
    <w:rsid w:val="00A363A3"/>
    <w:rsid w:val="00A37C26"/>
    <w:rsid w:val="00A41AD1"/>
    <w:rsid w:val="00A41BA3"/>
    <w:rsid w:val="00A43516"/>
    <w:rsid w:val="00A43DDE"/>
    <w:rsid w:val="00A43E8D"/>
    <w:rsid w:val="00A45008"/>
    <w:rsid w:val="00A45E92"/>
    <w:rsid w:val="00A46355"/>
    <w:rsid w:val="00A463DD"/>
    <w:rsid w:val="00A52AFF"/>
    <w:rsid w:val="00A53198"/>
    <w:rsid w:val="00A53374"/>
    <w:rsid w:val="00A5375D"/>
    <w:rsid w:val="00A53959"/>
    <w:rsid w:val="00A53A10"/>
    <w:rsid w:val="00A55FFA"/>
    <w:rsid w:val="00A566D5"/>
    <w:rsid w:val="00A568FB"/>
    <w:rsid w:val="00A576EE"/>
    <w:rsid w:val="00A57CE5"/>
    <w:rsid w:val="00A57D4E"/>
    <w:rsid w:val="00A6105F"/>
    <w:rsid w:val="00A6162F"/>
    <w:rsid w:val="00A62978"/>
    <w:rsid w:val="00A62DD3"/>
    <w:rsid w:val="00A634C5"/>
    <w:rsid w:val="00A64958"/>
    <w:rsid w:val="00A64E8C"/>
    <w:rsid w:val="00A665AF"/>
    <w:rsid w:val="00A672A8"/>
    <w:rsid w:val="00A673AB"/>
    <w:rsid w:val="00A71119"/>
    <w:rsid w:val="00A71197"/>
    <w:rsid w:val="00A71219"/>
    <w:rsid w:val="00A7155D"/>
    <w:rsid w:val="00A71B30"/>
    <w:rsid w:val="00A71D20"/>
    <w:rsid w:val="00A72227"/>
    <w:rsid w:val="00A72EA6"/>
    <w:rsid w:val="00A745EE"/>
    <w:rsid w:val="00A74E64"/>
    <w:rsid w:val="00A77121"/>
    <w:rsid w:val="00A77C3C"/>
    <w:rsid w:val="00A803ED"/>
    <w:rsid w:val="00A80879"/>
    <w:rsid w:val="00A816C4"/>
    <w:rsid w:val="00A81D58"/>
    <w:rsid w:val="00A81F1D"/>
    <w:rsid w:val="00A82B43"/>
    <w:rsid w:val="00A835C8"/>
    <w:rsid w:val="00A8383B"/>
    <w:rsid w:val="00A83A19"/>
    <w:rsid w:val="00A847D5"/>
    <w:rsid w:val="00A84A83"/>
    <w:rsid w:val="00A85F58"/>
    <w:rsid w:val="00A865E2"/>
    <w:rsid w:val="00A902F3"/>
    <w:rsid w:val="00A9049E"/>
    <w:rsid w:val="00A912BE"/>
    <w:rsid w:val="00A91E76"/>
    <w:rsid w:val="00A92310"/>
    <w:rsid w:val="00A923C8"/>
    <w:rsid w:val="00A935D4"/>
    <w:rsid w:val="00A938FB"/>
    <w:rsid w:val="00A94989"/>
    <w:rsid w:val="00A94D9A"/>
    <w:rsid w:val="00A956A7"/>
    <w:rsid w:val="00AA0049"/>
    <w:rsid w:val="00AA0BC7"/>
    <w:rsid w:val="00AA0C0A"/>
    <w:rsid w:val="00AA0F55"/>
    <w:rsid w:val="00AA17E5"/>
    <w:rsid w:val="00AA1DE6"/>
    <w:rsid w:val="00AA209E"/>
    <w:rsid w:val="00AA61A4"/>
    <w:rsid w:val="00AA6BC0"/>
    <w:rsid w:val="00AA7851"/>
    <w:rsid w:val="00AA796F"/>
    <w:rsid w:val="00AB0A25"/>
    <w:rsid w:val="00AB0E68"/>
    <w:rsid w:val="00AB12E5"/>
    <w:rsid w:val="00AB20C7"/>
    <w:rsid w:val="00AB292C"/>
    <w:rsid w:val="00AB2C81"/>
    <w:rsid w:val="00AB3226"/>
    <w:rsid w:val="00AB376C"/>
    <w:rsid w:val="00AB3C47"/>
    <w:rsid w:val="00AB456B"/>
    <w:rsid w:val="00AB4DE8"/>
    <w:rsid w:val="00AB584F"/>
    <w:rsid w:val="00AB66D1"/>
    <w:rsid w:val="00AB7420"/>
    <w:rsid w:val="00AB7D5F"/>
    <w:rsid w:val="00AC0AFA"/>
    <w:rsid w:val="00AC10D4"/>
    <w:rsid w:val="00AC222E"/>
    <w:rsid w:val="00AC2B01"/>
    <w:rsid w:val="00AC2F29"/>
    <w:rsid w:val="00AC3B92"/>
    <w:rsid w:val="00AC3E58"/>
    <w:rsid w:val="00AC428C"/>
    <w:rsid w:val="00AC6152"/>
    <w:rsid w:val="00AC7D38"/>
    <w:rsid w:val="00AD0F95"/>
    <w:rsid w:val="00AD17B1"/>
    <w:rsid w:val="00AD2390"/>
    <w:rsid w:val="00AD27E1"/>
    <w:rsid w:val="00AD2C4F"/>
    <w:rsid w:val="00AD2E80"/>
    <w:rsid w:val="00AD3CCF"/>
    <w:rsid w:val="00AD534D"/>
    <w:rsid w:val="00AD652D"/>
    <w:rsid w:val="00AD671E"/>
    <w:rsid w:val="00AD74B4"/>
    <w:rsid w:val="00AD7C78"/>
    <w:rsid w:val="00AD7DA3"/>
    <w:rsid w:val="00AE082D"/>
    <w:rsid w:val="00AE11DB"/>
    <w:rsid w:val="00AE13CD"/>
    <w:rsid w:val="00AE268A"/>
    <w:rsid w:val="00AE31C8"/>
    <w:rsid w:val="00AE373A"/>
    <w:rsid w:val="00AE3E74"/>
    <w:rsid w:val="00AE4107"/>
    <w:rsid w:val="00AE46C2"/>
    <w:rsid w:val="00AE6D90"/>
    <w:rsid w:val="00AE6ECA"/>
    <w:rsid w:val="00AE71C6"/>
    <w:rsid w:val="00AE746F"/>
    <w:rsid w:val="00AF14C5"/>
    <w:rsid w:val="00AF249B"/>
    <w:rsid w:val="00AF2FE0"/>
    <w:rsid w:val="00AF416B"/>
    <w:rsid w:val="00AF417E"/>
    <w:rsid w:val="00AF5047"/>
    <w:rsid w:val="00AF5AB8"/>
    <w:rsid w:val="00AF5DEF"/>
    <w:rsid w:val="00AF636F"/>
    <w:rsid w:val="00B00BC0"/>
    <w:rsid w:val="00B00E72"/>
    <w:rsid w:val="00B00F39"/>
    <w:rsid w:val="00B01A03"/>
    <w:rsid w:val="00B0261B"/>
    <w:rsid w:val="00B03361"/>
    <w:rsid w:val="00B03727"/>
    <w:rsid w:val="00B0491A"/>
    <w:rsid w:val="00B05A33"/>
    <w:rsid w:val="00B07875"/>
    <w:rsid w:val="00B122D8"/>
    <w:rsid w:val="00B138FC"/>
    <w:rsid w:val="00B1405D"/>
    <w:rsid w:val="00B21D9C"/>
    <w:rsid w:val="00B22266"/>
    <w:rsid w:val="00B223E4"/>
    <w:rsid w:val="00B233CB"/>
    <w:rsid w:val="00B23724"/>
    <w:rsid w:val="00B23F09"/>
    <w:rsid w:val="00B24004"/>
    <w:rsid w:val="00B25A0A"/>
    <w:rsid w:val="00B25F9D"/>
    <w:rsid w:val="00B262E7"/>
    <w:rsid w:val="00B26306"/>
    <w:rsid w:val="00B26399"/>
    <w:rsid w:val="00B265AC"/>
    <w:rsid w:val="00B26880"/>
    <w:rsid w:val="00B27E39"/>
    <w:rsid w:val="00B308E0"/>
    <w:rsid w:val="00B30D03"/>
    <w:rsid w:val="00B32E0E"/>
    <w:rsid w:val="00B35F3B"/>
    <w:rsid w:val="00B3614D"/>
    <w:rsid w:val="00B3647C"/>
    <w:rsid w:val="00B366D3"/>
    <w:rsid w:val="00B36891"/>
    <w:rsid w:val="00B37274"/>
    <w:rsid w:val="00B40198"/>
    <w:rsid w:val="00B40495"/>
    <w:rsid w:val="00B411B7"/>
    <w:rsid w:val="00B414C5"/>
    <w:rsid w:val="00B41645"/>
    <w:rsid w:val="00B42F88"/>
    <w:rsid w:val="00B43336"/>
    <w:rsid w:val="00B439CA"/>
    <w:rsid w:val="00B44469"/>
    <w:rsid w:val="00B45E2E"/>
    <w:rsid w:val="00B4618F"/>
    <w:rsid w:val="00B4736D"/>
    <w:rsid w:val="00B509E9"/>
    <w:rsid w:val="00B50D5E"/>
    <w:rsid w:val="00B52668"/>
    <w:rsid w:val="00B53B89"/>
    <w:rsid w:val="00B53C8D"/>
    <w:rsid w:val="00B543A3"/>
    <w:rsid w:val="00B55363"/>
    <w:rsid w:val="00B56E60"/>
    <w:rsid w:val="00B61C54"/>
    <w:rsid w:val="00B63AD1"/>
    <w:rsid w:val="00B641DE"/>
    <w:rsid w:val="00B6598B"/>
    <w:rsid w:val="00B65EB1"/>
    <w:rsid w:val="00B6696A"/>
    <w:rsid w:val="00B66CF6"/>
    <w:rsid w:val="00B676C0"/>
    <w:rsid w:val="00B67EAF"/>
    <w:rsid w:val="00B705E5"/>
    <w:rsid w:val="00B708FD"/>
    <w:rsid w:val="00B70A95"/>
    <w:rsid w:val="00B72421"/>
    <w:rsid w:val="00B7312D"/>
    <w:rsid w:val="00B733A1"/>
    <w:rsid w:val="00B73E41"/>
    <w:rsid w:val="00B74773"/>
    <w:rsid w:val="00B80146"/>
    <w:rsid w:val="00B8047D"/>
    <w:rsid w:val="00B80BCC"/>
    <w:rsid w:val="00B8160E"/>
    <w:rsid w:val="00B823B9"/>
    <w:rsid w:val="00B826E3"/>
    <w:rsid w:val="00B82ED4"/>
    <w:rsid w:val="00B83C8D"/>
    <w:rsid w:val="00B858E0"/>
    <w:rsid w:val="00B85B71"/>
    <w:rsid w:val="00B86257"/>
    <w:rsid w:val="00B86E8E"/>
    <w:rsid w:val="00B86F99"/>
    <w:rsid w:val="00B8752B"/>
    <w:rsid w:val="00B932C0"/>
    <w:rsid w:val="00B93E19"/>
    <w:rsid w:val="00B93F09"/>
    <w:rsid w:val="00B94427"/>
    <w:rsid w:val="00B9449A"/>
    <w:rsid w:val="00B94678"/>
    <w:rsid w:val="00B95A54"/>
    <w:rsid w:val="00B96C69"/>
    <w:rsid w:val="00B9716E"/>
    <w:rsid w:val="00B975B0"/>
    <w:rsid w:val="00BA123E"/>
    <w:rsid w:val="00BA3006"/>
    <w:rsid w:val="00BA3A37"/>
    <w:rsid w:val="00BA5286"/>
    <w:rsid w:val="00BA6D26"/>
    <w:rsid w:val="00BB1B56"/>
    <w:rsid w:val="00BB2910"/>
    <w:rsid w:val="00BB37E1"/>
    <w:rsid w:val="00BB395D"/>
    <w:rsid w:val="00BB40A3"/>
    <w:rsid w:val="00BB4833"/>
    <w:rsid w:val="00BB4A7A"/>
    <w:rsid w:val="00BB4CDE"/>
    <w:rsid w:val="00BB6C45"/>
    <w:rsid w:val="00BB6E7A"/>
    <w:rsid w:val="00BB713F"/>
    <w:rsid w:val="00BB7F63"/>
    <w:rsid w:val="00BC0ED4"/>
    <w:rsid w:val="00BC1D74"/>
    <w:rsid w:val="00BC2A04"/>
    <w:rsid w:val="00BC2F49"/>
    <w:rsid w:val="00BC37AA"/>
    <w:rsid w:val="00BC45EF"/>
    <w:rsid w:val="00BC4F3C"/>
    <w:rsid w:val="00BC58C4"/>
    <w:rsid w:val="00BC606C"/>
    <w:rsid w:val="00BC6172"/>
    <w:rsid w:val="00BC6519"/>
    <w:rsid w:val="00BC6FC4"/>
    <w:rsid w:val="00BC757B"/>
    <w:rsid w:val="00BD1945"/>
    <w:rsid w:val="00BD35AB"/>
    <w:rsid w:val="00BD457C"/>
    <w:rsid w:val="00BD59E3"/>
    <w:rsid w:val="00BD5BEE"/>
    <w:rsid w:val="00BD6509"/>
    <w:rsid w:val="00BE01C3"/>
    <w:rsid w:val="00BE0B79"/>
    <w:rsid w:val="00BE13BD"/>
    <w:rsid w:val="00BE183B"/>
    <w:rsid w:val="00BE1ECE"/>
    <w:rsid w:val="00BE2F76"/>
    <w:rsid w:val="00BE411C"/>
    <w:rsid w:val="00BE4504"/>
    <w:rsid w:val="00BE59D2"/>
    <w:rsid w:val="00BE5C08"/>
    <w:rsid w:val="00BE6656"/>
    <w:rsid w:val="00BE6AA6"/>
    <w:rsid w:val="00BE74A2"/>
    <w:rsid w:val="00BF3633"/>
    <w:rsid w:val="00BF3C70"/>
    <w:rsid w:val="00BF4A3E"/>
    <w:rsid w:val="00BF550B"/>
    <w:rsid w:val="00BF56FD"/>
    <w:rsid w:val="00BF5AE0"/>
    <w:rsid w:val="00BF7386"/>
    <w:rsid w:val="00BF769F"/>
    <w:rsid w:val="00C00192"/>
    <w:rsid w:val="00C016D0"/>
    <w:rsid w:val="00C022C9"/>
    <w:rsid w:val="00C04B55"/>
    <w:rsid w:val="00C04E77"/>
    <w:rsid w:val="00C0533F"/>
    <w:rsid w:val="00C05536"/>
    <w:rsid w:val="00C06811"/>
    <w:rsid w:val="00C06DBF"/>
    <w:rsid w:val="00C071F7"/>
    <w:rsid w:val="00C07289"/>
    <w:rsid w:val="00C10250"/>
    <w:rsid w:val="00C12766"/>
    <w:rsid w:val="00C13041"/>
    <w:rsid w:val="00C1372E"/>
    <w:rsid w:val="00C15594"/>
    <w:rsid w:val="00C1634C"/>
    <w:rsid w:val="00C16D4D"/>
    <w:rsid w:val="00C211B0"/>
    <w:rsid w:val="00C215BE"/>
    <w:rsid w:val="00C21943"/>
    <w:rsid w:val="00C21A4B"/>
    <w:rsid w:val="00C222D0"/>
    <w:rsid w:val="00C223F7"/>
    <w:rsid w:val="00C23228"/>
    <w:rsid w:val="00C23BC0"/>
    <w:rsid w:val="00C23DAF"/>
    <w:rsid w:val="00C2668A"/>
    <w:rsid w:val="00C2779A"/>
    <w:rsid w:val="00C3176D"/>
    <w:rsid w:val="00C321D9"/>
    <w:rsid w:val="00C3222A"/>
    <w:rsid w:val="00C324D2"/>
    <w:rsid w:val="00C32B36"/>
    <w:rsid w:val="00C33A46"/>
    <w:rsid w:val="00C33CF6"/>
    <w:rsid w:val="00C34181"/>
    <w:rsid w:val="00C349DB"/>
    <w:rsid w:val="00C3574F"/>
    <w:rsid w:val="00C36AF7"/>
    <w:rsid w:val="00C36B02"/>
    <w:rsid w:val="00C36CE5"/>
    <w:rsid w:val="00C37F43"/>
    <w:rsid w:val="00C4268E"/>
    <w:rsid w:val="00C42769"/>
    <w:rsid w:val="00C44B07"/>
    <w:rsid w:val="00C45A48"/>
    <w:rsid w:val="00C46171"/>
    <w:rsid w:val="00C46501"/>
    <w:rsid w:val="00C47D6C"/>
    <w:rsid w:val="00C47E88"/>
    <w:rsid w:val="00C501BB"/>
    <w:rsid w:val="00C515DE"/>
    <w:rsid w:val="00C51F3D"/>
    <w:rsid w:val="00C53CB6"/>
    <w:rsid w:val="00C540BE"/>
    <w:rsid w:val="00C543E3"/>
    <w:rsid w:val="00C552D4"/>
    <w:rsid w:val="00C55809"/>
    <w:rsid w:val="00C56433"/>
    <w:rsid w:val="00C564AE"/>
    <w:rsid w:val="00C56A9C"/>
    <w:rsid w:val="00C61D62"/>
    <w:rsid w:val="00C6203F"/>
    <w:rsid w:val="00C62367"/>
    <w:rsid w:val="00C6309B"/>
    <w:rsid w:val="00C63C69"/>
    <w:rsid w:val="00C643B2"/>
    <w:rsid w:val="00C64756"/>
    <w:rsid w:val="00C64B31"/>
    <w:rsid w:val="00C66533"/>
    <w:rsid w:val="00C67C2C"/>
    <w:rsid w:val="00C70274"/>
    <w:rsid w:val="00C713D8"/>
    <w:rsid w:val="00C71814"/>
    <w:rsid w:val="00C72918"/>
    <w:rsid w:val="00C73269"/>
    <w:rsid w:val="00C74ED7"/>
    <w:rsid w:val="00C75FDF"/>
    <w:rsid w:val="00C7783D"/>
    <w:rsid w:val="00C77E9A"/>
    <w:rsid w:val="00C8160A"/>
    <w:rsid w:val="00C81CCF"/>
    <w:rsid w:val="00C820E9"/>
    <w:rsid w:val="00C830B0"/>
    <w:rsid w:val="00C863ED"/>
    <w:rsid w:val="00C87249"/>
    <w:rsid w:val="00C87C2E"/>
    <w:rsid w:val="00C90376"/>
    <w:rsid w:val="00C916F1"/>
    <w:rsid w:val="00C91AED"/>
    <w:rsid w:val="00C93A36"/>
    <w:rsid w:val="00C95613"/>
    <w:rsid w:val="00C96CD0"/>
    <w:rsid w:val="00CA01E4"/>
    <w:rsid w:val="00CA0A67"/>
    <w:rsid w:val="00CA1150"/>
    <w:rsid w:val="00CA3310"/>
    <w:rsid w:val="00CA34EE"/>
    <w:rsid w:val="00CA36A0"/>
    <w:rsid w:val="00CA404E"/>
    <w:rsid w:val="00CA45BE"/>
    <w:rsid w:val="00CB1837"/>
    <w:rsid w:val="00CB1CD9"/>
    <w:rsid w:val="00CB1D60"/>
    <w:rsid w:val="00CB3A76"/>
    <w:rsid w:val="00CB43BC"/>
    <w:rsid w:val="00CB4B69"/>
    <w:rsid w:val="00CB5DEA"/>
    <w:rsid w:val="00CB7F45"/>
    <w:rsid w:val="00CC05EC"/>
    <w:rsid w:val="00CC2A3C"/>
    <w:rsid w:val="00CC3348"/>
    <w:rsid w:val="00CC3A77"/>
    <w:rsid w:val="00CC3AB3"/>
    <w:rsid w:val="00CC4B48"/>
    <w:rsid w:val="00CC772D"/>
    <w:rsid w:val="00CC77DE"/>
    <w:rsid w:val="00CD0779"/>
    <w:rsid w:val="00CD0E67"/>
    <w:rsid w:val="00CD1B44"/>
    <w:rsid w:val="00CD3A4B"/>
    <w:rsid w:val="00CD3CCA"/>
    <w:rsid w:val="00CD4096"/>
    <w:rsid w:val="00CD5F29"/>
    <w:rsid w:val="00CD70C9"/>
    <w:rsid w:val="00CD76C5"/>
    <w:rsid w:val="00CD7CA1"/>
    <w:rsid w:val="00CD7E68"/>
    <w:rsid w:val="00CD7E8E"/>
    <w:rsid w:val="00CD7EFC"/>
    <w:rsid w:val="00CE0182"/>
    <w:rsid w:val="00CE150F"/>
    <w:rsid w:val="00CE1992"/>
    <w:rsid w:val="00CE1ED2"/>
    <w:rsid w:val="00CE28B5"/>
    <w:rsid w:val="00CE4564"/>
    <w:rsid w:val="00CE52E0"/>
    <w:rsid w:val="00CE5323"/>
    <w:rsid w:val="00CF3635"/>
    <w:rsid w:val="00CF3AE7"/>
    <w:rsid w:val="00CF4050"/>
    <w:rsid w:val="00CF50F2"/>
    <w:rsid w:val="00CF5182"/>
    <w:rsid w:val="00CF5D15"/>
    <w:rsid w:val="00CF7FFC"/>
    <w:rsid w:val="00D00EC7"/>
    <w:rsid w:val="00D027E1"/>
    <w:rsid w:val="00D02BEF"/>
    <w:rsid w:val="00D03B67"/>
    <w:rsid w:val="00D04C0F"/>
    <w:rsid w:val="00D04E62"/>
    <w:rsid w:val="00D0533E"/>
    <w:rsid w:val="00D057A9"/>
    <w:rsid w:val="00D06D21"/>
    <w:rsid w:val="00D06F06"/>
    <w:rsid w:val="00D0772F"/>
    <w:rsid w:val="00D10396"/>
    <w:rsid w:val="00D10571"/>
    <w:rsid w:val="00D11CC7"/>
    <w:rsid w:val="00D13BC3"/>
    <w:rsid w:val="00D1494A"/>
    <w:rsid w:val="00D14BC4"/>
    <w:rsid w:val="00D150A9"/>
    <w:rsid w:val="00D154E3"/>
    <w:rsid w:val="00D1600D"/>
    <w:rsid w:val="00D16FFF"/>
    <w:rsid w:val="00D2024E"/>
    <w:rsid w:val="00D2079E"/>
    <w:rsid w:val="00D21BB1"/>
    <w:rsid w:val="00D21F10"/>
    <w:rsid w:val="00D22E91"/>
    <w:rsid w:val="00D23850"/>
    <w:rsid w:val="00D24564"/>
    <w:rsid w:val="00D24FD6"/>
    <w:rsid w:val="00D25E94"/>
    <w:rsid w:val="00D266D1"/>
    <w:rsid w:val="00D26B59"/>
    <w:rsid w:val="00D26FDA"/>
    <w:rsid w:val="00D2723D"/>
    <w:rsid w:val="00D2734F"/>
    <w:rsid w:val="00D30054"/>
    <w:rsid w:val="00D308D4"/>
    <w:rsid w:val="00D31521"/>
    <w:rsid w:val="00D31B1D"/>
    <w:rsid w:val="00D32E15"/>
    <w:rsid w:val="00D348C5"/>
    <w:rsid w:val="00D3581D"/>
    <w:rsid w:val="00D366A9"/>
    <w:rsid w:val="00D374BD"/>
    <w:rsid w:val="00D378A9"/>
    <w:rsid w:val="00D40315"/>
    <w:rsid w:val="00D41E57"/>
    <w:rsid w:val="00D42C6F"/>
    <w:rsid w:val="00D43948"/>
    <w:rsid w:val="00D45830"/>
    <w:rsid w:val="00D45B50"/>
    <w:rsid w:val="00D46214"/>
    <w:rsid w:val="00D47362"/>
    <w:rsid w:val="00D477DA"/>
    <w:rsid w:val="00D5016C"/>
    <w:rsid w:val="00D51F53"/>
    <w:rsid w:val="00D52716"/>
    <w:rsid w:val="00D53064"/>
    <w:rsid w:val="00D535D3"/>
    <w:rsid w:val="00D54B37"/>
    <w:rsid w:val="00D55A7F"/>
    <w:rsid w:val="00D563E7"/>
    <w:rsid w:val="00D569C5"/>
    <w:rsid w:val="00D60ED0"/>
    <w:rsid w:val="00D619D2"/>
    <w:rsid w:val="00D623CF"/>
    <w:rsid w:val="00D628E6"/>
    <w:rsid w:val="00D628F2"/>
    <w:rsid w:val="00D63565"/>
    <w:rsid w:val="00D6393F"/>
    <w:rsid w:val="00D63A80"/>
    <w:rsid w:val="00D645F6"/>
    <w:rsid w:val="00D648C4"/>
    <w:rsid w:val="00D64E02"/>
    <w:rsid w:val="00D65309"/>
    <w:rsid w:val="00D6567A"/>
    <w:rsid w:val="00D704F4"/>
    <w:rsid w:val="00D707EE"/>
    <w:rsid w:val="00D71304"/>
    <w:rsid w:val="00D71959"/>
    <w:rsid w:val="00D71A2D"/>
    <w:rsid w:val="00D71A5E"/>
    <w:rsid w:val="00D71BCA"/>
    <w:rsid w:val="00D72C2D"/>
    <w:rsid w:val="00D73374"/>
    <w:rsid w:val="00D734EE"/>
    <w:rsid w:val="00D73CB7"/>
    <w:rsid w:val="00D73FB1"/>
    <w:rsid w:val="00D743F0"/>
    <w:rsid w:val="00D74721"/>
    <w:rsid w:val="00D74E88"/>
    <w:rsid w:val="00D75037"/>
    <w:rsid w:val="00D81671"/>
    <w:rsid w:val="00D817DA"/>
    <w:rsid w:val="00D83250"/>
    <w:rsid w:val="00D84DA9"/>
    <w:rsid w:val="00D857EB"/>
    <w:rsid w:val="00D87150"/>
    <w:rsid w:val="00D9048B"/>
    <w:rsid w:val="00D917E8"/>
    <w:rsid w:val="00D91DAF"/>
    <w:rsid w:val="00D950A3"/>
    <w:rsid w:val="00D96503"/>
    <w:rsid w:val="00D968D5"/>
    <w:rsid w:val="00D96B05"/>
    <w:rsid w:val="00DA15A8"/>
    <w:rsid w:val="00DA423D"/>
    <w:rsid w:val="00DA65B9"/>
    <w:rsid w:val="00DA7813"/>
    <w:rsid w:val="00DB0F90"/>
    <w:rsid w:val="00DB1305"/>
    <w:rsid w:val="00DB268B"/>
    <w:rsid w:val="00DB309F"/>
    <w:rsid w:val="00DB4020"/>
    <w:rsid w:val="00DB4230"/>
    <w:rsid w:val="00DB68D5"/>
    <w:rsid w:val="00DB76FA"/>
    <w:rsid w:val="00DC09EE"/>
    <w:rsid w:val="00DC1D35"/>
    <w:rsid w:val="00DC204C"/>
    <w:rsid w:val="00DC477E"/>
    <w:rsid w:val="00DC4874"/>
    <w:rsid w:val="00DC4F3D"/>
    <w:rsid w:val="00DC5012"/>
    <w:rsid w:val="00DC5292"/>
    <w:rsid w:val="00DC6ABE"/>
    <w:rsid w:val="00DC6CFB"/>
    <w:rsid w:val="00DD04A7"/>
    <w:rsid w:val="00DD04E6"/>
    <w:rsid w:val="00DD07FB"/>
    <w:rsid w:val="00DD1C55"/>
    <w:rsid w:val="00DD2609"/>
    <w:rsid w:val="00DD28AE"/>
    <w:rsid w:val="00DD28F3"/>
    <w:rsid w:val="00DD514D"/>
    <w:rsid w:val="00DD6CE4"/>
    <w:rsid w:val="00DD76C1"/>
    <w:rsid w:val="00DE1A86"/>
    <w:rsid w:val="00DE2020"/>
    <w:rsid w:val="00DE2B54"/>
    <w:rsid w:val="00DE3264"/>
    <w:rsid w:val="00DE3364"/>
    <w:rsid w:val="00DE3B8E"/>
    <w:rsid w:val="00DE3D66"/>
    <w:rsid w:val="00DE3E50"/>
    <w:rsid w:val="00DE4117"/>
    <w:rsid w:val="00DE5AFF"/>
    <w:rsid w:val="00DE6459"/>
    <w:rsid w:val="00DE788D"/>
    <w:rsid w:val="00DE7DF1"/>
    <w:rsid w:val="00DF1397"/>
    <w:rsid w:val="00DF2044"/>
    <w:rsid w:val="00DF22B5"/>
    <w:rsid w:val="00DF392F"/>
    <w:rsid w:val="00DF3DA4"/>
    <w:rsid w:val="00DF4299"/>
    <w:rsid w:val="00DF4CFD"/>
    <w:rsid w:val="00DF5820"/>
    <w:rsid w:val="00DF6BE2"/>
    <w:rsid w:val="00DF74EA"/>
    <w:rsid w:val="00DF78AD"/>
    <w:rsid w:val="00DF7A88"/>
    <w:rsid w:val="00E0070A"/>
    <w:rsid w:val="00E0240E"/>
    <w:rsid w:val="00E02DE2"/>
    <w:rsid w:val="00E03290"/>
    <w:rsid w:val="00E03539"/>
    <w:rsid w:val="00E03839"/>
    <w:rsid w:val="00E04EA8"/>
    <w:rsid w:val="00E04F71"/>
    <w:rsid w:val="00E05BDD"/>
    <w:rsid w:val="00E07605"/>
    <w:rsid w:val="00E07F3E"/>
    <w:rsid w:val="00E104B4"/>
    <w:rsid w:val="00E1203F"/>
    <w:rsid w:val="00E123DD"/>
    <w:rsid w:val="00E13055"/>
    <w:rsid w:val="00E13102"/>
    <w:rsid w:val="00E14552"/>
    <w:rsid w:val="00E159E0"/>
    <w:rsid w:val="00E16B7D"/>
    <w:rsid w:val="00E174E8"/>
    <w:rsid w:val="00E21CD4"/>
    <w:rsid w:val="00E22404"/>
    <w:rsid w:val="00E22AFC"/>
    <w:rsid w:val="00E22EBB"/>
    <w:rsid w:val="00E24E1F"/>
    <w:rsid w:val="00E25A0C"/>
    <w:rsid w:val="00E25EE8"/>
    <w:rsid w:val="00E2613D"/>
    <w:rsid w:val="00E264E9"/>
    <w:rsid w:val="00E279FC"/>
    <w:rsid w:val="00E27C9A"/>
    <w:rsid w:val="00E3282B"/>
    <w:rsid w:val="00E32ECA"/>
    <w:rsid w:val="00E332E8"/>
    <w:rsid w:val="00E33688"/>
    <w:rsid w:val="00E34369"/>
    <w:rsid w:val="00E34ACF"/>
    <w:rsid w:val="00E352FE"/>
    <w:rsid w:val="00E3568F"/>
    <w:rsid w:val="00E35D62"/>
    <w:rsid w:val="00E363BB"/>
    <w:rsid w:val="00E36948"/>
    <w:rsid w:val="00E36EF7"/>
    <w:rsid w:val="00E41245"/>
    <w:rsid w:val="00E41CA3"/>
    <w:rsid w:val="00E41D7D"/>
    <w:rsid w:val="00E4283C"/>
    <w:rsid w:val="00E43358"/>
    <w:rsid w:val="00E4438F"/>
    <w:rsid w:val="00E446E4"/>
    <w:rsid w:val="00E448F7"/>
    <w:rsid w:val="00E44BAD"/>
    <w:rsid w:val="00E4629E"/>
    <w:rsid w:val="00E47924"/>
    <w:rsid w:val="00E511CD"/>
    <w:rsid w:val="00E520F1"/>
    <w:rsid w:val="00E5221C"/>
    <w:rsid w:val="00E52899"/>
    <w:rsid w:val="00E54412"/>
    <w:rsid w:val="00E548A9"/>
    <w:rsid w:val="00E54A61"/>
    <w:rsid w:val="00E54D24"/>
    <w:rsid w:val="00E56DCF"/>
    <w:rsid w:val="00E57AFE"/>
    <w:rsid w:val="00E6001F"/>
    <w:rsid w:val="00E60823"/>
    <w:rsid w:val="00E62033"/>
    <w:rsid w:val="00E62942"/>
    <w:rsid w:val="00E634AF"/>
    <w:rsid w:val="00E649C8"/>
    <w:rsid w:val="00E64F74"/>
    <w:rsid w:val="00E67C47"/>
    <w:rsid w:val="00E703D1"/>
    <w:rsid w:val="00E70CCD"/>
    <w:rsid w:val="00E70F8A"/>
    <w:rsid w:val="00E7111D"/>
    <w:rsid w:val="00E71AF1"/>
    <w:rsid w:val="00E71B9C"/>
    <w:rsid w:val="00E7312C"/>
    <w:rsid w:val="00E748C4"/>
    <w:rsid w:val="00E74A17"/>
    <w:rsid w:val="00E74F6B"/>
    <w:rsid w:val="00E75BB5"/>
    <w:rsid w:val="00E7634D"/>
    <w:rsid w:val="00E77B13"/>
    <w:rsid w:val="00E77E66"/>
    <w:rsid w:val="00E80F9A"/>
    <w:rsid w:val="00E815D1"/>
    <w:rsid w:val="00E81FC5"/>
    <w:rsid w:val="00E83A93"/>
    <w:rsid w:val="00E83D10"/>
    <w:rsid w:val="00E84198"/>
    <w:rsid w:val="00E84712"/>
    <w:rsid w:val="00E84F31"/>
    <w:rsid w:val="00E85ADD"/>
    <w:rsid w:val="00E85D63"/>
    <w:rsid w:val="00E86B51"/>
    <w:rsid w:val="00E8756F"/>
    <w:rsid w:val="00E902E7"/>
    <w:rsid w:val="00E91D38"/>
    <w:rsid w:val="00E9216D"/>
    <w:rsid w:val="00E926AB"/>
    <w:rsid w:val="00E93C5E"/>
    <w:rsid w:val="00E94113"/>
    <w:rsid w:val="00E94189"/>
    <w:rsid w:val="00E944B1"/>
    <w:rsid w:val="00E957D8"/>
    <w:rsid w:val="00E96D6D"/>
    <w:rsid w:val="00EA26A5"/>
    <w:rsid w:val="00EA3D7B"/>
    <w:rsid w:val="00EA4CAE"/>
    <w:rsid w:val="00EA5949"/>
    <w:rsid w:val="00EA5F40"/>
    <w:rsid w:val="00EA5F87"/>
    <w:rsid w:val="00EA61E3"/>
    <w:rsid w:val="00EB0A56"/>
    <w:rsid w:val="00EB1B9A"/>
    <w:rsid w:val="00EB1C3D"/>
    <w:rsid w:val="00EB2EDB"/>
    <w:rsid w:val="00EB319B"/>
    <w:rsid w:val="00EB4A6A"/>
    <w:rsid w:val="00EB5EE1"/>
    <w:rsid w:val="00EB6551"/>
    <w:rsid w:val="00EB681F"/>
    <w:rsid w:val="00EB7284"/>
    <w:rsid w:val="00EC09BE"/>
    <w:rsid w:val="00EC3422"/>
    <w:rsid w:val="00EC5989"/>
    <w:rsid w:val="00EC5998"/>
    <w:rsid w:val="00EC5E9B"/>
    <w:rsid w:val="00EC701A"/>
    <w:rsid w:val="00EC7DE9"/>
    <w:rsid w:val="00ED0342"/>
    <w:rsid w:val="00ED108C"/>
    <w:rsid w:val="00ED1716"/>
    <w:rsid w:val="00ED1CF0"/>
    <w:rsid w:val="00ED2604"/>
    <w:rsid w:val="00ED26FF"/>
    <w:rsid w:val="00ED4287"/>
    <w:rsid w:val="00ED480A"/>
    <w:rsid w:val="00ED53D0"/>
    <w:rsid w:val="00ED58AF"/>
    <w:rsid w:val="00ED616F"/>
    <w:rsid w:val="00ED7546"/>
    <w:rsid w:val="00ED767A"/>
    <w:rsid w:val="00EE08BF"/>
    <w:rsid w:val="00EE23BE"/>
    <w:rsid w:val="00EE3CF2"/>
    <w:rsid w:val="00EE736D"/>
    <w:rsid w:val="00EE793B"/>
    <w:rsid w:val="00EF0EA8"/>
    <w:rsid w:val="00EF1DFA"/>
    <w:rsid w:val="00EF2BF6"/>
    <w:rsid w:val="00EF3EE0"/>
    <w:rsid w:val="00EF3F20"/>
    <w:rsid w:val="00EF41FE"/>
    <w:rsid w:val="00EF4677"/>
    <w:rsid w:val="00EF4783"/>
    <w:rsid w:val="00EF4D7A"/>
    <w:rsid w:val="00EF4ED7"/>
    <w:rsid w:val="00EF550C"/>
    <w:rsid w:val="00EF640A"/>
    <w:rsid w:val="00EF6D13"/>
    <w:rsid w:val="00EF7AD5"/>
    <w:rsid w:val="00F00767"/>
    <w:rsid w:val="00F00891"/>
    <w:rsid w:val="00F02293"/>
    <w:rsid w:val="00F02A74"/>
    <w:rsid w:val="00F04D39"/>
    <w:rsid w:val="00F07E3B"/>
    <w:rsid w:val="00F102F9"/>
    <w:rsid w:val="00F111D4"/>
    <w:rsid w:val="00F1208F"/>
    <w:rsid w:val="00F1233A"/>
    <w:rsid w:val="00F12834"/>
    <w:rsid w:val="00F1293C"/>
    <w:rsid w:val="00F14FB0"/>
    <w:rsid w:val="00F153B2"/>
    <w:rsid w:val="00F155F9"/>
    <w:rsid w:val="00F1571F"/>
    <w:rsid w:val="00F1604F"/>
    <w:rsid w:val="00F170B8"/>
    <w:rsid w:val="00F17701"/>
    <w:rsid w:val="00F17E54"/>
    <w:rsid w:val="00F20A92"/>
    <w:rsid w:val="00F20F3E"/>
    <w:rsid w:val="00F21112"/>
    <w:rsid w:val="00F2120E"/>
    <w:rsid w:val="00F2607A"/>
    <w:rsid w:val="00F267BD"/>
    <w:rsid w:val="00F26B6E"/>
    <w:rsid w:val="00F2754F"/>
    <w:rsid w:val="00F27FA9"/>
    <w:rsid w:val="00F3280E"/>
    <w:rsid w:val="00F328AF"/>
    <w:rsid w:val="00F344FB"/>
    <w:rsid w:val="00F3458E"/>
    <w:rsid w:val="00F3517A"/>
    <w:rsid w:val="00F35593"/>
    <w:rsid w:val="00F35659"/>
    <w:rsid w:val="00F40112"/>
    <w:rsid w:val="00F40816"/>
    <w:rsid w:val="00F41AAE"/>
    <w:rsid w:val="00F42575"/>
    <w:rsid w:val="00F42CF0"/>
    <w:rsid w:val="00F43527"/>
    <w:rsid w:val="00F4426A"/>
    <w:rsid w:val="00F44AB0"/>
    <w:rsid w:val="00F45022"/>
    <w:rsid w:val="00F47E17"/>
    <w:rsid w:val="00F500C5"/>
    <w:rsid w:val="00F506E9"/>
    <w:rsid w:val="00F50A3D"/>
    <w:rsid w:val="00F50FC7"/>
    <w:rsid w:val="00F51B3C"/>
    <w:rsid w:val="00F52F71"/>
    <w:rsid w:val="00F536CC"/>
    <w:rsid w:val="00F53906"/>
    <w:rsid w:val="00F54079"/>
    <w:rsid w:val="00F540CF"/>
    <w:rsid w:val="00F54A8F"/>
    <w:rsid w:val="00F54EB1"/>
    <w:rsid w:val="00F56090"/>
    <w:rsid w:val="00F56482"/>
    <w:rsid w:val="00F56C71"/>
    <w:rsid w:val="00F604FB"/>
    <w:rsid w:val="00F60573"/>
    <w:rsid w:val="00F63B2B"/>
    <w:rsid w:val="00F64261"/>
    <w:rsid w:val="00F642C9"/>
    <w:rsid w:val="00F65ACE"/>
    <w:rsid w:val="00F65D9C"/>
    <w:rsid w:val="00F65F72"/>
    <w:rsid w:val="00F6635B"/>
    <w:rsid w:val="00F66791"/>
    <w:rsid w:val="00F6772F"/>
    <w:rsid w:val="00F67A04"/>
    <w:rsid w:val="00F67AA1"/>
    <w:rsid w:val="00F71173"/>
    <w:rsid w:val="00F71336"/>
    <w:rsid w:val="00F7197D"/>
    <w:rsid w:val="00F726C4"/>
    <w:rsid w:val="00F72705"/>
    <w:rsid w:val="00F73968"/>
    <w:rsid w:val="00F74260"/>
    <w:rsid w:val="00F7526F"/>
    <w:rsid w:val="00F75B04"/>
    <w:rsid w:val="00F76805"/>
    <w:rsid w:val="00F814CC"/>
    <w:rsid w:val="00F81507"/>
    <w:rsid w:val="00F81542"/>
    <w:rsid w:val="00F817F9"/>
    <w:rsid w:val="00F8239E"/>
    <w:rsid w:val="00F82537"/>
    <w:rsid w:val="00F82F87"/>
    <w:rsid w:val="00F82FBE"/>
    <w:rsid w:val="00F834C2"/>
    <w:rsid w:val="00F83A07"/>
    <w:rsid w:val="00F85309"/>
    <w:rsid w:val="00F858B3"/>
    <w:rsid w:val="00F85B77"/>
    <w:rsid w:val="00F86312"/>
    <w:rsid w:val="00F869A2"/>
    <w:rsid w:val="00F86A17"/>
    <w:rsid w:val="00F87216"/>
    <w:rsid w:val="00F91180"/>
    <w:rsid w:val="00F91A9E"/>
    <w:rsid w:val="00F92A31"/>
    <w:rsid w:val="00F94004"/>
    <w:rsid w:val="00F94A87"/>
    <w:rsid w:val="00F951A0"/>
    <w:rsid w:val="00F95AFC"/>
    <w:rsid w:val="00FA0388"/>
    <w:rsid w:val="00FA0CF8"/>
    <w:rsid w:val="00FA3C10"/>
    <w:rsid w:val="00FA4DF1"/>
    <w:rsid w:val="00FA7E64"/>
    <w:rsid w:val="00FA7F0E"/>
    <w:rsid w:val="00FB0716"/>
    <w:rsid w:val="00FB28FA"/>
    <w:rsid w:val="00FB3308"/>
    <w:rsid w:val="00FB3AC9"/>
    <w:rsid w:val="00FB3E6A"/>
    <w:rsid w:val="00FB3F61"/>
    <w:rsid w:val="00FB4B19"/>
    <w:rsid w:val="00FB6B78"/>
    <w:rsid w:val="00FB7D36"/>
    <w:rsid w:val="00FC01CD"/>
    <w:rsid w:val="00FC03A6"/>
    <w:rsid w:val="00FC0659"/>
    <w:rsid w:val="00FC09EF"/>
    <w:rsid w:val="00FC11EA"/>
    <w:rsid w:val="00FC1265"/>
    <w:rsid w:val="00FC217E"/>
    <w:rsid w:val="00FC3556"/>
    <w:rsid w:val="00FC38BE"/>
    <w:rsid w:val="00FC3E1B"/>
    <w:rsid w:val="00FC3F77"/>
    <w:rsid w:val="00FC55AA"/>
    <w:rsid w:val="00FC5DEB"/>
    <w:rsid w:val="00FC6DB5"/>
    <w:rsid w:val="00FD2E0D"/>
    <w:rsid w:val="00FD706A"/>
    <w:rsid w:val="00FD7F4C"/>
    <w:rsid w:val="00FE00FC"/>
    <w:rsid w:val="00FE1DBF"/>
    <w:rsid w:val="00FE2306"/>
    <w:rsid w:val="00FE28B6"/>
    <w:rsid w:val="00FE315D"/>
    <w:rsid w:val="00FE3901"/>
    <w:rsid w:val="00FE3941"/>
    <w:rsid w:val="00FE3B49"/>
    <w:rsid w:val="00FE4435"/>
    <w:rsid w:val="00FE510F"/>
    <w:rsid w:val="00FE5E7D"/>
    <w:rsid w:val="00FE6816"/>
    <w:rsid w:val="00FE6ACF"/>
    <w:rsid w:val="00FE6EF8"/>
    <w:rsid w:val="00FE7021"/>
    <w:rsid w:val="00FE727E"/>
    <w:rsid w:val="00FE7D2B"/>
    <w:rsid w:val="00FF0281"/>
    <w:rsid w:val="00FF3E2E"/>
    <w:rsid w:val="00FF4C93"/>
    <w:rsid w:val="00FF55E6"/>
    <w:rsid w:val="00FF5C1C"/>
    <w:rsid w:val="00FF61BE"/>
    <w:rsid w:val="00FF62E4"/>
    <w:rsid w:val="00FF700E"/>
    <w:rsid w:val="00FF762C"/>
    <w:rsid w:val="01080A12"/>
    <w:rsid w:val="010827C0"/>
    <w:rsid w:val="010C2D87"/>
    <w:rsid w:val="010D427B"/>
    <w:rsid w:val="010F1DA1"/>
    <w:rsid w:val="0115797B"/>
    <w:rsid w:val="01192C1F"/>
    <w:rsid w:val="011D7942"/>
    <w:rsid w:val="01227D26"/>
    <w:rsid w:val="01275012"/>
    <w:rsid w:val="012E0993"/>
    <w:rsid w:val="01431A4A"/>
    <w:rsid w:val="01512DEC"/>
    <w:rsid w:val="01583748"/>
    <w:rsid w:val="0168325F"/>
    <w:rsid w:val="017716F4"/>
    <w:rsid w:val="017C6D0A"/>
    <w:rsid w:val="017C7693"/>
    <w:rsid w:val="017E2A82"/>
    <w:rsid w:val="01875DDB"/>
    <w:rsid w:val="019C085C"/>
    <w:rsid w:val="019C716A"/>
    <w:rsid w:val="019D759C"/>
    <w:rsid w:val="01A87AFF"/>
    <w:rsid w:val="01A93FA3"/>
    <w:rsid w:val="01BB7833"/>
    <w:rsid w:val="01C012ED"/>
    <w:rsid w:val="01C52E5F"/>
    <w:rsid w:val="01DB1C83"/>
    <w:rsid w:val="01E50D53"/>
    <w:rsid w:val="01F50D38"/>
    <w:rsid w:val="01FF3BC3"/>
    <w:rsid w:val="02076F1C"/>
    <w:rsid w:val="021B6523"/>
    <w:rsid w:val="021F4265"/>
    <w:rsid w:val="02201D8C"/>
    <w:rsid w:val="0247556A"/>
    <w:rsid w:val="024848C8"/>
    <w:rsid w:val="025832D3"/>
    <w:rsid w:val="02674237"/>
    <w:rsid w:val="026E2AF7"/>
    <w:rsid w:val="02702D13"/>
    <w:rsid w:val="02776A34"/>
    <w:rsid w:val="028B5457"/>
    <w:rsid w:val="02963DFC"/>
    <w:rsid w:val="02A227A1"/>
    <w:rsid w:val="02A4476B"/>
    <w:rsid w:val="02AE7397"/>
    <w:rsid w:val="02B26E88"/>
    <w:rsid w:val="02B46E19"/>
    <w:rsid w:val="02B96468"/>
    <w:rsid w:val="02BE066D"/>
    <w:rsid w:val="02BE582C"/>
    <w:rsid w:val="02C2328F"/>
    <w:rsid w:val="02C41D91"/>
    <w:rsid w:val="02D037B2"/>
    <w:rsid w:val="02D37072"/>
    <w:rsid w:val="02E84657"/>
    <w:rsid w:val="02EF1E8A"/>
    <w:rsid w:val="02F05C02"/>
    <w:rsid w:val="02F4484D"/>
    <w:rsid w:val="02F76F90"/>
    <w:rsid w:val="02FC0103"/>
    <w:rsid w:val="02FD7005"/>
    <w:rsid w:val="02FE20CD"/>
    <w:rsid w:val="03044E5C"/>
    <w:rsid w:val="030F0C00"/>
    <w:rsid w:val="031F3DF1"/>
    <w:rsid w:val="032D5743"/>
    <w:rsid w:val="033301F1"/>
    <w:rsid w:val="033C49A3"/>
    <w:rsid w:val="03443858"/>
    <w:rsid w:val="034A70C0"/>
    <w:rsid w:val="03547F3F"/>
    <w:rsid w:val="03554BEF"/>
    <w:rsid w:val="03585021"/>
    <w:rsid w:val="035E3CDC"/>
    <w:rsid w:val="035E402C"/>
    <w:rsid w:val="036363D4"/>
    <w:rsid w:val="036B5251"/>
    <w:rsid w:val="036D439C"/>
    <w:rsid w:val="037C7496"/>
    <w:rsid w:val="038F0F77"/>
    <w:rsid w:val="03960557"/>
    <w:rsid w:val="0397607D"/>
    <w:rsid w:val="03A72272"/>
    <w:rsid w:val="03D3127C"/>
    <w:rsid w:val="03DA73B4"/>
    <w:rsid w:val="03EF7C67"/>
    <w:rsid w:val="03FA6D38"/>
    <w:rsid w:val="040F3E66"/>
    <w:rsid w:val="04114082"/>
    <w:rsid w:val="041D2A27"/>
    <w:rsid w:val="045457A6"/>
    <w:rsid w:val="04561A95"/>
    <w:rsid w:val="04695C6C"/>
    <w:rsid w:val="04784B5C"/>
    <w:rsid w:val="049A499B"/>
    <w:rsid w:val="049E0653"/>
    <w:rsid w:val="04A24CDA"/>
    <w:rsid w:val="04AD0F4F"/>
    <w:rsid w:val="04B52C5F"/>
    <w:rsid w:val="04BC20E2"/>
    <w:rsid w:val="04BF4217"/>
    <w:rsid w:val="04BF763A"/>
    <w:rsid w:val="04C64E6C"/>
    <w:rsid w:val="04C75C9F"/>
    <w:rsid w:val="04C82992"/>
    <w:rsid w:val="04CF5688"/>
    <w:rsid w:val="04D23811"/>
    <w:rsid w:val="04DD5BB3"/>
    <w:rsid w:val="04E978D1"/>
    <w:rsid w:val="04F03C97"/>
    <w:rsid w:val="050140F6"/>
    <w:rsid w:val="05107E95"/>
    <w:rsid w:val="05290F57"/>
    <w:rsid w:val="052B11F2"/>
    <w:rsid w:val="053800E0"/>
    <w:rsid w:val="05432019"/>
    <w:rsid w:val="054D3C9F"/>
    <w:rsid w:val="05502988"/>
    <w:rsid w:val="05526700"/>
    <w:rsid w:val="05545FD4"/>
    <w:rsid w:val="05596F0E"/>
    <w:rsid w:val="05656433"/>
    <w:rsid w:val="057C377D"/>
    <w:rsid w:val="057E5747"/>
    <w:rsid w:val="05885E20"/>
    <w:rsid w:val="058A40EC"/>
    <w:rsid w:val="059B1E55"/>
    <w:rsid w:val="05A52CD4"/>
    <w:rsid w:val="05A63E75"/>
    <w:rsid w:val="05B11678"/>
    <w:rsid w:val="05B60993"/>
    <w:rsid w:val="05CA5AE8"/>
    <w:rsid w:val="05D81077"/>
    <w:rsid w:val="05DF5088"/>
    <w:rsid w:val="05E05ABA"/>
    <w:rsid w:val="05E722A4"/>
    <w:rsid w:val="05F21D06"/>
    <w:rsid w:val="0600113E"/>
    <w:rsid w:val="06033012"/>
    <w:rsid w:val="06053772"/>
    <w:rsid w:val="060914B4"/>
    <w:rsid w:val="0616597F"/>
    <w:rsid w:val="063D2F0C"/>
    <w:rsid w:val="06403362"/>
    <w:rsid w:val="06513889"/>
    <w:rsid w:val="06542B6B"/>
    <w:rsid w:val="06581AF4"/>
    <w:rsid w:val="066466EB"/>
    <w:rsid w:val="06666AB5"/>
    <w:rsid w:val="06693D01"/>
    <w:rsid w:val="0681064E"/>
    <w:rsid w:val="06913258"/>
    <w:rsid w:val="0696086E"/>
    <w:rsid w:val="06A13AB3"/>
    <w:rsid w:val="06B55198"/>
    <w:rsid w:val="06C947A0"/>
    <w:rsid w:val="06DF5D71"/>
    <w:rsid w:val="06E635A4"/>
    <w:rsid w:val="06EC66E5"/>
    <w:rsid w:val="0709441B"/>
    <w:rsid w:val="070B4DB8"/>
    <w:rsid w:val="071874D5"/>
    <w:rsid w:val="0719773D"/>
    <w:rsid w:val="072440CC"/>
    <w:rsid w:val="072569C9"/>
    <w:rsid w:val="07287718"/>
    <w:rsid w:val="072F4F4B"/>
    <w:rsid w:val="0737795B"/>
    <w:rsid w:val="073C661C"/>
    <w:rsid w:val="07504EC1"/>
    <w:rsid w:val="0764271A"/>
    <w:rsid w:val="076B5857"/>
    <w:rsid w:val="077741FC"/>
    <w:rsid w:val="077F1302"/>
    <w:rsid w:val="07854B6B"/>
    <w:rsid w:val="078814C4"/>
    <w:rsid w:val="079254DA"/>
    <w:rsid w:val="079E79DA"/>
    <w:rsid w:val="07A4486E"/>
    <w:rsid w:val="07A86AAB"/>
    <w:rsid w:val="07AA2823"/>
    <w:rsid w:val="07B05AD7"/>
    <w:rsid w:val="07B62F76"/>
    <w:rsid w:val="07BD70D6"/>
    <w:rsid w:val="07BE1E2B"/>
    <w:rsid w:val="07C90431"/>
    <w:rsid w:val="07CA4C73"/>
    <w:rsid w:val="07D63618"/>
    <w:rsid w:val="07D74BAD"/>
    <w:rsid w:val="07E31891"/>
    <w:rsid w:val="07EB6CF7"/>
    <w:rsid w:val="07F35B2E"/>
    <w:rsid w:val="07F87B70"/>
    <w:rsid w:val="080C79E9"/>
    <w:rsid w:val="08101D83"/>
    <w:rsid w:val="081D1247"/>
    <w:rsid w:val="08365075"/>
    <w:rsid w:val="08470072"/>
    <w:rsid w:val="086F75C9"/>
    <w:rsid w:val="0875625F"/>
    <w:rsid w:val="08842538"/>
    <w:rsid w:val="089B03BE"/>
    <w:rsid w:val="089B6610"/>
    <w:rsid w:val="08A13294"/>
    <w:rsid w:val="08A47272"/>
    <w:rsid w:val="08A54D99"/>
    <w:rsid w:val="08B275DE"/>
    <w:rsid w:val="08BD462B"/>
    <w:rsid w:val="08E25FED"/>
    <w:rsid w:val="08E753B1"/>
    <w:rsid w:val="08EE6740"/>
    <w:rsid w:val="090A25E2"/>
    <w:rsid w:val="090D12BC"/>
    <w:rsid w:val="092108C3"/>
    <w:rsid w:val="09293C1C"/>
    <w:rsid w:val="09343313"/>
    <w:rsid w:val="09374DB2"/>
    <w:rsid w:val="094840A2"/>
    <w:rsid w:val="094A04CC"/>
    <w:rsid w:val="094B5940"/>
    <w:rsid w:val="094E71DE"/>
    <w:rsid w:val="09510A7C"/>
    <w:rsid w:val="095A3DD5"/>
    <w:rsid w:val="095A5B83"/>
    <w:rsid w:val="0972111F"/>
    <w:rsid w:val="097924AD"/>
    <w:rsid w:val="097E2B64"/>
    <w:rsid w:val="097E3F85"/>
    <w:rsid w:val="0980714F"/>
    <w:rsid w:val="098C10EB"/>
    <w:rsid w:val="098C5CAC"/>
    <w:rsid w:val="099C43EE"/>
    <w:rsid w:val="09B53409"/>
    <w:rsid w:val="09B90AFC"/>
    <w:rsid w:val="09B93488"/>
    <w:rsid w:val="09BF428B"/>
    <w:rsid w:val="09C340D7"/>
    <w:rsid w:val="09CF47C3"/>
    <w:rsid w:val="09D65B51"/>
    <w:rsid w:val="09F47D86"/>
    <w:rsid w:val="09F61D50"/>
    <w:rsid w:val="09F77876"/>
    <w:rsid w:val="09FE6E56"/>
    <w:rsid w:val="0A007DD0"/>
    <w:rsid w:val="0A0E1AD0"/>
    <w:rsid w:val="0A0E662B"/>
    <w:rsid w:val="0A252635"/>
    <w:rsid w:val="0A310FDA"/>
    <w:rsid w:val="0A364360"/>
    <w:rsid w:val="0A382368"/>
    <w:rsid w:val="0A524AEE"/>
    <w:rsid w:val="0A682522"/>
    <w:rsid w:val="0A6A4BE3"/>
    <w:rsid w:val="0A6E5D8A"/>
    <w:rsid w:val="0A742C74"/>
    <w:rsid w:val="0A951569"/>
    <w:rsid w:val="0A96234E"/>
    <w:rsid w:val="0AA1465B"/>
    <w:rsid w:val="0AA7304A"/>
    <w:rsid w:val="0AAC68B2"/>
    <w:rsid w:val="0AB539B9"/>
    <w:rsid w:val="0AB614DF"/>
    <w:rsid w:val="0AD007F3"/>
    <w:rsid w:val="0AD96F7B"/>
    <w:rsid w:val="0ADB6F9E"/>
    <w:rsid w:val="0AFC3C93"/>
    <w:rsid w:val="0AFD0176"/>
    <w:rsid w:val="0B0E19AF"/>
    <w:rsid w:val="0B1B7594"/>
    <w:rsid w:val="0B260413"/>
    <w:rsid w:val="0B3A3EBE"/>
    <w:rsid w:val="0B4517DD"/>
    <w:rsid w:val="0B4B5097"/>
    <w:rsid w:val="0B662F05"/>
    <w:rsid w:val="0B6F451D"/>
    <w:rsid w:val="0B8909A2"/>
    <w:rsid w:val="0B991802"/>
    <w:rsid w:val="0BA92DF2"/>
    <w:rsid w:val="0BB91287"/>
    <w:rsid w:val="0BBF1960"/>
    <w:rsid w:val="0BE252CE"/>
    <w:rsid w:val="0BF1327F"/>
    <w:rsid w:val="0BFF2A12"/>
    <w:rsid w:val="0C0E23D4"/>
    <w:rsid w:val="0C0F70F9"/>
    <w:rsid w:val="0C120997"/>
    <w:rsid w:val="0C1D721E"/>
    <w:rsid w:val="0C201306"/>
    <w:rsid w:val="0C2972BF"/>
    <w:rsid w:val="0C637445"/>
    <w:rsid w:val="0C7E418F"/>
    <w:rsid w:val="0C8E389C"/>
    <w:rsid w:val="0CA5180B"/>
    <w:rsid w:val="0CA710DF"/>
    <w:rsid w:val="0CAF4438"/>
    <w:rsid w:val="0CC53C5B"/>
    <w:rsid w:val="0CDE6E2E"/>
    <w:rsid w:val="0CE75980"/>
    <w:rsid w:val="0CEC7A9B"/>
    <w:rsid w:val="0CFE2CC9"/>
    <w:rsid w:val="0D074D4A"/>
    <w:rsid w:val="0D1C158F"/>
    <w:rsid w:val="0D1F336B"/>
    <w:rsid w:val="0D324647"/>
    <w:rsid w:val="0D374B59"/>
    <w:rsid w:val="0D3953B3"/>
    <w:rsid w:val="0D3E316B"/>
    <w:rsid w:val="0D464D9C"/>
    <w:rsid w:val="0D5011FA"/>
    <w:rsid w:val="0D5F7C0C"/>
    <w:rsid w:val="0D637F6E"/>
    <w:rsid w:val="0D662D48"/>
    <w:rsid w:val="0D6C2329"/>
    <w:rsid w:val="0D7A7B08"/>
    <w:rsid w:val="0D9B10D9"/>
    <w:rsid w:val="0DBB142F"/>
    <w:rsid w:val="0DC03BC4"/>
    <w:rsid w:val="0DC161D1"/>
    <w:rsid w:val="0DC77681"/>
    <w:rsid w:val="0DE246BD"/>
    <w:rsid w:val="0DF12F86"/>
    <w:rsid w:val="0DFD15E6"/>
    <w:rsid w:val="0E056A05"/>
    <w:rsid w:val="0E0E518E"/>
    <w:rsid w:val="0E1E7AC7"/>
    <w:rsid w:val="0E252C04"/>
    <w:rsid w:val="0E2826F4"/>
    <w:rsid w:val="0E356BBF"/>
    <w:rsid w:val="0E49572E"/>
    <w:rsid w:val="0E4A4418"/>
    <w:rsid w:val="0E4D5CB6"/>
    <w:rsid w:val="0E5C239D"/>
    <w:rsid w:val="0E5E4E35"/>
    <w:rsid w:val="0E603C3C"/>
    <w:rsid w:val="0E62693A"/>
    <w:rsid w:val="0E6D6359"/>
    <w:rsid w:val="0E7F2FD8"/>
    <w:rsid w:val="0E81265E"/>
    <w:rsid w:val="0E833DCE"/>
    <w:rsid w:val="0E8518F4"/>
    <w:rsid w:val="0EA0672E"/>
    <w:rsid w:val="0EAA4EB7"/>
    <w:rsid w:val="0EB06494"/>
    <w:rsid w:val="0EC248F6"/>
    <w:rsid w:val="0ECD6DF7"/>
    <w:rsid w:val="0ED168E7"/>
    <w:rsid w:val="0EE303C9"/>
    <w:rsid w:val="0EF87779"/>
    <w:rsid w:val="0F032819"/>
    <w:rsid w:val="0F09617E"/>
    <w:rsid w:val="0F0B47BD"/>
    <w:rsid w:val="0F135152"/>
    <w:rsid w:val="0F152C78"/>
    <w:rsid w:val="0F2808C0"/>
    <w:rsid w:val="0F2D0CB4"/>
    <w:rsid w:val="0F2F6952"/>
    <w:rsid w:val="0F334EAC"/>
    <w:rsid w:val="0F3F75AE"/>
    <w:rsid w:val="0F4672D3"/>
    <w:rsid w:val="0F4A3B81"/>
    <w:rsid w:val="0F501647"/>
    <w:rsid w:val="0F6E6A60"/>
    <w:rsid w:val="0F987405"/>
    <w:rsid w:val="0F991941"/>
    <w:rsid w:val="0FA20284"/>
    <w:rsid w:val="0FA22032"/>
    <w:rsid w:val="0FC04697"/>
    <w:rsid w:val="0FC71A98"/>
    <w:rsid w:val="0FC87B8D"/>
    <w:rsid w:val="0FCC70AF"/>
    <w:rsid w:val="0FCE70E1"/>
    <w:rsid w:val="0FF857F8"/>
    <w:rsid w:val="0FFD31BE"/>
    <w:rsid w:val="100920B1"/>
    <w:rsid w:val="100F72B0"/>
    <w:rsid w:val="10101691"/>
    <w:rsid w:val="1021389E"/>
    <w:rsid w:val="10251BE5"/>
    <w:rsid w:val="10300D1D"/>
    <w:rsid w:val="10487D43"/>
    <w:rsid w:val="10501A8E"/>
    <w:rsid w:val="105552F6"/>
    <w:rsid w:val="1061727F"/>
    <w:rsid w:val="106A2B50"/>
    <w:rsid w:val="106B4B1A"/>
    <w:rsid w:val="107240FA"/>
    <w:rsid w:val="10796DCC"/>
    <w:rsid w:val="10861954"/>
    <w:rsid w:val="108C6F6A"/>
    <w:rsid w:val="10AD5132"/>
    <w:rsid w:val="10BE4C49"/>
    <w:rsid w:val="10C20BDE"/>
    <w:rsid w:val="10C7294B"/>
    <w:rsid w:val="10D94FCD"/>
    <w:rsid w:val="10E02E12"/>
    <w:rsid w:val="10EC17B7"/>
    <w:rsid w:val="10EC7A09"/>
    <w:rsid w:val="10F863AD"/>
    <w:rsid w:val="1102547E"/>
    <w:rsid w:val="110A4333"/>
    <w:rsid w:val="1111746F"/>
    <w:rsid w:val="111217E5"/>
    <w:rsid w:val="112A22DF"/>
    <w:rsid w:val="114E2471"/>
    <w:rsid w:val="1154735C"/>
    <w:rsid w:val="11625F1D"/>
    <w:rsid w:val="116E1B01"/>
    <w:rsid w:val="116F0B85"/>
    <w:rsid w:val="119D51A7"/>
    <w:rsid w:val="11A32956"/>
    <w:rsid w:val="11A77DD3"/>
    <w:rsid w:val="11BA18B5"/>
    <w:rsid w:val="11CB47B9"/>
    <w:rsid w:val="11D54941"/>
    <w:rsid w:val="11D757D2"/>
    <w:rsid w:val="11DB182B"/>
    <w:rsid w:val="12027307"/>
    <w:rsid w:val="120538FB"/>
    <w:rsid w:val="121F3E0E"/>
    <w:rsid w:val="122136E2"/>
    <w:rsid w:val="122A6EEF"/>
    <w:rsid w:val="12306C98"/>
    <w:rsid w:val="12353631"/>
    <w:rsid w:val="123553DF"/>
    <w:rsid w:val="12364DA9"/>
    <w:rsid w:val="12384A24"/>
    <w:rsid w:val="125427D3"/>
    <w:rsid w:val="12554A30"/>
    <w:rsid w:val="1260229D"/>
    <w:rsid w:val="12745F08"/>
    <w:rsid w:val="1279351E"/>
    <w:rsid w:val="127F665A"/>
    <w:rsid w:val="12802EAC"/>
    <w:rsid w:val="12865C3B"/>
    <w:rsid w:val="128C697D"/>
    <w:rsid w:val="12902616"/>
    <w:rsid w:val="129422FE"/>
    <w:rsid w:val="12A32349"/>
    <w:rsid w:val="12A63DE9"/>
    <w:rsid w:val="12AF0CEE"/>
    <w:rsid w:val="12B11812"/>
    <w:rsid w:val="12B62EB5"/>
    <w:rsid w:val="12B72158"/>
    <w:rsid w:val="12B97DBE"/>
    <w:rsid w:val="12BA0C96"/>
    <w:rsid w:val="12BB3B36"/>
    <w:rsid w:val="12BE3627"/>
    <w:rsid w:val="12C7072D"/>
    <w:rsid w:val="12D22CF4"/>
    <w:rsid w:val="12D55003"/>
    <w:rsid w:val="12E60488"/>
    <w:rsid w:val="12E7492B"/>
    <w:rsid w:val="12EC0194"/>
    <w:rsid w:val="12F17558"/>
    <w:rsid w:val="12FB03D7"/>
    <w:rsid w:val="12FE1C75"/>
    <w:rsid w:val="130152C1"/>
    <w:rsid w:val="131B6383"/>
    <w:rsid w:val="131F3C84"/>
    <w:rsid w:val="13280AA0"/>
    <w:rsid w:val="1332191F"/>
    <w:rsid w:val="133D454B"/>
    <w:rsid w:val="133D4D15"/>
    <w:rsid w:val="134A17F3"/>
    <w:rsid w:val="134C478E"/>
    <w:rsid w:val="134D0507"/>
    <w:rsid w:val="134F0723"/>
    <w:rsid w:val="13520901"/>
    <w:rsid w:val="1367781A"/>
    <w:rsid w:val="1371719D"/>
    <w:rsid w:val="137B1518"/>
    <w:rsid w:val="137F4B64"/>
    <w:rsid w:val="13854144"/>
    <w:rsid w:val="13936861"/>
    <w:rsid w:val="139525D9"/>
    <w:rsid w:val="139F519C"/>
    <w:rsid w:val="13A9398F"/>
    <w:rsid w:val="13AE369B"/>
    <w:rsid w:val="13B862C8"/>
    <w:rsid w:val="13BC70A7"/>
    <w:rsid w:val="13C351B5"/>
    <w:rsid w:val="13C46A1B"/>
    <w:rsid w:val="13CE5AEB"/>
    <w:rsid w:val="13D053C0"/>
    <w:rsid w:val="13DA623E"/>
    <w:rsid w:val="13DF1AA7"/>
    <w:rsid w:val="13F35552"/>
    <w:rsid w:val="140B68E2"/>
    <w:rsid w:val="14204270"/>
    <w:rsid w:val="14223215"/>
    <w:rsid w:val="1432607A"/>
    <w:rsid w:val="14362705"/>
    <w:rsid w:val="143F0797"/>
    <w:rsid w:val="144D117B"/>
    <w:rsid w:val="145D29CB"/>
    <w:rsid w:val="145F552C"/>
    <w:rsid w:val="1460713B"/>
    <w:rsid w:val="149E76F7"/>
    <w:rsid w:val="14AA3E63"/>
    <w:rsid w:val="14B236B0"/>
    <w:rsid w:val="14B60A59"/>
    <w:rsid w:val="14B7657F"/>
    <w:rsid w:val="14C173FE"/>
    <w:rsid w:val="14C54E10"/>
    <w:rsid w:val="14DB226E"/>
    <w:rsid w:val="14DE5548"/>
    <w:rsid w:val="14E43AD5"/>
    <w:rsid w:val="14E6501B"/>
    <w:rsid w:val="14E8498B"/>
    <w:rsid w:val="15001CD4"/>
    <w:rsid w:val="15015A4D"/>
    <w:rsid w:val="15080B89"/>
    <w:rsid w:val="150C68CB"/>
    <w:rsid w:val="15147D27"/>
    <w:rsid w:val="15175270"/>
    <w:rsid w:val="151B6B0E"/>
    <w:rsid w:val="15204AEC"/>
    <w:rsid w:val="15227E9D"/>
    <w:rsid w:val="15264368"/>
    <w:rsid w:val="153E27FD"/>
    <w:rsid w:val="154459C2"/>
    <w:rsid w:val="15492688"/>
    <w:rsid w:val="155956F5"/>
    <w:rsid w:val="155C2C83"/>
    <w:rsid w:val="15607134"/>
    <w:rsid w:val="15671D54"/>
    <w:rsid w:val="1568693C"/>
    <w:rsid w:val="15A9411A"/>
    <w:rsid w:val="15AB60E4"/>
    <w:rsid w:val="15B8091F"/>
    <w:rsid w:val="15C545CA"/>
    <w:rsid w:val="15D31197"/>
    <w:rsid w:val="15D8259A"/>
    <w:rsid w:val="15E2762C"/>
    <w:rsid w:val="15EF58A5"/>
    <w:rsid w:val="15FB06EE"/>
    <w:rsid w:val="15FB249C"/>
    <w:rsid w:val="1613604D"/>
    <w:rsid w:val="161552E4"/>
    <w:rsid w:val="162419F3"/>
    <w:rsid w:val="16442095"/>
    <w:rsid w:val="16473933"/>
    <w:rsid w:val="1651030E"/>
    <w:rsid w:val="1653052A"/>
    <w:rsid w:val="165C73DE"/>
    <w:rsid w:val="16612C47"/>
    <w:rsid w:val="166167A3"/>
    <w:rsid w:val="1663076D"/>
    <w:rsid w:val="166F6F59"/>
    <w:rsid w:val="16734728"/>
    <w:rsid w:val="167F1D19"/>
    <w:rsid w:val="16873D30"/>
    <w:rsid w:val="168D4115"/>
    <w:rsid w:val="168D57EA"/>
    <w:rsid w:val="16932116"/>
    <w:rsid w:val="16953140"/>
    <w:rsid w:val="169B1F47"/>
    <w:rsid w:val="16A02947"/>
    <w:rsid w:val="16BC1C2B"/>
    <w:rsid w:val="16D65D2D"/>
    <w:rsid w:val="16EB253D"/>
    <w:rsid w:val="16EF3DAF"/>
    <w:rsid w:val="16FB1545"/>
    <w:rsid w:val="1703785A"/>
    <w:rsid w:val="17127A9D"/>
    <w:rsid w:val="171952CF"/>
    <w:rsid w:val="172D0D7B"/>
    <w:rsid w:val="172D7562"/>
    <w:rsid w:val="174C1201"/>
    <w:rsid w:val="17671ADA"/>
    <w:rsid w:val="17716EB9"/>
    <w:rsid w:val="17762143"/>
    <w:rsid w:val="177D5278"/>
    <w:rsid w:val="179130B8"/>
    <w:rsid w:val="17B15642"/>
    <w:rsid w:val="17B648CC"/>
    <w:rsid w:val="17B86896"/>
    <w:rsid w:val="17B9260F"/>
    <w:rsid w:val="17BE19D3"/>
    <w:rsid w:val="17C331DE"/>
    <w:rsid w:val="17C42CD7"/>
    <w:rsid w:val="17CB6D2A"/>
    <w:rsid w:val="17D64F6F"/>
    <w:rsid w:val="17D82A95"/>
    <w:rsid w:val="17F6116D"/>
    <w:rsid w:val="17F81389"/>
    <w:rsid w:val="180F702D"/>
    <w:rsid w:val="181B5077"/>
    <w:rsid w:val="18273A1C"/>
    <w:rsid w:val="182932F0"/>
    <w:rsid w:val="182D12E6"/>
    <w:rsid w:val="18300B23"/>
    <w:rsid w:val="1833416F"/>
    <w:rsid w:val="18363C5F"/>
    <w:rsid w:val="183A2583"/>
    <w:rsid w:val="183A7A39"/>
    <w:rsid w:val="183B50CD"/>
    <w:rsid w:val="183D4FEE"/>
    <w:rsid w:val="183F5D97"/>
    <w:rsid w:val="18473CCE"/>
    <w:rsid w:val="18477C1A"/>
    <w:rsid w:val="184C5231"/>
    <w:rsid w:val="18722EE9"/>
    <w:rsid w:val="18950986"/>
    <w:rsid w:val="189D783A"/>
    <w:rsid w:val="189F1804"/>
    <w:rsid w:val="18A4506D"/>
    <w:rsid w:val="18AD33BD"/>
    <w:rsid w:val="18B639BE"/>
    <w:rsid w:val="18BA663E"/>
    <w:rsid w:val="18C031C1"/>
    <w:rsid w:val="18D23988"/>
    <w:rsid w:val="18D53478"/>
    <w:rsid w:val="18DC0363"/>
    <w:rsid w:val="191044B0"/>
    <w:rsid w:val="19157D18"/>
    <w:rsid w:val="191642BE"/>
    <w:rsid w:val="1921046B"/>
    <w:rsid w:val="1927380C"/>
    <w:rsid w:val="19320942"/>
    <w:rsid w:val="19377C8F"/>
    <w:rsid w:val="19475B6F"/>
    <w:rsid w:val="194859F8"/>
    <w:rsid w:val="195F2D42"/>
    <w:rsid w:val="19614D0C"/>
    <w:rsid w:val="19636CD6"/>
    <w:rsid w:val="196C5F4C"/>
    <w:rsid w:val="196D36B1"/>
    <w:rsid w:val="198F1879"/>
    <w:rsid w:val="199358FE"/>
    <w:rsid w:val="19A03A86"/>
    <w:rsid w:val="19A74E14"/>
    <w:rsid w:val="19BC1F42"/>
    <w:rsid w:val="19CA49C1"/>
    <w:rsid w:val="19CE75E8"/>
    <w:rsid w:val="19D406F7"/>
    <w:rsid w:val="19E41BC5"/>
    <w:rsid w:val="19EA6AAF"/>
    <w:rsid w:val="19F33095"/>
    <w:rsid w:val="19F80911"/>
    <w:rsid w:val="1A0933D9"/>
    <w:rsid w:val="1A2054D0"/>
    <w:rsid w:val="1A206975"/>
    <w:rsid w:val="1A2C531A"/>
    <w:rsid w:val="1A3500D6"/>
    <w:rsid w:val="1A4E4600"/>
    <w:rsid w:val="1A522C3B"/>
    <w:rsid w:val="1A606D71"/>
    <w:rsid w:val="1A642D06"/>
    <w:rsid w:val="1A766595"/>
    <w:rsid w:val="1A7A0585"/>
    <w:rsid w:val="1A7A42D7"/>
    <w:rsid w:val="1A7D1FDD"/>
    <w:rsid w:val="1A8011C2"/>
    <w:rsid w:val="1A82318C"/>
    <w:rsid w:val="1A8707A2"/>
    <w:rsid w:val="1A8B64E4"/>
    <w:rsid w:val="1AA9305D"/>
    <w:rsid w:val="1AC94917"/>
    <w:rsid w:val="1AD27C6F"/>
    <w:rsid w:val="1AEC6B5A"/>
    <w:rsid w:val="1AF079B3"/>
    <w:rsid w:val="1AFF658A"/>
    <w:rsid w:val="1B043BA1"/>
    <w:rsid w:val="1B065B6B"/>
    <w:rsid w:val="1B0D0CA7"/>
    <w:rsid w:val="1B0D6EF9"/>
    <w:rsid w:val="1B1464DA"/>
    <w:rsid w:val="1B20049C"/>
    <w:rsid w:val="1B2164D4"/>
    <w:rsid w:val="1B287CB5"/>
    <w:rsid w:val="1B2C147C"/>
    <w:rsid w:val="1B3A75C2"/>
    <w:rsid w:val="1B530BF8"/>
    <w:rsid w:val="1B590390"/>
    <w:rsid w:val="1B5F50FD"/>
    <w:rsid w:val="1B6603B7"/>
    <w:rsid w:val="1B661EA8"/>
    <w:rsid w:val="1B6805D3"/>
    <w:rsid w:val="1B6A60FA"/>
    <w:rsid w:val="1B6B20E9"/>
    <w:rsid w:val="1B777655"/>
    <w:rsid w:val="1B8E746C"/>
    <w:rsid w:val="1BA62EAA"/>
    <w:rsid w:val="1BA6544E"/>
    <w:rsid w:val="1BAF1D5E"/>
    <w:rsid w:val="1BC25F36"/>
    <w:rsid w:val="1BCD45BA"/>
    <w:rsid w:val="1BD40829"/>
    <w:rsid w:val="1BDC68CC"/>
    <w:rsid w:val="1BEB6B37"/>
    <w:rsid w:val="1BEC2FB3"/>
    <w:rsid w:val="1C006A5E"/>
    <w:rsid w:val="1C043928"/>
    <w:rsid w:val="1C0C71B1"/>
    <w:rsid w:val="1C113793"/>
    <w:rsid w:val="1C185B56"/>
    <w:rsid w:val="1C33473D"/>
    <w:rsid w:val="1C3B1844"/>
    <w:rsid w:val="1C4701E9"/>
    <w:rsid w:val="1C4C3A51"/>
    <w:rsid w:val="1C5A616E"/>
    <w:rsid w:val="1C623275"/>
    <w:rsid w:val="1C784846"/>
    <w:rsid w:val="1C8256C5"/>
    <w:rsid w:val="1C905906"/>
    <w:rsid w:val="1C99656B"/>
    <w:rsid w:val="1C9F6277"/>
    <w:rsid w:val="1CA218C3"/>
    <w:rsid w:val="1CAB35D3"/>
    <w:rsid w:val="1CB22436"/>
    <w:rsid w:val="1CD32CDC"/>
    <w:rsid w:val="1CD35255"/>
    <w:rsid w:val="1CD777BF"/>
    <w:rsid w:val="1CDF335E"/>
    <w:rsid w:val="1CEA3142"/>
    <w:rsid w:val="1CF00880"/>
    <w:rsid w:val="1CF06FD5"/>
    <w:rsid w:val="1CF212A0"/>
    <w:rsid w:val="1CFC7225"/>
    <w:rsid w:val="1D063C00"/>
    <w:rsid w:val="1D0E0D07"/>
    <w:rsid w:val="1D13631D"/>
    <w:rsid w:val="1D181B85"/>
    <w:rsid w:val="1D272820"/>
    <w:rsid w:val="1D2A36FC"/>
    <w:rsid w:val="1D2B3667"/>
    <w:rsid w:val="1D2D3883"/>
    <w:rsid w:val="1D434E54"/>
    <w:rsid w:val="1D44297A"/>
    <w:rsid w:val="1D4476D3"/>
    <w:rsid w:val="1D4B4EF3"/>
    <w:rsid w:val="1D525097"/>
    <w:rsid w:val="1D5C2231"/>
    <w:rsid w:val="1D673277"/>
    <w:rsid w:val="1D6B7F07"/>
    <w:rsid w:val="1D8316F5"/>
    <w:rsid w:val="1D8965DF"/>
    <w:rsid w:val="1D9456B0"/>
    <w:rsid w:val="1D9C28A4"/>
    <w:rsid w:val="1DB573D4"/>
    <w:rsid w:val="1DF223D6"/>
    <w:rsid w:val="1DF60118"/>
    <w:rsid w:val="1DFD14A7"/>
    <w:rsid w:val="1E0F559E"/>
    <w:rsid w:val="1E187EE3"/>
    <w:rsid w:val="1E1B36DB"/>
    <w:rsid w:val="1E1E141D"/>
    <w:rsid w:val="1E286B48"/>
    <w:rsid w:val="1E2C776B"/>
    <w:rsid w:val="1E380CE0"/>
    <w:rsid w:val="1E3E386E"/>
    <w:rsid w:val="1E4744D0"/>
    <w:rsid w:val="1E4D32D1"/>
    <w:rsid w:val="1E4F1475"/>
    <w:rsid w:val="1E5310C7"/>
    <w:rsid w:val="1E546BED"/>
    <w:rsid w:val="1E5C4293"/>
    <w:rsid w:val="1E6F1C79"/>
    <w:rsid w:val="1E7C3EAD"/>
    <w:rsid w:val="1E960FB4"/>
    <w:rsid w:val="1EA25BAA"/>
    <w:rsid w:val="1EB31B66"/>
    <w:rsid w:val="1EB63404"/>
    <w:rsid w:val="1EBC5F01"/>
    <w:rsid w:val="1EC310D6"/>
    <w:rsid w:val="1ECB4892"/>
    <w:rsid w:val="1ED146E2"/>
    <w:rsid w:val="1ED74AFB"/>
    <w:rsid w:val="1EDC0404"/>
    <w:rsid w:val="1EDD6BE3"/>
    <w:rsid w:val="1EEA58DA"/>
    <w:rsid w:val="1EEB57A3"/>
    <w:rsid w:val="1EFC2713"/>
    <w:rsid w:val="1F02489B"/>
    <w:rsid w:val="1F026649"/>
    <w:rsid w:val="1F0C42D2"/>
    <w:rsid w:val="1F10520A"/>
    <w:rsid w:val="1F1D7927"/>
    <w:rsid w:val="1F3E41AD"/>
    <w:rsid w:val="1F4B4494"/>
    <w:rsid w:val="1F4B7FF0"/>
    <w:rsid w:val="1F536EA5"/>
    <w:rsid w:val="1F737547"/>
    <w:rsid w:val="1F745799"/>
    <w:rsid w:val="1F7532BF"/>
    <w:rsid w:val="1F86727A"/>
    <w:rsid w:val="1F8E5386"/>
    <w:rsid w:val="1FA20E2A"/>
    <w:rsid w:val="1FA21D54"/>
    <w:rsid w:val="1FBE6A14"/>
    <w:rsid w:val="1FC14997"/>
    <w:rsid w:val="1FC66A25"/>
    <w:rsid w:val="1FC85AE5"/>
    <w:rsid w:val="1FCD000A"/>
    <w:rsid w:val="1FD224BF"/>
    <w:rsid w:val="1FD5034D"/>
    <w:rsid w:val="1FDA1374"/>
    <w:rsid w:val="1FDD057E"/>
    <w:rsid w:val="1FEA15B7"/>
    <w:rsid w:val="20080EB7"/>
    <w:rsid w:val="20187697"/>
    <w:rsid w:val="20232D1B"/>
    <w:rsid w:val="20452C91"/>
    <w:rsid w:val="204A02A8"/>
    <w:rsid w:val="20523600"/>
    <w:rsid w:val="205D6467"/>
    <w:rsid w:val="20671D14"/>
    <w:rsid w:val="206A46C7"/>
    <w:rsid w:val="207215AC"/>
    <w:rsid w:val="207672EF"/>
    <w:rsid w:val="20947775"/>
    <w:rsid w:val="20A53730"/>
    <w:rsid w:val="20B4627A"/>
    <w:rsid w:val="20B56560"/>
    <w:rsid w:val="20D002D6"/>
    <w:rsid w:val="20D858B3"/>
    <w:rsid w:val="20DB50F9"/>
    <w:rsid w:val="20E24984"/>
    <w:rsid w:val="20E701EC"/>
    <w:rsid w:val="20E90EE3"/>
    <w:rsid w:val="20E979BC"/>
    <w:rsid w:val="210963B5"/>
    <w:rsid w:val="210E3101"/>
    <w:rsid w:val="211B195F"/>
    <w:rsid w:val="211C7E96"/>
    <w:rsid w:val="211F7FCD"/>
    <w:rsid w:val="21246D4B"/>
    <w:rsid w:val="212925B3"/>
    <w:rsid w:val="212B00D9"/>
    <w:rsid w:val="212C3E51"/>
    <w:rsid w:val="21313216"/>
    <w:rsid w:val="213F1965"/>
    <w:rsid w:val="21486EDD"/>
    <w:rsid w:val="214F751D"/>
    <w:rsid w:val="21746617"/>
    <w:rsid w:val="21854F21"/>
    <w:rsid w:val="21921F06"/>
    <w:rsid w:val="219A700D"/>
    <w:rsid w:val="21AE4866"/>
    <w:rsid w:val="21B26104"/>
    <w:rsid w:val="21D82DEC"/>
    <w:rsid w:val="21D9155D"/>
    <w:rsid w:val="21DB2BCC"/>
    <w:rsid w:val="21F11323"/>
    <w:rsid w:val="22244D06"/>
    <w:rsid w:val="222744E9"/>
    <w:rsid w:val="22317971"/>
    <w:rsid w:val="22411A5B"/>
    <w:rsid w:val="2259782B"/>
    <w:rsid w:val="225D0CFC"/>
    <w:rsid w:val="226343AC"/>
    <w:rsid w:val="226715E5"/>
    <w:rsid w:val="226E2973"/>
    <w:rsid w:val="22737F8A"/>
    <w:rsid w:val="227B0BEC"/>
    <w:rsid w:val="227C6712"/>
    <w:rsid w:val="22944C8D"/>
    <w:rsid w:val="229C54DE"/>
    <w:rsid w:val="229E48DB"/>
    <w:rsid w:val="22A706A0"/>
    <w:rsid w:val="22AF4D3A"/>
    <w:rsid w:val="22B61C24"/>
    <w:rsid w:val="22BE4F7D"/>
    <w:rsid w:val="22C715EE"/>
    <w:rsid w:val="22EE13BE"/>
    <w:rsid w:val="230C3F3A"/>
    <w:rsid w:val="23111551"/>
    <w:rsid w:val="23151041"/>
    <w:rsid w:val="231F3C6E"/>
    <w:rsid w:val="233568EA"/>
    <w:rsid w:val="233A2855"/>
    <w:rsid w:val="235002CB"/>
    <w:rsid w:val="2355143D"/>
    <w:rsid w:val="236E24FF"/>
    <w:rsid w:val="23757D31"/>
    <w:rsid w:val="237A63C1"/>
    <w:rsid w:val="237B69CA"/>
    <w:rsid w:val="238241FC"/>
    <w:rsid w:val="23853784"/>
    <w:rsid w:val="23952182"/>
    <w:rsid w:val="239B1B8D"/>
    <w:rsid w:val="23A405F2"/>
    <w:rsid w:val="23A979DB"/>
    <w:rsid w:val="23AA4C5B"/>
    <w:rsid w:val="23C72AFA"/>
    <w:rsid w:val="23D22A8E"/>
    <w:rsid w:val="23D356CB"/>
    <w:rsid w:val="23D507D0"/>
    <w:rsid w:val="23D77EE2"/>
    <w:rsid w:val="23E21893"/>
    <w:rsid w:val="23EB3B50"/>
    <w:rsid w:val="23F26A01"/>
    <w:rsid w:val="23FB6C61"/>
    <w:rsid w:val="24134E54"/>
    <w:rsid w:val="243105F8"/>
    <w:rsid w:val="244119C2"/>
    <w:rsid w:val="24567454"/>
    <w:rsid w:val="24594F5D"/>
    <w:rsid w:val="246833F2"/>
    <w:rsid w:val="247071FD"/>
    <w:rsid w:val="24724271"/>
    <w:rsid w:val="247973AD"/>
    <w:rsid w:val="247E2C16"/>
    <w:rsid w:val="248610CE"/>
    <w:rsid w:val="24920D56"/>
    <w:rsid w:val="24A27678"/>
    <w:rsid w:val="24AC7EDC"/>
    <w:rsid w:val="24C543A1"/>
    <w:rsid w:val="24C94C99"/>
    <w:rsid w:val="24CA7C09"/>
    <w:rsid w:val="24CD76F9"/>
    <w:rsid w:val="24D82326"/>
    <w:rsid w:val="24E0742D"/>
    <w:rsid w:val="24E24F53"/>
    <w:rsid w:val="24E54A43"/>
    <w:rsid w:val="24E862E1"/>
    <w:rsid w:val="24EC7CAF"/>
    <w:rsid w:val="24EF7670"/>
    <w:rsid w:val="24F609FE"/>
    <w:rsid w:val="251360F7"/>
    <w:rsid w:val="251801BC"/>
    <w:rsid w:val="252E1F46"/>
    <w:rsid w:val="252E4DDD"/>
    <w:rsid w:val="25396B3D"/>
    <w:rsid w:val="254E0187"/>
    <w:rsid w:val="25585215"/>
    <w:rsid w:val="256604EA"/>
    <w:rsid w:val="256736AA"/>
    <w:rsid w:val="25790FC7"/>
    <w:rsid w:val="2581450C"/>
    <w:rsid w:val="25891CCB"/>
    <w:rsid w:val="25907921"/>
    <w:rsid w:val="2592728B"/>
    <w:rsid w:val="259341C4"/>
    <w:rsid w:val="25936B7F"/>
    <w:rsid w:val="25983863"/>
    <w:rsid w:val="25A45442"/>
    <w:rsid w:val="25A641D2"/>
    <w:rsid w:val="25A6612C"/>
    <w:rsid w:val="25B33D5A"/>
    <w:rsid w:val="25B40CC5"/>
    <w:rsid w:val="25BC57A4"/>
    <w:rsid w:val="25BD32CA"/>
    <w:rsid w:val="25BF4327"/>
    <w:rsid w:val="25CB59E7"/>
    <w:rsid w:val="25D52D09"/>
    <w:rsid w:val="25DF12E0"/>
    <w:rsid w:val="25E44CFA"/>
    <w:rsid w:val="25EC4EC1"/>
    <w:rsid w:val="25F05DEA"/>
    <w:rsid w:val="25FC3DF2"/>
    <w:rsid w:val="26063C58"/>
    <w:rsid w:val="260D755A"/>
    <w:rsid w:val="261942BC"/>
    <w:rsid w:val="261E3D9D"/>
    <w:rsid w:val="262670C1"/>
    <w:rsid w:val="26395046"/>
    <w:rsid w:val="2646191E"/>
    <w:rsid w:val="264834DB"/>
    <w:rsid w:val="264B2FCC"/>
    <w:rsid w:val="264F6618"/>
    <w:rsid w:val="26513782"/>
    <w:rsid w:val="265160ED"/>
    <w:rsid w:val="26541E80"/>
    <w:rsid w:val="265A320F"/>
    <w:rsid w:val="265A4FBD"/>
    <w:rsid w:val="265C0D35"/>
    <w:rsid w:val="26606A77"/>
    <w:rsid w:val="266F0A68"/>
    <w:rsid w:val="267C13D7"/>
    <w:rsid w:val="268A58A2"/>
    <w:rsid w:val="268C786C"/>
    <w:rsid w:val="269B185D"/>
    <w:rsid w:val="269D56F8"/>
    <w:rsid w:val="26A1499A"/>
    <w:rsid w:val="26A30712"/>
    <w:rsid w:val="26B81BB6"/>
    <w:rsid w:val="26C8461C"/>
    <w:rsid w:val="26CB1A16"/>
    <w:rsid w:val="26E01966"/>
    <w:rsid w:val="26E07FCC"/>
    <w:rsid w:val="26E33204"/>
    <w:rsid w:val="26EB12EE"/>
    <w:rsid w:val="26EE58EC"/>
    <w:rsid w:val="27003DB6"/>
    <w:rsid w:val="270F3FF9"/>
    <w:rsid w:val="27260EB5"/>
    <w:rsid w:val="272C4BAB"/>
    <w:rsid w:val="275A3400"/>
    <w:rsid w:val="275E666E"/>
    <w:rsid w:val="276500BD"/>
    <w:rsid w:val="276904F4"/>
    <w:rsid w:val="2769195B"/>
    <w:rsid w:val="27750300"/>
    <w:rsid w:val="27826579"/>
    <w:rsid w:val="27871DE1"/>
    <w:rsid w:val="27A9599F"/>
    <w:rsid w:val="27B70919"/>
    <w:rsid w:val="27C941A8"/>
    <w:rsid w:val="27D47536"/>
    <w:rsid w:val="27D8263D"/>
    <w:rsid w:val="27DC0EF4"/>
    <w:rsid w:val="27E72880"/>
    <w:rsid w:val="27EE1E60"/>
    <w:rsid w:val="27FB28FA"/>
    <w:rsid w:val="282656A7"/>
    <w:rsid w:val="282F7350"/>
    <w:rsid w:val="283755B5"/>
    <w:rsid w:val="28447CD2"/>
    <w:rsid w:val="2846657A"/>
    <w:rsid w:val="28491774"/>
    <w:rsid w:val="287A1946"/>
    <w:rsid w:val="28874D91"/>
    <w:rsid w:val="2889352D"/>
    <w:rsid w:val="289742A6"/>
    <w:rsid w:val="28A16ED3"/>
    <w:rsid w:val="28A349F9"/>
    <w:rsid w:val="28A644E9"/>
    <w:rsid w:val="28BE5CD7"/>
    <w:rsid w:val="28C36E49"/>
    <w:rsid w:val="28C80903"/>
    <w:rsid w:val="28C826B1"/>
    <w:rsid w:val="28CF57EE"/>
    <w:rsid w:val="28DB0637"/>
    <w:rsid w:val="28EF5E90"/>
    <w:rsid w:val="28F31D82"/>
    <w:rsid w:val="290436AB"/>
    <w:rsid w:val="290A2CCA"/>
    <w:rsid w:val="290A4A78"/>
    <w:rsid w:val="290F208E"/>
    <w:rsid w:val="29162311"/>
    <w:rsid w:val="29215A4F"/>
    <w:rsid w:val="29233D8C"/>
    <w:rsid w:val="2927387C"/>
    <w:rsid w:val="29455AB0"/>
    <w:rsid w:val="29693E94"/>
    <w:rsid w:val="29695C42"/>
    <w:rsid w:val="296B0062"/>
    <w:rsid w:val="299D769A"/>
    <w:rsid w:val="29B35110"/>
    <w:rsid w:val="29B570DA"/>
    <w:rsid w:val="29C25353"/>
    <w:rsid w:val="29C410CB"/>
    <w:rsid w:val="29CE5AA6"/>
    <w:rsid w:val="29D86924"/>
    <w:rsid w:val="29EC0622"/>
    <w:rsid w:val="29F6324E"/>
    <w:rsid w:val="29FE0AEE"/>
    <w:rsid w:val="2A256813"/>
    <w:rsid w:val="2A2E0C3A"/>
    <w:rsid w:val="2A3224D8"/>
    <w:rsid w:val="2A36306A"/>
    <w:rsid w:val="2A385615"/>
    <w:rsid w:val="2A404C3A"/>
    <w:rsid w:val="2A420242"/>
    <w:rsid w:val="2A461AE0"/>
    <w:rsid w:val="2A56543D"/>
    <w:rsid w:val="2A5A37DD"/>
    <w:rsid w:val="2A5D7C8E"/>
    <w:rsid w:val="2A5E32CD"/>
    <w:rsid w:val="2A614B6C"/>
    <w:rsid w:val="2A6D1762"/>
    <w:rsid w:val="2A727707"/>
    <w:rsid w:val="2A832D34"/>
    <w:rsid w:val="2A8E6B6D"/>
    <w:rsid w:val="2A9417BC"/>
    <w:rsid w:val="2AC7418D"/>
    <w:rsid w:val="2AC86999"/>
    <w:rsid w:val="2ACD477C"/>
    <w:rsid w:val="2ACE1912"/>
    <w:rsid w:val="2AD423EA"/>
    <w:rsid w:val="2AD96596"/>
    <w:rsid w:val="2AE53D3C"/>
    <w:rsid w:val="2AED0DF0"/>
    <w:rsid w:val="2B163BA8"/>
    <w:rsid w:val="2B165956"/>
    <w:rsid w:val="2B2B1391"/>
    <w:rsid w:val="2B2D7144"/>
    <w:rsid w:val="2B3E30FF"/>
    <w:rsid w:val="2B3E6C5B"/>
    <w:rsid w:val="2B51698E"/>
    <w:rsid w:val="2B547E8A"/>
    <w:rsid w:val="2B5E72FD"/>
    <w:rsid w:val="2B611DCA"/>
    <w:rsid w:val="2B6C37C8"/>
    <w:rsid w:val="2B77522F"/>
    <w:rsid w:val="2B847135"/>
    <w:rsid w:val="2B8925CC"/>
    <w:rsid w:val="2B8F395A"/>
    <w:rsid w:val="2B8F5708"/>
    <w:rsid w:val="2B97683D"/>
    <w:rsid w:val="2B9D7E25"/>
    <w:rsid w:val="2BA411B4"/>
    <w:rsid w:val="2BA92402"/>
    <w:rsid w:val="2BAC3761"/>
    <w:rsid w:val="2BAE315D"/>
    <w:rsid w:val="2BB76C46"/>
    <w:rsid w:val="2BB77B14"/>
    <w:rsid w:val="2BCC6CB1"/>
    <w:rsid w:val="2BED66EB"/>
    <w:rsid w:val="2BEF7F55"/>
    <w:rsid w:val="2C0D52FB"/>
    <w:rsid w:val="2C175D66"/>
    <w:rsid w:val="2C1935DC"/>
    <w:rsid w:val="2C2B5431"/>
    <w:rsid w:val="2C35005E"/>
    <w:rsid w:val="2C444745"/>
    <w:rsid w:val="2C4D52E7"/>
    <w:rsid w:val="2C610E53"/>
    <w:rsid w:val="2C6F28B5"/>
    <w:rsid w:val="2C7A0167"/>
    <w:rsid w:val="2C7C5C8D"/>
    <w:rsid w:val="2C8467E1"/>
    <w:rsid w:val="2C871188"/>
    <w:rsid w:val="2C973670"/>
    <w:rsid w:val="2C9C00DD"/>
    <w:rsid w:val="2C9C1E8B"/>
    <w:rsid w:val="2C9C632F"/>
    <w:rsid w:val="2CA60F5C"/>
    <w:rsid w:val="2CB2345D"/>
    <w:rsid w:val="2CC11743"/>
    <w:rsid w:val="2CC62A37"/>
    <w:rsid w:val="2CD0422B"/>
    <w:rsid w:val="2CD051D7"/>
    <w:rsid w:val="2CDA29B3"/>
    <w:rsid w:val="2CF03F85"/>
    <w:rsid w:val="2CF85450"/>
    <w:rsid w:val="2CFC6DCE"/>
    <w:rsid w:val="2D0D0FDB"/>
    <w:rsid w:val="2D0D798F"/>
    <w:rsid w:val="2D122998"/>
    <w:rsid w:val="2D247375"/>
    <w:rsid w:val="2D3D2140"/>
    <w:rsid w:val="2D460049"/>
    <w:rsid w:val="2D502C75"/>
    <w:rsid w:val="2D510EC7"/>
    <w:rsid w:val="2D5C786C"/>
    <w:rsid w:val="2D5E5392"/>
    <w:rsid w:val="2D6023B1"/>
    <w:rsid w:val="2D6612A0"/>
    <w:rsid w:val="2D67326C"/>
    <w:rsid w:val="2D6D1A79"/>
    <w:rsid w:val="2D806208"/>
    <w:rsid w:val="2D8D7A26"/>
    <w:rsid w:val="2D962D7E"/>
    <w:rsid w:val="2D9D35E3"/>
    <w:rsid w:val="2DAA00FF"/>
    <w:rsid w:val="2DAA05D8"/>
    <w:rsid w:val="2DAB617C"/>
    <w:rsid w:val="2DAF5BEE"/>
    <w:rsid w:val="2DB061CE"/>
    <w:rsid w:val="2DC0604D"/>
    <w:rsid w:val="2DC222E6"/>
    <w:rsid w:val="2DD461B9"/>
    <w:rsid w:val="2DE55AB4"/>
    <w:rsid w:val="2DE57862"/>
    <w:rsid w:val="2DEE4968"/>
    <w:rsid w:val="2DEF06E0"/>
    <w:rsid w:val="2DFD54FA"/>
    <w:rsid w:val="2E013AA9"/>
    <w:rsid w:val="2E100D83"/>
    <w:rsid w:val="2E19750B"/>
    <w:rsid w:val="2E1B14D5"/>
    <w:rsid w:val="2E24482E"/>
    <w:rsid w:val="2E2D29B5"/>
    <w:rsid w:val="2E3031D3"/>
    <w:rsid w:val="2E3C1B78"/>
    <w:rsid w:val="2E6D07AC"/>
    <w:rsid w:val="2E804559"/>
    <w:rsid w:val="2E862DF3"/>
    <w:rsid w:val="2E905A1F"/>
    <w:rsid w:val="2EB07E70"/>
    <w:rsid w:val="2EB7753B"/>
    <w:rsid w:val="2EC50044"/>
    <w:rsid w:val="2ED40002"/>
    <w:rsid w:val="2EDA3250"/>
    <w:rsid w:val="2EEB4CA3"/>
    <w:rsid w:val="2EEF6BEA"/>
    <w:rsid w:val="2EF266DA"/>
    <w:rsid w:val="2EFE507F"/>
    <w:rsid w:val="2F03782B"/>
    <w:rsid w:val="2F104DB2"/>
    <w:rsid w:val="2F1F2A9B"/>
    <w:rsid w:val="2F29341B"/>
    <w:rsid w:val="2F2C21E7"/>
    <w:rsid w:val="2F2D326E"/>
    <w:rsid w:val="2F2E227C"/>
    <w:rsid w:val="2F38460E"/>
    <w:rsid w:val="2F3A598B"/>
    <w:rsid w:val="2F3B1E2F"/>
    <w:rsid w:val="2F544C9F"/>
    <w:rsid w:val="2F57478F"/>
    <w:rsid w:val="2F597D5E"/>
    <w:rsid w:val="2F5B602D"/>
    <w:rsid w:val="2F6F7D2B"/>
    <w:rsid w:val="2F866E22"/>
    <w:rsid w:val="2FA133CD"/>
    <w:rsid w:val="2FA554FB"/>
    <w:rsid w:val="2FBE65BC"/>
    <w:rsid w:val="2FC02334"/>
    <w:rsid w:val="2FC516F9"/>
    <w:rsid w:val="2FD45DE0"/>
    <w:rsid w:val="2FEA115F"/>
    <w:rsid w:val="2FF8102E"/>
    <w:rsid w:val="30204B81"/>
    <w:rsid w:val="303643A5"/>
    <w:rsid w:val="30453A83"/>
    <w:rsid w:val="30466CDD"/>
    <w:rsid w:val="304E16EE"/>
    <w:rsid w:val="307D0225"/>
    <w:rsid w:val="309335A5"/>
    <w:rsid w:val="30A77050"/>
    <w:rsid w:val="30B005FB"/>
    <w:rsid w:val="30B05F05"/>
    <w:rsid w:val="30B219AF"/>
    <w:rsid w:val="30C95219"/>
    <w:rsid w:val="30EE1123"/>
    <w:rsid w:val="30FF6E8C"/>
    <w:rsid w:val="310149B3"/>
    <w:rsid w:val="310271F1"/>
    <w:rsid w:val="3103697D"/>
    <w:rsid w:val="3106021B"/>
    <w:rsid w:val="310E70CF"/>
    <w:rsid w:val="31124E12"/>
    <w:rsid w:val="31174C54"/>
    <w:rsid w:val="31185880"/>
    <w:rsid w:val="311C17EC"/>
    <w:rsid w:val="313001A5"/>
    <w:rsid w:val="313F3D58"/>
    <w:rsid w:val="3140194F"/>
    <w:rsid w:val="31462468"/>
    <w:rsid w:val="314A4E92"/>
    <w:rsid w:val="314D333A"/>
    <w:rsid w:val="315E0057"/>
    <w:rsid w:val="31605B7D"/>
    <w:rsid w:val="316867E0"/>
    <w:rsid w:val="317C672F"/>
    <w:rsid w:val="318178A1"/>
    <w:rsid w:val="318B24CE"/>
    <w:rsid w:val="318D4498"/>
    <w:rsid w:val="31903F88"/>
    <w:rsid w:val="319229B3"/>
    <w:rsid w:val="319475D5"/>
    <w:rsid w:val="319E0453"/>
    <w:rsid w:val="31A4073E"/>
    <w:rsid w:val="31AD4B3A"/>
    <w:rsid w:val="31B1462B"/>
    <w:rsid w:val="31B5579D"/>
    <w:rsid w:val="31C10FE7"/>
    <w:rsid w:val="31C679AA"/>
    <w:rsid w:val="31C75BFC"/>
    <w:rsid w:val="31C77238"/>
    <w:rsid w:val="31CA56EC"/>
    <w:rsid w:val="31CD0D39"/>
    <w:rsid w:val="31D12337"/>
    <w:rsid w:val="31D16A7B"/>
    <w:rsid w:val="31EC7411"/>
    <w:rsid w:val="31F91B2E"/>
    <w:rsid w:val="3200110E"/>
    <w:rsid w:val="320E73B3"/>
    <w:rsid w:val="32180EE5"/>
    <w:rsid w:val="321E1594"/>
    <w:rsid w:val="321E77E6"/>
    <w:rsid w:val="3229261C"/>
    <w:rsid w:val="323B6839"/>
    <w:rsid w:val="323D1A1A"/>
    <w:rsid w:val="32472899"/>
    <w:rsid w:val="324D5D0A"/>
    <w:rsid w:val="32501AD8"/>
    <w:rsid w:val="32620E09"/>
    <w:rsid w:val="32641B09"/>
    <w:rsid w:val="3265726E"/>
    <w:rsid w:val="326F1DF0"/>
    <w:rsid w:val="32713DBA"/>
    <w:rsid w:val="32803FFD"/>
    <w:rsid w:val="3281224F"/>
    <w:rsid w:val="32821B23"/>
    <w:rsid w:val="32851613"/>
    <w:rsid w:val="328C0BF4"/>
    <w:rsid w:val="32A47CEB"/>
    <w:rsid w:val="32B118D1"/>
    <w:rsid w:val="32CD3FB2"/>
    <w:rsid w:val="32DF6F75"/>
    <w:rsid w:val="32EC50D1"/>
    <w:rsid w:val="32FE389F"/>
    <w:rsid w:val="330864CC"/>
    <w:rsid w:val="33105381"/>
    <w:rsid w:val="3328076C"/>
    <w:rsid w:val="332E3A59"/>
    <w:rsid w:val="33340711"/>
    <w:rsid w:val="33356B95"/>
    <w:rsid w:val="333F5C66"/>
    <w:rsid w:val="334212B2"/>
    <w:rsid w:val="33484B1B"/>
    <w:rsid w:val="335158D1"/>
    <w:rsid w:val="33526977"/>
    <w:rsid w:val="335334BF"/>
    <w:rsid w:val="33590AD6"/>
    <w:rsid w:val="33664353"/>
    <w:rsid w:val="337B4EF0"/>
    <w:rsid w:val="33885320"/>
    <w:rsid w:val="338B0EAB"/>
    <w:rsid w:val="339F2689"/>
    <w:rsid w:val="33C00B55"/>
    <w:rsid w:val="33C148CD"/>
    <w:rsid w:val="33C91E62"/>
    <w:rsid w:val="33D068BE"/>
    <w:rsid w:val="33D95773"/>
    <w:rsid w:val="33DC1707"/>
    <w:rsid w:val="33E04D53"/>
    <w:rsid w:val="33E41191"/>
    <w:rsid w:val="33F05E80"/>
    <w:rsid w:val="33F16F60"/>
    <w:rsid w:val="33FA3E2F"/>
    <w:rsid w:val="33FE167D"/>
    <w:rsid w:val="34050E60"/>
    <w:rsid w:val="341047F2"/>
    <w:rsid w:val="341755D7"/>
    <w:rsid w:val="34180991"/>
    <w:rsid w:val="3434509F"/>
    <w:rsid w:val="345614B9"/>
    <w:rsid w:val="3456268C"/>
    <w:rsid w:val="34586FDF"/>
    <w:rsid w:val="349124F1"/>
    <w:rsid w:val="34963B37"/>
    <w:rsid w:val="349873DC"/>
    <w:rsid w:val="34B955A4"/>
    <w:rsid w:val="34BD6E42"/>
    <w:rsid w:val="34BF705E"/>
    <w:rsid w:val="34CC3529"/>
    <w:rsid w:val="34CE2DFE"/>
    <w:rsid w:val="34D66156"/>
    <w:rsid w:val="34EB00B9"/>
    <w:rsid w:val="34F07218"/>
    <w:rsid w:val="34F66E82"/>
    <w:rsid w:val="35132F06"/>
    <w:rsid w:val="352C4AD5"/>
    <w:rsid w:val="35374E47"/>
    <w:rsid w:val="353A1D60"/>
    <w:rsid w:val="353D7F83"/>
    <w:rsid w:val="354122B4"/>
    <w:rsid w:val="35592C01"/>
    <w:rsid w:val="357339A5"/>
    <w:rsid w:val="358955D4"/>
    <w:rsid w:val="35A16B30"/>
    <w:rsid w:val="35AA386B"/>
    <w:rsid w:val="35BE10C4"/>
    <w:rsid w:val="35BE7316"/>
    <w:rsid w:val="35CB558F"/>
    <w:rsid w:val="35DF103A"/>
    <w:rsid w:val="35E11256"/>
    <w:rsid w:val="35E910C3"/>
    <w:rsid w:val="35F1047F"/>
    <w:rsid w:val="36021115"/>
    <w:rsid w:val="36024397"/>
    <w:rsid w:val="36107446"/>
    <w:rsid w:val="36173E76"/>
    <w:rsid w:val="36237179"/>
    <w:rsid w:val="36274EBB"/>
    <w:rsid w:val="362F5DCB"/>
    <w:rsid w:val="36486BE0"/>
    <w:rsid w:val="364C4922"/>
    <w:rsid w:val="3650374D"/>
    <w:rsid w:val="36511F38"/>
    <w:rsid w:val="36515437"/>
    <w:rsid w:val="36550BA7"/>
    <w:rsid w:val="36617CA1"/>
    <w:rsid w:val="366571E2"/>
    <w:rsid w:val="36681030"/>
    <w:rsid w:val="366A005A"/>
    <w:rsid w:val="36806379"/>
    <w:rsid w:val="36914A2B"/>
    <w:rsid w:val="36946BC1"/>
    <w:rsid w:val="36A71B58"/>
    <w:rsid w:val="36AC3612"/>
    <w:rsid w:val="36B177E3"/>
    <w:rsid w:val="36BB1AA7"/>
    <w:rsid w:val="36C7044C"/>
    <w:rsid w:val="36D641EB"/>
    <w:rsid w:val="36DE12F2"/>
    <w:rsid w:val="36E0506A"/>
    <w:rsid w:val="36E7464B"/>
    <w:rsid w:val="36EA7C97"/>
    <w:rsid w:val="36EF34FF"/>
    <w:rsid w:val="36FB7F50"/>
    <w:rsid w:val="36FC60DD"/>
    <w:rsid w:val="36FE4069"/>
    <w:rsid w:val="3700570C"/>
    <w:rsid w:val="371E0070"/>
    <w:rsid w:val="373830F8"/>
    <w:rsid w:val="37403D5B"/>
    <w:rsid w:val="374B4BD9"/>
    <w:rsid w:val="375C67C8"/>
    <w:rsid w:val="375D3549"/>
    <w:rsid w:val="377C2FE5"/>
    <w:rsid w:val="378216A1"/>
    <w:rsid w:val="378221C4"/>
    <w:rsid w:val="379540A7"/>
    <w:rsid w:val="379C5435"/>
    <w:rsid w:val="379E73FF"/>
    <w:rsid w:val="37A57C5B"/>
    <w:rsid w:val="37AC319E"/>
    <w:rsid w:val="37AF33BA"/>
    <w:rsid w:val="37BA3B0D"/>
    <w:rsid w:val="37C329C2"/>
    <w:rsid w:val="37D03331"/>
    <w:rsid w:val="37DC7F27"/>
    <w:rsid w:val="37E172EC"/>
    <w:rsid w:val="37EC6B41"/>
    <w:rsid w:val="37F52D97"/>
    <w:rsid w:val="37F9131A"/>
    <w:rsid w:val="380309E0"/>
    <w:rsid w:val="38060B00"/>
    <w:rsid w:val="38084878"/>
    <w:rsid w:val="380E117F"/>
    <w:rsid w:val="38107BD1"/>
    <w:rsid w:val="38110BF4"/>
    <w:rsid w:val="38120940"/>
    <w:rsid w:val="38162165"/>
    <w:rsid w:val="382411BC"/>
    <w:rsid w:val="38281E17"/>
    <w:rsid w:val="383B4C4E"/>
    <w:rsid w:val="38482EC7"/>
    <w:rsid w:val="384D6414"/>
    <w:rsid w:val="38555672"/>
    <w:rsid w:val="385B0683"/>
    <w:rsid w:val="38876DFE"/>
    <w:rsid w:val="38C12F37"/>
    <w:rsid w:val="38C33A6C"/>
    <w:rsid w:val="38CF35E8"/>
    <w:rsid w:val="38DF5E2F"/>
    <w:rsid w:val="38E23201"/>
    <w:rsid w:val="38E70932"/>
    <w:rsid w:val="38F10011"/>
    <w:rsid w:val="38F92413"/>
    <w:rsid w:val="38FB618B"/>
    <w:rsid w:val="39063E34"/>
    <w:rsid w:val="390A052E"/>
    <w:rsid w:val="391D6D84"/>
    <w:rsid w:val="391F6086"/>
    <w:rsid w:val="3922196A"/>
    <w:rsid w:val="39495149"/>
    <w:rsid w:val="394E09B1"/>
    <w:rsid w:val="395D6E46"/>
    <w:rsid w:val="39665CFB"/>
    <w:rsid w:val="39934616"/>
    <w:rsid w:val="399C796E"/>
    <w:rsid w:val="399E3FCB"/>
    <w:rsid w:val="399F2FBB"/>
    <w:rsid w:val="39A64349"/>
    <w:rsid w:val="39AE2859"/>
    <w:rsid w:val="39BA729B"/>
    <w:rsid w:val="39FA28E7"/>
    <w:rsid w:val="3A0E1EEE"/>
    <w:rsid w:val="3A281202"/>
    <w:rsid w:val="3A32374C"/>
    <w:rsid w:val="3A3758E9"/>
    <w:rsid w:val="3A4A1178"/>
    <w:rsid w:val="3A4B3142"/>
    <w:rsid w:val="3A5A02B2"/>
    <w:rsid w:val="3A5C2F0F"/>
    <w:rsid w:val="3A666FBF"/>
    <w:rsid w:val="3A6D4E67"/>
    <w:rsid w:val="3A7C4F4B"/>
    <w:rsid w:val="3A8078D6"/>
    <w:rsid w:val="3A916DA7"/>
    <w:rsid w:val="3A944D63"/>
    <w:rsid w:val="3A9633CE"/>
    <w:rsid w:val="3A9B7C26"/>
    <w:rsid w:val="3A9C574C"/>
    <w:rsid w:val="3AA50AA5"/>
    <w:rsid w:val="3AB72586"/>
    <w:rsid w:val="3ABB2076"/>
    <w:rsid w:val="3AC073D9"/>
    <w:rsid w:val="3AD3544A"/>
    <w:rsid w:val="3AD81C4B"/>
    <w:rsid w:val="3ADE7B13"/>
    <w:rsid w:val="3AE503F6"/>
    <w:rsid w:val="3AEC222F"/>
    <w:rsid w:val="3AFB6916"/>
    <w:rsid w:val="3B01296E"/>
    <w:rsid w:val="3B056063"/>
    <w:rsid w:val="3B057795"/>
    <w:rsid w:val="3B082DE1"/>
    <w:rsid w:val="3B3360B0"/>
    <w:rsid w:val="3B365BA1"/>
    <w:rsid w:val="3B3B2158"/>
    <w:rsid w:val="3B455DE4"/>
    <w:rsid w:val="3B47390A"/>
    <w:rsid w:val="3B4E6A46"/>
    <w:rsid w:val="3B5377F0"/>
    <w:rsid w:val="3B5633EA"/>
    <w:rsid w:val="3B5A33D3"/>
    <w:rsid w:val="3B6334A6"/>
    <w:rsid w:val="3B7A3CDF"/>
    <w:rsid w:val="3B893F22"/>
    <w:rsid w:val="3B8B1A48"/>
    <w:rsid w:val="3B8D3F07"/>
    <w:rsid w:val="3BAE3989"/>
    <w:rsid w:val="3BAE5737"/>
    <w:rsid w:val="3BB371F1"/>
    <w:rsid w:val="3BB55034"/>
    <w:rsid w:val="3BBB31AA"/>
    <w:rsid w:val="3BC61774"/>
    <w:rsid w:val="3BE91345"/>
    <w:rsid w:val="3BEB0739"/>
    <w:rsid w:val="3BED2703"/>
    <w:rsid w:val="3BF53366"/>
    <w:rsid w:val="3C0637C5"/>
    <w:rsid w:val="3C06754D"/>
    <w:rsid w:val="3C102441"/>
    <w:rsid w:val="3C121508"/>
    <w:rsid w:val="3C125CC6"/>
    <w:rsid w:val="3C260C06"/>
    <w:rsid w:val="3C2645A0"/>
    <w:rsid w:val="3C285C52"/>
    <w:rsid w:val="3C320116"/>
    <w:rsid w:val="3C3D160D"/>
    <w:rsid w:val="3C485B8B"/>
    <w:rsid w:val="3C544FE0"/>
    <w:rsid w:val="3C5E53AF"/>
    <w:rsid w:val="3C774C8E"/>
    <w:rsid w:val="3C855A1F"/>
    <w:rsid w:val="3C8D359E"/>
    <w:rsid w:val="3C9037B0"/>
    <w:rsid w:val="3CCA034E"/>
    <w:rsid w:val="3CD00EA6"/>
    <w:rsid w:val="3CEC69E0"/>
    <w:rsid w:val="3CF67395"/>
    <w:rsid w:val="3CFD4BC8"/>
    <w:rsid w:val="3D0311E8"/>
    <w:rsid w:val="3D083943"/>
    <w:rsid w:val="3D1B504E"/>
    <w:rsid w:val="3D1D2B74"/>
    <w:rsid w:val="3D1D6575"/>
    <w:rsid w:val="3D2C725B"/>
    <w:rsid w:val="3D321CEB"/>
    <w:rsid w:val="3D412A36"/>
    <w:rsid w:val="3D416CA3"/>
    <w:rsid w:val="3D4A76E1"/>
    <w:rsid w:val="3D503799"/>
    <w:rsid w:val="3D6461DB"/>
    <w:rsid w:val="3D650248"/>
    <w:rsid w:val="3D87300F"/>
    <w:rsid w:val="3D8C06E7"/>
    <w:rsid w:val="3D8E5820"/>
    <w:rsid w:val="3DA2751D"/>
    <w:rsid w:val="3DAE1A1E"/>
    <w:rsid w:val="3DAE4A4B"/>
    <w:rsid w:val="3DB03A43"/>
    <w:rsid w:val="3DB334D8"/>
    <w:rsid w:val="3DBD1D29"/>
    <w:rsid w:val="3DE96EFA"/>
    <w:rsid w:val="3DF22091"/>
    <w:rsid w:val="3DF338D5"/>
    <w:rsid w:val="3DFB1CEF"/>
    <w:rsid w:val="3E100FF9"/>
    <w:rsid w:val="3E126451"/>
    <w:rsid w:val="3E1E24A7"/>
    <w:rsid w:val="3E2B306F"/>
    <w:rsid w:val="3E433514"/>
    <w:rsid w:val="3E442382"/>
    <w:rsid w:val="3E481E73"/>
    <w:rsid w:val="3E604316"/>
    <w:rsid w:val="3E646581"/>
    <w:rsid w:val="3E671FBD"/>
    <w:rsid w:val="3E704F26"/>
    <w:rsid w:val="3E7A2248"/>
    <w:rsid w:val="3E952BDE"/>
    <w:rsid w:val="3E9B71E2"/>
    <w:rsid w:val="3EA122D9"/>
    <w:rsid w:val="3EA93855"/>
    <w:rsid w:val="3EB00BBC"/>
    <w:rsid w:val="3EBC016B"/>
    <w:rsid w:val="3ECC39BE"/>
    <w:rsid w:val="3EDC080D"/>
    <w:rsid w:val="3EDE27D7"/>
    <w:rsid w:val="3EDE3AED"/>
    <w:rsid w:val="3EE11ADE"/>
    <w:rsid w:val="3EE53B65"/>
    <w:rsid w:val="3EF773F5"/>
    <w:rsid w:val="3EFB6EE5"/>
    <w:rsid w:val="3F0C10F2"/>
    <w:rsid w:val="3F0F7CD3"/>
    <w:rsid w:val="3F141D55"/>
    <w:rsid w:val="3F1E7077"/>
    <w:rsid w:val="3F21359D"/>
    <w:rsid w:val="3F351D1B"/>
    <w:rsid w:val="3F3E3276"/>
    <w:rsid w:val="3F400D9C"/>
    <w:rsid w:val="3F414C6D"/>
    <w:rsid w:val="3F4C4D2B"/>
    <w:rsid w:val="3F680DF6"/>
    <w:rsid w:val="3F75693E"/>
    <w:rsid w:val="3F785DA3"/>
    <w:rsid w:val="3F7A2500"/>
    <w:rsid w:val="3F7A3AC2"/>
    <w:rsid w:val="3F7E18C4"/>
    <w:rsid w:val="3F7F7B16"/>
    <w:rsid w:val="3F963403"/>
    <w:rsid w:val="3F98405C"/>
    <w:rsid w:val="3F9D1D4A"/>
    <w:rsid w:val="3F9D61EE"/>
    <w:rsid w:val="3F9E5AC2"/>
    <w:rsid w:val="3FAA090B"/>
    <w:rsid w:val="3FAE03FB"/>
    <w:rsid w:val="3FAF6A7A"/>
    <w:rsid w:val="3FBE2E6A"/>
    <w:rsid w:val="3FC1012F"/>
    <w:rsid w:val="3FC419CD"/>
    <w:rsid w:val="3FC46242"/>
    <w:rsid w:val="3FD37E62"/>
    <w:rsid w:val="3FDF2778"/>
    <w:rsid w:val="3FE74EF5"/>
    <w:rsid w:val="3FF41FFC"/>
    <w:rsid w:val="400272F7"/>
    <w:rsid w:val="401144E6"/>
    <w:rsid w:val="402B55A8"/>
    <w:rsid w:val="402F4D31"/>
    <w:rsid w:val="4036334F"/>
    <w:rsid w:val="40370E07"/>
    <w:rsid w:val="4038148A"/>
    <w:rsid w:val="40404565"/>
    <w:rsid w:val="40464190"/>
    <w:rsid w:val="404B17A6"/>
    <w:rsid w:val="40547333"/>
    <w:rsid w:val="40586A15"/>
    <w:rsid w:val="406242B1"/>
    <w:rsid w:val="40776A3F"/>
    <w:rsid w:val="40936F0B"/>
    <w:rsid w:val="409F1AF2"/>
    <w:rsid w:val="40A13ABC"/>
    <w:rsid w:val="40A26688"/>
    <w:rsid w:val="40B818E4"/>
    <w:rsid w:val="40C477AB"/>
    <w:rsid w:val="40E55B37"/>
    <w:rsid w:val="40EC2905"/>
    <w:rsid w:val="40F005A0"/>
    <w:rsid w:val="40FB7670"/>
    <w:rsid w:val="4105229D"/>
    <w:rsid w:val="411B386E"/>
    <w:rsid w:val="411C3016"/>
    <w:rsid w:val="41200E85"/>
    <w:rsid w:val="412070D7"/>
    <w:rsid w:val="41226008"/>
    <w:rsid w:val="412E324E"/>
    <w:rsid w:val="413858E6"/>
    <w:rsid w:val="41474664"/>
    <w:rsid w:val="4149052F"/>
    <w:rsid w:val="414F52C6"/>
    <w:rsid w:val="415A11CD"/>
    <w:rsid w:val="415B69EC"/>
    <w:rsid w:val="41605725"/>
    <w:rsid w:val="41621B0E"/>
    <w:rsid w:val="41692B8E"/>
    <w:rsid w:val="417F709C"/>
    <w:rsid w:val="418F7DB9"/>
    <w:rsid w:val="419060EC"/>
    <w:rsid w:val="419E74A4"/>
    <w:rsid w:val="41A5138A"/>
    <w:rsid w:val="41AF2209"/>
    <w:rsid w:val="41AF35D4"/>
    <w:rsid w:val="41B17D2F"/>
    <w:rsid w:val="41C45CB4"/>
    <w:rsid w:val="41C620D0"/>
    <w:rsid w:val="41D37CA5"/>
    <w:rsid w:val="41D535C5"/>
    <w:rsid w:val="41F12821"/>
    <w:rsid w:val="41FF4F3E"/>
    <w:rsid w:val="420460B1"/>
    <w:rsid w:val="42097B6B"/>
    <w:rsid w:val="42116A20"/>
    <w:rsid w:val="42240501"/>
    <w:rsid w:val="42345589"/>
    <w:rsid w:val="423544BC"/>
    <w:rsid w:val="42440BA3"/>
    <w:rsid w:val="425A3F23"/>
    <w:rsid w:val="426C3C56"/>
    <w:rsid w:val="42702CBB"/>
    <w:rsid w:val="42721D88"/>
    <w:rsid w:val="42756FAE"/>
    <w:rsid w:val="428B445B"/>
    <w:rsid w:val="42903DE8"/>
    <w:rsid w:val="4295719A"/>
    <w:rsid w:val="42957651"/>
    <w:rsid w:val="42984A4B"/>
    <w:rsid w:val="42997141"/>
    <w:rsid w:val="429A331F"/>
    <w:rsid w:val="429A43BA"/>
    <w:rsid w:val="42AD499A"/>
    <w:rsid w:val="42B910A8"/>
    <w:rsid w:val="42B9333F"/>
    <w:rsid w:val="42C121F4"/>
    <w:rsid w:val="42C14414"/>
    <w:rsid w:val="42C6116B"/>
    <w:rsid w:val="42C85330"/>
    <w:rsid w:val="42C910A8"/>
    <w:rsid w:val="42CD7E49"/>
    <w:rsid w:val="42D75573"/>
    <w:rsid w:val="42DF08CC"/>
    <w:rsid w:val="42E16738"/>
    <w:rsid w:val="42E5059E"/>
    <w:rsid w:val="42E87780"/>
    <w:rsid w:val="42EA174A"/>
    <w:rsid w:val="42FC3E5F"/>
    <w:rsid w:val="42FF4ACA"/>
    <w:rsid w:val="43086074"/>
    <w:rsid w:val="43193DDE"/>
    <w:rsid w:val="43272248"/>
    <w:rsid w:val="43291B47"/>
    <w:rsid w:val="435968D0"/>
    <w:rsid w:val="435A5694"/>
    <w:rsid w:val="436345E9"/>
    <w:rsid w:val="438374A9"/>
    <w:rsid w:val="43995085"/>
    <w:rsid w:val="43AA712C"/>
    <w:rsid w:val="43AB25BD"/>
    <w:rsid w:val="43B85777"/>
    <w:rsid w:val="43C24475"/>
    <w:rsid w:val="43C2502A"/>
    <w:rsid w:val="43C6387D"/>
    <w:rsid w:val="43D1290A"/>
    <w:rsid w:val="43EF2D90"/>
    <w:rsid w:val="43FA3C0F"/>
    <w:rsid w:val="43FE5275"/>
    <w:rsid w:val="44004F9E"/>
    <w:rsid w:val="44020D16"/>
    <w:rsid w:val="441A7E0D"/>
    <w:rsid w:val="442836FC"/>
    <w:rsid w:val="44315157"/>
    <w:rsid w:val="44316F05"/>
    <w:rsid w:val="443864E5"/>
    <w:rsid w:val="444430DC"/>
    <w:rsid w:val="444529B0"/>
    <w:rsid w:val="444F55DD"/>
    <w:rsid w:val="447B2146"/>
    <w:rsid w:val="447B7530"/>
    <w:rsid w:val="448B4867"/>
    <w:rsid w:val="44A771C7"/>
    <w:rsid w:val="44C47D79"/>
    <w:rsid w:val="44C56F09"/>
    <w:rsid w:val="44D07056"/>
    <w:rsid w:val="44DE5A29"/>
    <w:rsid w:val="44EB5554"/>
    <w:rsid w:val="44FA41EF"/>
    <w:rsid w:val="450A60D4"/>
    <w:rsid w:val="45303661"/>
    <w:rsid w:val="455901D1"/>
    <w:rsid w:val="45627CC8"/>
    <w:rsid w:val="45725A27"/>
    <w:rsid w:val="45765517"/>
    <w:rsid w:val="4582210E"/>
    <w:rsid w:val="458F65D9"/>
    <w:rsid w:val="45961498"/>
    <w:rsid w:val="459E4A6E"/>
    <w:rsid w:val="45A51959"/>
    <w:rsid w:val="45A57038"/>
    <w:rsid w:val="45AF695B"/>
    <w:rsid w:val="45B61DB8"/>
    <w:rsid w:val="45BD3146"/>
    <w:rsid w:val="45C35D3B"/>
    <w:rsid w:val="45D64208"/>
    <w:rsid w:val="45D71D2E"/>
    <w:rsid w:val="45E00BE3"/>
    <w:rsid w:val="45E26547"/>
    <w:rsid w:val="45EA380F"/>
    <w:rsid w:val="45F64A0A"/>
    <w:rsid w:val="45FB5A1D"/>
    <w:rsid w:val="45FB77CB"/>
    <w:rsid w:val="46004DE1"/>
    <w:rsid w:val="460523A0"/>
    <w:rsid w:val="460564AF"/>
    <w:rsid w:val="460F14C8"/>
    <w:rsid w:val="46195EA3"/>
    <w:rsid w:val="46276812"/>
    <w:rsid w:val="462F1155"/>
    <w:rsid w:val="464F467E"/>
    <w:rsid w:val="465B295F"/>
    <w:rsid w:val="466435C2"/>
    <w:rsid w:val="46684511"/>
    <w:rsid w:val="46713F31"/>
    <w:rsid w:val="46753A21"/>
    <w:rsid w:val="4689127A"/>
    <w:rsid w:val="46A766C7"/>
    <w:rsid w:val="46AD2177"/>
    <w:rsid w:val="46AE550E"/>
    <w:rsid w:val="46B8390E"/>
    <w:rsid w:val="46C027C2"/>
    <w:rsid w:val="46C422B2"/>
    <w:rsid w:val="46C6602A"/>
    <w:rsid w:val="46C97C4C"/>
    <w:rsid w:val="46DD15C6"/>
    <w:rsid w:val="46E42674"/>
    <w:rsid w:val="46E62229"/>
    <w:rsid w:val="46E75FA1"/>
    <w:rsid w:val="46E841F3"/>
    <w:rsid w:val="46ED52F0"/>
    <w:rsid w:val="46F5246C"/>
    <w:rsid w:val="471C3E9C"/>
    <w:rsid w:val="472B32F8"/>
    <w:rsid w:val="474B29D4"/>
    <w:rsid w:val="475A2C17"/>
    <w:rsid w:val="475E44B5"/>
    <w:rsid w:val="47616E75"/>
    <w:rsid w:val="47797541"/>
    <w:rsid w:val="4780267D"/>
    <w:rsid w:val="478A7058"/>
    <w:rsid w:val="478F0B12"/>
    <w:rsid w:val="47AB5220"/>
    <w:rsid w:val="47AC4C2B"/>
    <w:rsid w:val="47AF5B80"/>
    <w:rsid w:val="47B66F53"/>
    <w:rsid w:val="47B731F6"/>
    <w:rsid w:val="47C36A0E"/>
    <w:rsid w:val="47E84CDB"/>
    <w:rsid w:val="480C0EF1"/>
    <w:rsid w:val="480C5CBF"/>
    <w:rsid w:val="48142DC6"/>
    <w:rsid w:val="48181948"/>
    <w:rsid w:val="481B05F8"/>
    <w:rsid w:val="481D4BD1"/>
    <w:rsid w:val="48205C0E"/>
    <w:rsid w:val="48280C73"/>
    <w:rsid w:val="482F5E51"/>
    <w:rsid w:val="48390A7E"/>
    <w:rsid w:val="484B7CCB"/>
    <w:rsid w:val="484E1D94"/>
    <w:rsid w:val="484F3DFE"/>
    <w:rsid w:val="485D32A3"/>
    <w:rsid w:val="485D651B"/>
    <w:rsid w:val="486A19DE"/>
    <w:rsid w:val="48B60321"/>
    <w:rsid w:val="48C26CC5"/>
    <w:rsid w:val="48D847C0"/>
    <w:rsid w:val="48DD2A48"/>
    <w:rsid w:val="48DF5182"/>
    <w:rsid w:val="48E153E1"/>
    <w:rsid w:val="48E600BE"/>
    <w:rsid w:val="48EA3B26"/>
    <w:rsid w:val="48F13107"/>
    <w:rsid w:val="48F55088"/>
    <w:rsid w:val="48FA1FBB"/>
    <w:rsid w:val="490948F4"/>
    <w:rsid w:val="49096752"/>
    <w:rsid w:val="49107A31"/>
    <w:rsid w:val="49122AF6"/>
    <w:rsid w:val="49177011"/>
    <w:rsid w:val="49247038"/>
    <w:rsid w:val="49290AF3"/>
    <w:rsid w:val="492928A1"/>
    <w:rsid w:val="492E6109"/>
    <w:rsid w:val="49325BF9"/>
    <w:rsid w:val="49362A12"/>
    <w:rsid w:val="493D00FA"/>
    <w:rsid w:val="49470F79"/>
    <w:rsid w:val="494B0A69"/>
    <w:rsid w:val="495913D8"/>
    <w:rsid w:val="495F2766"/>
    <w:rsid w:val="497003A2"/>
    <w:rsid w:val="49746212"/>
    <w:rsid w:val="4977360C"/>
    <w:rsid w:val="4981092F"/>
    <w:rsid w:val="49836455"/>
    <w:rsid w:val="498521CD"/>
    <w:rsid w:val="49891591"/>
    <w:rsid w:val="4990261A"/>
    <w:rsid w:val="49902920"/>
    <w:rsid w:val="49956188"/>
    <w:rsid w:val="49AA1738"/>
    <w:rsid w:val="49AD34D2"/>
    <w:rsid w:val="49BC1967"/>
    <w:rsid w:val="49CD5922"/>
    <w:rsid w:val="49DA3B9B"/>
    <w:rsid w:val="49EA0282"/>
    <w:rsid w:val="49FB423D"/>
    <w:rsid w:val="4A006B89"/>
    <w:rsid w:val="4A031344"/>
    <w:rsid w:val="4A17094B"/>
    <w:rsid w:val="4A2F6550"/>
    <w:rsid w:val="4A377B59"/>
    <w:rsid w:val="4A431187"/>
    <w:rsid w:val="4A4B6C19"/>
    <w:rsid w:val="4A564335"/>
    <w:rsid w:val="4A6D4A0F"/>
    <w:rsid w:val="4A6F6480"/>
    <w:rsid w:val="4A7C0547"/>
    <w:rsid w:val="4A837AEA"/>
    <w:rsid w:val="4AA444DD"/>
    <w:rsid w:val="4AA51EA6"/>
    <w:rsid w:val="4AAC2782"/>
    <w:rsid w:val="4AB24E19"/>
    <w:rsid w:val="4AB36353"/>
    <w:rsid w:val="4AC24D5B"/>
    <w:rsid w:val="4AC7413B"/>
    <w:rsid w:val="4AC9433B"/>
    <w:rsid w:val="4AD434D7"/>
    <w:rsid w:val="4ADD3943"/>
    <w:rsid w:val="4ADE535C"/>
    <w:rsid w:val="4AEE358C"/>
    <w:rsid w:val="4AF3760A"/>
    <w:rsid w:val="4B013AD5"/>
    <w:rsid w:val="4B08395C"/>
    <w:rsid w:val="4B182BCD"/>
    <w:rsid w:val="4B2902E7"/>
    <w:rsid w:val="4B2A087D"/>
    <w:rsid w:val="4B4B11F4"/>
    <w:rsid w:val="4B533C05"/>
    <w:rsid w:val="4B5F25AA"/>
    <w:rsid w:val="4B616322"/>
    <w:rsid w:val="4B6B0F4E"/>
    <w:rsid w:val="4B7D5824"/>
    <w:rsid w:val="4B8D35BB"/>
    <w:rsid w:val="4B9009B5"/>
    <w:rsid w:val="4BA44460"/>
    <w:rsid w:val="4BA70B3A"/>
    <w:rsid w:val="4BB14A46"/>
    <w:rsid w:val="4BB87F0C"/>
    <w:rsid w:val="4BBF3A6A"/>
    <w:rsid w:val="4BD25472"/>
    <w:rsid w:val="4BD95194"/>
    <w:rsid w:val="4BEE0BE3"/>
    <w:rsid w:val="4BEF1B80"/>
    <w:rsid w:val="4BFD6427"/>
    <w:rsid w:val="4C0669B0"/>
    <w:rsid w:val="4C082C41"/>
    <w:rsid w:val="4C2061DD"/>
    <w:rsid w:val="4C210C29"/>
    <w:rsid w:val="4C283E4B"/>
    <w:rsid w:val="4C35316B"/>
    <w:rsid w:val="4C393276"/>
    <w:rsid w:val="4C4A5008"/>
    <w:rsid w:val="4C4D4AF8"/>
    <w:rsid w:val="4C575977"/>
    <w:rsid w:val="4C5B2783"/>
    <w:rsid w:val="4C675BBA"/>
    <w:rsid w:val="4C7C04B3"/>
    <w:rsid w:val="4C8F46B2"/>
    <w:rsid w:val="4C9F534B"/>
    <w:rsid w:val="4CA706AC"/>
    <w:rsid w:val="4CA87BC5"/>
    <w:rsid w:val="4CC4617F"/>
    <w:rsid w:val="4CDD40CE"/>
    <w:rsid w:val="4CE216E4"/>
    <w:rsid w:val="4CE94821"/>
    <w:rsid w:val="4CEC6287"/>
    <w:rsid w:val="4CF3457D"/>
    <w:rsid w:val="4CFA6A2E"/>
    <w:rsid w:val="4D371A30"/>
    <w:rsid w:val="4D3B0DF4"/>
    <w:rsid w:val="4D3D2DBF"/>
    <w:rsid w:val="4D40361D"/>
    <w:rsid w:val="4D461C73"/>
    <w:rsid w:val="4D4F7A58"/>
    <w:rsid w:val="4D540296"/>
    <w:rsid w:val="4D5F5A1A"/>
    <w:rsid w:val="4D7E7362"/>
    <w:rsid w:val="4D8B23ED"/>
    <w:rsid w:val="4D92171C"/>
    <w:rsid w:val="4DAB7D28"/>
    <w:rsid w:val="4DB12E65"/>
    <w:rsid w:val="4DD74FC1"/>
    <w:rsid w:val="4DE97BC3"/>
    <w:rsid w:val="4DF06083"/>
    <w:rsid w:val="4DF711BF"/>
    <w:rsid w:val="4DFC6B78"/>
    <w:rsid w:val="4E104628"/>
    <w:rsid w:val="4E1718A8"/>
    <w:rsid w:val="4E1823D4"/>
    <w:rsid w:val="4E276617"/>
    <w:rsid w:val="4E2B0E69"/>
    <w:rsid w:val="4E4A5793"/>
    <w:rsid w:val="4E612ADD"/>
    <w:rsid w:val="4E650AE5"/>
    <w:rsid w:val="4E717D31"/>
    <w:rsid w:val="4E830CA5"/>
    <w:rsid w:val="4E834801"/>
    <w:rsid w:val="4E85035F"/>
    <w:rsid w:val="4E9A266C"/>
    <w:rsid w:val="4EA41336"/>
    <w:rsid w:val="4EAD187E"/>
    <w:rsid w:val="4EAD3EE8"/>
    <w:rsid w:val="4EAE1280"/>
    <w:rsid w:val="4EC05A55"/>
    <w:rsid w:val="4EC15329"/>
    <w:rsid w:val="4EC95CE1"/>
    <w:rsid w:val="4ECC264C"/>
    <w:rsid w:val="4ED41501"/>
    <w:rsid w:val="4EDB463D"/>
    <w:rsid w:val="4EDC6045"/>
    <w:rsid w:val="4EE74D90"/>
    <w:rsid w:val="4EEA4880"/>
    <w:rsid w:val="4EED611E"/>
    <w:rsid w:val="4EEE25C2"/>
    <w:rsid w:val="4F035942"/>
    <w:rsid w:val="4F0A0A7E"/>
    <w:rsid w:val="4F162174"/>
    <w:rsid w:val="4F1F09CE"/>
    <w:rsid w:val="4F1F573F"/>
    <w:rsid w:val="4F2627F5"/>
    <w:rsid w:val="4F2D0569"/>
    <w:rsid w:val="4F3501F1"/>
    <w:rsid w:val="4F367C3E"/>
    <w:rsid w:val="4F3C6F7C"/>
    <w:rsid w:val="4F3F4BCC"/>
    <w:rsid w:val="4F460A77"/>
    <w:rsid w:val="4F495A4B"/>
    <w:rsid w:val="4F4A531F"/>
    <w:rsid w:val="4F691C49"/>
    <w:rsid w:val="4F7B372A"/>
    <w:rsid w:val="4F813436"/>
    <w:rsid w:val="4F8151E4"/>
    <w:rsid w:val="4F8627FB"/>
    <w:rsid w:val="4F8B1BBF"/>
    <w:rsid w:val="4FA7451F"/>
    <w:rsid w:val="4FAA3762"/>
    <w:rsid w:val="4FAD422B"/>
    <w:rsid w:val="4FB530E0"/>
    <w:rsid w:val="4FBD13E6"/>
    <w:rsid w:val="4FC21359"/>
    <w:rsid w:val="4FD86DCF"/>
    <w:rsid w:val="4FDF4F3B"/>
    <w:rsid w:val="4FE74CE3"/>
    <w:rsid w:val="4FF754A7"/>
    <w:rsid w:val="4FFB54B2"/>
    <w:rsid w:val="50074FD7"/>
    <w:rsid w:val="5023629C"/>
    <w:rsid w:val="502B6EFE"/>
    <w:rsid w:val="50397E4D"/>
    <w:rsid w:val="50422603"/>
    <w:rsid w:val="50465DC1"/>
    <w:rsid w:val="505A77E4"/>
    <w:rsid w:val="50606E52"/>
    <w:rsid w:val="50774B8B"/>
    <w:rsid w:val="50824D12"/>
    <w:rsid w:val="508605D9"/>
    <w:rsid w:val="50AD09D8"/>
    <w:rsid w:val="50DD469C"/>
    <w:rsid w:val="50E53551"/>
    <w:rsid w:val="50EB753E"/>
    <w:rsid w:val="50F626E2"/>
    <w:rsid w:val="50F72361"/>
    <w:rsid w:val="50F9524E"/>
    <w:rsid w:val="50FB1AAD"/>
    <w:rsid w:val="50FF3BB0"/>
    <w:rsid w:val="511B6F73"/>
    <w:rsid w:val="51317BFE"/>
    <w:rsid w:val="513444D8"/>
    <w:rsid w:val="513C1DE5"/>
    <w:rsid w:val="513D513B"/>
    <w:rsid w:val="51402E7D"/>
    <w:rsid w:val="514E10F6"/>
    <w:rsid w:val="515D3978"/>
    <w:rsid w:val="516409C9"/>
    <w:rsid w:val="51642F99"/>
    <w:rsid w:val="51654692"/>
    <w:rsid w:val="516E3547"/>
    <w:rsid w:val="51730B5D"/>
    <w:rsid w:val="517F39A6"/>
    <w:rsid w:val="51825244"/>
    <w:rsid w:val="51842113"/>
    <w:rsid w:val="51852D53"/>
    <w:rsid w:val="51890380"/>
    <w:rsid w:val="51AA02F7"/>
    <w:rsid w:val="51B41F55"/>
    <w:rsid w:val="51B9599C"/>
    <w:rsid w:val="51C31420"/>
    <w:rsid w:val="51C55131"/>
    <w:rsid w:val="51D84E64"/>
    <w:rsid w:val="51DA6E17"/>
    <w:rsid w:val="51E0443A"/>
    <w:rsid w:val="51E16C54"/>
    <w:rsid w:val="51E237D3"/>
    <w:rsid w:val="51E732F9"/>
    <w:rsid w:val="51F078E9"/>
    <w:rsid w:val="51FA1711"/>
    <w:rsid w:val="51FF3A34"/>
    <w:rsid w:val="51FF6894"/>
    <w:rsid w:val="520256E6"/>
    <w:rsid w:val="52065E75"/>
    <w:rsid w:val="521265C8"/>
    <w:rsid w:val="52192711"/>
    <w:rsid w:val="52203050"/>
    <w:rsid w:val="522B58DB"/>
    <w:rsid w:val="5237583F"/>
    <w:rsid w:val="523C1897"/>
    <w:rsid w:val="5245699D"/>
    <w:rsid w:val="524E3378"/>
    <w:rsid w:val="525E180D"/>
    <w:rsid w:val="525E19AA"/>
    <w:rsid w:val="526E7576"/>
    <w:rsid w:val="52796FDA"/>
    <w:rsid w:val="528079D5"/>
    <w:rsid w:val="528172AA"/>
    <w:rsid w:val="528A0854"/>
    <w:rsid w:val="529203E0"/>
    <w:rsid w:val="52AB17A7"/>
    <w:rsid w:val="52B15DE1"/>
    <w:rsid w:val="52BC4786"/>
    <w:rsid w:val="52BC6534"/>
    <w:rsid w:val="52C11D9C"/>
    <w:rsid w:val="52C86548"/>
    <w:rsid w:val="52D27B05"/>
    <w:rsid w:val="52D675F5"/>
    <w:rsid w:val="52E1063A"/>
    <w:rsid w:val="52ED493F"/>
    <w:rsid w:val="52FD636E"/>
    <w:rsid w:val="52FD7B52"/>
    <w:rsid w:val="52FE162A"/>
    <w:rsid w:val="53004C75"/>
    <w:rsid w:val="530C1374"/>
    <w:rsid w:val="53114AD1"/>
    <w:rsid w:val="531E71EE"/>
    <w:rsid w:val="532A5B93"/>
    <w:rsid w:val="532D65E9"/>
    <w:rsid w:val="532E1C4F"/>
    <w:rsid w:val="533D7674"/>
    <w:rsid w:val="533E64D6"/>
    <w:rsid w:val="534E4DB0"/>
    <w:rsid w:val="535B7AFB"/>
    <w:rsid w:val="53687B73"/>
    <w:rsid w:val="53690469"/>
    <w:rsid w:val="536966BB"/>
    <w:rsid w:val="53786DFC"/>
    <w:rsid w:val="53980D4F"/>
    <w:rsid w:val="53A50EE7"/>
    <w:rsid w:val="53BF6D2E"/>
    <w:rsid w:val="53D33B35"/>
    <w:rsid w:val="53D8739D"/>
    <w:rsid w:val="53D9371F"/>
    <w:rsid w:val="53E2646E"/>
    <w:rsid w:val="53E93358"/>
    <w:rsid w:val="53EA0E7E"/>
    <w:rsid w:val="54181E8F"/>
    <w:rsid w:val="541B6431"/>
    <w:rsid w:val="542C1497"/>
    <w:rsid w:val="543341C3"/>
    <w:rsid w:val="54372316"/>
    <w:rsid w:val="543A1E06"/>
    <w:rsid w:val="544B5DC1"/>
    <w:rsid w:val="54513B7A"/>
    <w:rsid w:val="54530D96"/>
    <w:rsid w:val="54564027"/>
    <w:rsid w:val="545F361A"/>
    <w:rsid w:val="549B5123"/>
    <w:rsid w:val="549F610D"/>
    <w:rsid w:val="54A86D6F"/>
    <w:rsid w:val="54AB6860"/>
    <w:rsid w:val="54AD6A7C"/>
    <w:rsid w:val="54C30CE0"/>
    <w:rsid w:val="54E10D40"/>
    <w:rsid w:val="54E1766E"/>
    <w:rsid w:val="54EA24C1"/>
    <w:rsid w:val="550F3292"/>
    <w:rsid w:val="55142657"/>
    <w:rsid w:val="551B2D2F"/>
    <w:rsid w:val="55245DAC"/>
    <w:rsid w:val="5527238A"/>
    <w:rsid w:val="552F6C70"/>
    <w:rsid w:val="55384597"/>
    <w:rsid w:val="553920BD"/>
    <w:rsid w:val="554051FA"/>
    <w:rsid w:val="554747DA"/>
    <w:rsid w:val="554B5B7F"/>
    <w:rsid w:val="554B6A9E"/>
    <w:rsid w:val="55572544"/>
    <w:rsid w:val="5579695E"/>
    <w:rsid w:val="55833339"/>
    <w:rsid w:val="559519EA"/>
    <w:rsid w:val="55C51C5D"/>
    <w:rsid w:val="55CF47D0"/>
    <w:rsid w:val="55CF657E"/>
    <w:rsid w:val="55E02F95"/>
    <w:rsid w:val="55F65B63"/>
    <w:rsid w:val="56010E2D"/>
    <w:rsid w:val="56130B60"/>
    <w:rsid w:val="561A3C9D"/>
    <w:rsid w:val="561C5C67"/>
    <w:rsid w:val="56347576"/>
    <w:rsid w:val="5641747C"/>
    <w:rsid w:val="5647080A"/>
    <w:rsid w:val="564E4332"/>
    <w:rsid w:val="565C6063"/>
    <w:rsid w:val="565D002E"/>
    <w:rsid w:val="567F1D52"/>
    <w:rsid w:val="568455BA"/>
    <w:rsid w:val="568844AA"/>
    <w:rsid w:val="569F4F9A"/>
    <w:rsid w:val="56A11D4F"/>
    <w:rsid w:val="56A874FB"/>
    <w:rsid w:val="56CB143B"/>
    <w:rsid w:val="56CB31E9"/>
    <w:rsid w:val="56D71B8E"/>
    <w:rsid w:val="56E208F9"/>
    <w:rsid w:val="56E5016B"/>
    <w:rsid w:val="56E91774"/>
    <w:rsid w:val="56EB4DB1"/>
    <w:rsid w:val="56F20776"/>
    <w:rsid w:val="56F52014"/>
    <w:rsid w:val="56FC7587"/>
    <w:rsid w:val="570D3802"/>
    <w:rsid w:val="570D735E"/>
    <w:rsid w:val="57186B54"/>
    <w:rsid w:val="571C1C97"/>
    <w:rsid w:val="57241F73"/>
    <w:rsid w:val="5725266C"/>
    <w:rsid w:val="57315CEF"/>
    <w:rsid w:val="57346FE0"/>
    <w:rsid w:val="573568B4"/>
    <w:rsid w:val="57503CF1"/>
    <w:rsid w:val="575A55BC"/>
    <w:rsid w:val="575F7462"/>
    <w:rsid w:val="5765363E"/>
    <w:rsid w:val="578810DA"/>
    <w:rsid w:val="578D049F"/>
    <w:rsid w:val="57A04676"/>
    <w:rsid w:val="57A7215B"/>
    <w:rsid w:val="57AC4DC9"/>
    <w:rsid w:val="57B42B9F"/>
    <w:rsid w:val="57BB613F"/>
    <w:rsid w:val="57DF5E15"/>
    <w:rsid w:val="57E02CC4"/>
    <w:rsid w:val="57E74053"/>
    <w:rsid w:val="57F56770"/>
    <w:rsid w:val="57F81DBC"/>
    <w:rsid w:val="57FB5D50"/>
    <w:rsid w:val="58045825"/>
    <w:rsid w:val="580C3AB9"/>
    <w:rsid w:val="58156E12"/>
    <w:rsid w:val="581A77FA"/>
    <w:rsid w:val="582157B7"/>
    <w:rsid w:val="58240E03"/>
    <w:rsid w:val="583354EA"/>
    <w:rsid w:val="584E40D2"/>
    <w:rsid w:val="58502595"/>
    <w:rsid w:val="58692CBA"/>
    <w:rsid w:val="58717CC8"/>
    <w:rsid w:val="5886561A"/>
    <w:rsid w:val="5889335C"/>
    <w:rsid w:val="5889355F"/>
    <w:rsid w:val="588E7DA0"/>
    <w:rsid w:val="58910040"/>
    <w:rsid w:val="5891653A"/>
    <w:rsid w:val="589D2963"/>
    <w:rsid w:val="58A81A34"/>
    <w:rsid w:val="58A86218"/>
    <w:rsid w:val="58B303D9"/>
    <w:rsid w:val="58C223CA"/>
    <w:rsid w:val="58E42340"/>
    <w:rsid w:val="58F06B5C"/>
    <w:rsid w:val="58FF19DA"/>
    <w:rsid w:val="591250FF"/>
    <w:rsid w:val="591470C9"/>
    <w:rsid w:val="59205A6E"/>
    <w:rsid w:val="59262959"/>
    <w:rsid w:val="595A6517"/>
    <w:rsid w:val="596516D3"/>
    <w:rsid w:val="596C2A61"/>
    <w:rsid w:val="597638E0"/>
    <w:rsid w:val="59777658"/>
    <w:rsid w:val="598D6817"/>
    <w:rsid w:val="599124C8"/>
    <w:rsid w:val="59A541C5"/>
    <w:rsid w:val="59B84355"/>
    <w:rsid w:val="59C208D3"/>
    <w:rsid w:val="59CE3F51"/>
    <w:rsid w:val="59E64457"/>
    <w:rsid w:val="59FA5F38"/>
    <w:rsid w:val="5A0031AA"/>
    <w:rsid w:val="5A0A227A"/>
    <w:rsid w:val="5A286D15"/>
    <w:rsid w:val="5A33357F"/>
    <w:rsid w:val="5A33532D"/>
    <w:rsid w:val="5A345AF8"/>
    <w:rsid w:val="5A366BCB"/>
    <w:rsid w:val="5A381E22"/>
    <w:rsid w:val="5A4412E8"/>
    <w:rsid w:val="5A47527D"/>
    <w:rsid w:val="5A502380"/>
    <w:rsid w:val="5A56101C"/>
    <w:rsid w:val="5A76346C"/>
    <w:rsid w:val="5A7F67C4"/>
    <w:rsid w:val="5AA4622B"/>
    <w:rsid w:val="5AB20948"/>
    <w:rsid w:val="5AB83A84"/>
    <w:rsid w:val="5AB972D6"/>
    <w:rsid w:val="5ABD109B"/>
    <w:rsid w:val="5AC9040C"/>
    <w:rsid w:val="5AD255B5"/>
    <w:rsid w:val="5ADC59C5"/>
    <w:rsid w:val="5AE14D89"/>
    <w:rsid w:val="5AE76118"/>
    <w:rsid w:val="5AF42BC7"/>
    <w:rsid w:val="5AF71C62"/>
    <w:rsid w:val="5AF94F2C"/>
    <w:rsid w:val="5B172EA1"/>
    <w:rsid w:val="5B1A64ED"/>
    <w:rsid w:val="5B2407CC"/>
    <w:rsid w:val="5B345801"/>
    <w:rsid w:val="5B353327"/>
    <w:rsid w:val="5B3A6B8F"/>
    <w:rsid w:val="5B4672E2"/>
    <w:rsid w:val="5B4812AC"/>
    <w:rsid w:val="5B5A4B3C"/>
    <w:rsid w:val="5B6559BA"/>
    <w:rsid w:val="5B6F79DC"/>
    <w:rsid w:val="5B744524"/>
    <w:rsid w:val="5B800A46"/>
    <w:rsid w:val="5B914A01"/>
    <w:rsid w:val="5B9242D5"/>
    <w:rsid w:val="5B973FD7"/>
    <w:rsid w:val="5B975D90"/>
    <w:rsid w:val="5B9E711E"/>
    <w:rsid w:val="5BA35BA7"/>
    <w:rsid w:val="5BA70114"/>
    <w:rsid w:val="5BA705A4"/>
    <w:rsid w:val="5BAB514B"/>
    <w:rsid w:val="5BC07095"/>
    <w:rsid w:val="5BC6626E"/>
    <w:rsid w:val="5BCF63A9"/>
    <w:rsid w:val="5BD26DC8"/>
    <w:rsid w:val="5BE32D83"/>
    <w:rsid w:val="5BE82147"/>
    <w:rsid w:val="5BF166F0"/>
    <w:rsid w:val="5BF44F90"/>
    <w:rsid w:val="5BF57652"/>
    <w:rsid w:val="5BFE7BBD"/>
    <w:rsid w:val="5C050F4B"/>
    <w:rsid w:val="5C081351"/>
    <w:rsid w:val="5C0A6562"/>
    <w:rsid w:val="5C18599A"/>
    <w:rsid w:val="5C1E200D"/>
    <w:rsid w:val="5C272C70"/>
    <w:rsid w:val="5C367357"/>
    <w:rsid w:val="5C4001D5"/>
    <w:rsid w:val="5C5D2B35"/>
    <w:rsid w:val="5C65387B"/>
    <w:rsid w:val="5C6E0D96"/>
    <w:rsid w:val="5C6F4617"/>
    <w:rsid w:val="5C78171D"/>
    <w:rsid w:val="5C7D0F81"/>
    <w:rsid w:val="5C7E6764"/>
    <w:rsid w:val="5C861ED2"/>
    <w:rsid w:val="5C893A00"/>
    <w:rsid w:val="5C9347A9"/>
    <w:rsid w:val="5C9D1184"/>
    <w:rsid w:val="5CA37264"/>
    <w:rsid w:val="5CA81968"/>
    <w:rsid w:val="5CBD1826"/>
    <w:rsid w:val="5CBF559E"/>
    <w:rsid w:val="5CC118FD"/>
    <w:rsid w:val="5CC41560"/>
    <w:rsid w:val="5CCB5CF1"/>
    <w:rsid w:val="5CCC0F96"/>
    <w:rsid w:val="5CDA5F34"/>
    <w:rsid w:val="5CF12B34"/>
    <w:rsid w:val="5CFC40FC"/>
    <w:rsid w:val="5D126EEF"/>
    <w:rsid w:val="5D296EBB"/>
    <w:rsid w:val="5D2B7225"/>
    <w:rsid w:val="5D2C42B6"/>
    <w:rsid w:val="5D3A70EE"/>
    <w:rsid w:val="5D3C274B"/>
    <w:rsid w:val="5D4F626D"/>
    <w:rsid w:val="5D5201C0"/>
    <w:rsid w:val="5D5A5E34"/>
    <w:rsid w:val="5D647EF4"/>
    <w:rsid w:val="5D665A1A"/>
    <w:rsid w:val="5D753EAF"/>
    <w:rsid w:val="5D754491"/>
    <w:rsid w:val="5D8440F2"/>
    <w:rsid w:val="5D89536D"/>
    <w:rsid w:val="5DA2372A"/>
    <w:rsid w:val="5DA50D6B"/>
    <w:rsid w:val="5DAD189A"/>
    <w:rsid w:val="5DB06245"/>
    <w:rsid w:val="5DB16A2A"/>
    <w:rsid w:val="5DC65EB1"/>
    <w:rsid w:val="5DCE1DF9"/>
    <w:rsid w:val="5DD40BD5"/>
    <w:rsid w:val="5DD62B9F"/>
    <w:rsid w:val="5DE11544"/>
    <w:rsid w:val="5DFB3BF1"/>
    <w:rsid w:val="5E0C4813"/>
    <w:rsid w:val="5E115985"/>
    <w:rsid w:val="5E135BA1"/>
    <w:rsid w:val="5E317DD6"/>
    <w:rsid w:val="5E3A33BE"/>
    <w:rsid w:val="5E472B7D"/>
    <w:rsid w:val="5E4A272C"/>
    <w:rsid w:val="5E4E4E2C"/>
    <w:rsid w:val="5E5435E3"/>
    <w:rsid w:val="5E5940D4"/>
    <w:rsid w:val="5E5E3FBF"/>
    <w:rsid w:val="5E6301AB"/>
    <w:rsid w:val="5E6F6B50"/>
    <w:rsid w:val="5E767EDE"/>
    <w:rsid w:val="5E800D5D"/>
    <w:rsid w:val="5E960581"/>
    <w:rsid w:val="5E9B5718"/>
    <w:rsid w:val="5EA712C4"/>
    <w:rsid w:val="5EAB402C"/>
    <w:rsid w:val="5EAE1426"/>
    <w:rsid w:val="5EBF5FFD"/>
    <w:rsid w:val="5EC24ED2"/>
    <w:rsid w:val="5ED15115"/>
    <w:rsid w:val="5EDE20E9"/>
    <w:rsid w:val="5EE96902"/>
    <w:rsid w:val="5EEC3359"/>
    <w:rsid w:val="5EF05EE3"/>
    <w:rsid w:val="5EF332DD"/>
    <w:rsid w:val="5EF3458D"/>
    <w:rsid w:val="5EFF1C82"/>
    <w:rsid w:val="5F053010"/>
    <w:rsid w:val="5F0B6879"/>
    <w:rsid w:val="5F0E45BB"/>
    <w:rsid w:val="5F1119B5"/>
    <w:rsid w:val="5F1576F7"/>
    <w:rsid w:val="5F24793A"/>
    <w:rsid w:val="5F337B7D"/>
    <w:rsid w:val="5F381638"/>
    <w:rsid w:val="5F610939"/>
    <w:rsid w:val="5F645F89"/>
    <w:rsid w:val="5F646C60"/>
    <w:rsid w:val="5F6917F1"/>
    <w:rsid w:val="5F8959EF"/>
    <w:rsid w:val="5F990328"/>
    <w:rsid w:val="5FB54A36"/>
    <w:rsid w:val="5FBD3B59"/>
    <w:rsid w:val="5FC72930"/>
    <w:rsid w:val="5FCD7FD2"/>
    <w:rsid w:val="5FD21144"/>
    <w:rsid w:val="5FDA449D"/>
    <w:rsid w:val="5FE07D05"/>
    <w:rsid w:val="5FEC6F3A"/>
    <w:rsid w:val="5FF13CC0"/>
    <w:rsid w:val="5FF40A7C"/>
    <w:rsid w:val="5FFC08B7"/>
    <w:rsid w:val="601B6F8F"/>
    <w:rsid w:val="601E082E"/>
    <w:rsid w:val="601F6E30"/>
    <w:rsid w:val="60222736"/>
    <w:rsid w:val="602A754A"/>
    <w:rsid w:val="604D5CC3"/>
    <w:rsid w:val="6058522C"/>
    <w:rsid w:val="60636A93"/>
    <w:rsid w:val="607147D3"/>
    <w:rsid w:val="608139EA"/>
    <w:rsid w:val="60956BB2"/>
    <w:rsid w:val="609A4358"/>
    <w:rsid w:val="609A5C33"/>
    <w:rsid w:val="609F196E"/>
    <w:rsid w:val="60AA076A"/>
    <w:rsid w:val="60B367FE"/>
    <w:rsid w:val="60B42F40"/>
    <w:rsid w:val="60B847DE"/>
    <w:rsid w:val="60BA67A8"/>
    <w:rsid w:val="60CC028A"/>
    <w:rsid w:val="60CF1B28"/>
    <w:rsid w:val="60DD4245"/>
    <w:rsid w:val="60EB1FC4"/>
    <w:rsid w:val="60F2762F"/>
    <w:rsid w:val="60F31CBA"/>
    <w:rsid w:val="60FE239F"/>
    <w:rsid w:val="61112140"/>
    <w:rsid w:val="611A7247"/>
    <w:rsid w:val="61271964"/>
    <w:rsid w:val="61406CB1"/>
    <w:rsid w:val="61442516"/>
    <w:rsid w:val="614B38A4"/>
    <w:rsid w:val="61570564"/>
    <w:rsid w:val="61681FEC"/>
    <w:rsid w:val="617F354E"/>
    <w:rsid w:val="619F599E"/>
    <w:rsid w:val="61BA4586"/>
    <w:rsid w:val="61C96577"/>
    <w:rsid w:val="61D94A0C"/>
    <w:rsid w:val="61F104DA"/>
    <w:rsid w:val="61F730E4"/>
    <w:rsid w:val="61F77588"/>
    <w:rsid w:val="62037CDB"/>
    <w:rsid w:val="62044ED6"/>
    <w:rsid w:val="62126C05"/>
    <w:rsid w:val="621517BC"/>
    <w:rsid w:val="6216711F"/>
    <w:rsid w:val="621974FF"/>
    <w:rsid w:val="623B56C7"/>
    <w:rsid w:val="623B7475"/>
    <w:rsid w:val="623E51B7"/>
    <w:rsid w:val="62475261"/>
    <w:rsid w:val="62481B92"/>
    <w:rsid w:val="62544199"/>
    <w:rsid w:val="626E5E62"/>
    <w:rsid w:val="62712E97"/>
    <w:rsid w:val="62787C99"/>
    <w:rsid w:val="627D4977"/>
    <w:rsid w:val="627E3805"/>
    <w:rsid w:val="629923ED"/>
    <w:rsid w:val="62A019CE"/>
    <w:rsid w:val="62A25746"/>
    <w:rsid w:val="62B84A84"/>
    <w:rsid w:val="62BF49D5"/>
    <w:rsid w:val="62CA07F9"/>
    <w:rsid w:val="62D33B51"/>
    <w:rsid w:val="62D45BED"/>
    <w:rsid w:val="62EC4C13"/>
    <w:rsid w:val="62F13FD7"/>
    <w:rsid w:val="630A1DA7"/>
    <w:rsid w:val="630B3BCB"/>
    <w:rsid w:val="630C0E11"/>
    <w:rsid w:val="631017CC"/>
    <w:rsid w:val="6312245B"/>
    <w:rsid w:val="63161C90"/>
    <w:rsid w:val="631C49B4"/>
    <w:rsid w:val="634D3218"/>
    <w:rsid w:val="63501214"/>
    <w:rsid w:val="635602DE"/>
    <w:rsid w:val="63690012"/>
    <w:rsid w:val="63696264"/>
    <w:rsid w:val="636F2F96"/>
    <w:rsid w:val="6370279B"/>
    <w:rsid w:val="63750765"/>
    <w:rsid w:val="637569B7"/>
    <w:rsid w:val="639130C5"/>
    <w:rsid w:val="63951DE7"/>
    <w:rsid w:val="63A159FD"/>
    <w:rsid w:val="63A171B6"/>
    <w:rsid w:val="63A66B70"/>
    <w:rsid w:val="63AB4186"/>
    <w:rsid w:val="63C123ED"/>
    <w:rsid w:val="63C46BAA"/>
    <w:rsid w:val="63C94F54"/>
    <w:rsid w:val="63D00091"/>
    <w:rsid w:val="63D556A7"/>
    <w:rsid w:val="63E1404C"/>
    <w:rsid w:val="63E50971"/>
    <w:rsid w:val="63E8113D"/>
    <w:rsid w:val="63FE4BFE"/>
    <w:rsid w:val="6416019A"/>
    <w:rsid w:val="64243F39"/>
    <w:rsid w:val="64264155"/>
    <w:rsid w:val="64370395"/>
    <w:rsid w:val="64395C36"/>
    <w:rsid w:val="64436AB5"/>
    <w:rsid w:val="64462101"/>
    <w:rsid w:val="64470B0C"/>
    <w:rsid w:val="644A1BF1"/>
    <w:rsid w:val="644F2F5D"/>
    <w:rsid w:val="64615D31"/>
    <w:rsid w:val="64682077"/>
    <w:rsid w:val="64794284"/>
    <w:rsid w:val="647B624F"/>
    <w:rsid w:val="647E5D3F"/>
    <w:rsid w:val="64810F36"/>
    <w:rsid w:val="649F73FF"/>
    <w:rsid w:val="64B61035"/>
    <w:rsid w:val="64CE4132"/>
    <w:rsid w:val="64E83878"/>
    <w:rsid w:val="64EC0EFA"/>
    <w:rsid w:val="64EC2CA8"/>
    <w:rsid w:val="64F67A8C"/>
    <w:rsid w:val="64FF0C2E"/>
    <w:rsid w:val="65051FBC"/>
    <w:rsid w:val="65163958"/>
    <w:rsid w:val="65206DF6"/>
    <w:rsid w:val="65230AB5"/>
    <w:rsid w:val="65297A59"/>
    <w:rsid w:val="65366619"/>
    <w:rsid w:val="6537530E"/>
    <w:rsid w:val="653E102A"/>
    <w:rsid w:val="653E3C8B"/>
    <w:rsid w:val="6546685C"/>
    <w:rsid w:val="654D7A6A"/>
    <w:rsid w:val="654F4FBC"/>
    <w:rsid w:val="65516FAF"/>
    <w:rsid w:val="65560366"/>
    <w:rsid w:val="655C1BE5"/>
    <w:rsid w:val="655F16CC"/>
    <w:rsid w:val="657B5DDA"/>
    <w:rsid w:val="657F3B1C"/>
    <w:rsid w:val="658630FD"/>
    <w:rsid w:val="658B7653"/>
    <w:rsid w:val="65923D39"/>
    <w:rsid w:val="659F41BF"/>
    <w:rsid w:val="65A215B9"/>
    <w:rsid w:val="65AB4911"/>
    <w:rsid w:val="65C6174B"/>
    <w:rsid w:val="65C94D98"/>
    <w:rsid w:val="65F938CF"/>
    <w:rsid w:val="66134265"/>
    <w:rsid w:val="663343C6"/>
    <w:rsid w:val="6639016F"/>
    <w:rsid w:val="663A5A95"/>
    <w:rsid w:val="663E5786"/>
    <w:rsid w:val="664B4949"/>
    <w:rsid w:val="664D59C9"/>
    <w:rsid w:val="66680A54"/>
    <w:rsid w:val="66766F2B"/>
    <w:rsid w:val="668A2779"/>
    <w:rsid w:val="668F4233"/>
    <w:rsid w:val="669058B5"/>
    <w:rsid w:val="66A01F9C"/>
    <w:rsid w:val="66B477F6"/>
    <w:rsid w:val="66C81EA7"/>
    <w:rsid w:val="66CA0DC7"/>
    <w:rsid w:val="66CF4630"/>
    <w:rsid w:val="66F462D8"/>
    <w:rsid w:val="67033BA4"/>
    <w:rsid w:val="670A0388"/>
    <w:rsid w:val="670C7632"/>
    <w:rsid w:val="67177D85"/>
    <w:rsid w:val="67226E55"/>
    <w:rsid w:val="673B7F17"/>
    <w:rsid w:val="673D77EB"/>
    <w:rsid w:val="67404958"/>
    <w:rsid w:val="675E0BCA"/>
    <w:rsid w:val="676844A5"/>
    <w:rsid w:val="676B5DA2"/>
    <w:rsid w:val="677919D5"/>
    <w:rsid w:val="67796C38"/>
    <w:rsid w:val="677C0C54"/>
    <w:rsid w:val="679141EB"/>
    <w:rsid w:val="6796339F"/>
    <w:rsid w:val="679A5069"/>
    <w:rsid w:val="67C24194"/>
    <w:rsid w:val="67D30150"/>
    <w:rsid w:val="67D85766"/>
    <w:rsid w:val="67E45EB9"/>
    <w:rsid w:val="67E460F1"/>
    <w:rsid w:val="67E61C31"/>
    <w:rsid w:val="67E75AA3"/>
    <w:rsid w:val="67EE073B"/>
    <w:rsid w:val="67FC76A6"/>
    <w:rsid w:val="68242759"/>
    <w:rsid w:val="68294213"/>
    <w:rsid w:val="683C7AA3"/>
    <w:rsid w:val="683F3A37"/>
    <w:rsid w:val="68465EF2"/>
    <w:rsid w:val="68562168"/>
    <w:rsid w:val="685B68BB"/>
    <w:rsid w:val="686F7E78"/>
    <w:rsid w:val="68787555"/>
    <w:rsid w:val="68814582"/>
    <w:rsid w:val="68934228"/>
    <w:rsid w:val="689C2FA9"/>
    <w:rsid w:val="68A044D6"/>
    <w:rsid w:val="68C161FA"/>
    <w:rsid w:val="68C87588"/>
    <w:rsid w:val="68E1064A"/>
    <w:rsid w:val="68EF2D67"/>
    <w:rsid w:val="68EF4B15"/>
    <w:rsid w:val="68F140CA"/>
    <w:rsid w:val="68F47009"/>
    <w:rsid w:val="68F5557A"/>
    <w:rsid w:val="68F93BE6"/>
    <w:rsid w:val="6908207B"/>
    <w:rsid w:val="691E53FA"/>
    <w:rsid w:val="692C1A8B"/>
    <w:rsid w:val="692D388F"/>
    <w:rsid w:val="693E6043"/>
    <w:rsid w:val="69402448"/>
    <w:rsid w:val="697274F4"/>
    <w:rsid w:val="6978328D"/>
    <w:rsid w:val="69787200"/>
    <w:rsid w:val="697C56CD"/>
    <w:rsid w:val="698D0C3A"/>
    <w:rsid w:val="698E432E"/>
    <w:rsid w:val="698F4FEE"/>
    <w:rsid w:val="699925C6"/>
    <w:rsid w:val="699F29DF"/>
    <w:rsid w:val="69B3668D"/>
    <w:rsid w:val="69B47B0D"/>
    <w:rsid w:val="69CC12FA"/>
    <w:rsid w:val="69D912BB"/>
    <w:rsid w:val="69E228CC"/>
    <w:rsid w:val="69EE1F30"/>
    <w:rsid w:val="69F06D97"/>
    <w:rsid w:val="69F543AD"/>
    <w:rsid w:val="69FA167C"/>
    <w:rsid w:val="6A026ACA"/>
    <w:rsid w:val="6A062718"/>
    <w:rsid w:val="6A0C7949"/>
    <w:rsid w:val="6A1E76FF"/>
    <w:rsid w:val="6A243B5D"/>
    <w:rsid w:val="6A2922A9"/>
    <w:rsid w:val="6A333127"/>
    <w:rsid w:val="6A567D0D"/>
    <w:rsid w:val="6A5A0123"/>
    <w:rsid w:val="6A5D01A4"/>
    <w:rsid w:val="6A633A0D"/>
    <w:rsid w:val="6A6809E4"/>
    <w:rsid w:val="6A6F1801"/>
    <w:rsid w:val="6A90057A"/>
    <w:rsid w:val="6A975DE8"/>
    <w:rsid w:val="6AC83870"/>
    <w:rsid w:val="6AD541DF"/>
    <w:rsid w:val="6AE4556D"/>
    <w:rsid w:val="6AF9611F"/>
    <w:rsid w:val="6B0F76F1"/>
    <w:rsid w:val="6B135770"/>
    <w:rsid w:val="6B1940CB"/>
    <w:rsid w:val="6B1B332E"/>
    <w:rsid w:val="6B1C36D8"/>
    <w:rsid w:val="6B1C6E20"/>
    <w:rsid w:val="6B2667E8"/>
    <w:rsid w:val="6B297B6D"/>
    <w:rsid w:val="6B2E739D"/>
    <w:rsid w:val="6B2F1B41"/>
    <w:rsid w:val="6B305DAD"/>
    <w:rsid w:val="6B3D24B0"/>
    <w:rsid w:val="6B43383E"/>
    <w:rsid w:val="6B5477F9"/>
    <w:rsid w:val="6B5C2207"/>
    <w:rsid w:val="6B60619E"/>
    <w:rsid w:val="6B767770"/>
    <w:rsid w:val="6B87372B"/>
    <w:rsid w:val="6B8F25DF"/>
    <w:rsid w:val="6B96571C"/>
    <w:rsid w:val="6B99345E"/>
    <w:rsid w:val="6BB9765C"/>
    <w:rsid w:val="6BC04D07"/>
    <w:rsid w:val="6BC77FCB"/>
    <w:rsid w:val="6BC8789F"/>
    <w:rsid w:val="6BCB7ABB"/>
    <w:rsid w:val="6BD70597"/>
    <w:rsid w:val="6BD85D34"/>
    <w:rsid w:val="6BDA45FC"/>
    <w:rsid w:val="6BE26BB3"/>
    <w:rsid w:val="6BE50451"/>
    <w:rsid w:val="6BF15048"/>
    <w:rsid w:val="6BFA214F"/>
    <w:rsid w:val="6C0919C9"/>
    <w:rsid w:val="6C0B610A"/>
    <w:rsid w:val="6C123F77"/>
    <w:rsid w:val="6C276CBC"/>
    <w:rsid w:val="6C3F1BA3"/>
    <w:rsid w:val="6C411B2C"/>
    <w:rsid w:val="6C4258A4"/>
    <w:rsid w:val="6C517895"/>
    <w:rsid w:val="6C55559C"/>
    <w:rsid w:val="6C663501"/>
    <w:rsid w:val="6C7137C9"/>
    <w:rsid w:val="6C7A3290"/>
    <w:rsid w:val="6C8163CC"/>
    <w:rsid w:val="6C89162B"/>
    <w:rsid w:val="6C8953C3"/>
    <w:rsid w:val="6C8A0A72"/>
    <w:rsid w:val="6C922387"/>
    <w:rsid w:val="6C9C3206"/>
    <w:rsid w:val="6CA200F0"/>
    <w:rsid w:val="6CA457BD"/>
    <w:rsid w:val="6CBC5656"/>
    <w:rsid w:val="6CCB3AEB"/>
    <w:rsid w:val="6CCE7137"/>
    <w:rsid w:val="6CCF1165"/>
    <w:rsid w:val="6CDC7AA6"/>
    <w:rsid w:val="6D0A63C2"/>
    <w:rsid w:val="6D1279D4"/>
    <w:rsid w:val="6D4D7B09"/>
    <w:rsid w:val="6D654602"/>
    <w:rsid w:val="6D752B6B"/>
    <w:rsid w:val="6D761CA9"/>
    <w:rsid w:val="6D7B0BA2"/>
    <w:rsid w:val="6D853C9A"/>
    <w:rsid w:val="6D877A12"/>
    <w:rsid w:val="6D8C76B7"/>
    <w:rsid w:val="6DA06D26"/>
    <w:rsid w:val="6DA5433C"/>
    <w:rsid w:val="6DCC18C9"/>
    <w:rsid w:val="6DCF22DA"/>
    <w:rsid w:val="6DD16EDF"/>
    <w:rsid w:val="6DD622DB"/>
    <w:rsid w:val="6DDA4829"/>
    <w:rsid w:val="6DDE2EE2"/>
    <w:rsid w:val="6DDE6F4D"/>
    <w:rsid w:val="6DE24C48"/>
    <w:rsid w:val="6DED7568"/>
    <w:rsid w:val="6E014988"/>
    <w:rsid w:val="6E151297"/>
    <w:rsid w:val="6E1B520D"/>
    <w:rsid w:val="6E2A2122"/>
    <w:rsid w:val="6E2E7E8E"/>
    <w:rsid w:val="6E300CA2"/>
    <w:rsid w:val="6E322B31"/>
    <w:rsid w:val="6E414065"/>
    <w:rsid w:val="6E6B10E2"/>
    <w:rsid w:val="6E91041D"/>
    <w:rsid w:val="6E971FCE"/>
    <w:rsid w:val="6EA5527C"/>
    <w:rsid w:val="6EA91C0A"/>
    <w:rsid w:val="6EB1286D"/>
    <w:rsid w:val="6EB26D11"/>
    <w:rsid w:val="6EC971A7"/>
    <w:rsid w:val="6ECC3AB9"/>
    <w:rsid w:val="6ECC76A7"/>
    <w:rsid w:val="6ECD58F9"/>
    <w:rsid w:val="6ECE2B55"/>
    <w:rsid w:val="6ED22F0F"/>
    <w:rsid w:val="6EDC3D8E"/>
    <w:rsid w:val="6EDC7AD6"/>
    <w:rsid w:val="6EDE6AF0"/>
    <w:rsid w:val="6EE52016"/>
    <w:rsid w:val="6EEB3FD1"/>
    <w:rsid w:val="6EEE3AC1"/>
    <w:rsid w:val="6EF6430C"/>
    <w:rsid w:val="6EF74724"/>
    <w:rsid w:val="6F0137F4"/>
    <w:rsid w:val="6F023EFE"/>
    <w:rsid w:val="6F092A81"/>
    <w:rsid w:val="6F0D2199"/>
    <w:rsid w:val="6F1F1ECC"/>
    <w:rsid w:val="6F2F4029"/>
    <w:rsid w:val="6F3B0592"/>
    <w:rsid w:val="6F3C3B75"/>
    <w:rsid w:val="6F3E2B6F"/>
    <w:rsid w:val="6F437969"/>
    <w:rsid w:val="6F4B2CC1"/>
    <w:rsid w:val="6F4D79D6"/>
    <w:rsid w:val="6F5002C8"/>
    <w:rsid w:val="6F5002D8"/>
    <w:rsid w:val="6F525DFE"/>
    <w:rsid w:val="6F5302FB"/>
    <w:rsid w:val="6F55769C"/>
    <w:rsid w:val="6F573414"/>
    <w:rsid w:val="6F6124E5"/>
    <w:rsid w:val="6F6564CF"/>
    <w:rsid w:val="6F6D1FC9"/>
    <w:rsid w:val="6F7264A0"/>
    <w:rsid w:val="6F751AEC"/>
    <w:rsid w:val="6F9C52CB"/>
    <w:rsid w:val="6FA80114"/>
    <w:rsid w:val="6FB22D40"/>
    <w:rsid w:val="6FBB3C6C"/>
    <w:rsid w:val="6FC504A2"/>
    <w:rsid w:val="6FD6290B"/>
    <w:rsid w:val="6FF4021A"/>
    <w:rsid w:val="6FF46EB5"/>
    <w:rsid w:val="6FF72EC3"/>
    <w:rsid w:val="6FFA2ED0"/>
    <w:rsid w:val="70052E70"/>
    <w:rsid w:val="700F1A66"/>
    <w:rsid w:val="700F1F41"/>
    <w:rsid w:val="70131A31"/>
    <w:rsid w:val="702E0619"/>
    <w:rsid w:val="702E23C7"/>
    <w:rsid w:val="70510D2C"/>
    <w:rsid w:val="7053007F"/>
    <w:rsid w:val="705B0CE2"/>
    <w:rsid w:val="705C33D8"/>
    <w:rsid w:val="70691651"/>
    <w:rsid w:val="706C7393"/>
    <w:rsid w:val="706C7C11"/>
    <w:rsid w:val="70716758"/>
    <w:rsid w:val="70730722"/>
    <w:rsid w:val="70820C05"/>
    <w:rsid w:val="708238A0"/>
    <w:rsid w:val="70887D3A"/>
    <w:rsid w:val="70934920"/>
    <w:rsid w:val="70AA129F"/>
    <w:rsid w:val="70AE4B6D"/>
    <w:rsid w:val="70CB230C"/>
    <w:rsid w:val="70EA66CD"/>
    <w:rsid w:val="70F133F4"/>
    <w:rsid w:val="710E21F8"/>
    <w:rsid w:val="71145A61"/>
    <w:rsid w:val="71153587"/>
    <w:rsid w:val="712F5C34"/>
    <w:rsid w:val="7132790C"/>
    <w:rsid w:val="713507D9"/>
    <w:rsid w:val="713F6856"/>
    <w:rsid w:val="715E71F4"/>
    <w:rsid w:val="71924BD7"/>
    <w:rsid w:val="719829A6"/>
    <w:rsid w:val="71A05546"/>
    <w:rsid w:val="71A072F4"/>
    <w:rsid w:val="71A54F3B"/>
    <w:rsid w:val="71A63F06"/>
    <w:rsid w:val="71BC3A02"/>
    <w:rsid w:val="71BF2699"/>
    <w:rsid w:val="71C11019"/>
    <w:rsid w:val="71CD3E62"/>
    <w:rsid w:val="71D01464"/>
    <w:rsid w:val="71F238C8"/>
    <w:rsid w:val="71F75E09"/>
    <w:rsid w:val="71FB2118"/>
    <w:rsid w:val="71FE01FE"/>
    <w:rsid w:val="72135D18"/>
    <w:rsid w:val="722A2E53"/>
    <w:rsid w:val="7232489D"/>
    <w:rsid w:val="72346CEE"/>
    <w:rsid w:val="72357263"/>
    <w:rsid w:val="724E6D50"/>
    <w:rsid w:val="72693B8A"/>
    <w:rsid w:val="726C71D7"/>
    <w:rsid w:val="726F7ACC"/>
    <w:rsid w:val="72734C44"/>
    <w:rsid w:val="72802C82"/>
    <w:rsid w:val="72807126"/>
    <w:rsid w:val="7285253E"/>
    <w:rsid w:val="729A01E8"/>
    <w:rsid w:val="72A64737"/>
    <w:rsid w:val="72A93357"/>
    <w:rsid w:val="72AE77EF"/>
    <w:rsid w:val="72B3611F"/>
    <w:rsid w:val="72B92137"/>
    <w:rsid w:val="72C54B39"/>
    <w:rsid w:val="72C55654"/>
    <w:rsid w:val="72CA214F"/>
    <w:rsid w:val="72D1172F"/>
    <w:rsid w:val="72D74F98"/>
    <w:rsid w:val="72DC25AE"/>
    <w:rsid w:val="72EB27F1"/>
    <w:rsid w:val="72FA6ED8"/>
    <w:rsid w:val="72FC67AC"/>
    <w:rsid w:val="73005B71"/>
    <w:rsid w:val="730442EC"/>
    <w:rsid w:val="730B2E93"/>
    <w:rsid w:val="73104006"/>
    <w:rsid w:val="73217FC1"/>
    <w:rsid w:val="73456F57"/>
    <w:rsid w:val="73492604"/>
    <w:rsid w:val="73513FCF"/>
    <w:rsid w:val="73555EBD"/>
    <w:rsid w:val="735A7977"/>
    <w:rsid w:val="73641D8B"/>
    <w:rsid w:val="73676627"/>
    <w:rsid w:val="736B1B84"/>
    <w:rsid w:val="7375030D"/>
    <w:rsid w:val="737722D7"/>
    <w:rsid w:val="73832A2A"/>
    <w:rsid w:val="739E4816"/>
    <w:rsid w:val="73A806E2"/>
    <w:rsid w:val="73A86934"/>
    <w:rsid w:val="73AC48C2"/>
    <w:rsid w:val="73AD5B50"/>
    <w:rsid w:val="73B11409"/>
    <w:rsid w:val="73DD7FA9"/>
    <w:rsid w:val="73EE40CB"/>
    <w:rsid w:val="73F774A8"/>
    <w:rsid w:val="74145D78"/>
    <w:rsid w:val="74166A67"/>
    <w:rsid w:val="741C69DA"/>
    <w:rsid w:val="74235FBB"/>
    <w:rsid w:val="7425534F"/>
    <w:rsid w:val="74295D12"/>
    <w:rsid w:val="742D0BE7"/>
    <w:rsid w:val="742F4960"/>
    <w:rsid w:val="74455F31"/>
    <w:rsid w:val="744D1E49"/>
    <w:rsid w:val="74534AF2"/>
    <w:rsid w:val="74587696"/>
    <w:rsid w:val="74594349"/>
    <w:rsid w:val="745D327B"/>
    <w:rsid w:val="746E1D09"/>
    <w:rsid w:val="747607E0"/>
    <w:rsid w:val="748702F8"/>
    <w:rsid w:val="74881214"/>
    <w:rsid w:val="74A25132"/>
    <w:rsid w:val="74A715D2"/>
    <w:rsid w:val="74A92964"/>
    <w:rsid w:val="74CB0068"/>
    <w:rsid w:val="74D12CB3"/>
    <w:rsid w:val="74E41BEE"/>
    <w:rsid w:val="74E4574A"/>
    <w:rsid w:val="74E474F8"/>
    <w:rsid w:val="74F03D5F"/>
    <w:rsid w:val="74FF73E9"/>
    <w:rsid w:val="75022074"/>
    <w:rsid w:val="75265D63"/>
    <w:rsid w:val="752D2FDC"/>
    <w:rsid w:val="75324707"/>
    <w:rsid w:val="75410DEE"/>
    <w:rsid w:val="75544830"/>
    <w:rsid w:val="75575F1C"/>
    <w:rsid w:val="7571063E"/>
    <w:rsid w:val="75750A98"/>
    <w:rsid w:val="75752846"/>
    <w:rsid w:val="75753F23"/>
    <w:rsid w:val="757758AD"/>
    <w:rsid w:val="75782C2B"/>
    <w:rsid w:val="758D4034"/>
    <w:rsid w:val="75A2686C"/>
    <w:rsid w:val="75BE41ED"/>
    <w:rsid w:val="75CB1D33"/>
    <w:rsid w:val="75CD61DE"/>
    <w:rsid w:val="75D27C98"/>
    <w:rsid w:val="75D912BB"/>
    <w:rsid w:val="75DC0B17"/>
    <w:rsid w:val="75DD0C3E"/>
    <w:rsid w:val="75F06371"/>
    <w:rsid w:val="75F53987"/>
    <w:rsid w:val="7601057E"/>
    <w:rsid w:val="760F4A49"/>
    <w:rsid w:val="761958C7"/>
    <w:rsid w:val="761C0F14"/>
    <w:rsid w:val="7621477C"/>
    <w:rsid w:val="762F0C9A"/>
    <w:rsid w:val="763D7808"/>
    <w:rsid w:val="764510FA"/>
    <w:rsid w:val="765B1A3C"/>
    <w:rsid w:val="765C63B7"/>
    <w:rsid w:val="76685F07"/>
    <w:rsid w:val="76740D50"/>
    <w:rsid w:val="76880918"/>
    <w:rsid w:val="7689645A"/>
    <w:rsid w:val="76926517"/>
    <w:rsid w:val="7698274C"/>
    <w:rsid w:val="76A41635"/>
    <w:rsid w:val="76A809F9"/>
    <w:rsid w:val="76B64EC4"/>
    <w:rsid w:val="76C36C16"/>
    <w:rsid w:val="76DB438D"/>
    <w:rsid w:val="76E97048"/>
    <w:rsid w:val="76F452C9"/>
    <w:rsid w:val="771A18F7"/>
    <w:rsid w:val="772B58B2"/>
    <w:rsid w:val="77383B2B"/>
    <w:rsid w:val="7741374D"/>
    <w:rsid w:val="77487A17"/>
    <w:rsid w:val="775356B0"/>
    <w:rsid w:val="775D17E4"/>
    <w:rsid w:val="775D2C9B"/>
    <w:rsid w:val="7762504C"/>
    <w:rsid w:val="777032C5"/>
    <w:rsid w:val="77811976"/>
    <w:rsid w:val="77970EAA"/>
    <w:rsid w:val="77974CF6"/>
    <w:rsid w:val="77A47413"/>
    <w:rsid w:val="77A85155"/>
    <w:rsid w:val="77AD4519"/>
    <w:rsid w:val="77B81257"/>
    <w:rsid w:val="77C00BA3"/>
    <w:rsid w:val="77C42498"/>
    <w:rsid w:val="77CB267E"/>
    <w:rsid w:val="77DF61FA"/>
    <w:rsid w:val="77E3126D"/>
    <w:rsid w:val="77E37F3B"/>
    <w:rsid w:val="78047EB1"/>
    <w:rsid w:val="78054355"/>
    <w:rsid w:val="78104AA8"/>
    <w:rsid w:val="781B5927"/>
    <w:rsid w:val="782A3DBC"/>
    <w:rsid w:val="782D565A"/>
    <w:rsid w:val="783C3AEF"/>
    <w:rsid w:val="783E7867"/>
    <w:rsid w:val="78454752"/>
    <w:rsid w:val="7856695F"/>
    <w:rsid w:val="78633C17"/>
    <w:rsid w:val="786F17CF"/>
    <w:rsid w:val="786F7A21"/>
    <w:rsid w:val="7870095E"/>
    <w:rsid w:val="788759D5"/>
    <w:rsid w:val="788F3C1F"/>
    <w:rsid w:val="789D458E"/>
    <w:rsid w:val="78B611AB"/>
    <w:rsid w:val="78B6564F"/>
    <w:rsid w:val="78BC5437"/>
    <w:rsid w:val="78BE0C4D"/>
    <w:rsid w:val="78CA2EA9"/>
    <w:rsid w:val="78DA69F4"/>
    <w:rsid w:val="78E75809"/>
    <w:rsid w:val="78EC2E1F"/>
    <w:rsid w:val="7929414C"/>
    <w:rsid w:val="79305402"/>
    <w:rsid w:val="79372FE3"/>
    <w:rsid w:val="79464C25"/>
    <w:rsid w:val="79570579"/>
    <w:rsid w:val="795F1843"/>
    <w:rsid w:val="796055BB"/>
    <w:rsid w:val="796E1A86"/>
    <w:rsid w:val="79735104"/>
    <w:rsid w:val="797F0137"/>
    <w:rsid w:val="79831254"/>
    <w:rsid w:val="798B088A"/>
    <w:rsid w:val="79960FDD"/>
    <w:rsid w:val="799E680F"/>
    <w:rsid w:val="79AC04DB"/>
    <w:rsid w:val="79C2550E"/>
    <w:rsid w:val="79CD2C51"/>
    <w:rsid w:val="79D520C2"/>
    <w:rsid w:val="79E47F9A"/>
    <w:rsid w:val="79E9735F"/>
    <w:rsid w:val="79F0693F"/>
    <w:rsid w:val="79FC1788"/>
    <w:rsid w:val="7A04089F"/>
    <w:rsid w:val="7A0E5634"/>
    <w:rsid w:val="7A192506"/>
    <w:rsid w:val="7A1A39BC"/>
    <w:rsid w:val="7A287E87"/>
    <w:rsid w:val="7A2B3E1B"/>
    <w:rsid w:val="7A3031E0"/>
    <w:rsid w:val="7A375C81"/>
    <w:rsid w:val="7A430FF8"/>
    <w:rsid w:val="7A4A24F3"/>
    <w:rsid w:val="7A4D684A"/>
    <w:rsid w:val="7A552C46"/>
    <w:rsid w:val="7A6608B1"/>
    <w:rsid w:val="7A662F96"/>
    <w:rsid w:val="7A6C06BC"/>
    <w:rsid w:val="7A702E01"/>
    <w:rsid w:val="7A721A4A"/>
    <w:rsid w:val="7A7430CC"/>
    <w:rsid w:val="7A7D0F77"/>
    <w:rsid w:val="7AA31834"/>
    <w:rsid w:val="7AA80FC8"/>
    <w:rsid w:val="7AA8721A"/>
    <w:rsid w:val="7AAC6D0A"/>
    <w:rsid w:val="7AB95967"/>
    <w:rsid w:val="7AD149C3"/>
    <w:rsid w:val="7AD15CA8"/>
    <w:rsid w:val="7AD87AFF"/>
    <w:rsid w:val="7AE446F6"/>
    <w:rsid w:val="7AE77D42"/>
    <w:rsid w:val="7AED10D1"/>
    <w:rsid w:val="7AF03EEB"/>
    <w:rsid w:val="7AFD7566"/>
    <w:rsid w:val="7B047C5F"/>
    <w:rsid w:val="7B1A46D0"/>
    <w:rsid w:val="7B2523A0"/>
    <w:rsid w:val="7B3A2568"/>
    <w:rsid w:val="7B5D2F6E"/>
    <w:rsid w:val="7B62561B"/>
    <w:rsid w:val="7B643141"/>
    <w:rsid w:val="7B654895"/>
    <w:rsid w:val="7B784E3E"/>
    <w:rsid w:val="7B7F61CD"/>
    <w:rsid w:val="7B801C90"/>
    <w:rsid w:val="7B8D0D53"/>
    <w:rsid w:val="7B8F3F36"/>
    <w:rsid w:val="7BA613F2"/>
    <w:rsid w:val="7BBC2F7D"/>
    <w:rsid w:val="7BCB1412"/>
    <w:rsid w:val="7BCC2ADE"/>
    <w:rsid w:val="7BD52290"/>
    <w:rsid w:val="7BD83B2F"/>
    <w:rsid w:val="7BE25D9C"/>
    <w:rsid w:val="7BE44282"/>
    <w:rsid w:val="7BF10F61"/>
    <w:rsid w:val="7BF762BD"/>
    <w:rsid w:val="7C1375C4"/>
    <w:rsid w:val="7C1508DF"/>
    <w:rsid w:val="7C1A5EF5"/>
    <w:rsid w:val="7C2428D0"/>
    <w:rsid w:val="7C2D683C"/>
    <w:rsid w:val="7C31704E"/>
    <w:rsid w:val="7C3F595C"/>
    <w:rsid w:val="7C404415"/>
    <w:rsid w:val="7C5014A4"/>
    <w:rsid w:val="7C541407"/>
    <w:rsid w:val="7C556F2D"/>
    <w:rsid w:val="7C6333F8"/>
    <w:rsid w:val="7C6929D9"/>
    <w:rsid w:val="7C701FB9"/>
    <w:rsid w:val="7C703D67"/>
    <w:rsid w:val="7C874052"/>
    <w:rsid w:val="7C8B0BA1"/>
    <w:rsid w:val="7C8D22CD"/>
    <w:rsid w:val="7C920181"/>
    <w:rsid w:val="7C975798"/>
    <w:rsid w:val="7CA3413D"/>
    <w:rsid w:val="7CAF2AE1"/>
    <w:rsid w:val="7CAF663E"/>
    <w:rsid w:val="7CB45401"/>
    <w:rsid w:val="7CB4634A"/>
    <w:rsid w:val="7CC540B3"/>
    <w:rsid w:val="7CCC5441"/>
    <w:rsid w:val="7CD6006E"/>
    <w:rsid w:val="7CD959FC"/>
    <w:rsid w:val="7CE3246D"/>
    <w:rsid w:val="7CE65DD7"/>
    <w:rsid w:val="7CEA4578"/>
    <w:rsid w:val="7D0A41BC"/>
    <w:rsid w:val="7D1172F8"/>
    <w:rsid w:val="7D176EF6"/>
    <w:rsid w:val="7D1868D9"/>
    <w:rsid w:val="7D19138E"/>
    <w:rsid w:val="7D1C2A4A"/>
    <w:rsid w:val="7D3624B9"/>
    <w:rsid w:val="7D3B37FD"/>
    <w:rsid w:val="7D3F67F0"/>
    <w:rsid w:val="7D4F7E21"/>
    <w:rsid w:val="7D5316BF"/>
    <w:rsid w:val="7D5373C7"/>
    <w:rsid w:val="7D592A4D"/>
    <w:rsid w:val="7D603DDC"/>
    <w:rsid w:val="7D76142E"/>
    <w:rsid w:val="7D7E4262"/>
    <w:rsid w:val="7D80622C"/>
    <w:rsid w:val="7D8D4FAE"/>
    <w:rsid w:val="7D99109C"/>
    <w:rsid w:val="7D9B153D"/>
    <w:rsid w:val="7DBC68B1"/>
    <w:rsid w:val="7DC6108F"/>
    <w:rsid w:val="7DCE734D"/>
    <w:rsid w:val="7DD547CA"/>
    <w:rsid w:val="7DE0039D"/>
    <w:rsid w:val="7DE1316F"/>
    <w:rsid w:val="7DE16709"/>
    <w:rsid w:val="7DE71E07"/>
    <w:rsid w:val="7DEE13E8"/>
    <w:rsid w:val="7E0160F3"/>
    <w:rsid w:val="7E020C51"/>
    <w:rsid w:val="7E0C73F1"/>
    <w:rsid w:val="7E154BC6"/>
    <w:rsid w:val="7E192648"/>
    <w:rsid w:val="7E252C6D"/>
    <w:rsid w:val="7E265025"/>
    <w:rsid w:val="7E282B4B"/>
    <w:rsid w:val="7E2B43EA"/>
    <w:rsid w:val="7E307C52"/>
    <w:rsid w:val="7E394D59"/>
    <w:rsid w:val="7E3E236F"/>
    <w:rsid w:val="7E461224"/>
    <w:rsid w:val="7E6416AA"/>
    <w:rsid w:val="7E696CC0"/>
    <w:rsid w:val="7E7A0EC3"/>
    <w:rsid w:val="7E7B20B0"/>
    <w:rsid w:val="7E7FB635"/>
    <w:rsid w:val="7EA45F4A"/>
    <w:rsid w:val="7EA61CC2"/>
    <w:rsid w:val="7EA83C8C"/>
    <w:rsid w:val="7EAD3464"/>
    <w:rsid w:val="7EAF6DC9"/>
    <w:rsid w:val="7EB268B9"/>
    <w:rsid w:val="7EBC7738"/>
    <w:rsid w:val="7EBE0DBA"/>
    <w:rsid w:val="7EC30AC6"/>
    <w:rsid w:val="7ECF746B"/>
    <w:rsid w:val="7ED405DD"/>
    <w:rsid w:val="7ED42AD9"/>
    <w:rsid w:val="7EE84089"/>
    <w:rsid w:val="7EF52D2E"/>
    <w:rsid w:val="7EF7251E"/>
    <w:rsid w:val="7EFE1AFE"/>
    <w:rsid w:val="7F006B62"/>
    <w:rsid w:val="7F0215EE"/>
    <w:rsid w:val="7F081D37"/>
    <w:rsid w:val="7F0A41FB"/>
    <w:rsid w:val="7F0B6BC4"/>
    <w:rsid w:val="7F207601"/>
    <w:rsid w:val="7F272E03"/>
    <w:rsid w:val="7F41056D"/>
    <w:rsid w:val="7F44516A"/>
    <w:rsid w:val="7F4F2776"/>
    <w:rsid w:val="7F515FCF"/>
    <w:rsid w:val="7F5160D2"/>
    <w:rsid w:val="7F597239"/>
    <w:rsid w:val="7F711C5B"/>
    <w:rsid w:val="7F7122D0"/>
    <w:rsid w:val="7F721BA4"/>
    <w:rsid w:val="7F73429A"/>
    <w:rsid w:val="7F7E3C4C"/>
    <w:rsid w:val="7F8731A0"/>
    <w:rsid w:val="7F894ADA"/>
    <w:rsid w:val="7F967F89"/>
    <w:rsid w:val="7FB14DC3"/>
    <w:rsid w:val="7FB16B71"/>
    <w:rsid w:val="7FB34697"/>
    <w:rsid w:val="7FB4040F"/>
    <w:rsid w:val="7FC40652"/>
    <w:rsid w:val="7FD4460D"/>
    <w:rsid w:val="7FDC1A73"/>
    <w:rsid w:val="7FDD7966"/>
    <w:rsid w:val="7FE01204"/>
    <w:rsid w:val="7FE74340"/>
    <w:rsid w:val="7FF01447"/>
    <w:rsid w:val="7FF52F01"/>
    <w:rsid w:val="7FF76C79"/>
    <w:rsid w:val="7FFE2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qFormat="1" w:unhideWhenUsed="0" w:uiPriority="0"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53"/>
    <w:autoRedefine/>
    <w:qFormat/>
    <w:uiPriority w:val="0"/>
    <w:pPr>
      <w:keepNext/>
      <w:spacing w:line="360" w:lineRule="auto"/>
      <w:jc w:val="center"/>
      <w:outlineLvl w:val="0"/>
    </w:pPr>
    <w:rPr>
      <w:b/>
      <w:sz w:val="32"/>
    </w:rPr>
  </w:style>
  <w:style w:type="paragraph" w:styleId="4">
    <w:name w:val="heading 2"/>
    <w:basedOn w:val="1"/>
    <w:next w:val="5"/>
    <w:link w:val="154"/>
    <w:autoRedefine/>
    <w:qFormat/>
    <w:uiPriority w:val="0"/>
    <w:pPr>
      <w:keepNext/>
      <w:keepLines/>
      <w:spacing w:before="260" w:after="260" w:line="360" w:lineRule="auto"/>
      <w:jc w:val="center"/>
      <w:outlineLvl w:val="1"/>
    </w:pPr>
    <w:rPr>
      <w:rFonts w:ascii="Arial" w:hAnsi="Arial"/>
      <w:b/>
      <w:sz w:val="30"/>
    </w:rPr>
  </w:style>
  <w:style w:type="paragraph" w:styleId="6">
    <w:name w:val="heading 3"/>
    <w:basedOn w:val="1"/>
    <w:next w:val="1"/>
    <w:link w:val="156"/>
    <w:autoRedefine/>
    <w:qFormat/>
    <w:uiPriority w:val="0"/>
    <w:pPr>
      <w:keepNext/>
      <w:keepLines/>
      <w:spacing w:before="260" w:after="260" w:line="416" w:lineRule="auto"/>
      <w:outlineLvl w:val="2"/>
    </w:pPr>
    <w:rPr>
      <w:b/>
      <w:bCs/>
      <w:sz w:val="32"/>
      <w:szCs w:val="32"/>
    </w:rPr>
  </w:style>
  <w:style w:type="paragraph" w:styleId="7">
    <w:name w:val="heading 4"/>
    <w:basedOn w:val="1"/>
    <w:next w:val="1"/>
    <w:link w:val="157"/>
    <w:autoRedefine/>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158"/>
    <w:autoRedefine/>
    <w:qFormat/>
    <w:uiPriority w:val="0"/>
    <w:pPr>
      <w:keepNext/>
      <w:keepLines/>
      <w:tabs>
        <w:tab w:val="left" w:pos="1468"/>
      </w:tabs>
      <w:spacing w:before="280" w:after="290" w:line="372" w:lineRule="auto"/>
      <w:ind w:left="1468" w:hanging="900"/>
      <w:outlineLvl w:val="4"/>
    </w:pPr>
    <w:rPr>
      <w:b/>
      <w:sz w:val="28"/>
    </w:rPr>
  </w:style>
  <w:style w:type="paragraph" w:styleId="9">
    <w:name w:val="heading 6"/>
    <w:basedOn w:val="1"/>
    <w:next w:val="1"/>
    <w:link w:val="159"/>
    <w:qFormat/>
    <w:uiPriority w:val="0"/>
    <w:pPr>
      <w:keepNext/>
      <w:keepLines/>
      <w:tabs>
        <w:tab w:val="left" w:pos="1468"/>
      </w:tabs>
      <w:spacing w:before="240" w:after="64" w:line="317" w:lineRule="auto"/>
      <w:ind w:left="1468" w:hanging="900"/>
      <w:outlineLvl w:val="5"/>
    </w:pPr>
    <w:rPr>
      <w:rFonts w:ascii="Arial" w:hAnsi="Arial" w:eastAsia="黑体"/>
      <w:b/>
      <w:sz w:val="24"/>
    </w:rPr>
  </w:style>
  <w:style w:type="paragraph" w:styleId="10">
    <w:name w:val="heading 7"/>
    <w:basedOn w:val="1"/>
    <w:next w:val="1"/>
    <w:link w:val="160"/>
    <w:autoRedefine/>
    <w:qFormat/>
    <w:uiPriority w:val="0"/>
    <w:pPr>
      <w:keepNext/>
      <w:keepLines/>
      <w:tabs>
        <w:tab w:val="left" w:pos="1468"/>
      </w:tabs>
      <w:spacing w:before="240" w:after="64" w:line="317" w:lineRule="auto"/>
      <w:ind w:left="1468" w:hanging="900"/>
      <w:outlineLvl w:val="6"/>
    </w:pPr>
    <w:rPr>
      <w:b/>
      <w:sz w:val="24"/>
    </w:rPr>
  </w:style>
  <w:style w:type="paragraph" w:styleId="11">
    <w:name w:val="heading 8"/>
    <w:basedOn w:val="1"/>
    <w:next w:val="1"/>
    <w:link w:val="161"/>
    <w:autoRedefine/>
    <w:qFormat/>
    <w:uiPriority w:val="0"/>
    <w:pPr>
      <w:keepNext/>
      <w:keepLines/>
      <w:tabs>
        <w:tab w:val="left" w:pos="1468"/>
      </w:tabs>
      <w:spacing w:before="240" w:after="64" w:line="317" w:lineRule="auto"/>
      <w:ind w:left="1468" w:hanging="900"/>
      <w:outlineLvl w:val="7"/>
    </w:pPr>
    <w:rPr>
      <w:rFonts w:ascii="Arial" w:hAnsi="Arial" w:eastAsia="黑体"/>
      <w:sz w:val="24"/>
    </w:rPr>
  </w:style>
  <w:style w:type="paragraph" w:styleId="12">
    <w:name w:val="heading 9"/>
    <w:basedOn w:val="1"/>
    <w:next w:val="1"/>
    <w:link w:val="162"/>
    <w:autoRedefine/>
    <w:qFormat/>
    <w:uiPriority w:val="0"/>
    <w:pPr>
      <w:keepNext/>
      <w:keepLines/>
      <w:tabs>
        <w:tab w:val="left" w:pos="1468"/>
      </w:tabs>
      <w:spacing w:before="240" w:after="64" w:line="317" w:lineRule="auto"/>
      <w:ind w:left="1468" w:hanging="900"/>
      <w:outlineLvl w:val="8"/>
    </w:pPr>
    <w:rPr>
      <w:rFonts w:ascii="Arial" w:hAnsi="Arial" w:eastAsia="黑体"/>
    </w:rPr>
  </w:style>
  <w:style w:type="character" w:default="1" w:styleId="133">
    <w:name w:val="Default Paragraph Font"/>
    <w:semiHidden/>
    <w:unhideWhenUsed/>
    <w:qFormat/>
    <w:uiPriority w:val="1"/>
  </w:style>
  <w:style w:type="table" w:default="1" w:styleId="87">
    <w:name w:val="Normal Table"/>
    <w:semiHidden/>
    <w:unhideWhenUsed/>
    <w:qFormat/>
    <w:uiPriority w:val="99"/>
    <w:tblPr>
      <w:tblCellMar>
        <w:top w:w="0" w:type="dxa"/>
        <w:left w:w="108" w:type="dxa"/>
        <w:bottom w:w="0" w:type="dxa"/>
        <w:right w:w="108" w:type="dxa"/>
      </w:tblCellMar>
    </w:tblPr>
  </w:style>
  <w:style w:type="paragraph" w:styleId="2">
    <w:name w:val="macro"/>
    <w:link w:val="152"/>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lang w:val="en-US" w:eastAsia="zh-CN" w:bidi="ar-SA"/>
    </w:rPr>
  </w:style>
  <w:style w:type="paragraph" w:styleId="5">
    <w:name w:val="Normal Indent"/>
    <w:basedOn w:val="1"/>
    <w:next w:val="1"/>
    <w:link w:val="155"/>
    <w:autoRedefine/>
    <w:qFormat/>
    <w:uiPriority w:val="0"/>
    <w:pPr>
      <w:ind w:firstLine="420" w:firstLineChars="200"/>
    </w:pPr>
    <w:rPr>
      <w:szCs w:val="24"/>
    </w:rPr>
  </w:style>
  <w:style w:type="paragraph" w:styleId="13">
    <w:name w:val="List 3"/>
    <w:basedOn w:val="1"/>
    <w:qFormat/>
    <w:uiPriority w:val="0"/>
    <w:pPr>
      <w:spacing w:line="360" w:lineRule="auto"/>
      <w:ind w:left="100" w:leftChars="400" w:hanging="200" w:hangingChars="200"/>
    </w:pPr>
    <w:rPr>
      <w:szCs w:val="24"/>
    </w:rPr>
  </w:style>
  <w:style w:type="paragraph" w:styleId="14">
    <w:name w:val="toc 7"/>
    <w:basedOn w:val="1"/>
    <w:next w:val="1"/>
    <w:autoRedefine/>
    <w:qFormat/>
    <w:uiPriority w:val="0"/>
    <w:pPr>
      <w:ind w:left="2520" w:leftChars="1200"/>
    </w:pPr>
    <w:rPr>
      <w:rFonts w:ascii="等线" w:hAnsi="等线" w:eastAsia="等线"/>
      <w:szCs w:val="22"/>
    </w:rPr>
  </w:style>
  <w:style w:type="paragraph" w:styleId="15">
    <w:name w:val="List Number 2"/>
    <w:basedOn w:val="1"/>
    <w:autoRedefine/>
    <w:qFormat/>
    <w:uiPriority w:val="0"/>
    <w:pPr>
      <w:tabs>
        <w:tab w:val="left" w:pos="992"/>
        <w:tab w:val="left" w:pos="1202"/>
      </w:tabs>
      <w:ind w:left="992" w:hanging="567"/>
    </w:pPr>
    <w:rPr>
      <w:rFonts w:hint="eastAsia"/>
      <w:sz w:val="24"/>
    </w:rPr>
  </w:style>
  <w:style w:type="paragraph" w:styleId="16">
    <w:name w:val="table of authorities"/>
    <w:next w:val="1"/>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17">
    <w:name w:val="Note Heading"/>
    <w:basedOn w:val="1"/>
    <w:next w:val="1"/>
    <w:link w:val="163"/>
    <w:autoRedefine/>
    <w:qFormat/>
    <w:uiPriority w:val="0"/>
    <w:pPr>
      <w:jc w:val="center"/>
    </w:pPr>
    <w:rPr>
      <w:rFonts w:hint="eastAsia"/>
    </w:rPr>
  </w:style>
  <w:style w:type="paragraph" w:styleId="18">
    <w:name w:val="List Bullet 4"/>
    <w:basedOn w:val="1"/>
    <w:autoRedefine/>
    <w:qFormat/>
    <w:uiPriority w:val="0"/>
    <w:pPr>
      <w:tabs>
        <w:tab w:val="left" w:pos="1620"/>
      </w:tabs>
    </w:pPr>
    <w:rPr>
      <w:szCs w:val="24"/>
    </w:rPr>
  </w:style>
  <w:style w:type="paragraph" w:styleId="19">
    <w:name w:val="index 8"/>
    <w:basedOn w:val="1"/>
    <w:next w:val="1"/>
    <w:autoRedefine/>
    <w:qFormat/>
    <w:uiPriority w:val="0"/>
    <w:pPr>
      <w:ind w:left="2940"/>
    </w:pPr>
    <w:rPr>
      <w:szCs w:val="24"/>
    </w:rPr>
  </w:style>
  <w:style w:type="paragraph" w:styleId="20">
    <w:name w:val="E-mail Signature"/>
    <w:basedOn w:val="1"/>
    <w:link w:val="164"/>
    <w:autoRedefine/>
    <w:qFormat/>
    <w:uiPriority w:val="0"/>
    <w:pPr>
      <w:widowControl/>
      <w:jc w:val="left"/>
    </w:pPr>
    <w:rPr>
      <w:rFonts w:ascii="Tahoma" w:hAnsi="Tahoma"/>
      <w:kern w:val="0"/>
      <w:sz w:val="16"/>
      <w:szCs w:val="24"/>
      <w:lang w:eastAsia="en-US"/>
    </w:rPr>
  </w:style>
  <w:style w:type="paragraph" w:styleId="21">
    <w:name w:val="List Number"/>
    <w:basedOn w:val="1"/>
    <w:autoRedefine/>
    <w:qFormat/>
    <w:uiPriority w:val="0"/>
    <w:pPr>
      <w:tabs>
        <w:tab w:val="left" w:pos="360"/>
      </w:tabs>
      <w:spacing w:line="360" w:lineRule="auto"/>
      <w:ind w:firstLine="480" w:firstLineChars="200"/>
    </w:pPr>
    <w:rPr>
      <w:sz w:val="24"/>
    </w:rPr>
  </w:style>
  <w:style w:type="paragraph" w:styleId="22">
    <w:name w:val="caption"/>
    <w:basedOn w:val="1"/>
    <w:next w:val="1"/>
    <w:link w:val="165"/>
    <w:autoRedefine/>
    <w:qFormat/>
    <w:uiPriority w:val="0"/>
    <w:pPr>
      <w:spacing w:line="360" w:lineRule="auto"/>
      <w:jc w:val="center"/>
    </w:pPr>
    <w:rPr>
      <w:rFonts w:ascii="Arial Unicode MS" w:hAnsi="Arial Unicode MS" w:cs="宋体"/>
    </w:rPr>
  </w:style>
  <w:style w:type="paragraph" w:styleId="23">
    <w:name w:val="index 5"/>
    <w:basedOn w:val="1"/>
    <w:next w:val="1"/>
    <w:autoRedefine/>
    <w:qFormat/>
    <w:uiPriority w:val="0"/>
    <w:pPr>
      <w:ind w:left="1680"/>
    </w:pPr>
    <w:rPr>
      <w:szCs w:val="24"/>
    </w:rPr>
  </w:style>
  <w:style w:type="paragraph" w:styleId="24">
    <w:name w:val="List Bullet"/>
    <w:basedOn w:val="1"/>
    <w:autoRedefine/>
    <w:qFormat/>
    <w:uiPriority w:val="0"/>
    <w:pPr>
      <w:numPr>
        <w:ilvl w:val="0"/>
        <w:numId w:val="1"/>
      </w:numPr>
      <w:spacing w:line="360" w:lineRule="auto"/>
      <w:contextualSpacing/>
    </w:pPr>
    <w:rPr>
      <w:sz w:val="24"/>
      <w:szCs w:val="24"/>
    </w:rPr>
  </w:style>
  <w:style w:type="paragraph" w:styleId="25">
    <w:name w:val="envelope address"/>
    <w:basedOn w:val="1"/>
    <w:autoRedefine/>
    <w:qFormat/>
    <w:uiPriority w:val="0"/>
    <w:pPr>
      <w:framePr w:w="7920" w:h="1980" w:hRule="exact" w:hSpace="180" w:wrap="around" w:vAnchor="margin" w:hAnchor="page" w:xAlign="center" w:yAlign="bottom"/>
      <w:snapToGrid w:val="0"/>
      <w:spacing w:line="360" w:lineRule="auto"/>
      <w:ind w:left="100" w:leftChars="1400" w:firstLine="200" w:firstLineChars="200"/>
    </w:pPr>
    <w:rPr>
      <w:rFonts w:ascii="Arial" w:hAnsi="Arial" w:eastAsia="仿宋_GB2312" w:cs="Arial"/>
      <w:sz w:val="24"/>
      <w:szCs w:val="24"/>
    </w:rPr>
  </w:style>
  <w:style w:type="paragraph" w:styleId="26">
    <w:name w:val="Document Map"/>
    <w:basedOn w:val="1"/>
    <w:link w:val="166"/>
    <w:autoRedefine/>
    <w:qFormat/>
    <w:uiPriority w:val="0"/>
    <w:pPr>
      <w:shd w:val="clear" w:color="auto" w:fill="000080"/>
    </w:pPr>
  </w:style>
  <w:style w:type="paragraph" w:styleId="27">
    <w:name w:val="annotation text"/>
    <w:basedOn w:val="1"/>
    <w:link w:val="167"/>
    <w:autoRedefine/>
    <w:qFormat/>
    <w:uiPriority w:val="0"/>
    <w:pPr>
      <w:spacing w:line="360" w:lineRule="auto"/>
      <w:ind w:firstLine="200" w:firstLineChars="200"/>
      <w:jc w:val="left"/>
    </w:pPr>
    <w:rPr>
      <w:rFonts w:ascii="Arial" w:hAnsi="Arial" w:cs="宋体"/>
      <w:sz w:val="24"/>
    </w:rPr>
  </w:style>
  <w:style w:type="paragraph" w:styleId="28">
    <w:name w:val="index 6"/>
    <w:basedOn w:val="1"/>
    <w:next w:val="1"/>
    <w:autoRedefine/>
    <w:qFormat/>
    <w:uiPriority w:val="0"/>
    <w:pPr>
      <w:ind w:left="2100"/>
    </w:pPr>
    <w:rPr>
      <w:szCs w:val="24"/>
    </w:rPr>
  </w:style>
  <w:style w:type="paragraph" w:styleId="29">
    <w:name w:val="Salutation"/>
    <w:basedOn w:val="1"/>
    <w:next w:val="1"/>
    <w:link w:val="168"/>
    <w:autoRedefine/>
    <w:qFormat/>
    <w:uiPriority w:val="0"/>
    <w:rPr>
      <w:rFonts w:ascii="宋体"/>
      <w:b/>
      <w:sz w:val="28"/>
    </w:rPr>
  </w:style>
  <w:style w:type="paragraph" w:styleId="30">
    <w:name w:val="Body Text 3"/>
    <w:basedOn w:val="1"/>
    <w:link w:val="169"/>
    <w:autoRedefine/>
    <w:qFormat/>
    <w:uiPriority w:val="0"/>
    <w:pPr>
      <w:spacing w:after="120" w:line="360" w:lineRule="auto"/>
      <w:ind w:firstLine="480" w:firstLineChars="200"/>
    </w:pPr>
    <w:rPr>
      <w:sz w:val="16"/>
      <w:szCs w:val="16"/>
    </w:rPr>
  </w:style>
  <w:style w:type="paragraph" w:styleId="31">
    <w:name w:val="Closing"/>
    <w:basedOn w:val="1"/>
    <w:link w:val="170"/>
    <w:autoRedefine/>
    <w:qFormat/>
    <w:uiPriority w:val="0"/>
    <w:pPr>
      <w:ind w:left="100" w:leftChars="2100"/>
    </w:pPr>
    <w:rPr>
      <w:szCs w:val="24"/>
    </w:rPr>
  </w:style>
  <w:style w:type="paragraph" w:styleId="32">
    <w:name w:val="List Bullet 3"/>
    <w:basedOn w:val="1"/>
    <w:autoRedefine/>
    <w:qFormat/>
    <w:uiPriority w:val="0"/>
    <w:pPr>
      <w:numPr>
        <w:ilvl w:val="0"/>
        <w:numId w:val="2"/>
      </w:numPr>
      <w:spacing w:line="360" w:lineRule="auto"/>
    </w:pPr>
    <w:rPr>
      <w:sz w:val="24"/>
      <w:szCs w:val="21"/>
    </w:rPr>
  </w:style>
  <w:style w:type="paragraph" w:styleId="33">
    <w:name w:val="Body Text"/>
    <w:basedOn w:val="1"/>
    <w:next w:val="1"/>
    <w:link w:val="171"/>
    <w:autoRedefine/>
    <w:qFormat/>
    <w:uiPriority w:val="0"/>
    <w:rPr>
      <w:rFonts w:ascii="Arial" w:hAnsi="Arial"/>
      <w:sz w:val="24"/>
    </w:rPr>
  </w:style>
  <w:style w:type="paragraph" w:styleId="34">
    <w:name w:val="Body Text Indent"/>
    <w:basedOn w:val="1"/>
    <w:next w:val="1"/>
    <w:link w:val="173"/>
    <w:autoRedefine/>
    <w:qFormat/>
    <w:uiPriority w:val="0"/>
    <w:pPr>
      <w:ind w:firstLine="480"/>
    </w:pPr>
    <w:rPr>
      <w:rFonts w:ascii="宋体" w:hAnsi="宋体"/>
      <w:sz w:val="24"/>
    </w:rPr>
  </w:style>
  <w:style w:type="paragraph" w:styleId="35">
    <w:name w:val="List Number 3"/>
    <w:basedOn w:val="1"/>
    <w:autoRedefine/>
    <w:qFormat/>
    <w:uiPriority w:val="0"/>
    <w:pPr>
      <w:numPr>
        <w:ilvl w:val="0"/>
        <w:numId w:val="3"/>
      </w:numPr>
      <w:spacing w:line="312" w:lineRule="auto"/>
    </w:pPr>
    <w:rPr>
      <w:szCs w:val="24"/>
    </w:rPr>
  </w:style>
  <w:style w:type="paragraph" w:styleId="36">
    <w:name w:val="List 2"/>
    <w:basedOn w:val="1"/>
    <w:autoRedefine/>
    <w:qFormat/>
    <w:uiPriority w:val="0"/>
    <w:pPr>
      <w:spacing w:line="360" w:lineRule="auto"/>
      <w:ind w:left="100" w:leftChars="200" w:hanging="200" w:hangingChars="200"/>
    </w:pPr>
    <w:rPr>
      <w:sz w:val="24"/>
      <w:szCs w:val="24"/>
    </w:rPr>
  </w:style>
  <w:style w:type="paragraph" w:styleId="37">
    <w:name w:val="List Continue"/>
    <w:basedOn w:val="1"/>
    <w:autoRedefine/>
    <w:qFormat/>
    <w:uiPriority w:val="0"/>
    <w:pPr>
      <w:spacing w:after="120"/>
      <w:ind w:left="420" w:leftChars="200"/>
    </w:pPr>
    <w:rPr>
      <w:szCs w:val="24"/>
    </w:rPr>
  </w:style>
  <w:style w:type="paragraph" w:styleId="38">
    <w:name w:val="Block Text"/>
    <w:basedOn w:val="1"/>
    <w:autoRedefine/>
    <w:qFormat/>
    <w:uiPriority w:val="0"/>
    <w:pPr>
      <w:tabs>
        <w:tab w:val="left" w:pos="1160"/>
      </w:tabs>
      <w:spacing w:line="360" w:lineRule="auto"/>
      <w:ind w:left="740" w:right="88" w:rightChars="42" w:firstLine="40" w:firstLineChars="19"/>
    </w:pPr>
    <w:rPr>
      <w:sz w:val="24"/>
      <w:szCs w:val="24"/>
    </w:rPr>
  </w:style>
  <w:style w:type="paragraph" w:styleId="39">
    <w:name w:val="List Bullet 2"/>
    <w:basedOn w:val="1"/>
    <w:autoRedefine/>
    <w:qFormat/>
    <w:uiPriority w:val="0"/>
    <w:pPr>
      <w:numPr>
        <w:ilvl w:val="0"/>
        <w:numId w:val="4"/>
      </w:numPr>
      <w:spacing w:after="100" w:afterAutospacing="1" w:line="300" w:lineRule="auto"/>
      <w:ind w:firstLine="200" w:firstLineChars="200"/>
    </w:pPr>
    <w:rPr>
      <w:rFonts w:eastAsia="仿宋_GB2312"/>
      <w:sz w:val="24"/>
      <w:szCs w:val="24"/>
    </w:rPr>
  </w:style>
  <w:style w:type="paragraph" w:styleId="40">
    <w:name w:val="HTML Address"/>
    <w:basedOn w:val="1"/>
    <w:link w:val="174"/>
    <w:autoRedefine/>
    <w:qFormat/>
    <w:uiPriority w:val="0"/>
    <w:rPr>
      <w:i/>
      <w:iCs/>
      <w:szCs w:val="24"/>
    </w:rPr>
  </w:style>
  <w:style w:type="paragraph" w:styleId="41">
    <w:name w:val="index 4"/>
    <w:basedOn w:val="1"/>
    <w:next w:val="1"/>
    <w:autoRedefine/>
    <w:qFormat/>
    <w:uiPriority w:val="0"/>
    <w:pPr>
      <w:ind w:left="1260"/>
    </w:pPr>
    <w:rPr>
      <w:szCs w:val="24"/>
    </w:rPr>
  </w:style>
  <w:style w:type="paragraph" w:styleId="42">
    <w:name w:val="toc 5"/>
    <w:basedOn w:val="1"/>
    <w:next w:val="1"/>
    <w:autoRedefine/>
    <w:qFormat/>
    <w:uiPriority w:val="0"/>
    <w:pPr>
      <w:spacing w:line="360" w:lineRule="auto"/>
      <w:ind w:left="400" w:leftChars="400" w:firstLine="200" w:firstLineChars="200"/>
    </w:pPr>
    <w:rPr>
      <w:rFonts w:ascii="Arial" w:hAnsi="Arial" w:cs="宋体"/>
      <w:sz w:val="24"/>
    </w:rPr>
  </w:style>
  <w:style w:type="paragraph" w:styleId="43">
    <w:name w:val="toc 3"/>
    <w:basedOn w:val="1"/>
    <w:next w:val="1"/>
    <w:link w:val="175"/>
    <w:autoRedefine/>
    <w:qFormat/>
    <w:uiPriority w:val="0"/>
    <w:pPr>
      <w:spacing w:line="360" w:lineRule="auto"/>
      <w:ind w:left="840" w:leftChars="400"/>
    </w:pPr>
    <w:rPr>
      <w:sz w:val="24"/>
    </w:rPr>
  </w:style>
  <w:style w:type="paragraph" w:styleId="44">
    <w:name w:val="Plain Text"/>
    <w:basedOn w:val="1"/>
    <w:link w:val="176"/>
    <w:autoRedefine/>
    <w:qFormat/>
    <w:uiPriority w:val="0"/>
    <w:rPr>
      <w:rFonts w:ascii="宋体" w:hAnsi="Courier New"/>
    </w:rPr>
  </w:style>
  <w:style w:type="paragraph" w:styleId="45">
    <w:name w:val="List Bullet 5"/>
    <w:basedOn w:val="1"/>
    <w:autoRedefine/>
    <w:qFormat/>
    <w:uiPriority w:val="0"/>
    <w:pPr>
      <w:numPr>
        <w:ilvl w:val="0"/>
        <w:numId w:val="5"/>
      </w:numPr>
      <w:tabs>
        <w:tab w:val="left" w:pos="2040"/>
      </w:tabs>
      <w:ind w:firstLine="0"/>
    </w:pPr>
    <w:rPr>
      <w:szCs w:val="24"/>
    </w:rPr>
  </w:style>
  <w:style w:type="paragraph" w:styleId="46">
    <w:name w:val="List Number 4"/>
    <w:basedOn w:val="1"/>
    <w:autoRedefine/>
    <w:qFormat/>
    <w:uiPriority w:val="0"/>
    <w:pPr>
      <w:numPr>
        <w:ilvl w:val="0"/>
        <w:numId w:val="6"/>
      </w:numPr>
      <w:spacing w:beforeLines="50" w:afterLines="50" w:line="360" w:lineRule="auto"/>
    </w:pPr>
    <w:rPr>
      <w:sz w:val="24"/>
      <w:szCs w:val="24"/>
    </w:rPr>
  </w:style>
  <w:style w:type="paragraph" w:styleId="47">
    <w:name w:val="toc 8"/>
    <w:basedOn w:val="1"/>
    <w:next w:val="1"/>
    <w:autoRedefine/>
    <w:qFormat/>
    <w:uiPriority w:val="0"/>
    <w:pPr>
      <w:ind w:left="2940" w:leftChars="1400"/>
    </w:pPr>
    <w:rPr>
      <w:rFonts w:ascii="等线" w:hAnsi="等线" w:eastAsia="等线"/>
      <w:szCs w:val="22"/>
    </w:rPr>
  </w:style>
  <w:style w:type="paragraph" w:styleId="48">
    <w:name w:val="index 3"/>
    <w:basedOn w:val="1"/>
    <w:next w:val="1"/>
    <w:autoRedefine/>
    <w:qFormat/>
    <w:uiPriority w:val="0"/>
    <w:pPr>
      <w:ind w:left="840"/>
    </w:pPr>
    <w:rPr>
      <w:szCs w:val="24"/>
    </w:rPr>
  </w:style>
  <w:style w:type="paragraph" w:styleId="49">
    <w:name w:val="Date"/>
    <w:basedOn w:val="1"/>
    <w:next w:val="1"/>
    <w:link w:val="177"/>
    <w:autoRedefine/>
    <w:qFormat/>
    <w:uiPriority w:val="0"/>
    <w:pPr>
      <w:ind w:left="100"/>
    </w:pPr>
    <w:rPr>
      <w:sz w:val="24"/>
    </w:rPr>
  </w:style>
  <w:style w:type="paragraph" w:styleId="50">
    <w:name w:val="Body Text Indent 2"/>
    <w:basedOn w:val="1"/>
    <w:link w:val="151"/>
    <w:autoRedefine/>
    <w:qFormat/>
    <w:uiPriority w:val="0"/>
    <w:pPr>
      <w:ind w:firstLine="435"/>
    </w:pPr>
    <w:rPr>
      <w:rFonts w:ascii="宋体" w:hAnsi="宋体"/>
      <w:sz w:val="24"/>
    </w:rPr>
  </w:style>
  <w:style w:type="paragraph" w:styleId="51">
    <w:name w:val="endnote text"/>
    <w:basedOn w:val="1"/>
    <w:link w:val="178"/>
    <w:autoRedefine/>
    <w:qFormat/>
    <w:uiPriority w:val="0"/>
    <w:pPr>
      <w:snapToGrid w:val="0"/>
      <w:spacing w:line="360" w:lineRule="auto"/>
      <w:ind w:firstLine="200" w:firstLineChars="200"/>
      <w:jc w:val="left"/>
    </w:pPr>
    <w:rPr>
      <w:rFonts w:ascii="Arial" w:hAnsi="Arial" w:eastAsia="仿宋" w:cs="宋体"/>
      <w:sz w:val="24"/>
    </w:rPr>
  </w:style>
  <w:style w:type="paragraph" w:styleId="52">
    <w:name w:val="List Continue 5"/>
    <w:basedOn w:val="1"/>
    <w:autoRedefine/>
    <w:qFormat/>
    <w:uiPriority w:val="0"/>
    <w:pPr>
      <w:spacing w:after="120"/>
      <w:ind w:left="2100" w:leftChars="1000"/>
    </w:pPr>
    <w:rPr>
      <w:szCs w:val="24"/>
    </w:rPr>
  </w:style>
  <w:style w:type="paragraph" w:styleId="53">
    <w:name w:val="Balloon Text"/>
    <w:basedOn w:val="1"/>
    <w:link w:val="179"/>
    <w:autoRedefine/>
    <w:qFormat/>
    <w:uiPriority w:val="0"/>
    <w:rPr>
      <w:sz w:val="18"/>
      <w:szCs w:val="18"/>
    </w:rPr>
  </w:style>
  <w:style w:type="paragraph" w:styleId="54">
    <w:name w:val="footer"/>
    <w:basedOn w:val="1"/>
    <w:link w:val="180"/>
    <w:autoRedefine/>
    <w:qFormat/>
    <w:uiPriority w:val="0"/>
    <w:pPr>
      <w:tabs>
        <w:tab w:val="center" w:pos="4153"/>
        <w:tab w:val="right" w:pos="8306"/>
      </w:tabs>
      <w:snapToGrid w:val="0"/>
      <w:jc w:val="left"/>
    </w:pPr>
    <w:rPr>
      <w:sz w:val="18"/>
    </w:rPr>
  </w:style>
  <w:style w:type="paragraph" w:styleId="55">
    <w:name w:val="envelope return"/>
    <w:basedOn w:val="1"/>
    <w:autoRedefine/>
    <w:qFormat/>
    <w:uiPriority w:val="0"/>
    <w:pPr>
      <w:snapToGrid w:val="0"/>
      <w:spacing w:line="360" w:lineRule="auto"/>
    </w:pPr>
    <w:rPr>
      <w:rFonts w:ascii="Arial" w:hAnsi="Arial"/>
      <w:sz w:val="24"/>
    </w:rPr>
  </w:style>
  <w:style w:type="paragraph" w:styleId="56">
    <w:name w:val="header"/>
    <w:basedOn w:val="1"/>
    <w:link w:val="181"/>
    <w:autoRedefine/>
    <w:qFormat/>
    <w:uiPriority w:val="0"/>
    <w:pPr>
      <w:pBdr>
        <w:bottom w:val="single" w:color="auto" w:sz="6" w:space="1"/>
      </w:pBdr>
      <w:tabs>
        <w:tab w:val="center" w:pos="4153"/>
        <w:tab w:val="right" w:pos="8306"/>
      </w:tabs>
      <w:snapToGrid w:val="0"/>
      <w:jc w:val="center"/>
    </w:pPr>
    <w:rPr>
      <w:sz w:val="18"/>
    </w:rPr>
  </w:style>
  <w:style w:type="paragraph" w:styleId="57">
    <w:name w:val="Signature"/>
    <w:basedOn w:val="1"/>
    <w:link w:val="182"/>
    <w:autoRedefine/>
    <w:qFormat/>
    <w:uiPriority w:val="0"/>
    <w:pPr>
      <w:tabs>
        <w:tab w:val="left" w:pos="432"/>
        <w:tab w:val="left" w:pos="887"/>
      </w:tabs>
      <w:ind w:left="100" w:leftChars="2100"/>
    </w:pPr>
    <w:rPr>
      <w:szCs w:val="24"/>
    </w:rPr>
  </w:style>
  <w:style w:type="paragraph" w:styleId="58">
    <w:name w:val="toc 1"/>
    <w:basedOn w:val="1"/>
    <w:next w:val="1"/>
    <w:link w:val="183"/>
    <w:autoRedefine/>
    <w:qFormat/>
    <w:uiPriority w:val="0"/>
    <w:pPr>
      <w:spacing w:line="360" w:lineRule="auto"/>
    </w:pPr>
    <w:rPr>
      <w:sz w:val="24"/>
    </w:rPr>
  </w:style>
  <w:style w:type="paragraph" w:styleId="59">
    <w:name w:val="List Continue 4"/>
    <w:basedOn w:val="1"/>
    <w:autoRedefine/>
    <w:qFormat/>
    <w:uiPriority w:val="0"/>
    <w:pPr>
      <w:spacing w:after="120"/>
      <w:ind w:left="1680" w:leftChars="800"/>
    </w:pPr>
    <w:rPr>
      <w:szCs w:val="24"/>
    </w:rPr>
  </w:style>
  <w:style w:type="paragraph" w:styleId="60">
    <w:name w:val="toc 4"/>
    <w:basedOn w:val="1"/>
    <w:next w:val="1"/>
    <w:autoRedefine/>
    <w:qFormat/>
    <w:uiPriority w:val="0"/>
    <w:pPr>
      <w:spacing w:line="360" w:lineRule="auto"/>
      <w:ind w:left="300" w:leftChars="300" w:firstLine="200" w:firstLineChars="200"/>
    </w:pPr>
    <w:rPr>
      <w:rFonts w:ascii="Arial" w:hAnsi="Arial" w:cs="宋体"/>
      <w:sz w:val="24"/>
    </w:rPr>
  </w:style>
  <w:style w:type="paragraph" w:styleId="61">
    <w:name w:val="index heading"/>
    <w:basedOn w:val="1"/>
    <w:next w:val="62"/>
    <w:autoRedefine/>
    <w:qFormat/>
    <w:uiPriority w:val="0"/>
    <w:rPr>
      <w:rFonts w:hint="eastAsia" w:ascii="Arial" w:hAnsi="Arial"/>
      <w:b/>
    </w:rPr>
  </w:style>
  <w:style w:type="paragraph" w:styleId="62">
    <w:name w:val="index 1"/>
    <w:basedOn w:val="1"/>
    <w:next w:val="1"/>
    <w:autoRedefine/>
    <w:qFormat/>
    <w:uiPriority w:val="0"/>
  </w:style>
  <w:style w:type="paragraph" w:styleId="63">
    <w:name w:val="Subtitle"/>
    <w:basedOn w:val="1"/>
    <w:next w:val="1"/>
    <w:link w:val="184"/>
    <w:autoRedefine/>
    <w:qFormat/>
    <w:uiPriority w:val="0"/>
    <w:pPr>
      <w:spacing w:before="240" w:after="60" w:line="312" w:lineRule="auto"/>
      <w:jc w:val="center"/>
      <w:outlineLvl w:val="1"/>
    </w:pPr>
    <w:rPr>
      <w:rFonts w:ascii="Cambria" w:hAnsi="Cambria"/>
      <w:b/>
      <w:bCs/>
      <w:kern w:val="28"/>
      <w:sz w:val="32"/>
      <w:szCs w:val="32"/>
    </w:rPr>
  </w:style>
  <w:style w:type="paragraph" w:styleId="64">
    <w:name w:val="List Number 5"/>
    <w:basedOn w:val="1"/>
    <w:autoRedefine/>
    <w:qFormat/>
    <w:uiPriority w:val="0"/>
    <w:pPr>
      <w:numPr>
        <w:ilvl w:val="0"/>
        <w:numId w:val="7"/>
      </w:numPr>
      <w:contextualSpacing/>
    </w:pPr>
    <w:rPr>
      <w:rFonts w:ascii="Arial" w:hAnsi="Arial"/>
    </w:rPr>
  </w:style>
  <w:style w:type="paragraph" w:styleId="65">
    <w:name w:val="List"/>
    <w:basedOn w:val="1"/>
    <w:link w:val="185"/>
    <w:autoRedefine/>
    <w:qFormat/>
    <w:uiPriority w:val="0"/>
    <w:pPr>
      <w:spacing w:line="360" w:lineRule="auto"/>
      <w:ind w:left="200" w:hanging="200" w:hangingChars="200"/>
    </w:pPr>
    <w:rPr>
      <w:sz w:val="24"/>
      <w:szCs w:val="24"/>
    </w:rPr>
  </w:style>
  <w:style w:type="paragraph" w:styleId="66">
    <w:name w:val="footnote text"/>
    <w:basedOn w:val="1"/>
    <w:link w:val="186"/>
    <w:autoRedefine/>
    <w:qFormat/>
    <w:uiPriority w:val="0"/>
    <w:pPr>
      <w:snapToGrid w:val="0"/>
      <w:spacing w:line="360" w:lineRule="auto"/>
      <w:ind w:firstLine="200" w:firstLineChars="200"/>
      <w:jc w:val="left"/>
    </w:pPr>
    <w:rPr>
      <w:sz w:val="18"/>
      <w:szCs w:val="18"/>
    </w:rPr>
  </w:style>
  <w:style w:type="paragraph" w:styleId="67">
    <w:name w:val="toc 6"/>
    <w:basedOn w:val="1"/>
    <w:next w:val="1"/>
    <w:autoRedefine/>
    <w:qFormat/>
    <w:uiPriority w:val="0"/>
    <w:pPr>
      <w:ind w:left="2100" w:leftChars="1000"/>
    </w:pPr>
    <w:rPr>
      <w:rFonts w:ascii="等线" w:hAnsi="等线" w:eastAsia="等线"/>
      <w:szCs w:val="22"/>
    </w:rPr>
  </w:style>
  <w:style w:type="paragraph" w:styleId="68">
    <w:name w:val="List 5"/>
    <w:basedOn w:val="1"/>
    <w:autoRedefine/>
    <w:qFormat/>
    <w:uiPriority w:val="0"/>
    <w:pPr>
      <w:spacing w:line="360" w:lineRule="auto"/>
      <w:ind w:left="100" w:leftChars="800" w:hanging="200" w:hangingChars="200"/>
    </w:pPr>
    <w:rPr>
      <w:szCs w:val="24"/>
    </w:rPr>
  </w:style>
  <w:style w:type="paragraph" w:styleId="69">
    <w:name w:val="Body Text Indent 3"/>
    <w:basedOn w:val="1"/>
    <w:link w:val="187"/>
    <w:autoRedefine/>
    <w:qFormat/>
    <w:uiPriority w:val="0"/>
    <w:pPr>
      <w:ind w:left="471" w:hanging="471" w:hangingChars="200"/>
    </w:pPr>
    <w:rPr>
      <w:rFonts w:ascii="Arial" w:hAnsi="Arial" w:cs="Arial"/>
      <w:b/>
      <w:bCs/>
      <w:sz w:val="24"/>
    </w:rPr>
  </w:style>
  <w:style w:type="paragraph" w:styleId="70">
    <w:name w:val="index 7"/>
    <w:basedOn w:val="1"/>
    <w:next w:val="1"/>
    <w:autoRedefine/>
    <w:qFormat/>
    <w:uiPriority w:val="0"/>
    <w:pPr>
      <w:ind w:left="2520"/>
    </w:pPr>
    <w:rPr>
      <w:szCs w:val="24"/>
    </w:rPr>
  </w:style>
  <w:style w:type="paragraph" w:styleId="71">
    <w:name w:val="index 9"/>
    <w:basedOn w:val="1"/>
    <w:next w:val="1"/>
    <w:autoRedefine/>
    <w:qFormat/>
    <w:uiPriority w:val="0"/>
    <w:pPr>
      <w:ind w:left="3360"/>
    </w:pPr>
    <w:rPr>
      <w:szCs w:val="24"/>
    </w:rPr>
  </w:style>
  <w:style w:type="paragraph" w:styleId="72">
    <w:name w:val="table of figures"/>
    <w:basedOn w:val="1"/>
    <w:next w:val="1"/>
    <w:link w:val="188"/>
    <w:autoRedefine/>
    <w:qFormat/>
    <w:uiPriority w:val="0"/>
    <w:pPr>
      <w:spacing w:line="360" w:lineRule="auto"/>
      <w:ind w:left="840" w:leftChars="200" w:hanging="420" w:hangingChars="200"/>
    </w:pPr>
    <w:rPr>
      <w:rFonts w:ascii="Arial" w:hAnsi="Arial" w:cs="宋体"/>
      <w:sz w:val="24"/>
    </w:rPr>
  </w:style>
  <w:style w:type="paragraph" w:styleId="73">
    <w:name w:val="toc 2"/>
    <w:basedOn w:val="1"/>
    <w:next w:val="1"/>
    <w:link w:val="189"/>
    <w:autoRedefine/>
    <w:qFormat/>
    <w:uiPriority w:val="0"/>
    <w:pPr>
      <w:spacing w:line="360" w:lineRule="auto"/>
      <w:ind w:left="420" w:leftChars="200"/>
    </w:pPr>
    <w:rPr>
      <w:sz w:val="24"/>
    </w:rPr>
  </w:style>
  <w:style w:type="paragraph" w:styleId="74">
    <w:name w:val="toc 9"/>
    <w:basedOn w:val="1"/>
    <w:next w:val="1"/>
    <w:autoRedefine/>
    <w:qFormat/>
    <w:uiPriority w:val="0"/>
    <w:pPr>
      <w:ind w:left="3360" w:leftChars="1600"/>
    </w:pPr>
    <w:rPr>
      <w:rFonts w:ascii="等线" w:hAnsi="等线" w:eastAsia="等线"/>
      <w:szCs w:val="22"/>
    </w:rPr>
  </w:style>
  <w:style w:type="paragraph" w:styleId="75">
    <w:name w:val="Body Text 2"/>
    <w:basedOn w:val="1"/>
    <w:link w:val="190"/>
    <w:autoRedefine/>
    <w:qFormat/>
    <w:uiPriority w:val="0"/>
    <w:pPr>
      <w:spacing w:line="360" w:lineRule="auto"/>
    </w:pPr>
    <w:rPr>
      <w:b/>
      <w:sz w:val="28"/>
      <w:szCs w:val="21"/>
    </w:rPr>
  </w:style>
  <w:style w:type="paragraph" w:styleId="76">
    <w:name w:val="List 4"/>
    <w:basedOn w:val="1"/>
    <w:autoRedefine/>
    <w:qFormat/>
    <w:uiPriority w:val="0"/>
    <w:pPr>
      <w:autoSpaceDE w:val="0"/>
      <w:autoSpaceDN w:val="0"/>
      <w:adjustRightInd w:val="0"/>
      <w:spacing w:line="360" w:lineRule="auto"/>
      <w:ind w:left="100" w:leftChars="600" w:hanging="200" w:hangingChars="200"/>
      <w:jc w:val="left"/>
    </w:pPr>
    <w:rPr>
      <w:rFonts w:eastAsia="PMingLiU"/>
      <w:kern w:val="0"/>
      <w:sz w:val="24"/>
      <w:lang w:val="en-GB" w:eastAsia="zh-TW"/>
    </w:rPr>
  </w:style>
  <w:style w:type="paragraph" w:styleId="77">
    <w:name w:val="List Continue 2"/>
    <w:basedOn w:val="1"/>
    <w:autoRedefine/>
    <w:qFormat/>
    <w:uiPriority w:val="0"/>
    <w:pPr>
      <w:snapToGrid w:val="0"/>
      <w:spacing w:after="120" w:line="360" w:lineRule="auto"/>
      <w:ind w:firstLine="425"/>
    </w:pPr>
    <w:rPr>
      <w:sz w:val="24"/>
    </w:rPr>
  </w:style>
  <w:style w:type="paragraph" w:styleId="78">
    <w:name w:val="Message Header"/>
    <w:basedOn w:val="1"/>
    <w:link w:val="191"/>
    <w:autoRedefine/>
    <w:qFormat/>
    <w:uiPriority w:val="0"/>
    <w:pPr>
      <w:pBdr>
        <w:top w:val="single" w:color="auto" w:sz="6" w:space="1"/>
        <w:left w:val="single" w:color="auto" w:sz="6" w:space="1"/>
        <w:bottom w:val="single" w:color="auto" w:sz="6" w:space="1"/>
        <w:right w:val="single" w:color="auto" w:sz="6" w:space="1"/>
      </w:pBdr>
      <w:shd w:val="pct20" w:color="auto" w:fill="auto"/>
      <w:spacing w:line="360" w:lineRule="auto"/>
      <w:ind w:left="1080" w:leftChars="500" w:hanging="1080" w:hangingChars="500"/>
    </w:pPr>
    <w:rPr>
      <w:rFonts w:ascii="Arial" w:hAnsi="Arial" w:eastAsia="仿宋_GB2312" w:cs="Arial"/>
      <w:sz w:val="24"/>
      <w:szCs w:val="24"/>
    </w:rPr>
  </w:style>
  <w:style w:type="paragraph" w:styleId="79">
    <w:name w:val="HTML Preformatted"/>
    <w:basedOn w:val="1"/>
    <w:link w:val="19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80">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81">
    <w:name w:val="List Continue 3"/>
    <w:basedOn w:val="1"/>
    <w:autoRedefine/>
    <w:qFormat/>
    <w:uiPriority w:val="0"/>
    <w:pPr>
      <w:spacing w:after="120"/>
      <w:ind w:left="1260" w:leftChars="600"/>
    </w:pPr>
    <w:rPr>
      <w:szCs w:val="24"/>
    </w:rPr>
  </w:style>
  <w:style w:type="paragraph" w:styleId="82">
    <w:name w:val="index 2"/>
    <w:basedOn w:val="1"/>
    <w:next w:val="1"/>
    <w:autoRedefine/>
    <w:qFormat/>
    <w:uiPriority w:val="0"/>
    <w:pPr>
      <w:ind w:left="420"/>
    </w:pPr>
    <w:rPr>
      <w:szCs w:val="24"/>
    </w:rPr>
  </w:style>
  <w:style w:type="paragraph" w:styleId="83">
    <w:name w:val="Title"/>
    <w:basedOn w:val="1"/>
    <w:next w:val="1"/>
    <w:link w:val="193"/>
    <w:autoRedefine/>
    <w:qFormat/>
    <w:uiPriority w:val="0"/>
    <w:pPr>
      <w:spacing w:before="240" w:after="60"/>
      <w:jc w:val="center"/>
      <w:outlineLvl w:val="0"/>
    </w:pPr>
    <w:rPr>
      <w:rFonts w:ascii="Cambria" w:hAnsi="Cambria"/>
      <w:b/>
      <w:bCs/>
      <w:sz w:val="36"/>
      <w:szCs w:val="32"/>
    </w:rPr>
  </w:style>
  <w:style w:type="paragraph" w:styleId="84">
    <w:name w:val="annotation subject"/>
    <w:basedOn w:val="27"/>
    <w:next w:val="27"/>
    <w:link w:val="194"/>
    <w:autoRedefine/>
    <w:qFormat/>
    <w:uiPriority w:val="0"/>
    <w:rPr>
      <w:rFonts w:ascii="Times New Roman" w:hAnsi="Times New Roman" w:cs="Times New Roman"/>
      <w:b/>
      <w:bCs/>
    </w:rPr>
  </w:style>
  <w:style w:type="paragraph" w:styleId="85">
    <w:name w:val="Body Text First Indent"/>
    <w:basedOn w:val="33"/>
    <w:next w:val="1"/>
    <w:link w:val="172"/>
    <w:autoRedefine/>
    <w:qFormat/>
    <w:uiPriority w:val="0"/>
    <w:pPr>
      <w:spacing w:after="120"/>
      <w:ind w:firstLine="420" w:firstLineChars="100"/>
    </w:pPr>
    <w:rPr>
      <w:rFonts w:ascii="Times New Roman" w:hAnsi="Times New Roman"/>
      <w:sz w:val="21"/>
    </w:rPr>
  </w:style>
  <w:style w:type="paragraph" w:styleId="86">
    <w:name w:val="Body Text First Indent 2"/>
    <w:basedOn w:val="34"/>
    <w:link w:val="195"/>
    <w:autoRedefine/>
    <w:qFormat/>
    <w:uiPriority w:val="0"/>
    <w:pPr>
      <w:spacing w:after="120"/>
      <w:ind w:left="420" w:leftChars="200" w:firstLine="420" w:firstLineChars="200"/>
    </w:pPr>
    <w:rPr>
      <w:rFonts w:ascii="Times New Roman" w:hAnsi="Times New Roman"/>
      <w:sz w:val="21"/>
      <w:szCs w:val="24"/>
    </w:rPr>
  </w:style>
  <w:style w:type="table" w:styleId="88">
    <w:name w:val="Table Grid"/>
    <w:basedOn w:val="8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9">
    <w:name w:val="Table Theme"/>
    <w:basedOn w:val="8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0">
    <w:name w:val="Table Colorful 1"/>
    <w:basedOn w:val="87"/>
    <w:autoRedefine/>
    <w:qFormat/>
    <w:uiPriority w:val="0"/>
    <w:pPr>
      <w:widowControl w:val="0"/>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1">
    <w:name w:val="Table Colorful 2"/>
    <w:basedOn w:val="87"/>
    <w:autoRedefine/>
    <w:qFormat/>
    <w:uiPriority w:val="0"/>
    <w:pPr>
      <w:widowControl w:val="0"/>
    </w:pPr>
    <w:tblPr>
      <w:tblBorders>
        <w:bottom w:val="single" w:color="auto"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single" w:color="auto"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2">
    <w:name w:val="Table Colorful 3"/>
    <w:basedOn w:val="87"/>
    <w:autoRedefine/>
    <w:qFormat/>
    <w:uiPriority w:val="0"/>
    <w:pPr>
      <w:widowControl w:val="0"/>
    </w:pPr>
    <w:tblPr>
      <w:tblBorders>
        <w:top w:val="single" w:color="auto" w:sz="18" w:space="0"/>
        <w:left w:val="single" w:color="auto" w:sz="18" w:space="0"/>
        <w:bottom w:val="single" w:color="auto" w:sz="18" w:space="0"/>
        <w:right w:val="single" w:color="auto"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top w:val="nil"/>
          <w:left w:val="single" w:color="auto"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auto" w:sz="36" w:space="0"/>
          <w:right w:val="single" w:color="auto"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3">
    <w:name w:val="Table Elegant"/>
    <w:basedOn w:val="87"/>
    <w:autoRedefine/>
    <w:qFormat/>
    <w:uiPriority w:val="0"/>
    <w:pPr>
      <w:widowControl w:val="0"/>
      <w:spacing w:line="300" w:lineRule="auto"/>
      <w:jc w:val="both"/>
    </w:pPr>
    <w:tblP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4">
    <w:name w:val="Table Classic 1"/>
    <w:basedOn w:val="87"/>
    <w:autoRedefine/>
    <w:qFormat/>
    <w:uiPriority w:val="0"/>
    <w:pPr>
      <w:widowControl w:val="0"/>
      <w:jc w:val="both"/>
    </w:pPr>
    <w:tblPr>
      <w:tblBorders>
        <w:top w:val="single" w:color="auto" w:sz="12" w:space="0"/>
        <w:bottom w:val="single" w:color="auto" w:sz="12" w:space="0"/>
      </w:tblBorders>
      <w:tblCellMar>
        <w:top w:w="0" w:type="dxa"/>
        <w:left w:w="108" w:type="dxa"/>
        <w:bottom w:w="0" w:type="dxa"/>
        <w:right w:w="108" w:type="dxa"/>
      </w:tblCellMar>
    </w:tblPr>
    <w:tcPr>
      <w:shd w:val="clear" w:color="auto" w:fill="auto"/>
    </w:tcPr>
    <w:tblStylePr w:type="firstRow">
      <w:rPr>
        <w:i/>
        <w:iCs/>
      </w:rPr>
      <w:tblPr/>
      <w:tcPr>
        <w:tcBorders>
          <w:top w:val="nil"/>
          <w:left w:val="single" w:color="auto" w:sz="6" w:space="0"/>
          <w:bottom w:val="nil"/>
          <w:right w:val="nil"/>
          <w:insideH w:val="nil"/>
          <w:insideV w:val="nil"/>
          <w:tl2br w:val="nil"/>
          <w:tr2bl w:val="nil"/>
        </w:tcBorders>
      </w:tcPr>
    </w:tblStylePr>
    <w:tblStylePr w:type="lastRow">
      <w:rPr>
        <w:color w:val="auto"/>
      </w:rPr>
      <w:tblPr/>
      <w:tcPr>
        <w:tcBorders>
          <w:top w:val="single" w:color="auto" w:sz="6" w:space="0"/>
          <w:left w:val="nil"/>
          <w:bottom w:val="nil"/>
          <w:right w:val="nil"/>
          <w:insideH w:val="nil"/>
          <w:insideV w:val="nil"/>
          <w:tl2br w:val="nil"/>
          <w:tr2bl w:val="nil"/>
        </w:tcBorders>
      </w:tcPr>
    </w:tblStylePr>
    <w:tblStylePr w:type="firstCol">
      <w:tblPr/>
      <w:tcPr>
        <w:tcBorders>
          <w:top w:val="nil"/>
          <w:left w:val="nil"/>
          <w:bottom w:val="nil"/>
          <w:right w:val="single" w:color="auto"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5">
    <w:name w:val="Table Classic 2"/>
    <w:basedOn w:val="87"/>
    <w:autoRedefine/>
    <w:qFormat/>
    <w:uiPriority w:val="0"/>
    <w:pPr>
      <w:widowControl w:val="0"/>
    </w:pPr>
    <w:tblPr>
      <w:tblBorders>
        <w:top w:val="single" w:color="auto" w:sz="12" w:space="0"/>
        <w:bottom w:val="single" w:color="auto" w:sz="12" w:space="0"/>
      </w:tblBorders>
      <w:tblCellMar>
        <w:top w:w="0" w:type="dxa"/>
        <w:left w:w="108" w:type="dxa"/>
        <w:bottom w:w="0" w:type="dxa"/>
        <w:right w:w="108" w:type="dxa"/>
      </w:tblCellMar>
    </w:tblPr>
    <w:tcPr>
      <w:shd w:val="clear" w:color="auto" w:fill="auto"/>
    </w:tcPr>
    <w:tblStylePr w:type="firstRow">
      <w:rPr>
        <w:color w:val="FFFFFF"/>
      </w:rPr>
      <w:tblPr/>
      <w:tcPr>
        <w:tcBorders>
          <w:top w:val="nil"/>
          <w:left w:val="single" w:color="auto" w:sz="6" w:space="0"/>
          <w:bottom w:val="nil"/>
          <w:right w:val="nil"/>
          <w:insideH w:val="nil"/>
          <w:insideV w:val="nil"/>
          <w:tl2br w:val="nil"/>
          <w:tr2bl w:val="nil"/>
        </w:tcBorders>
        <w:shd w:val="solid" w:color="800080" w:fill="FFFFFF"/>
      </w:tcPr>
    </w:tblStylePr>
    <w:tblStylePr w:type="lastRow">
      <w:tblPr/>
      <w:tcPr>
        <w:tcBorders>
          <w:top w:val="single" w:color="auto"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6">
    <w:name w:val="Table Classic 3"/>
    <w:basedOn w:val="87"/>
    <w:autoRedefine/>
    <w:qFormat/>
    <w:uiPriority w:val="0"/>
    <w:pPr>
      <w:widowControl w:val="0"/>
    </w:pPr>
    <w:rPr>
      <w:color w:val="000080"/>
    </w:rPr>
    <w:tblP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il"/>
          <w:left w:val="single" w:color="auto" w:sz="6" w:space="0"/>
          <w:bottom w:val="nil"/>
          <w:right w:val="nil"/>
          <w:insideH w:val="nil"/>
          <w:insideV w:val="nil"/>
          <w:tl2br w:val="nil"/>
          <w:tr2bl w:val="nil"/>
        </w:tcBorders>
        <w:shd w:val="solid" w:color="000080" w:fill="FFFFFF"/>
      </w:tcPr>
    </w:tblStylePr>
    <w:tblStylePr w:type="lastRow">
      <w:rPr>
        <w:color w:val="000080"/>
      </w:rPr>
      <w:tblPr/>
      <w:tcPr>
        <w:tcBorders>
          <w:top w:val="single" w:color="auto"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7">
    <w:name w:val="Table Classic 4"/>
    <w:basedOn w:val="87"/>
    <w:autoRedefine/>
    <w:qFormat/>
    <w:uiPriority w:val="0"/>
    <w:pPr>
      <w:widowControl w:val="0"/>
    </w:pPr>
    <w:tblPr>
      <w:tblBorders>
        <w:top w:val="single" w:color="auto" w:sz="12" w:space="0"/>
        <w:left w:val="single" w:color="auto" w:sz="6" w:space="0"/>
        <w:bottom w:val="single" w:color="auto" w:sz="12" w:space="0"/>
        <w:right w:val="single" w:color="auto"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top w:val="nil"/>
          <w:left w:val="single" w:color="auto"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auto"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8">
    <w:name w:val="Table Simple 1"/>
    <w:basedOn w:val="87"/>
    <w:autoRedefine/>
    <w:qFormat/>
    <w:uiPriority w:val="0"/>
    <w:pPr>
      <w:widowControl w:val="0"/>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9">
    <w:name w:val="Table Simple 2"/>
    <w:basedOn w:val="87"/>
    <w:autoRedefine/>
    <w:qFormat/>
    <w:uiPriority w:val="0"/>
    <w:pPr>
      <w:widowControl w:val="0"/>
    </w:pPr>
    <w:tblPr>
      <w:tblCellMar>
        <w:top w:w="0" w:type="dxa"/>
        <w:left w:w="108" w:type="dxa"/>
        <w:bottom w:w="0" w:type="dxa"/>
        <w:right w:w="108" w:type="dxa"/>
      </w:tblCellMar>
    </w:tblPr>
    <w:tblStylePr w:type="firstRow">
      <w:rPr>
        <w:b/>
        <w:bCs/>
      </w:rPr>
      <w:tblPr/>
      <w:tcPr>
        <w:tcBorders>
          <w:top w:val="nil"/>
          <w:left w:val="single" w:color="auto" w:sz="12" w:space="0"/>
          <w:bottom w:val="nil"/>
          <w:right w:val="nil"/>
          <w:insideH w:val="nil"/>
          <w:insideV w:val="nil"/>
          <w:tl2br w:val="nil"/>
          <w:tr2bl w:val="nil"/>
        </w:tcBorders>
      </w:tcPr>
    </w:tblStylePr>
    <w:tblStylePr w:type="lastRow">
      <w:rPr>
        <w:b/>
        <w:bCs/>
        <w:color w:val="auto"/>
      </w:rPr>
      <w:tblPr/>
      <w:tcPr>
        <w:tcBorders>
          <w:top w:val="single" w:color="auto"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auto" w:sz="12" w:space="0"/>
          <w:insideH w:val="nil"/>
          <w:insideV w:val="nil"/>
          <w:tl2br w:val="nil"/>
          <w:tr2bl w:val="nil"/>
        </w:tcBorders>
      </w:tcPr>
    </w:tblStylePr>
    <w:tblStylePr w:type="lastCol">
      <w:rPr>
        <w:b/>
        <w:bCs/>
      </w:rPr>
      <w:tblPr/>
      <w:tcPr>
        <w:tcBorders>
          <w:top w:val="nil"/>
          <w:left w:val="nil"/>
          <w:bottom w:val="single" w:color="auto"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0">
    <w:name w:val="Table Simple 3"/>
    <w:basedOn w:val="87"/>
    <w:autoRedefine/>
    <w:qFormat/>
    <w:uiPriority w:val="0"/>
    <w:pPr>
      <w:widowControl w:val="0"/>
    </w:pPr>
    <w:tblP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1">
    <w:name w:val="Table Subtle 1"/>
    <w:basedOn w:val="87"/>
    <w:autoRedefine/>
    <w:qFormat/>
    <w:uiPriority w:val="0"/>
    <w:pPr>
      <w:widowControl w:val="0"/>
    </w:pPr>
    <w:tblPr>
      <w:tblCellMar>
        <w:top w:w="0" w:type="dxa"/>
        <w:left w:w="108" w:type="dxa"/>
        <w:bottom w:w="0" w:type="dxa"/>
        <w:right w:w="108" w:type="dxa"/>
      </w:tblCellMar>
    </w:tblPr>
    <w:tblStylePr w:type="firstRow">
      <w:tblPr/>
      <w:tcPr>
        <w:tcBorders>
          <w:top w:val="single" w:color="auto" w:sz="6" w:space="0"/>
          <w:left w:val="single" w:color="auto" w:sz="12" w:space="0"/>
          <w:bottom w:val="nil"/>
          <w:right w:val="nil"/>
          <w:insideH w:val="nil"/>
          <w:insideV w:val="nil"/>
          <w:tl2br w:val="nil"/>
          <w:tr2bl w:val="nil"/>
        </w:tcBorders>
      </w:tcPr>
    </w:tblStylePr>
    <w:tblStylePr w:type="lastRow">
      <w:tblPr/>
      <w:tcPr>
        <w:tcBorders>
          <w:top w:val="single" w:color="auto"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auto" w:sz="12" w:space="0"/>
          <w:insideH w:val="nil"/>
          <w:insideV w:val="nil"/>
          <w:tl2br w:val="nil"/>
          <w:tr2bl w:val="nil"/>
        </w:tcBorders>
      </w:tcPr>
    </w:tblStylePr>
    <w:tblStylePr w:type="lastCol">
      <w:tblPr/>
      <w:tcPr>
        <w:tcBorders>
          <w:top w:val="nil"/>
          <w:left w:val="nil"/>
          <w:bottom w:val="single" w:color="auto" w:sz="12" w:space="0"/>
          <w:right w:val="nil"/>
          <w:insideH w:val="nil"/>
          <w:insideV w:val="nil"/>
          <w:tl2br w:val="nil"/>
          <w:tr2bl w:val="nil"/>
        </w:tcBorders>
      </w:tcPr>
    </w:tblStylePr>
    <w:tblStylePr w:type="band1Horz">
      <w:tblPr/>
      <w:tcPr>
        <w:tcBorders>
          <w:top w:val="nil"/>
          <w:left w:val="single" w:color="auto"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2">
    <w:name w:val="Table Subtle 2"/>
    <w:basedOn w:val="87"/>
    <w:autoRedefine/>
    <w:qFormat/>
    <w:uiPriority w:val="0"/>
    <w:pPr>
      <w:widowControl w:val="0"/>
    </w:pPr>
    <w:tblPr>
      <w:tblBorders>
        <w:left w:val="single" w:color="auto" w:sz="6" w:space="0"/>
        <w:right w:val="single" w:color="auto" w:sz="6" w:space="0"/>
      </w:tblBorders>
      <w:tblCellMar>
        <w:top w:w="0" w:type="dxa"/>
        <w:left w:w="108" w:type="dxa"/>
        <w:bottom w:w="0" w:type="dxa"/>
        <w:right w:w="108" w:type="dxa"/>
      </w:tblCellMar>
    </w:tblPr>
    <w:tblStylePr w:type="firstRow">
      <w:tblPr/>
      <w:tcPr>
        <w:tcBorders>
          <w:top w:val="nil"/>
          <w:left w:val="single" w:color="auto" w:sz="12" w:space="0"/>
          <w:bottom w:val="nil"/>
          <w:right w:val="nil"/>
          <w:insideH w:val="nil"/>
          <w:insideV w:val="nil"/>
          <w:tl2br w:val="nil"/>
          <w:tr2bl w:val="nil"/>
        </w:tcBorders>
      </w:tcPr>
    </w:tblStylePr>
    <w:tblStylePr w:type="lastRow">
      <w:tblPr/>
      <w:tcPr>
        <w:tcBorders>
          <w:top w:val="single" w:color="auto" w:sz="12" w:space="0"/>
          <w:left w:val="nil"/>
          <w:bottom w:val="nil"/>
          <w:right w:val="nil"/>
          <w:insideH w:val="nil"/>
          <w:insideV w:val="nil"/>
          <w:tl2br w:val="nil"/>
          <w:tr2bl w:val="nil"/>
        </w:tcBorders>
      </w:tcPr>
    </w:tblStylePr>
    <w:tblStylePr w:type="firstCol">
      <w:tblPr/>
      <w:tcPr>
        <w:tcBorders>
          <w:top w:val="nil"/>
          <w:left w:val="nil"/>
          <w:bottom w:val="nil"/>
          <w:right w:val="single" w:color="auto" w:sz="12" w:space="0"/>
          <w:insideH w:val="nil"/>
          <w:insideV w:val="nil"/>
          <w:tl2br w:val="nil"/>
          <w:tr2bl w:val="nil"/>
        </w:tcBorders>
        <w:shd w:val="pct25" w:color="008000" w:fill="FFFFFF"/>
      </w:tcPr>
    </w:tblStylePr>
    <w:tblStylePr w:type="lastCol">
      <w:tblPr/>
      <w:tcPr>
        <w:tcBorders>
          <w:top w:val="nil"/>
          <w:left w:val="nil"/>
          <w:bottom w:val="single" w:color="auto"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3D effects 1"/>
    <w:basedOn w:val="87"/>
    <w:autoRedefine/>
    <w:qFormat/>
    <w:uiPriority w:val="0"/>
    <w:pPr>
      <w:widowControl w:val="0"/>
    </w:pPr>
    <w:tblPr>
      <w:tblCellMar>
        <w:top w:w="0" w:type="dxa"/>
        <w:left w:w="108" w:type="dxa"/>
        <w:bottom w:w="0" w:type="dxa"/>
        <w:right w:w="108" w:type="dxa"/>
      </w:tblCellMar>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4">
    <w:name w:val="Table 3D effects 2"/>
    <w:basedOn w:val="87"/>
    <w:autoRedefine/>
    <w:qFormat/>
    <w:uiPriority w:val="0"/>
    <w:pPr>
      <w:widowControl w:val="0"/>
    </w:pPr>
    <w:tblPr>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3D effects 3"/>
    <w:basedOn w:val="87"/>
    <w:autoRedefine/>
    <w:qFormat/>
    <w:uiPriority w:val="0"/>
    <w:pPr>
      <w:widowControl w:val="0"/>
    </w:pPr>
    <w:tblPr>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List 1"/>
    <w:basedOn w:val="87"/>
    <w:autoRedefine/>
    <w:qFormat/>
    <w:uiPriority w:val="0"/>
    <w:pPr>
      <w:widowControl w:val="0"/>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top w:val="nil"/>
          <w:left w:val="single" w:color="auto" w:sz="6" w:space="0"/>
          <w:bottom w:val="nil"/>
          <w:right w:val="nil"/>
          <w:insideH w:val="nil"/>
          <w:insideV w:val="nil"/>
          <w:tl2br w:val="nil"/>
          <w:tr2bl w:val="nil"/>
        </w:tcBorders>
        <w:shd w:val="solid" w:color="C0C0C0" w:fill="FFFFFF"/>
      </w:tcPr>
    </w:tblStylePr>
    <w:tblStylePr w:type="lastRow">
      <w:tblPr/>
      <w:tcPr>
        <w:tcBorders>
          <w:top w:val="single" w:color="auto"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7">
    <w:name w:val="Table List 2"/>
    <w:basedOn w:val="87"/>
    <w:autoRedefine/>
    <w:qFormat/>
    <w:uiPriority w:val="0"/>
    <w:pPr>
      <w:widowControl w:val="0"/>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top w:val="nil"/>
          <w:left w:val="single" w:color="auto" w:sz="6" w:space="0"/>
          <w:bottom w:val="nil"/>
          <w:right w:val="nil"/>
          <w:insideH w:val="nil"/>
          <w:insideV w:val="nil"/>
          <w:tl2br w:val="nil"/>
          <w:tr2bl w:val="nil"/>
        </w:tcBorders>
        <w:shd w:val="pct75" w:color="008080" w:fill="008000"/>
      </w:tcPr>
    </w:tblStylePr>
    <w:tblStylePr w:type="lastRow">
      <w:tblPr/>
      <w:tcPr>
        <w:tcBorders>
          <w:top w:val="single" w:color="auto"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8">
    <w:name w:val="Table List 3"/>
    <w:basedOn w:val="87"/>
    <w:autoRedefine/>
    <w:qFormat/>
    <w:uiPriority w:val="0"/>
    <w:pPr>
      <w:widowControl w:val="0"/>
      <w:jc w:val="both"/>
    </w:pPr>
    <w:tblPr>
      <w:tblBorders>
        <w:top w:val="single" w:color="auto" w:sz="12" w:space="0"/>
        <w:bottom w:val="single" w:color="auto" w:sz="12" w:space="0"/>
        <w:insideH w:val="single" w:color="auto" w:sz="6" w:space="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single" w:color="auto" w:sz="12" w:space="0"/>
          <w:bottom w:val="nil"/>
          <w:right w:val="nil"/>
          <w:insideH w:val="nil"/>
          <w:insideV w:val="nil"/>
          <w:tl2br w:val="nil"/>
          <w:tr2bl w:val="nil"/>
        </w:tcBorders>
      </w:tcPr>
    </w:tblStylePr>
    <w:tblStylePr w:type="lastRow">
      <w:tblPr/>
      <w:tcPr>
        <w:tcBorders>
          <w:top w:val="single" w:color="auto"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9">
    <w:name w:val="Table List 4"/>
    <w:basedOn w:val="87"/>
    <w:autoRedefine/>
    <w:qFormat/>
    <w:uiPriority w:val="0"/>
    <w:pPr>
      <w:widowControl w:val="0"/>
    </w:pPr>
    <w:tblPr>
      <w:tblBorders>
        <w:top w:val="single" w:color="auto" w:sz="12" w:space="0"/>
        <w:left w:val="single" w:color="auto" w:sz="12" w:space="0"/>
        <w:bottom w:val="single" w:color="auto" w:sz="12" w:space="0"/>
        <w:right w:val="single" w:color="auto" w:sz="12" w:space="0"/>
        <w:insideH w:val="single" w:color="auto"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single" w:color="auto" w:sz="12" w:space="0"/>
          <w:bottom w:val="nil"/>
          <w:right w:val="nil"/>
          <w:insideH w:val="nil"/>
          <w:insideV w:val="nil"/>
          <w:tl2br w:val="nil"/>
          <w:tr2bl w:val="nil"/>
        </w:tcBorders>
        <w:shd w:val="solid" w:color="808080" w:fill="FFFFFF"/>
      </w:tcPr>
    </w:tblStylePr>
  </w:style>
  <w:style w:type="table" w:styleId="110">
    <w:name w:val="Table List 5"/>
    <w:basedOn w:val="87"/>
    <w:autoRedefine/>
    <w:qFormat/>
    <w:uiPriority w:val="0"/>
    <w:pPr>
      <w:widowControl w:val="0"/>
    </w:pPr>
    <w:tblPr>
      <w:tblBorders>
        <w:top w:val="single" w:color="auto" w:sz="6" w:space="0"/>
        <w:left w:val="single" w:color="auto" w:sz="6" w:space="0"/>
        <w:bottom w:val="single" w:color="auto" w:sz="6" w:space="0"/>
        <w:right w:val="single" w:color="auto" w:sz="6" w:space="0"/>
        <w:insideH w:val="single" w:color="auto" w:sz="6" w:space="0"/>
      </w:tblBorders>
      <w:tblCellMar>
        <w:top w:w="0" w:type="dxa"/>
        <w:left w:w="108" w:type="dxa"/>
        <w:bottom w:w="0" w:type="dxa"/>
        <w:right w:w="108" w:type="dxa"/>
      </w:tblCellMar>
    </w:tblPr>
    <w:tcPr>
      <w:shd w:val="clear" w:color="auto" w:fill="auto"/>
    </w:tcPr>
    <w:tblStylePr w:type="firstRow">
      <w:rPr>
        <w:b/>
        <w:bCs/>
      </w:rPr>
      <w:tblPr/>
      <w:tcPr>
        <w:tcBorders>
          <w:top w:val="nil"/>
          <w:left w:val="single" w:color="auto"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11">
    <w:name w:val="Table List 6"/>
    <w:basedOn w:val="87"/>
    <w:autoRedefine/>
    <w:qFormat/>
    <w:uiPriority w:val="0"/>
    <w:pPr>
      <w:widowControl w:val="0"/>
    </w:pPr>
    <w:tblPr>
      <w:tblBorders>
        <w:top w:val="single" w:color="auto" w:sz="6" w:space="0"/>
        <w:left w:val="single" w:color="auto" w:sz="6" w:space="0"/>
        <w:bottom w:val="single" w:color="auto" w:sz="6" w:space="0"/>
        <w:right w:val="single" w:color="auto" w:sz="6" w:space="0"/>
      </w:tblBorders>
      <w:tblCellMar>
        <w:top w:w="0" w:type="dxa"/>
        <w:left w:w="108" w:type="dxa"/>
        <w:bottom w:w="0" w:type="dxa"/>
        <w:right w:w="108" w:type="dxa"/>
      </w:tblCellMar>
    </w:tblPr>
    <w:tcPr>
      <w:shd w:val="pct50" w:color="000000" w:fill="FFFFFF"/>
    </w:tcPr>
    <w:tblStylePr w:type="firstRow">
      <w:rPr>
        <w:b/>
        <w:bCs/>
      </w:rPr>
      <w:tblPr/>
      <w:tcPr>
        <w:tcBorders>
          <w:top w:val="nil"/>
          <w:left w:val="single" w:color="auto" w:sz="12" w:space="0"/>
          <w:bottom w:val="nil"/>
          <w:right w:val="nil"/>
          <w:insideH w:val="nil"/>
          <w:insideV w:val="nil"/>
          <w:tl2br w:val="nil"/>
          <w:tr2bl w:val="nil"/>
        </w:tcBorders>
      </w:tcPr>
    </w:tblStylePr>
    <w:tblStylePr w:type="firstCol">
      <w:rPr>
        <w:b/>
        <w:bCs/>
      </w:rPr>
      <w:tblPr/>
      <w:tcPr>
        <w:tcBorders>
          <w:top w:val="nil"/>
          <w:left w:val="nil"/>
          <w:bottom w:val="nil"/>
          <w:right w:val="single" w:color="auto"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2">
    <w:name w:val="Table List 7"/>
    <w:basedOn w:val="87"/>
    <w:autoRedefine/>
    <w:qFormat/>
    <w:uiPriority w:val="0"/>
    <w:pPr>
      <w:widowControl w:val="0"/>
    </w:pPr>
    <w:tblPr>
      <w:tblBorders>
        <w:top w:val="single" w:color="008000" w:sz="12" w:space="0"/>
        <w:left w:val="single" w:color="008000" w:sz="6" w:space="0"/>
        <w:bottom w:val="single" w:color="008000" w:sz="12" w:space="0"/>
        <w:right w:val="single" w:color="008000" w:sz="6" w:space="0"/>
        <w:insideH w:val="single" w:color="auto" w:sz="6" w:space="0"/>
      </w:tblBorders>
      <w:tblCellMar>
        <w:top w:w="0" w:type="dxa"/>
        <w:left w:w="108" w:type="dxa"/>
        <w:bottom w:w="0" w:type="dxa"/>
        <w:right w:w="108" w:type="dxa"/>
      </w:tblCellMar>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3">
    <w:name w:val="Table List 8"/>
    <w:basedOn w:val="87"/>
    <w:autoRedefine/>
    <w:qFormat/>
    <w:uiPriority w:val="0"/>
    <w:pPr>
      <w:widowControl w:val="0"/>
    </w:pPr>
    <w:tblPr>
      <w:tblBorders>
        <w:top w:val="single" w:color="auto" w:sz="6" w:space="0"/>
        <w:left w:val="single" w:color="auto" w:sz="6" w:space="0"/>
        <w:bottom w:val="single" w:color="auto" w:sz="6" w:space="0"/>
        <w:right w:val="single" w:color="auto" w:sz="6" w:space="0"/>
        <w:insideV w:val="single" w:color="auto" w:sz="6" w:space="0"/>
      </w:tblBorders>
      <w:tblCellMar>
        <w:top w:w="0" w:type="dxa"/>
        <w:left w:w="108" w:type="dxa"/>
        <w:bottom w:w="0" w:type="dxa"/>
        <w:right w:w="108" w:type="dxa"/>
      </w:tblCellMar>
    </w:tblPr>
    <w:tblStylePr w:type="firstRow">
      <w:rPr>
        <w:b/>
        <w:bCs/>
        <w:i/>
        <w:iCs/>
      </w:rPr>
      <w:tblPr/>
      <w:tcPr>
        <w:tcBorders>
          <w:top w:val="nil"/>
          <w:left w:val="single" w:color="auto" w:sz="6" w:space="0"/>
          <w:bottom w:val="nil"/>
          <w:right w:val="nil"/>
          <w:insideH w:val="nil"/>
          <w:insideV w:val="nil"/>
          <w:tl2br w:val="nil"/>
          <w:tr2bl w:val="nil"/>
        </w:tcBorders>
        <w:shd w:val="solid" w:color="FFFF00" w:fill="FFFFFF"/>
      </w:tcPr>
    </w:tblStylePr>
    <w:tblStylePr w:type="lastRow">
      <w:rPr>
        <w:b/>
        <w:bCs/>
      </w:rPr>
      <w:tblPr/>
      <w:tcPr>
        <w:tcBorders>
          <w:top w:val="single" w:color="auto"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4">
    <w:name w:val="Table Contemporary"/>
    <w:basedOn w:val="87"/>
    <w:autoRedefine/>
    <w:qFormat/>
    <w:uiPriority w:val="0"/>
    <w:pPr>
      <w:widowControl w:val="0"/>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5">
    <w:name w:val="Table Columns 1"/>
    <w:basedOn w:val="87"/>
    <w:autoRedefine/>
    <w:qFormat/>
    <w:uiPriority w:val="0"/>
    <w:pPr>
      <w:widowControl w:val="0"/>
    </w:pPr>
    <w:rPr>
      <w:b/>
      <w:bCs/>
    </w:rPr>
    <w:tblP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blStylePr w:type="firstRow">
      <w:rPr>
        <w:b w:val="0"/>
        <w:bCs w:val="0"/>
      </w:rPr>
      <w:tblPr/>
      <w:tcPr>
        <w:tcBorders>
          <w:top w:val="nil"/>
          <w:left w:val="double" w:color="auto"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6">
    <w:name w:val="Table Columns 2"/>
    <w:basedOn w:val="87"/>
    <w:autoRedefine/>
    <w:qFormat/>
    <w:uiPriority w:val="0"/>
    <w:pPr>
      <w:widowControl w:val="0"/>
    </w:pPr>
    <w:rPr>
      <w:b/>
      <w:bCs/>
    </w:rPr>
    <w:tblPr>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7">
    <w:name w:val="Table Columns 3"/>
    <w:basedOn w:val="87"/>
    <w:autoRedefine/>
    <w:qFormat/>
    <w:uiPriority w:val="0"/>
    <w:pPr>
      <w:widowControl w:val="0"/>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8">
    <w:name w:val="Table Columns 4"/>
    <w:basedOn w:val="87"/>
    <w:autoRedefine/>
    <w:qFormat/>
    <w:uiPriority w:val="0"/>
    <w:pPr>
      <w:widowControl w:val="0"/>
    </w:pPr>
    <w:tblPr>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9">
    <w:name w:val="Table Columns 5"/>
    <w:basedOn w:val="87"/>
    <w:autoRedefine/>
    <w:qFormat/>
    <w:uiPriority w:val="0"/>
    <w:pPr>
      <w:widowControl w:val="0"/>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0">
    <w:name w:val="Table Grid 1"/>
    <w:basedOn w:val="87"/>
    <w:autoRedefine/>
    <w:qFormat/>
    <w:uiPriority w:val="0"/>
    <w:pPr>
      <w:widowControl w:val="0"/>
      <w:spacing w:beforeLines="50" w:afterLines="50" w:line="360" w:lineRule="auto"/>
      <w:jc w:val="both"/>
    </w:p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auto" w:sz="6" w:space="0"/>
          <w:tr2bl w:val="nil"/>
        </w:tcBorders>
      </w:tcPr>
    </w:tblStylePr>
  </w:style>
  <w:style w:type="table" w:styleId="121">
    <w:name w:val="Table Grid 2"/>
    <w:basedOn w:val="87"/>
    <w:autoRedefine/>
    <w:qFormat/>
    <w:uiPriority w:val="0"/>
    <w:pPr>
      <w:widowControl w:val="0"/>
    </w:pPr>
    <w:tblPr>
      <w:tblBorders>
        <w:insideH w:val="single" w:color="auto" w:sz="6" w:space="0"/>
        <w:insideV w:val="single" w:color="auto"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auto"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2">
    <w:name w:val="Table Grid 3"/>
    <w:basedOn w:val="87"/>
    <w:autoRedefine/>
    <w:qFormat/>
    <w:uiPriority w:val="0"/>
    <w:pPr>
      <w:widowControl w:val="0"/>
    </w:pPr>
    <w:tblPr>
      <w:tblBorders>
        <w:top w:val="single" w:color="auto" w:sz="6" w:space="0"/>
        <w:left w:val="single" w:color="auto" w:sz="12" w:space="0"/>
        <w:bottom w:val="single" w:color="auto" w:sz="6" w:space="0"/>
        <w:right w:val="single" w:color="auto" w:sz="12" w:space="0"/>
        <w:insideV w:val="single" w:color="auto" w:sz="6" w:space="0"/>
      </w:tblBorders>
      <w:tblCellMar>
        <w:top w:w="0" w:type="dxa"/>
        <w:left w:w="108" w:type="dxa"/>
        <w:bottom w:w="0" w:type="dxa"/>
        <w:right w:w="108" w:type="dxa"/>
      </w:tblCellMar>
    </w:tblPr>
    <w:tcPr>
      <w:shd w:val="clear" w:color="auto" w:fill="auto"/>
    </w:tcPr>
    <w:tblStylePr w:type="firstRow">
      <w:tblPr/>
      <w:tcPr>
        <w:tcBorders>
          <w:top w:val="nil"/>
          <w:left w:val="single" w:color="auto"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auto" w:sz="6" w:space="0"/>
          <w:tr2bl w:val="nil"/>
        </w:tcBorders>
      </w:tcPr>
    </w:tblStylePr>
  </w:style>
  <w:style w:type="table" w:styleId="123">
    <w:name w:val="Table Grid 4"/>
    <w:basedOn w:val="87"/>
    <w:autoRedefine/>
    <w:qFormat/>
    <w:uiPriority w:val="0"/>
    <w:pPr>
      <w:widowControl w:val="0"/>
      <w:jc w:val="both"/>
    </w:pPr>
    <w:tblPr>
      <w:tblBorders>
        <w:left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
    <w:tcPr>
      <w:shd w:val="clear" w:color="auto" w:fill="auto"/>
    </w:tcPr>
    <w:tblStylePr w:type="firstRow">
      <w:rPr>
        <w:color w:val="auto"/>
      </w:rPr>
      <w:tblPr/>
      <w:tcPr>
        <w:tcBorders>
          <w:top w:val="nil"/>
          <w:left w:val="single" w:color="auto"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auto"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4">
    <w:name w:val="Table Grid 5"/>
    <w:basedOn w:val="87"/>
    <w:autoRedefine/>
    <w:qFormat/>
    <w:uiPriority w:val="0"/>
    <w:pPr>
      <w:widowControl w:val="0"/>
      <w:jc w:val="both"/>
    </w:p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
    <w:tcPr>
      <w:shd w:val="clear" w:color="auto" w:fill="auto"/>
    </w:tcPr>
    <w:tblStylePr w:type="firstRow">
      <w:tblPr/>
      <w:tcPr>
        <w:tcBorders>
          <w:top w:val="nil"/>
          <w:left w:val="single" w:color="auto"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auto" w:sz="6" w:space="0"/>
          <w:tr2bl w:val="nil"/>
        </w:tcBorders>
      </w:tcPr>
    </w:tblStylePr>
  </w:style>
  <w:style w:type="table" w:styleId="125">
    <w:name w:val="Table Grid 6"/>
    <w:basedOn w:val="87"/>
    <w:autoRedefine/>
    <w:qFormat/>
    <w:uiPriority w:val="0"/>
    <w:pPr>
      <w:widowControl w:val="0"/>
    </w:pPr>
    <w:tblPr>
      <w:tblBorders>
        <w:top w:val="single" w:color="auto" w:sz="12" w:space="0"/>
        <w:left w:val="single" w:color="auto" w:sz="12" w:space="0"/>
        <w:bottom w:val="single" w:color="auto" w:sz="12" w:space="0"/>
        <w:right w:val="single" w:color="auto" w:sz="12" w:space="0"/>
        <w:insideV w:val="single" w:color="auto" w:sz="6" w:space="0"/>
      </w:tblBorders>
      <w:tblCellMar>
        <w:top w:w="0" w:type="dxa"/>
        <w:left w:w="108" w:type="dxa"/>
        <w:bottom w:w="0" w:type="dxa"/>
        <w:right w:w="108" w:type="dxa"/>
      </w:tblCellMar>
    </w:tblPr>
    <w:tcPr>
      <w:shd w:val="clear" w:color="auto" w:fill="auto"/>
    </w:tcPr>
    <w:tblStylePr w:type="firstRow">
      <w:rPr>
        <w:b/>
        <w:bCs/>
      </w:rPr>
      <w:tblPr/>
      <w:tcPr>
        <w:tcBorders>
          <w:top w:val="nil"/>
          <w:left w:val="single" w:color="auto" w:sz="6" w:space="0"/>
          <w:bottom w:val="nil"/>
          <w:right w:val="nil"/>
          <w:insideH w:val="nil"/>
          <w:insideV w:val="nil"/>
          <w:tl2br w:val="nil"/>
          <w:tr2bl w:val="nil"/>
        </w:tcBorders>
      </w:tcPr>
    </w:tblStylePr>
    <w:tblStylePr w:type="lastRow">
      <w:rPr>
        <w:color w:val="auto"/>
      </w:rPr>
      <w:tblPr/>
      <w:tcPr>
        <w:tcBorders>
          <w:top w:val="single" w:color="auto"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auto" w:sz="6" w:space="0"/>
          <w:tr2bl w:val="nil"/>
        </w:tcBorders>
      </w:tcPr>
    </w:tblStylePr>
  </w:style>
  <w:style w:type="table" w:styleId="126">
    <w:name w:val="Table Grid 7"/>
    <w:basedOn w:val="87"/>
    <w:autoRedefine/>
    <w:qFormat/>
    <w:uiPriority w:val="0"/>
    <w:pPr>
      <w:widowControl w:val="0"/>
    </w:pPr>
    <w:rPr>
      <w:b/>
      <w:bCs/>
    </w:r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color="auto" w:sz="12" w:space="0"/>
          <w:bottom w:val="nil"/>
          <w:right w:val="nil"/>
          <w:insideH w:val="nil"/>
          <w:insideV w:val="nil"/>
          <w:tl2br w:val="nil"/>
          <w:tr2bl w:val="nil"/>
        </w:tcBorders>
      </w:tcPr>
    </w:tblStylePr>
    <w:tblStylePr w:type="lastRow">
      <w:rPr>
        <w:b w:val="0"/>
        <w:bCs w:val="0"/>
      </w:rPr>
      <w:tblPr/>
      <w:tcPr>
        <w:tcBorders>
          <w:top w:val="single" w:color="auto"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auto" w:sz="6" w:space="0"/>
          <w:tr2bl w:val="nil"/>
        </w:tcBorders>
      </w:tcPr>
    </w:tblStylePr>
  </w:style>
  <w:style w:type="table" w:styleId="127">
    <w:name w:val="Table Grid 8"/>
    <w:basedOn w:val="87"/>
    <w:autoRedefine/>
    <w:qFormat/>
    <w:uiPriority w:val="0"/>
    <w:pPr>
      <w:widowControl w:val="0"/>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8">
    <w:name w:val="Table Web 1"/>
    <w:basedOn w:val="87"/>
    <w:autoRedefine/>
    <w:qFormat/>
    <w:uiPriority w:val="0"/>
    <w:pPr>
      <w:widowControl w:val="0"/>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9">
    <w:name w:val="Table Web 2"/>
    <w:basedOn w:val="87"/>
    <w:autoRedefine/>
    <w:qFormat/>
    <w:uiPriority w:val="0"/>
    <w:pPr>
      <w:widowControl w:val="0"/>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0">
    <w:name w:val="Table Web 3"/>
    <w:basedOn w:val="87"/>
    <w:autoRedefine/>
    <w:qFormat/>
    <w:uiPriority w:val="0"/>
    <w:pPr>
      <w:widowControl w:val="0"/>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1">
    <w:name w:val="Table Professional"/>
    <w:basedOn w:val="87"/>
    <w:autoRedefine/>
    <w:qFormat/>
    <w:uiPriority w:val="0"/>
    <w:pPr>
      <w:widowControl w:val="0"/>
      <w:jc w:val="both"/>
    </w:p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32">
    <w:name w:val="Colorful Shading Accent 4"/>
    <w:basedOn w:val="87"/>
    <w:autoRedefine/>
    <w:qFormat/>
    <w:uiPriority w:val="0"/>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CellMar>
        <w:top w:w="0" w:type="dxa"/>
        <w:left w:w="108" w:type="dxa"/>
        <w:bottom w:w="0" w:type="dxa"/>
        <w:right w:w="108" w:type="dxa"/>
      </w:tblCellMar>
    </w:tblPr>
    <w:tcPr>
      <w:shd w:val="clear" w:color="auto" w:fill="F2EFF6"/>
    </w:tcPr>
    <w:tblStylePr w:type="firstRow">
      <w:rPr>
        <w:b/>
        <w:bCs/>
      </w:rPr>
      <w:tblPr/>
      <w:tcPr>
        <w:tcBorders>
          <w:top w:val="nil"/>
          <w:left w:val="single" w:color="9BBB59"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4C3B62"/>
      </w:tcPr>
    </w:tblStylePr>
    <w:tblStylePr w:type="firstCol">
      <w:rPr>
        <w:color w:val="FFFFFF"/>
      </w:rPr>
      <w:tblPr/>
      <w:tcPr>
        <w:tcBorders>
          <w:top w:val="nil"/>
          <w:left w:val="nil"/>
          <w:bottom w:val="nil"/>
          <w:right w:val="nil"/>
          <w:insideH w:val="single" w:sz="4" w:space="0"/>
          <w:insideV w:val="nil"/>
          <w:tl2br w:val="nil"/>
          <w:tr2bl w:val="nil"/>
        </w:tcBorders>
        <w:shd w:val="clear" w:color="auto" w:fill="4C3B62"/>
      </w:tcPr>
    </w:tblStylePr>
    <w:tblStylePr w:type="lastCol">
      <w:rPr>
        <w:color w:val="FFFFFF"/>
      </w:rPr>
      <w:tblPr/>
      <w:tcPr>
        <w:tcBorders>
          <w:top w:val="nil"/>
          <w:left w:val="nil"/>
          <w:bottom w:val="nil"/>
          <w:right w:val="nil"/>
          <w:insideH w:val="nil"/>
          <w:insideV w:val="nil"/>
          <w:tl2br w:val="nil"/>
          <w:tr2bl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character" w:styleId="134">
    <w:name w:val="Strong"/>
    <w:autoRedefine/>
    <w:qFormat/>
    <w:uiPriority w:val="0"/>
    <w:rPr>
      <w:rFonts w:ascii="Times New Roman" w:hAnsi="Times New Roman" w:eastAsia="宋体" w:cs="Times New Roman"/>
      <w:b/>
      <w:bCs/>
    </w:rPr>
  </w:style>
  <w:style w:type="character" w:styleId="135">
    <w:name w:val="endnote reference"/>
    <w:autoRedefine/>
    <w:qFormat/>
    <w:uiPriority w:val="0"/>
    <w:rPr>
      <w:rFonts w:ascii="Verdana" w:hAnsi="Verdana" w:eastAsia="宋体" w:cs="Times New Roman"/>
      <w:sz w:val="28"/>
      <w:szCs w:val="28"/>
      <w:vertAlign w:val="superscript"/>
      <w:lang w:val="en-US" w:eastAsia="en-US" w:bidi="ar-SA"/>
    </w:rPr>
  </w:style>
  <w:style w:type="character" w:styleId="136">
    <w:name w:val="page number"/>
    <w:autoRedefine/>
    <w:qFormat/>
    <w:uiPriority w:val="0"/>
    <w:rPr>
      <w:rFonts w:ascii="Times New Roman" w:hAnsi="Times New Roman" w:eastAsia="宋体" w:cs="Times New Roman"/>
    </w:rPr>
  </w:style>
  <w:style w:type="character" w:styleId="137">
    <w:name w:val="Emphasis"/>
    <w:autoRedefine/>
    <w:qFormat/>
    <w:uiPriority w:val="0"/>
    <w:rPr>
      <w:rFonts w:ascii="Times New Roman" w:hAnsi="Times New Roman" w:eastAsia="宋体" w:cs="Times New Roman"/>
      <w:color w:val="CC0033"/>
    </w:rPr>
  </w:style>
  <w:style w:type="character" w:styleId="138">
    <w:name w:val="line number"/>
    <w:autoRedefine/>
    <w:qFormat/>
    <w:uiPriority w:val="0"/>
    <w:rPr>
      <w:rFonts w:ascii="Times New Roman" w:hAnsi="Times New Roman" w:eastAsia="宋体" w:cs="Times New Roman"/>
    </w:rPr>
  </w:style>
  <w:style w:type="character" w:styleId="139">
    <w:name w:val="HTML Definition"/>
    <w:autoRedefine/>
    <w:qFormat/>
    <w:uiPriority w:val="0"/>
    <w:rPr>
      <w:rFonts w:ascii="Times New Roman" w:hAnsi="Times New Roman" w:eastAsia="宋体" w:cs="Times New Roman"/>
      <w:i/>
      <w:iCs/>
      <w:sz w:val="24"/>
    </w:rPr>
  </w:style>
  <w:style w:type="character" w:styleId="140">
    <w:name w:val="HTML Typewriter"/>
    <w:autoRedefine/>
    <w:qFormat/>
    <w:uiPriority w:val="0"/>
    <w:rPr>
      <w:rFonts w:ascii="Courier New" w:hAnsi="Courier New" w:eastAsia="宋体" w:cs="Times New Roman"/>
      <w:sz w:val="20"/>
      <w:szCs w:val="20"/>
    </w:rPr>
  </w:style>
  <w:style w:type="character" w:styleId="141">
    <w:name w:val="HTML Acronym"/>
    <w:autoRedefine/>
    <w:qFormat/>
    <w:uiPriority w:val="0"/>
    <w:rPr>
      <w:rFonts w:ascii="Times New Roman" w:hAnsi="Times New Roman" w:eastAsia="宋体" w:cs="Times New Roman"/>
    </w:rPr>
  </w:style>
  <w:style w:type="character" w:styleId="142">
    <w:name w:val="HTML Variable"/>
    <w:autoRedefine/>
    <w:qFormat/>
    <w:uiPriority w:val="0"/>
    <w:rPr>
      <w:rFonts w:ascii="Times New Roman" w:hAnsi="Times New Roman" w:eastAsia="宋体" w:cs="Times New Roman"/>
      <w:i/>
      <w:iCs/>
    </w:rPr>
  </w:style>
  <w:style w:type="character" w:styleId="143">
    <w:name w:val="Hyperlink"/>
    <w:qFormat/>
    <w:uiPriority w:val="0"/>
    <w:rPr>
      <w:color w:val="0000FF"/>
      <w:u w:val="single"/>
    </w:rPr>
  </w:style>
  <w:style w:type="character" w:styleId="144">
    <w:name w:val="HTML Code"/>
    <w:qFormat/>
    <w:uiPriority w:val="0"/>
    <w:rPr>
      <w:rFonts w:ascii="Courier New" w:hAnsi="Courier New" w:eastAsia="宋体" w:cs="Times New Roman"/>
      <w:sz w:val="20"/>
      <w:szCs w:val="20"/>
    </w:rPr>
  </w:style>
  <w:style w:type="character" w:styleId="145">
    <w:name w:val="annotation reference"/>
    <w:qFormat/>
    <w:uiPriority w:val="0"/>
    <w:rPr>
      <w:rFonts w:ascii="Verdana" w:hAnsi="Verdana" w:eastAsia="宋体" w:cs="Times New Roman"/>
      <w:sz w:val="21"/>
      <w:szCs w:val="21"/>
      <w:lang w:val="en-US" w:eastAsia="en-US" w:bidi="ar-SA"/>
    </w:rPr>
  </w:style>
  <w:style w:type="character" w:styleId="146">
    <w:name w:val="HTML Cite"/>
    <w:qFormat/>
    <w:uiPriority w:val="0"/>
    <w:rPr>
      <w:rFonts w:ascii="Times New Roman" w:hAnsi="Times New Roman" w:eastAsia="宋体" w:cs="Times New Roman"/>
      <w:i/>
      <w:iCs/>
    </w:rPr>
  </w:style>
  <w:style w:type="character" w:styleId="147">
    <w:name w:val="footnote reference"/>
    <w:qFormat/>
    <w:uiPriority w:val="0"/>
    <w:rPr>
      <w:rFonts w:ascii="Times New Roman" w:hAnsi="Times New Roman" w:eastAsia="宋体" w:cs="Times New Roman"/>
      <w:vertAlign w:val="superscript"/>
    </w:rPr>
  </w:style>
  <w:style w:type="character" w:styleId="148">
    <w:name w:val="HTML Keyboard"/>
    <w:qFormat/>
    <w:uiPriority w:val="0"/>
    <w:rPr>
      <w:rFonts w:ascii="Courier New" w:hAnsi="Courier New" w:eastAsia="宋体" w:cs="Times New Roman"/>
      <w:sz w:val="20"/>
      <w:szCs w:val="20"/>
    </w:rPr>
  </w:style>
  <w:style w:type="character" w:styleId="149">
    <w:name w:val="HTML Sample"/>
    <w:qFormat/>
    <w:uiPriority w:val="0"/>
    <w:rPr>
      <w:rFonts w:ascii="Courier New" w:hAnsi="Courier New" w:eastAsia="宋体" w:cs="Times New Roman"/>
    </w:rPr>
  </w:style>
  <w:style w:type="paragraph" w:customStyle="1" w:styleId="150">
    <w:name w:val="正文格式"/>
    <w:basedOn w:val="1"/>
    <w:link w:val="604"/>
    <w:qFormat/>
    <w:uiPriority w:val="0"/>
    <w:pPr>
      <w:widowControl/>
      <w:adjustRightInd w:val="0"/>
      <w:snapToGrid w:val="0"/>
      <w:spacing w:line="360" w:lineRule="auto"/>
      <w:jc w:val="center"/>
      <w:textAlignment w:val="baseline"/>
    </w:pPr>
    <w:rPr>
      <w:kern w:val="24"/>
      <w:sz w:val="24"/>
      <w:szCs w:val="21"/>
    </w:rPr>
  </w:style>
  <w:style w:type="character" w:customStyle="1" w:styleId="151">
    <w:name w:val="正文文本缩进 2 Char1"/>
    <w:link w:val="50"/>
    <w:qFormat/>
    <w:uiPriority w:val="0"/>
    <w:rPr>
      <w:rFonts w:ascii="宋体" w:hAnsi="宋体" w:eastAsia="宋体" w:cs="Times New Roman"/>
      <w:kern w:val="2"/>
      <w:sz w:val="24"/>
    </w:rPr>
  </w:style>
  <w:style w:type="character" w:customStyle="1" w:styleId="152">
    <w:name w:val="宏文本 Char"/>
    <w:link w:val="2"/>
    <w:qFormat/>
    <w:uiPriority w:val="0"/>
    <w:rPr>
      <w:rFonts w:ascii="Courier New" w:hAnsi="Courier New" w:eastAsia="宋体" w:cs="Times New Roman"/>
      <w:kern w:val="2"/>
      <w:sz w:val="24"/>
    </w:rPr>
  </w:style>
  <w:style w:type="character" w:customStyle="1" w:styleId="153">
    <w:name w:val="标题 1 Char"/>
    <w:link w:val="3"/>
    <w:qFormat/>
    <w:uiPriority w:val="0"/>
    <w:rPr>
      <w:rFonts w:ascii="Times New Roman" w:hAnsi="Times New Roman" w:eastAsia="宋体" w:cs="Times New Roman"/>
      <w:b/>
      <w:kern w:val="2"/>
      <w:sz w:val="32"/>
    </w:rPr>
  </w:style>
  <w:style w:type="character" w:customStyle="1" w:styleId="154">
    <w:name w:val="标题 2 Char"/>
    <w:link w:val="4"/>
    <w:qFormat/>
    <w:uiPriority w:val="0"/>
    <w:rPr>
      <w:rFonts w:ascii="Arial" w:hAnsi="Arial" w:eastAsia="宋体" w:cs="Times New Roman"/>
      <w:b/>
      <w:kern w:val="2"/>
      <w:sz w:val="30"/>
    </w:rPr>
  </w:style>
  <w:style w:type="character" w:customStyle="1" w:styleId="155">
    <w:name w:val="正文缩进 Char"/>
    <w:link w:val="5"/>
    <w:qFormat/>
    <w:uiPriority w:val="0"/>
    <w:rPr>
      <w:rFonts w:ascii="Times New Roman" w:hAnsi="Times New Roman" w:eastAsia="宋体" w:cs="Times New Roman"/>
      <w:kern w:val="2"/>
      <w:sz w:val="21"/>
      <w:szCs w:val="24"/>
    </w:rPr>
  </w:style>
  <w:style w:type="character" w:customStyle="1" w:styleId="156">
    <w:name w:val="标题 3 Char"/>
    <w:link w:val="6"/>
    <w:qFormat/>
    <w:uiPriority w:val="0"/>
    <w:rPr>
      <w:rFonts w:ascii="Times New Roman" w:hAnsi="Times New Roman" w:eastAsia="宋体" w:cs="Times New Roman"/>
      <w:b/>
      <w:bCs/>
      <w:kern w:val="2"/>
      <w:sz w:val="32"/>
      <w:szCs w:val="32"/>
    </w:rPr>
  </w:style>
  <w:style w:type="character" w:customStyle="1" w:styleId="157">
    <w:name w:val="标题 4 Char"/>
    <w:link w:val="7"/>
    <w:qFormat/>
    <w:uiPriority w:val="0"/>
    <w:rPr>
      <w:rFonts w:ascii="Arial" w:hAnsi="Arial" w:eastAsia="黑体" w:cs="Times New Roman"/>
      <w:b/>
      <w:bCs/>
      <w:kern w:val="2"/>
      <w:sz w:val="28"/>
      <w:szCs w:val="28"/>
    </w:rPr>
  </w:style>
  <w:style w:type="character" w:customStyle="1" w:styleId="158">
    <w:name w:val="标题 5 Char"/>
    <w:link w:val="8"/>
    <w:qFormat/>
    <w:uiPriority w:val="0"/>
    <w:rPr>
      <w:b/>
      <w:kern w:val="2"/>
      <w:sz w:val="28"/>
    </w:rPr>
  </w:style>
  <w:style w:type="character" w:customStyle="1" w:styleId="159">
    <w:name w:val="标题 6 Char"/>
    <w:link w:val="9"/>
    <w:qFormat/>
    <w:uiPriority w:val="0"/>
    <w:rPr>
      <w:rFonts w:ascii="Arial" w:hAnsi="Arial" w:eastAsia="黑体"/>
      <w:b/>
      <w:kern w:val="2"/>
      <w:sz w:val="24"/>
    </w:rPr>
  </w:style>
  <w:style w:type="character" w:customStyle="1" w:styleId="160">
    <w:name w:val="标题 7 Char"/>
    <w:link w:val="10"/>
    <w:qFormat/>
    <w:uiPriority w:val="0"/>
    <w:rPr>
      <w:b/>
      <w:kern w:val="2"/>
      <w:sz w:val="24"/>
    </w:rPr>
  </w:style>
  <w:style w:type="character" w:customStyle="1" w:styleId="161">
    <w:name w:val="标题 8 Char"/>
    <w:link w:val="11"/>
    <w:qFormat/>
    <w:uiPriority w:val="0"/>
    <w:rPr>
      <w:rFonts w:ascii="Arial" w:hAnsi="Arial" w:eastAsia="黑体"/>
      <w:kern w:val="2"/>
      <w:sz w:val="24"/>
    </w:rPr>
  </w:style>
  <w:style w:type="character" w:customStyle="1" w:styleId="162">
    <w:name w:val="标题 9 Char"/>
    <w:link w:val="12"/>
    <w:qFormat/>
    <w:uiPriority w:val="0"/>
    <w:rPr>
      <w:rFonts w:ascii="Arial" w:hAnsi="Arial" w:eastAsia="黑体"/>
      <w:kern w:val="2"/>
      <w:sz w:val="21"/>
    </w:rPr>
  </w:style>
  <w:style w:type="character" w:customStyle="1" w:styleId="163">
    <w:name w:val="注释标题 Char"/>
    <w:link w:val="17"/>
    <w:qFormat/>
    <w:uiPriority w:val="0"/>
    <w:rPr>
      <w:rFonts w:ascii="Times New Roman" w:hAnsi="Times New Roman" w:eastAsia="宋体" w:cs="Times New Roman"/>
      <w:kern w:val="2"/>
      <w:sz w:val="21"/>
    </w:rPr>
  </w:style>
  <w:style w:type="character" w:customStyle="1" w:styleId="164">
    <w:name w:val="电子邮件签名 Char"/>
    <w:link w:val="20"/>
    <w:qFormat/>
    <w:uiPriority w:val="0"/>
    <w:rPr>
      <w:rFonts w:ascii="Tahoma" w:hAnsi="Tahoma" w:eastAsia="宋体" w:cs="Times New Roman"/>
      <w:sz w:val="16"/>
      <w:szCs w:val="24"/>
      <w:lang w:eastAsia="en-US"/>
    </w:rPr>
  </w:style>
  <w:style w:type="character" w:customStyle="1" w:styleId="165">
    <w:name w:val="题注 Char"/>
    <w:link w:val="22"/>
    <w:qFormat/>
    <w:uiPriority w:val="0"/>
    <w:rPr>
      <w:rFonts w:ascii="Arial Unicode MS" w:hAnsi="Arial Unicode MS" w:eastAsia="宋体" w:cs="宋体"/>
      <w:kern w:val="2"/>
      <w:sz w:val="21"/>
    </w:rPr>
  </w:style>
  <w:style w:type="character" w:customStyle="1" w:styleId="166">
    <w:name w:val="文档结构图 Char"/>
    <w:link w:val="26"/>
    <w:qFormat/>
    <w:uiPriority w:val="0"/>
    <w:rPr>
      <w:rFonts w:ascii="Times New Roman" w:hAnsi="Times New Roman" w:eastAsia="宋体" w:cs="Times New Roman"/>
      <w:kern w:val="2"/>
      <w:sz w:val="21"/>
      <w:shd w:val="clear" w:color="auto" w:fill="000080"/>
    </w:rPr>
  </w:style>
  <w:style w:type="character" w:customStyle="1" w:styleId="167">
    <w:name w:val="批注文字 Char2"/>
    <w:link w:val="27"/>
    <w:qFormat/>
    <w:uiPriority w:val="0"/>
    <w:rPr>
      <w:rFonts w:ascii="Arial" w:hAnsi="Arial" w:eastAsia="宋体" w:cs="宋体"/>
      <w:kern w:val="2"/>
      <w:sz w:val="24"/>
    </w:rPr>
  </w:style>
  <w:style w:type="character" w:customStyle="1" w:styleId="168">
    <w:name w:val="称呼 Char"/>
    <w:link w:val="29"/>
    <w:qFormat/>
    <w:uiPriority w:val="0"/>
    <w:rPr>
      <w:rFonts w:ascii="宋体" w:hAnsi="Times New Roman" w:eastAsia="宋体" w:cs="Times New Roman"/>
      <w:b/>
      <w:kern w:val="2"/>
      <w:sz w:val="28"/>
    </w:rPr>
  </w:style>
  <w:style w:type="character" w:customStyle="1" w:styleId="169">
    <w:name w:val="正文文本 3 Char"/>
    <w:link w:val="30"/>
    <w:qFormat/>
    <w:uiPriority w:val="0"/>
    <w:rPr>
      <w:rFonts w:ascii="Times New Roman" w:hAnsi="Times New Roman" w:eastAsia="宋体" w:cs="Times New Roman"/>
      <w:kern w:val="2"/>
      <w:sz w:val="16"/>
      <w:szCs w:val="16"/>
    </w:rPr>
  </w:style>
  <w:style w:type="character" w:customStyle="1" w:styleId="170">
    <w:name w:val="结束语 Char"/>
    <w:link w:val="31"/>
    <w:qFormat/>
    <w:uiPriority w:val="0"/>
    <w:rPr>
      <w:rFonts w:ascii="Times New Roman" w:hAnsi="Times New Roman" w:eastAsia="宋体" w:cs="Times New Roman"/>
      <w:kern w:val="2"/>
      <w:sz w:val="21"/>
      <w:szCs w:val="24"/>
    </w:rPr>
  </w:style>
  <w:style w:type="character" w:customStyle="1" w:styleId="171">
    <w:name w:val="正文文本 Char"/>
    <w:link w:val="33"/>
    <w:autoRedefine/>
    <w:qFormat/>
    <w:uiPriority w:val="0"/>
    <w:rPr>
      <w:rFonts w:ascii="Arial" w:hAnsi="Arial" w:eastAsia="宋体" w:cs="Arial"/>
      <w:kern w:val="2"/>
      <w:sz w:val="24"/>
    </w:rPr>
  </w:style>
  <w:style w:type="character" w:customStyle="1" w:styleId="172">
    <w:name w:val="正文首行缩进 Char"/>
    <w:link w:val="85"/>
    <w:qFormat/>
    <w:uiPriority w:val="0"/>
    <w:rPr>
      <w:rFonts w:ascii="Times New Roman" w:hAnsi="Times New Roman" w:eastAsia="宋体" w:cs="Times New Roman"/>
    </w:rPr>
  </w:style>
  <w:style w:type="character" w:customStyle="1" w:styleId="173">
    <w:name w:val="正文文本缩进 Char2"/>
    <w:link w:val="34"/>
    <w:qFormat/>
    <w:uiPriority w:val="0"/>
    <w:rPr>
      <w:rFonts w:ascii="宋体" w:hAnsi="宋体" w:eastAsia="宋体" w:cs="Times New Roman"/>
      <w:kern w:val="2"/>
      <w:sz w:val="24"/>
    </w:rPr>
  </w:style>
  <w:style w:type="character" w:customStyle="1" w:styleId="174">
    <w:name w:val="HTML 地址 Char"/>
    <w:link w:val="40"/>
    <w:qFormat/>
    <w:uiPriority w:val="0"/>
    <w:rPr>
      <w:rFonts w:ascii="Times New Roman" w:hAnsi="Times New Roman" w:eastAsia="宋体" w:cs="Times New Roman"/>
      <w:i/>
      <w:iCs/>
      <w:kern w:val="2"/>
      <w:sz w:val="21"/>
      <w:szCs w:val="24"/>
    </w:rPr>
  </w:style>
  <w:style w:type="character" w:customStyle="1" w:styleId="175">
    <w:name w:val="目录 3 Char"/>
    <w:link w:val="43"/>
    <w:qFormat/>
    <w:uiPriority w:val="0"/>
    <w:rPr>
      <w:rFonts w:ascii="Times New Roman" w:hAnsi="Times New Roman" w:eastAsia="宋体" w:cs="Times New Roman"/>
      <w:kern w:val="2"/>
      <w:sz w:val="24"/>
    </w:rPr>
  </w:style>
  <w:style w:type="character" w:customStyle="1" w:styleId="176">
    <w:name w:val="纯文本 Char"/>
    <w:link w:val="44"/>
    <w:qFormat/>
    <w:uiPriority w:val="0"/>
    <w:rPr>
      <w:rFonts w:ascii="宋体" w:hAnsi="Courier New" w:eastAsia="宋体" w:cs="Times New Roman"/>
      <w:kern w:val="2"/>
      <w:sz w:val="21"/>
      <w:lang w:val="en-US" w:eastAsia="zh-CN" w:bidi="ar-SA"/>
    </w:rPr>
  </w:style>
  <w:style w:type="character" w:customStyle="1" w:styleId="177">
    <w:name w:val="日期 Char"/>
    <w:link w:val="49"/>
    <w:qFormat/>
    <w:uiPriority w:val="0"/>
    <w:rPr>
      <w:rFonts w:ascii="Times New Roman" w:hAnsi="Times New Roman" w:eastAsia="宋体" w:cs="Times New Roman"/>
      <w:kern w:val="2"/>
      <w:sz w:val="24"/>
    </w:rPr>
  </w:style>
  <w:style w:type="character" w:customStyle="1" w:styleId="178">
    <w:name w:val="尾注文本 Char"/>
    <w:link w:val="51"/>
    <w:qFormat/>
    <w:uiPriority w:val="0"/>
    <w:rPr>
      <w:rFonts w:ascii="Arial" w:hAnsi="Arial" w:eastAsia="仿宋" w:cs="宋体"/>
      <w:kern w:val="2"/>
      <w:sz w:val="24"/>
    </w:rPr>
  </w:style>
  <w:style w:type="character" w:customStyle="1" w:styleId="179">
    <w:name w:val="批注框文本 Char2"/>
    <w:link w:val="53"/>
    <w:qFormat/>
    <w:uiPriority w:val="0"/>
    <w:rPr>
      <w:rFonts w:ascii="Times New Roman" w:hAnsi="Times New Roman" w:eastAsia="宋体" w:cs="Times New Roman"/>
      <w:kern w:val="2"/>
      <w:sz w:val="18"/>
      <w:szCs w:val="18"/>
    </w:rPr>
  </w:style>
  <w:style w:type="character" w:customStyle="1" w:styleId="180">
    <w:name w:val="页脚 Char"/>
    <w:link w:val="54"/>
    <w:qFormat/>
    <w:uiPriority w:val="0"/>
    <w:rPr>
      <w:rFonts w:ascii="Times New Roman" w:hAnsi="Times New Roman" w:eastAsia="宋体" w:cs="Times New Roman"/>
      <w:kern w:val="2"/>
      <w:sz w:val="18"/>
    </w:rPr>
  </w:style>
  <w:style w:type="character" w:customStyle="1" w:styleId="181">
    <w:name w:val="页眉 Char"/>
    <w:link w:val="56"/>
    <w:qFormat/>
    <w:uiPriority w:val="0"/>
    <w:rPr>
      <w:rFonts w:ascii="Times New Roman" w:hAnsi="Times New Roman" w:eastAsia="宋体" w:cs="Times New Roman"/>
      <w:kern w:val="2"/>
      <w:sz w:val="18"/>
    </w:rPr>
  </w:style>
  <w:style w:type="character" w:customStyle="1" w:styleId="182">
    <w:name w:val="签名 Char"/>
    <w:link w:val="57"/>
    <w:qFormat/>
    <w:uiPriority w:val="0"/>
    <w:rPr>
      <w:rFonts w:ascii="Times New Roman" w:hAnsi="Times New Roman" w:eastAsia="宋体" w:cs="Times New Roman"/>
      <w:kern w:val="2"/>
      <w:sz w:val="21"/>
      <w:szCs w:val="24"/>
    </w:rPr>
  </w:style>
  <w:style w:type="character" w:customStyle="1" w:styleId="183">
    <w:name w:val="目录 1 Char"/>
    <w:link w:val="58"/>
    <w:qFormat/>
    <w:uiPriority w:val="0"/>
    <w:rPr>
      <w:rFonts w:ascii="Times New Roman" w:hAnsi="Times New Roman" w:eastAsia="宋体" w:cs="Times New Roman"/>
      <w:kern w:val="2"/>
      <w:sz w:val="24"/>
    </w:rPr>
  </w:style>
  <w:style w:type="character" w:customStyle="1" w:styleId="184">
    <w:name w:val="副标题 Char2"/>
    <w:link w:val="63"/>
    <w:qFormat/>
    <w:uiPriority w:val="0"/>
    <w:rPr>
      <w:rFonts w:ascii="Cambria" w:hAnsi="Cambria" w:eastAsia="宋体" w:cs="Times New Roman"/>
      <w:b/>
      <w:bCs/>
      <w:kern w:val="28"/>
      <w:sz w:val="32"/>
      <w:szCs w:val="32"/>
    </w:rPr>
  </w:style>
  <w:style w:type="character" w:customStyle="1" w:styleId="185">
    <w:name w:val="列表 Char"/>
    <w:link w:val="65"/>
    <w:qFormat/>
    <w:uiPriority w:val="0"/>
    <w:rPr>
      <w:rFonts w:ascii="Times New Roman" w:hAnsi="Times New Roman" w:eastAsia="宋体" w:cs="Times New Roman"/>
      <w:kern w:val="2"/>
      <w:sz w:val="24"/>
      <w:szCs w:val="24"/>
    </w:rPr>
  </w:style>
  <w:style w:type="character" w:customStyle="1" w:styleId="186">
    <w:name w:val="脚注文本 Char"/>
    <w:link w:val="66"/>
    <w:qFormat/>
    <w:uiPriority w:val="0"/>
    <w:rPr>
      <w:rFonts w:ascii="Times New Roman" w:hAnsi="Times New Roman" w:eastAsia="宋体" w:cs="Times New Roman"/>
      <w:kern w:val="2"/>
      <w:sz w:val="18"/>
      <w:szCs w:val="18"/>
    </w:rPr>
  </w:style>
  <w:style w:type="character" w:customStyle="1" w:styleId="187">
    <w:name w:val="正文文本缩进 3 Char2"/>
    <w:link w:val="69"/>
    <w:qFormat/>
    <w:uiPriority w:val="0"/>
    <w:rPr>
      <w:rFonts w:ascii="Arial" w:hAnsi="Arial" w:eastAsia="宋体" w:cs="Arial"/>
      <w:b/>
      <w:bCs/>
      <w:kern w:val="2"/>
      <w:sz w:val="24"/>
    </w:rPr>
  </w:style>
  <w:style w:type="character" w:customStyle="1" w:styleId="188">
    <w:name w:val="图表目录 Char"/>
    <w:link w:val="72"/>
    <w:qFormat/>
    <w:uiPriority w:val="0"/>
    <w:rPr>
      <w:rFonts w:ascii="Arial" w:hAnsi="Arial" w:eastAsia="宋体" w:cs="宋体"/>
      <w:kern w:val="2"/>
      <w:sz w:val="24"/>
    </w:rPr>
  </w:style>
  <w:style w:type="character" w:customStyle="1" w:styleId="189">
    <w:name w:val="目录 2 Char"/>
    <w:link w:val="73"/>
    <w:qFormat/>
    <w:uiPriority w:val="0"/>
    <w:rPr>
      <w:rFonts w:ascii="Times New Roman" w:hAnsi="Times New Roman" w:eastAsia="宋体" w:cs="Times New Roman"/>
      <w:kern w:val="2"/>
      <w:sz w:val="24"/>
    </w:rPr>
  </w:style>
  <w:style w:type="character" w:customStyle="1" w:styleId="190">
    <w:name w:val="正文文本 2 Char"/>
    <w:link w:val="75"/>
    <w:qFormat/>
    <w:uiPriority w:val="0"/>
    <w:rPr>
      <w:rFonts w:ascii="Times New Roman" w:hAnsi="Times New Roman" w:eastAsia="宋体" w:cs="Times New Roman"/>
      <w:b/>
      <w:kern w:val="2"/>
      <w:sz w:val="28"/>
      <w:szCs w:val="21"/>
    </w:rPr>
  </w:style>
  <w:style w:type="character" w:customStyle="1" w:styleId="191">
    <w:name w:val="信息标题 Char"/>
    <w:link w:val="78"/>
    <w:qFormat/>
    <w:uiPriority w:val="0"/>
    <w:rPr>
      <w:rFonts w:ascii="Arial" w:hAnsi="Arial" w:eastAsia="仿宋_GB2312" w:cs="Arial"/>
      <w:kern w:val="2"/>
      <w:sz w:val="24"/>
      <w:szCs w:val="24"/>
      <w:shd w:val="pct20" w:color="auto" w:fill="auto"/>
    </w:rPr>
  </w:style>
  <w:style w:type="character" w:customStyle="1" w:styleId="192">
    <w:name w:val="HTML 预设格式 Char"/>
    <w:link w:val="79"/>
    <w:qFormat/>
    <w:uiPriority w:val="0"/>
    <w:rPr>
      <w:rFonts w:ascii="宋体" w:hAnsi="宋体" w:eastAsia="宋体" w:cs="宋体"/>
      <w:sz w:val="24"/>
      <w:szCs w:val="24"/>
    </w:rPr>
  </w:style>
  <w:style w:type="character" w:customStyle="1" w:styleId="193">
    <w:name w:val="标题 Char"/>
    <w:link w:val="83"/>
    <w:qFormat/>
    <w:uiPriority w:val="0"/>
    <w:rPr>
      <w:rFonts w:ascii="Cambria" w:hAnsi="Cambria" w:eastAsia="宋体" w:cs="Times New Roman"/>
      <w:b/>
      <w:bCs/>
      <w:kern w:val="2"/>
      <w:sz w:val="36"/>
      <w:szCs w:val="32"/>
    </w:rPr>
  </w:style>
  <w:style w:type="character" w:customStyle="1" w:styleId="194">
    <w:name w:val="批注主题 Char2"/>
    <w:link w:val="84"/>
    <w:qFormat/>
    <w:uiPriority w:val="0"/>
    <w:rPr>
      <w:rFonts w:ascii="Arial" w:hAnsi="Arial" w:eastAsia="宋体" w:cs="宋体"/>
      <w:b/>
      <w:bCs/>
      <w:kern w:val="2"/>
      <w:sz w:val="24"/>
    </w:rPr>
  </w:style>
  <w:style w:type="character" w:customStyle="1" w:styleId="195">
    <w:name w:val="正文首行缩进 2 Char2"/>
    <w:link w:val="86"/>
    <w:qFormat/>
    <w:uiPriority w:val="0"/>
    <w:rPr>
      <w:rFonts w:ascii="Times New Roman" w:hAnsi="Times New Roman" w:eastAsia="宋体" w:cs="Times New Roman"/>
      <w:kern w:val="2"/>
      <w:sz w:val="21"/>
      <w:szCs w:val="24"/>
    </w:rPr>
  </w:style>
  <w:style w:type="paragraph" w:customStyle="1" w:styleId="196">
    <w:name w:val="Default"/>
    <w:link w:val="197"/>
    <w:qFormat/>
    <w:uiPriority w:val="0"/>
    <w:pPr>
      <w:widowControl w:val="0"/>
      <w:autoSpaceDE w:val="0"/>
      <w:autoSpaceDN w:val="0"/>
      <w:adjustRightInd w:val="0"/>
    </w:pPr>
    <w:rPr>
      <w:rFonts w:ascii="Helvetica" w:hAnsi="Helvetica" w:eastAsia="宋体" w:cs="Helvetica"/>
      <w:color w:val="000000"/>
      <w:sz w:val="24"/>
      <w:szCs w:val="24"/>
      <w:lang w:val="en-US" w:eastAsia="zh-CN" w:bidi="ar-SA"/>
    </w:rPr>
  </w:style>
  <w:style w:type="character" w:customStyle="1" w:styleId="197">
    <w:name w:val="Default Char"/>
    <w:link w:val="196"/>
    <w:qFormat/>
    <w:uiPriority w:val="0"/>
    <w:rPr>
      <w:rFonts w:ascii="Helvetica" w:hAnsi="Helvetica" w:eastAsia="宋体" w:cs="Helvetica"/>
      <w:color w:val="000000"/>
      <w:sz w:val="24"/>
      <w:szCs w:val="24"/>
    </w:rPr>
  </w:style>
  <w:style w:type="paragraph" w:customStyle="1" w:styleId="198">
    <w:name w:val="表格正文"/>
    <w:basedOn w:val="1"/>
    <w:link w:val="199"/>
    <w:qFormat/>
    <w:uiPriority w:val="0"/>
    <w:pPr>
      <w:spacing w:line="360" w:lineRule="auto"/>
      <w:jc w:val="left"/>
    </w:pPr>
    <w:rPr>
      <w:rFonts w:ascii="Arial" w:hAnsi="Arial" w:cs="宋体"/>
    </w:rPr>
  </w:style>
  <w:style w:type="character" w:customStyle="1" w:styleId="199">
    <w:name w:val="表格正文 Char"/>
    <w:link w:val="198"/>
    <w:qFormat/>
    <w:uiPriority w:val="0"/>
    <w:rPr>
      <w:rFonts w:ascii="Arial" w:hAnsi="Arial" w:eastAsia="宋体" w:cs="宋体"/>
      <w:kern w:val="2"/>
      <w:sz w:val="21"/>
    </w:rPr>
  </w:style>
  <w:style w:type="paragraph" w:customStyle="1" w:styleId="200">
    <w:name w:val="表格"/>
    <w:qFormat/>
    <w:uiPriority w:val="0"/>
    <w:pPr>
      <w:textAlignment w:val="center"/>
    </w:pPr>
    <w:rPr>
      <w:rFonts w:ascii="Times New Roman" w:hAnsi="Times New Roman" w:eastAsia="宋体" w:cs="Times New Roman"/>
      <w:lang w:val="en-US" w:eastAsia="zh-CN" w:bidi="ar-SA"/>
    </w:rPr>
  </w:style>
  <w:style w:type="character" w:customStyle="1" w:styleId="201">
    <w:name w:val="12poits1"/>
    <w:qFormat/>
    <w:uiPriority w:val="0"/>
    <w:rPr>
      <w:rFonts w:ascii="Verdana" w:hAnsi="Verdana" w:eastAsia="宋体" w:cs="宋体"/>
      <w:sz w:val="18"/>
      <w:szCs w:val="18"/>
      <w:lang w:val="en-US" w:eastAsia="en-US" w:bidi="ar-SA"/>
    </w:rPr>
  </w:style>
  <w:style w:type="character" w:customStyle="1" w:styleId="202">
    <w:name w:val="编号 Char"/>
    <w:qFormat/>
    <w:uiPriority w:val="0"/>
    <w:rPr>
      <w:rFonts w:ascii="Times New Roman" w:hAnsi="Times New Roman" w:eastAsia="宋体" w:cs="Times New Roman"/>
      <w:kern w:val="2"/>
      <w:sz w:val="21"/>
      <w:szCs w:val="24"/>
      <w:lang w:val="en-US" w:eastAsia="zh-CN" w:bidi="ar-SA"/>
    </w:rPr>
  </w:style>
  <w:style w:type="paragraph" w:customStyle="1" w:styleId="203">
    <w:name w:val="样式 首行缩进:  0 字符"/>
    <w:basedOn w:val="1"/>
    <w:link w:val="204"/>
    <w:qFormat/>
    <w:uiPriority w:val="0"/>
    <w:pPr>
      <w:spacing w:line="360" w:lineRule="auto"/>
      <w:ind w:firstLine="200" w:firstLineChars="200"/>
    </w:pPr>
    <w:rPr>
      <w:rFonts w:cs="宋体"/>
      <w:sz w:val="24"/>
    </w:rPr>
  </w:style>
  <w:style w:type="character" w:customStyle="1" w:styleId="204">
    <w:name w:val="样式 首行缩进:  0 字符 Char"/>
    <w:link w:val="203"/>
    <w:qFormat/>
    <w:uiPriority w:val="0"/>
    <w:rPr>
      <w:rFonts w:ascii="Times New Roman" w:hAnsi="Times New Roman" w:eastAsia="宋体" w:cs="宋体"/>
      <w:kern w:val="2"/>
      <w:sz w:val="24"/>
    </w:rPr>
  </w:style>
  <w:style w:type="character" w:customStyle="1" w:styleId="205">
    <w:name w:val="Char Char161"/>
    <w:qFormat/>
    <w:uiPriority w:val="0"/>
    <w:rPr>
      <w:rFonts w:ascii="Arial" w:hAnsi="Arial" w:eastAsia="宋体" w:cs="Arial"/>
      <w:kern w:val="2"/>
      <w:sz w:val="24"/>
    </w:rPr>
  </w:style>
  <w:style w:type="character" w:customStyle="1" w:styleId="206">
    <w:name w:val="style11"/>
    <w:qFormat/>
    <w:uiPriority w:val="0"/>
    <w:rPr>
      <w:rFonts w:ascii="Times New Roman" w:hAnsi="Times New Roman" w:eastAsia="宋体" w:cs="Times New Roman"/>
    </w:rPr>
  </w:style>
  <w:style w:type="paragraph" w:customStyle="1" w:styleId="207">
    <w:name w:val="def正文"/>
    <w:basedOn w:val="33"/>
    <w:link w:val="208"/>
    <w:qFormat/>
    <w:uiPriority w:val="0"/>
    <w:pPr>
      <w:widowControl/>
      <w:spacing w:line="360" w:lineRule="auto"/>
      <w:ind w:firstLine="510" w:firstLineChars="200"/>
      <w:jc w:val="left"/>
    </w:pPr>
    <w:rPr>
      <w:rFonts w:ascii="Times New Roman" w:hAnsi="Times New Roman"/>
      <w:kern w:val="0"/>
      <w:szCs w:val="24"/>
    </w:rPr>
  </w:style>
  <w:style w:type="character" w:customStyle="1" w:styleId="208">
    <w:name w:val="def正文 Char"/>
    <w:link w:val="207"/>
    <w:qFormat/>
    <w:uiPriority w:val="0"/>
    <w:rPr>
      <w:rFonts w:ascii="Times New Roman" w:hAnsi="Times New Roman" w:eastAsia="宋体" w:cs="Times New Roman"/>
      <w:sz w:val="24"/>
      <w:szCs w:val="24"/>
    </w:rPr>
  </w:style>
  <w:style w:type="character" w:customStyle="1" w:styleId="209">
    <w:name w:val="正文文本 2 Char1"/>
    <w:qFormat/>
    <w:uiPriority w:val="0"/>
    <w:rPr>
      <w:rFonts w:ascii="宋体" w:hAnsi="宋体" w:eastAsia="宋体" w:cs="Times New Roman"/>
      <w:color w:val="000000"/>
      <w:kern w:val="2"/>
      <w:sz w:val="24"/>
      <w:szCs w:val="24"/>
    </w:rPr>
  </w:style>
  <w:style w:type="character" w:customStyle="1" w:styleId="210">
    <w:name w:val="at_7"/>
    <w:qFormat/>
    <w:uiPriority w:val="0"/>
    <w:rPr>
      <w:rFonts w:ascii="Times New Roman" w:hAnsi="Times New Roman" w:eastAsia="宋体" w:cs="Times New Roman"/>
    </w:rPr>
  </w:style>
  <w:style w:type="paragraph" w:customStyle="1" w:styleId="211">
    <w:name w:val="方案正文 Char Char1 Char"/>
    <w:basedOn w:val="1"/>
    <w:link w:val="212"/>
    <w:qFormat/>
    <w:uiPriority w:val="0"/>
    <w:pPr>
      <w:spacing w:before="156" w:line="360" w:lineRule="auto"/>
      <w:ind w:firstLine="359" w:firstLineChars="171"/>
      <w:jc w:val="left"/>
    </w:pPr>
    <w:rPr>
      <w:rFonts w:ascii="Arial" w:hAnsi="Arial" w:cs="宋体"/>
      <w:sz w:val="24"/>
      <w:szCs w:val="21"/>
    </w:rPr>
  </w:style>
  <w:style w:type="character" w:customStyle="1" w:styleId="212">
    <w:name w:val="方案正文 Char Char1 Char Char"/>
    <w:link w:val="211"/>
    <w:qFormat/>
    <w:uiPriority w:val="0"/>
    <w:rPr>
      <w:rFonts w:ascii="Arial" w:hAnsi="Arial" w:eastAsia="宋体" w:cs="宋体"/>
      <w:kern w:val="2"/>
      <w:sz w:val="24"/>
      <w:szCs w:val="21"/>
    </w:rPr>
  </w:style>
  <w:style w:type="character" w:customStyle="1" w:styleId="213">
    <w:name w:val="方框下的123标题 Char Char"/>
    <w:qFormat/>
    <w:uiPriority w:val="0"/>
    <w:rPr>
      <w:rFonts w:ascii="Times New Roman" w:hAnsi="Times New Roman" w:eastAsia="宋体" w:cs="Times New Roman"/>
      <w:kern w:val="2"/>
      <w:sz w:val="21"/>
      <w:szCs w:val="24"/>
      <w:lang w:val="en-US" w:eastAsia="zh-CN" w:bidi="ar-SA"/>
    </w:rPr>
  </w:style>
  <w:style w:type="character" w:customStyle="1" w:styleId="214">
    <w:name w:val="Char Char141"/>
    <w:qFormat/>
    <w:uiPriority w:val="0"/>
    <w:rPr>
      <w:rFonts w:ascii="Times New Roman" w:hAnsi="Times New Roman" w:eastAsia="宋体" w:cs="Times New Roman"/>
      <w:kern w:val="2"/>
      <w:sz w:val="18"/>
      <w:szCs w:val="18"/>
    </w:rPr>
  </w:style>
  <w:style w:type="character" w:customStyle="1" w:styleId="215">
    <w:name w:val="Char Char8"/>
    <w:qFormat/>
    <w:uiPriority w:val="0"/>
    <w:rPr>
      <w:rFonts w:ascii="Times New Roman" w:hAnsi="Times New Roman" w:eastAsia="宋体" w:cs="Times New Roman"/>
      <w:b/>
      <w:bCs/>
      <w:kern w:val="2"/>
      <w:sz w:val="28"/>
      <w:szCs w:val="28"/>
      <w:lang w:val="en-US" w:eastAsia="zh-CN" w:bidi="ar-SA"/>
    </w:rPr>
  </w:style>
  <w:style w:type="character" w:customStyle="1" w:styleId="216">
    <w:name w:val="red1"/>
    <w:qFormat/>
    <w:uiPriority w:val="0"/>
    <w:rPr>
      <w:rFonts w:ascii="Times New Roman" w:hAnsi="Times New Roman" w:eastAsia="宋体" w:cs="Times New Roman"/>
      <w:b/>
      <w:bCs/>
      <w:color w:val="FF900D"/>
      <w:sz w:val="18"/>
      <w:szCs w:val="18"/>
    </w:rPr>
  </w:style>
  <w:style w:type="character" w:customStyle="1" w:styleId="217">
    <w:name w:val="timu1"/>
    <w:qFormat/>
    <w:uiPriority w:val="0"/>
    <w:rPr>
      <w:rFonts w:ascii="Times New Roman" w:hAnsi="Times New Roman" w:eastAsia="宋体" w:cs="Times New Roman"/>
      <w:color w:val="000000"/>
      <w:sz w:val="21"/>
      <w:szCs w:val="21"/>
      <w:u w:val="none"/>
    </w:rPr>
  </w:style>
  <w:style w:type="character" w:customStyle="1" w:styleId="218">
    <w:name w:val="样式 宋体 小四"/>
    <w:qFormat/>
    <w:uiPriority w:val="0"/>
    <w:rPr>
      <w:rFonts w:ascii="宋体" w:hAnsi="宋体" w:eastAsia="宋体" w:cs="Times New Roman"/>
      <w:sz w:val="21"/>
    </w:rPr>
  </w:style>
  <w:style w:type="character" w:customStyle="1" w:styleId="219">
    <w:name w:val="atitle2"/>
    <w:qFormat/>
    <w:uiPriority w:val="0"/>
    <w:rPr>
      <w:rFonts w:ascii="Times New Roman" w:hAnsi="Times New Roman" w:eastAsia="宋体" w:cs="Times New Roman"/>
    </w:rPr>
  </w:style>
  <w:style w:type="character" w:customStyle="1" w:styleId="220">
    <w:name w:val="p21"/>
    <w:qFormat/>
    <w:uiPriority w:val="0"/>
    <w:rPr>
      <w:rFonts w:hint="default" w:ascii="Arial" w:hAnsi="Arial" w:eastAsia="宋体" w:cs="Arial"/>
      <w:color w:val="333333"/>
      <w:sz w:val="18"/>
      <w:szCs w:val="18"/>
      <w:u w:val="none"/>
    </w:rPr>
  </w:style>
  <w:style w:type="character" w:customStyle="1" w:styleId="221">
    <w:name w:val="text_list1"/>
    <w:qFormat/>
    <w:uiPriority w:val="0"/>
    <w:rPr>
      <w:rFonts w:hint="default" w:ascii="Arial" w:hAnsi="Arial" w:eastAsia="宋体" w:cs="Arial"/>
      <w:color w:val="000000"/>
      <w:sz w:val="24"/>
      <w:szCs w:val="24"/>
    </w:rPr>
  </w:style>
  <w:style w:type="paragraph" w:customStyle="1" w:styleId="222">
    <w:name w:val="正文，宋体，小四，1.5倍行距"/>
    <w:basedOn w:val="1"/>
    <w:link w:val="223"/>
    <w:qFormat/>
    <w:uiPriority w:val="0"/>
    <w:pPr>
      <w:spacing w:line="360" w:lineRule="auto"/>
      <w:ind w:firstLine="480" w:firstLineChars="200"/>
    </w:pPr>
    <w:rPr>
      <w:rFonts w:ascii="宋体" w:hAnsi="宋体" w:eastAsia="仿宋"/>
      <w:kern w:val="0"/>
      <w:sz w:val="24"/>
      <w:szCs w:val="24"/>
    </w:rPr>
  </w:style>
  <w:style w:type="character" w:customStyle="1" w:styleId="223">
    <w:name w:val="正文，宋体，小四，1.5倍行距 Char"/>
    <w:link w:val="222"/>
    <w:qFormat/>
    <w:uiPriority w:val="0"/>
    <w:rPr>
      <w:rFonts w:ascii="宋体" w:hAnsi="宋体" w:eastAsia="仿宋" w:cs="Times New Roman"/>
      <w:sz w:val="24"/>
      <w:szCs w:val="24"/>
    </w:rPr>
  </w:style>
  <w:style w:type="character" w:customStyle="1" w:styleId="224">
    <w:name w:val="textnorm_chn"/>
    <w:qFormat/>
    <w:uiPriority w:val="0"/>
    <w:rPr>
      <w:rFonts w:ascii="Times New Roman" w:hAnsi="Times New Roman" w:eastAsia="宋体" w:cs="Times New Roman"/>
    </w:rPr>
  </w:style>
  <w:style w:type="paragraph" w:customStyle="1" w:styleId="225">
    <w:name w:val="表头"/>
    <w:link w:val="226"/>
    <w:qFormat/>
    <w:uiPriority w:val="0"/>
    <w:pPr>
      <w:spacing w:before="80" w:after="40" w:line="276" w:lineRule="auto"/>
      <w:jc w:val="center"/>
    </w:pPr>
    <w:rPr>
      <w:rFonts w:ascii="Courier New" w:hAnsi="Courier New" w:eastAsia="黑体" w:cs="Times New Roman"/>
      <w:sz w:val="19"/>
      <w:lang w:val="en-US" w:eastAsia="zh-CN" w:bidi="ar-SA"/>
    </w:rPr>
  </w:style>
  <w:style w:type="character" w:customStyle="1" w:styleId="226">
    <w:name w:val="表头 Char"/>
    <w:link w:val="225"/>
    <w:qFormat/>
    <w:uiPriority w:val="0"/>
    <w:rPr>
      <w:rFonts w:ascii="Courier New" w:hAnsi="Courier New" w:eastAsia="黑体" w:cs="Times New Roman"/>
      <w:sz w:val="19"/>
    </w:rPr>
  </w:style>
  <w:style w:type="character" w:customStyle="1" w:styleId="227">
    <w:name w:val="明显引用 Char1"/>
    <w:qFormat/>
    <w:uiPriority w:val="0"/>
    <w:rPr>
      <w:rFonts w:ascii="宋体" w:hAnsi="宋体" w:eastAsia="宋体" w:cs="Times New Roman"/>
      <w:b/>
      <w:bCs/>
      <w:i/>
      <w:iCs/>
      <w:color w:val="4F81BD"/>
      <w:kern w:val="2"/>
      <w:sz w:val="24"/>
      <w:szCs w:val="24"/>
    </w:rPr>
  </w:style>
  <w:style w:type="character" w:customStyle="1" w:styleId="228">
    <w:name w:val="ibm-price"/>
    <w:qFormat/>
    <w:uiPriority w:val="0"/>
    <w:rPr>
      <w:rFonts w:ascii="Verdana" w:hAnsi="Verdana" w:eastAsia="宋体" w:cs="宋体"/>
      <w:sz w:val="44"/>
      <w:lang w:val="en-US" w:eastAsia="en-US" w:bidi="ar-SA"/>
    </w:rPr>
  </w:style>
  <w:style w:type="character" w:customStyle="1" w:styleId="229">
    <w:name w:val="keyfunctions"/>
    <w:qFormat/>
    <w:uiPriority w:val="0"/>
    <w:rPr>
      <w:rFonts w:ascii="Times New Roman" w:hAnsi="Times New Roman" w:eastAsia="宋体" w:cs="Times New Roman"/>
    </w:rPr>
  </w:style>
  <w:style w:type="character" w:customStyle="1" w:styleId="230">
    <w:name w:val="z-窗体顶端 Char"/>
    <w:qFormat/>
    <w:uiPriority w:val="0"/>
    <w:rPr>
      <w:rFonts w:ascii="Arial" w:hAnsi="Arial" w:eastAsia="宋体" w:cs="Arial"/>
      <w:vanish/>
      <w:sz w:val="16"/>
      <w:szCs w:val="16"/>
    </w:rPr>
  </w:style>
  <w:style w:type="character" w:customStyle="1" w:styleId="231">
    <w:name w:val="页脚 Char3"/>
    <w:qFormat/>
    <w:uiPriority w:val="0"/>
    <w:rPr>
      <w:rFonts w:ascii="Times New Roman" w:hAnsi="Times New Roman" w:eastAsia="宋体" w:cs="Times New Roman"/>
      <w:sz w:val="18"/>
      <w:szCs w:val="18"/>
    </w:rPr>
  </w:style>
  <w:style w:type="character" w:customStyle="1" w:styleId="232">
    <w:name w:val="para_small1"/>
    <w:qFormat/>
    <w:uiPriority w:val="0"/>
    <w:rPr>
      <w:rFonts w:hint="default" w:ascii="Arial" w:hAnsi="Arial" w:eastAsia="宋体" w:cs="Arial"/>
      <w:sz w:val="19"/>
      <w:szCs w:val="19"/>
    </w:rPr>
  </w:style>
  <w:style w:type="paragraph" w:customStyle="1" w:styleId="233">
    <w:name w:val="Important Text"/>
    <w:basedOn w:val="1"/>
    <w:next w:val="47"/>
    <w:link w:val="234"/>
    <w:qFormat/>
    <w:uiPriority w:val="0"/>
    <w:pPr>
      <w:spacing w:line="360" w:lineRule="auto"/>
      <w:ind w:firstLine="482" w:firstLineChars="200"/>
    </w:pPr>
    <w:rPr>
      <w:rFonts w:ascii="Arial Black" w:hAnsi="Arial Black" w:eastAsia="黑体"/>
      <w:bCs/>
      <w:color w:val="000080"/>
      <w:sz w:val="24"/>
      <w:szCs w:val="24"/>
    </w:rPr>
  </w:style>
  <w:style w:type="character" w:customStyle="1" w:styleId="234">
    <w:name w:val="Important Text Char1"/>
    <w:link w:val="233"/>
    <w:qFormat/>
    <w:uiPriority w:val="0"/>
    <w:rPr>
      <w:rFonts w:ascii="Arial Black" w:hAnsi="Arial Black" w:eastAsia="黑体" w:cs="Times New Roman"/>
      <w:bCs/>
      <w:color w:val="000080"/>
      <w:kern w:val="2"/>
      <w:sz w:val="24"/>
      <w:szCs w:val="24"/>
    </w:rPr>
  </w:style>
  <w:style w:type="character" w:customStyle="1" w:styleId="235">
    <w:name w:val="p111"/>
    <w:qFormat/>
    <w:uiPriority w:val="0"/>
    <w:rPr>
      <w:rFonts w:hint="default" w:ascii="Times New Roman" w:hAnsi="Times New Roman" w:eastAsia="宋体" w:cs="Times New Roman"/>
      <w:color w:val="000000"/>
      <w:kern w:val="2"/>
      <w:sz w:val="22"/>
      <w:szCs w:val="22"/>
      <w:u w:val="none"/>
      <w:lang w:val="en-US" w:eastAsia="zh-CN" w:bidi="ar-SA"/>
    </w:rPr>
  </w:style>
  <w:style w:type="paragraph" w:customStyle="1" w:styleId="236">
    <w:name w:val="项目正文"/>
    <w:basedOn w:val="1"/>
    <w:link w:val="237"/>
    <w:qFormat/>
    <w:uiPriority w:val="0"/>
    <w:pPr>
      <w:tabs>
        <w:tab w:val="left" w:pos="425"/>
        <w:tab w:val="left" w:pos="635"/>
      </w:tabs>
      <w:ind w:left="635" w:hanging="425"/>
    </w:pPr>
  </w:style>
  <w:style w:type="character" w:customStyle="1" w:styleId="237">
    <w:name w:val="项目正文 Char"/>
    <w:link w:val="236"/>
    <w:qFormat/>
    <w:uiPriority w:val="0"/>
    <w:rPr>
      <w:rFonts w:ascii="Times New Roman" w:hAnsi="Times New Roman" w:eastAsia="宋体" w:cs="Times New Roman"/>
      <w:kern w:val="2"/>
      <w:sz w:val="21"/>
    </w:rPr>
  </w:style>
  <w:style w:type="character" w:customStyle="1" w:styleId="238">
    <w:name w:val="纯文本 Char Char Char Char Char Char"/>
    <w:qFormat/>
    <w:uiPriority w:val="0"/>
    <w:rPr>
      <w:rFonts w:ascii="宋体" w:hAnsi="Courier New" w:eastAsia="宋体" w:cs="Times New Roman"/>
      <w:kern w:val="2"/>
      <w:sz w:val="21"/>
      <w:lang w:val="en-US" w:eastAsia="zh-CN" w:bidi="ar-SA"/>
    </w:rPr>
  </w:style>
  <w:style w:type="character" w:customStyle="1" w:styleId="239">
    <w:name w:val="cont-bt1"/>
    <w:qFormat/>
    <w:uiPriority w:val="0"/>
    <w:rPr>
      <w:rFonts w:ascii="Times New Roman" w:hAnsi="Times New Roman" w:eastAsia="宋体" w:cs="Times New Roman"/>
      <w:b/>
      <w:bCs/>
      <w:sz w:val="18"/>
      <w:szCs w:val="18"/>
    </w:rPr>
  </w:style>
  <w:style w:type="paragraph" w:customStyle="1" w:styleId="240">
    <w:name w:val="样式 样式 正文（缩进） + 首行缩进:  2 字符 + 首行缩进:  2 字符2"/>
    <w:basedOn w:val="1"/>
    <w:link w:val="241"/>
    <w:qFormat/>
    <w:uiPriority w:val="0"/>
    <w:pPr>
      <w:spacing w:before="50" w:after="50" w:line="360" w:lineRule="auto"/>
      <w:ind w:firstLine="200" w:firstLineChars="200"/>
    </w:pPr>
    <w:rPr>
      <w:rFonts w:cs="宋体"/>
      <w:sz w:val="24"/>
    </w:rPr>
  </w:style>
  <w:style w:type="character" w:customStyle="1" w:styleId="241">
    <w:name w:val="样式 样式 正文（缩进） + 首行缩进:  2 字符 + 首行缩进:  2 字符2 Char"/>
    <w:link w:val="240"/>
    <w:qFormat/>
    <w:uiPriority w:val="0"/>
    <w:rPr>
      <w:rFonts w:ascii="Times New Roman" w:hAnsi="Times New Roman" w:eastAsia="宋体" w:cs="宋体"/>
      <w:kern w:val="2"/>
      <w:sz w:val="24"/>
    </w:rPr>
  </w:style>
  <w:style w:type="character" w:customStyle="1" w:styleId="242">
    <w:name w:val="表格 Char"/>
    <w:qFormat/>
    <w:uiPriority w:val="0"/>
    <w:rPr>
      <w:rFonts w:ascii="Times New Roman" w:hAnsi="Times New Roman" w:eastAsia="宋体" w:cs="Times New Roman"/>
      <w:kern w:val="2"/>
      <w:sz w:val="28"/>
      <w:szCs w:val="24"/>
    </w:rPr>
  </w:style>
  <w:style w:type="character" w:customStyle="1" w:styleId="243">
    <w:name w:val="标题 8 Char1"/>
    <w:qFormat/>
    <w:uiPriority w:val="0"/>
    <w:rPr>
      <w:rFonts w:ascii="Cambria" w:hAnsi="Cambria" w:eastAsia="宋体" w:cs="Times New Roman"/>
      <w:kern w:val="2"/>
      <w:sz w:val="24"/>
      <w:szCs w:val="24"/>
    </w:rPr>
  </w:style>
  <w:style w:type="character" w:customStyle="1" w:styleId="244">
    <w:name w:val="正文文本 Char2"/>
    <w:qFormat/>
    <w:uiPriority w:val="0"/>
    <w:rPr>
      <w:rFonts w:ascii="Arial" w:hAnsi="Arial" w:eastAsia="宋体" w:cs="宋体"/>
      <w:sz w:val="24"/>
      <w:szCs w:val="20"/>
    </w:rPr>
  </w:style>
  <w:style w:type="paragraph" w:customStyle="1" w:styleId="245">
    <w:name w:val="叙述文件"/>
    <w:basedOn w:val="1"/>
    <w:link w:val="246"/>
    <w:qFormat/>
    <w:uiPriority w:val="0"/>
    <w:pPr>
      <w:spacing w:line="360" w:lineRule="auto"/>
      <w:ind w:left="50" w:leftChars="50" w:right="50" w:rightChars="50" w:firstLine="200" w:firstLineChars="200"/>
    </w:pPr>
    <w:rPr>
      <w:rFonts w:ascii="宋体" w:hAnsi="宋体" w:cs="Angsana New"/>
      <w:bCs/>
      <w:color w:val="000000"/>
      <w:kern w:val="0"/>
      <w:sz w:val="24"/>
      <w:szCs w:val="24"/>
      <w:lang w:bidi="th-TH"/>
    </w:rPr>
  </w:style>
  <w:style w:type="character" w:customStyle="1" w:styleId="246">
    <w:name w:val="叙述文件 Char"/>
    <w:link w:val="245"/>
    <w:qFormat/>
    <w:uiPriority w:val="0"/>
    <w:rPr>
      <w:rFonts w:ascii="宋体" w:hAnsi="宋体" w:eastAsia="宋体" w:cs="Angsana New"/>
      <w:bCs/>
      <w:color w:val="000000"/>
      <w:sz w:val="24"/>
      <w:szCs w:val="24"/>
      <w:lang w:bidi="th-TH"/>
    </w:rPr>
  </w:style>
  <w:style w:type="character" w:customStyle="1" w:styleId="247">
    <w:name w:val="标题 3 Char Char Char"/>
    <w:qFormat/>
    <w:uiPriority w:val="0"/>
    <w:rPr>
      <w:rFonts w:ascii="Times New Roman" w:hAnsi="Times New Roman" w:eastAsia="宋体" w:cs="Times New Roman"/>
      <w:b/>
      <w:bCs/>
      <w:kern w:val="2"/>
      <w:sz w:val="32"/>
      <w:szCs w:val="32"/>
      <w:lang w:val="en-US" w:eastAsia="zh-CN" w:bidi="ar-SA"/>
    </w:rPr>
  </w:style>
  <w:style w:type="paragraph" w:customStyle="1" w:styleId="248">
    <w:name w:val="正文（居中）"/>
    <w:basedOn w:val="1"/>
    <w:link w:val="249"/>
    <w:qFormat/>
    <w:uiPriority w:val="0"/>
    <w:pPr>
      <w:spacing w:beforeLines="50" w:afterLines="50" w:line="360" w:lineRule="auto"/>
      <w:jc w:val="center"/>
    </w:pPr>
    <w:rPr>
      <w:sz w:val="24"/>
      <w:szCs w:val="24"/>
    </w:rPr>
  </w:style>
  <w:style w:type="character" w:customStyle="1" w:styleId="249">
    <w:name w:val="正文（居中） Char"/>
    <w:link w:val="248"/>
    <w:qFormat/>
    <w:uiPriority w:val="0"/>
    <w:rPr>
      <w:rFonts w:ascii="Times New Roman" w:hAnsi="Times New Roman" w:eastAsia="宋体" w:cs="Times New Roman"/>
      <w:kern w:val="2"/>
      <w:sz w:val="24"/>
      <w:szCs w:val="24"/>
    </w:rPr>
  </w:style>
  <w:style w:type="paragraph" w:customStyle="1" w:styleId="250">
    <w:name w:val="项目符号圆点"/>
    <w:basedOn w:val="1"/>
    <w:link w:val="251"/>
    <w:qFormat/>
    <w:uiPriority w:val="0"/>
    <w:pPr>
      <w:numPr>
        <w:ilvl w:val="0"/>
        <w:numId w:val="8"/>
      </w:numPr>
      <w:ind w:firstLine="0"/>
      <w:jc w:val="left"/>
    </w:pPr>
    <w:rPr>
      <w:rFonts w:ascii="Arial" w:hAnsi="Arial" w:eastAsia="微软雅黑" w:cs="宋体"/>
      <w:b/>
      <w:sz w:val="24"/>
    </w:rPr>
  </w:style>
  <w:style w:type="character" w:customStyle="1" w:styleId="251">
    <w:name w:val="项目符号圆点 Char"/>
    <w:link w:val="250"/>
    <w:qFormat/>
    <w:uiPriority w:val="0"/>
    <w:rPr>
      <w:rFonts w:ascii="Arial" w:hAnsi="Arial" w:eastAsia="微软雅黑" w:cs="宋体"/>
      <w:b/>
      <w:kern w:val="2"/>
      <w:sz w:val="24"/>
    </w:rPr>
  </w:style>
  <w:style w:type="character" w:customStyle="1" w:styleId="252">
    <w:name w:val="Unresolved Mention"/>
    <w:qFormat/>
    <w:uiPriority w:val="0"/>
    <w:rPr>
      <w:rFonts w:ascii="Times New Roman" w:hAnsi="Times New Roman" w:eastAsia="宋体" w:cs="Times New Roman"/>
      <w:color w:val="808080"/>
      <w:shd w:val="clear" w:color="auto" w:fill="E6E6E6"/>
    </w:rPr>
  </w:style>
  <w:style w:type="paragraph" w:customStyle="1" w:styleId="253">
    <w:name w:val="金宏发行正文 Char"/>
    <w:basedOn w:val="1"/>
    <w:link w:val="254"/>
    <w:qFormat/>
    <w:uiPriority w:val="0"/>
    <w:pPr>
      <w:spacing w:line="500" w:lineRule="exact"/>
      <w:ind w:firstLine="560" w:firstLineChars="200"/>
    </w:pPr>
    <w:rPr>
      <w:rFonts w:eastAsia="仿宋_GB2312" w:cs="宋体"/>
      <w:sz w:val="28"/>
    </w:rPr>
  </w:style>
  <w:style w:type="character" w:customStyle="1" w:styleId="254">
    <w:name w:val="金宏发行正文 Char Char"/>
    <w:link w:val="253"/>
    <w:qFormat/>
    <w:uiPriority w:val="0"/>
    <w:rPr>
      <w:rFonts w:ascii="Times New Roman" w:hAnsi="Times New Roman" w:eastAsia="仿宋_GB2312" w:cs="宋体"/>
      <w:kern w:val="2"/>
      <w:sz w:val="28"/>
    </w:rPr>
  </w:style>
  <w:style w:type="character" w:customStyle="1" w:styleId="255">
    <w:name w:val="exp1"/>
    <w:qFormat/>
    <w:uiPriority w:val="0"/>
    <w:rPr>
      <w:rFonts w:ascii="Times New Roman" w:hAnsi="Times New Roman" w:eastAsia="宋体" w:cs="Times New Roman"/>
      <w:color w:val="3E3E3E"/>
    </w:rPr>
  </w:style>
  <w:style w:type="paragraph" w:customStyle="1" w:styleId="256">
    <w:name w:val="Table Heading"/>
    <w:link w:val="257"/>
    <w:qFormat/>
    <w:uiPriority w:val="0"/>
    <w:pPr>
      <w:keepNext/>
      <w:snapToGrid w:val="0"/>
      <w:spacing w:before="80" w:after="80"/>
      <w:jc w:val="center"/>
    </w:pPr>
    <w:rPr>
      <w:rFonts w:ascii="Arial" w:hAnsi="Arial" w:eastAsia="黑体" w:cs="Times New Roman"/>
      <w:sz w:val="18"/>
      <w:lang w:val="en-US" w:eastAsia="zh-CN" w:bidi="ar-SA"/>
    </w:rPr>
  </w:style>
  <w:style w:type="character" w:customStyle="1" w:styleId="257">
    <w:name w:val="Table Heading Char"/>
    <w:link w:val="256"/>
    <w:qFormat/>
    <w:uiPriority w:val="0"/>
    <w:rPr>
      <w:rFonts w:ascii="Arial" w:hAnsi="Arial" w:eastAsia="黑体" w:cs="Times New Roman"/>
      <w:sz w:val="18"/>
    </w:rPr>
  </w:style>
  <w:style w:type="character" w:customStyle="1" w:styleId="258">
    <w:name w:val="Char Char14"/>
    <w:qFormat/>
    <w:uiPriority w:val="0"/>
    <w:rPr>
      <w:rFonts w:ascii="Times New Roman" w:hAnsi="Times New Roman" w:eastAsia="宋体" w:cs="Times New Roman"/>
      <w:kern w:val="2"/>
      <w:sz w:val="18"/>
      <w:szCs w:val="18"/>
    </w:rPr>
  </w:style>
  <w:style w:type="character" w:customStyle="1" w:styleId="259">
    <w:name w:val="p9_black"/>
    <w:qFormat/>
    <w:uiPriority w:val="0"/>
    <w:rPr>
      <w:rFonts w:ascii="Verdana" w:hAnsi="Verdana" w:eastAsia="宋体" w:cs="宋体"/>
      <w:sz w:val="44"/>
      <w:lang w:val="en-US" w:eastAsia="en-US" w:bidi="ar-SA"/>
    </w:rPr>
  </w:style>
  <w:style w:type="character" w:customStyle="1" w:styleId="260">
    <w:name w:val="访问过的超链接1"/>
    <w:qFormat/>
    <w:uiPriority w:val="0"/>
    <w:rPr>
      <w:rFonts w:ascii="Times New Roman" w:hAnsi="Times New Roman" w:eastAsia="宋体" w:cs="Times New Roman"/>
      <w:color w:val="800080"/>
      <w:u w:val="single"/>
    </w:rPr>
  </w:style>
  <w:style w:type="character" w:customStyle="1" w:styleId="261">
    <w:name w:val="Char Char10"/>
    <w:qFormat/>
    <w:uiPriority w:val="0"/>
    <w:rPr>
      <w:rFonts w:ascii="Times New Roman" w:hAnsi="Times New Roman" w:eastAsia="宋体" w:cs="Times New Roman"/>
      <w:b/>
      <w:bCs/>
      <w:kern w:val="2"/>
      <w:sz w:val="32"/>
      <w:szCs w:val="32"/>
      <w:lang w:val="en-US" w:eastAsia="zh-CN" w:bidi="ar-SA"/>
    </w:rPr>
  </w:style>
  <w:style w:type="character" w:customStyle="1" w:styleId="262">
    <w:name w:val="javascript"/>
    <w:qFormat/>
    <w:uiPriority w:val="0"/>
    <w:rPr>
      <w:rFonts w:ascii="Times New Roman" w:hAnsi="Times New Roman" w:eastAsia="宋体" w:cs="Times New Roman"/>
    </w:rPr>
  </w:style>
  <w:style w:type="paragraph" w:customStyle="1" w:styleId="263">
    <w:name w:val="方案正文"/>
    <w:basedOn w:val="1"/>
    <w:link w:val="264"/>
    <w:qFormat/>
    <w:uiPriority w:val="0"/>
    <w:pPr>
      <w:spacing w:line="360" w:lineRule="auto"/>
    </w:pPr>
    <w:rPr>
      <w:sz w:val="24"/>
      <w:szCs w:val="24"/>
    </w:rPr>
  </w:style>
  <w:style w:type="character" w:customStyle="1" w:styleId="264">
    <w:name w:val="方案正文 Char"/>
    <w:link w:val="263"/>
    <w:qFormat/>
    <w:uiPriority w:val="0"/>
    <w:rPr>
      <w:rFonts w:ascii="Times New Roman" w:hAnsi="Times New Roman" w:eastAsia="宋体" w:cs="Times New Roman"/>
      <w:kern w:val="2"/>
      <w:sz w:val="24"/>
      <w:szCs w:val="24"/>
    </w:rPr>
  </w:style>
  <w:style w:type="paragraph" w:customStyle="1" w:styleId="265">
    <w:name w:val="表内文字"/>
    <w:link w:val="266"/>
    <w:qFormat/>
    <w:uiPriority w:val="0"/>
    <w:pPr>
      <w:adjustRightInd w:val="0"/>
      <w:snapToGrid w:val="0"/>
      <w:spacing w:beforeLines="50" w:afterLines="50" w:line="264" w:lineRule="auto"/>
      <w:ind w:left="420" w:hanging="420"/>
      <w:jc w:val="both"/>
    </w:pPr>
    <w:rPr>
      <w:rFonts w:ascii="Times New Roman" w:hAnsi="Times New Roman" w:eastAsia="宋体" w:cs="Times New Roman"/>
      <w:sz w:val="21"/>
      <w:lang w:val="en-US" w:eastAsia="zh-CN" w:bidi="ar-SA"/>
    </w:rPr>
  </w:style>
  <w:style w:type="character" w:customStyle="1" w:styleId="266">
    <w:name w:val="表内文字 Char"/>
    <w:link w:val="265"/>
    <w:qFormat/>
    <w:uiPriority w:val="0"/>
    <w:rPr>
      <w:rFonts w:ascii="Times New Roman" w:hAnsi="Times New Roman" w:eastAsia="宋体" w:cs="Times New Roman"/>
      <w:sz w:val="21"/>
    </w:rPr>
  </w:style>
  <w:style w:type="character" w:customStyle="1" w:styleId="267">
    <w:name w:val="9p1"/>
    <w:qFormat/>
    <w:uiPriority w:val="0"/>
    <w:rPr>
      <w:rFonts w:ascii="Tahoma" w:hAnsi="Tahoma" w:eastAsia="宋体" w:cs="Times New Roman"/>
      <w:kern w:val="2"/>
      <w:sz w:val="18"/>
      <w:szCs w:val="18"/>
      <w:lang w:val="en-US" w:eastAsia="zh-CN" w:bidi="ar-SA"/>
    </w:rPr>
  </w:style>
  <w:style w:type="character" w:customStyle="1" w:styleId="268">
    <w:name w:val="5a1"/>
    <w:qFormat/>
    <w:uiPriority w:val="0"/>
    <w:rPr>
      <w:rFonts w:ascii="Times New Roman" w:hAnsi="Times New Roman" w:eastAsia="宋体" w:cs="Times New Roman"/>
      <w:color w:val="5A779F"/>
      <w:sz w:val="18"/>
      <w:szCs w:val="18"/>
    </w:rPr>
  </w:style>
  <w:style w:type="character" w:customStyle="1" w:styleId="269">
    <w:name w:val="纯文本 Char2"/>
    <w:qFormat/>
    <w:uiPriority w:val="0"/>
    <w:rPr>
      <w:rFonts w:ascii="宋体" w:hAnsi="Courier New" w:eastAsia="仿宋" w:cs="Courier New"/>
      <w:szCs w:val="21"/>
    </w:rPr>
  </w:style>
  <w:style w:type="character" w:customStyle="1" w:styleId="270">
    <w:name w:val="样式 正文首行缩进 + (符号) 宋体 Char"/>
    <w:qFormat/>
    <w:uiPriority w:val="0"/>
    <w:rPr>
      <w:rFonts w:ascii="Times New Roman" w:hAnsi="宋体" w:eastAsia="宋体" w:cs="宋体"/>
      <w:sz w:val="21"/>
      <w:lang w:val="en-US" w:eastAsia="zh-CN" w:bidi="ar-SA"/>
    </w:rPr>
  </w:style>
  <w:style w:type="character" w:customStyle="1" w:styleId="271">
    <w:name w:val="white_tit1"/>
    <w:qFormat/>
    <w:uiPriority w:val="0"/>
    <w:rPr>
      <w:rFonts w:ascii="Times New Roman" w:hAnsi="Times New Roman" w:eastAsia="宋体" w:cs="Times New Roman"/>
      <w:b/>
      <w:bCs/>
      <w:color w:val="000000"/>
      <w:sz w:val="22"/>
      <w:szCs w:val="22"/>
    </w:rPr>
  </w:style>
  <w:style w:type="character" w:customStyle="1" w:styleId="272">
    <w:name w:val="页眉 Char3"/>
    <w:qFormat/>
    <w:uiPriority w:val="0"/>
    <w:rPr>
      <w:rFonts w:ascii="Times New Roman" w:hAnsi="Times New Roman" w:eastAsia="宋体" w:cs="Times New Roman"/>
      <w:sz w:val="18"/>
      <w:szCs w:val="18"/>
    </w:rPr>
  </w:style>
  <w:style w:type="paragraph" w:customStyle="1" w:styleId="273">
    <w:name w:val="三角形"/>
    <w:basedOn w:val="1"/>
    <w:link w:val="274"/>
    <w:qFormat/>
    <w:uiPriority w:val="0"/>
    <w:pPr>
      <w:numPr>
        <w:ilvl w:val="0"/>
        <w:numId w:val="9"/>
      </w:numPr>
      <w:spacing w:line="360" w:lineRule="auto"/>
      <w:ind w:firstLine="0"/>
    </w:pPr>
    <w:rPr>
      <w:rFonts w:ascii="Calibri" w:hAnsi="Calibri" w:eastAsia="仿宋"/>
      <w:sz w:val="24"/>
      <w:szCs w:val="21"/>
    </w:rPr>
  </w:style>
  <w:style w:type="character" w:customStyle="1" w:styleId="274">
    <w:name w:val="三角形 Char"/>
    <w:link w:val="273"/>
    <w:qFormat/>
    <w:uiPriority w:val="0"/>
    <w:rPr>
      <w:rFonts w:ascii="Calibri" w:hAnsi="Calibri" w:eastAsia="仿宋" w:cs="Times New Roman"/>
      <w:kern w:val="2"/>
      <w:sz w:val="24"/>
      <w:szCs w:val="21"/>
    </w:rPr>
  </w:style>
  <w:style w:type="character" w:customStyle="1" w:styleId="275">
    <w:name w:val="批注文字 Char"/>
    <w:qFormat/>
    <w:uiPriority w:val="0"/>
    <w:rPr>
      <w:rFonts w:ascii="Times New Roman" w:hAnsi="Times New Roman" w:eastAsia="宋体" w:cs="Times New Roman"/>
      <w:kern w:val="2"/>
      <w:sz w:val="21"/>
    </w:rPr>
  </w:style>
  <w:style w:type="character" w:customStyle="1" w:styleId="276">
    <w:name w:val="Char Char1"/>
    <w:qFormat/>
    <w:uiPriority w:val="0"/>
    <w:rPr>
      <w:rFonts w:ascii="Times New Roman" w:hAnsi="Times New Roman" w:eastAsia="宋体" w:cs="Times New Roman"/>
      <w:kern w:val="2"/>
      <w:sz w:val="21"/>
      <w:szCs w:val="24"/>
      <w:lang w:val="en-US" w:eastAsia="zh-CN" w:bidi="ar-SA"/>
    </w:rPr>
  </w:style>
  <w:style w:type="character" w:customStyle="1" w:styleId="277">
    <w:name w:val="zzz1"/>
    <w:qFormat/>
    <w:uiPriority w:val="0"/>
    <w:rPr>
      <w:rFonts w:ascii="Times New Roman" w:hAnsi="Times New Roman" w:eastAsia="宋体" w:cs="Times New Roman"/>
    </w:rPr>
  </w:style>
  <w:style w:type="paragraph" w:customStyle="1" w:styleId="278">
    <w:name w:val="居 中"/>
    <w:basedOn w:val="1"/>
    <w:link w:val="279"/>
    <w:qFormat/>
    <w:uiPriority w:val="0"/>
    <w:pPr>
      <w:spacing w:line="360" w:lineRule="auto"/>
      <w:ind w:firstLine="420" w:firstLineChars="200"/>
      <w:jc w:val="center"/>
    </w:pPr>
    <w:rPr>
      <w:sz w:val="22"/>
      <w:szCs w:val="24"/>
    </w:rPr>
  </w:style>
  <w:style w:type="character" w:customStyle="1" w:styleId="279">
    <w:name w:val="居 中 Char"/>
    <w:link w:val="278"/>
    <w:qFormat/>
    <w:uiPriority w:val="0"/>
    <w:rPr>
      <w:rFonts w:ascii="Times New Roman" w:hAnsi="Times New Roman" w:eastAsia="宋体" w:cs="Times New Roman"/>
      <w:kern w:val="2"/>
      <w:sz w:val="22"/>
      <w:szCs w:val="24"/>
    </w:rPr>
  </w:style>
  <w:style w:type="paragraph" w:customStyle="1" w:styleId="280">
    <w:name w:val="正文（黑体）"/>
    <w:basedOn w:val="1"/>
    <w:next w:val="1"/>
    <w:link w:val="281"/>
    <w:qFormat/>
    <w:uiPriority w:val="0"/>
    <w:pPr>
      <w:spacing w:beforeLines="50" w:afterLines="50" w:line="360" w:lineRule="auto"/>
      <w:ind w:firstLine="480" w:firstLineChars="200"/>
    </w:pPr>
    <w:rPr>
      <w:rFonts w:ascii="黑体" w:eastAsia="黑体"/>
      <w:sz w:val="24"/>
      <w:szCs w:val="24"/>
    </w:rPr>
  </w:style>
  <w:style w:type="character" w:customStyle="1" w:styleId="281">
    <w:name w:val="正文（黑体） Char"/>
    <w:link w:val="280"/>
    <w:qFormat/>
    <w:uiPriority w:val="0"/>
    <w:rPr>
      <w:rFonts w:ascii="黑体" w:hAnsi="Times New Roman" w:eastAsia="黑体" w:cs="Times New Roman"/>
      <w:kern w:val="2"/>
      <w:sz w:val="24"/>
      <w:szCs w:val="24"/>
    </w:rPr>
  </w:style>
  <w:style w:type="paragraph" w:customStyle="1" w:styleId="282">
    <w:name w:val="样式 样式 正文首行缩进 + 首行缩进:  2 字符 + 首行缩进:  2 字符"/>
    <w:basedOn w:val="1"/>
    <w:link w:val="283"/>
    <w:qFormat/>
    <w:uiPriority w:val="0"/>
    <w:pPr>
      <w:spacing w:line="440" w:lineRule="exact"/>
      <w:ind w:firstLine="200" w:firstLineChars="200"/>
    </w:pPr>
    <w:rPr>
      <w:rFonts w:cs="宋体"/>
      <w:sz w:val="24"/>
    </w:rPr>
  </w:style>
  <w:style w:type="character" w:customStyle="1" w:styleId="283">
    <w:name w:val="样式 样式 正文首行缩进 + 首行缩进:  2 字符 + 首行缩进:  2 字符 Char"/>
    <w:link w:val="282"/>
    <w:qFormat/>
    <w:uiPriority w:val="0"/>
    <w:rPr>
      <w:rFonts w:ascii="Times New Roman" w:hAnsi="Times New Roman" w:eastAsia="宋体" w:cs="宋体"/>
      <w:kern w:val="2"/>
      <w:sz w:val="24"/>
    </w:rPr>
  </w:style>
  <w:style w:type="character" w:customStyle="1" w:styleId="284">
    <w:name w:val="批注框文本 Char"/>
    <w:qFormat/>
    <w:uiPriority w:val="0"/>
    <w:rPr>
      <w:rFonts w:ascii="Times New Roman" w:hAnsi="Times New Roman" w:eastAsia="宋体" w:cs="Times New Roman"/>
      <w:sz w:val="18"/>
      <w:szCs w:val="18"/>
    </w:rPr>
  </w:style>
  <w:style w:type="character" w:customStyle="1" w:styleId="285">
    <w:name w:val="Footer-Even Char Char"/>
    <w:qFormat/>
    <w:uiPriority w:val="0"/>
    <w:rPr>
      <w:rFonts w:ascii="Times New Roman" w:hAnsi="Times New Roman" w:eastAsia="宋体" w:cs="Times New Roman"/>
      <w:kern w:val="2"/>
      <w:sz w:val="21"/>
      <w:szCs w:val="24"/>
      <w:lang w:val="en-US" w:eastAsia="zh-CN" w:bidi="ar-SA"/>
    </w:rPr>
  </w:style>
  <w:style w:type="character" w:customStyle="1" w:styleId="286">
    <w:name w:val="Char Char4"/>
    <w:qFormat/>
    <w:uiPriority w:val="0"/>
    <w:rPr>
      <w:rFonts w:ascii="Times New Roman" w:hAnsi="Times New Roman" w:eastAsia="宋体" w:cs="Times New Roman"/>
      <w:b/>
      <w:kern w:val="2"/>
      <w:sz w:val="21"/>
    </w:rPr>
  </w:style>
  <w:style w:type="character" w:customStyle="1" w:styleId="287">
    <w:name w:val="font132"/>
    <w:qFormat/>
    <w:uiPriority w:val="0"/>
    <w:rPr>
      <w:rFonts w:hint="eastAsia" w:ascii="宋体" w:hAnsi="宋体" w:eastAsia="宋体" w:cs="宋体"/>
      <w:color w:val="000000"/>
      <w:sz w:val="20"/>
      <w:szCs w:val="20"/>
      <w:u w:val="none"/>
    </w:rPr>
  </w:style>
  <w:style w:type="character" w:customStyle="1" w:styleId="288">
    <w:name w:val="列出段落 Char"/>
    <w:link w:val="289"/>
    <w:qFormat/>
    <w:uiPriority w:val="0"/>
    <w:rPr>
      <w:rFonts w:ascii="Calibri" w:hAnsi="Calibri" w:eastAsia="宋体" w:cs="Times New Roman"/>
      <w:kern w:val="2"/>
      <w:sz w:val="21"/>
      <w:szCs w:val="22"/>
    </w:rPr>
  </w:style>
  <w:style w:type="paragraph" w:styleId="289">
    <w:name w:val="List Paragraph"/>
    <w:basedOn w:val="1"/>
    <w:link w:val="288"/>
    <w:qFormat/>
    <w:uiPriority w:val="0"/>
    <w:pPr>
      <w:ind w:firstLine="420" w:firstLineChars="200"/>
    </w:pPr>
    <w:rPr>
      <w:rFonts w:ascii="Calibri" w:hAnsi="Calibri"/>
      <w:szCs w:val="22"/>
    </w:rPr>
  </w:style>
  <w:style w:type="paragraph" w:customStyle="1" w:styleId="290">
    <w:name w:val="内容文本"/>
    <w:basedOn w:val="289"/>
    <w:link w:val="291"/>
    <w:qFormat/>
    <w:uiPriority w:val="0"/>
    <w:pPr>
      <w:spacing w:line="360" w:lineRule="auto"/>
      <w:ind w:firstLine="200"/>
      <w:contextualSpacing/>
      <w:jc w:val="left"/>
    </w:pPr>
    <w:rPr>
      <w:rFonts w:ascii="宋体" w:hAnsi="宋体"/>
      <w:kern w:val="0"/>
      <w:sz w:val="24"/>
      <w:szCs w:val="24"/>
      <w:lang w:val="zh-CN" w:eastAsia="en-US" w:bidi="en-US"/>
    </w:rPr>
  </w:style>
  <w:style w:type="character" w:customStyle="1" w:styleId="291">
    <w:name w:val="内容文本 Char"/>
    <w:link w:val="290"/>
    <w:qFormat/>
    <w:uiPriority w:val="0"/>
    <w:rPr>
      <w:rFonts w:ascii="宋体" w:hAnsi="宋体" w:eastAsia="宋体" w:cs="Times New Roman"/>
      <w:sz w:val="24"/>
      <w:szCs w:val="24"/>
      <w:lang w:val="zh-CN" w:eastAsia="en-US" w:bidi="en-US"/>
    </w:rPr>
  </w:style>
  <w:style w:type="paragraph" w:customStyle="1" w:styleId="292">
    <w:name w:val="段落四号"/>
    <w:link w:val="293"/>
    <w:qFormat/>
    <w:uiPriority w:val="0"/>
    <w:pPr>
      <w:adjustRightInd w:val="0"/>
      <w:snapToGrid w:val="0"/>
      <w:spacing w:before="120" w:after="120" w:line="360" w:lineRule="auto"/>
      <w:ind w:firstLine="600" w:firstLineChars="200"/>
      <w:jc w:val="both"/>
    </w:pPr>
    <w:rPr>
      <w:rFonts w:ascii="Times New Roman" w:hAnsi="Times New Roman" w:eastAsia="仿宋_GB2312" w:cs="Times New Roman"/>
      <w:sz w:val="28"/>
      <w:szCs w:val="24"/>
      <w:lang w:val="en-US" w:eastAsia="zh-CN" w:bidi="ar-SA"/>
    </w:rPr>
  </w:style>
  <w:style w:type="character" w:customStyle="1" w:styleId="293">
    <w:name w:val="段落四号 Char Char"/>
    <w:link w:val="292"/>
    <w:qFormat/>
    <w:uiPriority w:val="0"/>
    <w:rPr>
      <w:rFonts w:ascii="Times New Roman" w:hAnsi="Times New Roman" w:eastAsia="仿宋_GB2312" w:cs="Times New Roman"/>
      <w:sz w:val="28"/>
      <w:szCs w:val="24"/>
    </w:rPr>
  </w:style>
  <w:style w:type="character" w:customStyle="1" w:styleId="294">
    <w:name w:val="font3"/>
    <w:qFormat/>
    <w:uiPriority w:val="0"/>
    <w:rPr>
      <w:rFonts w:ascii="Times New Roman" w:hAnsi="Times New Roman" w:eastAsia="宋体" w:cs="Times New Roman"/>
    </w:rPr>
  </w:style>
  <w:style w:type="paragraph" w:customStyle="1" w:styleId="295">
    <w:name w:val="BA正文"/>
    <w:basedOn w:val="1"/>
    <w:link w:val="296"/>
    <w:qFormat/>
    <w:uiPriority w:val="0"/>
    <w:pPr>
      <w:ind w:firstLine="480" w:firstLineChars="200"/>
      <w:jc w:val="left"/>
    </w:pPr>
    <w:rPr>
      <w:rFonts w:ascii="宋体" w:hAnsi="宋体" w:cs="Arial"/>
      <w:snapToGrid w:val="0"/>
      <w:kern w:val="0"/>
      <w:sz w:val="28"/>
      <w:szCs w:val="24"/>
    </w:rPr>
  </w:style>
  <w:style w:type="character" w:customStyle="1" w:styleId="296">
    <w:name w:val="BA正文 字符"/>
    <w:link w:val="295"/>
    <w:qFormat/>
    <w:uiPriority w:val="0"/>
    <w:rPr>
      <w:rFonts w:ascii="宋体" w:hAnsi="宋体" w:eastAsia="宋体" w:cs="Arial"/>
      <w:snapToGrid/>
      <w:sz w:val="28"/>
      <w:szCs w:val="24"/>
    </w:rPr>
  </w:style>
  <w:style w:type="character" w:customStyle="1" w:styleId="297">
    <w:name w:val="color003366bld1"/>
    <w:qFormat/>
    <w:uiPriority w:val="0"/>
    <w:rPr>
      <w:rFonts w:ascii="Verdana" w:hAnsi="Verdana" w:eastAsia="宋体" w:cs="宋体"/>
      <w:b/>
      <w:bCs/>
      <w:color w:val="003366"/>
      <w:sz w:val="44"/>
      <w:lang w:val="en-US" w:eastAsia="en-US" w:bidi="ar-SA"/>
    </w:rPr>
  </w:style>
  <w:style w:type="character" w:customStyle="1" w:styleId="298">
    <w:name w:val="font81"/>
    <w:qFormat/>
    <w:uiPriority w:val="0"/>
    <w:rPr>
      <w:rFonts w:ascii="Calibri" w:hAnsi="Calibri" w:eastAsia="宋体" w:cs="Calibri"/>
      <w:color w:val="000000"/>
      <w:sz w:val="21"/>
      <w:szCs w:val="21"/>
      <w:u w:val="none"/>
    </w:rPr>
  </w:style>
  <w:style w:type="character" w:customStyle="1" w:styleId="299">
    <w:name w:val="编号，小四 Char"/>
    <w:link w:val="300"/>
    <w:autoRedefine/>
    <w:qFormat/>
    <w:uiPriority w:val="0"/>
    <w:rPr>
      <w:rFonts w:ascii="Arial" w:hAnsi="Arial" w:eastAsia="宋体" w:cs="宋体"/>
      <w:kern w:val="2"/>
      <w:sz w:val="24"/>
    </w:rPr>
  </w:style>
  <w:style w:type="paragraph" w:customStyle="1" w:styleId="300">
    <w:name w:val="编号，小四"/>
    <w:basedOn w:val="1"/>
    <w:link w:val="299"/>
    <w:qFormat/>
    <w:uiPriority w:val="0"/>
    <w:pPr>
      <w:numPr>
        <w:ilvl w:val="0"/>
        <w:numId w:val="10"/>
      </w:numPr>
      <w:spacing w:line="360" w:lineRule="auto"/>
      <w:ind w:left="420" w:firstLine="0"/>
      <w:jc w:val="center"/>
    </w:pPr>
    <w:rPr>
      <w:rFonts w:ascii="Arial" w:hAnsi="Arial" w:cs="宋体"/>
      <w:sz w:val="24"/>
    </w:rPr>
  </w:style>
  <w:style w:type="character" w:customStyle="1" w:styleId="301">
    <w:name w:val="符号样式 Char"/>
    <w:link w:val="302"/>
    <w:qFormat/>
    <w:uiPriority w:val="0"/>
    <w:rPr>
      <w:rFonts w:ascii="Arial" w:hAnsi="Arial" w:eastAsia="宋体" w:cs="宋体"/>
      <w:kern w:val="2"/>
      <w:sz w:val="24"/>
    </w:rPr>
  </w:style>
  <w:style w:type="paragraph" w:customStyle="1" w:styleId="302">
    <w:name w:val="符号样式"/>
    <w:basedOn w:val="300"/>
    <w:link w:val="301"/>
    <w:qFormat/>
    <w:uiPriority w:val="0"/>
    <w:pPr>
      <w:numPr>
        <w:ilvl w:val="0"/>
        <w:numId w:val="11"/>
      </w:numPr>
      <w:tabs>
        <w:tab w:val="left" w:pos="709"/>
        <w:tab w:val="left" w:pos="4401"/>
      </w:tabs>
      <w:ind w:left="0" w:firstLine="200"/>
      <w:jc w:val="left"/>
    </w:pPr>
    <w:rPr>
      <w:rFonts w:ascii="Times New Roman" w:hAnsi="Times New Roman" w:cs="Times New Roman"/>
    </w:rPr>
  </w:style>
  <w:style w:type="paragraph" w:customStyle="1" w:styleId="303">
    <w:name w:val="尖角符号样式"/>
    <w:basedOn w:val="302"/>
    <w:link w:val="304"/>
    <w:qFormat/>
    <w:uiPriority w:val="0"/>
    <w:pPr>
      <w:numPr>
        <w:ilvl w:val="0"/>
        <w:numId w:val="12"/>
      </w:numPr>
      <w:tabs>
        <w:tab w:val="left" w:pos="1005"/>
      </w:tabs>
      <w:ind w:left="425" w:hanging="425"/>
    </w:pPr>
  </w:style>
  <w:style w:type="character" w:customStyle="1" w:styleId="304">
    <w:name w:val="尖角符号样式 Char"/>
    <w:link w:val="303"/>
    <w:qFormat/>
    <w:uiPriority w:val="0"/>
    <w:rPr>
      <w:rFonts w:ascii="Arial" w:hAnsi="Arial" w:eastAsia="宋体" w:cs="宋体"/>
      <w:kern w:val="2"/>
      <w:sz w:val="24"/>
    </w:rPr>
  </w:style>
  <w:style w:type="character" w:customStyle="1" w:styleId="305">
    <w:name w:val="hei12un1"/>
    <w:qFormat/>
    <w:uiPriority w:val="0"/>
    <w:rPr>
      <w:rFonts w:ascii="Times New Roman" w:hAnsi="Times New Roman" w:eastAsia="宋体" w:cs="Times New Roman"/>
      <w:color w:val="333333"/>
      <w:sz w:val="21"/>
      <w:szCs w:val="21"/>
    </w:rPr>
  </w:style>
  <w:style w:type="character" w:customStyle="1" w:styleId="306">
    <w:name w:val="Char Char121"/>
    <w:qFormat/>
    <w:uiPriority w:val="0"/>
    <w:rPr>
      <w:rFonts w:ascii="Times New Roman" w:hAnsi="Times New Roman" w:eastAsia="宋体" w:cs="Times New Roman"/>
      <w:b/>
      <w:bCs/>
      <w:kern w:val="44"/>
      <w:sz w:val="44"/>
      <w:szCs w:val="44"/>
      <w:lang w:val="en-US" w:eastAsia="zh-CN" w:bidi="ar-SA"/>
    </w:rPr>
  </w:style>
  <w:style w:type="character" w:customStyle="1" w:styleId="307">
    <w:name w:val="Quote Char1"/>
    <w:qFormat/>
    <w:uiPriority w:val="0"/>
    <w:rPr>
      <w:rFonts w:ascii="Times New Roman" w:hAnsi="Times New Roman" w:eastAsia="宋体" w:cs="Times New Roman"/>
      <w:i/>
      <w:iCs/>
      <w:color w:val="000000"/>
      <w:sz w:val="21"/>
      <w:szCs w:val="21"/>
    </w:rPr>
  </w:style>
  <w:style w:type="character" w:customStyle="1" w:styleId="308">
    <w:name w:val="纯文本 Char1"/>
    <w:qFormat/>
    <w:uiPriority w:val="0"/>
    <w:rPr>
      <w:rFonts w:ascii="宋体" w:hAnsi="Courier New" w:eastAsia="宋体" w:cs="Courier New"/>
      <w:kern w:val="2"/>
      <w:sz w:val="21"/>
      <w:szCs w:val="21"/>
    </w:rPr>
  </w:style>
  <w:style w:type="character" w:customStyle="1" w:styleId="309">
    <w:name w:val="批注框文本 Char1"/>
    <w:qFormat/>
    <w:uiPriority w:val="0"/>
    <w:rPr>
      <w:rFonts w:ascii="Times New Roman" w:hAnsi="Times New Roman" w:eastAsia="宋体" w:cs="Times New Roman"/>
      <w:kern w:val="2"/>
      <w:sz w:val="18"/>
      <w:szCs w:val="18"/>
    </w:rPr>
  </w:style>
  <w:style w:type="character" w:customStyle="1" w:styleId="310">
    <w:name w:val="标题 6 Char1"/>
    <w:qFormat/>
    <w:uiPriority w:val="0"/>
    <w:rPr>
      <w:rFonts w:ascii="Cambria" w:hAnsi="Cambria" w:eastAsia="宋体" w:cs="Times New Roman"/>
      <w:b/>
      <w:bCs/>
      <w:kern w:val="2"/>
      <w:sz w:val="24"/>
      <w:szCs w:val="24"/>
    </w:rPr>
  </w:style>
  <w:style w:type="character" w:customStyle="1" w:styleId="311">
    <w:name w:val="font-121"/>
    <w:qFormat/>
    <w:uiPriority w:val="0"/>
    <w:rPr>
      <w:rFonts w:ascii="Times New Roman" w:hAnsi="Times New Roman" w:eastAsia="宋体" w:cs="Times New Roman"/>
      <w:color w:val="666666"/>
      <w:sz w:val="24"/>
      <w:szCs w:val="24"/>
      <w:u w:val="none"/>
    </w:rPr>
  </w:style>
  <w:style w:type="character" w:customStyle="1" w:styleId="312">
    <w:name w:val="tablebody1"/>
    <w:qFormat/>
    <w:uiPriority w:val="0"/>
    <w:rPr>
      <w:rFonts w:hint="default" w:ascii="Arial" w:hAnsi="Arial" w:eastAsia="宋体" w:cs="Arial"/>
      <w:sz w:val="22"/>
      <w:szCs w:val="22"/>
    </w:rPr>
  </w:style>
  <w:style w:type="character" w:customStyle="1" w:styleId="313">
    <w:name w:val="Char Char171"/>
    <w:qFormat/>
    <w:uiPriority w:val="0"/>
    <w:rPr>
      <w:rFonts w:ascii="Times New Roman" w:hAnsi="Times New Roman" w:eastAsia="宋体" w:cs="Times New Roman"/>
      <w:kern w:val="2"/>
      <w:sz w:val="21"/>
      <w:szCs w:val="21"/>
      <w:lang w:val="en-US" w:eastAsia="zh-CN" w:bidi="ar-SA"/>
    </w:rPr>
  </w:style>
  <w:style w:type="character" w:customStyle="1" w:styleId="314">
    <w:name w:val="Char Char73"/>
    <w:qFormat/>
    <w:uiPriority w:val="0"/>
    <w:rPr>
      <w:rFonts w:ascii="Cambria" w:hAnsi="Cambria" w:eastAsia="宋体" w:cs="Times New Roman"/>
      <w:b/>
      <w:bCs/>
      <w:sz w:val="32"/>
      <w:szCs w:val="32"/>
    </w:rPr>
  </w:style>
  <w:style w:type="character" w:customStyle="1" w:styleId="315">
    <w:name w:val="页眉 Char1"/>
    <w:qFormat/>
    <w:uiPriority w:val="0"/>
    <w:rPr>
      <w:rFonts w:ascii="Times New Roman" w:hAnsi="Times New Roman" w:eastAsia="宋体" w:cs="Times New Roman"/>
      <w:kern w:val="2"/>
      <w:sz w:val="18"/>
      <w:szCs w:val="18"/>
    </w:rPr>
  </w:style>
  <w:style w:type="character" w:customStyle="1" w:styleId="316">
    <w:name w:val="style1 style6 style7"/>
    <w:qFormat/>
    <w:uiPriority w:val="0"/>
    <w:rPr>
      <w:rFonts w:ascii="Times New Roman" w:hAnsi="Times New Roman" w:eastAsia="宋体" w:cs="Times New Roman"/>
    </w:rPr>
  </w:style>
  <w:style w:type="character" w:customStyle="1" w:styleId="317">
    <w:name w:val="Char72"/>
    <w:qFormat/>
    <w:uiPriority w:val="0"/>
    <w:rPr>
      <w:rFonts w:ascii="Arial" w:hAnsi="Arial" w:eastAsia="黑体" w:cs="Times New Roman"/>
      <w:sz w:val="28"/>
      <w:lang w:val="en-US" w:eastAsia="zh-CN" w:bidi="ar-SA"/>
    </w:rPr>
  </w:style>
  <w:style w:type="character" w:customStyle="1" w:styleId="318">
    <w:name w:val="项目标题 4 Char Char"/>
    <w:qFormat/>
    <w:uiPriority w:val="0"/>
    <w:rPr>
      <w:rFonts w:ascii="Times New Roman" w:hAnsi="Times New Roman" w:eastAsia="仿宋_GB2312" w:cs="Times New Roman"/>
      <w:b/>
      <w:kern w:val="2"/>
      <w:sz w:val="32"/>
      <w:szCs w:val="24"/>
      <w:lang w:val="en-US" w:eastAsia="zh-CN" w:bidi="ar-SA"/>
    </w:rPr>
  </w:style>
  <w:style w:type="paragraph" w:customStyle="1" w:styleId="319">
    <w:name w:val="正文（绿盟科技）"/>
    <w:link w:val="320"/>
    <w:qFormat/>
    <w:uiPriority w:val="0"/>
    <w:pPr>
      <w:spacing w:line="300" w:lineRule="auto"/>
    </w:pPr>
    <w:rPr>
      <w:rFonts w:ascii="Arial" w:hAnsi="Arial" w:eastAsia="宋体" w:cs="Times New Roman"/>
      <w:sz w:val="21"/>
      <w:szCs w:val="21"/>
      <w:lang w:val="en-US" w:eastAsia="zh-CN" w:bidi="ar-SA"/>
    </w:rPr>
  </w:style>
  <w:style w:type="character" w:customStyle="1" w:styleId="320">
    <w:name w:val="正文（绿盟科技） Char"/>
    <w:link w:val="319"/>
    <w:qFormat/>
    <w:uiPriority w:val="0"/>
    <w:rPr>
      <w:rFonts w:ascii="Arial" w:hAnsi="Arial" w:eastAsia="宋体" w:cs="Times New Roman"/>
      <w:sz w:val="21"/>
      <w:szCs w:val="21"/>
    </w:rPr>
  </w:style>
  <w:style w:type="character" w:customStyle="1" w:styleId="321">
    <w:name w:val="hang1"/>
    <w:qFormat/>
    <w:uiPriority w:val="0"/>
    <w:rPr>
      <w:rFonts w:ascii="Times New Roman" w:hAnsi="Times New Roman" w:eastAsia="宋体" w:cs="Times New Roman"/>
    </w:rPr>
  </w:style>
  <w:style w:type="character" w:customStyle="1" w:styleId="322">
    <w:name w:val="style121"/>
    <w:qFormat/>
    <w:uiPriority w:val="0"/>
    <w:rPr>
      <w:rFonts w:ascii="Times New Roman" w:hAnsi="Times New Roman" w:eastAsia="宋体" w:cs="Times New Roman"/>
      <w:color w:val="FF0000"/>
    </w:rPr>
  </w:style>
  <w:style w:type="character" w:customStyle="1" w:styleId="323">
    <w:name w:val="content021"/>
    <w:qFormat/>
    <w:uiPriority w:val="0"/>
    <w:rPr>
      <w:rFonts w:ascii="Times New Roman" w:hAnsi="Times New Roman" w:eastAsia="宋体" w:cs="Times New Roman"/>
      <w:color w:val="444444"/>
      <w:sz w:val="21"/>
      <w:szCs w:val="21"/>
      <w:u w:val="none"/>
    </w:rPr>
  </w:style>
  <w:style w:type="character" w:customStyle="1" w:styleId="324">
    <w:name w:val="样式 首行缩进:  0.74 厘米 Char"/>
    <w:qFormat/>
    <w:uiPriority w:val="0"/>
    <w:rPr>
      <w:rFonts w:ascii="宋体" w:hAnsi="宋体" w:eastAsia="宋体" w:cs="宋体"/>
      <w:kern w:val="2"/>
      <w:sz w:val="24"/>
      <w:lang w:val="en-US" w:eastAsia="zh-CN" w:bidi="ar-SA"/>
    </w:rPr>
  </w:style>
  <w:style w:type="character" w:customStyle="1" w:styleId="325">
    <w:name w:val="正文文本缩进 Char"/>
    <w:qFormat/>
    <w:uiPriority w:val="0"/>
    <w:rPr>
      <w:rFonts w:ascii="Times New Roman" w:hAnsi="Times New Roman" w:eastAsia="宋体" w:cs="Times New Roman"/>
      <w:kern w:val="2"/>
      <w:sz w:val="24"/>
      <w:szCs w:val="24"/>
    </w:rPr>
  </w:style>
  <w:style w:type="character" w:customStyle="1" w:styleId="326">
    <w:name w:val="正文首行缩进 Char1"/>
    <w:qFormat/>
    <w:uiPriority w:val="0"/>
    <w:rPr>
      <w:rFonts w:ascii="Times New Roman" w:hAnsi="Times New Roman" w:eastAsia="宋体" w:cs="Times New Roman"/>
      <w:kern w:val="2"/>
      <w:sz w:val="24"/>
      <w:szCs w:val="24"/>
      <w:lang w:val="en-US" w:eastAsia="zh-CN" w:bidi="ar-SA"/>
    </w:rPr>
  </w:style>
  <w:style w:type="character" w:customStyle="1" w:styleId="327">
    <w:name w:val="表格格式 Char"/>
    <w:qFormat/>
    <w:uiPriority w:val="0"/>
    <w:rPr>
      <w:rFonts w:ascii="宋体" w:hAnsi="宋体" w:eastAsia="宋体" w:cs="宋体"/>
      <w:color w:val="000000"/>
      <w:kern w:val="0"/>
      <w:sz w:val="24"/>
      <w:szCs w:val="24"/>
    </w:rPr>
  </w:style>
  <w:style w:type="character" w:customStyle="1" w:styleId="328">
    <w:name w:val="Char Char91"/>
    <w:qFormat/>
    <w:uiPriority w:val="0"/>
    <w:rPr>
      <w:rFonts w:ascii="Arial" w:hAnsi="Arial" w:eastAsia="黑体" w:cs="Times New Roman"/>
      <w:b/>
      <w:bCs/>
      <w:kern w:val="2"/>
      <w:sz w:val="28"/>
      <w:szCs w:val="28"/>
      <w:lang w:val="en-US" w:eastAsia="zh-CN" w:bidi="ar-SA"/>
    </w:rPr>
  </w:style>
  <w:style w:type="paragraph" w:customStyle="1" w:styleId="329">
    <w:name w:val="正文黑体"/>
    <w:basedOn w:val="203"/>
    <w:link w:val="330"/>
    <w:qFormat/>
    <w:uiPriority w:val="0"/>
    <w:pPr>
      <w:ind w:firstLine="480"/>
    </w:pPr>
    <w:rPr>
      <w:rFonts w:ascii="黑体" w:hAnsi="黑体" w:eastAsia="黑体" w:cs="Times New Roman"/>
    </w:rPr>
  </w:style>
  <w:style w:type="character" w:customStyle="1" w:styleId="330">
    <w:name w:val="正文黑体 Char"/>
    <w:link w:val="329"/>
    <w:qFormat/>
    <w:uiPriority w:val="0"/>
    <w:rPr>
      <w:rFonts w:ascii="黑体" w:hAnsi="黑体" w:eastAsia="黑体" w:cs="宋体"/>
      <w:kern w:val="2"/>
      <w:sz w:val="24"/>
    </w:rPr>
  </w:style>
  <w:style w:type="character" w:customStyle="1" w:styleId="331">
    <w:name w:val="p-title"/>
    <w:qFormat/>
    <w:uiPriority w:val="0"/>
    <w:rPr>
      <w:rFonts w:ascii="Times New Roman" w:hAnsi="Times New Roman" w:eastAsia="宋体" w:cs="Times New Roman"/>
    </w:rPr>
  </w:style>
  <w:style w:type="paragraph" w:customStyle="1" w:styleId="332">
    <w:name w:val="正文标准"/>
    <w:basedOn w:val="1"/>
    <w:link w:val="333"/>
    <w:qFormat/>
    <w:uiPriority w:val="0"/>
    <w:pPr>
      <w:spacing w:afterLines="50" w:line="360" w:lineRule="auto"/>
      <w:ind w:firstLine="200" w:firstLineChars="200"/>
    </w:pPr>
  </w:style>
  <w:style w:type="character" w:customStyle="1" w:styleId="333">
    <w:name w:val="正文标准 Char"/>
    <w:link w:val="332"/>
    <w:qFormat/>
    <w:uiPriority w:val="0"/>
    <w:rPr>
      <w:rFonts w:ascii="Times New Roman" w:hAnsi="Times New Roman" w:eastAsia="宋体" w:cs="Times New Roman"/>
      <w:kern w:val="2"/>
      <w:sz w:val="21"/>
    </w:rPr>
  </w:style>
  <w:style w:type="character" w:customStyle="1" w:styleId="334">
    <w:name w:val="文档正文 Char"/>
    <w:qFormat/>
    <w:uiPriority w:val="0"/>
    <w:rPr>
      <w:rFonts w:ascii="宋体" w:hAnsi="Times New Roman" w:eastAsia="宋体" w:cs="Times New Roman"/>
      <w:color w:val="000000"/>
      <w:kern w:val="2"/>
      <w:sz w:val="24"/>
      <w:lang w:val="en-US" w:eastAsia="zh-CN" w:bidi="ar-SA"/>
    </w:rPr>
  </w:style>
  <w:style w:type="character" w:customStyle="1" w:styleId="335">
    <w:name w:val="列出段落 Char1"/>
    <w:qFormat/>
    <w:uiPriority w:val="0"/>
    <w:rPr>
      <w:rFonts w:ascii="Times New Roman" w:hAnsi="Times New Roman" w:eastAsia="宋体" w:cs="Times New Roman"/>
      <w:sz w:val="28"/>
    </w:rPr>
  </w:style>
  <w:style w:type="character" w:customStyle="1" w:styleId="336">
    <w:name w:val="wenzi1"/>
    <w:qFormat/>
    <w:uiPriority w:val="0"/>
    <w:rPr>
      <w:rFonts w:hint="default" w:ascii="Times New Roman" w:hAnsi="Times New Roman" w:eastAsia="宋体" w:cs="宋体"/>
      <w:color w:val="000000"/>
      <w:spacing w:val="0"/>
      <w:sz w:val="20"/>
      <w:szCs w:val="20"/>
      <w:u w:val="none"/>
      <w:lang w:val="en-US" w:eastAsia="en-US" w:bidi="ar-SA"/>
    </w:rPr>
  </w:style>
  <w:style w:type="character" w:customStyle="1" w:styleId="337">
    <w:name w:val="Char Char52"/>
    <w:qFormat/>
    <w:uiPriority w:val="0"/>
    <w:rPr>
      <w:rFonts w:ascii="Cambria" w:hAnsi="Cambria" w:eastAsia="宋体" w:cs="Times New Roman"/>
      <w:kern w:val="2"/>
      <w:sz w:val="24"/>
      <w:szCs w:val="24"/>
      <w:lang w:val="en-US" w:eastAsia="zh-CN" w:bidi="ar-SA"/>
    </w:rPr>
  </w:style>
  <w:style w:type="paragraph" w:customStyle="1" w:styleId="338">
    <w:name w:val="123标题下的小点"/>
    <w:basedOn w:val="1"/>
    <w:link w:val="339"/>
    <w:qFormat/>
    <w:uiPriority w:val="0"/>
    <w:pPr>
      <w:numPr>
        <w:ilvl w:val="0"/>
        <w:numId w:val="13"/>
      </w:numPr>
      <w:tabs>
        <w:tab w:val="left" w:pos="1701"/>
      </w:tabs>
      <w:snapToGrid w:val="0"/>
      <w:spacing w:line="360" w:lineRule="auto"/>
      <w:ind w:firstLine="0"/>
    </w:pPr>
    <w:rPr>
      <w:rFonts w:ascii="宋体" w:hAnsi="宋体"/>
      <w:szCs w:val="22"/>
    </w:rPr>
  </w:style>
  <w:style w:type="character" w:customStyle="1" w:styleId="339">
    <w:name w:val="123标题下的小点 Char"/>
    <w:link w:val="338"/>
    <w:qFormat/>
    <w:uiPriority w:val="0"/>
    <w:rPr>
      <w:rFonts w:ascii="宋体" w:hAnsi="宋体" w:eastAsia="宋体" w:cs="Times New Roman"/>
      <w:kern w:val="2"/>
      <w:sz w:val="21"/>
      <w:szCs w:val="22"/>
    </w:rPr>
  </w:style>
  <w:style w:type="character" w:customStyle="1" w:styleId="340">
    <w:name w:val="Char Char291"/>
    <w:qFormat/>
    <w:uiPriority w:val="0"/>
    <w:rPr>
      <w:rFonts w:ascii="Times New Roman" w:hAnsi="Times New Roman" w:eastAsia="黑体" w:cs="Times New Roman"/>
      <w:b/>
      <w:bCs/>
      <w:color w:val="0000FF"/>
      <w:kern w:val="2"/>
      <w:sz w:val="32"/>
      <w:szCs w:val="32"/>
      <w:lang w:val="en-US" w:eastAsia="zh-CN" w:bidi="ar-SA"/>
    </w:rPr>
  </w:style>
  <w:style w:type="character" w:customStyle="1" w:styleId="341">
    <w:name w:val="mode1"/>
    <w:qFormat/>
    <w:uiPriority w:val="0"/>
    <w:rPr>
      <w:rFonts w:ascii="Times New Roman" w:hAnsi="Times New Roman" w:eastAsia="宋体" w:cs="Times New Roman"/>
      <w:color w:val="444444"/>
      <w:sz w:val="15"/>
      <w:szCs w:val="15"/>
    </w:rPr>
  </w:style>
  <w:style w:type="character" w:customStyle="1" w:styleId="342">
    <w:name w:val="页脚 Char2"/>
    <w:qFormat/>
    <w:uiPriority w:val="0"/>
    <w:rPr>
      <w:rFonts w:ascii="等线" w:hAnsi="等线" w:eastAsia="等线" w:cs="Times New Roman"/>
      <w:kern w:val="2"/>
      <w:sz w:val="21"/>
      <w:szCs w:val="21"/>
      <w:lang w:val="zh-CN"/>
    </w:rPr>
  </w:style>
  <w:style w:type="character" w:customStyle="1" w:styleId="343">
    <w:name w:val="v14-ttd"/>
    <w:qFormat/>
    <w:uiPriority w:val="0"/>
    <w:rPr>
      <w:rFonts w:ascii="Times New Roman" w:hAnsi="Times New Roman" w:eastAsia="宋体" w:cs="Times New Roman"/>
    </w:rPr>
  </w:style>
  <w:style w:type="character" w:customStyle="1" w:styleId="344">
    <w:name w:val="redbold1"/>
    <w:qFormat/>
    <w:uiPriority w:val="0"/>
    <w:rPr>
      <w:rFonts w:ascii="Times New Roman" w:hAnsi="Times New Roman" w:eastAsia="宋体" w:cs="Times New Roman"/>
      <w:b/>
      <w:bCs/>
      <w:color w:val="FF6633"/>
      <w:sz w:val="14"/>
      <w:szCs w:val="14"/>
    </w:rPr>
  </w:style>
  <w:style w:type="paragraph" w:customStyle="1" w:styleId="345">
    <w:name w:val="首航缩进 Char"/>
    <w:basedOn w:val="1"/>
    <w:link w:val="346"/>
    <w:qFormat/>
    <w:uiPriority w:val="0"/>
    <w:pPr>
      <w:spacing w:line="360" w:lineRule="auto"/>
    </w:pPr>
    <w:rPr>
      <w:rFonts w:ascii="宋体" w:hAnsi="宋体"/>
      <w:sz w:val="24"/>
      <w:szCs w:val="24"/>
    </w:rPr>
  </w:style>
  <w:style w:type="character" w:customStyle="1" w:styleId="346">
    <w:name w:val="首航缩进 Char Char"/>
    <w:link w:val="345"/>
    <w:qFormat/>
    <w:uiPriority w:val="0"/>
    <w:rPr>
      <w:rFonts w:ascii="宋体" w:hAnsi="宋体" w:eastAsia="宋体" w:cs="Times New Roman"/>
      <w:kern w:val="2"/>
      <w:sz w:val="24"/>
      <w:szCs w:val="24"/>
    </w:rPr>
  </w:style>
  <w:style w:type="character" w:customStyle="1" w:styleId="347">
    <w:name w:val="apple-style-span"/>
    <w:qFormat/>
    <w:uiPriority w:val="0"/>
    <w:rPr>
      <w:rFonts w:ascii="Times New Roman" w:hAnsi="Times New Roman" w:eastAsia="宋体" w:cs="Times New Roman"/>
    </w:rPr>
  </w:style>
  <w:style w:type="paragraph" w:customStyle="1" w:styleId="348">
    <w:name w:val="样式 正文"/>
    <w:basedOn w:val="1"/>
    <w:link w:val="349"/>
    <w:qFormat/>
    <w:uiPriority w:val="0"/>
    <w:pPr>
      <w:adjustRightInd w:val="0"/>
      <w:spacing w:line="360" w:lineRule="auto"/>
      <w:ind w:left="1191" w:right="240" w:rightChars="100"/>
      <w:jc w:val="left"/>
    </w:pPr>
    <w:rPr>
      <w:rFonts w:ascii="宋体" w:hAnsi="宋体" w:cs="宋体"/>
      <w:color w:val="000000"/>
      <w:sz w:val="24"/>
    </w:rPr>
  </w:style>
  <w:style w:type="character" w:customStyle="1" w:styleId="349">
    <w:name w:val="样式 正文 Char"/>
    <w:link w:val="348"/>
    <w:qFormat/>
    <w:uiPriority w:val="0"/>
    <w:rPr>
      <w:rFonts w:ascii="宋体" w:hAnsi="宋体" w:eastAsia="宋体" w:cs="宋体"/>
      <w:color w:val="000000"/>
      <w:kern w:val="2"/>
      <w:sz w:val="24"/>
    </w:rPr>
  </w:style>
  <w:style w:type="character" w:customStyle="1" w:styleId="350">
    <w:name w:val="样式 仿宋_GB2312 四号"/>
    <w:qFormat/>
    <w:uiPriority w:val="0"/>
    <w:rPr>
      <w:rFonts w:ascii="仿宋_GB2312" w:hAnsi="仿宋_GB2312" w:eastAsia="仿宋_GB2312" w:cs="Times New Roman"/>
      <w:sz w:val="28"/>
    </w:rPr>
  </w:style>
  <w:style w:type="character" w:customStyle="1" w:styleId="351">
    <w:name w:val="style3"/>
    <w:qFormat/>
    <w:uiPriority w:val="0"/>
    <w:rPr>
      <w:rFonts w:ascii="Times New Roman" w:hAnsi="Times New Roman" w:eastAsia="宋体" w:cs="Times New Roman"/>
    </w:rPr>
  </w:style>
  <w:style w:type="character" w:customStyle="1" w:styleId="352">
    <w:name w:val="首行缩进 Char"/>
    <w:qFormat/>
    <w:uiPriority w:val="0"/>
    <w:rPr>
      <w:rFonts w:ascii="Times New Roman" w:hAnsi="Times New Roman" w:eastAsia="宋体" w:cs="Times New Roman"/>
      <w:kern w:val="2"/>
      <w:sz w:val="21"/>
      <w:szCs w:val="24"/>
      <w:lang w:val="en-US" w:eastAsia="zh-CN" w:bidi="ar-SA"/>
    </w:rPr>
  </w:style>
  <w:style w:type="character" w:customStyle="1" w:styleId="353">
    <w:name w:val="宋体五号"/>
    <w:qFormat/>
    <w:uiPriority w:val="0"/>
    <w:rPr>
      <w:rFonts w:ascii="宋体" w:hAnsi="宋体" w:eastAsia="宋体" w:cs="Times New Roman"/>
      <w:sz w:val="21"/>
    </w:rPr>
  </w:style>
  <w:style w:type="paragraph" w:customStyle="1" w:styleId="354">
    <w:name w:val="文档正文"/>
    <w:basedOn w:val="1"/>
    <w:link w:val="355"/>
    <w:qFormat/>
    <w:uiPriority w:val="0"/>
    <w:pPr>
      <w:spacing w:line="360" w:lineRule="auto"/>
    </w:pPr>
    <w:rPr>
      <w:rFonts w:ascii="宋体" w:hAnsi="宋体" w:cs="Arial"/>
      <w:b/>
      <w:sz w:val="24"/>
      <w:szCs w:val="24"/>
    </w:rPr>
  </w:style>
  <w:style w:type="character" w:customStyle="1" w:styleId="355">
    <w:name w:val="文档正文 Char Char"/>
    <w:link w:val="354"/>
    <w:qFormat/>
    <w:uiPriority w:val="0"/>
    <w:rPr>
      <w:rFonts w:ascii="宋体" w:hAnsi="宋体" w:eastAsia="宋体" w:cs="Arial"/>
      <w:b/>
      <w:kern w:val="2"/>
      <w:sz w:val="24"/>
      <w:szCs w:val="24"/>
    </w:rPr>
  </w:style>
  <w:style w:type="character" w:customStyle="1" w:styleId="356">
    <w:name w:val="日期 Char2"/>
    <w:qFormat/>
    <w:uiPriority w:val="0"/>
    <w:rPr>
      <w:rFonts w:ascii="Arial" w:hAnsi="Arial" w:eastAsia="宋体" w:cs="Times New Roman"/>
      <w:vanish/>
      <w:sz w:val="16"/>
      <w:szCs w:val="16"/>
    </w:rPr>
  </w:style>
  <w:style w:type="paragraph" w:customStyle="1" w:styleId="357">
    <w:name w:val="phs_正文"/>
    <w:basedOn w:val="1"/>
    <w:link w:val="358"/>
    <w:qFormat/>
    <w:uiPriority w:val="0"/>
    <w:pPr>
      <w:spacing w:beforeLines="100" w:afterLines="100" w:line="300" w:lineRule="auto"/>
      <w:ind w:left="422" w:firstLine="420"/>
    </w:pPr>
    <w:rPr>
      <w:rFonts w:cs="宋体"/>
      <w:kern w:val="0"/>
    </w:rPr>
  </w:style>
  <w:style w:type="character" w:customStyle="1" w:styleId="358">
    <w:name w:val="phs_正文 Char"/>
    <w:link w:val="357"/>
    <w:qFormat/>
    <w:uiPriority w:val="0"/>
    <w:rPr>
      <w:rFonts w:ascii="Times New Roman" w:hAnsi="Times New Roman" w:eastAsia="宋体" w:cs="宋体"/>
      <w:sz w:val="21"/>
    </w:rPr>
  </w:style>
  <w:style w:type="character" w:customStyle="1" w:styleId="359">
    <w:name w:val="space201"/>
    <w:qFormat/>
    <w:uiPriority w:val="0"/>
    <w:rPr>
      <w:rFonts w:ascii="Times New Roman" w:hAnsi="Times New Roman" w:eastAsia="宋体" w:cs="Times New Roman"/>
      <w:spacing w:val="223"/>
    </w:rPr>
  </w:style>
  <w:style w:type="paragraph" w:customStyle="1" w:styleId="360">
    <w:name w:val="正文，首行缩进:  2 字符"/>
    <w:basedOn w:val="1"/>
    <w:next w:val="1"/>
    <w:link w:val="361"/>
    <w:qFormat/>
    <w:uiPriority w:val="0"/>
    <w:pPr>
      <w:spacing w:line="360" w:lineRule="auto"/>
      <w:ind w:firstLine="480" w:firstLineChars="200"/>
    </w:pPr>
    <w:rPr>
      <w:rFonts w:ascii="Verdana" w:hAnsi="Verdana" w:cs="宋体"/>
      <w:kern w:val="0"/>
      <w:sz w:val="24"/>
    </w:rPr>
  </w:style>
  <w:style w:type="character" w:customStyle="1" w:styleId="361">
    <w:name w:val="正文，首行缩进:  2 字符 Char"/>
    <w:link w:val="360"/>
    <w:qFormat/>
    <w:uiPriority w:val="0"/>
    <w:rPr>
      <w:rFonts w:ascii="Verdana" w:hAnsi="Verdana" w:eastAsia="宋体" w:cs="宋体"/>
      <w:sz w:val="24"/>
    </w:rPr>
  </w:style>
  <w:style w:type="character" w:customStyle="1" w:styleId="362">
    <w:name w:val="标题 3 Char Char"/>
    <w:qFormat/>
    <w:uiPriority w:val="0"/>
    <w:rPr>
      <w:rFonts w:ascii="宋体" w:hAnsi="宋体" w:eastAsia="宋体" w:cs="Times New Roman"/>
      <w:sz w:val="24"/>
    </w:rPr>
  </w:style>
  <w:style w:type="character" w:customStyle="1" w:styleId="363">
    <w:name w:val="Char Char5"/>
    <w:qFormat/>
    <w:uiPriority w:val="0"/>
    <w:rPr>
      <w:rFonts w:ascii="Times New Roman" w:hAnsi="Times New Roman" w:eastAsia="宋体" w:cs="Times New Roman"/>
      <w:kern w:val="2"/>
      <w:sz w:val="21"/>
      <w:szCs w:val="24"/>
    </w:rPr>
  </w:style>
  <w:style w:type="paragraph" w:customStyle="1" w:styleId="364">
    <w:name w:val="项目排列"/>
    <w:basedOn w:val="1"/>
    <w:link w:val="365"/>
    <w:qFormat/>
    <w:uiPriority w:val="0"/>
    <w:pPr>
      <w:tabs>
        <w:tab w:val="left" w:pos="900"/>
      </w:tabs>
      <w:spacing w:beforeLines="50" w:afterLines="50"/>
      <w:ind w:left="900" w:hanging="420"/>
    </w:pPr>
    <w:rPr>
      <w:sz w:val="24"/>
      <w:szCs w:val="24"/>
    </w:rPr>
  </w:style>
  <w:style w:type="character" w:customStyle="1" w:styleId="365">
    <w:name w:val="项目排列 Char"/>
    <w:link w:val="364"/>
    <w:qFormat/>
    <w:uiPriority w:val="0"/>
    <w:rPr>
      <w:rFonts w:ascii="Times New Roman" w:hAnsi="Times New Roman" w:eastAsia="宋体" w:cs="Times New Roman"/>
      <w:kern w:val="2"/>
      <w:sz w:val="24"/>
      <w:szCs w:val="24"/>
    </w:rPr>
  </w:style>
  <w:style w:type="paragraph" w:customStyle="1" w:styleId="366">
    <w:name w:val="3级标题"/>
    <w:basedOn w:val="289"/>
    <w:link w:val="367"/>
    <w:qFormat/>
    <w:uiPriority w:val="0"/>
    <w:pPr>
      <w:keepLines/>
      <w:numPr>
        <w:ilvl w:val="2"/>
        <w:numId w:val="14"/>
      </w:numPr>
      <w:spacing w:before="120" w:after="120" w:line="360" w:lineRule="auto"/>
      <w:ind w:firstLineChars="0"/>
      <w:contextualSpacing/>
      <w:jc w:val="left"/>
      <w:outlineLvl w:val="2"/>
    </w:pPr>
    <w:rPr>
      <w:rFonts w:ascii="黑体" w:hAnsi="黑体" w:eastAsia="黑体"/>
      <w:kern w:val="0"/>
      <w:sz w:val="28"/>
      <w:szCs w:val="36"/>
      <w:lang w:val="zh-CN" w:eastAsia="en-US" w:bidi="en-US"/>
    </w:rPr>
  </w:style>
  <w:style w:type="character" w:customStyle="1" w:styleId="367">
    <w:name w:val="3级标题 Char"/>
    <w:link w:val="366"/>
    <w:qFormat/>
    <w:uiPriority w:val="0"/>
    <w:rPr>
      <w:rFonts w:ascii="黑体" w:hAnsi="黑体" w:eastAsia="黑体" w:cs="Times New Roman"/>
      <w:sz w:val="28"/>
      <w:szCs w:val="36"/>
      <w:lang w:val="zh-CN" w:eastAsia="en-US" w:bidi="en-US"/>
    </w:rPr>
  </w:style>
  <w:style w:type="character" w:customStyle="1" w:styleId="368">
    <w:name w:val="样式 标题 3标题 3 Char + 黑体 小四 非加粗 Char"/>
    <w:qFormat/>
    <w:uiPriority w:val="0"/>
    <w:rPr>
      <w:rFonts w:ascii="黑体" w:hAnsi="黑体" w:eastAsia="黑体" w:cs="Times New Roman"/>
      <w:b/>
      <w:bCs/>
      <w:color w:val="000000"/>
      <w:spacing w:val="6"/>
      <w:sz w:val="24"/>
      <w:szCs w:val="28"/>
      <w:lang w:val="zh-CN"/>
    </w:rPr>
  </w:style>
  <w:style w:type="character" w:customStyle="1" w:styleId="369">
    <w:name w:val="p11"/>
    <w:qFormat/>
    <w:uiPriority w:val="0"/>
    <w:rPr>
      <w:rFonts w:ascii="Times New Roman" w:hAnsi="Times New Roman" w:eastAsia="宋体" w:cs="Times New Roman"/>
      <w:color w:val="000000"/>
      <w:sz w:val="18"/>
      <w:szCs w:val="18"/>
    </w:rPr>
  </w:style>
  <w:style w:type="character" w:customStyle="1" w:styleId="370">
    <w:name w:val="电子邮件签名 Char1"/>
    <w:qFormat/>
    <w:uiPriority w:val="0"/>
    <w:rPr>
      <w:rFonts w:ascii="宋体" w:hAnsi="宋体" w:eastAsia="宋体" w:cs="Times New Roman"/>
      <w:color w:val="000000"/>
      <w:kern w:val="2"/>
      <w:sz w:val="24"/>
      <w:szCs w:val="24"/>
    </w:rPr>
  </w:style>
  <w:style w:type="paragraph" w:customStyle="1" w:styleId="371">
    <w:name w:val="2级标题"/>
    <w:basedOn w:val="289"/>
    <w:link w:val="372"/>
    <w:qFormat/>
    <w:uiPriority w:val="0"/>
    <w:pPr>
      <w:keepLines/>
      <w:numPr>
        <w:ilvl w:val="1"/>
        <w:numId w:val="14"/>
      </w:numPr>
      <w:spacing w:before="240" w:after="120" w:line="360" w:lineRule="auto"/>
      <w:ind w:firstLineChars="0"/>
      <w:contextualSpacing/>
      <w:jc w:val="left"/>
      <w:outlineLvl w:val="1"/>
    </w:pPr>
    <w:rPr>
      <w:rFonts w:ascii="黑体" w:hAnsi="黑体" w:eastAsia="黑体"/>
      <w:kern w:val="0"/>
      <w:sz w:val="32"/>
      <w:szCs w:val="36"/>
      <w:lang w:val="zh-CN" w:eastAsia="en-US" w:bidi="en-US"/>
    </w:rPr>
  </w:style>
  <w:style w:type="character" w:customStyle="1" w:styleId="372">
    <w:name w:val="2级标题 Char"/>
    <w:link w:val="371"/>
    <w:qFormat/>
    <w:uiPriority w:val="0"/>
    <w:rPr>
      <w:rFonts w:ascii="黑体" w:hAnsi="黑体" w:eastAsia="黑体" w:cs="Times New Roman"/>
      <w:sz w:val="32"/>
      <w:szCs w:val="36"/>
      <w:lang w:val="zh-CN" w:eastAsia="en-US" w:bidi="en-US"/>
    </w:rPr>
  </w:style>
  <w:style w:type="character" w:customStyle="1" w:styleId="373">
    <w:name w:val="宋体五号加粗"/>
    <w:qFormat/>
    <w:uiPriority w:val="0"/>
    <w:rPr>
      <w:rFonts w:ascii="宋体" w:hAnsi="宋体" w:eastAsia="宋体" w:cs="Times New Roman"/>
      <w:b/>
      <w:sz w:val="21"/>
    </w:rPr>
  </w:style>
  <w:style w:type="character" w:customStyle="1" w:styleId="374">
    <w:name w:val="标题 9 Char2"/>
    <w:qFormat/>
    <w:uiPriority w:val="0"/>
    <w:rPr>
      <w:rFonts w:ascii="等线 Light" w:hAnsi="等线 Light" w:eastAsia="黑体" w:cs="Times New Roman"/>
      <w:b/>
      <w:szCs w:val="21"/>
    </w:rPr>
  </w:style>
  <w:style w:type="character" w:customStyle="1" w:styleId="375">
    <w:name w:val="Char Char6"/>
    <w:qFormat/>
    <w:uiPriority w:val="0"/>
    <w:rPr>
      <w:rFonts w:ascii="Arial" w:hAnsi="Arial" w:eastAsia="宋体" w:cs="Arial"/>
      <w:vanish/>
      <w:sz w:val="16"/>
      <w:szCs w:val="16"/>
      <w:lang w:val="en-US" w:eastAsia="zh-CN" w:bidi="ar-SA"/>
    </w:rPr>
  </w:style>
  <w:style w:type="paragraph" w:customStyle="1" w:styleId="376">
    <w:name w:val="表格内容"/>
    <w:basedOn w:val="1"/>
    <w:link w:val="377"/>
    <w:qFormat/>
    <w:uiPriority w:val="0"/>
    <w:pPr>
      <w:jc w:val="left"/>
    </w:pPr>
    <w:rPr>
      <w:rFonts w:ascii="宋体" w:hAnsi="宋体" w:eastAsia="仿宋"/>
      <w:sz w:val="24"/>
      <w:szCs w:val="21"/>
    </w:rPr>
  </w:style>
  <w:style w:type="character" w:customStyle="1" w:styleId="377">
    <w:name w:val="表格内容 Char"/>
    <w:link w:val="376"/>
    <w:qFormat/>
    <w:uiPriority w:val="0"/>
    <w:rPr>
      <w:rFonts w:ascii="宋体" w:hAnsi="宋体" w:eastAsia="仿宋" w:cs="Times New Roman"/>
      <w:kern w:val="2"/>
      <w:sz w:val="24"/>
      <w:szCs w:val="21"/>
    </w:rPr>
  </w:style>
  <w:style w:type="character" w:customStyle="1" w:styleId="378">
    <w:name w:val="标题 6 Char2"/>
    <w:qFormat/>
    <w:uiPriority w:val="0"/>
    <w:rPr>
      <w:rFonts w:ascii="等线 Light" w:hAnsi="等线 Light" w:eastAsia="等线 Light" w:cs="Times New Roman"/>
      <w:b/>
      <w:bCs/>
      <w:sz w:val="24"/>
      <w:szCs w:val="24"/>
    </w:rPr>
  </w:style>
  <w:style w:type="character" w:customStyle="1" w:styleId="379">
    <w:name w:val="css21"/>
    <w:qFormat/>
    <w:uiPriority w:val="0"/>
    <w:rPr>
      <w:rFonts w:ascii="Times New Roman" w:hAnsi="Times New Roman" w:eastAsia="宋体" w:cs="Times New Roman"/>
      <w:sz w:val="18"/>
      <w:szCs w:val="18"/>
    </w:rPr>
  </w:style>
  <w:style w:type="character" w:customStyle="1" w:styleId="380">
    <w:name w:val="Char Char51"/>
    <w:qFormat/>
    <w:uiPriority w:val="0"/>
    <w:rPr>
      <w:rFonts w:ascii="Cambria" w:hAnsi="Cambria" w:eastAsia="宋体" w:cs="Times New Roman"/>
      <w:kern w:val="2"/>
      <w:sz w:val="24"/>
      <w:szCs w:val="24"/>
      <w:lang w:val="en-US" w:eastAsia="zh-CN" w:bidi="ar-SA"/>
    </w:rPr>
  </w:style>
  <w:style w:type="paragraph" w:customStyle="1" w:styleId="381">
    <w:name w:val="正文CARLBABA Char"/>
    <w:basedOn w:val="1"/>
    <w:link w:val="382"/>
    <w:qFormat/>
    <w:uiPriority w:val="0"/>
    <w:pPr>
      <w:adjustRightInd w:val="0"/>
      <w:spacing w:before="50" w:after="50" w:line="440" w:lineRule="exact"/>
      <w:ind w:firstLine="480" w:firstLineChars="200"/>
    </w:pPr>
    <w:rPr>
      <w:kern w:val="0"/>
      <w:sz w:val="24"/>
      <w:szCs w:val="24"/>
    </w:rPr>
  </w:style>
  <w:style w:type="character" w:customStyle="1" w:styleId="382">
    <w:name w:val="正文CARLBABA Char Char"/>
    <w:link w:val="381"/>
    <w:qFormat/>
    <w:uiPriority w:val="0"/>
    <w:rPr>
      <w:rFonts w:ascii="Times New Roman" w:hAnsi="Times New Roman" w:eastAsia="宋体" w:cs="Times New Roman"/>
      <w:sz w:val="24"/>
      <w:szCs w:val="24"/>
    </w:rPr>
  </w:style>
  <w:style w:type="paragraph" w:customStyle="1" w:styleId="383">
    <w:name w:val="样式 标题 3H3h33rd levelLevel 3 Headl3CTHeading 3 - oldISO2...2"/>
    <w:basedOn w:val="6"/>
    <w:link w:val="384"/>
    <w:qFormat/>
    <w:uiPriority w:val="0"/>
    <w:pPr>
      <w:spacing w:line="413" w:lineRule="auto"/>
      <w:jc w:val="left"/>
    </w:pPr>
    <w:rPr>
      <w:rFonts w:ascii="宋体" w:hAnsi="宋体"/>
      <w:b w:val="0"/>
      <w:iCs/>
      <w:color w:val="000000"/>
      <w:kern w:val="0"/>
    </w:rPr>
  </w:style>
  <w:style w:type="character" w:customStyle="1" w:styleId="384">
    <w:name w:val="样式 标题 3H3h33rd levelLevel 3 Headl3CTHeading 3 - oldISO2...2 Char"/>
    <w:link w:val="383"/>
    <w:qFormat/>
    <w:uiPriority w:val="0"/>
    <w:rPr>
      <w:rFonts w:ascii="宋体" w:hAnsi="宋体" w:eastAsia="宋体" w:cs="Times New Roman"/>
      <w:bCs/>
      <w:iCs/>
      <w:color w:val="000000"/>
      <w:sz w:val="32"/>
      <w:szCs w:val="32"/>
    </w:rPr>
  </w:style>
  <w:style w:type="paragraph" w:customStyle="1" w:styleId="385">
    <w:name w:val="表格文字"/>
    <w:basedOn w:val="1"/>
    <w:link w:val="386"/>
    <w:qFormat/>
    <w:uiPriority w:val="0"/>
    <w:rPr>
      <w:szCs w:val="24"/>
    </w:rPr>
  </w:style>
  <w:style w:type="character" w:customStyle="1" w:styleId="386">
    <w:name w:val="表格文字 Char"/>
    <w:link w:val="385"/>
    <w:qFormat/>
    <w:uiPriority w:val="0"/>
    <w:rPr>
      <w:rFonts w:ascii="Times New Roman" w:hAnsi="Times New Roman" w:eastAsia="宋体" w:cs="Times New Roman"/>
      <w:kern w:val="2"/>
      <w:sz w:val="21"/>
      <w:szCs w:val="24"/>
    </w:rPr>
  </w:style>
  <w:style w:type="paragraph" w:customStyle="1" w:styleId="387">
    <w:name w:val="p17"/>
    <w:basedOn w:val="1"/>
    <w:link w:val="388"/>
    <w:qFormat/>
    <w:uiPriority w:val="0"/>
    <w:pPr>
      <w:widowControl/>
      <w:snapToGrid w:val="0"/>
      <w:jc w:val="left"/>
    </w:pPr>
    <w:rPr>
      <w:rFonts w:ascii="宋体" w:hAnsi="宋体" w:cs="宋体"/>
      <w:kern w:val="0"/>
      <w:sz w:val="20"/>
      <w:szCs w:val="21"/>
    </w:rPr>
  </w:style>
  <w:style w:type="character" w:customStyle="1" w:styleId="388">
    <w:name w:val="p17 Char"/>
    <w:link w:val="387"/>
    <w:qFormat/>
    <w:uiPriority w:val="0"/>
    <w:rPr>
      <w:rFonts w:ascii="宋体" w:hAnsi="宋体" w:eastAsia="宋体" w:cs="宋体"/>
      <w:szCs w:val="21"/>
    </w:rPr>
  </w:style>
  <w:style w:type="character" w:customStyle="1" w:styleId="389">
    <w:name w:val="line21"/>
    <w:qFormat/>
    <w:uiPriority w:val="0"/>
    <w:rPr>
      <w:rFonts w:ascii="Times New Roman" w:hAnsi="Times New Roman" w:eastAsia="宋体" w:cs="Times New Roman"/>
      <w:sz w:val="18"/>
      <w:szCs w:val="18"/>
    </w:rPr>
  </w:style>
  <w:style w:type="paragraph" w:customStyle="1" w:styleId="390">
    <w:name w:val="地铁方块平行列表样式"/>
    <w:basedOn w:val="1"/>
    <w:link w:val="391"/>
    <w:autoRedefine/>
    <w:qFormat/>
    <w:uiPriority w:val="0"/>
    <w:pPr>
      <w:numPr>
        <w:ilvl w:val="0"/>
        <w:numId w:val="15"/>
      </w:numPr>
      <w:spacing w:line="360" w:lineRule="auto"/>
      <w:ind w:firstLine="0"/>
    </w:pPr>
    <w:rPr>
      <w:rFonts w:ascii="宋体" w:eastAsia="仿宋_GB2312"/>
      <w:sz w:val="24"/>
      <w:szCs w:val="24"/>
    </w:rPr>
  </w:style>
  <w:style w:type="character" w:customStyle="1" w:styleId="391">
    <w:name w:val="地铁方块平行列表样式 Char"/>
    <w:link w:val="390"/>
    <w:qFormat/>
    <w:uiPriority w:val="0"/>
    <w:rPr>
      <w:rFonts w:ascii="宋体" w:hAnsi="Times New Roman" w:eastAsia="仿宋_GB2312" w:cs="Times New Roman"/>
      <w:kern w:val="2"/>
      <w:sz w:val="24"/>
      <w:szCs w:val="24"/>
    </w:rPr>
  </w:style>
  <w:style w:type="character" w:customStyle="1" w:styleId="392">
    <w:name w:val="信息主题 Char"/>
    <w:qFormat/>
    <w:uiPriority w:val="0"/>
    <w:rPr>
      <w:rFonts w:ascii="Arial Unicode MS" w:hAnsi="Arial Unicode MS" w:eastAsia="宋体" w:cs="Times New Roman"/>
      <w:kern w:val="2"/>
      <w:sz w:val="21"/>
    </w:rPr>
  </w:style>
  <w:style w:type="character" w:customStyle="1" w:styleId="393">
    <w:name w:val="符号列表 Char"/>
    <w:qFormat/>
    <w:uiPriority w:val="0"/>
    <w:rPr>
      <w:rFonts w:ascii="仿宋_GB2312" w:hAnsi="Times New Roman" w:eastAsia="仿宋_GB2312" w:cs="Times New Roman"/>
      <w:b/>
      <w:sz w:val="24"/>
      <w:szCs w:val="24"/>
    </w:rPr>
  </w:style>
  <w:style w:type="character" w:customStyle="1" w:styleId="394">
    <w:name w:val="font_blue1"/>
    <w:qFormat/>
    <w:uiPriority w:val="0"/>
    <w:rPr>
      <w:rFonts w:ascii="Times New Roman" w:hAnsi="Times New Roman" w:eastAsia="宋体" w:cs="Times New Roman"/>
      <w:b/>
      <w:bCs/>
      <w:color w:val="0070BC"/>
      <w:sz w:val="20"/>
      <w:szCs w:val="20"/>
      <w:u w:val="none"/>
    </w:rPr>
  </w:style>
  <w:style w:type="paragraph" w:customStyle="1" w:styleId="395">
    <w:name w:val="paragraph1"/>
    <w:basedOn w:val="1"/>
    <w:link w:val="396"/>
    <w:qFormat/>
    <w:uiPriority w:val="0"/>
    <w:pPr>
      <w:spacing w:afterLines="30" w:line="360" w:lineRule="auto"/>
      <w:ind w:firstLine="420" w:firstLineChars="200"/>
    </w:pPr>
    <w:rPr>
      <w:rFonts w:eastAsia="楷体_GB2312"/>
      <w:sz w:val="24"/>
    </w:rPr>
  </w:style>
  <w:style w:type="character" w:customStyle="1" w:styleId="396">
    <w:name w:val="paragraph1 Char"/>
    <w:link w:val="395"/>
    <w:qFormat/>
    <w:uiPriority w:val="0"/>
    <w:rPr>
      <w:rFonts w:ascii="Times New Roman" w:hAnsi="Times New Roman" w:eastAsia="楷体_GB2312" w:cs="Times New Roman"/>
      <w:kern w:val="2"/>
      <w:sz w:val="24"/>
    </w:rPr>
  </w:style>
  <w:style w:type="character" w:customStyle="1" w:styleId="397">
    <w:name w:val="h3 Char1"/>
    <w:autoRedefine/>
    <w:qFormat/>
    <w:uiPriority w:val="0"/>
    <w:rPr>
      <w:rFonts w:ascii="Verdana" w:hAnsi="Verdana" w:eastAsia="宋体" w:cs="宋体"/>
      <w:b/>
      <w:bCs/>
      <w:color w:val="0000FF"/>
      <w:kern w:val="2"/>
      <w:sz w:val="32"/>
      <w:szCs w:val="32"/>
      <w:lang w:val="en-US" w:eastAsia="en-US" w:bidi="ar-SA"/>
    </w:rPr>
  </w:style>
  <w:style w:type="character" w:customStyle="1" w:styleId="398">
    <w:name w:val="myp111"/>
    <w:qFormat/>
    <w:uiPriority w:val="0"/>
    <w:rPr>
      <w:rFonts w:hint="default" w:ascii="Times New Roman" w:hAnsi="Times New Roman" w:eastAsia="宋体" w:cs="Times New Roman"/>
      <w:color w:val="000000"/>
      <w:sz w:val="22"/>
      <w:szCs w:val="22"/>
      <w:u w:val="none"/>
    </w:rPr>
  </w:style>
  <w:style w:type="character" w:customStyle="1" w:styleId="399">
    <w:name w:val="注释标题 Char1"/>
    <w:qFormat/>
    <w:uiPriority w:val="0"/>
    <w:rPr>
      <w:rFonts w:ascii="宋体" w:hAnsi="宋体" w:eastAsia="宋体" w:cs="Times New Roman"/>
      <w:color w:val="000000"/>
      <w:kern w:val="2"/>
      <w:sz w:val="24"/>
      <w:szCs w:val="24"/>
    </w:rPr>
  </w:style>
  <w:style w:type="character" w:customStyle="1" w:styleId="400">
    <w:name w:val="style651"/>
    <w:qFormat/>
    <w:uiPriority w:val="0"/>
    <w:rPr>
      <w:rFonts w:hint="default" w:ascii="Times New Roman" w:hAnsi="Times New Roman" w:eastAsia="宋体" w:cs="Times New Roman"/>
      <w:b/>
      <w:bCs/>
      <w:color w:val="FF0000"/>
      <w:sz w:val="72"/>
      <w:szCs w:val="72"/>
    </w:rPr>
  </w:style>
  <w:style w:type="character" w:customStyle="1" w:styleId="401">
    <w:name w:val="porttext"/>
    <w:qFormat/>
    <w:uiPriority w:val="0"/>
    <w:rPr>
      <w:rFonts w:ascii="Times New Roman" w:hAnsi="Times New Roman" w:eastAsia="宋体" w:cs="Times New Roman"/>
    </w:rPr>
  </w:style>
  <w:style w:type="character" w:customStyle="1" w:styleId="402">
    <w:name w:val="style4"/>
    <w:qFormat/>
    <w:uiPriority w:val="0"/>
    <w:rPr>
      <w:rFonts w:ascii="Times New Roman" w:hAnsi="Times New Roman" w:eastAsia="宋体" w:cs="Times New Roman"/>
    </w:rPr>
  </w:style>
  <w:style w:type="paragraph" w:customStyle="1" w:styleId="403">
    <w:name w:val="编号1"/>
    <w:basedOn w:val="300"/>
    <w:link w:val="404"/>
    <w:qFormat/>
    <w:uiPriority w:val="0"/>
    <w:pPr>
      <w:numPr>
        <w:ilvl w:val="0"/>
        <w:numId w:val="16"/>
      </w:numPr>
      <w:ind w:left="425" w:hanging="425"/>
      <w:jc w:val="left"/>
    </w:pPr>
    <w:rPr>
      <w:rFonts w:ascii="Times New Roman" w:hAnsi="Times New Roman" w:cs="Times New Roman"/>
      <w:shd w:val="clear" w:color="auto" w:fill="FFFFFF"/>
    </w:rPr>
  </w:style>
  <w:style w:type="character" w:customStyle="1" w:styleId="404">
    <w:name w:val="编号1 Char Char"/>
    <w:link w:val="403"/>
    <w:qFormat/>
    <w:uiPriority w:val="0"/>
    <w:rPr>
      <w:rFonts w:ascii="Times New Roman" w:hAnsi="Times New Roman" w:eastAsia="宋体" w:cs="宋体"/>
      <w:kern w:val="2"/>
      <w:sz w:val="24"/>
    </w:rPr>
  </w:style>
  <w:style w:type="character" w:customStyle="1" w:styleId="405">
    <w:name w:val="日期 Char1"/>
    <w:qFormat/>
    <w:uiPriority w:val="0"/>
    <w:rPr>
      <w:rFonts w:ascii="Times New Roman" w:hAnsi="Times New Roman" w:eastAsia="宋体" w:cs="Times New Roman"/>
      <w:sz w:val="24"/>
      <w:szCs w:val="24"/>
    </w:rPr>
  </w:style>
  <w:style w:type="character" w:customStyle="1" w:styleId="406">
    <w:name w:val="文字 Char Char Char Char Char"/>
    <w:qFormat/>
    <w:uiPriority w:val="0"/>
    <w:rPr>
      <w:rFonts w:ascii="宋体" w:hAnsi="Times New Roman" w:eastAsia="宋体" w:cs="Times New Roman"/>
      <w:kern w:val="2"/>
      <w:sz w:val="28"/>
      <w:lang w:val="en-US" w:eastAsia="zh-CN" w:bidi="ar-SA"/>
    </w:rPr>
  </w:style>
  <w:style w:type="paragraph" w:customStyle="1" w:styleId="407">
    <w:name w:val="number1"/>
    <w:basedOn w:val="1"/>
    <w:link w:val="408"/>
    <w:qFormat/>
    <w:uiPriority w:val="0"/>
    <w:pPr>
      <w:tabs>
        <w:tab w:val="left" w:pos="840"/>
      </w:tabs>
      <w:spacing w:afterLines="30" w:line="360" w:lineRule="auto"/>
      <w:ind w:left="840" w:hanging="420"/>
    </w:pPr>
    <w:rPr>
      <w:rFonts w:eastAsia="仿宋_GB2312"/>
      <w:sz w:val="24"/>
      <w:szCs w:val="24"/>
    </w:rPr>
  </w:style>
  <w:style w:type="character" w:customStyle="1" w:styleId="408">
    <w:name w:val="number1 Char"/>
    <w:link w:val="407"/>
    <w:qFormat/>
    <w:uiPriority w:val="0"/>
    <w:rPr>
      <w:rFonts w:ascii="Times New Roman" w:hAnsi="Times New Roman" w:eastAsia="仿宋_GB2312" w:cs="Times New Roman"/>
      <w:kern w:val="2"/>
      <w:sz w:val="24"/>
      <w:szCs w:val="24"/>
    </w:rPr>
  </w:style>
  <w:style w:type="paragraph" w:customStyle="1" w:styleId="409">
    <w:name w:val="样式 样式 样式 正文首行缩进正文首行缩进 Char Char Char Char正文首行缩进 Char Char Char C..."/>
    <w:basedOn w:val="1"/>
    <w:link w:val="410"/>
    <w:qFormat/>
    <w:uiPriority w:val="0"/>
    <w:pPr>
      <w:spacing w:after="120" w:line="300" w:lineRule="auto"/>
      <w:ind w:firstLine="105" w:firstLineChars="50"/>
    </w:pPr>
    <w:rPr>
      <w:rFonts w:ascii="宋体" w:hAnsi="宋体" w:cs="宋体"/>
      <w:szCs w:val="21"/>
    </w:rPr>
  </w:style>
  <w:style w:type="character" w:customStyle="1" w:styleId="410">
    <w:name w:val="样式 样式 样式 正文首行缩进正文首行缩进 Char Char Char Char正文首行缩进 Char Char Char C... Char"/>
    <w:link w:val="409"/>
    <w:qFormat/>
    <w:uiPriority w:val="0"/>
    <w:rPr>
      <w:rFonts w:ascii="宋体" w:hAnsi="宋体" w:eastAsia="宋体" w:cs="宋体"/>
      <w:kern w:val="2"/>
      <w:sz w:val="21"/>
      <w:szCs w:val="21"/>
    </w:rPr>
  </w:style>
  <w:style w:type="character" w:customStyle="1" w:styleId="411">
    <w:name w:val="Char Char72"/>
    <w:qFormat/>
    <w:uiPriority w:val="0"/>
    <w:rPr>
      <w:rFonts w:ascii="Cambria" w:hAnsi="Cambria" w:eastAsia="宋体" w:cs="Times New Roman"/>
      <w:b/>
      <w:bCs/>
      <w:kern w:val="2"/>
      <w:sz w:val="24"/>
      <w:szCs w:val="24"/>
      <w:lang w:val="en-US" w:eastAsia="zh-CN" w:bidi="ar-SA"/>
    </w:rPr>
  </w:style>
  <w:style w:type="paragraph" w:customStyle="1" w:styleId="412">
    <w:name w:val="GW-正文"/>
    <w:basedOn w:val="1"/>
    <w:link w:val="413"/>
    <w:qFormat/>
    <w:uiPriority w:val="0"/>
    <w:pPr>
      <w:spacing w:line="360" w:lineRule="auto"/>
      <w:ind w:firstLine="200" w:firstLineChars="200"/>
      <w:contextualSpacing/>
    </w:pPr>
    <w:rPr>
      <w:rFonts w:eastAsia="仿宋_GB2312"/>
      <w:sz w:val="24"/>
      <w:szCs w:val="24"/>
    </w:rPr>
  </w:style>
  <w:style w:type="character" w:customStyle="1" w:styleId="413">
    <w:name w:val="GW-正文 Char"/>
    <w:link w:val="412"/>
    <w:qFormat/>
    <w:uiPriority w:val="0"/>
    <w:rPr>
      <w:rFonts w:ascii="Times New Roman" w:hAnsi="Times New Roman" w:eastAsia="仿宋_GB2312" w:cs="Times New Roman"/>
      <w:kern w:val="2"/>
      <w:sz w:val="24"/>
      <w:szCs w:val="24"/>
    </w:rPr>
  </w:style>
  <w:style w:type="character" w:customStyle="1" w:styleId="414">
    <w:name w:val="article"/>
    <w:qFormat/>
    <w:uiPriority w:val="0"/>
    <w:rPr>
      <w:rFonts w:ascii="Times New Roman" w:hAnsi="Times New Roman" w:eastAsia="宋体" w:cs="Times New Roman"/>
    </w:rPr>
  </w:style>
  <w:style w:type="character" w:customStyle="1" w:styleId="415">
    <w:name w:val="break_word1"/>
    <w:qFormat/>
    <w:uiPriority w:val="0"/>
    <w:rPr>
      <w:rFonts w:ascii="Times New Roman" w:hAnsi="Times New Roman" w:eastAsia="宋体" w:cs="Times New Roman"/>
    </w:rPr>
  </w:style>
  <w:style w:type="character" w:customStyle="1" w:styleId="416">
    <w:name w:val="Char Char191"/>
    <w:qFormat/>
    <w:uiPriority w:val="0"/>
    <w:rPr>
      <w:rFonts w:ascii="Tahoma" w:hAnsi="Tahoma" w:eastAsia="宋体" w:cs="Times New Roman"/>
      <w:b/>
      <w:bCs/>
      <w:kern w:val="2"/>
      <w:sz w:val="28"/>
      <w:szCs w:val="28"/>
      <w:lang w:val="en-US" w:eastAsia="zh-CN" w:bidi="ar-SA"/>
    </w:rPr>
  </w:style>
  <w:style w:type="character" w:customStyle="1" w:styleId="417">
    <w:name w:val="word2"/>
    <w:qFormat/>
    <w:uiPriority w:val="0"/>
    <w:rPr>
      <w:rFonts w:ascii="Times New Roman" w:hAnsi="Times New Roman" w:eastAsia="宋体" w:cs="Times New Roman"/>
    </w:rPr>
  </w:style>
  <w:style w:type="character" w:customStyle="1" w:styleId="418">
    <w:name w:val="style601"/>
    <w:qFormat/>
    <w:uiPriority w:val="0"/>
    <w:rPr>
      <w:rFonts w:hint="default" w:ascii="Times New Roman" w:hAnsi="Times New Roman" w:eastAsia="宋体" w:cs="Times New Roman"/>
      <w:sz w:val="20"/>
      <w:szCs w:val="20"/>
    </w:rPr>
  </w:style>
  <w:style w:type="paragraph" w:customStyle="1" w:styleId="419">
    <w:name w:val="段落1"/>
    <w:basedOn w:val="1"/>
    <w:link w:val="420"/>
    <w:qFormat/>
    <w:uiPriority w:val="0"/>
    <w:pPr>
      <w:adjustRightInd w:val="0"/>
      <w:spacing w:before="120" w:after="120" w:line="360" w:lineRule="auto"/>
      <w:ind w:firstLine="567"/>
      <w:textAlignment w:val="baseline"/>
    </w:pPr>
    <w:rPr>
      <w:kern w:val="0"/>
      <w:sz w:val="24"/>
    </w:rPr>
  </w:style>
  <w:style w:type="character" w:customStyle="1" w:styleId="420">
    <w:name w:val="段落1 Char"/>
    <w:link w:val="419"/>
    <w:qFormat/>
    <w:uiPriority w:val="0"/>
    <w:rPr>
      <w:rFonts w:ascii="Times New Roman" w:hAnsi="Times New Roman" w:eastAsia="宋体" w:cs="Times New Roman"/>
      <w:sz w:val="24"/>
    </w:rPr>
  </w:style>
  <w:style w:type="character" w:customStyle="1" w:styleId="421">
    <w:name w:val="dl-para1"/>
    <w:qFormat/>
    <w:uiPriority w:val="0"/>
    <w:rPr>
      <w:rFonts w:ascii="Times New Roman" w:hAnsi="Times New Roman" w:eastAsia="宋体" w:cs="Times New Roman"/>
      <w:sz w:val="24"/>
      <w:szCs w:val="24"/>
    </w:rPr>
  </w:style>
  <w:style w:type="paragraph" w:customStyle="1" w:styleId="422">
    <w:name w:val="项目列表"/>
    <w:basedOn w:val="1"/>
    <w:link w:val="423"/>
    <w:qFormat/>
    <w:uiPriority w:val="0"/>
    <w:pPr>
      <w:tabs>
        <w:tab w:val="left" w:pos="420"/>
        <w:tab w:val="left" w:pos="794"/>
      </w:tabs>
      <w:spacing w:line="360" w:lineRule="auto"/>
      <w:ind w:left="794"/>
    </w:pPr>
    <w:rPr>
      <w:kern w:val="0"/>
      <w:sz w:val="24"/>
    </w:rPr>
  </w:style>
  <w:style w:type="character" w:customStyle="1" w:styleId="423">
    <w:name w:val="项目列表 Char"/>
    <w:link w:val="422"/>
    <w:qFormat/>
    <w:uiPriority w:val="0"/>
    <w:rPr>
      <w:rFonts w:ascii="Times New Roman" w:hAnsi="Times New Roman" w:eastAsia="宋体" w:cs="Times New Roman"/>
      <w:sz w:val="24"/>
    </w:rPr>
  </w:style>
  <w:style w:type="character" w:customStyle="1" w:styleId="424">
    <w:name w:val="style131"/>
    <w:qFormat/>
    <w:uiPriority w:val="0"/>
    <w:rPr>
      <w:rFonts w:ascii="Times New Roman" w:hAnsi="Times New Roman" w:eastAsia="宋体" w:cs="Times New Roman"/>
      <w:color w:val="FF6600"/>
    </w:rPr>
  </w:style>
  <w:style w:type="character" w:customStyle="1" w:styleId="425">
    <w:name w:val="正文文本缩进 3 Char1"/>
    <w:qFormat/>
    <w:uiPriority w:val="0"/>
    <w:rPr>
      <w:rFonts w:ascii="Times New Roman" w:hAnsi="Times New Roman" w:eastAsia="宋体" w:cs="Times New Roman"/>
      <w:kern w:val="2"/>
      <w:sz w:val="16"/>
      <w:szCs w:val="16"/>
    </w:rPr>
  </w:style>
  <w:style w:type="character" w:customStyle="1" w:styleId="426">
    <w:name w:val="c lh15"/>
    <w:qFormat/>
    <w:uiPriority w:val="0"/>
    <w:rPr>
      <w:rFonts w:ascii="Times New Roman" w:hAnsi="Times New Roman" w:eastAsia="宋体" w:cs="Times New Roman"/>
    </w:rPr>
  </w:style>
  <w:style w:type="character" w:customStyle="1" w:styleId="427">
    <w:name w:val="biaoti1"/>
    <w:qFormat/>
    <w:uiPriority w:val="0"/>
    <w:rPr>
      <w:rFonts w:hint="default" w:ascii="_GB2312" w:hAnsi="_GB2312" w:eastAsia="宋体" w:cs="Times New Roman"/>
      <w:color w:val="CCCC33"/>
      <w:sz w:val="36"/>
      <w:szCs w:val="36"/>
    </w:rPr>
  </w:style>
  <w:style w:type="character" w:customStyle="1" w:styleId="428">
    <w:name w:val="尾注文本 Char1"/>
    <w:autoRedefine/>
    <w:qFormat/>
    <w:uiPriority w:val="0"/>
    <w:rPr>
      <w:rFonts w:ascii="Times New Roman" w:hAnsi="Times New Roman" w:eastAsia="宋体" w:cs="Times New Roman"/>
      <w:kern w:val="2"/>
      <w:sz w:val="21"/>
      <w:szCs w:val="21"/>
    </w:rPr>
  </w:style>
  <w:style w:type="paragraph" w:customStyle="1" w:styleId="429">
    <w:name w:val="文字"/>
    <w:basedOn w:val="1"/>
    <w:link w:val="430"/>
    <w:qFormat/>
    <w:uiPriority w:val="0"/>
    <w:pPr>
      <w:tabs>
        <w:tab w:val="left" w:pos="8520"/>
      </w:tabs>
      <w:spacing w:line="312" w:lineRule="auto"/>
      <w:ind w:right="-210" w:firstLine="556" w:firstLineChars="200"/>
    </w:pPr>
    <w:rPr>
      <w:rFonts w:ascii="楷体_GB2312" w:eastAsia="楷体_GB2312"/>
      <w:sz w:val="28"/>
    </w:rPr>
  </w:style>
  <w:style w:type="character" w:customStyle="1" w:styleId="430">
    <w:name w:val="文字 Char"/>
    <w:link w:val="429"/>
    <w:qFormat/>
    <w:uiPriority w:val="0"/>
    <w:rPr>
      <w:rFonts w:ascii="楷体_GB2312" w:hAnsi="Times New Roman" w:eastAsia="楷体_GB2312" w:cs="Times New Roman"/>
      <w:kern w:val="2"/>
      <w:sz w:val="28"/>
    </w:rPr>
  </w:style>
  <w:style w:type="paragraph" w:customStyle="1" w:styleId="431">
    <w:name w:val="样式 number1 + (符号) 宋体"/>
    <w:basedOn w:val="407"/>
    <w:link w:val="432"/>
    <w:qFormat/>
    <w:uiPriority w:val="0"/>
    <w:pPr>
      <w:tabs>
        <w:tab w:val="left" w:pos="902"/>
        <w:tab w:val="clear" w:pos="840"/>
      </w:tabs>
      <w:spacing w:after="30"/>
      <w:ind w:left="400" w:leftChars="200" w:hanging="200" w:hangingChars="200"/>
    </w:pPr>
    <w:rPr>
      <w:rFonts w:eastAsia="宋体" w:cs="Arial"/>
    </w:rPr>
  </w:style>
  <w:style w:type="character" w:customStyle="1" w:styleId="432">
    <w:name w:val="样式 number1 + (符号) 宋体 Char"/>
    <w:link w:val="431"/>
    <w:qFormat/>
    <w:uiPriority w:val="0"/>
    <w:rPr>
      <w:rFonts w:ascii="Times New Roman" w:hAnsi="Times New Roman" w:eastAsia="仿宋_GB2312" w:cs="Arial"/>
      <w:kern w:val="2"/>
      <w:sz w:val="24"/>
      <w:szCs w:val="24"/>
    </w:rPr>
  </w:style>
  <w:style w:type="character" w:customStyle="1" w:styleId="433">
    <w:name w:val="尾注引用1"/>
    <w:qFormat/>
    <w:uiPriority w:val="0"/>
    <w:rPr>
      <w:rFonts w:ascii="Times New Roman" w:hAnsi="Times New Roman" w:eastAsia="宋体" w:cs="Times New Roman"/>
      <w:vertAlign w:val="superscript"/>
    </w:rPr>
  </w:style>
  <w:style w:type="character" w:customStyle="1" w:styleId="434">
    <w:name w:val="Char Char3"/>
    <w:qFormat/>
    <w:uiPriority w:val="0"/>
    <w:rPr>
      <w:rFonts w:ascii="Calibri" w:hAnsi="Calibri" w:eastAsia="宋体" w:cs="Times New Roman"/>
      <w:sz w:val="18"/>
      <w:lang w:bidi="ar-SA"/>
    </w:rPr>
  </w:style>
  <w:style w:type="character" w:customStyle="1" w:styleId="435">
    <w:name w:val="bt21"/>
    <w:qFormat/>
    <w:uiPriority w:val="0"/>
    <w:rPr>
      <w:rFonts w:ascii="Times New Roman" w:hAnsi="Times New Roman" w:eastAsia="宋体" w:cs="Times New Roman"/>
      <w:color w:val="000000"/>
      <w:sz w:val="19"/>
      <w:szCs w:val="19"/>
    </w:rPr>
  </w:style>
  <w:style w:type="character" w:customStyle="1" w:styleId="436">
    <w:name w:val="标题 7 Char1"/>
    <w:qFormat/>
    <w:uiPriority w:val="0"/>
    <w:rPr>
      <w:rFonts w:ascii="Times New Roman" w:hAnsi="Times New Roman" w:eastAsia="宋体" w:cs="Times New Roman"/>
      <w:b/>
      <w:bCs/>
      <w:kern w:val="2"/>
      <w:sz w:val="24"/>
      <w:szCs w:val="24"/>
    </w:rPr>
  </w:style>
  <w:style w:type="character" w:customStyle="1" w:styleId="437">
    <w:name w:val="个人撰写风格"/>
    <w:qFormat/>
    <w:uiPriority w:val="0"/>
    <w:rPr>
      <w:rFonts w:ascii="Arial" w:hAnsi="Arial" w:eastAsia="宋体" w:cs="Arial"/>
      <w:color w:val="auto"/>
      <w:sz w:val="20"/>
    </w:rPr>
  </w:style>
  <w:style w:type="character" w:customStyle="1" w:styleId="438">
    <w:name w:val="个人答复风格"/>
    <w:qFormat/>
    <w:uiPriority w:val="0"/>
    <w:rPr>
      <w:rFonts w:ascii="Arial" w:hAnsi="Arial" w:eastAsia="宋体" w:cs="Arial"/>
      <w:color w:val="auto"/>
      <w:sz w:val="20"/>
    </w:rPr>
  </w:style>
  <w:style w:type="character" w:customStyle="1" w:styleId="439">
    <w:name w:val="标题 9 Char1"/>
    <w:qFormat/>
    <w:uiPriority w:val="0"/>
    <w:rPr>
      <w:rFonts w:ascii="Cambria" w:hAnsi="Cambria" w:eastAsia="宋体" w:cs="Times New Roman"/>
      <w:kern w:val="2"/>
      <w:sz w:val="21"/>
      <w:szCs w:val="21"/>
    </w:rPr>
  </w:style>
  <w:style w:type="character" w:customStyle="1" w:styleId="440">
    <w:name w:val="com1"/>
    <w:qFormat/>
    <w:uiPriority w:val="0"/>
    <w:rPr>
      <w:rFonts w:ascii="Times New Roman" w:hAnsi="Times New Roman" w:eastAsia="宋体" w:cs="Times New Roman"/>
      <w:sz w:val="18"/>
      <w:szCs w:val="18"/>
    </w:rPr>
  </w:style>
  <w:style w:type="character" w:customStyle="1" w:styleId="441">
    <w:name w:val="Char Char131"/>
    <w:qFormat/>
    <w:uiPriority w:val="0"/>
    <w:rPr>
      <w:rFonts w:ascii="Times New Roman" w:hAnsi="Times New Roman" w:eastAsia="宋体" w:cs="Times New Roman"/>
      <w:kern w:val="2"/>
      <w:sz w:val="18"/>
      <w:szCs w:val="18"/>
      <w:lang w:val="en-US" w:eastAsia="zh-CN" w:bidi="ar-SA"/>
    </w:rPr>
  </w:style>
  <w:style w:type="character" w:customStyle="1" w:styleId="442">
    <w:name w:val="content3"/>
    <w:qFormat/>
    <w:uiPriority w:val="0"/>
    <w:rPr>
      <w:rFonts w:ascii="Times New Roman" w:hAnsi="Times New Roman" w:eastAsia="宋体" w:cs="Times New Roman"/>
    </w:rPr>
  </w:style>
  <w:style w:type="character" w:customStyle="1" w:styleId="443">
    <w:name w:val="样式 宋体 小四 加粗"/>
    <w:qFormat/>
    <w:uiPriority w:val="0"/>
    <w:rPr>
      <w:rFonts w:ascii="宋体" w:hAnsi="宋体" w:eastAsia="宋体" w:cs="Times New Roman"/>
      <w:b/>
      <w:bCs/>
      <w:sz w:val="21"/>
    </w:rPr>
  </w:style>
  <w:style w:type="character" w:customStyle="1" w:styleId="444">
    <w:name w:val="Char Char71"/>
    <w:qFormat/>
    <w:uiPriority w:val="0"/>
    <w:rPr>
      <w:rFonts w:ascii="Cambria" w:hAnsi="Cambria" w:eastAsia="宋体" w:cs="Times New Roman"/>
      <w:b/>
      <w:bCs/>
      <w:kern w:val="2"/>
      <w:sz w:val="24"/>
      <w:szCs w:val="24"/>
      <w:lang w:val="en-US" w:eastAsia="zh-CN" w:bidi="ar-SA"/>
    </w:rPr>
  </w:style>
  <w:style w:type="character" w:customStyle="1" w:styleId="445">
    <w:name w:val="ourfont31"/>
    <w:qFormat/>
    <w:uiPriority w:val="0"/>
    <w:rPr>
      <w:rFonts w:hint="eastAsia" w:ascii="宋体" w:hAnsi="宋体" w:eastAsia="宋体" w:cs="Times New Roman"/>
      <w:sz w:val="35"/>
      <w:szCs w:val="35"/>
    </w:rPr>
  </w:style>
  <w:style w:type="character" w:customStyle="1" w:styleId="446">
    <w:name w:val="Char Char62"/>
    <w:qFormat/>
    <w:uiPriority w:val="0"/>
    <w:rPr>
      <w:rFonts w:ascii="Times New Roman" w:hAnsi="Times New Roman" w:eastAsia="宋体" w:cs="Times New Roman"/>
      <w:b/>
      <w:bCs/>
      <w:kern w:val="2"/>
      <w:sz w:val="24"/>
      <w:szCs w:val="24"/>
      <w:lang w:val="en-US" w:eastAsia="zh-CN" w:bidi="ar-SA"/>
    </w:rPr>
  </w:style>
  <w:style w:type="character" w:customStyle="1" w:styleId="447">
    <w:name w:val="ABC标题下的小点 Char1"/>
    <w:qFormat/>
    <w:uiPriority w:val="0"/>
    <w:rPr>
      <w:rFonts w:ascii="宋体" w:hAnsi="宋体" w:eastAsia="宋体" w:cs="Times New Roman"/>
      <w:sz w:val="21"/>
      <w:lang w:val="en-US" w:eastAsia="zh-CN" w:bidi="ar-SA"/>
    </w:rPr>
  </w:style>
  <w:style w:type="paragraph" w:customStyle="1" w:styleId="448">
    <w:name w:val="哈哈正文"/>
    <w:basedOn w:val="1"/>
    <w:link w:val="449"/>
    <w:qFormat/>
    <w:uiPriority w:val="0"/>
    <w:pPr>
      <w:spacing w:line="360" w:lineRule="auto"/>
      <w:ind w:firstLine="200" w:firstLineChars="200"/>
    </w:pPr>
    <w:rPr>
      <w:rFonts w:ascii="宋体" w:hAnsi="宋体" w:eastAsia="仿宋_GB2312" w:cs="宋体"/>
      <w:sz w:val="24"/>
    </w:rPr>
  </w:style>
  <w:style w:type="character" w:customStyle="1" w:styleId="449">
    <w:name w:val="哈哈正文 Char"/>
    <w:link w:val="448"/>
    <w:qFormat/>
    <w:uiPriority w:val="0"/>
    <w:rPr>
      <w:rFonts w:ascii="宋体" w:hAnsi="宋体" w:eastAsia="仿宋_GB2312" w:cs="宋体"/>
      <w:kern w:val="2"/>
      <w:sz w:val="24"/>
    </w:rPr>
  </w:style>
  <w:style w:type="paragraph" w:customStyle="1" w:styleId="450">
    <w:name w:val="l正文"/>
    <w:basedOn w:val="1"/>
    <w:link w:val="451"/>
    <w:qFormat/>
    <w:uiPriority w:val="0"/>
    <w:pPr>
      <w:spacing w:line="360" w:lineRule="auto"/>
      <w:ind w:firstLine="480" w:firstLineChars="200"/>
    </w:pPr>
    <w:rPr>
      <w:rFonts w:ascii="宋体" w:hAnsi="宋体"/>
      <w:kern w:val="0"/>
      <w:sz w:val="24"/>
      <w:szCs w:val="24"/>
    </w:rPr>
  </w:style>
  <w:style w:type="character" w:customStyle="1" w:styleId="451">
    <w:name w:val="l正文 Char"/>
    <w:link w:val="450"/>
    <w:qFormat/>
    <w:uiPriority w:val="0"/>
    <w:rPr>
      <w:rFonts w:ascii="宋体" w:hAnsi="宋体" w:eastAsia="宋体" w:cs="Times New Roman"/>
      <w:sz w:val="24"/>
      <w:szCs w:val="24"/>
    </w:rPr>
  </w:style>
  <w:style w:type="character" w:customStyle="1" w:styleId="452">
    <w:name w:val="ca-01"/>
    <w:qFormat/>
    <w:uiPriority w:val="0"/>
    <w:rPr>
      <w:rFonts w:hint="eastAsia" w:ascii="宋体" w:hAnsi="宋体" w:eastAsia="宋体" w:cs="Times New Roman"/>
      <w:sz w:val="21"/>
      <w:szCs w:val="21"/>
    </w:rPr>
  </w:style>
  <w:style w:type="character" w:customStyle="1" w:styleId="453">
    <w:name w:val="Char32"/>
    <w:autoRedefine/>
    <w:qFormat/>
    <w:uiPriority w:val="0"/>
    <w:rPr>
      <w:rFonts w:ascii="Times New Roman" w:hAnsi="Times New Roman" w:eastAsia="宋体" w:cs="Times New Roman"/>
      <w:sz w:val="21"/>
      <w:lang w:val="en-US" w:eastAsia="en-US" w:bidi="ar-SA"/>
    </w:rPr>
  </w:style>
  <w:style w:type="character" w:customStyle="1" w:styleId="454">
    <w:name w:val="产品手册标题 Char"/>
    <w:qFormat/>
    <w:uiPriority w:val="0"/>
    <w:rPr>
      <w:rFonts w:ascii="宋体" w:hAnsi="宋体" w:eastAsia="宋体" w:cs="Times New Roman"/>
      <w:kern w:val="2"/>
      <w:sz w:val="24"/>
      <w:szCs w:val="24"/>
      <w:lang w:val="en-US" w:eastAsia="zh-CN" w:bidi="ar-SA"/>
    </w:rPr>
  </w:style>
  <w:style w:type="character" w:customStyle="1" w:styleId="455">
    <w:name w:val="批注文字 Char1"/>
    <w:qFormat/>
    <w:uiPriority w:val="0"/>
    <w:rPr>
      <w:rFonts w:ascii="Times New Roman" w:hAnsi="Times New Roman" w:eastAsia="宋体" w:cs="Times New Roman"/>
      <w:kern w:val="2"/>
      <w:sz w:val="21"/>
      <w:szCs w:val="21"/>
    </w:rPr>
  </w:style>
  <w:style w:type="character" w:customStyle="1" w:styleId="456">
    <w:name w:val="H2 Char1"/>
    <w:qFormat/>
    <w:uiPriority w:val="0"/>
    <w:rPr>
      <w:rFonts w:ascii="Tahoma" w:hAnsi="Tahoma" w:eastAsia="黑体" w:cs="Times New Roman"/>
      <w:b/>
      <w:bCs/>
      <w:color w:val="0000FF"/>
      <w:kern w:val="2"/>
      <w:sz w:val="32"/>
      <w:szCs w:val="32"/>
      <w:lang w:val="en-US" w:eastAsia="zh-CN" w:bidi="ar-SA"/>
    </w:rPr>
  </w:style>
  <w:style w:type="character" w:customStyle="1" w:styleId="457">
    <w:name w:val="neirong"/>
    <w:qFormat/>
    <w:uiPriority w:val="0"/>
    <w:rPr>
      <w:rFonts w:ascii="Times New Roman" w:hAnsi="Times New Roman" w:eastAsia="宋体" w:cs="Times New Roman"/>
    </w:rPr>
  </w:style>
  <w:style w:type="paragraph" w:customStyle="1" w:styleId="458">
    <w:name w:val="456"/>
    <w:basedOn w:val="1"/>
    <w:link w:val="459"/>
    <w:qFormat/>
    <w:uiPriority w:val="0"/>
    <w:pPr>
      <w:spacing w:line="360" w:lineRule="auto"/>
      <w:ind w:firstLine="480" w:firstLineChars="200"/>
    </w:pPr>
    <w:rPr>
      <w:rFonts w:ascii="宋体" w:hAnsi="宋体"/>
      <w:kern w:val="0"/>
      <w:sz w:val="20"/>
    </w:rPr>
  </w:style>
  <w:style w:type="character" w:customStyle="1" w:styleId="459">
    <w:name w:val="456 Char"/>
    <w:link w:val="458"/>
    <w:qFormat/>
    <w:uiPriority w:val="0"/>
    <w:rPr>
      <w:rFonts w:ascii="宋体" w:hAnsi="宋体" w:eastAsia="宋体" w:cs="Times New Roman"/>
    </w:rPr>
  </w:style>
  <w:style w:type="character" w:customStyle="1" w:styleId="460">
    <w:name w:val="txt-red1"/>
    <w:qFormat/>
    <w:uiPriority w:val="0"/>
    <w:rPr>
      <w:rFonts w:ascii="Times New Roman" w:hAnsi="Times New Roman" w:eastAsia="宋体" w:cs="Times New Roman"/>
      <w:color w:val="CC0000"/>
    </w:rPr>
  </w:style>
  <w:style w:type="character" w:customStyle="1" w:styleId="461">
    <w:name w:val="font13-131"/>
    <w:qFormat/>
    <w:uiPriority w:val="0"/>
    <w:rPr>
      <w:rFonts w:ascii="Times New Roman" w:hAnsi="Times New Roman" w:eastAsia="宋体" w:cs="Times New Roman"/>
      <w:color w:val="494949"/>
      <w:sz w:val="26"/>
      <w:szCs w:val="26"/>
      <w:u w:val="none"/>
    </w:rPr>
  </w:style>
  <w:style w:type="paragraph" w:customStyle="1" w:styleId="462">
    <w:name w:val="Figure Description Char"/>
    <w:basedOn w:val="1"/>
    <w:link w:val="463"/>
    <w:qFormat/>
    <w:uiPriority w:val="0"/>
    <w:pPr>
      <w:ind w:left="1701"/>
    </w:pPr>
    <w:rPr>
      <w:kern w:val="0"/>
      <w:sz w:val="20"/>
    </w:rPr>
  </w:style>
  <w:style w:type="character" w:customStyle="1" w:styleId="463">
    <w:name w:val="Figure Description Char Char"/>
    <w:link w:val="462"/>
    <w:qFormat/>
    <w:uiPriority w:val="0"/>
    <w:rPr>
      <w:rFonts w:ascii="Times New Roman" w:hAnsi="Times New Roman" w:eastAsia="宋体" w:cs="Times New Roman"/>
    </w:rPr>
  </w:style>
  <w:style w:type="character" w:customStyle="1" w:styleId="464">
    <w:name w:val="font151"/>
    <w:qFormat/>
    <w:uiPriority w:val="0"/>
    <w:rPr>
      <w:rFonts w:hint="eastAsia" w:ascii="宋体" w:hAnsi="宋体" w:eastAsia="宋体" w:cs="宋体"/>
      <w:color w:val="FF0000"/>
      <w:sz w:val="22"/>
      <w:szCs w:val="22"/>
      <w:u w:val="none"/>
    </w:rPr>
  </w:style>
  <w:style w:type="paragraph" w:customStyle="1" w:styleId="465">
    <w:name w:val="正文mtc"/>
    <w:basedOn w:val="1"/>
    <w:link w:val="466"/>
    <w:qFormat/>
    <w:uiPriority w:val="0"/>
    <w:pPr>
      <w:spacing w:line="500" w:lineRule="exact"/>
      <w:ind w:left="75" w:leftChars="75" w:right="238" w:firstLine="482" w:firstLineChars="200"/>
    </w:pPr>
    <w:rPr>
      <w:rFonts w:ascii="宋体" w:hAnsi="宋体"/>
      <w:sz w:val="24"/>
      <w:szCs w:val="24"/>
    </w:rPr>
  </w:style>
  <w:style w:type="character" w:customStyle="1" w:styleId="466">
    <w:name w:val="正文mtc Char"/>
    <w:link w:val="465"/>
    <w:qFormat/>
    <w:uiPriority w:val="0"/>
    <w:rPr>
      <w:rFonts w:ascii="宋体" w:hAnsi="宋体" w:eastAsia="宋体" w:cs="Times New Roman"/>
      <w:kern w:val="2"/>
      <w:sz w:val="24"/>
      <w:szCs w:val="24"/>
    </w:rPr>
  </w:style>
  <w:style w:type="character" w:customStyle="1" w:styleId="467">
    <w:name w:val="info4"/>
    <w:qFormat/>
    <w:uiPriority w:val="0"/>
    <w:rPr>
      <w:rFonts w:ascii="Times New Roman" w:hAnsi="Times New Roman" w:eastAsia="宋体" w:cs="Times New Roman"/>
    </w:rPr>
  </w:style>
  <w:style w:type="character" w:customStyle="1" w:styleId="468">
    <w:name w:val="正文（标记） Char"/>
    <w:qFormat/>
    <w:uiPriority w:val="0"/>
    <w:rPr>
      <w:rFonts w:ascii="Times New Roman" w:hAnsi="Times New Roman" w:eastAsia="宋体" w:cs="Times New Roman"/>
      <w:kern w:val="2"/>
      <w:sz w:val="24"/>
      <w:szCs w:val="24"/>
      <w:lang w:val="en-US" w:eastAsia="zh-CN" w:bidi="ar-SA"/>
    </w:rPr>
  </w:style>
  <w:style w:type="character" w:customStyle="1" w:styleId="469">
    <w:name w:val="Char Char53"/>
    <w:qFormat/>
    <w:uiPriority w:val="0"/>
    <w:rPr>
      <w:rFonts w:ascii="Cambria" w:hAnsi="Cambria" w:eastAsia="宋体" w:cs="Times New Roman"/>
      <w:b/>
      <w:bCs/>
      <w:sz w:val="28"/>
      <w:szCs w:val="28"/>
    </w:rPr>
  </w:style>
  <w:style w:type="character" w:customStyle="1" w:styleId="470">
    <w:name w:val="12word1"/>
    <w:qFormat/>
    <w:uiPriority w:val="0"/>
    <w:rPr>
      <w:rFonts w:ascii="Tahoma" w:hAnsi="Tahoma" w:eastAsia="宋体" w:cs="Times New Roman"/>
      <w:kern w:val="2"/>
      <w:sz w:val="18"/>
      <w:szCs w:val="18"/>
      <w:lang w:val="en-US" w:eastAsia="zh-CN" w:bidi="ar-SA"/>
    </w:rPr>
  </w:style>
  <w:style w:type="character" w:customStyle="1" w:styleId="471">
    <w:name w:val="hei1"/>
    <w:qFormat/>
    <w:uiPriority w:val="0"/>
    <w:rPr>
      <w:rFonts w:ascii="Times New Roman" w:hAnsi="Times New Roman" w:eastAsia="宋体" w:cs="Times New Roman"/>
      <w:sz w:val="22"/>
      <w:szCs w:val="22"/>
    </w:rPr>
  </w:style>
  <w:style w:type="paragraph" w:customStyle="1" w:styleId="472">
    <w:name w:val="lb标题 1"/>
    <w:basedOn w:val="3"/>
    <w:link w:val="473"/>
    <w:qFormat/>
    <w:uiPriority w:val="0"/>
    <w:pPr>
      <w:keepLines/>
      <w:pBdr>
        <w:bottom w:val="threeDEmboss" w:color="auto" w:sz="24" w:space="1"/>
      </w:pBdr>
      <w:tabs>
        <w:tab w:val="left" w:pos="1341"/>
      </w:tabs>
      <w:spacing w:line="578" w:lineRule="auto"/>
    </w:pPr>
    <w:rPr>
      <w:rFonts w:ascii="宋体" w:hAnsi="宋体" w:eastAsia="黑体"/>
      <w:b w:val="0"/>
      <w:bCs/>
      <w:kern w:val="44"/>
      <w:szCs w:val="36"/>
    </w:rPr>
  </w:style>
  <w:style w:type="character" w:customStyle="1" w:styleId="473">
    <w:name w:val="lb标题 1 Char"/>
    <w:link w:val="472"/>
    <w:qFormat/>
    <w:uiPriority w:val="0"/>
    <w:rPr>
      <w:rFonts w:ascii="宋体" w:hAnsi="宋体" w:eastAsia="黑体" w:cs="Times New Roman"/>
      <w:bCs/>
      <w:kern w:val="44"/>
      <w:sz w:val="32"/>
      <w:szCs w:val="36"/>
    </w:rPr>
  </w:style>
  <w:style w:type="paragraph" w:customStyle="1" w:styleId="474">
    <w:name w:val="13"/>
    <w:link w:val="475"/>
    <w:qFormat/>
    <w:uiPriority w:val="0"/>
    <w:pPr>
      <w:numPr>
        <w:ilvl w:val="2"/>
        <w:numId w:val="17"/>
      </w:numPr>
      <w:tabs>
        <w:tab w:val="left" w:pos="360"/>
        <w:tab w:val="left" w:pos="1468"/>
      </w:tabs>
      <w:ind w:left="1468" w:hanging="900"/>
      <w:outlineLvl w:val="2"/>
    </w:pPr>
    <w:rPr>
      <w:rFonts w:ascii="Times New Roman" w:hAnsi="Times New Roman" w:eastAsia="宋体" w:cs="Times New Roman"/>
      <w:sz w:val="28"/>
      <w:lang w:val="en-US" w:eastAsia="zh-CN" w:bidi="ar-SA"/>
    </w:rPr>
  </w:style>
  <w:style w:type="character" w:customStyle="1" w:styleId="475">
    <w:name w:val="13 Char"/>
    <w:link w:val="474"/>
    <w:qFormat/>
    <w:uiPriority w:val="0"/>
    <w:rPr>
      <w:rFonts w:ascii="黑体" w:hAnsi="黑体" w:eastAsia="黑体" w:cs="Times New Roman"/>
      <w:b/>
      <w:kern w:val="2"/>
      <w:sz w:val="28"/>
      <w:szCs w:val="32"/>
    </w:rPr>
  </w:style>
  <w:style w:type="paragraph" w:customStyle="1" w:styleId="476">
    <w:name w:val="样式 样式 正文 + 四号"/>
    <w:basedOn w:val="1"/>
    <w:link w:val="477"/>
    <w:qFormat/>
    <w:uiPriority w:val="0"/>
    <w:pPr>
      <w:adjustRightInd w:val="0"/>
      <w:spacing w:line="460" w:lineRule="exact"/>
      <w:ind w:left="720" w:right="240" w:rightChars="100"/>
      <w:jc w:val="left"/>
    </w:pPr>
    <w:rPr>
      <w:rFonts w:ascii="宋体" w:hAnsi="宋体" w:eastAsia="方正仿宋简体" w:cs="宋体"/>
      <w:color w:val="000000"/>
      <w:sz w:val="28"/>
    </w:rPr>
  </w:style>
  <w:style w:type="character" w:customStyle="1" w:styleId="477">
    <w:name w:val="样式 样式 正文 + 四号 Char"/>
    <w:link w:val="476"/>
    <w:qFormat/>
    <w:uiPriority w:val="0"/>
    <w:rPr>
      <w:rFonts w:ascii="宋体" w:hAnsi="宋体" w:eastAsia="方正仿宋简体" w:cs="宋体"/>
      <w:color w:val="000000"/>
      <w:kern w:val="2"/>
      <w:sz w:val="28"/>
    </w:rPr>
  </w:style>
  <w:style w:type="character" w:customStyle="1" w:styleId="478">
    <w:name w:val="pt1"/>
    <w:qFormat/>
    <w:uiPriority w:val="0"/>
    <w:rPr>
      <w:rFonts w:ascii="Times New Roman" w:hAnsi="Times New Roman" w:eastAsia="宋体" w:cs="Times New Roman"/>
      <w:sz w:val="18"/>
      <w:szCs w:val="18"/>
    </w:rPr>
  </w:style>
  <w:style w:type="character" w:customStyle="1" w:styleId="479">
    <w:name w:val="Char Char181"/>
    <w:qFormat/>
    <w:uiPriority w:val="0"/>
    <w:rPr>
      <w:rFonts w:ascii="Tahoma" w:hAnsi="Tahoma" w:eastAsia="黑体" w:cs="Times New Roman"/>
      <w:bCs/>
      <w:kern w:val="2"/>
      <w:sz w:val="24"/>
      <w:szCs w:val="24"/>
      <w:lang w:val="en-US" w:eastAsia="zh-CN" w:bidi="ar-SA"/>
    </w:rPr>
  </w:style>
  <w:style w:type="paragraph" w:customStyle="1" w:styleId="480">
    <w:name w:val="正文（标记） Char Char"/>
    <w:basedOn w:val="1"/>
    <w:link w:val="481"/>
    <w:qFormat/>
    <w:uiPriority w:val="0"/>
    <w:pPr>
      <w:numPr>
        <w:ilvl w:val="0"/>
        <w:numId w:val="18"/>
      </w:numPr>
      <w:spacing w:beforeLines="50" w:afterLines="50" w:line="360" w:lineRule="auto"/>
      <w:ind w:firstLine="0"/>
    </w:pPr>
    <w:rPr>
      <w:sz w:val="24"/>
      <w:szCs w:val="24"/>
    </w:rPr>
  </w:style>
  <w:style w:type="character" w:customStyle="1" w:styleId="481">
    <w:name w:val="正文（标记） Char Char Char"/>
    <w:link w:val="480"/>
    <w:qFormat/>
    <w:uiPriority w:val="0"/>
    <w:rPr>
      <w:rFonts w:ascii="Times New Roman" w:hAnsi="Times New Roman" w:eastAsia="宋体" w:cs="Times New Roman"/>
      <w:kern w:val="2"/>
      <w:sz w:val="24"/>
      <w:szCs w:val="24"/>
    </w:rPr>
  </w:style>
  <w:style w:type="character" w:customStyle="1" w:styleId="482">
    <w:name w:val="ccc"/>
    <w:qFormat/>
    <w:uiPriority w:val="0"/>
    <w:rPr>
      <w:rFonts w:hint="default" w:ascii="Arial" w:hAnsi="Arial" w:eastAsia="宋体" w:cs="Arial"/>
      <w:sz w:val="20"/>
      <w:szCs w:val="20"/>
    </w:rPr>
  </w:style>
  <w:style w:type="paragraph" w:styleId="483">
    <w:name w:val="No Spacing"/>
    <w:link w:val="484"/>
    <w:qFormat/>
    <w:uiPriority w:val="0"/>
    <w:rPr>
      <w:rFonts w:ascii="Calibri" w:hAnsi="Calibri" w:eastAsia="宋体" w:cs="Times New Roman"/>
      <w:lang w:val="en-US" w:eastAsia="zh-CN" w:bidi="ar-SA"/>
    </w:rPr>
  </w:style>
  <w:style w:type="character" w:customStyle="1" w:styleId="484">
    <w:name w:val="无间隔 Char"/>
    <w:link w:val="483"/>
    <w:autoRedefine/>
    <w:qFormat/>
    <w:uiPriority w:val="0"/>
    <w:rPr>
      <w:rFonts w:ascii="Calibri" w:hAnsi="Calibri" w:eastAsia="宋体" w:cs="Times New Roman"/>
    </w:rPr>
  </w:style>
  <w:style w:type="character" w:customStyle="1" w:styleId="485">
    <w:name w:val="正文首行缩进 Char Char Char Char Char Char Char Char Char1 Char Char Char Char Char Char Char Char Char Char Char Char Char"/>
    <w:qFormat/>
    <w:uiPriority w:val="0"/>
    <w:rPr>
      <w:rFonts w:ascii="Times New Roman" w:hAnsi="Times New Roman" w:eastAsia="宋体" w:cs="Times New Roman"/>
      <w:sz w:val="21"/>
      <w:szCs w:val="21"/>
      <w:lang w:val="en-US" w:eastAsia="zh-CN" w:bidi="ar-SA"/>
    </w:rPr>
  </w:style>
  <w:style w:type="paragraph" w:customStyle="1" w:styleId="486">
    <w:name w:val="正文黑体项目编号"/>
    <w:basedOn w:val="1"/>
    <w:link w:val="487"/>
    <w:qFormat/>
    <w:uiPriority w:val="0"/>
    <w:pPr>
      <w:numPr>
        <w:ilvl w:val="0"/>
        <w:numId w:val="19"/>
      </w:numPr>
      <w:tabs>
        <w:tab w:val="left" w:pos="360"/>
        <w:tab w:val="clear" w:pos="902"/>
      </w:tabs>
      <w:spacing w:beforeLines="50" w:afterLines="50" w:line="360" w:lineRule="auto"/>
      <w:ind w:left="620" w:leftChars="200" w:right="200" w:rightChars="200" w:firstLine="0"/>
    </w:pPr>
    <w:rPr>
      <w:b/>
      <w:sz w:val="24"/>
      <w:szCs w:val="24"/>
    </w:rPr>
  </w:style>
  <w:style w:type="character" w:customStyle="1" w:styleId="487">
    <w:name w:val="正文黑体项目编号 Char Char"/>
    <w:link w:val="486"/>
    <w:qFormat/>
    <w:uiPriority w:val="0"/>
    <w:rPr>
      <w:rFonts w:ascii="Times New Roman" w:hAnsi="Times New Roman" w:eastAsia="宋体" w:cs="Times New Roman"/>
      <w:b/>
      <w:kern w:val="2"/>
      <w:sz w:val="24"/>
      <w:szCs w:val="24"/>
    </w:rPr>
  </w:style>
  <w:style w:type="character" w:customStyle="1" w:styleId="488">
    <w:name w:val="正文（缩进） Char Char Char"/>
    <w:qFormat/>
    <w:uiPriority w:val="0"/>
    <w:rPr>
      <w:rFonts w:ascii="Times New Roman" w:hAnsi="Times New Roman" w:eastAsia="宋体" w:cs="Times New Roman"/>
      <w:kern w:val="2"/>
      <w:sz w:val="24"/>
      <w:szCs w:val="24"/>
      <w:lang w:val="en-US" w:eastAsia="zh-CN" w:bidi="ar-SA"/>
    </w:rPr>
  </w:style>
  <w:style w:type="character" w:customStyle="1" w:styleId="489">
    <w:name w:val="en1"/>
    <w:autoRedefine/>
    <w:qFormat/>
    <w:uiPriority w:val="0"/>
    <w:rPr>
      <w:rFonts w:hint="default" w:ascii="Verdana" w:hAnsi="Verdana" w:eastAsia="宋体" w:cs="Times New Roman"/>
    </w:rPr>
  </w:style>
  <w:style w:type="character" w:customStyle="1" w:styleId="490">
    <w:name w:val="style101"/>
    <w:qFormat/>
    <w:uiPriority w:val="0"/>
    <w:rPr>
      <w:rFonts w:ascii="Times New Roman" w:hAnsi="Times New Roman" w:eastAsia="宋体" w:cs="Times New Roman"/>
      <w:b/>
      <w:bCs/>
      <w:color w:val="CE0000"/>
      <w:sz w:val="21"/>
      <w:szCs w:val="21"/>
    </w:rPr>
  </w:style>
  <w:style w:type="character" w:customStyle="1" w:styleId="491">
    <w:name w:val="标题 Char2"/>
    <w:qFormat/>
    <w:uiPriority w:val="0"/>
    <w:rPr>
      <w:rFonts w:ascii="Times New Roman" w:hAnsi="Times New Roman" w:eastAsia="黑体" w:cs="Times New Roman"/>
      <w:b/>
      <w:bCs/>
      <w:sz w:val="84"/>
      <w:szCs w:val="24"/>
    </w:rPr>
  </w:style>
  <w:style w:type="character" w:customStyle="1" w:styleId="492">
    <w:name w:val="ldhtext"/>
    <w:qFormat/>
    <w:uiPriority w:val="0"/>
    <w:rPr>
      <w:rFonts w:ascii="Times New Roman" w:hAnsi="Times New Roman" w:eastAsia="宋体" w:cs="Times New Roman"/>
      <w:kern w:val="2"/>
      <w:sz w:val="24"/>
      <w:szCs w:val="24"/>
      <w:lang w:val="en-US" w:eastAsia="zh-CN" w:bidi="ar-SA"/>
    </w:rPr>
  </w:style>
  <w:style w:type="character" w:customStyle="1" w:styleId="493">
    <w:name w:val="marklong"/>
    <w:qFormat/>
    <w:uiPriority w:val="0"/>
    <w:rPr>
      <w:rFonts w:ascii="Times New Roman" w:hAnsi="Times New Roman" w:eastAsia="宋体" w:cs="Times New Roman"/>
    </w:rPr>
  </w:style>
  <w:style w:type="character" w:customStyle="1" w:styleId="494">
    <w:name w:val="blacktext"/>
    <w:qFormat/>
    <w:uiPriority w:val="0"/>
    <w:rPr>
      <w:rFonts w:ascii="Times New Roman" w:hAnsi="Times New Roman" w:eastAsia="宋体" w:cs="Times New Roman"/>
    </w:rPr>
  </w:style>
  <w:style w:type="paragraph" w:customStyle="1" w:styleId="495">
    <w:name w:val="方框标题"/>
    <w:basedOn w:val="1"/>
    <w:next w:val="1"/>
    <w:link w:val="496"/>
    <w:qFormat/>
    <w:uiPriority w:val="0"/>
    <w:pPr>
      <w:numPr>
        <w:ilvl w:val="0"/>
        <w:numId w:val="20"/>
      </w:numPr>
      <w:autoSpaceDE w:val="0"/>
      <w:autoSpaceDN w:val="0"/>
      <w:spacing w:line="360" w:lineRule="auto"/>
      <w:ind w:firstLine="0"/>
    </w:pPr>
    <w:rPr>
      <w:rFonts w:eastAsia="黑体"/>
      <w:szCs w:val="24"/>
    </w:rPr>
  </w:style>
  <w:style w:type="character" w:customStyle="1" w:styleId="496">
    <w:name w:val="方框标题 Char"/>
    <w:link w:val="495"/>
    <w:qFormat/>
    <w:uiPriority w:val="0"/>
    <w:rPr>
      <w:rFonts w:ascii="Times New Roman" w:hAnsi="Times New Roman" w:eastAsia="黑体" w:cs="Times New Roman"/>
      <w:kern w:val="2"/>
      <w:sz w:val="21"/>
      <w:szCs w:val="24"/>
    </w:rPr>
  </w:style>
  <w:style w:type="character" w:customStyle="1" w:styleId="497">
    <w:name w:val="正文文本缩进 2 Char"/>
    <w:qFormat/>
    <w:uiPriority w:val="0"/>
    <w:rPr>
      <w:rFonts w:ascii="Times New Roman" w:hAnsi="Times New Roman" w:eastAsia="宋体" w:cs="Times New Roman"/>
      <w:sz w:val="24"/>
      <w:szCs w:val="24"/>
    </w:rPr>
  </w:style>
  <w:style w:type="character" w:customStyle="1" w:styleId="498">
    <w:name w:val="Char82"/>
    <w:qFormat/>
    <w:uiPriority w:val="0"/>
    <w:rPr>
      <w:rFonts w:ascii="Arial" w:hAnsi="Arial" w:eastAsia="黑体" w:cs="Times New Roman"/>
      <w:sz w:val="44"/>
      <w:lang w:val="en-US" w:eastAsia="en-US" w:bidi="ar-SA"/>
    </w:rPr>
  </w:style>
  <w:style w:type="paragraph" w:customStyle="1" w:styleId="499">
    <w:name w:val="方案正文 Char Char Char"/>
    <w:basedOn w:val="33"/>
    <w:link w:val="500"/>
    <w:qFormat/>
    <w:uiPriority w:val="0"/>
    <w:pPr>
      <w:spacing w:afterLines="50" w:line="360" w:lineRule="auto"/>
      <w:ind w:firstLine="480"/>
    </w:pPr>
    <w:rPr>
      <w:rFonts w:ascii="宋体" w:hAnsi="宋体" w:cs="宋体"/>
    </w:rPr>
  </w:style>
  <w:style w:type="character" w:customStyle="1" w:styleId="500">
    <w:name w:val="方案正文 Char Char Char Char"/>
    <w:link w:val="499"/>
    <w:qFormat/>
    <w:uiPriority w:val="0"/>
    <w:rPr>
      <w:rFonts w:ascii="宋体" w:hAnsi="宋体" w:eastAsia="宋体" w:cs="宋体"/>
      <w:kern w:val="2"/>
      <w:sz w:val="24"/>
    </w:rPr>
  </w:style>
  <w:style w:type="character" w:customStyle="1" w:styleId="501">
    <w:name w:val="书籍标题1"/>
    <w:qFormat/>
    <w:uiPriority w:val="0"/>
    <w:rPr>
      <w:rFonts w:ascii="Times New Roman" w:hAnsi="Times New Roman" w:eastAsia="宋体" w:cs="Times New Roman"/>
      <w:b/>
      <w:bCs/>
      <w:smallCaps/>
      <w:spacing w:val="5"/>
    </w:rPr>
  </w:style>
  <w:style w:type="character" w:customStyle="1" w:styleId="502">
    <w:name w:val="apple-converted-space"/>
    <w:qFormat/>
    <w:uiPriority w:val="0"/>
    <w:rPr>
      <w:rFonts w:ascii="Times New Roman" w:hAnsi="Times New Roman" w:eastAsia="宋体" w:cs="Times New Roman"/>
    </w:rPr>
  </w:style>
  <w:style w:type="character" w:customStyle="1" w:styleId="503">
    <w:name w:val="rh111 Char"/>
    <w:qFormat/>
    <w:uiPriority w:val="0"/>
    <w:rPr>
      <w:rFonts w:ascii="Times New Roman" w:hAnsi="Times New Roman" w:eastAsia="黑体" w:cs="Times New Roman"/>
      <w:bCs/>
      <w:kern w:val="2"/>
      <w:sz w:val="28"/>
      <w:szCs w:val="28"/>
      <w:lang w:val="en-US" w:eastAsia="zh-CN" w:bidi="ar-SA"/>
    </w:rPr>
  </w:style>
  <w:style w:type="character" w:customStyle="1" w:styleId="504">
    <w:name w:val="正文（缩进） Char Char1"/>
    <w:qFormat/>
    <w:uiPriority w:val="0"/>
    <w:rPr>
      <w:rFonts w:ascii="Times New Roman" w:hAnsi="Times New Roman" w:eastAsia="宋体" w:cs="Times New Roman"/>
      <w:kern w:val="2"/>
      <w:sz w:val="24"/>
      <w:szCs w:val="24"/>
      <w:lang w:val="en-US" w:eastAsia="zh-CN" w:bidi="ar-SA"/>
    </w:rPr>
  </w:style>
  <w:style w:type="character" w:customStyle="1" w:styleId="505">
    <w:name w:val="标题 1 Char2"/>
    <w:qFormat/>
    <w:uiPriority w:val="0"/>
    <w:rPr>
      <w:rFonts w:ascii="Times New Roman" w:hAnsi="Times New Roman" w:eastAsia="黑体" w:cs="Times New Roman"/>
      <w:b/>
      <w:bCs/>
      <w:kern w:val="44"/>
      <w:sz w:val="36"/>
      <w:szCs w:val="44"/>
    </w:rPr>
  </w:style>
  <w:style w:type="character" w:customStyle="1" w:styleId="506">
    <w:name w:val="p14"/>
    <w:qFormat/>
    <w:uiPriority w:val="0"/>
    <w:rPr>
      <w:rFonts w:ascii="Times New Roman" w:hAnsi="Times New Roman" w:eastAsia="宋体" w:cs="Times New Roman"/>
    </w:rPr>
  </w:style>
  <w:style w:type="character" w:customStyle="1" w:styleId="507">
    <w:name w:val="Char Char19"/>
    <w:qFormat/>
    <w:uiPriority w:val="0"/>
    <w:rPr>
      <w:rFonts w:ascii="Tahoma" w:hAnsi="Tahoma" w:eastAsia="宋体" w:cs="Times New Roman"/>
      <w:b/>
      <w:bCs/>
      <w:kern w:val="2"/>
      <w:sz w:val="28"/>
      <w:szCs w:val="28"/>
      <w:lang w:val="en-US" w:eastAsia="zh-CN" w:bidi="ar-SA"/>
    </w:rPr>
  </w:style>
  <w:style w:type="paragraph" w:customStyle="1" w:styleId="508">
    <w:name w:val="样式 正文缩进 + 首行缩进:  2 字符"/>
    <w:basedOn w:val="5"/>
    <w:link w:val="509"/>
    <w:qFormat/>
    <w:uiPriority w:val="0"/>
    <w:pPr>
      <w:spacing w:line="360" w:lineRule="auto"/>
      <w:ind w:firstLine="200"/>
    </w:pPr>
    <w:rPr>
      <w:kern w:val="0"/>
      <w:sz w:val="24"/>
      <w:szCs w:val="20"/>
    </w:rPr>
  </w:style>
  <w:style w:type="character" w:customStyle="1" w:styleId="509">
    <w:name w:val="样式 正文缩进 + 首行缩进:  2 字符 Char"/>
    <w:link w:val="508"/>
    <w:qFormat/>
    <w:uiPriority w:val="0"/>
    <w:rPr>
      <w:rFonts w:ascii="Times New Roman" w:hAnsi="Times New Roman" w:eastAsia="宋体" w:cs="Times New Roman"/>
      <w:sz w:val="24"/>
    </w:rPr>
  </w:style>
  <w:style w:type="character" w:customStyle="1" w:styleId="510">
    <w:name w:val="style591"/>
    <w:qFormat/>
    <w:uiPriority w:val="0"/>
    <w:rPr>
      <w:rFonts w:ascii="Times New Roman" w:hAnsi="Times New Roman" w:eastAsia="宋体" w:cs="Times New Roman"/>
      <w:color w:val="666666"/>
    </w:rPr>
  </w:style>
  <w:style w:type="paragraph" w:customStyle="1" w:styleId="511">
    <w:name w:val="表格文本"/>
    <w:basedOn w:val="1"/>
    <w:link w:val="512"/>
    <w:qFormat/>
    <w:uiPriority w:val="0"/>
    <w:pPr>
      <w:tabs>
        <w:tab w:val="decimal" w:pos="0"/>
      </w:tabs>
      <w:autoSpaceDE w:val="0"/>
      <w:autoSpaceDN w:val="0"/>
      <w:spacing w:line="360" w:lineRule="auto"/>
      <w:ind w:firstLine="200" w:firstLineChars="200"/>
      <w:jc w:val="left"/>
    </w:pPr>
    <w:rPr>
      <w:kern w:val="0"/>
      <w:sz w:val="24"/>
      <w:szCs w:val="24"/>
    </w:rPr>
  </w:style>
  <w:style w:type="character" w:customStyle="1" w:styleId="512">
    <w:name w:val="表格文本 Char"/>
    <w:link w:val="511"/>
    <w:qFormat/>
    <w:uiPriority w:val="0"/>
    <w:rPr>
      <w:rFonts w:ascii="Times New Roman" w:hAnsi="Times New Roman" w:eastAsia="宋体" w:cs="Times New Roman"/>
      <w:sz w:val="24"/>
      <w:szCs w:val="24"/>
    </w:rPr>
  </w:style>
  <w:style w:type="character" w:customStyle="1" w:styleId="513">
    <w:name w:val="Heading 4 Char"/>
    <w:qFormat/>
    <w:uiPriority w:val="0"/>
    <w:rPr>
      <w:rFonts w:ascii="Times New Roman" w:hAnsi="Times New Roman" w:eastAsia="黑体" w:cs="Times New Roman"/>
      <w:bCs/>
      <w:kern w:val="2"/>
      <w:sz w:val="28"/>
      <w:szCs w:val="28"/>
      <w:lang w:val="en-US" w:eastAsia="zh-CN" w:bidi="ar-SA"/>
    </w:rPr>
  </w:style>
  <w:style w:type="paragraph" w:customStyle="1" w:styleId="514">
    <w:name w:val="图片标题"/>
    <w:basedOn w:val="1"/>
    <w:next w:val="22"/>
    <w:link w:val="515"/>
    <w:qFormat/>
    <w:uiPriority w:val="0"/>
    <w:pPr>
      <w:numPr>
        <w:ilvl w:val="0"/>
        <w:numId w:val="21"/>
      </w:numPr>
      <w:spacing w:line="360" w:lineRule="auto"/>
      <w:ind w:left="0" w:firstLine="0"/>
      <w:jc w:val="center"/>
    </w:pPr>
    <w:rPr>
      <w:rFonts w:ascii="宋体" w:hAnsi="宋体" w:eastAsia="黑体"/>
      <w:sz w:val="24"/>
      <w:szCs w:val="21"/>
    </w:rPr>
  </w:style>
  <w:style w:type="character" w:customStyle="1" w:styleId="515">
    <w:name w:val="图片标题 Char"/>
    <w:link w:val="514"/>
    <w:qFormat/>
    <w:uiPriority w:val="0"/>
    <w:rPr>
      <w:rFonts w:ascii="宋体" w:hAnsi="宋体" w:eastAsia="黑体" w:cs="Times New Roman"/>
      <w:kern w:val="2"/>
      <w:sz w:val="24"/>
      <w:szCs w:val="21"/>
    </w:rPr>
  </w:style>
  <w:style w:type="character" w:customStyle="1" w:styleId="516">
    <w:name w:val="hei16b1"/>
    <w:qFormat/>
    <w:uiPriority w:val="0"/>
    <w:rPr>
      <w:rFonts w:hint="default" w:ascii="Arial" w:hAnsi="Arial" w:eastAsia="宋体" w:cs="Arial"/>
      <w:b/>
      <w:bCs/>
      <w:color w:val="000000"/>
      <w:sz w:val="24"/>
      <w:szCs w:val="24"/>
    </w:rPr>
  </w:style>
  <w:style w:type="character" w:customStyle="1" w:styleId="517">
    <w:name w:val="标题 1 Char1"/>
    <w:qFormat/>
    <w:uiPriority w:val="0"/>
    <w:rPr>
      <w:rFonts w:ascii="黑体" w:hAnsi="Times New Roman" w:eastAsia="黑体" w:cs="Times New Roman"/>
      <w:bCs/>
      <w:kern w:val="44"/>
      <w:sz w:val="32"/>
      <w:szCs w:val="36"/>
      <w:lang w:val="en-US" w:eastAsia="zh-CN" w:bidi="ar-SA"/>
    </w:rPr>
  </w:style>
  <w:style w:type="character" w:customStyle="1" w:styleId="518">
    <w:name w:val="z-窗体底端 Char"/>
    <w:qFormat/>
    <w:uiPriority w:val="0"/>
    <w:rPr>
      <w:rFonts w:ascii="Arial" w:hAnsi="Arial" w:eastAsia="宋体" w:cs="Arial"/>
      <w:vanish/>
      <w:sz w:val="16"/>
      <w:szCs w:val="16"/>
    </w:rPr>
  </w:style>
  <w:style w:type="character" w:customStyle="1" w:styleId="519">
    <w:name w:val="标题 8 Char2"/>
    <w:qFormat/>
    <w:uiPriority w:val="0"/>
    <w:rPr>
      <w:rFonts w:ascii="等线 Light" w:hAnsi="等线 Light" w:eastAsia="黑体" w:cs="Times New Roman"/>
      <w:b/>
      <w:szCs w:val="24"/>
    </w:rPr>
  </w:style>
  <w:style w:type="character" w:customStyle="1" w:styleId="520">
    <w:name w:val="IndexiconIndexEntry"/>
    <w:qFormat/>
    <w:uiPriority w:val="0"/>
    <w:rPr>
      <w:rFonts w:ascii="Times New Roman" w:hAnsi="Times New Roman" w:eastAsia="宋体" w:cs="Times New Roman"/>
      <w:smallCaps/>
      <w:kern w:val="2"/>
      <w:sz w:val="20"/>
      <w:szCs w:val="20"/>
      <w:u w:val="none"/>
      <w:lang w:val="en-US" w:eastAsia="zh-CN" w:bidi="ar-SA"/>
    </w:rPr>
  </w:style>
  <w:style w:type="character" w:customStyle="1" w:styleId="521">
    <w:name w:val="unnamed1"/>
    <w:qFormat/>
    <w:uiPriority w:val="0"/>
    <w:rPr>
      <w:rFonts w:ascii="Times New Roman" w:hAnsi="Times New Roman" w:eastAsia="宋体" w:cs="Times New Roman"/>
    </w:rPr>
  </w:style>
  <w:style w:type="character" w:customStyle="1" w:styleId="522">
    <w:name w:val="glossaryitem"/>
    <w:qFormat/>
    <w:uiPriority w:val="0"/>
    <w:rPr>
      <w:rFonts w:ascii="Verdana" w:hAnsi="Verdana" w:eastAsia="宋体" w:cs="宋体"/>
      <w:sz w:val="44"/>
      <w:u w:val="none"/>
      <w:lang w:val="en-US" w:eastAsia="en-US" w:bidi="ar-SA"/>
    </w:rPr>
  </w:style>
  <w:style w:type="character" w:customStyle="1" w:styleId="523">
    <w:name w:val="huei12b1"/>
    <w:qFormat/>
    <w:uiPriority w:val="0"/>
    <w:rPr>
      <w:rFonts w:ascii="Times New Roman" w:hAnsi="Times New Roman" w:eastAsia="宋体" w:cs="Times New Roman"/>
      <w:b/>
      <w:bCs/>
      <w:color w:val="333333"/>
      <w:sz w:val="24"/>
      <w:szCs w:val="24"/>
    </w:rPr>
  </w:style>
  <w:style w:type="character" w:customStyle="1" w:styleId="524">
    <w:name w:val="pjb"/>
    <w:qFormat/>
    <w:uiPriority w:val="0"/>
    <w:rPr>
      <w:rFonts w:ascii="Verdana" w:hAnsi="Verdana" w:eastAsia="宋体" w:cs="宋体"/>
      <w:sz w:val="44"/>
      <w:lang w:val="en-US" w:eastAsia="en-US" w:bidi="ar-SA"/>
    </w:rPr>
  </w:style>
  <w:style w:type="character" w:customStyle="1" w:styleId="525">
    <w:name w:val="标题10 Char"/>
    <w:qFormat/>
    <w:uiPriority w:val="0"/>
    <w:rPr>
      <w:rFonts w:ascii="Tahoma" w:hAnsi="Tahoma" w:eastAsia="仿宋_GB2312" w:cs="Times New Roman"/>
      <w:kern w:val="2"/>
      <w:sz w:val="28"/>
      <w:szCs w:val="28"/>
      <w:lang w:val="en-US" w:eastAsia="zh-CN" w:bidi="ar-SA"/>
    </w:rPr>
  </w:style>
  <w:style w:type="paragraph" w:customStyle="1" w:styleId="526">
    <w:name w:val="标书正文格式 Char Char"/>
    <w:link w:val="527"/>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character" w:customStyle="1" w:styleId="527">
    <w:name w:val="标书正文格式 Char Char Char"/>
    <w:link w:val="526"/>
    <w:qFormat/>
    <w:uiPriority w:val="0"/>
    <w:rPr>
      <w:rFonts w:ascii="Times New Roman" w:hAnsi="Times New Roman" w:eastAsia="楷体_GB2312" w:cs="Times New Roman"/>
      <w:kern w:val="2"/>
      <w:sz w:val="24"/>
      <w:szCs w:val="24"/>
    </w:rPr>
  </w:style>
  <w:style w:type="character" w:customStyle="1" w:styleId="528">
    <w:name w:val="sony12"/>
    <w:qFormat/>
    <w:uiPriority w:val="0"/>
    <w:rPr>
      <w:rFonts w:ascii="Tahoma" w:hAnsi="Tahoma" w:eastAsia="宋体" w:cs="Times New Roman"/>
      <w:kern w:val="2"/>
      <w:sz w:val="24"/>
      <w:lang w:val="en-US" w:eastAsia="zh-CN" w:bidi="ar-SA"/>
    </w:rPr>
  </w:style>
  <w:style w:type="character" w:customStyle="1" w:styleId="529">
    <w:name w:val="f14"/>
    <w:qFormat/>
    <w:uiPriority w:val="0"/>
    <w:rPr>
      <w:rFonts w:ascii="Times New Roman" w:hAnsi="Times New Roman" w:eastAsia="宋体" w:cs="Times New Roman"/>
    </w:rPr>
  </w:style>
  <w:style w:type="paragraph" w:customStyle="1" w:styleId="530">
    <w:name w:val="标题4"/>
    <w:basedOn w:val="1"/>
    <w:next w:val="1"/>
    <w:link w:val="531"/>
    <w:qFormat/>
    <w:uiPriority w:val="0"/>
    <w:pPr>
      <w:spacing w:beforeLines="50" w:afterLines="50" w:line="360" w:lineRule="auto"/>
      <w:outlineLvl w:val="4"/>
    </w:pPr>
    <w:rPr>
      <w:b/>
      <w:sz w:val="24"/>
      <w:szCs w:val="24"/>
    </w:rPr>
  </w:style>
  <w:style w:type="character" w:customStyle="1" w:styleId="531">
    <w:name w:val="标题4 Char"/>
    <w:link w:val="530"/>
    <w:qFormat/>
    <w:uiPriority w:val="0"/>
    <w:rPr>
      <w:rFonts w:ascii="Times New Roman" w:hAnsi="Times New Roman" w:eastAsia="宋体" w:cs="Times New Roman"/>
      <w:b/>
      <w:kern w:val="2"/>
      <w:sz w:val="24"/>
      <w:szCs w:val="24"/>
    </w:rPr>
  </w:style>
  <w:style w:type="paragraph" w:customStyle="1" w:styleId="532">
    <w:name w:val="Main Title"/>
    <w:basedOn w:val="1"/>
    <w:link w:val="533"/>
    <w:qFormat/>
    <w:uiPriority w:val="0"/>
    <w:pPr>
      <w:widowControl/>
      <w:jc w:val="center"/>
    </w:pPr>
    <w:rPr>
      <w:rFonts w:ascii="Verdana" w:hAnsi="Verdana" w:eastAsia="黑体" w:cs="宋体"/>
      <w:kern w:val="0"/>
      <w:sz w:val="28"/>
      <w:szCs w:val="28"/>
    </w:rPr>
  </w:style>
  <w:style w:type="character" w:customStyle="1" w:styleId="533">
    <w:name w:val="Main Title Char Char"/>
    <w:link w:val="532"/>
    <w:qFormat/>
    <w:uiPriority w:val="0"/>
    <w:rPr>
      <w:rFonts w:ascii="Verdana" w:hAnsi="Verdana" w:eastAsia="黑体" w:cs="宋体"/>
      <w:sz w:val="28"/>
      <w:szCs w:val="28"/>
    </w:rPr>
  </w:style>
  <w:style w:type="character" w:customStyle="1" w:styleId="534">
    <w:name w:val="txt"/>
    <w:qFormat/>
    <w:uiPriority w:val="0"/>
    <w:rPr>
      <w:rFonts w:ascii="Times New Roman" w:hAnsi="Times New Roman" w:eastAsia="宋体" w:cs="Times New Roman"/>
    </w:rPr>
  </w:style>
  <w:style w:type="character" w:customStyle="1" w:styleId="535">
    <w:name w:val="宏文本 Char1"/>
    <w:qFormat/>
    <w:uiPriority w:val="0"/>
    <w:rPr>
      <w:rFonts w:ascii="Courier New" w:hAnsi="Courier New" w:eastAsia="宋体" w:cs="Courier New"/>
      <w:color w:val="000000"/>
      <w:kern w:val="2"/>
      <w:sz w:val="24"/>
      <w:szCs w:val="24"/>
    </w:rPr>
  </w:style>
  <w:style w:type="character" w:customStyle="1" w:styleId="536">
    <w:name w:val="批注主题 Char"/>
    <w:qFormat/>
    <w:uiPriority w:val="0"/>
    <w:rPr>
      <w:rFonts w:ascii="Times New Roman" w:hAnsi="Times New Roman" w:eastAsia="宋体" w:cs="Times New Roman"/>
      <w:b/>
      <w:bCs/>
      <w:kern w:val="2"/>
      <w:sz w:val="21"/>
    </w:rPr>
  </w:style>
  <w:style w:type="character" w:customStyle="1" w:styleId="537">
    <w:name w:val="text1"/>
    <w:qFormat/>
    <w:uiPriority w:val="0"/>
    <w:rPr>
      <w:rFonts w:ascii="Times New Roman" w:hAnsi="Times New Roman" w:eastAsia="宋体" w:cs="Times New Roman"/>
      <w:sz w:val="21"/>
      <w:szCs w:val="21"/>
    </w:rPr>
  </w:style>
  <w:style w:type="character" w:customStyle="1" w:styleId="538">
    <w:name w:val="color0033661"/>
    <w:qFormat/>
    <w:uiPriority w:val="0"/>
    <w:rPr>
      <w:rFonts w:ascii="Verdana" w:hAnsi="Verdana" w:eastAsia="宋体" w:cs="宋体"/>
      <w:color w:val="003366"/>
      <w:sz w:val="44"/>
      <w:lang w:val="en-US" w:eastAsia="en-US" w:bidi="ar-SA"/>
    </w:rPr>
  </w:style>
  <w:style w:type="character" w:customStyle="1" w:styleId="539">
    <w:name w:val="liudong"/>
    <w:qFormat/>
    <w:uiPriority w:val="0"/>
    <w:rPr>
      <w:rFonts w:ascii="Times New Roman" w:hAnsi="Times New Roman" w:eastAsia="宋体" w:cs="Times New Roman"/>
    </w:rPr>
  </w:style>
  <w:style w:type="character" w:customStyle="1" w:styleId="540">
    <w:name w:val="style321"/>
    <w:qFormat/>
    <w:uiPriority w:val="0"/>
    <w:rPr>
      <w:rFonts w:hint="default" w:ascii="Verdana" w:hAnsi="Verdana" w:eastAsia="宋体" w:cs="Times New Roman"/>
      <w:b/>
      <w:bCs/>
      <w:color w:val="0000FF"/>
      <w:sz w:val="16"/>
      <w:szCs w:val="16"/>
    </w:rPr>
  </w:style>
  <w:style w:type="character" w:customStyle="1" w:styleId="541">
    <w:name w:val="bullet Char1"/>
    <w:qFormat/>
    <w:uiPriority w:val="0"/>
    <w:rPr>
      <w:rFonts w:ascii="Arial" w:hAnsi="Arial" w:eastAsia="黑体" w:cs="Times New Roman"/>
      <w:b/>
      <w:bCs/>
      <w:kern w:val="2"/>
      <w:sz w:val="28"/>
      <w:szCs w:val="28"/>
      <w:lang w:val="en-US" w:eastAsia="zh-CN" w:bidi="ar-SA"/>
    </w:rPr>
  </w:style>
  <w:style w:type="character" w:customStyle="1" w:styleId="542">
    <w:name w:val="不明显强调2"/>
    <w:qFormat/>
    <w:uiPriority w:val="0"/>
    <w:rPr>
      <w:rFonts w:ascii="Times New Roman" w:hAnsi="Times New Roman" w:eastAsia="宋体" w:cs="Times New Roman"/>
      <w:i/>
      <w:iCs/>
      <w:color w:val="808080"/>
    </w:rPr>
  </w:style>
  <w:style w:type="character" w:customStyle="1" w:styleId="543">
    <w:name w:val="myp1111"/>
    <w:qFormat/>
    <w:uiPriority w:val="0"/>
    <w:rPr>
      <w:rFonts w:hint="default" w:ascii="ˎ̥" w:hAnsi="ˎ̥" w:eastAsia="宋体" w:cs="Times New Roman"/>
      <w:color w:val="000000"/>
      <w:sz w:val="20"/>
      <w:szCs w:val="20"/>
      <w:u w:val="none"/>
    </w:rPr>
  </w:style>
  <w:style w:type="character" w:customStyle="1" w:styleId="544">
    <w:name w:val="font1"/>
    <w:qFormat/>
    <w:uiPriority w:val="0"/>
    <w:rPr>
      <w:rFonts w:ascii="Times New Roman" w:hAnsi="Times New Roman" w:eastAsia="宋体" w:cs="Times New Roman"/>
      <w:color w:val="000000"/>
      <w:sz w:val="12"/>
      <w:szCs w:val="12"/>
    </w:rPr>
  </w:style>
  <w:style w:type="paragraph" w:customStyle="1" w:styleId="545">
    <w:name w:val="样式 小四 段前: 6 磅 段后: 6 磅 行距: 1.5 倍行距"/>
    <w:basedOn w:val="1"/>
    <w:link w:val="546"/>
    <w:qFormat/>
    <w:uiPriority w:val="0"/>
    <w:pPr>
      <w:spacing w:before="120" w:after="120" w:line="360" w:lineRule="auto"/>
      <w:ind w:firstLine="480" w:firstLineChars="200"/>
    </w:pPr>
    <w:rPr>
      <w:rFonts w:cs="宋体"/>
      <w:sz w:val="24"/>
    </w:rPr>
  </w:style>
  <w:style w:type="character" w:customStyle="1" w:styleId="546">
    <w:name w:val="样式 小四 段前: 6 磅 段后: 6 磅 行距: 1.5 倍行距 Char"/>
    <w:link w:val="545"/>
    <w:qFormat/>
    <w:uiPriority w:val="0"/>
    <w:rPr>
      <w:rFonts w:ascii="Times New Roman" w:hAnsi="Times New Roman" w:eastAsia="宋体" w:cs="宋体"/>
      <w:kern w:val="2"/>
      <w:sz w:val="24"/>
    </w:rPr>
  </w:style>
  <w:style w:type="character" w:customStyle="1" w:styleId="547">
    <w:name w:val="方框下的ABC标题 Char"/>
    <w:qFormat/>
    <w:uiPriority w:val="0"/>
    <w:rPr>
      <w:rFonts w:ascii="Times New Roman" w:hAnsi="宋体" w:eastAsia="宋体" w:cs="Times New Roman"/>
      <w:kern w:val="2"/>
      <w:sz w:val="21"/>
      <w:szCs w:val="24"/>
      <w:lang w:val="en-US" w:eastAsia="zh-CN" w:bidi="ar-SA"/>
    </w:rPr>
  </w:style>
  <w:style w:type="paragraph" w:customStyle="1" w:styleId="548">
    <w:name w:val="z-窗体底端1"/>
    <w:basedOn w:val="1"/>
    <w:next w:val="1"/>
    <w:link w:val="549"/>
    <w:qFormat/>
    <w:uiPriority w:val="0"/>
    <w:pPr>
      <w:widowControl/>
      <w:pBdr>
        <w:top w:val="single" w:color="auto" w:sz="6" w:space="1"/>
      </w:pBdr>
      <w:spacing w:line="360" w:lineRule="auto"/>
      <w:ind w:firstLine="480" w:firstLineChars="200"/>
      <w:jc w:val="center"/>
    </w:pPr>
    <w:rPr>
      <w:rFonts w:ascii="Arial" w:hAnsi="Arial" w:cs="Arial"/>
      <w:vanish/>
      <w:kern w:val="0"/>
      <w:sz w:val="16"/>
      <w:szCs w:val="16"/>
    </w:rPr>
  </w:style>
  <w:style w:type="character" w:customStyle="1" w:styleId="549">
    <w:name w:val="z-窗体底端 字符"/>
    <w:link w:val="548"/>
    <w:qFormat/>
    <w:uiPriority w:val="0"/>
    <w:rPr>
      <w:rFonts w:ascii="Arial" w:hAnsi="Arial" w:eastAsia="宋体" w:cs="Arial"/>
      <w:vanish/>
      <w:sz w:val="16"/>
      <w:szCs w:val="16"/>
    </w:rPr>
  </w:style>
  <w:style w:type="paragraph" w:customStyle="1" w:styleId="550">
    <w:name w:val="样式 标题 4h4heading 4TOCsect 1.2.3.4Ref Heading 1rh1H4Headin...2"/>
    <w:basedOn w:val="7"/>
    <w:link w:val="551"/>
    <w:qFormat/>
    <w:uiPriority w:val="0"/>
    <w:pPr>
      <w:spacing w:before="0" w:after="0" w:line="360" w:lineRule="auto"/>
      <w:ind w:firstLine="352" w:firstLineChars="146"/>
    </w:pPr>
    <w:rPr>
      <w:rFonts w:ascii="宋体" w:hAnsi="宋体" w:eastAsia="宋体" w:cs="宋体"/>
      <w:sz w:val="24"/>
      <w:szCs w:val="24"/>
    </w:rPr>
  </w:style>
  <w:style w:type="character" w:customStyle="1" w:styleId="551">
    <w:name w:val="样式 标题 4h4heading 4TOCsect 1.2.3.4Ref Heading 1rh1H4Headin...2 Char"/>
    <w:link w:val="550"/>
    <w:qFormat/>
    <w:uiPriority w:val="0"/>
    <w:rPr>
      <w:rFonts w:ascii="宋体" w:hAnsi="宋体" w:eastAsia="宋体" w:cs="宋体"/>
      <w:b/>
      <w:bCs/>
      <w:kern w:val="2"/>
      <w:sz w:val="24"/>
      <w:szCs w:val="24"/>
    </w:rPr>
  </w:style>
  <w:style w:type="character" w:customStyle="1" w:styleId="552">
    <w:name w:val="文档结构图 Char2"/>
    <w:qFormat/>
    <w:uiPriority w:val="0"/>
    <w:rPr>
      <w:rFonts w:ascii="Arial" w:hAnsi="Arial" w:eastAsia="宋体" w:cs="宋体"/>
      <w:sz w:val="24"/>
      <w:szCs w:val="20"/>
      <w:shd w:val="clear" w:color="auto" w:fill="000080"/>
    </w:rPr>
  </w:style>
  <w:style w:type="character" w:customStyle="1" w:styleId="553">
    <w:name w:val="Char81"/>
    <w:qFormat/>
    <w:uiPriority w:val="0"/>
    <w:rPr>
      <w:rFonts w:ascii="Arial" w:hAnsi="Arial" w:eastAsia="黑体" w:cs="Times New Roman"/>
      <w:sz w:val="44"/>
      <w:lang w:val="en-US" w:eastAsia="en-US" w:bidi="ar-SA"/>
    </w:rPr>
  </w:style>
  <w:style w:type="character" w:customStyle="1" w:styleId="554">
    <w:name w:val="标题 2 Char Char Char"/>
    <w:qFormat/>
    <w:uiPriority w:val="0"/>
    <w:rPr>
      <w:rFonts w:ascii="Arial" w:hAnsi="Arial" w:eastAsia="黑体" w:cs="Times New Roman"/>
      <w:b/>
      <w:bCs/>
      <w:kern w:val="2"/>
      <w:sz w:val="32"/>
      <w:szCs w:val="32"/>
      <w:lang w:val="en-US" w:eastAsia="zh-CN" w:bidi="ar-SA"/>
    </w:rPr>
  </w:style>
  <w:style w:type="character" w:customStyle="1" w:styleId="555">
    <w:name w:val="正文缩进 Char Char Char Char Char Char Char Char Char Char Char Char Char Char Char Char Char Char Char Char Char Char Char Char Char Char Char Char Char Char Char Char Char"/>
    <w:qFormat/>
    <w:uiPriority w:val="0"/>
    <w:rPr>
      <w:rFonts w:ascii="Tahoma" w:hAnsi="Tahoma" w:eastAsia="宋体" w:cs="Times New Roman"/>
      <w:kern w:val="2"/>
      <w:sz w:val="24"/>
      <w:lang w:val="en-US" w:eastAsia="zh-CN" w:bidi="ar-SA"/>
    </w:rPr>
  </w:style>
  <w:style w:type="character" w:customStyle="1" w:styleId="556">
    <w:name w:val="Char Char61"/>
    <w:qFormat/>
    <w:uiPriority w:val="0"/>
    <w:rPr>
      <w:rFonts w:ascii="Times New Roman" w:hAnsi="Times New Roman" w:eastAsia="宋体" w:cs="Times New Roman"/>
      <w:b/>
      <w:bCs/>
      <w:kern w:val="2"/>
      <w:sz w:val="24"/>
      <w:szCs w:val="24"/>
      <w:lang w:val="en-US" w:eastAsia="zh-CN" w:bidi="ar-SA"/>
    </w:rPr>
  </w:style>
  <w:style w:type="paragraph" w:customStyle="1" w:styleId="557">
    <w:name w:val="段"/>
    <w:link w:val="55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58">
    <w:name w:val="段 Char"/>
    <w:link w:val="557"/>
    <w:qFormat/>
    <w:uiPriority w:val="0"/>
    <w:rPr>
      <w:rFonts w:ascii="宋体" w:hAnsi="Times New Roman" w:eastAsia="宋体" w:cs="Times New Roman"/>
      <w:sz w:val="21"/>
    </w:rPr>
  </w:style>
  <w:style w:type="character" w:customStyle="1" w:styleId="559">
    <w:name w:val="font041"/>
    <w:qFormat/>
    <w:uiPriority w:val="0"/>
    <w:rPr>
      <w:rFonts w:ascii="Times New Roman" w:hAnsi="Times New Roman" w:eastAsia="宋体" w:cs="Times New Roman"/>
      <w:b/>
      <w:bCs/>
      <w:color w:val="000000"/>
      <w:sz w:val="20"/>
      <w:szCs w:val="20"/>
    </w:rPr>
  </w:style>
  <w:style w:type="paragraph" w:customStyle="1" w:styleId="560">
    <w:name w:val="报告正文"/>
    <w:basedOn w:val="1"/>
    <w:link w:val="561"/>
    <w:qFormat/>
    <w:uiPriority w:val="0"/>
    <w:pPr>
      <w:widowControl/>
      <w:overflowPunct w:val="0"/>
      <w:autoSpaceDE w:val="0"/>
      <w:autoSpaceDN w:val="0"/>
      <w:adjustRightInd w:val="0"/>
      <w:spacing w:line="360" w:lineRule="auto"/>
      <w:ind w:firstLine="420"/>
      <w:textAlignment w:val="baseline"/>
    </w:pPr>
    <w:rPr>
      <w:kern w:val="0"/>
      <w:sz w:val="24"/>
    </w:rPr>
  </w:style>
  <w:style w:type="character" w:customStyle="1" w:styleId="561">
    <w:name w:val="报告正文 Char"/>
    <w:link w:val="560"/>
    <w:qFormat/>
    <w:uiPriority w:val="0"/>
    <w:rPr>
      <w:rFonts w:ascii="Times New Roman" w:hAnsi="Times New Roman" w:eastAsia="宋体" w:cs="Times New Roman"/>
      <w:sz w:val="24"/>
    </w:rPr>
  </w:style>
  <w:style w:type="paragraph" w:customStyle="1" w:styleId="562">
    <w:name w:val="1正文"/>
    <w:basedOn w:val="1"/>
    <w:link w:val="563"/>
    <w:qFormat/>
    <w:uiPriority w:val="0"/>
    <w:pPr>
      <w:spacing w:before="120" w:beforeLines="50" w:after="120" w:afterLines="50" w:line="360" w:lineRule="auto"/>
      <w:ind w:firstLine="420" w:firstLineChars="200"/>
    </w:pPr>
    <w:rPr>
      <w:rFonts w:ascii="Calibri" w:hAnsi="Calibri"/>
      <w:szCs w:val="22"/>
    </w:rPr>
  </w:style>
  <w:style w:type="character" w:customStyle="1" w:styleId="563">
    <w:name w:val="1正文 Char"/>
    <w:link w:val="562"/>
    <w:qFormat/>
    <w:uiPriority w:val="0"/>
    <w:rPr>
      <w:rFonts w:ascii="Calibri" w:hAnsi="Calibri" w:eastAsia="宋体" w:cs="Times New Roman"/>
      <w:kern w:val="2"/>
      <w:sz w:val="21"/>
      <w:szCs w:val="22"/>
    </w:rPr>
  </w:style>
  <w:style w:type="character" w:customStyle="1" w:styleId="564">
    <w:name w:val="param_td12"/>
    <w:qFormat/>
    <w:uiPriority w:val="0"/>
    <w:rPr>
      <w:rFonts w:ascii="Times New Roman" w:hAnsi="Times New Roman" w:eastAsia="宋体" w:cs="Times New Roman"/>
    </w:rPr>
  </w:style>
  <w:style w:type="character" w:customStyle="1" w:styleId="565">
    <w:name w:val="smgraytext"/>
    <w:qFormat/>
    <w:uiPriority w:val="0"/>
    <w:rPr>
      <w:rFonts w:ascii="Times New Roman" w:hAnsi="Times New Roman" w:eastAsia="宋体" w:cs="Times New Roman"/>
    </w:rPr>
  </w:style>
  <w:style w:type="paragraph" w:customStyle="1" w:styleId="566">
    <w:name w:val="正文1"/>
    <w:basedOn w:val="1"/>
    <w:link w:val="567"/>
    <w:qFormat/>
    <w:uiPriority w:val="0"/>
    <w:pPr>
      <w:spacing w:line="312" w:lineRule="auto"/>
      <w:ind w:firstLine="480" w:firstLineChars="200"/>
    </w:pPr>
    <w:rPr>
      <w:rFonts w:ascii="宋体" w:hAnsi="宋体" w:cs="宋体"/>
      <w:color w:val="000000"/>
      <w:kern w:val="0"/>
      <w:sz w:val="24"/>
      <w:szCs w:val="24"/>
    </w:rPr>
  </w:style>
  <w:style w:type="character" w:customStyle="1" w:styleId="567">
    <w:name w:val="正文1 Char"/>
    <w:link w:val="566"/>
    <w:qFormat/>
    <w:uiPriority w:val="0"/>
    <w:rPr>
      <w:rFonts w:ascii="宋体" w:hAnsi="宋体" w:eastAsia="宋体" w:cs="宋体"/>
      <w:color w:val="000000"/>
      <w:sz w:val="24"/>
      <w:szCs w:val="24"/>
    </w:rPr>
  </w:style>
  <w:style w:type="character" w:customStyle="1" w:styleId="568">
    <w:name w:val="msochangeprop"/>
    <w:qFormat/>
    <w:uiPriority w:val="0"/>
    <w:rPr>
      <w:rFonts w:ascii="Times New Roman" w:hAnsi="Times New Roman" w:eastAsia="宋体" w:cs="Times New Roman"/>
    </w:rPr>
  </w:style>
  <w:style w:type="character" w:customStyle="1" w:styleId="569">
    <w:name w:val="标题10"/>
    <w:qFormat/>
    <w:uiPriority w:val="0"/>
    <w:rPr>
      <w:rFonts w:ascii="Tahoma" w:hAnsi="Tahoma" w:eastAsia="仿宋_GB2312" w:cs="Times New Roman"/>
      <w:kern w:val="2"/>
      <w:sz w:val="28"/>
      <w:szCs w:val="28"/>
      <w:lang w:val="en-US" w:eastAsia="zh-CN" w:bidi="ar-SA"/>
    </w:rPr>
  </w:style>
  <w:style w:type="character" w:customStyle="1" w:styleId="570">
    <w:name w:val="标题 字符1"/>
    <w:qFormat/>
    <w:uiPriority w:val="0"/>
    <w:rPr>
      <w:rFonts w:ascii="等线 Light" w:hAnsi="等线 Light" w:eastAsia="等线 Light" w:cs="Times New Roman"/>
      <w:b/>
      <w:bCs/>
      <w:sz w:val="32"/>
      <w:szCs w:val="32"/>
    </w:rPr>
  </w:style>
  <w:style w:type="paragraph" w:customStyle="1" w:styleId="571">
    <w:name w:val="列表格式"/>
    <w:basedOn w:val="1"/>
    <w:link w:val="572"/>
    <w:qFormat/>
    <w:uiPriority w:val="0"/>
    <w:pPr>
      <w:numPr>
        <w:ilvl w:val="0"/>
        <w:numId w:val="22"/>
      </w:numPr>
      <w:spacing w:line="360" w:lineRule="auto"/>
      <w:ind w:firstLine="0"/>
      <w:jc w:val="left"/>
    </w:pPr>
    <w:rPr>
      <w:rFonts w:eastAsia="仿宋"/>
      <w:sz w:val="24"/>
      <w:szCs w:val="24"/>
    </w:rPr>
  </w:style>
  <w:style w:type="character" w:customStyle="1" w:styleId="572">
    <w:name w:val="列表格式 Char"/>
    <w:link w:val="571"/>
    <w:qFormat/>
    <w:uiPriority w:val="0"/>
    <w:rPr>
      <w:rFonts w:ascii="Times New Roman" w:hAnsi="Times New Roman" w:eastAsia="仿宋" w:cs="Times New Roman"/>
      <w:kern w:val="2"/>
      <w:sz w:val="24"/>
      <w:szCs w:val="24"/>
    </w:rPr>
  </w:style>
  <w:style w:type="paragraph" w:customStyle="1" w:styleId="573">
    <w:name w:val="标准正文"/>
    <w:basedOn w:val="1"/>
    <w:link w:val="574"/>
    <w:qFormat/>
    <w:uiPriority w:val="0"/>
    <w:pPr>
      <w:spacing w:before="156" w:after="156" w:line="360" w:lineRule="auto"/>
      <w:ind w:firstLine="480" w:firstLineChars="200"/>
    </w:pPr>
    <w:rPr>
      <w:rFonts w:cs="宋体"/>
      <w:sz w:val="24"/>
    </w:rPr>
  </w:style>
  <w:style w:type="character" w:customStyle="1" w:styleId="574">
    <w:name w:val="标准正文 Char"/>
    <w:link w:val="573"/>
    <w:qFormat/>
    <w:uiPriority w:val="0"/>
    <w:rPr>
      <w:rFonts w:ascii="Times New Roman" w:hAnsi="Times New Roman" w:eastAsia="宋体" w:cs="宋体"/>
      <w:kern w:val="2"/>
      <w:sz w:val="24"/>
    </w:rPr>
  </w:style>
  <w:style w:type="paragraph" w:customStyle="1" w:styleId="575">
    <w:name w:val="示意图说明"/>
    <w:basedOn w:val="1"/>
    <w:next w:val="1"/>
    <w:link w:val="576"/>
    <w:qFormat/>
    <w:uiPriority w:val="0"/>
    <w:pPr>
      <w:spacing w:line="360" w:lineRule="auto"/>
      <w:jc w:val="center"/>
    </w:pPr>
    <w:rPr>
      <w:rFonts w:eastAsia="黑体"/>
      <w:kern w:val="0"/>
      <w:lang w:eastAsia="en-US"/>
    </w:rPr>
  </w:style>
  <w:style w:type="character" w:customStyle="1" w:styleId="576">
    <w:name w:val="示意图说明 Char"/>
    <w:link w:val="575"/>
    <w:qFormat/>
    <w:uiPriority w:val="0"/>
    <w:rPr>
      <w:rFonts w:ascii="Times New Roman" w:hAnsi="Times New Roman" w:eastAsia="黑体" w:cs="Times New Roman"/>
      <w:sz w:val="21"/>
      <w:lang w:eastAsia="en-US"/>
    </w:rPr>
  </w:style>
  <w:style w:type="character" w:customStyle="1" w:styleId="577">
    <w:name w:val="不明显强调1"/>
    <w:qFormat/>
    <w:uiPriority w:val="0"/>
    <w:rPr>
      <w:rFonts w:ascii="Times New Roman" w:hAnsi="Times New Roman" w:eastAsia="宋体" w:cs="Times New Roman"/>
      <w:iCs/>
      <w:color w:val="000000"/>
      <w:sz w:val="15"/>
    </w:rPr>
  </w:style>
  <w:style w:type="character" w:customStyle="1" w:styleId="578">
    <w:name w:val="unnamed11"/>
    <w:qFormat/>
    <w:uiPriority w:val="0"/>
    <w:rPr>
      <w:rFonts w:ascii="Times New Roman" w:hAnsi="Times New Roman" w:eastAsia="宋体" w:cs="Times New Roman"/>
      <w:sz w:val="20"/>
      <w:szCs w:val="20"/>
    </w:rPr>
  </w:style>
  <w:style w:type="character" w:customStyle="1" w:styleId="579">
    <w:name w:val="标题 1 Char Char"/>
    <w:qFormat/>
    <w:uiPriority w:val="0"/>
    <w:rPr>
      <w:rFonts w:ascii="楷体_GB2312" w:hAnsi="Times New Roman" w:eastAsia="楷体_GB2312" w:cs="Times New Roman"/>
      <w:b/>
      <w:kern w:val="44"/>
      <w:sz w:val="36"/>
      <w:lang w:val="en-US" w:eastAsia="zh-CN" w:bidi="ar-SA"/>
    </w:rPr>
  </w:style>
  <w:style w:type="paragraph" w:customStyle="1" w:styleId="580">
    <w:name w:val="hik 正文"/>
    <w:basedOn w:val="1"/>
    <w:link w:val="581"/>
    <w:qFormat/>
    <w:uiPriority w:val="0"/>
    <w:pPr>
      <w:spacing w:line="360" w:lineRule="auto"/>
      <w:ind w:firstLine="480" w:firstLineChars="200"/>
    </w:pPr>
    <w:rPr>
      <w:kern w:val="0"/>
      <w:sz w:val="24"/>
      <w:szCs w:val="24"/>
    </w:rPr>
  </w:style>
  <w:style w:type="character" w:customStyle="1" w:styleId="581">
    <w:name w:val="hik 正文 Char"/>
    <w:link w:val="580"/>
    <w:qFormat/>
    <w:uiPriority w:val="0"/>
    <w:rPr>
      <w:rFonts w:ascii="Times New Roman" w:hAnsi="Times New Roman" w:eastAsia="宋体" w:cs="Times New Roman"/>
      <w:sz w:val="24"/>
      <w:szCs w:val="24"/>
    </w:rPr>
  </w:style>
  <w:style w:type="character" w:customStyle="1" w:styleId="582">
    <w:name w:val="specifications"/>
    <w:qFormat/>
    <w:uiPriority w:val="0"/>
    <w:rPr>
      <w:rFonts w:ascii="Times New Roman" w:hAnsi="Times New Roman" w:eastAsia="宋体" w:cs="Times New Roman"/>
    </w:rPr>
  </w:style>
  <w:style w:type="character" w:customStyle="1" w:styleId="583">
    <w:name w:val="副标题 Char"/>
    <w:qFormat/>
    <w:uiPriority w:val="0"/>
    <w:rPr>
      <w:rFonts w:ascii="Calibri Light" w:hAnsi="Calibri Light" w:eastAsia="宋体" w:cs="Times New Roman"/>
      <w:b/>
      <w:bCs/>
      <w:kern w:val="28"/>
      <w:sz w:val="32"/>
      <w:szCs w:val="32"/>
    </w:rPr>
  </w:style>
  <w:style w:type="paragraph" w:customStyle="1" w:styleId="584">
    <w:name w:val="缺省文本"/>
    <w:link w:val="585"/>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585">
    <w:name w:val="缺省文本 Char"/>
    <w:link w:val="584"/>
    <w:qFormat/>
    <w:uiPriority w:val="0"/>
    <w:rPr>
      <w:rFonts w:ascii="Times New Roman" w:hAnsi="Times New Roman" w:eastAsia="宋体" w:cs="Times New Roman"/>
      <w:color w:val="000000"/>
      <w:sz w:val="24"/>
      <w:szCs w:val="24"/>
    </w:rPr>
  </w:style>
  <w:style w:type="paragraph" w:customStyle="1" w:styleId="586">
    <w:name w:val="方框下的123标题"/>
    <w:basedOn w:val="1"/>
    <w:link w:val="587"/>
    <w:qFormat/>
    <w:uiPriority w:val="0"/>
    <w:pPr>
      <w:spacing w:line="360" w:lineRule="auto"/>
      <w:ind w:firstLine="480" w:firstLineChars="200"/>
    </w:pPr>
    <w:rPr>
      <w:sz w:val="24"/>
      <w:szCs w:val="24"/>
    </w:rPr>
  </w:style>
  <w:style w:type="character" w:customStyle="1" w:styleId="587">
    <w:name w:val="方框下的123标题 Char"/>
    <w:link w:val="586"/>
    <w:qFormat/>
    <w:uiPriority w:val="0"/>
    <w:rPr>
      <w:rFonts w:ascii="Times New Roman" w:hAnsi="Times New Roman" w:eastAsia="宋体" w:cs="Times New Roman"/>
      <w:kern w:val="2"/>
      <w:sz w:val="24"/>
      <w:szCs w:val="24"/>
    </w:rPr>
  </w:style>
  <w:style w:type="character" w:customStyle="1" w:styleId="588">
    <w:name w:val="sony121"/>
    <w:qFormat/>
    <w:uiPriority w:val="0"/>
    <w:rPr>
      <w:rFonts w:hint="eastAsia" w:ascii="宋体" w:hAnsi="宋体" w:eastAsia="宋体" w:cs="宋体"/>
      <w:sz w:val="18"/>
      <w:szCs w:val="18"/>
      <w:lang w:val="en-US" w:eastAsia="en-US" w:bidi="ar-SA"/>
    </w:rPr>
  </w:style>
  <w:style w:type="character" w:customStyle="1" w:styleId="589">
    <w:name w:val="Char Char9"/>
    <w:qFormat/>
    <w:uiPriority w:val="0"/>
    <w:rPr>
      <w:rFonts w:ascii="Arial" w:hAnsi="Arial" w:eastAsia="黑体" w:cs="Times New Roman"/>
      <w:b/>
      <w:bCs/>
      <w:kern w:val="2"/>
      <w:sz w:val="28"/>
      <w:szCs w:val="28"/>
      <w:lang w:val="en-US" w:eastAsia="zh-CN" w:bidi="ar-SA"/>
    </w:rPr>
  </w:style>
  <w:style w:type="character" w:customStyle="1" w:styleId="590">
    <w:name w:val="Char Char Char Char Char2"/>
    <w:qFormat/>
    <w:uiPriority w:val="0"/>
    <w:rPr>
      <w:rFonts w:ascii="Times New Roman" w:hAnsi="Times New Roman" w:eastAsia="宋体" w:cs="Times New Roman"/>
      <w:b/>
      <w:bCs/>
      <w:kern w:val="2"/>
      <w:sz w:val="32"/>
      <w:szCs w:val="32"/>
      <w:lang w:val="en-US" w:eastAsia="zh-CN" w:bidi="ar-SA"/>
    </w:rPr>
  </w:style>
  <w:style w:type="character" w:customStyle="1" w:styleId="591">
    <w:name w:val="脚注文本 Char1"/>
    <w:qFormat/>
    <w:uiPriority w:val="0"/>
    <w:rPr>
      <w:rFonts w:ascii="Times New Roman" w:hAnsi="Times New Roman" w:eastAsia="宋体" w:cs="Times New Roman"/>
      <w:kern w:val="2"/>
      <w:sz w:val="18"/>
      <w:szCs w:val="18"/>
    </w:rPr>
  </w:style>
  <w:style w:type="character" w:customStyle="1" w:styleId="592">
    <w:name w:val="Char Char281"/>
    <w:qFormat/>
    <w:uiPriority w:val="0"/>
    <w:rPr>
      <w:rFonts w:ascii="Times New Roman" w:hAnsi="Times New Roman" w:eastAsia="宋体" w:cs="Times New Roman"/>
      <w:b/>
      <w:bCs/>
      <w:color w:val="0000FF"/>
      <w:kern w:val="2"/>
      <w:sz w:val="32"/>
      <w:szCs w:val="32"/>
      <w:lang w:val="en-US" w:eastAsia="zh-CN" w:bidi="ar-SA"/>
    </w:rPr>
  </w:style>
  <w:style w:type="character" w:customStyle="1" w:styleId="593">
    <w:name w:val="称呼 Char1"/>
    <w:qFormat/>
    <w:uiPriority w:val="0"/>
    <w:rPr>
      <w:rFonts w:ascii="宋体" w:hAnsi="宋体" w:eastAsia="宋体" w:cs="Times New Roman"/>
      <w:color w:val="000000"/>
      <w:kern w:val="2"/>
      <w:sz w:val="24"/>
      <w:szCs w:val="24"/>
    </w:rPr>
  </w:style>
  <w:style w:type="character" w:customStyle="1" w:styleId="594">
    <w:name w:val="标题 5 Char1"/>
    <w:qFormat/>
    <w:uiPriority w:val="0"/>
    <w:rPr>
      <w:rFonts w:ascii="Times New Roman" w:hAnsi="Times New Roman" w:eastAsia="宋体" w:cs="Times New Roman"/>
      <w:b/>
      <w:bCs/>
      <w:kern w:val="2"/>
      <w:sz w:val="28"/>
      <w:szCs w:val="28"/>
    </w:rPr>
  </w:style>
  <w:style w:type="character" w:customStyle="1" w:styleId="595">
    <w:name w:val="com"/>
    <w:qFormat/>
    <w:uiPriority w:val="0"/>
    <w:rPr>
      <w:rFonts w:ascii="Times New Roman" w:hAnsi="Times New Roman" w:eastAsia="宋体" w:cs="Times New Roman"/>
    </w:rPr>
  </w:style>
  <w:style w:type="character" w:customStyle="1" w:styleId="596">
    <w:name w:val="ldhtext3"/>
    <w:qFormat/>
    <w:uiPriority w:val="0"/>
    <w:rPr>
      <w:rFonts w:ascii="Times New Roman" w:hAnsi="Times New Roman" w:eastAsia="宋体" w:cs="Times New Roman"/>
      <w:kern w:val="2"/>
      <w:sz w:val="24"/>
      <w:szCs w:val="24"/>
      <w:lang w:val="en-US" w:eastAsia="zh-CN" w:bidi="ar-SA"/>
    </w:rPr>
  </w:style>
  <w:style w:type="character" w:customStyle="1" w:styleId="597">
    <w:name w:val="font12-blue-bold1"/>
    <w:qFormat/>
    <w:uiPriority w:val="0"/>
    <w:rPr>
      <w:rFonts w:ascii="Verdana" w:hAnsi="Verdana" w:eastAsia="宋体" w:cs="宋体"/>
      <w:b/>
      <w:bCs/>
      <w:color w:val="0249A5"/>
      <w:sz w:val="21"/>
      <w:szCs w:val="21"/>
      <w:u w:val="none"/>
      <w:lang w:val="en-US" w:eastAsia="en-US" w:bidi="ar-SA"/>
    </w:rPr>
  </w:style>
  <w:style w:type="paragraph" w:customStyle="1" w:styleId="598">
    <w:name w:val="样式 正文首行缩进 + 左侧:  0.85 厘米 首行缩进:  2 字符 段前: 0.5 行 段后: 0.5 行"/>
    <w:basedOn w:val="85"/>
    <w:link w:val="599"/>
    <w:qFormat/>
    <w:uiPriority w:val="0"/>
    <w:pPr>
      <w:autoSpaceDE w:val="0"/>
      <w:autoSpaceDN w:val="0"/>
      <w:spacing w:beforeLines="50" w:after="240" w:afterLines="50" w:line="360" w:lineRule="auto"/>
      <w:ind w:firstLine="200" w:firstLineChars="200"/>
      <w:jc w:val="left"/>
    </w:pPr>
    <w:rPr>
      <w:rFonts w:cs="宋体"/>
      <w:sz w:val="24"/>
    </w:rPr>
  </w:style>
  <w:style w:type="character" w:customStyle="1" w:styleId="599">
    <w:name w:val="样式 正文首行缩进 + 左侧:  0.85 厘米 首行缩进:  2 字符 段前: 0.5 行 段后: 0.5 行 Char"/>
    <w:link w:val="598"/>
    <w:qFormat/>
    <w:uiPriority w:val="0"/>
    <w:rPr>
      <w:rFonts w:ascii="Times New Roman" w:hAnsi="Times New Roman" w:eastAsia="宋体" w:cs="宋体"/>
      <w:kern w:val="2"/>
      <w:sz w:val="24"/>
    </w:rPr>
  </w:style>
  <w:style w:type="paragraph" w:customStyle="1" w:styleId="600">
    <w:name w:val="文字加粗"/>
    <w:basedOn w:val="1"/>
    <w:link w:val="601"/>
    <w:qFormat/>
    <w:uiPriority w:val="0"/>
    <w:pPr>
      <w:spacing w:beforeLines="50" w:afterLines="50" w:line="360" w:lineRule="auto"/>
      <w:jc w:val="left"/>
    </w:pPr>
    <w:rPr>
      <w:b/>
      <w:sz w:val="24"/>
      <w:szCs w:val="24"/>
    </w:rPr>
  </w:style>
  <w:style w:type="character" w:customStyle="1" w:styleId="601">
    <w:name w:val="文字加粗 Char"/>
    <w:link w:val="600"/>
    <w:qFormat/>
    <w:uiPriority w:val="0"/>
    <w:rPr>
      <w:rFonts w:ascii="Times New Roman" w:hAnsi="Times New Roman" w:eastAsia="宋体" w:cs="Times New Roman"/>
      <w:b/>
      <w:kern w:val="2"/>
      <w:sz w:val="24"/>
      <w:szCs w:val="24"/>
    </w:rPr>
  </w:style>
  <w:style w:type="character" w:customStyle="1" w:styleId="602">
    <w:name w:val="项目标题 2 Char Char"/>
    <w:qFormat/>
    <w:uiPriority w:val="0"/>
    <w:rPr>
      <w:rFonts w:ascii="Arial" w:hAnsi="Arial" w:eastAsia="黑体" w:cs="Times New Roman"/>
      <w:b/>
      <w:bCs/>
      <w:kern w:val="2"/>
      <w:sz w:val="32"/>
      <w:szCs w:val="32"/>
      <w:lang w:val="en-US" w:eastAsia="zh-CN" w:bidi="ar-SA"/>
    </w:rPr>
  </w:style>
  <w:style w:type="character" w:customStyle="1" w:styleId="603">
    <w:name w:val="产品手册标题 Char Char"/>
    <w:qFormat/>
    <w:uiPriority w:val="0"/>
    <w:rPr>
      <w:rFonts w:ascii="Arial" w:hAnsi="Arial" w:eastAsia="黑体" w:cs="Times New Roman"/>
      <w:color w:val="000000"/>
      <w:kern w:val="2"/>
      <w:sz w:val="24"/>
      <w:szCs w:val="24"/>
    </w:rPr>
  </w:style>
  <w:style w:type="character" w:customStyle="1" w:styleId="604">
    <w:name w:val="正文格式 Char"/>
    <w:link w:val="150"/>
    <w:qFormat/>
    <w:uiPriority w:val="0"/>
    <w:rPr>
      <w:rFonts w:ascii="Times New Roman" w:hAnsi="Times New Roman" w:eastAsia="宋体" w:cs="Times New Roman"/>
      <w:kern w:val="24"/>
      <w:sz w:val="24"/>
      <w:szCs w:val="21"/>
    </w:rPr>
  </w:style>
  <w:style w:type="character" w:customStyle="1" w:styleId="605">
    <w:name w:val="不明显参考1"/>
    <w:qFormat/>
    <w:uiPriority w:val="0"/>
    <w:rPr>
      <w:rFonts w:ascii="Times New Roman" w:hAnsi="Times New Roman" w:eastAsia="宋体" w:cs="Times New Roman"/>
      <w:smallCaps/>
      <w:color w:val="ED7D31"/>
      <w:u w:val="single"/>
    </w:rPr>
  </w:style>
  <w:style w:type="character" w:customStyle="1" w:styleId="606">
    <w:name w:val="标题 22"/>
    <w:qFormat/>
    <w:uiPriority w:val="0"/>
    <w:rPr>
      <w:rFonts w:ascii="Tahoma" w:hAnsi="Tahoma" w:eastAsia="黑体" w:cs="Times New Roman"/>
      <w:b/>
      <w:bCs/>
      <w:color w:val="0000FF"/>
      <w:kern w:val="2"/>
      <w:sz w:val="32"/>
      <w:szCs w:val="32"/>
      <w:lang w:val="en-US" w:eastAsia="zh-CN" w:bidi="ar-SA"/>
    </w:rPr>
  </w:style>
  <w:style w:type="character" w:customStyle="1" w:styleId="607">
    <w:name w:val="lll1"/>
    <w:qFormat/>
    <w:uiPriority w:val="0"/>
    <w:rPr>
      <w:rFonts w:ascii="Times New Roman" w:hAnsi="Times New Roman" w:eastAsia="宋体" w:cs="Times New Roman"/>
    </w:rPr>
  </w:style>
  <w:style w:type="character" w:customStyle="1" w:styleId="608">
    <w:name w:val="Char Char29"/>
    <w:qFormat/>
    <w:uiPriority w:val="0"/>
    <w:rPr>
      <w:rFonts w:ascii="Times New Roman" w:hAnsi="Times New Roman" w:eastAsia="黑体" w:cs="Times New Roman"/>
      <w:b/>
      <w:bCs/>
      <w:color w:val="0000FF"/>
      <w:kern w:val="2"/>
      <w:sz w:val="32"/>
      <w:szCs w:val="32"/>
      <w:lang w:val="en-US" w:eastAsia="zh-CN" w:bidi="ar-SA"/>
    </w:rPr>
  </w:style>
  <w:style w:type="character" w:customStyle="1" w:styleId="609">
    <w:name w:val="top-det"/>
    <w:qFormat/>
    <w:uiPriority w:val="0"/>
    <w:rPr>
      <w:rFonts w:ascii="Times New Roman" w:hAnsi="Times New Roman" w:eastAsia="宋体" w:cs="Times New Roman"/>
    </w:rPr>
  </w:style>
  <w:style w:type="character" w:customStyle="1" w:styleId="610">
    <w:name w:val="word21"/>
    <w:qFormat/>
    <w:uiPriority w:val="0"/>
    <w:rPr>
      <w:rFonts w:ascii="Tahoma" w:hAnsi="Tahoma" w:eastAsia="宋体" w:cs="Times New Roman"/>
      <w:b/>
      <w:bCs/>
      <w:color w:val="194D7C"/>
      <w:kern w:val="2"/>
      <w:sz w:val="18"/>
      <w:szCs w:val="18"/>
      <w:lang w:val="en-US" w:eastAsia="zh-CN" w:bidi="ar-SA"/>
    </w:rPr>
  </w:style>
  <w:style w:type="character" w:customStyle="1" w:styleId="611">
    <w:name w:val="正文（缩进） Char2"/>
    <w:qFormat/>
    <w:uiPriority w:val="0"/>
    <w:rPr>
      <w:rFonts w:ascii="Tahoma" w:hAnsi="Tahoma" w:eastAsia="宋体" w:cs="Times New Roman"/>
      <w:kern w:val="2"/>
      <w:sz w:val="24"/>
      <w:szCs w:val="24"/>
      <w:lang w:val="en-US" w:eastAsia="zh-CN" w:bidi="ar-SA"/>
    </w:rPr>
  </w:style>
  <w:style w:type="character" w:customStyle="1" w:styleId="612">
    <w:name w:val="tpc_content1"/>
    <w:qFormat/>
    <w:uiPriority w:val="0"/>
    <w:rPr>
      <w:rFonts w:ascii="Times New Roman" w:hAnsi="Times New Roman" w:eastAsia="宋体" w:cs="Times New Roman"/>
      <w:sz w:val="20"/>
      <w:szCs w:val="20"/>
    </w:rPr>
  </w:style>
  <w:style w:type="character" w:customStyle="1" w:styleId="613">
    <w:name w:val="标题 3 Char Char1"/>
    <w:qFormat/>
    <w:uiPriority w:val="0"/>
    <w:rPr>
      <w:rFonts w:ascii="Arial" w:hAnsi="Arial" w:eastAsia="黑体" w:cs="Times New Roman"/>
      <w:bCs/>
      <w:kern w:val="2"/>
      <w:sz w:val="30"/>
      <w:szCs w:val="32"/>
      <w:lang w:val="en-US" w:eastAsia="zh-CN" w:bidi="ar-SA"/>
    </w:rPr>
  </w:style>
  <w:style w:type="paragraph" w:customStyle="1" w:styleId="614">
    <w:name w:val="Char Char Char3"/>
    <w:basedOn w:val="1"/>
    <w:link w:val="615"/>
    <w:qFormat/>
    <w:uiPriority w:val="0"/>
    <w:pPr>
      <w:tabs>
        <w:tab w:val="left" w:pos="360"/>
      </w:tabs>
    </w:pPr>
    <w:rPr>
      <w:rFonts w:ascii="Tahoma" w:hAnsi="Tahoma"/>
      <w:kern w:val="0"/>
      <w:sz w:val="24"/>
    </w:rPr>
  </w:style>
  <w:style w:type="character" w:customStyle="1" w:styleId="615">
    <w:name w:val="Char Char Char Char3"/>
    <w:link w:val="614"/>
    <w:qFormat/>
    <w:uiPriority w:val="0"/>
    <w:rPr>
      <w:rFonts w:ascii="Tahoma" w:hAnsi="Tahoma" w:eastAsia="宋体" w:cs="Times New Roman"/>
      <w:sz w:val="24"/>
    </w:rPr>
  </w:style>
  <w:style w:type="character" w:customStyle="1" w:styleId="616">
    <w:name w:val="jieshao1"/>
    <w:qFormat/>
    <w:uiPriority w:val="0"/>
    <w:rPr>
      <w:rFonts w:hint="default" w:ascii="_GB2312" w:hAnsi="_GB2312" w:eastAsia="宋体" w:cs="Times New Roman"/>
      <w:color w:val="CCFF33"/>
      <w:sz w:val="27"/>
      <w:szCs w:val="27"/>
    </w:rPr>
  </w:style>
  <w:style w:type="character" w:customStyle="1" w:styleId="617">
    <w:name w:val="text2"/>
    <w:qFormat/>
    <w:uiPriority w:val="0"/>
    <w:rPr>
      <w:rFonts w:ascii="Times New Roman" w:hAnsi="Times New Roman" w:eastAsia="宋体" w:cs="Times New Roman"/>
    </w:rPr>
  </w:style>
  <w:style w:type="character" w:customStyle="1" w:styleId="618">
    <w:name w:val="style51"/>
    <w:qFormat/>
    <w:uiPriority w:val="0"/>
    <w:rPr>
      <w:rFonts w:ascii="Times New Roman" w:hAnsi="Times New Roman" w:eastAsia="宋体" w:cs="Times New Roman"/>
      <w:b/>
      <w:bCs/>
      <w:color w:val="FF6600"/>
    </w:rPr>
  </w:style>
  <w:style w:type="character" w:customStyle="1" w:styleId="619">
    <w:name w:val="contentheaderrev1"/>
    <w:qFormat/>
    <w:uiPriority w:val="0"/>
    <w:rPr>
      <w:rFonts w:hint="default" w:ascii="Arial" w:hAnsi="Arial" w:eastAsia="宋体" w:cs="Arial"/>
      <w:b/>
      <w:bCs/>
      <w:color w:val="FFFFFF"/>
      <w:sz w:val="18"/>
      <w:szCs w:val="18"/>
      <w:u w:val="none"/>
    </w:rPr>
  </w:style>
  <w:style w:type="character" w:customStyle="1" w:styleId="620">
    <w:name w:val="subtxt"/>
    <w:qFormat/>
    <w:uiPriority w:val="0"/>
    <w:rPr>
      <w:rFonts w:ascii="Times New Roman" w:hAnsi="Times New Roman" w:eastAsia="宋体" w:cs="Times New Roman"/>
    </w:rPr>
  </w:style>
  <w:style w:type="character" w:customStyle="1" w:styleId="621">
    <w:name w:val="加粗项目符号"/>
    <w:qFormat/>
    <w:uiPriority w:val="0"/>
    <w:rPr>
      <w:rFonts w:hint="default" w:ascii="Tahoma" w:hAnsi="Tahoma" w:eastAsia="宋体" w:cs="Tahoma"/>
      <w:b/>
      <w:bCs/>
      <w:kern w:val="2"/>
      <w:sz w:val="24"/>
      <w:lang w:val="en-US" w:eastAsia="zh-CN" w:bidi="ar-SA"/>
    </w:rPr>
  </w:style>
  <w:style w:type="character" w:customStyle="1" w:styleId="622">
    <w:name w:val="style41"/>
    <w:qFormat/>
    <w:uiPriority w:val="0"/>
    <w:rPr>
      <w:rFonts w:ascii="Times New Roman" w:hAnsi="Times New Roman" w:eastAsia="宋体" w:cs="Times New Roman"/>
      <w:sz w:val="30"/>
      <w:szCs w:val="30"/>
    </w:rPr>
  </w:style>
  <w:style w:type="character" w:customStyle="1" w:styleId="623">
    <w:name w:val="标题 2 Char1"/>
    <w:qFormat/>
    <w:uiPriority w:val="0"/>
    <w:rPr>
      <w:rFonts w:ascii="Arial" w:hAnsi="Arial" w:eastAsia="黑体" w:cs="Times New Roman"/>
      <w:b/>
      <w:bCs/>
      <w:kern w:val="2"/>
      <w:sz w:val="32"/>
      <w:szCs w:val="32"/>
      <w:lang w:val="en-US" w:eastAsia="zh-CN" w:bidi="ar-SA"/>
    </w:rPr>
  </w:style>
  <w:style w:type="paragraph" w:customStyle="1" w:styleId="624">
    <w:name w:val="正文内容"/>
    <w:basedOn w:val="1"/>
    <w:link w:val="625"/>
    <w:qFormat/>
    <w:uiPriority w:val="0"/>
    <w:pPr>
      <w:spacing w:line="360" w:lineRule="auto"/>
      <w:ind w:firstLine="480" w:firstLineChars="200"/>
    </w:pPr>
    <w:rPr>
      <w:rFonts w:cs="宋体"/>
      <w:sz w:val="24"/>
    </w:rPr>
  </w:style>
  <w:style w:type="character" w:customStyle="1" w:styleId="625">
    <w:name w:val="正文内容 Char"/>
    <w:link w:val="624"/>
    <w:qFormat/>
    <w:uiPriority w:val="0"/>
    <w:rPr>
      <w:rFonts w:ascii="Times New Roman" w:hAnsi="Times New Roman" w:eastAsia="宋体" w:cs="宋体"/>
      <w:kern w:val="2"/>
      <w:sz w:val="24"/>
    </w:rPr>
  </w:style>
  <w:style w:type="character" w:customStyle="1" w:styleId="626">
    <w:name w:val="Intense Quote Char1"/>
    <w:qFormat/>
    <w:uiPriority w:val="0"/>
    <w:rPr>
      <w:rFonts w:ascii="Times New Roman" w:hAnsi="Times New Roman" w:eastAsia="宋体" w:cs="Times New Roman"/>
      <w:b/>
      <w:bCs/>
      <w:i/>
      <w:iCs/>
      <w:color w:val="auto"/>
      <w:sz w:val="21"/>
      <w:szCs w:val="21"/>
    </w:rPr>
  </w:style>
  <w:style w:type="character" w:customStyle="1" w:styleId="627">
    <w:name w:val="row08"/>
    <w:qFormat/>
    <w:uiPriority w:val="0"/>
    <w:rPr>
      <w:rFonts w:ascii="Times New Roman" w:hAnsi="Times New Roman" w:eastAsia="宋体" w:cs="Times New Roman"/>
    </w:rPr>
  </w:style>
  <w:style w:type="character" w:customStyle="1" w:styleId="628">
    <w:name w:val="批注主题 Char1"/>
    <w:qFormat/>
    <w:uiPriority w:val="0"/>
    <w:rPr>
      <w:rFonts w:ascii="Times New Roman" w:hAnsi="Times New Roman" w:eastAsia="宋体" w:cs="Times New Roman"/>
      <w:b/>
      <w:bCs/>
      <w:kern w:val="2"/>
      <w:sz w:val="21"/>
      <w:szCs w:val="21"/>
    </w:rPr>
  </w:style>
  <w:style w:type="character" w:customStyle="1" w:styleId="629">
    <w:name w:val="Char Char81"/>
    <w:qFormat/>
    <w:uiPriority w:val="0"/>
    <w:rPr>
      <w:rFonts w:ascii="Times New Roman" w:hAnsi="Times New Roman" w:eastAsia="宋体" w:cs="Times New Roman"/>
      <w:b/>
      <w:bCs/>
      <w:kern w:val="2"/>
      <w:sz w:val="28"/>
      <w:szCs w:val="28"/>
      <w:lang w:val="en-US" w:eastAsia="zh-CN" w:bidi="ar-SA"/>
    </w:rPr>
  </w:style>
  <w:style w:type="character" w:customStyle="1" w:styleId="630">
    <w:name w:val="副标题 Char1"/>
    <w:qFormat/>
    <w:uiPriority w:val="0"/>
    <w:rPr>
      <w:rFonts w:ascii="Cambria" w:hAnsi="Cambria" w:eastAsia="宋体" w:cs="Times New Roman"/>
      <w:b/>
      <w:bCs/>
      <w:kern w:val="28"/>
      <w:sz w:val="32"/>
      <w:szCs w:val="32"/>
    </w:rPr>
  </w:style>
  <w:style w:type="character" w:customStyle="1" w:styleId="631">
    <w:name w:val="jiankong11"/>
    <w:qFormat/>
    <w:uiPriority w:val="0"/>
    <w:rPr>
      <w:rFonts w:hint="default" w:ascii="Times New Roman" w:hAnsi="Times New Roman" w:eastAsia="宋体" w:cs="Times New Roman"/>
      <w:color w:val="000000"/>
      <w:sz w:val="18"/>
      <w:szCs w:val="18"/>
      <w:u w:val="none"/>
    </w:rPr>
  </w:style>
  <w:style w:type="character" w:customStyle="1" w:styleId="632">
    <w:name w:val="Char Char Char12"/>
    <w:qFormat/>
    <w:uiPriority w:val="0"/>
    <w:rPr>
      <w:rFonts w:ascii="Arial" w:hAnsi="Arial" w:eastAsia="黑体" w:cs="Times New Roman"/>
      <w:b/>
      <w:bCs/>
      <w:kern w:val="2"/>
      <w:sz w:val="32"/>
      <w:szCs w:val="32"/>
      <w:lang w:val="en-US" w:eastAsia="zh-CN" w:bidi="ar-SA"/>
    </w:rPr>
  </w:style>
  <w:style w:type="character" w:customStyle="1" w:styleId="633">
    <w:name w:val="Char Char41"/>
    <w:qFormat/>
    <w:uiPriority w:val="0"/>
    <w:rPr>
      <w:rFonts w:ascii="宋体" w:hAnsi="Cambria" w:eastAsia="宋体" w:cs="Times New Roman"/>
      <w:sz w:val="18"/>
      <w:lang w:eastAsia="en-US" w:bidi="ar-SA"/>
    </w:rPr>
  </w:style>
  <w:style w:type="character" w:customStyle="1" w:styleId="634">
    <w:name w:val="white131"/>
    <w:qFormat/>
    <w:uiPriority w:val="0"/>
    <w:rPr>
      <w:rFonts w:ascii="Times New Roman" w:hAnsi="Times New Roman" w:eastAsia="宋体" w:cs="Times New Roman"/>
      <w:color w:val="000000"/>
      <w:sz w:val="20"/>
      <w:szCs w:val="20"/>
    </w:rPr>
  </w:style>
  <w:style w:type="paragraph" w:customStyle="1" w:styleId="635">
    <w:name w:val="样式 标题 2项目标题 2H2UNDERRUBRIK 1-2h2l2list 2list 2heading 2..."/>
    <w:basedOn w:val="4"/>
    <w:link w:val="636"/>
    <w:qFormat/>
    <w:uiPriority w:val="0"/>
    <w:pPr>
      <w:tabs>
        <w:tab w:val="left" w:pos="0"/>
      </w:tabs>
      <w:spacing w:line="413" w:lineRule="auto"/>
      <w:ind w:left="576" w:right="480" w:rightChars="200" w:firstLine="420"/>
    </w:pPr>
    <w:rPr>
      <w:rFonts w:ascii="宋体" w:hAnsi="宋体" w:cs="Arial Narrow"/>
      <w:bCs/>
      <w:iCs/>
      <w:kern w:val="0"/>
      <w:sz w:val="24"/>
      <w:szCs w:val="24"/>
    </w:rPr>
  </w:style>
  <w:style w:type="character" w:customStyle="1" w:styleId="636">
    <w:name w:val="样式 标题 2项目标题 2H2UNDERRUBRIK 1-2h2l2list 2list 2heading 2... Char"/>
    <w:link w:val="635"/>
    <w:qFormat/>
    <w:uiPriority w:val="0"/>
    <w:rPr>
      <w:rFonts w:ascii="宋体" w:hAnsi="宋体" w:eastAsia="黑体" w:cs="Arial Narrow"/>
      <w:b/>
      <w:bCs/>
      <w:iCs/>
      <w:sz w:val="24"/>
      <w:szCs w:val="24"/>
    </w:rPr>
  </w:style>
  <w:style w:type="character" w:customStyle="1" w:styleId="637">
    <w:name w:val="超链接1"/>
    <w:qFormat/>
    <w:uiPriority w:val="0"/>
    <w:rPr>
      <w:rFonts w:ascii="Times New Roman" w:hAnsi="Times New Roman" w:eastAsia="宋体" w:cs="Times New Roman"/>
      <w:color w:val="0000FF"/>
      <w:u w:val="single"/>
    </w:rPr>
  </w:style>
  <w:style w:type="character" w:customStyle="1" w:styleId="638">
    <w:name w:val="书籍标题2"/>
    <w:qFormat/>
    <w:uiPriority w:val="0"/>
    <w:rPr>
      <w:rFonts w:ascii="Times New Roman" w:hAnsi="Times New Roman" w:eastAsia="宋体" w:cs="Times New Roman"/>
      <w:b/>
      <w:bCs/>
      <w:smallCaps/>
      <w:spacing w:val="5"/>
    </w:rPr>
  </w:style>
  <w:style w:type="paragraph" w:customStyle="1" w:styleId="639">
    <w:name w:val="正文文字"/>
    <w:basedOn w:val="1"/>
    <w:link w:val="640"/>
    <w:qFormat/>
    <w:uiPriority w:val="0"/>
    <w:pPr>
      <w:widowControl/>
      <w:spacing w:line="2375" w:lineRule="atLeast"/>
      <w:ind w:firstLine="419"/>
      <w:textAlignment w:val="baseline"/>
    </w:pPr>
    <w:rPr>
      <w:rFonts w:ascii="宋体"/>
      <w:color w:val="000000"/>
      <w:kern w:val="0"/>
      <w:sz w:val="28"/>
      <w:u w:color="000000"/>
    </w:rPr>
  </w:style>
  <w:style w:type="character" w:customStyle="1" w:styleId="640">
    <w:name w:val="正文文字 Char1"/>
    <w:link w:val="639"/>
    <w:qFormat/>
    <w:uiPriority w:val="0"/>
    <w:rPr>
      <w:rFonts w:ascii="宋体" w:hAnsi="Times New Roman" w:eastAsia="宋体" w:cs="Times New Roman"/>
      <w:color w:val="000000"/>
      <w:sz w:val="28"/>
      <w:u w:val="none" w:color="000000"/>
      <w:lang w:val="en-US" w:eastAsia="zh-CN" w:bidi="ar-SA"/>
    </w:rPr>
  </w:style>
  <w:style w:type="character" w:customStyle="1" w:styleId="641">
    <w:name w:val="grame"/>
    <w:qFormat/>
    <w:uiPriority w:val="0"/>
    <w:rPr>
      <w:rFonts w:ascii="Times New Roman" w:hAnsi="Times New Roman" w:eastAsia="宋体" w:cs="Times New Roman"/>
    </w:rPr>
  </w:style>
  <w:style w:type="character" w:customStyle="1" w:styleId="642">
    <w:name w:val="正文文字 Char"/>
    <w:qFormat/>
    <w:uiPriority w:val="0"/>
    <w:rPr>
      <w:rFonts w:ascii="Arial" w:hAnsi="Arial" w:eastAsia="宋体" w:cs="Arial"/>
      <w:kern w:val="2"/>
      <w:sz w:val="24"/>
      <w:lang w:val="en-US" w:eastAsia="zh-CN" w:bidi="ar-SA"/>
    </w:rPr>
  </w:style>
  <w:style w:type="character" w:customStyle="1" w:styleId="643">
    <w:name w:val="明显参考1"/>
    <w:qFormat/>
    <w:uiPriority w:val="0"/>
    <w:rPr>
      <w:rFonts w:ascii="Times New Roman" w:hAnsi="Times New Roman" w:eastAsia="宋体" w:cs="Times New Roman"/>
      <w:b/>
      <w:bCs/>
      <w:smallCaps/>
      <w:color w:val="C0504D"/>
      <w:spacing w:val="5"/>
      <w:u w:val="single"/>
    </w:rPr>
  </w:style>
  <w:style w:type="paragraph" w:customStyle="1" w:styleId="644">
    <w:name w:val="Default Text"/>
    <w:link w:val="645"/>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645">
    <w:name w:val="Default Text Char"/>
    <w:link w:val="644"/>
    <w:qFormat/>
    <w:uiPriority w:val="0"/>
    <w:rPr>
      <w:rFonts w:ascii="Times New Roman" w:hAnsi="Times New Roman" w:eastAsia="宋体" w:cs="Times New Roman"/>
      <w:color w:val="000000"/>
      <w:sz w:val="24"/>
      <w:szCs w:val="24"/>
      <w:lang w:val="en-US" w:eastAsia="zh-CN" w:bidi="ar-SA"/>
    </w:rPr>
  </w:style>
  <w:style w:type="paragraph" w:customStyle="1" w:styleId="646">
    <w:name w:val="样式1"/>
    <w:basedOn w:val="1"/>
    <w:link w:val="647"/>
    <w:qFormat/>
    <w:uiPriority w:val="0"/>
    <w:pPr>
      <w:numPr>
        <w:ilvl w:val="0"/>
        <w:numId w:val="23"/>
      </w:numPr>
      <w:tabs>
        <w:tab w:val="left" w:pos="709"/>
      </w:tabs>
      <w:adjustRightInd w:val="0"/>
    </w:pPr>
    <w:rPr>
      <w:rFonts w:ascii="宋体" w:hAnsi="宋体"/>
      <w:kern w:val="0"/>
      <w:szCs w:val="21"/>
    </w:rPr>
  </w:style>
  <w:style w:type="character" w:customStyle="1" w:styleId="647">
    <w:name w:val="样式1 Char"/>
    <w:link w:val="646"/>
    <w:qFormat/>
    <w:uiPriority w:val="0"/>
    <w:rPr>
      <w:rFonts w:ascii="宋体" w:hAnsi="宋体" w:eastAsia="宋体" w:cs="Times New Roman"/>
      <w:sz w:val="21"/>
      <w:szCs w:val="21"/>
    </w:rPr>
  </w:style>
  <w:style w:type="character" w:customStyle="1" w:styleId="648">
    <w:name w:val="正文首行缩进 2 Char"/>
    <w:qFormat/>
    <w:uiPriority w:val="0"/>
    <w:rPr>
      <w:rFonts w:ascii="宋体" w:hAnsi="宋体" w:eastAsia="宋体" w:cs="Times New Roman"/>
      <w:kern w:val="2"/>
      <w:sz w:val="21"/>
    </w:rPr>
  </w:style>
  <w:style w:type="character" w:customStyle="1" w:styleId="649">
    <w:name w:val="标题 2 Char2"/>
    <w:qFormat/>
    <w:uiPriority w:val="0"/>
    <w:rPr>
      <w:rFonts w:ascii="等线 Light" w:hAnsi="等线 Light" w:eastAsia="黑体" w:cs="Times New Roman"/>
      <w:bCs/>
      <w:kern w:val="2"/>
      <w:sz w:val="32"/>
      <w:szCs w:val="32"/>
    </w:rPr>
  </w:style>
  <w:style w:type="character" w:customStyle="1" w:styleId="650">
    <w:name w:val="标题 5 Char2"/>
    <w:qFormat/>
    <w:uiPriority w:val="0"/>
    <w:rPr>
      <w:rFonts w:ascii="Times New Roman" w:hAnsi="Times New Roman" w:eastAsia="宋体" w:cs="Times New Roman"/>
      <w:b/>
      <w:bCs/>
      <w:sz w:val="28"/>
      <w:szCs w:val="28"/>
    </w:rPr>
  </w:style>
  <w:style w:type="character" w:customStyle="1" w:styleId="651">
    <w:name w:val="标题 7 Char3"/>
    <w:qFormat/>
    <w:uiPriority w:val="0"/>
    <w:rPr>
      <w:rFonts w:ascii="Times New Roman" w:hAnsi="Times New Roman" w:eastAsia="黑体" w:cs="Times New Roman"/>
      <w:b/>
      <w:bCs/>
      <w:szCs w:val="24"/>
    </w:rPr>
  </w:style>
  <w:style w:type="paragraph" w:customStyle="1" w:styleId="652">
    <w:name w:val="表1"/>
    <w:basedOn w:val="1"/>
    <w:link w:val="653"/>
    <w:qFormat/>
    <w:uiPriority w:val="0"/>
    <w:pPr>
      <w:numPr>
        <w:ilvl w:val="0"/>
        <w:numId w:val="24"/>
      </w:numPr>
      <w:spacing w:line="360" w:lineRule="auto"/>
      <w:ind w:firstLine="0"/>
      <w:jc w:val="center"/>
    </w:pPr>
    <w:rPr>
      <w:rFonts w:ascii="Arial" w:hAnsi="Arial" w:cs="宋体"/>
    </w:rPr>
  </w:style>
  <w:style w:type="character" w:customStyle="1" w:styleId="653">
    <w:name w:val="表1 Char"/>
    <w:link w:val="652"/>
    <w:qFormat/>
    <w:uiPriority w:val="0"/>
    <w:rPr>
      <w:rFonts w:ascii="Arial" w:hAnsi="Arial" w:eastAsia="宋体" w:cs="宋体"/>
      <w:kern w:val="2"/>
      <w:sz w:val="21"/>
    </w:rPr>
  </w:style>
  <w:style w:type="paragraph" w:customStyle="1" w:styleId="654">
    <w:name w:val="HIK正文 无缩进"/>
    <w:basedOn w:val="1"/>
    <w:link w:val="655"/>
    <w:autoRedefine/>
    <w:qFormat/>
    <w:uiPriority w:val="0"/>
    <w:pPr>
      <w:spacing w:line="360" w:lineRule="auto"/>
    </w:pPr>
    <w:rPr>
      <w:rFonts w:ascii="宋体" w:hAnsi="宋体"/>
      <w:kern w:val="0"/>
      <w:sz w:val="24"/>
    </w:rPr>
  </w:style>
  <w:style w:type="character" w:customStyle="1" w:styleId="655">
    <w:name w:val="HIK正文 无缩进 Char"/>
    <w:link w:val="654"/>
    <w:qFormat/>
    <w:uiPriority w:val="0"/>
    <w:rPr>
      <w:rFonts w:ascii="宋体" w:hAnsi="宋体" w:eastAsia="宋体" w:cs="Times New Roman"/>
      <w:sz w:val="24"/>
    </w:rPr>
  </w:style>
  <w:style w:type="paragraph" w:customStyle="1" w:styleId="656">
    <w:name w:val="hik 首行缩进"/>
    <w:basedOn w:val="1"/>
    <w:link w:val="657"/>
    <w:qFormat/>
    <w:uiPriority w:val="0"/>
    <w:pPr>
      <w:spacing w:line="360" w:lineRule="auto"/>
      <w:ind w:firstLine="480" w:firstLineChars="200"/>
      <w:jc w:val="left"/>
    </w:pPr>
    <w:rPr>
      <w:rFonts w:ascii="宋体" w:hAnsi="宋体"/>
      <w:kern w:val="0"/>
      <w:sz w:val="24"/>
      <w:szCs w:val="32"/>
    </w:rPr>
  </w:style>
  <w:style w:type="character" w:customStyle="1" w:styleId="657">
    <w:name w:val="hik 首行缩进 Char"/>
    <w:link w:val="656"/>
    <w:qFormat/>
    <w:uiPriority w:val="0"/>
    <w:rPr>
      <w:rFonts w:ascii="宋体" w:hAnsi="宋体" w:eastAsia="宋体" w:cs="Times New Roman"/>
      <w:sz w:val="24"/>
      <w:szCs w:val="32"/>
    </w:rPr>
  </w:style>
  <w:style w:type="paragraph" w:customStyle="1" w:styleId="658">
    <w:name w:val="标题2"/>
    <w:basedOn w:val="4"/>
    <w:link w:val="659"/>
    <w:qFormat/>
    <w:uiPriority w:val="0"/>
    <w:pPr>
      <w:keepNext w:val="0"/>
      <w:keepLines w:val="0"/>
      <w:spacing w:before="0" w:after="0" w:line="240" w:lineRule="auto"/>
      <w:ind w:firstLine="200" w:firstLineChars="200"/>
      <w:jc w:val="left"/>
    </w:pPr>
    <w:rPr>
      <w:rFonts w:ascii="宋体" w:hAnsi="等线"/>
      <w:b w:val="0"/>
      <w:szCs w:val="22"/>
    </w:rPr>
  </w:style>
  <w:style w:type="character" w:customStyle="1" w:styleId="659">
    <w:name w:val="标题2 Char"/>
    <w:link w:val="658"/>
    <w:qFormat/>
    <w:uiPriority w:val="0"/>
    <w:rPr>
      <w:rFonts w:ascii="宋体" w:hAnsi="等线" w:eastAsia="宋体" w:cs="Times New Roman"/>
      <w:kern w:val="2"/>
      <w:sz w:val="32"/>
      <w:szCs w:val="22"/>
    </w:rPr>
  </w:style>
  <w:style w:type="paragraph" w:customStyle="1" w:styleId="660">
    <w:name w:val="无间隔1"/>
    <w:link w:val="661"/>
    <w:qFormat/>
    <w:uiPriority w:val="0"/>
    <w:pPr>
      <w:widowControl w:val="0"/>
      <w:jc w:val="both"/>
    </w:pPr>
    <w:rPr>
      <w:rFonts w:ascii="Times New Roman" w:hAnsi="Times New Roman" w:eastAsia="宋体" w:cs="Times New Roman"/>
      <w:kern w:val="2"/>
      <w:sz w:val="24"/>
      <w:szCs w:val="21"/>
      <w:lang w:val="en-US" w:eastAsia="zh-CN" w:bidi="ar-SA"/>
    </w:rPr>
  </w:style>
  <w:style w:type="character" w:customStyle="1" w:styleId="661">
    <w:name w:val="No Spacing Char"/>
    <w:link w:val="660"/>
    <w:qFormat/>
    <w:uiPriority w:val="0"/>
    <w:rPr>
      <w:rFonts w:ascii="Times New Roman" w:hAnsi="Times New Roman" w:eastAsia="宋体" w:cs="Times New Roman"/>
      <w:kern w:val="2"/>
      <w:sz w:val="24"/>
      <w:szCs w:val="21"/>
    </w:rPr>
  </w:style>
  <w:style w:type="character" w:customStyle="1" w:styleId="662">
    <w:name w:val="fontstyle01"/>
    <w:qFormat/>
    <w:uiPriority w:val="0"/>
    <w:rPr>
      <w:rFonts w:hint="eastAsia" w:ascii="宋体" w:hAnsi="宋体" w:eastAsia="宋体" w:cs="Times New Roman"/>
      <w:color w:val="000000"/>
      <w:sz w:val="24"/>
      <w:szCs w:val="24"/>
    </w:rPr>
  </w:style>
  <w:style w:type="character" w:customStyle="1" w:styleId="663">
    <w:name w:val="标题 Char1"/>
    <w:qFormat/>
    <w:uiPriority w:val="0"/>
    <w:rPr>
      <w:rFonts w:ascii="等线 Light" w:hAnsi="等线 Light" w:eastAsia="宋体" w:cs="Times New Roman"/>
      <w:b/>
      <w:bCs/>
      <w:sz w:val="32"/>
      <w:szCs w:val="32"/>
    </w:rPr>
  </w:style>
  <w:style w:type="paragraph" w:customStyle="1" w:styleId="664">
    <w:name w:val="标题5"/>
    <w:basedOn w:val="1"/>
    <w:next w:val="1"/>
    <w:link w:val="665"/>
    <w:qFormat/>
    <w:uiPriority w:val="0"/>
    <w:pPr>
      <w:spacing w:before="156" w:beforeLines="50" w:after="156" w:afterLines="50" w:line="360" w:lineRule="auto"/>
      <w:ind w:left="992" w:hanging="992"/>
      <w:outlineLvl w:val="4"/>
    </w:pPr>
    <w:rPr>
      <w:rFonts w:eastAsia="仿宋"/>
      <w:sz w:val="24"/>
      <w:szCs w:val="24"/>
    </w:rPr>
  </w:style>
  <w:style w:type="character" w:customStyle="1" w:styleId="665">
    <w:name w:val="标题5 Char"/>
    <w:link w:val="664"/>
    <w:qFormat/>
    <w:uiPriority w:val="0"/>
    <w:rPr>
      <w:rFonts w:ascii="Times New Roman" w:hAnsi="Times New Roman" w:eastAsia="仿宋" w:cs="Times New Roman"/>
      <w:kern w:val="2"/>
      <w:sz w:val="24"/>
      <w:szCs w:val="24"/>
    </w:rPr>
  </w:style>
  <w:style w:type="paragraph" w:customStyle="1" w:styleId="666">
    <w:name w:val="图片样式"/>
    <w:basedOn w:val="203"/>
    <w:link w:val="667"/>
    <w:qFormat/>
    <w:uiPriority w:val="0"/>
    <w:pPr>
      <w:ind w:firstLine="0" w:firstLineChars="0"/>
      <w:jc w:val="center"/>
    </w:pPr>
    <w:rPr>
      <w:rFonts w:ascii="Arial" w:hAnsi="Arial" w:eastAsia="仿宋" w:cs="Times New Roman"/>
    </w:rPr>
  </w:style>
  <w:style w:type="character" w:customStyle="1" w:styleId="667">
    <w:name w:val="图片样式 Char"/>
    <w:link w:val="666"/>
    <w:qFormat/>
    <w:uiPriority w:val="0"/>
    <w:rPr>
      <w:rFonts w:ascii="Arial" w:hAnsi="Arial" w:eastAsia="仿宋" w:cs="宋体"/>
      <w:kern w:val="2"/>
      <w:sz w:val="24"/>
    </w:rPr>
  </w:style>
  <w:style w:type="character" w:customStyle="1" w:styleId="668">
    <w:name w:val="Char Char"/>
    <w:qFormat/>
    <w:uiPriority w:val="0"/>
    <w:rPr>
      <w:rFonts w:ascii="宋体" w:hAnsi="Helv" w:eastAsia="宋体" w:cs="Times New Roman"/>
      <w:color w:val="000000"/>
      <w:kern w:val="2"/>
      <w:sz w:val="24"/>
      <w:lang w:val="en-US" w:eastAsia="zh-CN" w:bidi="ar-SA"/>
    </w:rPr>
  </w:style>
  <w:style w:type="character" w:customStyle="1" w:styleId="669">
    <w:name w:val="ccmtdefault"/>
    <w:qFormat/>
    <w:uiPriority w:val="0"/>
    <w:rPr>
      <w:rFonts w:ascii="Times New Roman" w:hAnsi="Times New Roman" w:eastAsia="宋体" w:cs="Times New Roman"/>
    </w:rPr>
  </w:style>
  <w:style w:type="character" w:customStyle="1" w:styleId="670">
    <w:name w:val="small"/>
    <w:qFormat/>
    <w:uiPriority w:val="0"/>
    <w:rPr>
      <w:rFonts w:ascii="Times New Roman" w:hAnsi="Times New Roman" w:eastAsia="宋体" w:cs="Times New Roman"/>
    </w:rPr>
  </w:style>
  <w:style w:type="paragraph" w:customStyle="1" w:styleId="671">
    <w:name w:val="z-窗体顶端1"/>
    <w:basedOn w:val="1"/>
    <w:next w:val="1"/>
    <w:link w:val="672"/>
    <w:qFormat/>
    <w:uiPriority w:val="0"/>
    <w:pPr>
      <w:widowControl/>
      <w:pBdr>
        <w:bottom w:val="single" w:color="auto" w:sz="6" w:space="1"/>
      </w:pBdr>
      <w:spacing w:line="360" w:lineRule="auto"/>
      <w:ind w:firstLine="480" w:firstLineChars="200"/>
      <w:jc w:val="center"/>
    </w:pPr>
    <w:rPr>
      <w:rFonts w:ascii="Arial" w:hAnsi="Arial" w:cs="Arial"/>
      <w:vanish/>
      <w:kern w:val="0"/>
      <w:sz w:val="16"/>
      <w:szCs w:val="16"/>
    </w:rPr>
  </w:style>
  <w:style w:type="character" w:customStyle="1" w:styleId="672">
    <w:name w:val="z-窗体顶端 字符"/>
    <w:link w:val="671"/>
    <w:qFormat/>
    <w:uiPriority w:val="0"/>
    <w:rPr>
      <w:rFonts w:ascii="Arial" w:hAnsi="Arial" w:eastAsia="宋体" w:cs="Arial"/>
      <w:vanish/>
      <w:sz w:val="16"/>
      <w:szCs w:val="16"/>
    </w:rPr>
  </w:style>
  <w:style w:type="character" w:customStyle="1" w:styleId="673">
    <w:name w:val="页眉 Char2"/>
    <w:qFormat/>
    <w:uiPriority w:val="0"/>
    <w:rPr>
      <w:rFonts w:ascii="等线" w:hAnsi="等线" w:eastAsia="等线" w:cs="Times New Roman"/>
      <w:kern w:val="2"/>
      <w:sz w:val="21"/>
      <w:szCs w:val="21"/>
    </w:rPr>
  </w:style>
  <w:style w:type="character" w:customStyle="1" w:styleId="674">
    <w:name w:val="Char Char7"/>
    <w:qFormat/>
    <w:uiPriority w:val="0"/>
    <w:rPr>
      <w:rFonts w:ascii="Times New Roman" w:hAnsi="Times New Roman" w:eastAsia="宋体" w:cs="Times New Roman"/>
      <w:kern w:val="2"/>
      <w:sz w:val="21"/>
      <w:szCs w:val="24"/>
      <w:lang w:val="en-US" w:eastAsia="zh-CN" w:bidi="ar-SA"/>
    </w:rPr>
  </w:style>
  <w:style w:type="paragraph" w:customStyle="1" w:styleId="675">
    <w:name w:val="5号正文"/>
    <w:basedOn w:val="30"/>
    <w:link w:val="676"/>
    <w:qFormat/>
    <w:uiPriority w:val="0"/>
    <w:pPr>
      <w:spacing w:after="0" w:line="240" w:lineRule="auto"/>
      <w:ind w:firstLine="0" w:firstLineChars="0"/>
    </w:pPr>
    <w:rPr>
      <w:sz w:val="21"/>
      <w:szCs w:val="24"/>
    </w:rPr>
  </w:style>
  <w:style w:type="character" w:customStyle="1" w:styleId="676">
    <w:name w:val="5号正文 Char"/>
    <w:link w:val="675"/>
    <w:qFormat/>
    <w:uiPriority w:val="0"/>
    <w:rPr>
      <w:rFonts w:ascii="Times New Roman" w:hAnsi="Times New Roman" w:eastAsia="宋体" w:cs="Times New Roman"/>
      <w:kern w:val="2"/>
      <w:sz w:val="21"/>
      <w:szCs w:val="24"/>
    </w:rPr>
  </w:style>
  <w:style w:type="character" w:customStyle="1" w:styleId="677">
    <w:name w:val="书籍标题11"/>
    <w:qFormat/>
    <w:uiPriority w:val="0"/>
    <w:rPr>
      <w:rFonts w:ascii="Times New Roman" w:hAnsi="Times New Roman" w:eastAsia="宋体" w:cs="Times New Roman"/>
      <w:b/>
      <w:bCs/>
      <w:smallCaps/>
      <w:spacing w:val="5"/>
    </w:rPr>
  </w:style>
  <w:style w:type="paragraph" w:customStyle="1" w:styleId="678">
    <w:name w:val="正文（缩进）"/>
    <w:basedOn w:val="1"/>
    <w:link w:val="679"/>
    <w:qFormat/>
    <w:uiPriority w:val="0"/>
    <w:pPr>
      <w:spacing w:beforeLines="50" w:afterLines="50" w:line="360" w:lineRule="auto"/>
      <w:ind w:firstLine="480" w:firstLineChars="200"/>
    </w:pPr>
    <w:rPr>
      <w:sz w:val="24"/>
      <w:szCs w:val="24"/>
    </w:rPr>
  </w:style>
  <w:style w:type="character" w:customStyle="1" w:styleId="679">
    <w:name w:val="正文（缩进） Char"/>
    <w:link w:val="678"/>
    <w:qFormat/>
    <w:uiPriority w:val="0"/>
    <w:rPr>
      <w:rFonts w:ascii="Times New Roman" w:hAnsi="Times New Roman" w:eastAsia="宋体" w:cs="Times New Roman"/>
      <w:kern w:val="2"/>
      <w:sz w:val="24"/>
      <w:szCs w:val="24"/>
    </w:rPr>
  </w:style>
  <w:style w:type="character" w:customStyle="1" w:styleId="680">
    <w:name w:val="标题 7 Char2"/>
    <w:qFormat/>
    <w:uiPriority w:val="0"/>
    <w:rPr>
      <w:rFonts w:ascii="Times New Roman" w:hAnsi="Times New Roman" w:eastAsia="宋体" w:cs="Times New Roman"/>
      <w:b/>
      <w:color w:val="000000"/>
      <w:kern w:val="2"/>
      <w:sz w:val="24"/>
      <w:szCs w:val="24"/>
    </w:rPr>
  </w:style>
  <w:style w:type="paragraph" w:styleId="681">
    <w:name w:val="Intense Quote"/>
    <w:basedOn w:val="1"/>
    <w:next w:val="1"/>
    <w:link w:val="682"/>
    <w:qFormat/>
    <w:uiPriority w:val="0"/>
    <w:pPr>
      <w:pBdr>
        <w:bottom w:val="single" w:color="4F81BD" w:sz="4" w:space="4"/>
      </w:pBdr>
      <w:spacing w:before="200" w:after="280" w:line="360" w:lineRule="auto"/>
      <w:ind w:left="936" w:right="936" w:firstLine="480" w:firstLineChars="200"/>
    </w:pPr>
    <w:rPr>
      <w:rFonts w:ascii="宋体" w:hAnsi="宋体" w:cs="宋体"/>
      <w:b/>
      <w:bCs/>
      <w:i/>
      <w:iCs/>
      <w:color w:val="4F81BD"/>
      <w:kern w:val="0"/>
      <w:sz w:val="24"/>
      <w:szCs w:val="24"/>
    </w:rPr>
  </w:style>
  <w:style w:type="character" w:customStyle="1" w:styleId="682">
    <w:name w:val="明显引用 Char"/>
    <w:link w:val="681"/>
    <w:qFormat/>
    <w:uiPriority w:val="0"/>
    <w:rPr>
      <w:rFonts w:ascii="宋体" w:hAnsi="宋体" w:eastAsia="宋体" w:cs="宋体"/>
      <w:b/>
      <w:bCs/>
      <w:i/>
      <w:iCs/>
      <w:color w:val="4F81BD"/>
      <w:sz w:val="24"/>
      <w:szCs w:val="24"/>
    </w:rPr>
  </w:style>
  <w:style w:type="character" w:customStyle="1" w:styleId="683">
    <w:name w:val="正文缩进1 Char"/>
    <w:qFormat/>
    <w:uiPriority w:val="0"/>
    <w:rPr>
      <w:rFonts w:ascii="宋体" w:hAnsi="宋体" w:eastAsia="宋体" w:cs="宋体"/>
      <w:color w:val="000000"/>
      <w:kern w:val="0"/>
      <w:sz w:val="24"/>
      <w:szCs w:val="24"/>
    </w:rPr>
  </w:style>
  <w:style w:type="paragraph" w:customStyle="1" w:styleId="684">
    <w:name w:val="Item List"/>
    <w:link w:val="685"/>
    <w:qFormat/>
    <w:uiPriority w:val="0"/>
    <w:pPr>
      <w:tabs>
        <w:tab w:val="left" w:pos="360"/>
        <w:tab w:val="left" w:pos="785"/>
      </w:tabs>
      <w:spacing w:line="300" w:lineRule="auto"/>
      <w:jc w:val="both"/>
    </w:pPr>
    <w:rPr>
      <w:rFonts w:ascii="Arial" w:hAnsi="Arial" w:eastAsia="宋体" w:cs="Times New Roman"/>
      <w:sz w:val="24"/>
      <w:lang w:val="en-US" w:eastAsia="zh-CN" w:bidi="ar-SA"/>
    </w:rPr>
  </w:style>
  <w:style w:type="character" w:customStyle="1" w:styleId="685">
    <w:name w:val="Item List Char"/>
    <w:link w:val="684"/>
    <w:qFormat/>
    <w:uiPriority w:val="0"/>
    <w:rPr>
      <w:rFonts w:ascii="Arial" w:hAnsi="Arial" w:eastAsia="宋体" w:cs="Times New Roman"/>
      <w:sz w:val="24"/>
    </w:rPr>
  </w:style>
  <w:style w:type="paragraph" w:customStyle="1" w:styleId="686">
    <w:name w:val="Table Text"/>
    <w:link w:val="687"/>
    <w:qFormat/>
    <w:uiPriority w:val="0"/>
    <w:pPr>
      <w:snapToGrid w:val="0"/>
      <w:spacing w:before="80" w:after="80"/>
    </w:pPr>
    <w:rPr>
      <w:rFonts w:ascii="Arial" w:hAnsi="Arial" w:eastAsia="宋体" w:cs="Times New Roman"/>
      <w:sz w:val="18"/>
      <w:lang w:val="en-US" w:eastAsia="zh-CN" w:bidi="ar-SA"/>
    </w:rPr>
  </w:style>
  <w:style w:type="character" w:customStyle="1" w:styleId="687">
    <w:name w:val="Table Text Char1"/>
    <w:link w:val="686"/>
    <w:qFormat/>
    <w:uiPriority w:val="0"/>
    <w:rPr>
      <w:rFonts w:ascii="Arial" w:hAnsi="Arial" w:eastAsia="宋体" w:cs="Times New Roman"/>
      <w:sz w:val="18"/>
    </w:rPr>
  </w:style>
  <w:style w:type="character" w:customStyle="1" w:styleId="688">
    <w:name w:val="文字 Char Char"/>
    <w:qFormat/>
    <w:uiPriority w:val="0"/>
    <w:rPr>
      <w:rFonts w:ascii="宋体" w:hAnsi="Times New Roman" w:eastAsia="宋体" w:cs="Times New Roman"/>
      <w:kern w:val="2"/>
      <w:sz w:val="28"/>
      <w:lang w:val="en-US" w:eastAsia="zh-CN" w:bidi="ar-SA"/>
    </w:rPr>
  </w:style>
  <w:style w:type="character" w:customStyle="1" w:styleId="689">
    <w:name w:val="text_show1"/>
    <w:qFormat/>
    <w:uiPriority w:val="0"/>
    <w:rPr>
      <w:rFonts w:ascii="Times New Roman" w:hAnsi="Times New Roman" w:eastAsia="宋体" w:cs="Times New Roman"/>
      <w:color w:val="000000"/>
      <w:sz w:val="21"/>
      <w:szCs w:val="21"/>
      <w:u w:val="none"/>
    </w:rPr>
  </w:style>
  <w:style w:type="character" w:customStyle="1" w:styleId="690">
    <w:name w:val="正文文本 Char1"/>
    <w:qFormat/>
    <w:uiPriority w:val="0"/>
    <w:rPr>
      <w:rFonts w:ascii="Times New Roman" w:hAnsi="Times New Roman" w:eastAsia="宋体" w:cs="Times New Roman"/>
      <w:kern w:val="2"/>
      <w:sz w:val="24"/>
      <w:szCs w:val="24"/>
      <w:lang w:val="en-US" w:eastAsia="zh-CN" w:bidi="ar-SA"/>
    </w:rPr>
  </w:style>
  <w:style w:type="character" w:customStyle="1" w:styleId="691">
    <w:name w:val="zhu-ti14"/>
    <w:qFormat/>
    <w:uiPriority w:val="0"/>
    <w:rPr>
      <w:rFonts w:ascii="Times New Roman" w:hAnsi="Times New Roman" w:eastAsia="宋体" w:cs="Times New Roman"/>
    </w:rPr>
  </w:style>
  <w:style w:type="character" w:customStyle="1" w:styleId="692">
    <w:name w:val="f141"/>
    <w:qFormat/>
    <w:uiPriority w:val="0"/>
    <w:rPr>
      <w:rFonts w:ascii="Times New Roman" w:hAnsi="Times New Roman" w:eastAsia="宋体" w:cs="Times New Roman"/>
    </w:rPr>
  </w:style>
  <w:style w:type="character" w:customStyle="1" w:styleId="693">
    <w:name w:val="发布"/>
    <w:qFormat/>
    <w:uiPriority w:val="0"/>
    <w:rPr>
      <w:rFonts w:ascii="黑体" w:hAnsi="Times New Roman" w:eastAsia="黑体" w:cs="Times New Roman"/>
      <w:spacing w:val="22"/>
      <w:w w:val="100"/>
      <w:position w:val="3"/>
      <w:sz w:val="28"/>
    </w:rPr>
  </w:style>
  <w:style w:type="character" w:customStyle="1" w:styleId="694">
    <w:name w:val="Char Char12"/>
    <w:qFormat/>
    <w:uiPriority w:val="0"/>
    <w:rPr>
      <w:rFonts w:ascii="Times New Roman" w:hAnsi="Times New Roman" w:eastAsia="宋体" w:cs="Times New Roman"/>
      <w:b/>
      <w:bCs/>
      <w:kern w:val="44"/>
      <w:sz w:val="44"/>
      <w:szCs w:val="44"/>
      <w:lang w:val="en-US" w:eastAsia="zh-CN" w:bidi="ar-SA"/>
    </w:rPr>
  </w:style>
  <w:style w:type="character" w:customStyle="1" w:styleId="695">
    <w:name w:val="Char Char111"/>
    <w:qFormat/>
    <w:uiPriority w:val="0"/>
    <w:rPr>
      <w:rFonts w:ascii="Arial" w:hAnsi="Arial" w:eastAsia="黑体" w:cs="Times New Roman"/>
      <w:b/>
      <w:bCs/>
      <w:kern w:val="2"/>
      <w:sz w:val="32"/>
      <w:szCs w:val="32"/>
      <w:lang w:val="en-US" w:eastAsia="zh-CN" w:bidi="ar-SA"/>
    </w:rPr>
  </w:style>
  <w:style w:type="character" w:customStyle="1" w:styleId="696">
    <w:name w:val="样式 宋体"/>
    <w:qFormat/>
    <w:uiPriority w:val="0"/>
    <w:rPr>
      <w:rFonts w:ascii="宋体" w:hAnsi="宋体" w:eastAsia="宋体" w:cs="Times New Roman"/>
      <w:sz w:val="24"/>
      <w:szCs w:val="24"/>
    </w:rPr>
  </w:style>
  <w:style w:type="character" w:customStyle="1" w:styleId="697">
    <w:name w:val="font8e"/>
    <w:qFormat/>
    <w:uiPriority w:val="0"/>
    <w:rPr>
      <w:rFonts w:ascii="Verdana" w:hAnsi="Verdana" w:eastAsia="宋体" w:cs="宋体"/>
      <w:sz w:val="44"/>
      <w:lang w:val="en-US" w:eastAsia="en-US" w:bidi="ar-SA"/>
    </w:rPr>
  </w:style>
  <w:style w:type="character" w:customStyle="1" w:styleId="698">
    <w:name w:val="style111"/>
    <w:qFormat/>
    <w:uiPriority w:val="0"/>
    <w:rPr>
      <w:rFonts w:ascii="Verdana" w:hAnsi="Verdana" w:eastAsia="宋体" w:cs="宋体"/>
      <w:color w:val="0000FF"/>
      <w:sz w:val="44"/>
      <w:lang w:val="en-US" w:eastAsia="en-US" w:bidi="ar-SA"/>
    </w:rPr>
  </w:style>
  <w:style w:type="character" w:customStyle="1" w:styleId="699">
    <w:name w:val="font12-red-bold1"/>
    <w:qFormat/>
    <w:uiPriority w:val="0"/>
    <w:rPr>
      <w:rFonts w:ascii="Verdana" w:hAnsi="Verdana" w:eastAsia="宋体" w:cs="宋体"/>
      <w:b/>
      <w:bCs/>
      <w:color w:val="FF4A00"/>
      <w:sz w:val="21"/>
      <w:szCs w:val="21"/>
      <w:u w:val="none"/>
      <w:lang w:val="en-US" w:eastAsia="en-US" w:bidi="ar-SA"/>
    </w:rPr>
  </w:style>
  <w:style w:type="character" w:customStyle="1" w:styleId="700">
    <w:name w:val="标准正文 Char1"/>
    <w:qFormat/>
    <w:uiPriority w:val="0"/>
    <w:rPr>
      <w:rFonts w:ascii="Times New Roman" w:hAnsi="Times New Roman" w:eastAsia="宋体" w:cs="Times New Roman"/>
      <w:kern w:val="2"/>
      <w:sz w:val="24"/>
      <w:lang w:val="en-US" w:eastAsia="zh-CN" w:bidi="ar-SA"/>
    </w:rPr>
  </w:style>
  <w:style w:type="character" w:customStyle="1" w:styleId="701">
    <w:name w:val="3zw1"/>
    <w:qFormat/>
    <w:uiPriority w:val="0"/>
    <w:rPr>
      <w:rFonts w:ascii="Times New Roman" w:hAnsi="Times New Roman" w:eastAsia="宋体" w:cs="Times New Roman"/>
      <w:color w:val="000000"/>
      <w:sz w:val="21"/>
      <w:szCs w:val="21"/>
    </w:rPr>
  </w:style>
  <w:style w:type="paragraph" w:customStyle="1" w:styleId="702">
    <w:name w:val="图题目"/>
    <w:next w:val="1"/>
    <w:link w:val="703"/>
    <w:qFormat/>
    <w:uiPriority w:val="0"/>
    <w:pPr>
      <w:numPr>
        <w:ilvl w:val="0"/>
        <w:numId w:val="25"/>
      </w:numPr>
      <w:spacing w:beforeLines="50" w:after="120"/>
      <w:jc w:val="center"/>
    </w:pPr>
    <w:rPr>
      <w:rFonts w:ascii="Times New Roman" w:hAnsi="Times New Roman" w:eastAsia="楷体_GB2312" w:cs="Times New Roman"/>
      <w:kern w:val="24"/>
      <w:sz w:val="24"/>
      <w:szCs w:val="18"/>
      <w:lang w:val="en-US" w:eastAsia="zh-CN" w:bidi="ar-SA"/>
    </w:rPr>
  </w:style>
  <w:style w:type="character" w:customStyle="1" w:styleId="703">
    <w:name w:val="图题目 Char"/>
    <w:link w:val="702"/>
    <w:qFormat/>
    <w:uiPriority w:val="0"/>
    <w:rPr>
      <w:rFonts w:ascii="Times New Roman" w:hAnsi="Times New Roman" w:eastAsia="楷体_GB2312" w:cs="Times New Roman"/>
      <w:kern w:val="24"/>
      <w:sz w:val="24"/>
      <w:szCs w:val="18"/>
    </w:rPr>
  </w:style>
  <w:style w:type="character" w:customStyle="1" w:styleId="704">
    <w:name w:val="Char Char13"/>
    <w:qFormat/>
    <w:uiPriority w:val="0"/>
    <w:rPr>
      <w:rFonts w:ascii="Times New Roman" w:hAnsi="Times New Roman" w:eastAsia="宋体" w:cs="Times New Roman"/>
      <w:kern w:val="2"/>
      <w:sz w:val="24"/>
      <w:szCs w:val="24"/>
      <w:shd w:val="clear" w:color="auto" w:fill="000080"/>
    </w:rPr>
  </w:style>
  <w:style w:type="paragraph" w:customStyle="1" w:styleId="705">
    <w:name w:val="Table Text Char"/>
    <w:link w:val="706"/>
    <w:qFormat/>
    <w:uiPriority w:val="0"/>
    <w:pPr>
      <w:snapToGrid w:val="0"/>
      <w:spacing w:before="80" w:after="80"/>
    </w:pPr>
    <w:rPr>
      <w:rFonts w:ascii="Arial" w:hAnsi="Arial" w:eastAsia="宋体" w:cs="Times New Roman"/>
      <w:sz w:val="18"/>
      <w:lang w:val="en-US" w:eastAsia="zh-CN" w:bidi="ar-SA"/>
    </w:rPr>
  </w:style>
  <w:style w:type="character" w:customStyle="1" w:styleId="706">
    <w:name w:val="Table Text Char Char"/>
    <w:link w:val="705"/>
    <w:qFormat/>
    <w:uiPriority w:val="0"/>
    <w:rPr>
      <w:rFonts w:ascii="Arial" w:hAnsi="Arial" w:eastAsia="宋体" w:cs="Times New Roman"/>
      <w:sz w:val="18"/>
    </w:rPr>
  </w:style>
  <w:style w:type="paragraph" w:customStyle="1" w:styleId="707">
    <w:name w:val="标书文档正文格式"/>
    <w:basedOn w:val="1"/>
    <w:link w:val="708"/>
    <w:qFormat/>
    <w:uiPriority w:val="0"/>
    <w:pPr>
      <w:spacing w:beforeLines="50" w:afterLines="50" w:line="400" w:lineRule="exact"/>
      <w:ind w:firstLine="200" w:firstLineChars="200"/>
    </w:pPr>
    <w:rPr>
      <w:rFonts w:cs="宋体"/>
      <w:sz w:val="24"/>
    </w:rPr>
  </w:style>
  <w:style w:type="character" w:customStyle="1" w:styleId="708">
    <w:name w:val="标书文档正文格式 Char"/>
    <w:link w:val="707"/>
    <w:qFormat/>
    <w:uiPriority w:val="0"/>
    <w:rPr>
      <w:rFonts w:ascii="Times New Roman" w:hAnsi="Times New Roman" w:eastAsia="宋体" w:cs="宋体"/>
      <w:kern w:val="2"/>
      <w:sz w:val="24"/>
    </w:rPr>
  </w:style>
  <w:style w:type="character" w:customStyle="1" w:styleId="709">
    <w:name w:val="unnamed51"/>
    <w:qFormat/>
    <w:uiPriority w:val="0"/>
    <w:rPr>
      <w:rFonts w:ascii="Times New Roman" w:hAnsi="Times New Roman" w:eastAsia="宋体" w:cs="Times New Roman"/>
      <w:color w:val="000000"/>
      <w:sz w:val="18"/>
      <w:szCs w:val="18"/>
    </w:rPr>
  </w:style>
  <w:style w:type="character" w:customStyle="1" w:styleId="710">
    <w:name w:val="word81"/>
    <w:qFormat/>
    <w:uiPriority w:val="0"/>
    <w:rPr>
      <w:rFonts w:ascii="Times New Roman" w:hAnsi="Times New Roman" w:eastAsia="宋体" w:cs="Times New Roman"/>
    </w:rPr>
  </w:style>
  <w:style w:type="paragraph" w:customStyle="1" w:styleId="711">
    <w:name w:val="正文（小标题）"/>
    <w:basedOn w:val="1"/>
    <w:next w:val="1"/>
    <w:link w:val="712"/>
    <w:qFormat/>
    <w:uiPriority w:val="0"/>
    <w:pPr>
      <w:spacing w:beforeLines="50" w:afterLines="50" w:line="360" w:lineRule="auto"/>
    </w:pPr>
    <w:rPr>
      <w:rFonts w:ascii="黑体" w:eastAsia="黑体"/>
      <w:color w:val="0000FF"/>
      <w:sz w:val="24"/>
      <w:szCs w:val="24"/>
    </w:rPr>
  </w:style>
  <w:style w:type="character" w:customStyle="1" w:styleId="712">
    <w:name w:val="正文（小标题） Char"/>
    <w:link w:val="711"/>
    <w:qFormat/>
    <w:uiPriority w:val="0"/>
    <w:rPr>
      <w:rFonts w:ascii="黑体" w:hAnsi="Times New Roman" w:eastAsia="黑体" w:cs="Times New Roman"/>
      <w:color w:val="0000FF"/>
      <w:kern w:val="2"/>
      <w:sz w:val="24"/>
      <w:szCs w:val="24"/>
    </w:rPr>
  </w:style>
  <w:style w:type="character" w:customStyle="1" w:styleId="713">
    <w:name w:val="标题 2 Char Char"/>
    <w:qFormat/>
    <w:uiPriority w:val="0"/>
    <w:rPr>
      <w:rFonts w:ascii="宋体" w:hAnsi="宋体" w:eastAsia="黑体" w:cs="宋体"/>
      <w:b/>
      <w:color w:val="0000FF"/>
      <w:kern w:val="44"/>
      <w:sz w:val="32"/>
      <w:szCs w:val="32"/>
      <w:lang w:val="en-US" w:eastAsia="zh-CN" w:bidi="ar-SA"/>
    </w:rPr>
  </w:style>
  <w:style w:type="character" w:customStyle="1" w:styleId="714">
    <w:name w:val="首航缩进 Char Char Char"/>
    <w:qFormat/>
    <w:uiPriority w:val="0"/>
    <w:rPr>
      <w:rFonts w:ascii="Tahoma" w:hAnsi="Tahoma" w:eastAsia="仿宋_GB2312" w:cs="Times New Roman"/>
      <w:color w:val="000000"/>
      <w:kern w:val="2"/>
      <w:sz w:val="24"/>
      <w:szCs w:val="24"/>
      <w:lang w:val="en-US" w:eastAsia="zh-CN" w:bidi="ar-SA"/>
    </w:rPr>
  </w:style>
  <w:style w:type="character" w:customStyle="1" w:styleId="715">
    <w:name w:val="style441"/>
    <w:qFormat/>
    <w:uiPriority w:val="0"/>
    <w:rPr>
      <w:rFonts w:hint="default" w:ascii="Arial" w:hAnsi="Arial" w:eastAsia="宋体" w:cs="Arial"/>
      <w:kern w:val="2"/>
      <w:sz w:val="24"/>
      <w:lang w:val="en-US" w:eastAsia="zh-CN" w:bidi="ar-SA"/>
    </w:rPr>
  </w:style>
  <w:style w:type="character" w:customStyle="1" w:styleId="716">
    <w:name w:val="正文（缩进） Char1"/>
    <w:qFormat/>
    <w:uiPriority w:val="0"/>
    <w:rPr>
      <w:rFonts w:ascii="Tahoma" w:hAnsi="Tahoma" w:eastAsia="宋体" w:cs="Times New Roman"/>
      <w:kern w:val="2"/>
      <w:sz w:val="24"/>
      <w:szCs w:val="24"/>
      <w:lang w:val="en-US" w:eastAsia="zh-CN" w:bidi="ar-SA"/>
    </w:rPr>
  </w:style>
  <w:style w:type="character" w:customStyle="1" w:styleId="717">
    <w:name w:val="txt1"/>
    <w:qFormat/>
    <w:uiPriority w:val="0"/>
    <w:rPr>
      <w:rFonts w:hint="default" w:ascii="ˎ̥" w:hAnsi="ˎ̥" w:eastAsia="宋体" w:cs="Times New Roman"/>
      <w:kern w:val="2"/>
      <w:sz w:val="18"/>
      <w:szCs w:val="18"/>
      <w:lang w:val="en-US" w:eastAsia="zh-CN" w:bidi="ar-SA"/>
    </w:rPr>
  </w:style>
  <w:style w:type="character" w:customStyle="1" w:styleId="718">
    <w:name w:val="四号3"/>
    <w:qFormat/>
    <w:uiPriority w:val="0"/>
    <w:rPr>
      <w:rFonts w:ascii="Arial" w:hAnsi="Arial" w:eastAsia="宋体" w:cs="Arial"/>
      <w:kern w:val="2"/>
      <w:sz w:val="24"/>
      <w:szCs w:val="24"/>
      <w:lang w:val="en-US" w:eastAsia="zh-CN" w:bidi="ar-SA"/>
    </w:rPr>
  </w:style>
  <w:style w:type="character" w:customStyle="1" w:styleId="719">
    <w:name w:val="标题 4 Char Char"/>
    <w:qFormat/>
    <w:uiPriority w:val="0"/>
    <w:rPr>
      <w:rFonts w:ascii="Arial" w:hAnsi="Arial" w:eastAsia="黑体" w:cs="Times New Roman"/>
      <w:b/>
      <w:bCs/>
      <w:color w:val="0000FF"/>
      <w:kern w:val="2"/>
      <w:sz w:val="28"/>
      <w:szCs w:val="28"/>
      <w:lang w:val="en-US" w:eastAsia="zh-CN" w:bidi="ar-SA"/>
    </w:rPr>
  </w:style>
  <w:style w:type="character" w:customStyle="1" w:styleId="720">
    <w:name w:val="列表项目符号 Char"/>
    <w:qFormat/>
    <w:uiPriority w:val="0"/>
    <w:rPr>
      <w:rFonts w:ascii="Tahoma" w:hAnsi="Tahoma" w:eastAsia="宋体" w:cs="Times New Roman"/>
      <w:kern w:val="2"/>
      <w:sz w:val="24"/>
      <w:szCs w:val="24"/>
      <w:lang w:val="en-US" w:eastAsia="zh-CN" w:bidi="ar-SA"/>
    </w:rPr>
  </w:style>
  <w:style w:type="character" w:customStyle="1" w:styleId="721">
    <w:name w:val="Char Char Char11"/>
    <w:qFormat/>
    <w:uiPriority w:val="0"/>
    <w:rPr>
      <w:rFonts w:ascii="Tahoma" w:hAnsi="Tahoma" w:eastAsia="宋体" w:cs="Times New Roman"/>
      <w:kern w:val="2"/>
      <w:sz w:val="24"/>
      <w:szCs w:val="24"/>
      <w:lang w:val="en-US" w:eastAsia="zh-CN" w:bidi="ar-SA"/>
    </w:rPr>
  </w:style>
  <w:style w:type="character" w:customStyle="1" w:styleId="722">
    <w:name w:val="unnamed3"/>
    <w:qFormat/>
    <w:uiPriority w:val="0"/>
    <w:rPr>
      <w:rFonts w:ascii="Tahoma" w:hAnsi="Tahoma" w:eastAsia="宋体" w:cs="Times New Roman"/>
      <w:kern w:val="2"/>
      <w:sz w:val="24"/>
      <w:lang w:val="en-US" w:eastAsia="zh-CN" w:bidi="ar-SA"/>
    </w:rPr>
  </w:style>
  <w:style w:type="paragraph" w:customStyle="1" w:styleId="723">
    <w:name w:val="样式 正文（缩进） + 小四"/>
    <w:basedOn w:val="678"/>
    <w:link w:val="724"/>
    <w:qFormat/>
    <w:uiPriority w:val="0"/>
    <w:pPr>
      <w:widowControl/>
      <w:snapToGrid w:val="0"/>
      <w:spacing w:beforeLines="0" w:afterLines="0" w:line="240" w:lineRule="auto"/>
      <w:ind w:firstLine="0" w:firstLineChars="0"/>
    </w:pPr>
    <w:rPr>
      <w:rFonts w:ascii="CG Times" w:hAnsi="CG Times" w:cs="宋体"/>
      <w:kern w:val="0"/>
      <w:sz w:val="28"/>
      <w:szCs w:val="20"/>
    </w:rPr>
  </w:style>
  <w:style w:type="character" w:customStyle="1" w:styleId="724">
    <w:name w:val="样式 正文（缩进） + 小四 Char"/>
    <w:link w:val="723"/>
    <w:qFormat/>
    <w:uiPriority w:val="0"/>
    <w:rPr>
      <w:rFonts w:ascii="CG Times" w:hAnsi="CG Times" w:eastAsia="宋体" w:cs="宋体"/>
      <w:sz w:val="28"/>
    </w:rPr>
  </w:style>
  <w:style w:type="character" w:customStyle="1" w:styleId="725">
    <w:name w:val="nm"/>
    <w:qFormat/>
    <w:uiPriority w:val="0"/>
    <w:rPr>
      <w:rFonts w:ascii="Tahoma" w:hAnsi="Tahoma" w:eastAsia="宋体" w:cs="Times New Roman"/>
      <w:kern w:val="2"/>
      <w:sz w:val="24"/>
      <w:lang w:val="en-US" w:eastAsia="zh-CN" w:bidi="ar-SA"/>
    </w:rPr>
  </w:style>
  <w:style w:type="character" w:customStyle="1" w:styleId="726">
    <w:name w:val="h121"/>
    <w:qFormat/>
    <w:uiPriority w:val="0"/>
    <w:rPr>
      <w:rFonts w:ascii="Tahoma" w:hAnsi="Tahoma" w:eastAsia="宋体" w:cs="Times New Roman"/>
      <w:color w:val="333333"/>
      <w:kern w:val="2"/>
      <w:sz w:val="24"/>
      <w:lang w:val="en-US" w:eastAsia="zh-CN" w:bidi="ar-SA"/>
    </w:rPr>
  </w:style>
  <w:style w:type="character" w:customStyle="1" w:styleId="727">
    <w:name w:val="atitle1"/>
    <w:qFormat/>
    <w:uiPriority w:val="0"/>
    <w:rPr>
      <w:rFonts w:hint="default" w:ascii="Arial" w:hAnsi="Arial" w:eastAsia="宋体" w:cs="Arial"/>
      <w:b/>
      <w:bCs/>
      <w:sz w:val="27"/>
      <w:szCs w:val="27"/>
    </w:rPr>
  </w:style>
  <w:style w:type="paragraph" w:customStyle="1" w:styleId="728">
    <w:name w:val="ABC标题下的小点"/>
    <w:basedOn w:val="1"/>
    <w:link w:val="729"/>
    <w:qFormat/>
    <w:uiPriority w:val="0"/>
    <w:pPr>
      <w:numPr>
        <w:ilvl w:val="1"/>
        <w:numId w:val="26"/>
      </w:numPr>
      <w:spacing w:line="360" w:lineRule="auto"/>
      <w:ind w:firstLine="0"/>
    </w:pPr>
    <w:rPr>
      <w:rFonts w:ascii="宋体" w:hAnsi="宋体"/>
      <w:kern w:val="0"/>
    </w:rPr>
  </w:style>
  <w:style w:type="character" w:customStyle="1" w:styleId="729">
    <w:name w:val="ABC标题下的小点 Char"/>
    <w:link w:val="728"/>
    <w:qFormat/>
    <w:uiPriority w:val="0"/>
    <w:rPr>
      <w:rFonts w:ascii="宋体" w:hAnsi="宋体" w:eastAsia="宋体" w:cs="Times New Roman"/>
      <w:sz w:val="21"/>
    </w:rPr>
  </w:style>
  <w:style w:type="paragraph" w:customStyle="1" w:styleId="730">
    <w:name w:val="样式 段前: 0.5 行 段后: 0.5 行"/>
    <w:basedOn w:val="1"/>
    <w:link w:val="731"/>
    <w:qFormat/>
    <w:uiPriority w:val="0"/>
    <w:pPr>
      <w:spacing w:beforeLines="50" w:afterLines="50" w:line="360" w:lineRule="auto"/>
    </w:pPr>
    <w:rPr>
      <w:rFonts w:cs="宋体"/>
      <w:sz w:val="24"/>
    </w:rPr>
  </w:style>
  <w:style w:type="character" w:customStyle="1" w:styleId="731">
    <w:name w:val="样式 段前: 0.5 行 段后: 0.5 行 Char"/>
    <w:link w:val="730"/>
    <w:qFormat/>
    <w:uiPriority w:val="0"/>
    <w:rPr>
      <w:rFonts w:ascii="Times New Roman" w:hAnsi="Times New Roman" w:eastAsia="宋体" w:cs="宋体"/>
      <w:kern w:val="2"/>
      <w:sz w:val="24"/>
    </w:rPr>
  </w:style>
  <w:style w:type="character" w:customStyle="1" w:styleId="732">
    <w:name w:val="Char61"/>
    <w:qFormat/>
    <w:uiPriority w:val="0"/>
    <w:rPr>
      <w:rFonts w:ascii="Arial" w:hAnsi="Arial" w:eastAsia="黑体" w:cs="Times New Roman"/>
      <w:sz w:val="24"/>
      <w:lang w:val="en-US" w:eastAsia="zh-CN" w:bidi="ar-SA"/>
    </w:rPr>
  </w:style>
  <w:style w:type="character" w:customStyle="1" w:styleId="733">
    <w:name w:val="标题 21"/>
    <w:qFormat/>
    <w:uiPriority w:val="0"/>
    <w:rPr>
      <w:rFonts w:ascii="Times New Roman" w:hAnsi="Times New Roman" w:eastAsia="黑体" w:cs="Times New Roman"/>
      <w:b/>
      <w:bCs/>
      <w:color w:val="0000FF"/>
      <w:kern w:val="2"/>
      <w:sz w:val="32"/>
      <w:szCs w:val="32"/>
      <w:lang w:val="en-US" w:eastAsia="zh-CN" w:bidi="ar-SA"/>
    </w:rPr>
  </w:style>
  <w:style w:type="character" w:customStyle="1" w:styleId="734">
    <w:name w:val="Char71"/>
    <w:qFormat/>
    <w:uiPriority w:val="0"/>
    <w:rPr>
      <w:rFonts w:ascii="Arial" w:hAnsi="Arial" w:eastAsia="黑体" w:cs="Times New Roman"/>
      <w:sz w:val="28"/>
      <w:lang w:val="en-US" w:eastAsia="zh-CN" w:bidi="ar-SA"/>
    </w:rPr>
  </w:style>
  <w:style w:type="character" w:customStyle="1" w:styleId="735">
    <w:name w:val="Char41"/>
    <w:qFormat/>
    <w:uiPriority w:val="0"/>
    <w:rPr>
      <w:rFonts w:ascii="Times New Roman" w:hAnsi="Times New Roman" w:eastAsia="宋体" w:cs="Times New Roman"/>
      <w:kern w:val="2"/>
      <w:sz w:val="21"/>
      <w:szCs w:val="24"/>
      <w:lang w:val="en-US" w:eastAsia="zh-CN" w:bidi="ar-SA"/>
    </w:rPr>
  </w:style>
  <w:style w:type="character" w:customStyle="1" w:styleId="736">
    <w:name w:val="Char31"/>
    <w:qFormat/>
    <w:uiPriority w:val="0"/>
    <w:rPr>
      <w:rFonts w:ascii="Times New Roman" w:hAnsi="Times New Roman" w:eastAsia="宋体" w:cs="Times New Roman"/>
      <w:sz w:val="21"/>
      <w:lang w:val="en-US" w:eastAsia="en-US" w:bidi="ar-SA"/>
    </w:rPr>
  </w:style>
  <w:style w:type="character" w:customStyle="1" w:styleId="737">
    <w:name w:val="正文（居中） Char Char"/>
    <w:qFormat/>
    <w:uiPriority w:val="0"/>
    <w:rPr>
      <w:rFonts w:ascii="Times New Roman" w:hAnsi="Times New Roman" w:eastAsia="宋体" w:cs="Times New Roman"/>
      <w:kern w:val="2"/>
      <w:sz w:val="24"/>
      <w:szCs w:val="24"/>
      <w:lang w:val="en-US" w:eastAsia="zh-CN" w:bidi="ar-SA"/>
    </w:rPr>
  </w:style>
  <w:style w:type="character" w:customStyle="1" w:styleId="738">
    <w:name w:val="正文（标记） Char Char Char1"/>
    <w:qFormat/>
    <w:uiPriority w:val="0"/>
    <w:rPr>
      <w:rFonts w:ascii="Times New Roman" w:hAnsi="Times New Roman" w:eastAsia="宋体" w:cs="Times New Roman"/>
      <w:kern w:val="2"/>
      <w:sz w:val="24"/>
      <w:szCs w:val="24"/>
      <w:lang w:val="en-US" w:eastAsia="zh-CN" w:bidi="ar-SA"/>
    </w:rPr>
  </w:style>
  <w:style w:type="character" w:customStyle="1" w:styleId="739">
    <w:name w:val="首航缩进 Char Char1"/>
    <w:qFormat/>
    <w:uiPriority w:val="0"/>
    <w:rPr>
      <w:rFonts w:ascii="Times New Roman" w:hAnsi="Times New Roman" w:eastAsia="仿宋_GB2312" w:cs="Times New Roman"/>
      <w:color w:val="000000"/>
      <w:kern w:val="2"/>
      <w:sz w:val="24"/>
      <w:szCs w:val="24"/>
      <w:lang w:val="en-US" w:eastAsia="zh-CN" w:bidi="ar-SA"/>
    </w:rPr>
  </w:style>
  <w:style w:type="character" w:customStyle="1" w:styleId="740">
    <w:name w:val="正文（缩进） Char Char Char1"/>
    <w:qFormat/>
    <w:uiPriority w:val="0"/>
    <w:rPr>
      <w:rFonts w:ascii="Times New Roman" w:hAnsi="Times New Roman" w:eastAsia="宋体" w:cs="Times New Roman"/>
      <w:kern w:val="2"/>
      <w:sz w:val="24"/>
      <w:szCs w:val="24"/>
      <w:lang w:val="en-US" w:eastAsia="zh-CN" w:bidi="ar-SA"/>
    </w:rPr>
  </w:style>
  <w:style w:type="character" w:customStyle="1" w:styleId="741">
    <w:name w:val="正文（标记） Char Char Char2"/>
    <w:qFormat/>
    <w:uiPriority w:val="0"/>
    <w:rPr>
      <w:rFonts w:ascii="Times New Roman" w:hAnsi="Times New Roman" w:eastAsia="宋体" w:cs="Times New Roman"/>
      <w:kern w:val="2"/>
      <w:sz w:val="24"/>
      <w:szCs w:val="24"/>
      <w:lang w:val="en-US" w:eastAsia="zh-CN" w:bidi="ar-SA"/>
    </w:rPr>
  </w:style>
  <w:style w:type="character" w:customStyle="1" w:styleId="742">
    <w:name w:val="首航缩进 Char Char2"/>
    <w:qFormat/>
    <w:uiPriority w:val="0"/>
    <w:rPr>
      <w:rFonts w:ascii="Times New Roman" w:hAnsi="Times New Roman" w:eastAsia="仿宋_GB2312" w:cs="Times New Roman"/>
      <w:color w:val="000000"/>
      <w:kern w:val="2"/>
      <w:sz w:val="24"/>
      <w:szCs w:val="24"/>
      <w:lang w:val="en-US" w:eastAsia="zh-CN" w:bidi="ar-SA"/>
    </w:rPr>
  </w:style>
  <w:style w:type="character" w:customStyle="1" w:styleId="743">
    <w:name w:val="正文，首行缩进:  2 字符 Char1"/>
    <w:qFormat/>
    <w:uiPriority w:val="0"/>
    <w:rPr>
      <w:rFonts w:ascii="Verdana" w:hAnsi="Verdana" w:eastAsia="宋体" w:cs="宋体"/>
      <w:kern w:val="2"/>
      <w:sz w:val="24"/>
      <w:lang w:val="en-US" w:eastAsia="zh-CN" w:bidi="ar-SA"/>
    </w:rPr>
  </w:style>
  <w:style w:type="character" w:customStyle="1" w:styleId="744">
    <w:name w:val="正文（缩进） Char Char Char2"/>
    <w:qFormat/>
    <w:uiPriority w:val="0"/>
    <w:rPr>
      <w:rFonts w:ascii="Times New Roman" w:hAnsi="Times New Roman" w:eastAsia="宋体" w:cs="Times New Roman"/>
      <w:kern w:val="2"/>
      <w:sz w:val="24"/>
      <w:szCs w:val="24"/>
      <w:lang w:val="en-US" w:eastAsia="zh-CN" w:bidi="ar-SA"/>
    </w:rPr>
  </w:style>
  <w:style w:type="character" w:customStyle="1" w:styleId="745">
    <w:name w:val="Heading 14 Char11"/>
    <w:qFormat/>
    <w:uiPriority w:val="0"/>
    <w:rPr>
      <w:rFonts w:ascii="Arial" w:hAnsi="Arial" w:eastAsia="黑体" w:cs="Times New Roman"/>
      <w:b/>
      <w:bCs/>
      <w:color w:val="0000FF"/>
      <w:kern w:val="2"/>
      <w:sz w:val="28"/>
      <w:szCs w:val="28"/>
      <w:lang w:val="en-US" w:eastAsia="zh-CN" w:bidi="ar-SA"/>
    </w:rPr>
  </w:style>
  <w:style w:type="character" w:customStyle="1" w:styleId="746">
    <w:name w:val="正文（标记） Char Char Char11"/>
    <w:qFormat/>
    <w:uiPriority w:val="0"/>
    <w:rPr>
      <w:rFonts w:ascii="Times New Roman" w:hAnsi="Times New Roman" w:eastAsia="宋体" w:cs="Times New Roman"/>
      <w:kern w:val="2"/>
      <w:sz w:val="24"/>
      <w:szCs w:val="24"/>
      <w:lang w:val="en-US" w:eastAsia="zh-CN" w:bidi="ar-SA"/>
    </w:rPr>
  </w:style>
  <w:style w:type="character" w:customStyle="1" w:styleId="747">
    <w:name w:val="首航缩进 Char Char11"/>
    <w:qFormat/>
    <w:uiPriority w:val="0"/>
    <w:rPr>
      <w:rFonts w:ascii="Times New Roman" w:hAnsi="Times New Roman" w:eastAsia="仿宋_GB2312" w:cs="Times New Roman"/>
      <w:color w:val="000000"/>
      <w:kern w:val="2"/>
      <w:sz w:val="24"/>
      <w:szCs w:val="24"/>
      <w:lang w:val="en-US" w:eastAsia="zh-CN" w:bidi="ar-SA"/>
    </w:rPr>
  </w:style>
  <w:style w:type="character" w:customStyle="1" w:styleId="748">
    <w:name w:val="正文（缩进） Char Char Char11"/>
    <w:qFormat/>
    <w:uiPriority w:val="0"/>
    <w:rPr>
      <w:rFonts w:ascii="Times New Roman" w:hAnsi="Times New Roman" w:eastAsia="宋体" w:cs="Times New Roman"/>
      <w:kern w:val="2"/>
      <w:sz w:val="24"/>
      <w:szCs w:val="24"/>
      <w:lang w:val="en-US" w:eastAsia="zh-CN" w:bidi="ar-SA"/>
    </w:rPr>
  </w:style>
  <w:style w:type="paragraph" w:customStyle="1" w:styleId="749">
    <w:name w:val="正文（缩进） Char2 Char"/>
    <w:basedOn w:val="1"/>
    <w:link w:val="750"/>
    <w:qFormat/>
    <w:uiPriority w:val="0"/>
    <w:pPr>
      <w:spacing w:beforeLines="50" w:afterLines="50" w:line="360" w:lineRule="auto"/>
      <w:ind w:firstLine="480" w:firstLineChars="200"/>
    </w:pPr>
    <w:rPr>
      <w:sz w:val="24"/>
      <w:szCs w:val="24"/>
    </w:rPr>
  </w:style>
  <w:style w:type="character" w:customStyle="1" w:styleId="750">
    <w:name w:val="正文（缩进） Char2 Char Char"/>
    <w:link w:val="749"/>
    <w:qFormat/>
    <w:uiPriority w:val="0"/>
    <w:rPr>
      <w:rFonts w:ascii="Times New Roman" w:hAnsi="Times New Roman" w:eastAsia="宋体" w:cs="Times New Roman"/>
      <w:kern w:val="2"/>
      <w:sz w:val="24"/>
      <w:szCs w:val="24"/>
    </w:rPr>
  </w:style>
  <w:style w:type="character" w:customStyle="1" w:styleId="751">
    <w:name w:val="Char Char16"/>
    <w:qFormat/>
    <w:uiPriority w:val="0"/>
    <w:rPr>
      <w:rFonts w:ascii="Arial" w:hAnsi="Arial" w:eastAsia="宋体" w:cs="Arial"/>
      <w:kern w:val="2"/>
      <w:sz w:val="24"/>
    </w:rPr>
  </w:style>
  <w:style w:type="character" w:customStyle="1" w:styleId="752">
    <w:name w:val="H3 Char3"/>
    <w:qFormat/>
    <w:uiPriority w:val="0"/>
    <w:rPr>
      <w:rFonts w:ascii="Times New Roman" w:hAnsi="Times New Roman" w:eastAsia="宋体" w:cs="Times New Roman"/>
      <w:b/>
      <w:bCs/>
      <w:color w:val="0000FF"/>
      <w:kern w:val="2"/>
      <w:sz w:val="32"/>
      <w:szCs w:val="32"/>
    </w:rPr>
  </w:style>
  <w:style w:type="character" w:customStyle="1" w:styleId="753">
    <w:name w:val="bullet Char1 Char"/>
    <w:qFormat/>
    <w:uiPriority w:val="0"/>
    <w:rPr>
      <w:rFonts w:ascii="Arial" w:hAnsi="Arial" w:eastAsia="黑体" w:cs="Times New Roman"/>
      <w:sz w:val="24"/>
    </w:rPr>
  </w:style>
  <w:style w:type="character" w:customStyle="1" w:styleId="754">
    <w:name w:val="普通文字 Char Char Char"/>
    <w:qFormat/>
    <w:uiPriority w:val="0"/>
    <w:rPr>
      <w:rFonts w:ascii="宋体" w:hAnsi="Courier New" w:eastAsia="宋体" w:cs="Times New Roman"/>
      <w:kern w:val="2"/>
      <w:sz w:val="21"/>
      <w:lang w:val="en-US" w:eastAsia="zh-CN" w:bidi="ar-SA"/>
    </w:rPr>
  </w:style>
  <w:style w:type="character" w:customStyle="1" w:styleId="755">
    <w:name w:val="Char Char18"/>
    <w:qFormat/>
    <w:uiPriority w:val="0"/>
    <w:rPr>
      <w:rFonts w:ascii="Tahoma" w:hAnsi="Tahoma" w:eastAsia="黑体" w:cs="Times New Roman"/>
      <w:bCs/>
      <w:kern w:val="2"/>
      <w:sz w:val="24"/>
      <w:szCs w:val="24"/>
      <w:lang w:val="en-US" w:eastAsia="zh-CN" w:bidi="ar-SA"/>
    </w:rPr>
  </w:style>
  <w:style w:type="character" w:customStyle="1" w:styleId="756">
    <w:name w:val="Char Char17"/>
    <w:qFormat/>
    <w:uiPriority w:val="0"/>
    <w:rPr>
      <w:rFonts w:ascii="Tahoma" w:hAnsi="Tahoma" w:eastAsia="仿宋_GB2312" w:cs="Times New Roman"/>
      <w:b/>
      <w:bCs/>
      <w:kern w:val="2"/>
      <w:sz w:val="24"/>
      <w:szCs w:val="24"/>
      <w:lang w:val="en-US" w:eastAsia="zh-CN" w:bidi="ar-SA"/>
    </w:rPr>
  </w:style>
  <w:style w:type="character" w:customStyle="1" w:styleId="757">
    <w:name w:val="themebody1"/>
    <w:qFormat/>
    <w:uiPriority w:val="0"/>
    <w:rPr>
      <w:rFonts w:ascii="Tahoma" w:hAnsi="Tahoma" w:eastAsia="宋体" w:cs="Times New Roman"/>
      <w:color w:val="FFFFFF"/>
      <w:kern w:val="2"/>
      <w:sz w:val="24"/>
      <w:lang w:val="en-US" w:eastAsia="zh-CN" w:bidi="ar-SA"/>
    </w:rPr>
  </w:style>
  <w:style w:type="character" w:customStyle="1" w:styleId="758">
    <w:name w:val="msonormal"/>
    <w:qFormat/>
    <w:uiPriority w:val="0"/>
    <w:rPr>
      <w:rFonts w:ascii="Tahoma" w:hAnsi="Tahoma" w:eastAsia="宋体" w:cs="Times New Roman"/>
      <w:kern w:val="2"/>
      <w:sz w:val="24"/>
      <w:lang w:val="en-US" w:eastAsia="zh-CN" w:bidi="ar-SA"/>
    </w:rPr>
  </w:style>
  <w:style w:type="character" w:customStyle="1" w:styleId="759">
    <w:name w:val="正文（缩进） Char Char1 Char"/>
    <w:qFormat/>
    <w:uiPriority w:val="0"/>
    <w:rPr>
      <w:rFonts w:ascii="Tahoma" w:hAnsi="Tahoma" w:eastAsia="宋体" w:cs="Times New Roman"/>
      <w:kern w:val="2"/>
      <w:sz w:val="24"/>
      <w:szCs w:val="24"/>
      <w:lang w:val="en-US" w:eastAsia="zh-CN" w:bidi="ar-SA"/>
    </w:rPr>
  </w:style>
  <w:style w:type="character" w:customStyle="1" w:styleId="760">
    <w:name w:val="图注 Char"/>
    <w:qFormat/>
    <w:uiPriority w:val="0"/>
    <w:rPr>
      <w:rFonts w:ascii="Times New Roman" w:hAnsi="Times New Roman" w:eastAsia="仿宋_GB2312" w:cs="Times New Roman"/>
      <w:sz w:val="28"/>
      <w:szCs w:val="28"/>
    </w:rPr>
  </w:style>
  <w:style w:type="character" w:customStyle="1" w:styleId="761">
    <w:name w:val="正文（标记） Char Char Char Char"/>
    <w:qFormat/>
    <w:uiPriority w:val="0"/>
    <w:rPr>
      <w:rFonts w:ascii="Tahoma" w:hAnsi="Tahoma" w:eastAsia="宋体" w:cs="Times New Roman"/>
      <w:kern w:val="2"/>
      <w:sz w:val="24"/>
      <w:szCs w:val="24"/>
      <w:lang w:val="en-US" w:eastAsia="zh-CN" w:bidi="ar-SA"/>
    </w:rPr>
  </w:style>
  <w:style w:type="character" w:customStyle="1" w:styleId="762">
    <w:name w:val="标题 31"/>
    <w:qFormat/>
    <w:uiPriority w:val="0"/>
    <w:rPr>
      <w:rFonts w:ascii="Tahoma" w:hAnsi="Tahoma" w:eastAsia="宋体" w:cs="Times New Roman"/>
      <w:b/>
      <w:bCs/>
      <w:color w:val="0000FF"/>
      <w:kern w:val="2"/>
      <w:sz w:val="32"/>
      <w:szCs w:val="32"/>
      <w:lang w:val="en-US" w:eastAsia="zh-CN" w:bidi="ar-SA"/>
    </w:rPr>
  </w:style>
  <w:style w:type="paragraph" w:customStyle="1" w:styleId="763">
    <w:name w:val="正文缩进21"/>
    <w:basedOn w:val="1"/>
    <w:link w:val="764"/>
    <w:qFormat/>
    <w:uiPriority w:val="0"/>
    <w:pPr>
      <w:adjustRightInd w:val="0"/>
      <w:spacing w:beforeLines="50" w:afterLines="50" w:line="440" w:lineRule="exact"/>
      <w:ind w:firstLine="200" w:firstLineChars="200"/>
    </w:pPr>
    <w:rPr>
      <w:rFonts w:eastAsia="仿宋_GB2312"/>
      <w:sz w:val="28"/>
      <w:szCs w:val="28"/>
    </w:rPr>
  </w:style>
  <w:style w:type="character" w:customStyle="1" w:styleId="764">
    <w:name w:val="正文缩进2 Char"/>
    <w:link w:val="763"/>
    <w:qFormat/>
    <w:uiPriority w:val="0"/>
    <w:rPr>
      <w:rFonts w:ascii="Times New Roman" w:hAnsi="Times New Roman" w:eastAsia="仿宋_GB2312" w:cs="Times New Roman"/>
      <w:kern w:val="2"/>
      <w:sz w:val="28"/>
      <w:szCs w:val="28"/>
    </w:rPr>
  </w:style>
  <w:style w:type="character" w:customStyle="1" w:styleId="765">
    <w:name w:val="style31"/>
    <w:qFormat/>
    <w:uiPriority w:val="0"/>
    <w:rPr>
      <w:rFonts w:ascii="Tahoma" w:hAnsi="Tahoma" w:eastAsia="宋体" w:cs="Times New Roman"/>
      <w:color w:val="000066"/>
      <w:kern w:val="2"/>
      <w:sz w:val="24"/>
      <w:lang w:val="en-US" w:eastAsia="zh-CN" w:bidi="ar-SA"/>
    </w:rPr>
  </w:style>
  <w:style w:type="character" w:customStyle="1" w:styleId="766">
    <w:name w:val="yellow12"/>
    <w:qFormat/>
    <w:uiPriority w:val="0"/>
    <w:rPr>
      <w:rFonts w:ascii="Tahoma" w:hAnsi="Tahoma" w:eastAsia="宋体" w:cs="Times New Roman"/>
      <w:kern w:val="2"/>
      <w:sz w:val="24"/>
      <w:lang w:val="en-US" w:eastAsia="zh-CN" w:bidi="ar-SA"/>
    </w:rPr>
  </w:style>
  <w:style w:type="character" w:customStyle="1" w:styleId="767">
    <w:name w:val="wj1"/>
    <w:qFormat/>
    <w:uiPriority w:val="0"/>
    <w:rPr>
      <w:rFonts w:ascii="Tahoma" w:hAnsi="Tahoma" w:eastAsia="宋体" w:cs="Times New Roman"/>
      <w:color w:val="000000"/>
      <w:kern w:val="2"/>
      <w:sz w:val="18"/>
      <w:szCs w:val="18"/>
      <w:u w:val="none"/>
      <w:lang w:val="en-US" w:eastAsia="zh-CN" w:bidi="ar-SA"/>
    </w:rPr>
  </w:style>
  <w:style w:type="character" w:customStyle="1" w:styleId="768">
    <w:name w:val="标题 111"/>
    <w:qFormat/>
    <w:uiPriority w:val="0"/>
    <w:rPr>
      <w:rFonts w:ascii="Tahoma" w:hAnsi="Tahoma" w:eastAsia="黑体" w:cs="Times New Roman"/>
      <w:b/>
      <w:color w:val="000080"/>
      <w:kern w:val="44"/>
      <w:sz w:val="36"/>
      <w:szCs w:val="36"/>
      <w:lang w:val="en-US" w:eastAsia="zh-CN" w:bidi="ar-SA"/>
    </w:rPr>
  </w:style>
  <w:style w:type="character" w:customStyle="1" w:styleId="769">
    <w:name w:val="标题 32"/>
    <w:qFormat/>
    <w:uiPriority w:val="0"/>
    <w:rPr>
      <w:rFonts w:ascii="Tahoma" w:hAnsi="Tahoma" w:eastAsia="宋体" w:cs="Times New Roman"/>
      <w:b/>
      <w:bCs/>
      <w:color w:val="0000FF"/>
      <w:kern w:val="2"/>
      <w:sz w:val="32"/>
      <w:szCs w:val="32"/>
      <w:lang w:val="en-US" w:eastAsia="zh-CN" w:bidi="ar-SA"/>
    </w:rPr>
  </w:style>
  <w:style w:type="character" w:customStyle="1" w:styleId="770">
    <w:name w:val="标题 411"/>
    <w:qFormat/>
    <w:uiPriority w:val="0"/>
    <w:rPr>
      <w:rFonts w:ascii="Arial" w:hAnsi="Arial" w:eastAsia="黑体" w:cs="Times New Roman"/>
      <w:b/>
      <w:bCs/>
      <w:color w:val="0000FF"/>
      <w:kern w:val="2"/>
      <w:sz w:val="28"/>
      <w:szCs w:val="28"/>
      <w:lang w:val="en-US" w:eastAsia="zh-CN" w:bidi="ar-SA"/>
    </w:rPr>
  </w:style>
  <w:style w:type="character" w:customStyle="1" w:styleId="771">
    <w:name w:val="b1"/>
    <w:qFormat/>
    <w:uiPriority w:val="0"/>
    <w:rPr>
      <w:rFonts w:hint="default" w:ascii="Courier New" w:hAnsi="Courier New" w:eastAsia="宋体" w:cs="Courier New"/>
      <w:b/>
      <w:bCs/>
      <w:color w:val="FF0000"/>
      <w:kern w:val="2"/>
      <w:sz w:val="24"/>
      <w:u w:val="none"/>
      <w:lang w:val="en-US" w:eastAsia="zh-CN" w:bidi="ar-SA"/>
    </w:rPr>
  </w:style>
  <w:style w:type="character" w:customStyle="1" w:styleId="772">
    <w:name w:val="pt9-hui-line201"/>
    <w:qFormat/>
    <w:uiPriority w:val="0"/>
    <w:rPr>
      <w:rFonts w:ascii="Tahoma" w:hAnsi="Tahoma" w:eastAsia="宋体" w:cs="Times New Roman"/>
      <w:color w:val="333333"/>
      <w:kern w:val="2"/>
      <w:sz w:val="18"/>
      <w:szCs w:val="18"/>
      <w:u w:val="none"/>
      <w:lang w:val="en-US" w:eastAsia="zh-CN" w:bidi="ar-SA"/>
    </w:rPr>
  </w:style>
  <w:style w:type="character" w:customStyle="1" w:styleId="773">
    <w:name w:val="px14"/>
    <w:qFormat/>
    <w:uiPriority w:val="0"/>
    <w:rPr>
      <w:rFonts w:ascii="Tahoma" w:hAnsi="Tahoma" w:eastAsia="宋体" w:cs="Times New Roman"/>
      <w:kern w:val="2"/>
      <w:sz w:val="24"/>
      <w:lang w:val="en-US" w:eastAsia="zh-CN" w:bidi="ar-SA"/>
    </w:rPr>
  </w:style>
  <w:style w:type="paragraph" w:customStyle="1" w:styleId="774">
    <w:name w:val="加点正文缩进"/>
    <w:basedOn w:val="1"/>
    <w:link w:val="775"/>
    <w:qFormat/>
    <w:uiPriority w:val="0"/>
    <w:pPr>
      <w:numPr>
        <w:ilvl w:val="0"/>
        <w:numId w:val="27"/>
      </w:numPr>
      <w:spacing w:line="300" w:lineRule="auto"/>
      <w:ind w:firstLine="0"/>
    </w:pPr>
    <w:rPr>
      <w:rFonts w:ascii="宋体" w:hAnsi="宋体"/>
      <w:sz w:val="24"/>
      <w:szCs w:val="24"/>
    </w:rPr>
  </w:style>
  <w:style w:type="character" w:customStyle="1" w:styleId="775">
    <w:name w:val="加点正文缩进 Char"/>
    <w:link w:val="774"/>
    <w:qFormat/>
    <w:uiPriority w:val="0"/>
    <w:rPr>
      <w:rFonts w:ascii="宋体" w:hAnsi="宋体" w:eastAsia="宋体" w:cs="Times New Roman"/>
      <w:kern w:val="2"/>
      <w:sz w:val="24"/>
      <w:szCs w:val="24"/>
    </w:rPr>
  </w:style>
  <w:style w:type="character" w:customStyle="1" w:styleId="776">
    <w:name w:val="Char Char28"/>
    <w:qFormat/>
    <w:uiPriority w:val="0"/>
    <w:rPr>
      <w:rFonts w:ascii="Times New Roman" w:hAnsi="Times New Roman" w:eastAsia="宋体" w:cs="Times New Roman"/>
      <w:b/>
      <w:bCs/>
      <w:color w:val="0000FF"/>
      <w:kern w:val="2"/>
      <w:sz w:val="32"/>
      <w:szCs w:val="32"/>
      <w:lang w:val="en-US" w:eastAsia="zh-CN" w:bidi="ar-SA"/>
    </w:rPr>
  </w:style>
  <w:style w:type="character" w:customStyle="1" w:styleId="777">
    <w:name w:val="h3 Char4"/>
    <w:qFormat/>
    <w:uiPriority w:val="0"/>
    <w:rPr>
      <w:rFonts w:ascii="Times New Roman" w:hAnsi="Times New Roman" w:eastAsia="宋体" w:cs="Times New Roman"/>
      <w:b/>
      <w:bCs/>
      <w:color w:val="0000FF"/>
      <w:kern w:val="2"/>
      <w:sz w:val="32"/>
      <w:szCs w:val="32"/>
      <w:lang w:val="en-US" w:eastAsia="zh-CN" w:bidi="ar-SA"/>
    </w:rPr>
  </w:style>
  <w:style w:type="character" w:customStyle="1" w:styleId="778">
    <w:name w:val="style21"/>
    <w:qFormat/>
    <w:uiPriority w:val="0"/>
    <w:rPr>
      <w:rFonts w:hint="eastAsia" w:ascii="宋体" w:hAnsi="宋体" w:eastAsia="宋体" w:cs="Times New Roman"/>
      <w:color w:val="999999"/>
      <w:sz w:val="18"/>
      <w:szCs w:val="18"/>
    </w:rPr>
  </w:style>
  <w:style w:type="character" w:customStyle="1" w:styleId="779">
    <w:name w:val="large1"/>
    <w:qFormat/>
    <w:uiPriority w:val="0"/>
    <w:rPr>
      <w:rFonts w:ascii="Times New Roman" w:hAnsi="Times New Roman" w:eastAsia="宋体" w:cs="Times New Roman"/>
      <w:sz w:val="24"/>
      <w:szCs w:val="24"/>
    </w:rPr>
  </w:style>
  <w:style w:type="character" w:customStyle="1" w:styleId="780">
    <w:name w:val="hong1"/>
    <w:qFormat/>
    <w:uiPriority w:val="0"/>
    <w:rPr>
      <w:rFonts w:ascii="Times New Roman" w:hAnsi="Times New Roman" w:eastAsia="宋体" w:cs="Times New Roman"/>
      <w:color w:val="AF3700"/>
      <w:sz w:val="18"/>
      <w:szCs w:val="18"/>
      <w:u w:val="none"/>
    </w:rPr>
  </w:style>
  <w:style w:type="character" w:customStyle="1" w:styleId="781">
    <w:name w:val="title_emph1"/>
    <w:qFormat/>
    <w:uiPriority w:val="0"/>
    <w:rPr>
      <w:rFonts w:hint="default" w:ascii="Arial" w:hAnsi="Arial" w:eastAsia="宋体" w:cs="Arial"/>
      <w:b/>
      <w:bCs/>
      <w:sz w:val="18"/>
      <w:szCs w:val="18"/>
    </w:rPr>
  </w:style>
  <w:style w:type="character" w:customStyle="1" w:styleId="782">
    <w:name w:val="big1"/>
    <w:qFormat/>
    <w:uiPriority w:val="0"/>
    <w:rPr>
      <w:rFonts w:ascii="Times New Roman" w:hAnsi="Times New Roman" w:eastAsia="宋体" w:cs="Times New Roman"/>
      <w:sz w:val="22"/>
      <w:szCs w:val="22"/>
    </w:rPr>
  </w:style>
  <w:style w:type="character" w:customStyle="1" w:styleId="783">
    <w:name w:val="maintext1"/>
    <w:qFormat/>
    <w:uiPriority w:val="0"/>
    <w:rPr>
      <w:rFonts w:hint="default" w:ascii="Arial" w:hAnsi="Arial" w:eastAsia="宋体" w:cs="Arial"/>
      <w:sz w:val="18"/>
      <w:szCs w:val="18"/>
    </w:rPr>
  </w:style>
  <w:style w:type="character" w:customStyle="1" w:styleId="784">
    <w:name w:val="font131"/>
    <w:qFormat/>
    <w:uiPriority w:val="0"/>
    <w:rPr>
      <w:rFonts w:ascii="Times New Roman" w:hAnsi="Times New Roman" w:eastAsia="宋体" w:cs="Times New Roman"/>
      <w:sz w:val="20"/>
      <w:szCs w:val="20"/>
    </w:rPr>
  </w:style>
  <w:style w:type="character" w:customStyle="1" w:styleId="785">
    <w:name w:val="14normal1"/>
    <w:qFormat/>
    <w:uiPriority w:val="0"/>
    <w:rPr>
      <w:rFonts w:hint="default" w:ascii="ˎ̥" w:hAnsi="ˎ̥" w:eastAsia="宋体" w:cs="Times New Roman"/>
      <w:color w:val="000000"/>
      <w:sz w:val="21"/>
      <w:szCs w:val="21"/>
    </w:rPr>
  </w:style>
  <w:style w:type="character" w:customStyle="1" w:styleId="786">
    <w:name w:val="style411"/>
    <w:qFormat/>
    <w:uiPriority w:val="0"/>
    <w:rPr>
      <w:rFonts w:hint="default" w:ascii="Arial" w:hAnsi="Arial" w:eastAsia="宋体" w:cs="Arial"/>
      <w:b/>
      <w:bCs/>
      <w:sz w:val="20"/>
      <w:szCs w:val="20"/>
    </w:rPr>
  </w:style>
  <w:style w:type="paragraph" w:customStyle="1" w:styleId="787">
    <w:name w:val="样式 标题 3H3h33rd levelLevel 3 Headl3CTHeading 3 - oldISO2...1"/>
    <w:basedOn w:val="6"/>
    <w:link w:val="788"/>
    <w:qFormat/>
    <w:uiPriority w:val="0"/>
    <w:pPr>
      <w:spacing w:line="413" w:lineRule="auto"/>
      <w:jc w:val="left"/>
    </w:pPr>
    <w:rPr>
      <w:rFonts w:ascii="宋体" w:hAnsi="宋体"/>
      <w:b w:val="0"/>
      <w:iCs/>
      <w:color w:val="000000"/>
      <w:kern w:val="0"/>
    </w:rPr>
  </w:style>
  <w:style w:type="character" w:customStyle="1" w:styleId="788">
    <w:name w:val="样式 标题 3H3h33rd levelLevel 3 Headl3CTHeading 3 - oldISO2...1 Char"/>
    <w:link w:val="787"/>
    <w:qFormat/>
    <w:uiPriority w:val="0"/>
    <w:rPr>
      <w:rFonts w:ascii="宋体" w:hAnsi="宋体" w:eastAsia="宋体" w:cs="Times New Roman"/>
      <w:bCs/>
      <w:iCs/>
      <w:color w:val="000000"/>
      <w:sz w:val="32"/>
      <w:szCs w:val="32"/>
    </w:rPr>
  </w:style>
  <w:style w:type="paragraph" w:customStyle="1" w:styleId="789">
    <w:name w:val="Char18"/>
    <w:basedOn w:val="1"/>
    <w:link w:val="790"/>
    <w:qFormat/>
    <w:uiPriority w:val="0"/>
    <w:rPr>
      <w:rFonts w:ascii="Tahoma" w:hAnsi="Tahoma"/>
      <w:kern w:val="0"/>
      <w:sz w:val="24"/>
    </w:rPr>
  </w:style>
  <w:style w:type="character" w:customStyle="1" w:styleId="790">
    <w:name w:val="Char Char21"/>
    <w:link w:val="789"/>
    <w:qFormat/>
    <w:uiPriority w:val="0"/>
    <w:rPr>
      <w:rFonts w:ascii="Tahoma" w:hAnsi="Tahoma" w:eastAsia="宋体" w:cs="Times New Roman"/>
      <w:sz w:val="24"/>
    </w:rPr>
  </w:style>
  <w:style w:type="character" w:customStyle="1" w:styleId="791">
    <w:name w:val="Title Char1"/>
    <w:qFormat/>
    <w:uiPriority w:val="0"/>
    <w:rPr>
      <w:rFonts w:ascii="Cambria" w:hAnsi="Cambria" w:eastAsia="宋体" w:cs="Cambria"/>
      <w:b/>
      <w:bCs/>
      <w:sz w:val="32"/>
      <w:szCs w:val="32"/>
    </w:rPr>
  </w:style>
  <w:style w:type="paragraph" w:customStyle="1" w:styleId="792">
    <w:name w:val="Table Description Char"/>
    <w:basedOn w:val="1"/>
    <w:link w:val="793"/>
    <w:qFormat/>
    <w:uiPriority w:val="0"/>
    <w:pPr>
      <w:ind w:left="1701"/>
    </w:pPr>
    <w:rPr>
      <w:kern w:val="0"/>
      <w:sz w:val="20"/>
    </w:rPr>
  </w:style>
  <w:style w:type="character" w:customStyle="1" w:styleId="793">
    <w:name w:val="Table Description Char Char"/>
    <w:link w:val="792"/>
    <w:qFormat/>
    <w:uiPriority w:val="0"/>
    <w:rPr>
      <w:rFonts w:ascii="Times New Roman" w:hAnsi="Times New Roman" w:eastAsia="宋体" w:cs="Times New Roman"/>
    </w:rPr>
  </w:style>
  <w:style w:type="character" w:customStyle="1" w:styleId="794">
    <w:name w:val="font91"/>
    <w:qFormat/>
    <w:uiPriority w:val="0"/>
    <w:rPr>
      <w:rFonts w:hint="default" w:ascii="Times New Roman" w:hAnsi="Times New Roman" w:eastAsia="宋体" w:cs="Times New Roman"/>
      <w:color w:val="000000"/>
      <w:sz w:val="18"/>
      <w:szCs w:val="18"/>
      <w:u w:val="none"/>
    </w:rPr>
  </w:style>
  <w:style w:type="character" w:customStyle="1" w:styleId="795">
    <w:name w:val="titletext11"/>
    <w:qFormat/>
    <w:uiPriority w:val="0"/>
    <w:rPr>
      <w:rFonts w:ascii="Times New Roman" w:hAnsi="Times New Roman" w:eastAsia="宋体" w:cs="Times New Roman"/>
      <w:b/>
      <w:bCs/>
      <w:color w:val="C50B1E"/>
    </w:rPr>
  </w:style>
  <w:style w:type="character" w:customStyle="1" w:styleId="796">
    <w:name w:val="v151"/>
    <w:qFormat/>
    <w:uiPriority w:val="0"/>
    <w:rPr>
      <w:rFonts w:ascii="Times New Roman" w:hAnsi="Times New Roman" w:eastAsia="宋体" w:cs="Times New Roman"/>
      <w:sz w:val="18"/>
      <w:szCs w:val="18"/>
    </w:rPr>
  </w:style>
  <w:style w:type="character" w:customStyle="1" w:styleId="797">
    <w:name w:val="px141"/>
    <w:qFormat/>
    <w:uiPriority w:val="0"/>
    <w:rPr>
      <w:rFonts w:hint="default" w:ascii="ˎ̥" w:hAnsi="ˎ̥" w:eastAsia="宋体" w:cs="Times New Roman"/>
      <w:sz w:val="21"/>
      <w:szCs w:val="21"/>
    </w:rPr>
  </w:style>
  <w:style w:type="character" w:customStyle="1" w:styleId="798">
    <w:name w:val="about1"/>
    <w:qFormat/>
    <w:uiPriority w:val="0"/>
    <w:rPr>
      <w:rFonts w:hint="default" w:ascii="ˎ̥" w:hAnsi="ˎ̥" w:eastAsia="宋体" w:cs="Times New Roman"/>
      <w:sz w:val="18"/>
      <w:szCs w:val="18"/>
    </w:rPr>
  </w:style>
  <w:style w:type="paragraph" w:customStyle="1" w:styleId="799">
    <w:name w:val="标正文"/>
    <w:basedOn w:val="1"/>
    <w:link w:val="800"/>
    <w:qFormat/>
    <w:uiPriority w:val="0"/>
    <w:pPr>
      <w:widowControl/>
      <w:spacing w:after="200" w:line="360" w:lineRule="auto"/>
      <w:ind w:firstLine="480" w:firstLineChars="200"/>
    </w:pPr>
    <w:rPr>
      <w:rFonts w:ascii="Cambria" w:hAnsi="Cambria"/>
      <w:kern w:val="0"/>
      <w:sz w:val="24"/>
      <w:lang w:eastAsia="en-US"/>
    </w:rPr>
  </w:style>
  <w:style w:type="character" w:customStyle="1" w:styleId="800">
    <w:name w:val="标正文 Char"/>
    <w:link w:val="799"/>
    <w:qFormat/>
    <w:uiPriority w:val="0"/>
    <w:rPr>
      <w:rFonts w:ascii="Cambria" w:hAnsi="Cambria" w:eastAsia="宋体" w:cs="Times New Roman"/>
      <w:sz w:val="24"/>
      <w:lang w:eastAsia="en-US"/>
    </w:rPr>
  </w:style>
  <w:style w:type="character" w:customStyle="1" w:styleId="801">
    <w:name w:val="oblog_text"/>
    <w:qFormat/>
    <w:uiPriority w:val="0"/>
    <w:rPr>
      <w:rFonts w:ascii="Times New Roman" w:hAnsi="Times New Roman" w:eastAsia="宋体" w:cs="Times New Roman"/>
    </w:rPr>
  </w:style>
  <w:style w:type="character" w:customStyle="1" w:styleId="802">
    <w:name w:val="normal9"/>
    <w:qFormat/>
    <w:uiPriority w:val="0"/>
    <w:rPr>
      <w:rFonts w:ascii="Times New Roman" w:hAnsi="Times New Roman" w:eastAsia="宋体" w:cs="Times New Roman"/>
    </w:rPr>
  </w:style>
  <w:style w:type="paragraph" w:customStyle="1" w:styleId="803">
    <w:name w:val="明显引用1"/>
    <w:basedOn w:val="1"/>
    <w:next w:val="1"/>
    <w:link w:val="804"/>
    <w:qFormat/>
    <w:uiPriority w:val="0"/>
    <w:pPr>
      <w:widowControl/>
      <w:pBdr>
        <w:top w:val="single" w:color="auto" w:sz="4" w:space="10"/>
        <w:bottom w:val="single" w:color="auto" w:sz="4" w:space="10"/>
      </w:pBdr>
      <w:spacing w:before="240" w:after="240" w:line="300" w:lineRule="auto"/>
      <w:ind w:left="1152"/>
    </w:pPr>
    <w:rPr>
      <w:rFonts w:ascii="Cambria" w:hAnsi="Cambria"/>
      <w:i/>
      <w:kern w:val="0"/>
      <w:sz w:val="22"/>
      <w:lang w:eastAsia="en-US"/>
    </w:rPr>
  </w:style>
  <w:style w:type="character" w:customStyle="1" w:styleId="804">
    <w:name w:val="Intense Quote Char"/>
    <w:link w:val="803"/>
    <w:qFormat/>
    <w:uiPriority w:val="0"/>
    <w:rPr>
      <w:rFonts w:ascii="Cambria" w:hAnsi="Cambria" w:eastAsia="宋体" w:cs="Times New Roman"/>
      <w:i/>
      <w:sz w:val="22"/>
      <w:lang w:eastAsia="en-US"/>
    </w:rPr>
  </w:style>
  <w:style w:type="character" w:customStyle="1" w:styleId="805">
    <w:name w:val="t_tag"/>
    <w:qFormat/>
    <w:uiPriority w:val="0"/>
    <w:rPr>
      <w:rFonts w:ascii="Times New Roman" w:hAnsi="Times New Roman" w:eastAsia="宋体" w:cs="Times New Roman"/>
    </w:rPr>
  </w:style>
  <w:style w:type="paragraph" w:customStyle="1" w:styleId="806">
    <w:name w:val="无间隔2"/>
    <w:link w:val="807"/>
    <w:qFormat/>
    <w:uiPriority w:val="0"/>
    <w:rPr>
      <w:rFonts w:ascii="Times New Roman" w:hAnsi="Times New Roman" w:eastAsia="宋体" w:cs="Times New Roman"/>
      <w:sz w:val="22"/>
      <w:lang w:val="en-US" w:eastAsia="zh-CN" w:bidi="ar-SA"/>
    </w:rPr>
  </w:style>
  <w:style w:type="character" w:customStyle="1" w:styleId="807">
    <w:name w:val="No Spacing Char1"/>
    <w:link w:val="806"/>
    <w:qFormat/>
    <w:uiPriority w:val="0"/>
    <w:rPr>
      <w:rFonts w:ascii="Times New Roman" w:hAnsi="Times New Roman" w:eastAsia="宋体" w:cs="Times New Roman"/>
      <w:sz w:val="22"/>
    </w:rPr>
  </w:style>
  <w:style w:type="character" w:customStyle="1" w:styleId="808">
    <w:name w:val="abcde1"/>
    <w:qFormat/>
    <w:uiPriority w:val="0"/>
    <w:rPr>
      <w:rFonts w:ascii="Times New Roman" w:hAnsi="Times New Roman" w:eastAsia="宋体" w:cs="Times New Roman"/>
      <w:sz w:val="20"/>
      <w:szCs w:val="20"/>
    </w:rPr>
  </w:style>
  <w:style w:type="character" w:customStyle="1" w:styleId="809">
    <w:name w:val="big"/>
    <w:qFormat/>
    <w:uiPriority w:val="0"/>
    <w:rPr>
      <w:rFonts w:ascii="Times New Roman" w:hAnsi="Times New Roman" w:eastAsia="宋体" w:cs="Times New Roman"/>
    </w:rPr>
  </w:style>
  <w:style w:type="character" w:customStyle="1" w:styleId="810">
    <w:name w:val="zcl style1"/>
    <w:qFormat/>
    <w:uiPriority w:val="0"/>
    <w:rPr>
      <w:rFonts w:ascii="Times New Roman" w:hAnsi="Times New Roman" w:eastAsia="宋体" w:cs="Times New Roman"/>
    </w:rPr>
  </w:style>
  <w:style w:type="character" w:customStyle="1" w:styleId="811">
    <w:name w:val="ca-11"/>
    <w:qFormat/>
    <w:uiPriority w:val="0"/>
    <w:rPr>
      <w:rFonts w:hint="default" w:ascii="Times New Roman" w:hAnsi="Times New Roman" w:eastAsia="宋体" w:cs="Times New Roman"/>
      <w:sz w:val="32"/>
      <w:szCs w:val="32"/>
    </w:rPr>
  </w:style>
  <w:style w:type="character" w:customStyle="1" w:styleId="812">
    <w:name w:val="明显强调1"/>
    <w:qFormat/>
    <w:uiPriority w:val="0"/>
    <w:rPr>
      <w:rFonts w:ascii="Times New Roman" w:hAnsi="Times New Roman" w:eastAsia="宋体" w:cs="Times New Roman"/>
      <w:b/>
      <w:bCs/>
      <w:i/>
      <w:iCs/>
    </w:rPr>
  </w:style>
  <w:style w:type="character" w:customStyle="1" w:styleId="813">
    <w:name w:val="about"/>
    <w:qFormat/>
    <w:uiPriority w:val="0"/>
    <w:rPr>
      <w:rFonts w:ascii="Times New Roman" w:hAnsi="Times New Roman" w:eastAsia="宋体" w:cs="Times New Roman"/>
    </w:rPr>
  </w:style>
  <w:style w:type="paragraph" w:customStyle="1" w:styleId="814">
    <w:name w:val="样式 标题 3H3h33rd levelLevel 3 Headl3CTHeading 3 - oldISO2..."/>
    <w:basedOn w:val="6"/>
    <w:link w:val="815"/>
    <w:qFormat/>
    <w:uiPriority w:val="0"/>
    <w:pPr>
      <w:spacing w:line="413" w:lineRule="auto"/>
      <w:jc w:val="left"/>
    </w:pPr>
    <w:rPr>
      <w:rFonts w:ascii="宋体" w:hAnsi="宋体"/>
      <w:b w:val="0"/>
      <w:bCs w:val="0"/>
      <w:iCs/>
      <w:color w:val="000000"/>
      <w:kern w:val="0"/>
      <w:sz w:val="28"/>
    </w:rPr>
  </w:style>
  <w:style w:type="character" w:customStyle="1" w:styleId="815">
    <w:name w:val="样式 标题 3H3h33rd levelLevel 3 Headl3CTHeading 3 - oldISO2... Char"/>
    <w:link w:val="814"/>
    <w:qFormat/>
    <w:uiPriority w:val="0"/>
    <w:rPr>
      <w:rFonts w:ascii="宋体" w:hAnsi="宋体" w:eastAsia="宋体" w:cs="Times New Roman"/>
      <w:iCs/>
      <w:color w:val="000000"/>
      <w:sz w:val="28"/>
      <w:szCs w:val="32"/>
    </w:rPr>
  </w:style>
  <w:style w:type="character" w:customStyle="1" w:styleId="816">
    <w:name w:val="style251"/>
    <w:qFormat/>
    <w:uiPriority w:val="0"/>
    <w:rPr>
      <w:rFonts w:ascii="Times New Roman" w:hAnsi="Times New Roman" w:eastAsia="宋体" w:cs="Times New Roman"/>
      <w:color w:val="626262"/>
    </w:rPr>
  </w:style>
  <w:style w:type="character" w:customStyle="1" w:styleId="817">
    <w:name w:val="Char Char25"/>
    <w:qFormat/>
    <w:uiPriority w:val="0"/>
    <w:rPr>
      <w:rFonts w:ascii="Cambria" w:hAnsi="Cambria" w:eastAsia="宋体" w:cs="Cambria"/>
      <w:smallCaps/>
      <w:sz w:val="28"/>
      <w:szCs w:val="28"/>
      <w:lang w:val="en-US" w:eastAsia="en-US" w:bidi="ar-SA"/>
    </w:rPr>
  </w:style>
  <w:style w:type="character" w:customStyle="1" w:styleId="818">
    <w:name w:val="unnamed2"/>
    <w:qFormat/>
    <w:uiPriority w:val="0"/>
    <w:rPr>
      <w:rFonts w:ascii="Times New Roman" w:hAnsi="Times New Roman" w:eastAsia="宋体" w:cs="Times New Roman"/>
    </w:rPr>
  </w:style>
  <w:style w:type="character" w:customStyle="1" w:styleId="819">
    <w:name w:val="style91"/>
    <w:qFormat/>
    <w:uiPriority w:val="0"/>
    <w:rPr>
      <w:rFonts w:hint="default" w:ascii="Arial" w:hAnsi="Arial" w:eastAsia="宋体" w:cs="Arial"/>
      <w:b/>
      <w:bCs/>
    </w:rPr>
  </w:style>
  <w:style w:type="paragraph" w:customStyle="1" w:styleId="820">
    <w:name w:val="Figure Text Char Char Char"/>
    <w:link w:val="821"/>
    <w:qFormat/>
    <w:uiPriority w:val="0"/>
    <w:pPr>
      <w:snapToGrid w:val="0"/>
      <w:jc w:val="both"/>
    </w:pPr>
    <w:rPr>
      <w:rFonts w:ascii="Arial" w:hAnsi="Arial" w:eastAsia="楷体_GB2312" w:cs="Arial"/>
      <w:sz w:val="18"/>
      <w:szCs w:val="18"/>
      <w:lang w:val="en-US" w:eastAsia="zh-CN" w:bidi="ar-SA"/>
    </w:rPr>
  </w:style>
  <w:style w:type="character" w:customStyle="1" w:styleId="821">
    <w:name w:val="Figure Text Char Char Char Char"/>
    <w:link w:val="820"/>
    <w:qFormat/>
    <w:uiPriority w:val="0"/>
    <w:rPr>
      <w:rFonts w:ascii="Arial" w:hAnsi="Arial" w:eastAsia="楷体_GB2312" w:cs="Arial"/>
      <w:sz w:val="18"/>
      <w:szCs w:val="18"/>
    </w:rPr>
  </w:style>
  <w:style w:type="character" w:customStyle="1" w:styleId="822">
    <w:name w:val="Subtitle Char1"/>
    <w:qFormat/>
    <w:uiPriority w:val="0"/>
    <w:rPr>
      <w:rFonts w:ascii="Cambria" w:hAnsi="Cambria" w:eastAsia="宋体" w:cs="Cambria"/>
      <w:b/>
      <w:bCs/>
      <w:kern w:val="28"/>
      <w:sz w:val="32"/>
      <w:szCs w:val="32"/>
    </w:rPr>
  </w:style>
  <w:style w:type="character" w:customStyle="1" w:styleId="823">
    <w:name w:val="youbiao"/>
    <w:qFormat/>
    <w:uiPriority w:val="0"/>
    <w:rPr>
      <w:rFonts w:ascii="Times New Roman" w:hAnsi="Times New Roman" w:eastAsia="宋体" w:cs="Times New Roman"/>
    </w:rPr>
  </w:style>
  <w:style w:type="character" w:customStyle="1" w:styleId="824">
    <w:name w:val="service1"/>
    <w:qFormat/>
    <w:uiPriority w:val="0"/>
    <w:rPr>
      <w:rFonts w:ascii="Times New Roman" w:hAnsi="Times New Roman" w:eastAsia="黑体" w:cs="Times New Roman"/>
      <w:sz w:val="24"/>
    </w:rPr>
  </w:style>
  <w:style w:type="character" w:customStyle="1" w:styleId="825">
    <w:name w:val="tle_cn1"/>
    <w:qFormat/>
    <w:uiPriority w:val="0"/>
    <w:rPr>
      <w:rFonts w:hint="default" w:ascii="Arial" w:hAnsi="Arial" w:eastAsia="宋体" w:cs="Arial"/>
      <w:b/>
      <w:bCs/>
      <w:color w:val="7C7C7C"/>
      <w:sz w:val="18"/>
      <w:szCs w:val="18"/>
    </w:rPr>
  </w:style>
  <w:style w:type="character" w:customStyle="1" w:styleId="826">
    <w:name w:val="标题 4 Char2"/>
    <w:qFormat/>
    <w:uiPriority w:val="0"/>
    <w:rPr>
      <w:rFonts w:ascii="宋体" w:hAnsi="Times New Roman" w:eastAsia="宋体" w:cs="宋体"/>
      <w:b/>
      <w:bCs/>
      <w:kern w:val="2"/>
      <w:sz w:val="24"/>
      <w:szCs w:val="24"/>
    </w:rPr>
  </w:style>
  <w:style w:type="character" w:customStyle="1" w:styleId="827">
    <w:name w:val="main11"/>
    <w:qFormat/>
    <w:uiPriority w:val="0"/>
    <w:rPr>
      <w:rFonts w:ascii="Times New Roman" w:hAnsi="Times New Roman" w:eastAsia="宋体" w:cs="Times New Roman"/>
      <w:sz w:val="17"/>
      <w:szCs w:val="17"/>
    </w:rPr>
  </w:style>
  <w:style w:type="character" w:customStyle="1" w:styleId="828">
    <w:name w:val="super"/>
    <w:qFormat/>
    <w:uiPriority w:val="0"/>
    <w:rPr>
      <w:rFonts w:ascii="Times New Roman" w:hAnsi="Times New Roman" w:eastAsia="宋体" w:cs="Times New Roman"/>
    </w:rPr>
  </w:style>
  <w:style w:type="paragraph" w:customStyle="1" w:styleId="829">
    <w:name w:val="Figure Description"/>
    <w:next w:val="1"/>
    <w:qFormat/>
    <w:uiPriority w:val="0"/>
    <w:pPr>
      <w:spacing w:before="80" w:after="320"/>
      <w:ind w:left="1134"/>
    </w:pPr>
    <w:rPr>
      <w:rFonts w:hint="eastAsia" w:ascii="Arial" w:hAnsi="Arial" w:eastAsia="宋体" w:cs="Times New Roman"/>
      <w:lang w:val="en-US" w:eastAsia="zh-CN" w:bidi="ar-SA"/>
    </w:rPr>
  </w:style>
  <w:style w:type="paragraph" w:customStyle="1" w:styleId="830">
    <w:name w:val="Figure Char"/>
    <w:basedOn w:val="1"/>
    <w:next w:val="829"/>
    <w:link w:val="831"/>
    <w:qFormat/>
    <w:uiPriority w:val="0"/>
    <w:pPr>
      <w:keepNext/>
      <w:widowControl/>
      <w:snapToGrid w:val="0"/>
      <w:spacing w:before="80" w:after="80" w:line="300" w:lineRule="auto"/>
      <w:ind w:left="1134"/>
      <w:jc w:val="center"/>
    </w:pPr>
    <w:rPr>
      <w:rFonts w:ascii="Arial" w:hAnsi="Arial" w:cs="Arial"/>
      <w:kern w:val="0"/>
      <w:sz w:val="20"/>
    </w:rPr>
  </w:style>
  <w:style w:type="character" w:customStyle="1" w:styleId="831">
    <w:name w:val="Figure Char Char"/>
    <w:link w:val="830"/>
    <w:qFormat/>
    <w:uiPriority w:val="0"/>
    <w:rPr>
      <w:rFonts w:ascii="Arial" w:hAnsi="Arial" w:eastAsia="宋体" w:cs="Arial"/>
    </w:rPr>
  </w:style>
  <w:style w:type="paragraph" w:customStyle="1" w:styleId="832">
    <w:name w:val="样式 标题 2项目标题 2H2UNDERRUBRIK 1-2h2l2list 2list 2heading 2...1"/>
    <w:basedOn w:val="4"/>
    <w:link w:val="833"/>
    <w:qFormat/>
    <w:uiPriority w:val="0"/>
    <w:pPr>
      <w:tabs>
        <w:tab w:val="left" w:pos="0"/>
      </w:tabs>
      <w:spacing w:line="413" w:lineRule="auto"/>
      <w:ind w:left="576" w:right="480" w:rightChars="200" w:firstLine="420"/>
      <w:jc w:val="left"/>
    </w:pPr>
    <w:rPr>
      <w:rFonts w:ascii="仿宋_GB2312" w:hAnsi="仿宋_GB2312" w:cs="Arial Narrow"/>
      <w:bCs/>
      <w:iCs/>
      <w:kern w:val="0"/>
      <w:sz w:val="24"/>
      <w:szCs w:val="24"/>
    </w:rPr>
  </w:style>
  <w:style w:type="character" w:customStyle="1" w:styleId="833">
    <w:name w:val="样式 标题 2项目标题 2H2UNDERRUBRIK 1-2h2l2list 2list 2heading 2...1 Char"/>
    <w:link w:val="832"/>
    <w:qFormat/>
    <w:uiPriority w:val="0"/>
    <w:rPr>
      <w:rFonts w:ascii="仿宋_GB2312" w:hAnsi="仿宋_GB2312" w:eastAsia="宋体" w:cs="Arial Narrow"/>
      <w:b/>
      <w:bCs/>
      <w:iCs/>
      <w:sz w:val="24"/>
      <w:szCs w:val="24"/>
    </w:rPr>
  </w:style>
  <w:style w:type="character" w:customStyle="1" w:styleId="834">
    <w:name w:val="Item List Char Char"/>
    <w:qFormat/>
    <w:uiPriority w:val="0"/>
    <w:rPr>
      <w:rFonts w:ascii="Arial" w:hAnsi="Arial" w:eastAsia="宋体" w:cs="Times New Roman"/>
      <w:color w:val="000000"/>
      <w:sz w:val="24"/>
      <w:lang w:val="en-US" w:eastAsia="zh-CN" w:bidi="ar-SA"/>
    </w:rPr>
  </w:style>
  <w:style w:type="character" w:customStyle="1" w:styleId="835">
    <w:name w:val="style221"/>
    <w:qFormat/>
    <w:uiPriority w:val="0"/>
    <w:rPr>
      <w:rFonts w:ascii="Times New Roman" w:hAnsi="Times New Roman" w:eastAsia="宋体" w:cs="Times New Roman"/>
      <w:color w:val="5A5A5A"/>
    </w:rPr>
  </w:style>
  <w:style w:type="character" w:customStyle="1" w:styleId="836">
    <w:name w:val="明显参考11"/>
    <w:qFormat/>
    <w:uiPriority w:val="0"/>
    <w:rPr>
      <w:rFonts w:ascii="Times New Roman" w:hAnsi="Times New Roman" w:eastAsia="宋体" w:cs="Times New Roman"/>
      <w:b/>
      <w:bCs/>
      <w:smallCaps/>
    </w:rPr>
  </w:style>
  <w:style w:type="character" w:customStyle="1" w:styleId="837">
    <w:name w:val="正文文本缩进 Char1"/>
    <w:qFormat/>
    <w:uiPriority w:val="0"/>
    <w:rPr>
      <w:rFonts w:ascii="Times New Roman" w:hAnsi="Times New Roman" w:eastAsia="宋体" w:cs="Times New Roman"/>
      <w:kern w:val="2"/>
      <w:sz w:val="21"/>
      <w:szCs w:val="21"/>
    </w:rPr>
  </w:style>
  <w:style w:type="character" w:customStyle="1" w:styleId="838">
    <w:name w:val="正文首行缩进 2 Char1"/>
    <w:qFormat/>
    <w:uiPriority w:val="0"/>
    <w:rPr>
      <w:rFonts w:ascii="Times New Roman" w:hAnsi="Times New Roman" w:eastAsia="宋体" w:cs="Times New Roman"/>
      <w:kern w:val="2"/>
      <w:sz w:val="21"/>
      <w:szCs w:val="21"/>
    </w:rPr>
  </w:style>
  <w:style w:type="character" w:customStyle="1" w:styleId="839">
    <w:name w:val="页脚 Char1"/>
    <w:qFormat/>
    <w:uiPriority w:val="0"/>
    <w:rPr>
      <w:rFonts w:ascii="Times New Roman" w:hAnsi="Times New Roman" w:eastAsia="宋体" w:cs="Times New Roman"/>
      <w:kern w:val="2"/>
      <w:sz w:val="18"/>
      <w:szCs w:val="18"/>
    </w:rPr>
  </w:style>
  <w:style w:type="character" w:customStyle="1" w:styleId="840">
    <w:name w:val="正文文本 3 Char1"/>
    <w:qFormat/>
    <w:uiPriority w:val="0"/>
    <w:rPr>
      <w:rFonts w:ascii="Times New Roman" w:hAnsi="Times New Roman" w:eastAsia="宋体" w:cs="Times New Roman"/>
      <w:kern w:val="2"/>
      <w:sz w:val="16"/>
      <w:szCs w:val="16"/>
    </w:rPr>
  </w:style>
  <w:style w:type="character" w:customStyle="1" w:styleId="841">
    <w:name w:val="文档结构图 Char1"/>
    <w:qFormat/>
    <w:uiPriority w:val="0"/>
    <w:rPr>
      <w:rFonts w:ascii="宋体" w:hAnsi="Times New Roman" w:eastAsia="宋体" w:cs="Times New Roman"/>
      <w:kern w:val="2"/>
      <w:sz w:val="18"/>
      <w:szCs w:val="18"/>
    </w:rPr>
  </w:style>
  <w:style w:type="character" w:customStyle="1" w:styleId="842">
    <w:name w:val="lijuyuanxing"/>
    <w:qFormat/>
    <w:uiPriority w:val="0"/>
    <w:rPr>
      <w:rFonts w:ascii="Times New Roman" w:hAnsi="Times New Roman" w:eastAsia="宋体" w:cs="Times New Roman"/>
    </w:rPr>
  </w:style>
  <w:style w:type="character" w:customStyle="1" w:styleId="843">
    <w:name w:val="5a"/>
    <w:qFormat/>
    <w:uiPriority w:val="0"/>
    <w:rPr>
      <w:rFonts w:ascii="Times New Roman" w:hAnsi="Times New Roman" w:eastAsia="宋体" w:cs="Times New Roman"/>
    </w:rPr>
  </w:style>
  <w:style w:type="character" w:customStyle="1" w:styleId="844">
    <w:name w:val="Char Char Char Char21"/>
    <w:qFormat/>
    <w:uiPriority w:val="0"/>
    <w:rPr>
      <w:rFonts w:ascii="Tahoma" w:hAnsi="Tahoma" w:eastAsia="宋体" w:cs="Times New Roman"/>
      <w:sz w:val="24"/>
      <w:szCs w:val="20"/>
    </w:rPr>
  </w:style>
  <w:style w:type="character" w:customStyle="1" w:styleId="845">
    <w:name w:val="Char Char101"/>
    <w:qFormat/>
    <w:uiPriority w:val="0"/>
    <w:rPr>
      <w:rFonts w:ascii="Times New Roman" w:hAnsi="Times New Roman" w:eastAsia="宋体" w:cs="Times New Roman"/>
      <w:b/>
      <w:bCs/>
      <w:kern w:val="2"/>
      <w:sz w:val="32"/>
      <w:szCs w:val="32"/>
      <w:lang w:val="en-US" w:eastAsia="zh-CN" w:bidi="ar-SA"/>
    </w:rPr>
  </w:style>
  <w:style w:type="character" w:customStyle="1" w:styleId="846">
    <w:name w:val="Char62"/>
    <w:qFormat/>
    <w:uiPriority w:val="0"/>
    <w:rPr>
      <w:rFonts w:ascii="Arial" w:hAnsi="Arial" w:eastAsia="黑体" w:cs="Times New Roman"/>
      <w:sz w:val="24"/>
      <w:lang w:val="en-US" w:eastAsia="zh-CN" w:bidi="ar-SA"/>
    </w:rPr>
  </w:style>
  <w:style w:type="character" w:customStyle="1" w:styleId="847">
    <w:name w:val="Char42"/>
    <w:qFormat/>
    <w:uiPriority w:val="0"/>
    <w:rPr>
      <w:rFonts w:ascii="Times New Roman" w:hAnsi="Times New Roman" w:eastAsia="宋体" w:cs="Times New Roman"/>
      <w:kern w:val="2"/>
      <w:sz w:val="21"/>
      <w:szCs w:val="24"/>
      <w:lang w:val="en-US" w:eastAsia="zh-CN" w:bidi="ar-SA"/>
    </w:rPr>
  </w:style>
  <w:style w:type="character" w:customStyle="1" w:styleId="848">
    <w:name w:val="批注引用1"/>
    <w:qFormat/>
    <w:uiPriority w:val="0"/>
    <w:rPr>
      <w:rFonts w:ascii="Times New Roman" w:hAnsi="Times New Roman" w:eastAsia="宋体" w:cs="Times New Roman"/>
      <w:sz w:val="21"/>
    </w:rPr>
  </w:style>
  <w:style w:type="paragraph" w:customStyle="1" w:styleId="849">
    <w:name w:val="正文小四"/>
    <w:basedOn w:val="1"/>
    <w:link w:val="850"/>
    <w:qFormat/>
    <w:uiPriority w:val="0"/>
    <w:pPr>
      <w:spacing w:beforeLines="50" w:afterLines="50" w:line="360" w:lineRule="auto"/>
      <w:ind w:firstLine="480" w:firstLineChars="200"/>
      <w:jc w:val="left"/>
    </w:pPr>
    <w:rPr>
      <w:rFonts w:ascii="宋体" w:hAnsi="宋体" w:eastAsia="仿宋_GB2312"/>
      <w:sz w:val="24"/>
      <w:szCs w:val="24"/>
    </w:rPr>
  </w:style>
  <w:style w:type="character" w:customStyle="1" w:styleId="850">
    <w:name w:val="正文小四 Char"/>
    <w:link w:val="849"/>
    <w:qFormat/>
    <w:uiPriority w:val="0"/>
    <w:rPr>
      <w:rFonts w:ascii="宋体" w:hAnsi="宋体" w:eastAsia="仿宋_GB2312" w:cs="Times New Roman"/>
      <w:kern w:val="2"/>
      <w:sz w:val="24"/>
      <w:szCs w:val="24"/>
    </w:rPr>
  </w:style>
  <w:style w:type="character" w:customStyle="1" w:styleId="851">
    <w:name w:val="样式4 Char"/>
    <w:qFormat/>
    <w:uiPriority w:val="0"/>
    <w:rPr>
      <w:rFonts w:ascii="Times New Roman" w:hAnsi="Times New Roman" w:eastAsia="宋体" w:cs="Times New Roman"/>
      <w:kern w:val="2"/>
      <w:sz w:val="24"/>
      <w:szCs w:val="24"/>
      <w:lang w:val="en-US" w:eastAsia="zh-CN" w:bidi="ar-SA"/>
    </w:rPr>
  </w:style>
  <w:style w:type="character" w:customStyle="1" w:styleId="852">
    <w:name w:val="zi"/>
    <w:qFormat/>
    <w:uiPriority w:val="0"/>
    <w:rPr>
      <w:rFonts w:ascii="Times New Roman" w:hAnsi="Times New Roman" w:eastAsia="宋体" w:cs="Times New Roman"/>
    </w:rPr>
  </w:style>
  <w:style w:type="character" w:customStyle="1" w:styleId="853">
    <w:name w:val="boldcontent"/>
    <w:qFormat/>
    <w:uiPriority w:val="0"/>
    <w:rPr>
      <w:rFonts w:ascii="Times New Roman" w:hAnsi="Times New Roman" w:eastAsia="宋体" w:cs="Times New Roman"/>
    </w:rPr>
  </w:style>
  <w:style w:type="character" w:customStyle="1" w:styleId="854">
    <w:name w:val="s lh15"/>
    <w:qFormat/>
    <w:uiPriority w:val="0"/>
    <w:rPr>
      <w:rFonts w:ascii="Times New Roman" w:hAnsi="Times New Roman" w:eastAsia="宋体" w:cs="Times New Roman"/>
    </w:rPr>
  </w:style>
  <w:style w:type="paragraph" w:customStyle="1" w:styleId="855">
    <w:name w:val="段落"/>
    <w:link w:val="856"/>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character" w:customStyle="1" w:styleId="856">
    <w:name w:val="段落 Char1"/>
    <w:link w:val="855"/>
    <w:qFormat/>
    <w:uiPriority w:val="0"/>
    <w:rPr>
      <w:rFonts w:ascii="Times New Roman" w:hAnsi="Times New Roman" w:eastAsia="仿宋_GB2312" w:cs="Times New Roman"/>
      <w:kern w:val="2"/>
      <w:sz w:val="24"/>
      <w:szCs w:val="24"/>
    </w:rPr>
  </w:style>
  <w:style w:type="character" w:customStyle="1" w:styleId="857">
    <w:name w:val="p1501"/>
    <w:qFormat/>
    <w:uiPriority w:val="0"/>
    <w:rPr>
      <w:rFonts w:ascii="Times New Roman" w:hAnsi="Times New Roman" w:eastAsia="宋体" w:cs="Times New Roman"/>
    </w:rPr>
  </w:style>
  <w:style w:type="paragraph" w:customStyle="1" w:styleId="858">
    <w:name w:val="项目符号1号"/>
    <w:link w:val="859"/>
    <w:qFormat/>
    <w:uiPriority w:val="0"/>
    <w:pPr>
      <w:tabs>
        <w:tab w:val="left" w:pos="0"/>
      </w:tabs>
      <w:spacing w:line="360" w:lineRule="auto"/>
    </w:pPr>
    <w:rPr>
      <w:rFonts w:ascii="Times New Roman" w:hAnsi="Times New Roman" w:eastAsia="宋体" w:cs="宋体"/>
      <w:kern w:val="2"/>
      <w:sz w:val="24"/>
      <w:lang w:val="en-US" w:eastAsia="zh-CN" w:bidi="ar-SA"/>
    </w:rPr>
  </w:style>
  <w:style w:type="character" w:customStyle="1" w:styleId="859">
    <w:name w:val="项目符号1号 Char"/>
    <w:link w:val="858"/>
    <w:qFormat/>
    <w:uiPriority w:val="0"/>
    <w:rPr>
      <w:rFonts w:ascii="Times New Roman" w:hAnsi="Times New Roman" w:eastAsia="宋体" w:cs="宋体"/>
      <w:kern w:val="2"/>
      <w:sz w:val="24"/>
    </w:rPr>
  </w:style>
  <w:style w:type="character" w:customStyle="1" w:styleId="860">
    <w:name w:val="cmain1"/>
    <w:qFormat/>
    <w:uiPriority w:val="0"/>
    <w:rPr>
      <w:rFonts w:hint="default" w:ascii="ˎ̥" w:hAnsi="ˎ̥" w:eastAsia="宋体" w:cs="Times New Roman"/>
      <w:color w:val="525052"/>
      <w:sz w:val="21"/>
      <w:szCs w:val="21"/>
    </w:rPr>
  </w:style>
  <w:style w:type="character" w:customStyle="1" w:styleId="861">
    <w:name w:val="SAHeading 1 Char"/>
    <w:qFormat/>
    <w:uiPriority w:val="0"/>
    <w:rPr>
      <w:rFonts w:ascii="Times New Roman" w:hAnsi="Times New Roman" w:eastAsia="宋体" w:cs="Times New Roman"/>
      <w:b/>
      <w:bCs/>
      <w:kern w:val="44"/>
      <w:sz w:val="44"/>
      <w:szCs w:val="44"/>
      <w:lang w:val="en-US" w:eastAsia="zh-CN" w:bidi="ar-SA"/>
    </w:rPr>
  </w:style>
  <w:style w:type="character" w:customStyle="1" w:styleId="862">
    <w:name w:val="art_title1"/>
    <w:qFormat/>
    <w:uiPriority w:val="0"/>
    <w:rPr>
      <w:rFonts w:ascii="Times New Roman" w:hAnsi="Times New Roman" w:eastAsia="宋体" w:cs="Times New Roman"/>
      <w:b/>
      <w:bCs/>
      <w:sz w:val="21"/>
      <w:szCs w:val="21"/>
    </w:rPr>
  </w:style>
  <w:style w:type="character" w:customStyle="1" w:styleId="863">
    <w:name w:val="结束语 Char1"/>
    <w:qFormat/>
    <w:uiPriority w:val="0"/>
    <w:rPr>
      <w:rFonts w:ascii="宋体" w:hAnsi="宋体" w:eastAsia="宋体" w:cs="Times New Roman"/>
      <w:color w:val="000000"/>
      <w:kern w:val="2"/>
      <w:sz w:val="24"/>
      <w:szCs w:val="24"/>
    </w:rPr>
  </w:style>
  <w:style w:type="paragraph" w:customStyle="1" w:styleId="864">
    <w:name w:val="正文--2字符首行缩进"/>
    <w:basedOn w:val="1"/>
    <w:link w:val="865"/>
    <w:qFormat/>
    <w:uiPriority w:val="0"/>
    <w:pPr>
      <w:snapToGrid w:val="0"/>
      <w:spacing w:line="360" w:lineRule="auto"/>
      <w:ind w:firstLine="560" w:firstLineChars="200"/>
      <w:contextualSpacing/>
      <w:jc w:val="left"/>
    </w:pPr>
    <w:rPr>
      <w:rFonts w:ascii="仿宋_GB2312" w:eastAsia="仿宋_GB2312"/>
      <w:sz w:val="28"/>
      <w:szCs w:val="24"/>
    </w:rPr>
  </w:style>
  <w:style w:type="character" w:customStyle="1" w:styleId="865">
    <w:name w:val="正文--2字符首行缩进 Char"/>
    <w:link w:val="864"/>
    <w:qFormat/>
    <w:uiPriority w:val="0"/>
    <w:rPr>
      <w:rFonts w:ascii="仿宋_GB2312" w:hAnsi="Times New Roman" w:eastAsia="仿宋_GB2312" w:cs="Times New Roman"/>
      <w:kern w:val="2"/>
      <w:sz w:val="28"/>
      <w:szCs w:val="24"/>
    </w:rPr>
  </w:style>
  <w:style w:type="character" w:customStyle="1" w:styleId="866">
    <w:name w:val="正文文本缩进 3 Char"/>
    <w:qFormat/>
    <w:uiPriority w:val="0"/>
    <w:rPr>
      <w:rFonts w:ascii="Calibri" w:hAnsi="Calibri" w:eastAsia="宋体" w:cs="Times New Roman"/>
      <w:kern w:val="2"/>
      <w:sz w:val="16"/>
      <w:szCs w:val="16"/>
    </w:rPr>
  </w:style>
  <w:style w:type="character" w:customStyle="1" w:styleId="867">
    <w:name w:val="font41"/>
    <w:qFormat/>
    <w:uiPriority w:val="0"/>
    <w:rPr>
      <w:rFonts w:hint="eastAsia" w:ascii="宋体" w:hAnsi="宋体" w:eastAsia="宋体" w:cs="宋体"/>
      <w:color w:val="000000"/>
      <w:sz w:val="20"/>
      <w:szCs w:val="20"/>
      <w:u w:val="none"/>
    </w:rPr>
  </w:style>
  <w:style w:type="character" w:customStyle="1" w:styleId="868">
    <w:name w:val="bookmark-item uuid-1536114797846 code-23002"/>
    <w:qFormat/>
    <w:uiPriority w:val="0"/>
    <w:rPr>
      <w:rFonts w:ascii="Times New Roman" w:hAnsi="Times New Roman" w:eastAsia="宋体" w:cs="Times New Roman"/>
    </w:rPr>
  </w:style>
  <w:style w:type="paragraph" w:customStyle="1" w:styleId="869">
    <w:name w:val="xl36"/>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rPr>
  </w:style>
  <w:style w:type="paragraph" w:customStyle="1" w:styleId="870">
    <w:name w:val="heading1"/>
    <w:basedOn w:val="1"/>
    <w:next w:val="1"/>
    <w:qFormat/>
    <w:uiPriority w:val="0"/>
    <w:pPr>
      <w:keepNext/>
      <w:keepLines/>
      <w:spacing w:before="260" w:after="260" w:line="413" w:lineRule="auto"/>
      <w:outlineLvl w:val="1"/>
    </w:pPr>
    <w:rPr>
      <w:rFonts w:hint="eastAsia" w:ascii="Arial" w:hAnsi="Arial" w:eastAsia="黑体"/>
      <w:b/>
      <w:sz w:val="32"/>
    </w:rPr>
  </w:style>
  <w:style w:type="paragraph" w:customStyle="1" w:styleId="871">
    <w:name w:val="页眉2"/>
    <w:basedOn w:val="1"/>
    <w:qFormat/>
    <w:uiPriority w:val="0"/>
    <w:pPr>
      <w:pBdr>
        <w:bottom w:val="single" w:color="auto" w:sz="6" w:space="1"/>
      </w:pBdr>
      <w:tabs>
        <w:tab w:val="center" w:pos="4153"/>
        <w:tab w:val="right" w:pos="8306"/>
      </w:tabs>
      <w:snapToGrid w:val="0"/>
      <w:jc w:val="center"/>
    </w:pPr>
    <w:rPr>
      <w:rFonts w:hint="eastAsia"/>
      <w:sz w:val="18"/>
    </w:rPr>
  </w:style>
  <w:style w:type="paragraph" w:customStyle="1" w:styleId="872">
    <w:name w:val="页眉0"/>
    <w:basedOn w:val="871"/>
    <w:qFormat/>
    <w:uiPriority w:val="0"/>
    <w:pPr>
      <w:tabs>
        <w:tab w:val="left" w:pos="142"/>
        <w:tab w:val="right" w:pos="9180"/>
        <w:tab w:val="clear" w:pos="4153"/>
        <w:tab w:val="clear" w:pos="8306"/>
      </w:tabs>
    </w:pPr>
    <w:rPr>
      <w:b/>
      <w:sz w:val="30"/>
    </w:rPr>
  </w:style>
  <w:style w:type="paragraph" w:customStyle="1" w:styleId="873">
    <w:name w:val="表格标题"/>
    <w:basedOn w:val="1"/>
    <w:qFormat/>
    <w:uiPriority w:val="0"/>
    <w:pPr>
      <w:numPr>
        <w:ilvl w:val="0"/>
        <w:numId w:val="28"/>
      </w:numPr>
      <w:spacing w:line="360" w:lineRule="auto"/>
      <w:ind w:left="0" w:firstLine="0"/>
      <w:jc w:val="center"/>
    </w:pPr>
    <w:rPr>
      <w:rFonts w:ascii="宋体" w:hAnsi="宋体" w:eastAsia="黑体"/>
      <w:b/>
      <w:sz w:val="24"/>
      <w:szCs w:val="21"/>
    </w:rPr>
  </w:style>
  <w:style w:type="paragraph" w:customStyle="1" w:styleId="874">
    <w:name w:val="回信地址"/>
    <w:qFormat/>
    <w:uiPriority w:val="0"/>
    <w:pPr>
      <w:framePr w:w="8640" w:wrap="notBeside" w:vAnchor="page" w:hAnchor="page" w:x="1581" w:y="13700" w:anchorLock="1"/>
      <w:tabs>
        <w:tab w:val="left" w:pos="-18551"/>
      </w:tabs>
      <w:spacing w:line="240" w:lineRule="atLeast"/>
      <w:ind w:right="-240"/>
      <w:jc w:val="center"/>
    </w:pPr>
    <w:rPr>
      <w:rFonts w:ascii="Garamond" w:hAnsi="Garamond" w:eastAsia="黑体" w:cs="Times New Roman"/>
      <w:spacing w:val="30"/>
      <w:sz w:val="24"/>
      <w:lang w:val="en-US" w:eastAsia="zh-CN" w:bidi="ar-SA"/>
    </w:rPr>
  </w:style>
  <w:style w:type="paragraph" w:customStyle="1" w:styleId="875">
    <w:name w:val="lb标题 3"/>
    <w:basedOn w:val="6"/>
    <w:qFormat/>
    <w:uiPriority w:val="0"/>
    <w:pPr>
      <w:widowControl/>
      <w:tabs>
        <w:tab w:val="left" w:pos="1440"/>
      </w:tabs>
      <w:spacing w:line="240" w:lineRule="auto"/>
      <w:ind w:left="1440" w:hanging="720"/>
    </w:pPr>
    <w:rPr>
      <w:rFonts w:ascii="宋体" w:hAnsi="宋体" w:eastAsia="等线 Light" w:cs="宋体"/>
      <w:iCs/>
      <w:sz w:val="24"/>
      <w:szCs w:val="20"/>
    </w:rPr>
  </w:style>
  <w:style w:type="paragraph" w:customStyle="1" w:styleId="876">
    <w:name w:val="textinden"/>
    <w:basedOn w:val="1"/>
    <w:qFormat/>
    <w:uiPriority w:val="0"/>
    <w:pPr>
      <w:widowControl/>
      <w:spacing w:before="100" w:beforeAutospacing="1" w:after="100" w:afterAutospacing="1" w:line="360" w:lineRule="auto"/>
      <w:ind w:firstLine="480" w:firstLineChars="200"/>
      <w:jc w:val="left"/>
    </w:pPr>
    <w:rPr>
      <w:rFonts w:ascii="Arial" w:hAnsi="Arial" w:eastAsia="仿宋_GB2312" w:cs="Arial"/>
      <w:kern w:val="0"/>
      <w:sz w:val="24"/>
      <w:szCs w:val="24"/>
    </w:rPr>
  </w:style>
  <w:style w:type="paragraph" w:customStyle="1" w:styleId="877">
    <w:name w:val="列表项1，点"/>
    <w:basedOn w:val="150"/>
    <w:qFormat/>
    <w:uiPriority w:val="0"/>
    <w:pPr>
      <w:spacing w:beforeLines="25"/>
      <w:ind w:left="647" w:hanging="420" w:firstLineChars="200"/>
      <w:jc w:val="both"/>
    </w:pPr>
    <w:rPr>
      <w:rFonts w:ascii="Arial" w:hAnsi="Arial" w:eastAsia="新宋体"/>
      <w:i/>
      <w:kern w:val="0"/>
      <w:sz w:val="21"/>
      <w:szCs w:val="20"/>
    </w:rPr>
  </w:style>
  <w:style w:type="paragraph" w:customStyle="1" w:styleId="878">
    <w:name w:val="样式 标题 22nd levelh22Header 2l2H2第一层条Underrubrik1prop2He..."/>
    <w:basedOn w:val="4"/>
    <w:qFormat/>
    <w:uiPriority w:val="0"/>
    <w:pPr>
      <w:widowControl/>
      <w:tabs>
        <w:tab w:val="left" w:pos="0"/>
        <w:tab w:val="left" w:pos="1560"/>
      </w:tabs>
      <w:autoSpaceDE w:val="0"/>
      <w:autoSpaceDN w:val="0"/>
      <w:adjustRightInd w:val="0"/>
      <w:spacing w:line="413" w:lineRule="auto"/>
      <w:ind w:left="1560" w:right="480" w:rightChars="200" w:firstLine="420"/>
    </w:pPr>
    <w:rPr>
      <w:rFonts w:ascii="黑体" w:hAnsi="黑体" w:cs="Arial Narrow"/>
      <w:bCs/>
      <w:iCs/>
      <w:kern w:val="0"/>
      <w:szCs w:val="24"/>
    </w:rPr>
  </w:style>
  <w:style w:type="paragraph" w:customStyle="1" w:styleId="879">
    <w:name w:val="图标"/>
    <w:basedOn w:val="1"/>
    <w:next w:val="1"/>
    <w:qFormat/>
    <w:uiPriority w:val="0"/>
    <w:pPr>
      <w:tabs>
        <w:tab w:val="left" w:pos="567"/>
      </w:tabs>
      <w:autoSpaceDE w:val="0"/>
      <w:autoSpaceDN w:val="0"/>
      <w:adjustRightInd w:val="0"/>
      <w:snapToGrid w:val="0"/>
      <w:spacing w:before="120" w:after="120" w:line="320" w:lineRule="atLeast"/>
      <w:ind w:left="980" w:hanging="420"/>
      <w:jc w:val="center"/>
      <w:textAlignment w:val="baseline"/>
    </w:pPr>
    <w:rPr>
      <w:rFonts w:eastAsia="仿宋_GB2312"/>
      <w:kern w:val="0"/>
      <w:sz w:val="24"/>
    </w:rPr>
  </w:style>
  <w:style w:type="paragraph" w:customStyle="1" w:styleId="880">
    <w:name w:val="附录章标题"/>
    <w:next w:val="557"/>
    <w:qFormat/>
    <w:uiPriority w:val="0"/>
    <w:pPr>
      <w:numPr>
        <w:ilvl w:val="1"/>
        <w:numId w:val="29"/>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1">
    <w:name w:val="xl161"/>
    <w:basedOn w:val="1"/>
    <w:qFormat/>
    <w:uiPriority w:val="0"/>
    <w:pPr>
      <w:widowControl/>
      <w:pBdr>
        <w:left w:val="single" w:color="auto" w:sz="4" w:space="0"/>
        <w:bottom w:val="single" w:color="auto" w:sz="4" w:space="0"/>
        <w:right w:val="single" w:color="auto" w:sz="4" w:space="0"/>
      </w:pBdr>
      <w:shd w:val="clear" w:color="000000" w:fill="F2F2F2"/>
      <w:spacing w:before="100" w:beforeAutospacing="1" w:after="100" w:afterAutospacing="1"/>
      <w:jc w:val="center"/>
    </w:pPr>
    <w:rPr>
      <w:rFonts w:ascii="宋体" w:hAnsi="宋体" w:cs="宋体"/>
      <w:color w:val="000000"/>
      <w:kern w:val="0"/>
      <w:sz w:val="20"/>
    </w:rPr>
  </w:style>
  <w:style w:type="paragraph" w:customStyle="1" w:styleId="882">
    <w:name w:val="Char12"/>
    <w:basedOn w:val="1"/>
    <w:qFormat/>
    <w:uiPriority w:val="0"/>
    <w:pPr>
      <w:adjustRightInd w:val="0"/>
      <w:spacing w:line="360" w:lineRule="auto"/>
    </w:pPr>
    <w:rPr>
      <w:kern w:val="0"/>
      <w:sz w:val="24"/>
    </w:rPr>
  </w:style>
  <w:style w:type="paragraph" w:customStyle="1" w:styleId="883">
    <w:name w:val="大表格内容"/>
    <w:qFormat/>
    <w:uiPriority w:val="0"/>
    <w:pPr>
      <w:spacing w:line="300" w:lineRule="auto"/>
    </w:pPr>
    <w:rPr>
      <w:rFonts w:ascii="Arial" w:hAnsi="Arial" w:eastAsia="仿宋_GB2312" w:cs="Times New Roman"/>
      <w:sz w:val="24"/>
      <w:lang w:val="en-US" w:eastAsia="zh-CN" w:bidi="ar-SA"/>
    </w:rPr>
  </w:style>
  <w:style w:type="paragraph" w:customStyle="1" w:styleId="884">
    <w:name w:val="样式 正文首行缩进 + 行距: 1.5 倍行距 首行缩进:  2 字符"/>
    <w:basedOn w:val="85"/>
    <w:qFormat/>
    <w:uiPriority w:val="0"/>
    <w:pPr>
      <w:spacing w:line="360" w:lineRule="auto"/>
    </w:pPr>
    <w:rPr>
      <w:rFonts w:ascii="Arial" w:hAnsi="Arial" w:cs="宋体"/>
      <w:sz w:val="24"/>
    </w:rPr>
  </w:style>
  <w:style w:type="paragraph" w:customStyle="1" w:styleId="885">
    <w:name w:val="写作提示"/>
    <w:basedOn w:val="1"/>
    <w:qFormat/>
    <w:uiPriority w:val="0"/>
    <w:pPr>
      <w:spacing w:line="360" w:lineRule="auto"/>
      <w:jc w:val="left"/>
    </w:pPr>
    <w:rPr>
      <w:i/>
      <w:color w:val="0000FF"/>
      <w:kern w:val="0"/>
      <w:lang w:eastAsia="en-US"/>
    </w:rPr>
  </w:style>
  <w:style w:type="paragraph" w:customStyle="1" w:styleId="886">
    <w:name w:val="Char5 Char Char1 Char22"/>
    <w:basedOn w:val="1"/>
    <w:qFormat/>
    <w:uiPriority w:val="0"/>
    <w:rPr>
      <w:rFonts w:ascii="Tahoma" w:hAnsi="Tahoma"/>
      <w:sz w:val="24"/>
    </w:rPr>
  </w:style>
  <w:style w:type="paragraph" w:customStyle="1" w:styleId="887">
    <w:name w:val="Char5 Char Char11"/>
    <w:basedOn w:val="1"/>
    <w:qFormat/>
    <w:uiPriority w:val="0"/>
    <w:rPr>
      <w:rFonts w:ascii="Tahoma" w:hAnsi="Tahoma"/>
      <w:sz w:val="24"/>
    </w:rPr>
  </w:style>
  <w:style w:type="paragraph" w:customStyle="1" w:styleId="888">
    <w:name w:val="附录一级条标题"/>
    <w:basedOn w:val="880"/>
    <w:next w:val="557"/>
    <w:qFormat/>
    <w:uiPriority w:val="0"/>
    <w:pPr>
      <w:numPr>
        <w:ilvl w:val="0"/>
        <w:numId w:val="0"/>
      </w:numPr>
      <w:autoSpaceDN w:val="0"/>
      <w:spacing w:beforeLines="0" w:afterLines="0"/>
      <w:outlineLvl w:val="2"/>
    </w:pPr>
    <w:rPr>
      <w:rFonts w:ascii="Times New Roman" w:eastAsia="宋体"/>
    </w:rPr>
  </w:style>
  <w:style w:type="paragraph" w:customStyle="1" w:styleId="889">
    <w:name w:val="附录二级条标题"/>
    <w:basedOn w:val="888"/>
    <w:next w:val="557"/>
    <w:qFormat/>
    <w:uiPriority w:val="0"/>
    <w:pPr>
      <w:tabs>
        <w:tab w:val="left" w:pos="3420"/>
      </w:tabs>
      <w:ind w:left="3420" w:hanging="360"/>
      <w:outlineLvl w:val="3"/>
    </w:pPr>
  </w:style>
  <w:style w:type="paragraph" w:customStyle="1" w:styleId="890">
    <w:name w:val="附录三级条标题"/>
    <w:basedOn w:val="889"/>
    <w:next w:val="557"/>
    <w:qFormat/>
    <w:uiPriority w:val="0"/>
    <w:pPr>
      <w:tabs>
        <w:tab w:val="left" w:pos="2100"/>
        <w:tab w:val="clear" w:pos="3420"/>
      </w:tabs>
      <w:ind w:left="2100" w:hanging="420"/>
      <w:outlineLvl w:val="4"/>
    </w:pPr>
  </w:style>
  <w:style w:type="paragraph" w:customStyle="1" w:styleId="891">
    <w:name w:val="Char2 Char Char Char Char Char Char2"/>
    <w:basedOn w:val="1"/>
    <w:qFormat/>
    <w:uiPriority w:val="0"/>
    <w:pPr>
      <w:widowControl/>
      <w:spacing w:after="160" w:line="240" w:lineRule="exact"/>
      <w:jc w:val="left"/>
    </w:pPr>
    <w:rPr>
      <w:rFonts w:ascii="宋体" w:hAnsi="宋体" w:cs="宋体"/>
      <w:kern w:val="0"/>
      <w:sz w:val="24"/>
      <w:szCs w:val="24"/>
    </w:rPr>
  </w:style>
  <w:style w:type="paragraph" w:customStyle="1" w:styleId="892">
    <w:name w:val="目录页编号文本样式"/>
    <w:basedOn w:val="1"/>
    <w:qFormat/>
    <w:uiPriority w:val="0"/>
    <w:pPr>
      <w:autoSpaceDE w:val="0"/>
      <w:autoSpaceDN w:val="0"/>
      <w:spacing w:line="360" w:lineRule="auto"/>
      <w:ind w:firstLine="200" w:firstLineChars="200"/>
      <w:jc w:val="right"/>
    </w:pPr>
    <w:rPr>
      <w:kern w:val="0"/>
      <w:sz w:val="24"/>
      <w:szCs w:val="24"/>
    </w:rPr>
  </w:style>
  <w:style w:type="paragraph" w:customStyle="1" w:styleId="893">
    <w:name w:val="q2"/>
    <w:basedOn w:val="83"/>
    <w:qFormat/>
    <w:uiPriority w:val="0"/>
    <w:pPr>
      <w:tabs>
        <w:tab w:val="left" w:pos="576"/>
      </w:tabs>
      <w:spacing w:line="360" w:lineRule="auto"/>
      <w:ind w:left="576" w:hanging="576"/>
      <w:jc w:val="left"/>
      <w:outlineLvl w:val="1"/>
    </w:pPr>
    <w:rPr>
      <w:rFonts w:hint="eastAsia" w:ascii="Times New Roman" w:hAnsi="Times New Roman"/>
      <w:bCs w:val="0"/>
      <w:sz w:val="32"/>
      <w:szCs w:val="20"/>
    </w:rPr>
  </w:style>
  <w:style w:type="paragraph" w:customStyle="1" w:styleId="894">
    <w:name w:val="样式 正文格式 + 左侧:  3 字符 首行缩进:  2 字符1 Char"/>
    <w:basedOn w:val="1"/>
    <w:qFormat/>
    <w:uiPriority w:val="0"/>
    <w:pPr>
      <w:tabs>
        <w:tab w:val="left" w:pos="1200"/>
      </w:tabs>
      <w:adjustRightInd w:val="0"/>
      <w:ind w:left="720" w:leftChars="300" w:firstLine="480" w:firstLineChars="200"/>
      <w:textAlignment w:val="baseline"/>
    </w:pPr>
    <w:rPr>
      <w:kern w:val="0"/>
      <w:sz w:val="24"/>
      <w:szCs w:val="24"/>
    </w:rPr>
  </w:style>
  <w:style w:type="paragraph" w:customStyle="1" w:styleId="895">
    <w:name w:val="PDGInstructionsBullet"/>
    <w:basedOn w:val="1"/>
    <w:qFormat/>
    <w:uiPriority w:val="0"/>
    <w:pPr>
      <w:widowControl/>
      <w:numPr>
        <w:ilvl w:val="0"/>
        <w:numId w:val="30"/>
      </w:numPr>
      <w:spacing w:before="60" w:after="120"/>
      <w:ind w:right="360" w:firstLine="0"/>
      <w:jc w:val="left"/>
    </w:pPr>
    <w:rPr>
      <w:rFonts w:ascii="Garamond" w:hAnsi="Garamond" w:eastAsia="仿宋_GB2312"/>
      <w:color w:val="FF0000"/>
      <w:kern w:val="0"/>
      <w:sz w:val="24"/>
      <w:lang w:eastAsia="en-US"/>
    </w:rPr>
  </w:style>
  <w:style w:type="paragraph" w:customStyle="1" w:styleId="896">
    <w:name w:val="注×："/>
    <w:qFormat/>
    <w:uiPriority w:val="0"/>
    <w:pPr>
      <w:widowControl w:val="0"/>
      <w:numPr>
        <w:ilvl w:val="0"/>
        <w:numId w:val="31"/>
      </w:numPr>
      <w:tabs>
        <w:tab w:val="left" w:pos="630"/>
      </w:tabs>
      <w:autoSpaceDE w:val="0"/>
      <w:autoSpaceDN w:val="0"/>
      <w:jc w:val="both"/>
    </w:pPr>
    <w:rPr>
      <w:rFonts w:ascii="宋体" w:hAnsi="Times New Roman" w:eastAsia="宋体" w:cs="Times New Roman"/>
      <w:sz w:val="18"/>
      <w:lang w:val="en-US" w:eastAsia="zh-CN" w:bidi="ar-SA"/>
    </w:rPr>
  </w:style>
  <w:style w:type="paragraph" w:customStyle="1" w:styleId="897">
    <w:name w:val="Char Char Char Char Char Char1 Char5"/>
    <w:basedOn w:val="1"/>
    <w:qFormat/>
    <w:uiPriority w:val="0"/>
    <w:pPr>
      <w:widowControl/>
      <w:spacing w:after="160" w:line="240" w:lineRule="exact"/>
      <w:jc w:val="left"/>
    </w:pPr>
    <w:rPr>
      <w:rFonts w:ascii="Verdana" w:hAnsi="Verdana"/>
      <w:kern w:val="0"/>
      <w:lang w:eastAsia="en-US"/>
    </w:rPr>
  </w:style>
  <w:style w:type="paragraph" w:customStyle="1" w:styleId="898">
    <w:name w:val="Item Step in Table"/>
    <w:qFormat/>
    <w:uiPriority w:val="0"/>
    <w:pPr>
      <w:tabs>
        <w:tab w:val="left" w:pos="397"/>
      </w:tabs>
      <w:spacing w:before="40" w:after="40"/>
      <w:ind w:left="397" w:hanging="397"/>
      <w:jc w:val="both"/>
    </w:pPr>
    <w:rPr>
      <w:rFonts w:ascii="Arial" w:hAnsi="Arial" w:eastAsia="宋体" w:cs="Arial"/>
      <w:sz w:val="18"/>
      <w:szCs w:val="18"/>
      <w:lang w:val="en-US" w:eastAsia="zh-CN" w:bidi="ar-SA"/>
    </w:rPr>
  </w:style>
  <w:style w:type="paragraph" w:customStyle="1" w:styleId="899">
    <w:name w:val="Char1 Char Char Char1"/>
    <w:basedOn w:val="1"/>
    <w:qFormat/>
    <w:uiPriority w:val="0"/>
    <w:pPr>
      <w:spacing w:line="360" w:lineRule="auto"/>
      <w:ind w:firstLine="480" w:firstLineChars="200"/>
    </w:pPr>
    <w:rPr>
      <w:rFonts w:ascii="Tahoma" w:hAnsi="Tahoma"/>
      <w:sz w:val="24"/>
    </w:rPr>
  </w:style>
  <w:style w:type="paragraph" w:customStyle="1" w:styleId="900">
    <w:name w:val="命令码"/>
    <w:basedOn w:val="1"/>
    <w:qFormat/>
    <w:uiPriority w:val="0"/>
    <w:rPr>
      <w:rFonts w:hint="eastAsia"/>
    </w:rPr>
  </w:style>
  <w:style w:type="paragraph" w:customStyle="1" w:styleId="90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rPr>
  </w:style>
  <w:style w:type="paragraph" w:customStyle="1" w:styleId="902">
    <w:name w:val="bb1"/>
    <w:basedOn w:val="1"/>
    <w:qFormat/>
    <w:uiPriority w:val="0"/>
    <w:pPr>
      <w:widowControl/>
      <w:pBdr>
        <w:bottom w:val="single" w:color="auto" w:sz="6" w:space="0"/>
      </w:pBdr>
      <w:spacing w:before="100" w:beforeAutospacing="1" w:after="100" w:afterAutospacing="1"/>
      <w:jc w:val="left"/>
    </w:pPr>
    <w:rPr>
      <w:rFonts w:ascii="宋体" w:hAnsi="宋体"/>
      <w:kern w:val="0"/>
      <w:sz w:val="24"/>
      <w:szCs w:val="24"/>
    </w:rPr>
  </w:style>
  <w:style w:type="paragraph" w:customStyle="1" w:styleId="903">
    <w:name w:val="Char Char1 Char Char Char Char Char Char3"/>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904">
    <w:name w:val="基准标题"/>
    <w:basedOn w:val="33"/>
    <w:next w:val="33"/>
    <w:qFormat/>
    <w:uiPriority w:val="0"/>
    <w:pPr>
      <w:keepNext/>
      <w:keepLines/>
      <w:widowControl/>
      <w:spacing w:afterLines="50" w:line="400" w:lineRule="exact"/>
      <w:jc w:val="left"/>
    </w:pPr>
    <w:rPr>
      <w:rFonts w:ascii="宋体" w:hAnsi="宋体" w:cs="宋体"/>
      <w:kern w:val="0"/>
    </w:rPr>
  </w:style>
  <w:style w:type="paragraph" w:customStyle="1" w:styleId="905">
    <w:name w:val="qw"/>
    <w:qFormat/>
    <w:uiPriority w:val="0"/>
    <w:pPr>
      <w:widowControl w:val="0"/>
      <w:spacing w:line="312" w:lineRule="atLeast"/>
      <w:jc w:val="both"/>
      <w:textAlignment w:val="baseline"/>
    </w:pPr>
    <w:rPr>
      <w:rFonts w:hint="eastAsia" w:ascii="宋体" w:hAnsi="Times New Roman" w:eastAsia="宋体" w:cs="Times New Roman"/>
      <w:sz w:val="24"/>
      <w:lang w:val="en-US" w:eastAsia="zh-CN" w:bidi="ar-SA"/>
    </w:rPr>
  </w:style>
  <w:style w:type="paragraph" w:customStyle="1" w:styleId="906">
    <w:name w:val="figur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07">
    <w:name w:val="技术报告小节标题"/>
    <w:basedOn w:val="1"/>
    <w:next w:val="1"/>
    <w:qFormat/>
    <w:uiPriority w:val="0"/>
    <w:pPr>
      <w:numPr>
        <w:ilvl w:val="3"/>
        <w:numId w:val="32"/>
      </w:numPr>
      <w:tabs>
        <w:tab w:val="left" w:pos="1080"/>
      </w:tabs>
      <w:spacing w:beforeLines="50" w:afterLines="50" w:line="440" w:lineRule="exact"/>
      <w:outlineLvl w:val="2"/>
    </w:pPr>
    <w:rPr>
      <w:rFonts w:ascii="Arial" w:hAnsi="Arial" w:eastAsia="黑体" w:cs="Arial"/>
      <w:bCs/>
      <w:sz w:val="28"/>
      <w:szCs w:val="24"/>
    </w:rPr>
  </w:style>
  <w:style w:type="paragraph" w:customStyle="1" w:styleId="908">
    <w:name w:val="xl15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color w:val="000000"/>
      <w:kern w:val="0"/>
      <w:sz w:val="20"/>
    </w:rPr>
  </w:style>
  <w:style w:type="paragraph" w:customStyle="1" w:styleId="909">
    <w:name w:val="CM84"/>
    <w:basedOn w:val="196"/>
    <w:next w:val="196"/>
    <w:qFormat/>
    <w:uiPriority w:val="0"/>
    <w:rPr>
      <w:rFonts w:ascii="oúì." w:hAnsi="Times New Roman" w:eastAsia="oúì." w:cs="Times New Roman"/>
      <w:color w:val="auto"/>
    </w:rPr>
  </w:style>
  <w:style w:type="paragraph" w:customStyle="1" w:styleId="910">
    <w:name w:val="Char17"/>
    <w:basedOn w:val="1"/>
    <w:qFormat/>
    <w:uiPriority w:val="0"/>
    <w:pPr>
      <w:widowControl/>
      <w:tabs>
        <w:tab w:val="left" w:pos="958"/>
      </w:tabs>
      <w:spacing w:after="160" w:line="240" w:lineRule="exact"/>
      <w:ind w:left="958" w:right="240"/>
      <w:jc w:val="left"/>
    </w:pPr>
  </w:style>
  <w:style w:type="paragraph" w:customStyle="1" w:styleId="911">
    <w:name w:val="Char5 Char Char1 Char13"/>
    <w:basedOn w:val="1"/>
    <w:qFormat/>
    <w:uiPriority w:val="0"/>
    <w:rPr>
      <w:rFonts w:ascii="Tahoma" w:hAnsi="Tahoma"/>
      <w:sz w:val="24"/>
    </w:rPr>
  </w:style>
  <w:style w:type="paragraph" w:customStyle="1" w:styleId="912">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913">
    <w:name w:val="技术报告节标题"/>
    <w:basedOn w:val="1"/>
    <w:next w:val="907"/>
    <w:qFormat/>
    <w:uiPriority w:val="0"/>
    <w:pPr>
      <w:numPr>
        <w:ilvl w:val="2"/>
        <w:numId w:val="32"/>
      </w:numPr>
      <w:tabs>
        <w:tab w:val="clear" w:pos="1080"/>
      </w:tabs>
      <w:spacing w:beforeLines="100" w:afterLines="50" w:line="440" w:lineRule="exact"/>
      <w:outlineLvl w:val="1"/>
    </w:pPr>
    <w:rPr>
      <w:rFonts w:ascii="Arial" w:hAnsi="Arial" w:eastAsia="黑体" w:cs="Arial"/>
      <w:sz w:val="30"/>
      <w:szCs w:val="24"/>
    </w:rPr>
  </w:style>
  <w:style w:type="paragraph" w:customStyle="1" w:styleId="914">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rPr>
  </w:style>
  <w:style w:type="paragraph" w:customStyle="1" w:styleId="915">
    <w:name w:val="标题9"/>
    <w:basedOn w:val="12"/>
    <w:next w:val="1"/>
    <w:qFormat/>
    <w:uiPriority w:val="0"/>
    <w:pPr>
      <w:numPr>
        <w:ilvl w:val="8"/>
        <w:numId w:val="33"/>
      </w:numPr>
      <w:tabs>
        <w:tab w:val="left" w:pos="1582"/>
        <w:tab w:val="clear" w:pos="1468"/>
      </w:tabs>
      <w:spacing w:line="320" w:lineRule="auto"/>
      <w:ind w:left="0" w:firstLine="0"/>
    </w:pPr>
    <w:rPr>
      <w:rFonts w:ascii="Cambria" w:hAnsi="Cambria" w:eastAsia="宋体"/>
      <w:szCs w:val="21"/>
      <w:lang w:eastAsia="en-US"/>
    </w:rPr>
  </w:style>
  <w:style w:type="paragraph" w:customStyle="1" w:styleId="916">
    <w:name w:val="文档标题2"/>
    <w:basedOn w:val="4"/>
    <w:next w:val="1"/>
    <w:qFormat/>
    <w:uiPriority w:val="0"/>
    <w:pPr>
      <w:tabs>
        <w:tab w:val="left" w:pos="567"/>
      </w:tabs>
      <w:spacing w:after="0" w:afterLines="100" w:line="415" w:lineRule="auto"/>
      <w:ind w:left="567" w:hanging="567"/>
    </w:pPr>
    <w:rPr>
      <w:rFonts w:ascii="宋体" w:hAnsi="宋体"/>
      <w:bCs/>
      <w:sz w:val="36"/>
      <w:szCs w:val="36"/>
    </w:rPr>
  </w:style>
  <w:style w:type="paragraph" w:customStyle="1" w:styleId="917">
    <w:name w:val="xl73"/>
    <w:basedOn w:val="1"/>
    <w:qFormat/>
    <w:uiPriority w:val="0"/>
    <w:pPr>
      <w:widowControl/>
      <w:spacing w:before="100" w:beforeAutospacing="1" w:after="100" w:afterAutospacing="1"/>
      <w:jc w:val="center"/>
    </w:pPr>
    <w:rPr>
      <w:rFonts w:ascii="宋体" w:hAnsi="宋体" w:cs="宋体"/>
      <w:b/>
      <w:bCs/>
      <w:kern w:val="0"/>
      <w:sz w:val="20"/>
    </w:rPr>
  </w:style>
  <w:style w:type="paragraph" w:customStyle="1" w:styleId="918">
    <w:name w:val="sample"/>
    <w:basedOn w:val="1"/>
    <w:qFormat/>
    <w:uiPriority w:val="0"/>
    <w:pPr>
      <w:autoSpaceDE w:val="0"/>
      <w:autoSpaceDN w:val="0"/>
      <w:adjustRightInd w:val="0"/>
      <w:spacing w:beforeLines="50" w:line="180" w:lineRule="exact"/>
      <w:ind w:firstLine="200" w:firstLineChars="200"/>
      <w:jc w:val="left"/>
    </w:pPr>
    <w:rPr>
      <w:rFonts w:ascii="Courier" w:hAnsi="Courier" w:eastAsia="楷体_GB2312"/>
    </w:rPr>
  </w:style>
  <w:style w:type="paragraph" w:customStyle="1" w:styleId="919">
    <w:name w:val="标书二级标题"/>
    <w:basedOn w:val="4"/>
    <w:qFormat/>
    <w:uiPriority w:val="0"/>
    <w:pPr>
      <w:tabs>
        <w:tab w:val="left" w:pos="720"/>
      </w:tabs>
      <w:spacing w:before="120" w:after="120" w:line="415" w:lineRule="auto"/>
    </w:pPr>
    <w:rPr>
      <w:rFonts w:ascii="Times New Roman" w:hAnsi="Times New Roman"/>
      <w:bCs/>
      <w:smallCaps/>
      <w:szCs w:val="32"/>
    </w:rPr>
  </w:style>
  <w:style w:type="paragraph" w:customStyle="1" w:styleId="920">
    <w:name w:val="PP 行"/>
    <w:basedOn w:val="57"/>
    <w:qFormat/>
    <w:uiPriority w:val="0"/>
    <w:pPr>
      <w:tabs>
        <w:tab w:val="left" w:pos="840"/>
        <w:tab w:val="left" w:pos="1061"/>
        <w:tab w:val="clear" w:pos="432"/>
      </w:tabs>
    </w:pPr>
  </w:style>
  <w:style w:type="paragraph" w:customStyle="1" w:styleId="921">
    <w:name w:val="二级条标题"/>
    <w:next w:val="557"/>
    <w:qFormat/>
    <w:uiPriority w:val="0"/>
    <w:pPr>
      <w:tabs>
        <w:tab w:val="left" w:pos="1628"/>
        <w:tab w:val="left" w:pos="2160"/>
        <w:tab w:val="left" w:pos="2194"/>
      </w:tabs>
      <w:ind w:left="2160" w:hanging="420"/>
      <w:outlineLvl w:val="3"/>
    </w:pPr>
    <w:rPr>
      <w:rFonts w:ascii="Times New Roman" w:hAnsi="Times New Roman" w:eastAsia="宋体" w:cs="Times New Roman"/>
      <w:lang w:val="en-US" w:eastAsia="zh-CN" w:bidi="ar-SA"/>
    </w:rPr>
  </w:style>
  <w:style w:type="paragraph" w:customStyle="1" w:styleId="922">
    <w:name w:val="三级条标题"/>
    <w:basedOn w:val="921"/>
    <w:next w:val="557"/>
    <w:qFormat/>
    <w:uiPriority w:val="0"/>
    <w:pPr>
      <w:tabs>
        <w:tab w:val="clear" w:pos="2160"/>
      </w:tabs>
      <w:ind w:left="2520"/>
      <w:outlineLvl w:val="4"/>
    </w:pPr>
    <w:rPr>
      <w:rFonts w:hint="eastAsia"/>
    </w:rPr>
  </w:style>
  <w:style w:type="paragraph" w:customStyle="1" w:styleId="923">
    <w:name w:val="刘杨2"/>
    <w:basedOn w:val="1"/>
    <w:qFormat/>
    <w:uiPriority w:val="0"/>
    <w:pPr>
      <w:keepNext/>
      <w:keepLines/>
      <w:numPr>
        <w:ilvl w:val="1"/>
        <w:numId w:val="34"/>
      </w:numPr>
      <w:spacing w:line="360" w:lineRule="auto"/>
      <w:jc w:val="center"/>
      <w:outlineLvl w:val="1"/>
    </w:pPr>
    <w:rPr>
      <w:rFonts w:ascii="宋体" w:hAnsi="宋体" w:cs="Arial"/>
      <w:b/>
      <w:sz w:val="24"/>
      <w:szCs w:val="24"/>
    </w:rPr>
  </w:style>
  <w:style w:type="paragraph" w:customStyle="1" w:styleId="924">
    <w:name w:val="百姓X"/>
    <w:basedOn w:val="1"/>
    <w:qFormat/>
    <w:uiPriority w:val="0"/>
    <w:pPr>
      <w:spacing w:before="120" w:after="120" w:line="360" w:lineRule="auto"/>
      <w:ind w:firstLine="539"/>
    </w:pPr>
    <w:rPr>
      <w:sz w:val="24"/>
    </w:rPr>
  </w:style>
  <w:style w:type="paragraph" w:customStyle="1" w:styleId="925">
    <w:name w:val="正文（黑体）4"/>
    <w:basedOn w:val="1"/>
    <w:next w:val="1"/>
    <w:qFormat/>
    <w:uiPriority w:val="0"/>
    <w:pPr>
      <w:spacing w:beforeLines="50" w:afterLines="50" w:line="360" w:lineRule="auto"/>
      <w:ind w:firstLine="480" w:firstLineChars="200"/>
    </w:pPr>
    <w:rPr>
      <w:rFonts w:ascii="黑体" w:eastAsia="黑体"/>
      <w:color w:val="000080"/>
      <w:sz w:val="24"/>
      <w:szCs w:val="24"/>
    </w:rPr>
  </w:style>
  <w:style w:type="paragraph" w:customStyle="1" w:styleId="926">
    <w:name w:val="內容"/>
    <w:basedOn w:val="33"/>
    <w:qFormat/>
    <w:uiPriority w:val="0"/>
    <w:pPr>
      <w:widowControl/>
      <w:snapToGrid w:val="0"/>
      <w:spacing w:before="50"/>
      <w:ind w:left="238" w:firstLine="482" w:firstLineChars="6"/>
      <w:jc w:val="left"/>
    </w:pPr>
    <w:rPr>
      <w:rFonts w:ascii="Verdana" w:hAnsi="Verdana" w:eastAsia="DFKai-SB" w:cs="宋体"/>
      <w:kern w:val="0"/>
      <w:sz w:val="28"/>
      <w:lang w:eastAsia="en-US"/>
    </w:rPr>
  </w:style>
  <w:style w:type="paragraph" w:customStyle="1" w:styleId="927">
    <w:name w:val="标题 0"/>
    <w:basedOn w:val="3"/>
    <w:qFormat/>
    <w:uiPriority w:val="0"/>
    <w:pPr>
      <w:keepLines/>
      <w:shd w:val="solid" w:color="auto" w:fill="auto"/>
      <w:adjustRightInd w:val="0"/>
      <w:spacing w:line="578" w:lineRule="atLeast"/>
      <w:ind w:left="425" w:hanging="432"/>
      <w:textAlignment w:val="baseline"/>
      <w:outlineLvl w:val="9"/>
    </w:pPr>
    <w:rPr>
      <w:b w:val="0"/>
      <w:color w:val="FF0000"/>
      <w:kern w:val="44"/>
      <w:sz w:val="52"/>
    </w:rPr>
  </w:style>
  <w:style w:type="paragraph" w:customStyle="1" w:styleId="928">
    <w:name w:val="tabledescription"/>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29">
    <w:name w:val="Char Char Char Char Char Char1 Char Char Char Char"/>
    <w:basedOn w:val="1"/>
    <w:qFormat/>
    <w:uiPriority w:val="0"/>
    <w:rPr>
      <w:rFonts w:ascii="Tahoma" w:hAnsi="Tahoma"/>
      <w:sz w:val="24"/>
    </w:rPr>
  </w:style>
  <w:style w:type="paragraph" w:customStyle="1" w:styleId="930">
    <w:name w:val="color003366bld"/>
    <w:basedOn w:val="1"/>
    <w:qFormat/>
    <w:uiPriority w:val="0"/>
    <w:pPr>
      <w:widowControl/>
      <w:spacing w:before="100" w:beforeAutospacing="1" w:after="100" w:afterAutospacing="1"/>
      <w:jc w:val="left"/>
    </w:pPr>
    <w:rPr>
      <w:rFonts w:ascii="Arial Unicode MS" w:hAnsi="Arial Unicode MS" w:eastAsia="Arial Unicode MS" w:cs="Arial Unicode MS"/>
      <w:b/>
      <w:bCs/>
      <w:color w:val="003366"/>
      <w:kern w:val="0"/>
      <w:sz w:val="24"/>
      <w:szCs w:val="24"/>
    </w:rPr>
  </w:style>
  <w:style w:type="paragraph" w:customStyle="1" w:styleId="931">
    <w:name w:val="Char13"/>
    <w:basedOn w:val="1"/>
    <w:qFormat/>
    <w:uiPriority w:val="0"/>
    <w:pPr>
      <w:spacing w:line="360" w:lineRule="auto"/>
    </w:pPr>
  </w:style>
  <w:style w:type="paragraph" w:customStyle="1" w:styleId="932">
    <w:name w:val="标准模式"/>
    <w:basedOn w:val="1"/>
    <w:qFormat/>
    <w:uiPriority w:val="0"/>
    <w:pPr>
      <w:ind w:firstLine="200" w:firstLineChars="200"/>
    </w:pPr>
    <w:rPr>
      <w:rFonts w:eastAsia="仿宋_GB2312"/>
      <w:szCs w:val="24"/>
    </w:rPr>
  </w:style>
  <w:style w:type="paragraph" w:customStyle="1" w:styleId="933">
    <w:name w:val="封面单位名称"/>
    <w:basedOn w:val="1"/>
    <w:qFormat/>
    <w:uiPriority w:val="0"/>
    <w:pPr>
      <w:snapToGrid w:val="0"/>
      <w:spacing w:line="360" w:lineRule="auto"/>
      <w:jc w:val="center"/>
    </w:pPr>
    <w:rPr>
      <w:rFonts w:ascii="黑体" w:hAnsi="宋体" w:eastAsia="黑体" w:cs="宋体"/>
      <w:b/>
      <w:sz w:val="30"/>
    </w:rPr>
  </w:style>
  <w:style w:type="paragraph" w:customStyle="1" w:styleId="934">
    <w:name w:val="样式 标题 4HS-标题 4sect 1.2.3.4H4 + 段前: 0.5 行3"/>
    <w:basedOn w:val="7"/>
    <w:qFormat/>
    <w:uiPriority w:val="0"/>
    <w:pPr>
      <w:widowControl/>
      <w:spacing w:before="0" w:after="0" w:line="360" w:lineRule="auto"/>
      <w:jc w:val="left"/>
    </w:pPr>
    <w:rPr>
      <w:rFonts w:ascii="宋体" w:hAnsi="宋体" w:eastAsia="宋体" w:cs="宋体"/>
      <w:b w:val="0"/>
      <w:bCs w:val="0"/>
      <w:spacing w:val="6"/>
      <w:kern w:val="0"/>
      <w:sz w:val="24"/>
    </w:rPr>
  </w:style>
  <w:style w:type="paragraph" w:customStyle="1" w:styleId="935">
    <w:name w:val="表文字"/>
    <w:qFormat/>
    <w:uiPriority w:val="0"/>
    <w:rPr>
      <w:rFonts w:ascii="宋体" w:hAnsi="Times New Roman" w:eastAsia="宋体" w:cs="Times New Roman"/>
      <w:kern w:val="2"/>
      <w:lang w:val="en-US" w:eastAsia="zh-CN" w:bidi="ar-SA"/>
    </w:rPr>
  </w:style>
  <w:style w:type="paragraph" w:customStyle="1" w:styleId="936">
    <w:name w:val="CM145"/>
    <w:basedOn w:val="196"/>
    <w:next w:val="196"/>
    <w:qFormat/>
    <w:uiPriority w:val="0"/>
    <w:rPr>
      <w:rFonts w:ascii="黑体" w:hAnsi="Calibri" w:eastAsia="黑体" w:cs="Times New Roman"/>
      <w:color w:val="auto"/>
    </w:rPr>
  </w:style>
  <w:style w:type="paragraph" w:customStyle="1" w:styleId="937">
    <w:name w:val="正文不带空格"/>
    <w:basedOn w:val="203"/>
    <w:qFormat/>
    <w:uiPriority w:val="0"/>
    <w:pPr>
      <w:keepLines/>
      <w:pageBreakBefore/>
      <w:numPr>
        <w:ilvl w:val="0"/>
        <w:numId w:val="14"/>
      </w:numPr>
      <w:spacing w:before="240" w:after="240"/>
      <w:ind w:left="450" w:firstLine="0" w:firstLineChars="0"/>
      <w:contextualSpacing/>
      <w:jc w:val="center"/>
      <w:outlineLvl w:val="0"/>
    </w:pPr>
    <w:rPr>
      <w:rFonts w:ascii="黑体" w:hAnsi="黑体" w:cs="Times New Roman"/>
      <w:kern w:val="0"/>
      <w:szCs w:val="36"/>
      <w:lang w:val="zh-CN" w:eastAsia="en-US" w:bidi="en-US"/>
    </w:rPr>
  </w:style>
  <w:style w:type="paragraph" w:customStyle="1" w:styleId="938">
    <w:name w:val="Char Char1 Char Char Char Char Char Char Char Char Char Char Char Char Char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939">
    <w:name w:val="样式 段落正文 + 首行缩进:  2 字符"/>
    <w:basedOn w:val="1"/>
    <w:qFormat/>
    <w:uiPriority w:val="0"/>
    <w:pPr>
      <w:widowControl/>
      <w:spacing w:line="312" w:lineRule="auto"/>
      <w:ind w:firstLine="200" w:firstLineChars="200"/>
      <w:jc w:val="left"/>
    </w:pPr>
    <w:rPr>
      <w:rFonts w:ascii="Arial" w:hAnsi="Arial"/>
      <w:sz w:val="24"/>
    </w:rPr>
  </w:style>
  <w:style w:type="paragraph" w:customStyle="1" w:styleId="940">
    <w:name w:val="默认段落字体212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941">
    <w:name w:val="Style 技术报告正文 + Before:  0.5 line"/>
    <w:basedOn w:val="1"/>
    <w:qFormat/>
    <w:uiPriority w:val="0"/>
    <w:pPr>
      <w:spacing w:beforeLines="50" w:line="480" w:lineRule="exact"/>
      <w:ind w:firstLine="560" w:firstLineChars="200"/>
    </w:pPr>
    <w:rPr>
      <w:rFonts w:cs="Arial"/>
      <w:bCs/>
      <w:sz w:val="28"/>
      <w:szCs w:val="24"/>
    </w:rPr>
  </w:style>
  <w:style w:type="paragraph" w:customStyle="1" w:styleId="942">
    <w:name w:val="bfont"/>
    <w:basedOn w:val="1"/>
    <w:qFormat/>
    <w:uiPriority w:val="0"/>
    <w:pPr>
      <w:widowControl/>
      <w:spacing w:before="100" w:beforeAutospacing="1" w:after="100" w:afterAutospacing="1"/>
      <w:jc w:val="left"/>
    </w:pPr>
    <w:rPr>
      <w:rFonts w:ascii="宋体" w:hAnsi="宋体"/>
      <w:color w:val="FFFFFF"/>
      <w:kern w:val="0"/>
      <w:sz w:val="19"/>
      <w:szCs w:val="19"/>
    </w:rPr>
  </w:style>
  <w:style w:type="paragraph" w:customStyle="1" w:styleId="943">
    <w:name w:val="罗列项目"/>
    <w:basedOn w:val="1"/>
    <w:qFormat/>
    <w:uiPriority w:val="0"/>
    <w:pPr>
      <w:widowControl/>
      <w:numPr>
        <w:ilvl w:val="0"/>
        <w:numId w:val="35"/>
      </w:numPr>
      <w:adjustRightInd w:val="0"/>
      <w:snapToGrid w:val="0"/>
      <w:spacing w:line="440" w:lineRule="exact"/>
      <w:ind w:firstLine="200" w:firstLineChars="200"/>
      <w:textAlignment w:val="baseline"/>
    </w:pPr>
    <w:rPr>
      <w:rFonts w:eastAsia="仿宋_GB2312"/>
      <w:kern w:val="0"/>
      <w:sz w:val="24"/>
    </w:rPr>
  </w:style>
  <w:style w:type="paragraph" w:customStyle="1" w:styleId="944">
    <w:name w:val="普通(网站)2"/>
    <w:basedOn w:val="1"/>
    <w:qFormat/>
    <w:uiPriority w:val="0"/>
    <w:pPr>
      <w:widowControl/>
      <w:overflowPunct w:val="0"/>
      <w:autoSpaceDE w:val="0"/>
      <w:autoSpaceDN w:val="0"/>
      <w:adjustRightInd w:val="0"/>
      <w:spacing w:before="100" w:after="100"/>
      <w:jc w:val="left"/>
      <w:textAlignment w:val="baseline"/>
    </w:pPr>
    <w:rPr>
      <w:rFonts w:ascii="宋体"/>
      <w:kern w:val="0"/>
      <w:sz w:val="24"/>
    </w:rPr>
  </w:style>
  <w:style w:type="paragraph" w:customStyle="1" w:styleId="945">
    <w:name w:val="F11-1"/>
    <w:basedOn w:val="1"/>
    <w:qFormat/>
    <w:uiPriority w:val="0"/>
    <w:pPr>
      <w:tabs>
        <w:tab w:val="left" w:pos="240"/>
        <w:tab w:val="left" w:pos="4680"/>
      </w:tabs>
      <w:adjustRightInd w:val="0"/>
      <w:spacing w:after="120"/>
      <w:textAlignment w:val="baseline"/>
    </w:pPr>
    <w:rPr>
      <w:rFonts w:eastAsia="華康細圓體"/>
      <w:kern w:val="0"/>
      <w:sz w:val="24"/>
      <w:lang w:eastAsia="zh-TW"/>
    </w:rPr>
  </w:style>
  <w:style w:type="paragraph" w:customStyle="1" w:styleId="946">
    <w:name w:val="列表项目符号 + 加粗"/>
    <w:basedOn w:val="24"/>
    <w:qFormat/>
    <w:uiPriority w:val="0"/>
    <w:pPr>
      <w:numPr>
        <w:numId w:val="0"/>
      </w:numPr>
      <w:ind w:left="200" w:hanging="200" w:hangingChars="200"/>
    </w:pPr>
    <w:rPr>
      <w:rFonts w:ascii="Arial" w:hAnsi="Arial" w:eastAsia="仿宋_GB2312"/>
      <w:b/>
      <w:bCs/>
    </w:rPr>
  </w:style>
  <w:style w:type="paragraph" w:customStyle="1" w:styleId="94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48">
    <w:name w:val="CM82"/>
    <w:basedOn w:val="196"/>
    <w:next w:val="196"/>
    <w:qFormat/>
    <w:uiPriority w:val="0"/>
    <w:rPr>
      <w:rFonts w:ascii="oúì." w:hAnsi="Times New Roman" w:eastAsia="oúì." w:cs="Times New Roman"/>
      <w:color w:val="auto"/>
    </w:rPr>
  </w:style>
  <w:style w:type="paragraph" w:customStyle="1" w:styleId="949">
    <w:name w:val="xl61"/>
    <w:basedOn w:val="1"/>
    <w:qFormat/>
    <w:uiPriority w:val="0"/>
    <w:pPr>
      <w:widowControl/>
      <w:spacing w:before="100" w:beforeAutospacing="1" w:after="100" w:afterAutospacing="1" w:line="360" w:lineRule="auto"/>
      <w:ind w:firstLine="480" w:firstLineChars="200"/>
      <w:jc w:val="center"/>
      <w:textAlignment w:val="top"/>
    </w:pPr>
    <w:rPr>
      <w:rFonts w:ascii="Arial Unicode MS" w:hAnsi="Arial Unicode MS" w:eastAsia="Arial Unicode MS" w:cs="Arial Unicode MS"/>
      <w:kern w:val="0"/>
      <w:sz w:val="20"/>
    </w:rPr>
  </w:style>
  <w:style w:type="paragraph" w:customStyle="1" w:styleId="950">
    <w:name w:val="样式二"/>
    <w:basedOn w:val="1"/>
    <w:qFormat/>
    <w:uiPriority w:val="0"/>
    <w:pPr>
      <w:tabs>
        <w:tab w:val="left" w:pos="61"/>
      </w:tabs>
      <w:spacing w:line="360" w:lineRule="auto"/>
      <w:ind w:left="900"/>
      <w:jc w:val="left"/>
    </w:pPr>
    <w:rPr>
      <w:rFonts w:ascii="楷体_GB2312" w:cs="宋体"/>
      <w:sz w:val="24"/>
    </w:rPr>
  </w:style>
  <w:style w:type="paragraph" w:customStyle="1" w:styleId="951">
    <w:name w:val="Body"/>
    <w:basedOn w:val="1"/>
    <w:qFormat/>
    <w:uiPriority w:val="0"/>
    <w:pPr>
      <w:widowControl/>
      <w:spacing w:before="80" w:after="80" w:line="360" w:lineRule="auto"/>
      <w:ind w:right="210" w:rightChars="100" w:firstLine="540" w:firstLineChars="257"/>
    </w:pPr>
    <w:rPr>
      <w:rFonts w:ascii="宋体" w:hAnsi="宋体"/>
      <w:kern w:val="0"/>
      <w:szCs w:val="21"/>
      <w:lang w:eastAsia="en-US"/>
    </w:rPr>
  </w:style>
  <w:style w:type="paragraph" w:customStyle="1" w:styleId="952">
    <w:name w:val="Subhead1"/>
    <w:next w:val="951"/>
    <w:qFormat/>
    <w:uiPriority w:val="0"/>
    <w:pPr>
      <w:spacing w:before="240" w:after="60"/>
    </w:pPr>
    <w:rPr>
      <w:rFonts w:ascii="Century Gothic" w:hAnsi="Century Gothic" w:eastAsia="宋体" w:cs="Times New Roman"/>
      <w:b/>
      <w:spacing w:val="20"/>
      <w:sz w:val="24"/>
      <w:szCs w:val="24"/>
      <w:lang w:val="en-US" w:eastAsia="zh-CN" w:bidi="ar-SA"/>
    </w:rPr>
  </w:style>
  <w:style w:type="paragraph" w:customStyle="1" w:styleId="953">
    <w:name w:val="text 4"/>
    <w:qFormat/>
    <w:uiPriority w:val="0"/>
    <w:pPr>
      <w:widowControl w:val="0"/>
      <w:adjustRightInd w:val="0"/>
      <w:spacing w:before="240"/>
      <w:jc w:val="both"/>
      <w:textAlignment w:val="baseline"/>
    </w:pPr>
    <w:rPr>
      <w:rFonts w:ascii="Times New Roman" w:hAnsi="Times New Roman" w:eastAsia="宋体" w:cs="Times New Roman"/>
      <w:sz w:val="24"/>
      <w:lang w:val="en-AU" w:eastAsia="zh-CN" w:bidi="ar-SA"/>
    </w:rPr>
  </w:style>
  <w:style w:type="paragraph" w:customStyle="1" w:styleId="954">
    <w:name w:val="正文缩进3"/>
    <w:basedOn w:val="1"/>
    <w:qFormat/>
    <w:uiPriority w:val="0"/>
    <w:pPr>
      <w:ind w:firstLine="420" w:firstLineChars="200"/>
    </w:pPr>
    <w:rPr>
      <w:rFonts w:hint="eastAsia"/>
    </w:rPr>
  </w:style>
  <w:style w:type="paragraph" w:customStyle="1" w:styleId="955">
    <w:name w:val="标题 42"/>
    <w:basedOn w:val="1"/>
    <w:next w:val="954"/>
    <w:qFormat/>
    <w:uiPriority w:val="0"/>
    <w:pPr>
      <w:keepNext/>
      <w:keepLines/>
      <w:spacing w:before="280" w:after="290" w:line="372" w:lineRule="auto"/>
      <w:outlineLvl w:val="3"/>
    </w:pPr>
    <w:rPr>
      <w:rFonts w:hint="eastAsia" w:ascii="Arial" w:hAnsi="Arial" w:eastAsia="黑体"/>
      <w:b/>
      <w:sz w:val="28"/>
    </w:rPr>
  </w:style>
  <w:style w:type="paragraph" w:customStyle="1" w:styleId="956">
    <w:name w:val="123标题下的小点2"/>
    <w:basedOn w:val="1"/>
    <w:qFormat/>
    <w:uiPriority w:val="0"/>
    <w:pPr>
      <w:tabs>
        <w:tab w:val="left" w:pos="1260"/>
      </w:tabs>
      <w:snapToGrid w:val="0"/>
      <w:spacing w:line="360" w:lineRule="auto"/>
      <w:ind w:left="1259" w:hanging="420"/>
    </w:pPr>
    <w:rPr>
      <w:rFonts w:ascii="宋体" w:hAnsi="宋体"/>
      <w:kern w:val="0"/>
    </w:rPr>
  </w:style>
  <w:style w:type="paragraph" w:customStyle="1" w:styleId="957">
    <w:name w:val="正文文本1"/>
    <w:basedOn w:val="1"/>
    <w:qFormat/>
    <w:uiPriority w:val="0"/>
    <w:pPr>
      <w:autoSpaceDE w:val="0"/>
      <w:autoSpaceDN w:val="0"/>
      <w:jc w:val="left"/>
    </w:pPr>
    <w:rPr>
      <w:rFonts w:hint="eastAsia" w:ascii="宋体"/>
      <w:kern w:val="0"/>
      <w:sz w:val="28"/>
    </w:rPr>
  </w:style>
  <w:style w:type="paragraph" w:customStyle="1" w:styleId="958">
    <w:name w:val="contentlabel"/>
    <w:basedOn w:val="1"/>
    <w:qFormat/>
    <w:uiPriority w:val="0"/>
    <w:pPr>
      <w:widowControl/>
      <w:spacing w:before="30" w:after="100" w:afterAutospacing="1"/>
      <w:ind w:left="90" w:firstLine="200" w:firstLineChars="200"/>
      <w:jc w:val="left"/>
    </w:pPr>
    <w:rPr>
      <w:rFonts w:ascii="Arial Unicode MS" w:hAnsi="Arial Unicode MS" w:eastAsia="仿宋_GB2312"/>
      <w:color w:val="336666"/>
      <w:kern w:val="0"/>
      <w:sz w:val="18"/>
      <w:szCs w:val="18"/>
    </w:rPr>
  </w:style>
  <w:style w:type="paragraph" w:customStyle="1" w:styleId="959">
    <w:name w:val="封面表格文本"/>
    <w:basedOn w:val="1"/>
    <w:qFormat/>
    <w:uiPriority w:val="0"/>
    <w:pPr>
      <w:autoSpaceDE w:val="0"/>
      <w:autoSpaceDN w:val="0"/>
      <w:adjustRightInd w:val="0"/>
      <w:jc w:val="center"/>
    </w:pPr>
    <w:rPr>
      <w:b/>
      <w:bCs/>
      <w:kern w:val="0"/>
      <w:sz w:val="24"/>
      <w:szCs w:val="24"/>
    </w:rPr>
  </w:style>
  <w:style w:type="paragraph" w:customStyle="1" w:styleId="960">
    <w:name w:val="Subhead3"/>
    <w:basedOn w:val="952"/>
    <w:qFormat/>
    <w:uiPriority w:val="0"/>
    <w:rPr>
      <w:rFonts w:ascii="Times New Roman" w:hAnsi="Times New Roman"/>
      <w:i/>
      <w:spacing w:val="0"/>
      <w:sz w:val="22"/>
      <w:szCs w:val="22"/>
    </w:rPr>
  </w:style>
  <w:style w:type="paragraph" w:customStyle="1" w:styleId="961">
    <w:name w:val="正文缩进2"/>
    <w:basedOn w:val="1"/>
    <w:qFormat/>
    <w:uiPriority w:val="0"/>
    <w:pPr>
      <w:ind w:firstLine="420" w:firstLineChars="200"/>
    </w:pPr>
    <w:rPr>
      <w:rFonts w:hint="eastAsia"/>
    </w:rPr>
  </w:style>
  <w:style w:type="paragraph" w:customStyle="1" w:styleId="962">
    <w:name w:val="hea"/>
    <w:basedOn w:val="1"/>
    <w:next w:val="961"/>
    <w:qFormat/>
    <w:uiPriority w:val="0"/>
    <w:pPr>
      <w:keepNext/>
      <w:keepLines/>
      <w:spacing w:before="240" w:after="64" w:line="317" w:lineRule="auto"/>
      <w:outlineLvl w:val="8"/>
    </w:pPr>
    <w:rPr>
      <w:rFonts w:hint="eastAsia" w:ascii="Arial" w:hAnsi="Arial" w:eastAsia="黑体"/>
    </w:rPr>
  </w:style>
  <w:style w:type="paragraph" w:customStyle="1" w:styleId="963">
    <w:name w:val="Char Char1 Char1"/>
    <w:basedOn w:val="1"/>
    <w:qFormat/>
    <w:uiPriority w:val="0"/>
    <w:rPr>
      <w:rFonts w:ascii="Tahoma" w:hAnsi="Tahoma" w:cs="Arial"/>
      <w:sz w:val="24"/>
      <w:szCs w:val="21"/>
    </w:rPr>
  </w:style>
  <w:style w:type="paragraph" w:customStyle="1" w:styleId="964">
    <w:name w:val="样式 正文（首行缩进两字） + 五号"/>
    <w:basedOn w:val="5"/>
    <w:qFormat/>
    <w:uiPriority w:val="0"/>
    <w:pPr>
      <w:ind w:firstLine="0" w:firstLineChars="0"/>
    </w:pPr>
    <w:rPr>
      <w:sz w:val="24"/>
      <w:szCs w:val="20"/>
    </w:rPr>
  </w:style>
  <w:style w:type="paragraph" w:customStyle="1" w:styleId="965">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966">
    <w:name w:val="Char Char1 Char Char Char Char Char Char"/>
    <w:basedOn w:val="1"/>
    <w:qFormat/>
    <w:uiPriority w:val="0"/>
    <w:pPr>
      <w:widowControl/>
      <w:spacing w:after="160" w:line="240" w:lineRule="exact"/>
      <w:jc w:val="left"/>
    </w:pPr>
    <w:rPr>
      <w:rFonts w:ascii="Verdana" w:hAnsi="Verdana" w:eastAsia="仿宋_GB2312" w:cs="宋体"/>
      <w:color w:val="000000"/>
      <w:kern w:val="0"/>
      <w:sz w:val="24"/>
      <w:lang w:eastAsia="en-US"/>
    </w:rPr>
  </w:style>
  <w:style w:type="paragraph" w:customStyle="1" w:styleId="967">
    <w:name w:val="Char5 Char Char1 Char41"/>
    <w:basedOn w:val="1"/>
    <w:qFormat/>
    <w:uiPriority w:val="0"/>
    <w:rPr>
      <w:rFonts w:ascii="Tahoma" w:hAnsi="Tahoma"/>
      <w:sz w:val="24"/>
    </w:rPr>
  </w:style>
  <w:style w:type="paragraph" w:customStyle="1" w:styleId="968">
    <w:name w:val="默认段落字体 Para Char"/>
    <w:basedOn w:val="1"/>
    <w:qFormat/>
    <w:uiPriority w:val="0"/>
    <w:pPr>
      <w:adjustRightInd w:val="0"/>
      <w:spacing w:line="360" w:lineRule="auto"/>
    </w:pPr>
    <w:rPr>
      <w:rFonts w:ascii="宋体" w:hAnsi="宋体" w:cs="宋体"/>
      <w:color w:val="000000"/>
      <w:kern w:val="0"/>
      <w:sz w:val="24"/>
    </w:rPr>
  </w:style>
  <w:style w:type="paragraph" w:customStyle="1" w:styleId="969">
    <w:name w:val="段落正文 Char Char"/>
    <w:basedOn w:val="1"/>
    <w:qFormat/>
    <w:uiPriority w:val="0"/>
    <w:pPr>
      <w:spacing w:line="360" w:lineRule="auto"/>
      <w:ind w:firstLine="461" w:firstLineChars="192"/>
    </w:pPr>
    <w:rPr>
      <w:rFonts w:ascii="宋体" w:hAnsi="宋体"/>
      <w:sz w:val="24"/>
      <w:szCs w:val="24"/>
    </w:rPr>
  </w:style>
  <w:style w:type="paragraph" w:customStyle="1" w:styleId="970">
    <w:name w:val="area02"/>
    <w:basedOn w:val="1"/>
    <w:qFormat/>
    <w:uiPriority w:val="0"/>
    <w:pPr>
      <w:widowControl/>
      <w:pBdr>
        <w:top w:val="inset" w:color="908DA8" w:sz="6" w:space="0"/>
        <w:left w:val="inset" w:color="908DA8" w:sz="6" w:space="0"/>
        <w:bottom w:val="inset" w:color="908DA8" w:sz="6" w:space="0"/>
        <w:right w:val="inset" w:color="908DA8" w:sz="6" w:space="0"/>
      </w:pBdr>
      <w:spacing w:before="100" w:beforeAutospacing="1" w:after="100" w:afterAutospacing="1"/>
      <w:jc w:val="left"/>
    </w:pPr>
    <w:rPr>
      <w:rFonts w:ascii="宋体" w:hAnsi="宋体"/>
      <w:kern w:val="0"/>
      <w:sz w:val="19"/>
      <w:szCs w:val="19"/>
    </w:rPr>
  </w:style>
  <w:style w:type="paragraph" w:customStyle="1" w:styleId="971">
    <w:name w:val="Part II Title"/>
    <w:basedOn w:val="1"/>
    <w:qFormat/>
    <w:uiPriority w:val="0"/>
    <w:pPr>
      <w:pageBreakBefore/>
      <w:autoSpaceDE w:val="0"/>
      <w:autoSpaceDN w:val="0"/>
      <w:spacing w:line="360" w:lineRule="auto"/>
      <w:ind w:firstLine="200" w:firstLineChars="200"/>
      <w:jc w:val="center"/>
    </w:pPr>
    <w:rPr>
      <w:b/>
      <w:kern w:val="0"/>
      <w:sz w:val="36"/>
      <w:szCs w:val="84"/>
    </w:rPr>
  </w:style>
  <w:style w:type="paragraph" w:customStyle="1" w:styleId="972">
    <w:name w:val="Part III Title"/>
    <w:basedOn w:val="971"/>
    <w:qFormat/>
    <w:uiPriority w:val="0"/>
    <w:pPr>
      <w:pageBreakBefore w:val="0"/>
      <w:numPr>
        <w:ilvl w:val="1"/>
        <w:numId w:val="36"/>
      </w:numPr>
      <w:jc w:val="left"/>
    </w:pPr>
  </w:style>
  <w:style w:type="paragraph" w:customStyle="1" w:styleId="973">
    <w:name w:val="Part IV Title"/>
    <w:basedOn w:val="972"/>
    <w:qFormat/>
    <w:uiPriority w:val="0"/>
    <w:pPr>
      <w:numPr>
        <w:ilvl w:val="2"/>
      </w:numPr>
    </w:pPr>
    <w:rPr>
      <w:sz w:val="30"/>
    </w:rPr>
  </w:style>
  <w:style w:type="paragraph" w:customStyle="1" w:styleId="974">
    <w:name w:val="日期1"/>
    <w:basedOn w:val="1"/>
    <w:next w:val="1"/>
    <w:qFormat/>
    <w:uiPriority w:val="0"/>
    <w:pPr>
      <w:adjustRightInd w:val="0"/>
      <w:spacing w:line="360" w:lineRule="auto"/>
      <w:textAlignment w:val="baseline"/>
    </w:pPr>
    <w:rPr>
      <w:rFonts w:ascii="宋体"/>
      <w:spacing w:val="2"/>
      <w:sz w:val="24"/>
    </w:rPr>
  </w:style>
  <w:style w:type="paragraph" w:customStyle="1" w:styleId="975">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976">
    <w:name w:val="正文首行缩进 2字符"/>
    <w:basedOn w:val="1"/>
    <w:qFormat/>
    <w:uiPriority w:val="0"/>
    <w:pPr>
      <w:spacing w:beforeLines="50" w:afterLines="50"/>
      <w:ind w:firstLine="200" w:firstLineChars="200"/>
    </w:pPr>
    <w:rPr>
      <w:szCs w:val="24"/>
    </w:rPr>
  </w:style>
  <w:style w:type="paragraph" w:customStyle="1" w:styleId="977">
    <w:name w:val="pa-1"/>
    <w:basedOn w:val="1"/>
    <w:qFormat/>
    <w:uiPriority w:val="0"/>
    <w:pPr>
      <w:widowControl/>
      <w:spacing w:line="360" w:lineRule="atLeast"/>
      <w:ind w:firstLine="640"/>
    </w:pPr>
    <w:rPr>
      <w:rFonts w:ascii="宋体" w:hAnsi="宋体" w:cs="宋体"/>
      <w:kern w:val="0"/>
      <w:sz w:val="24"/>
      <w:szCs w:val="24"/>
    </w:rPr>
  </w:style>
  <w:style w:type="paragraph" w:customStyle="1" w:styleId="978">
    <w:name w:val="样式 目录 2 + 左侧:  2 字符3"/>
    <w:basedOn w:val="73"/>
    <w:qFormat/>
    <w:uiPriority w:val="0"/>
    <w:pPr>
      <w:tabs>
        <w:tab w:val="right" w:leader="dot" w:pos="8493"/>
        <w:tab w:val="right" w:leader="dot" w:pos="9240"/>
      </w:tabs>
      <w:spacing w:before="240"/>
      <w:ind w:left="100" w:leftChars="100"/>
      <w:jc w:val="left"/>
    </w:pPr>
    <w:rPr>
      <w:rFonts w:cs="宋体"/>
      <w:b/>
    </w:rPr>
  </w:style>
  <w:style w:type="paragraph" w:customStyle="1" w:styleId="979">
    <w:name w:val="默认段落字体 Para Char Char Char Char111"/>
    <w:basedOn w:val="1"/>
    <w:qFormat/>
    <w:uiPriority w:val="0"/>
    <w:rPr>
      <w:szCs w:val="24"/>
    </w:rPr>
  </w:style>
  <w:style w:type="paragraph" w:customStyle="1" w:styleId="980">
    <w:name w:val="xl141"/>
    <w:basedOn w:val="1"/>
    <w:qFormat/>
    <w:uiPriority w:val="0"/>
    <w:pPr>
      <w:widowControl/>
      <w:pBdr>
        <w:top w:val="single" w:color="auto" w:sz="4" w:space="0"/>
        <w:bottom w:val="single" w:color="auto" w:sz="4" w:space="0"/>
      </w:pBdr>
      <w:spacing w:before="100" w:beforeAutospacing="1" w:after="100" w:afterAutospacing="1"/>
      <w:jc w:val="right"/>
    </w:pPr>
    <w:rPr>
      <w:rFonts w:ascii="宋体" w:hAnsi="宋体" w:cs="宋体"/>
      <w:b/>
      <w:bCs/>
      <w:color w:val="FF0000"/>
      <w:kern w:val="0"/>
      <w:sz w:val="20"/>
    </w:rPr>
  </w:style>
  <w:style w:type="paragraph" w:customStyle="1" w:styleId="981">
    <w:name w:val="xl26"/>
    <w:basedOn w:val="1"/>
    <w:qFormat/>
    <w:uiPriority w:val="0"/>
    <w:pPr>
      <w:widowControl/>
      <w:pBdr>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color w:val="000000"/>
      <w:kern w:val="0"/>
      <w:sz w:val="24"/>
      <w:szCs w:val="24"/>
    </w:rPr>
  </w:style>
  <w:style w:type="paragraph" w:customStyle="1" w:styleId="982">
    <w:name w:val="grayfont"/>
    <w:basedOn w:val="1"/>
    <w:qFormat/>
    <w:uiPriority w:val="0"/>
    <w:pPr>
      <w:widowControl/>
      <w:spacing w:before="100" w:beforeAutospacing="1" w:after="100" w:afterAutospacing="1"/>
      <w:jc w:val="left"/>
    </w:pPr>
    <w:rPr>
      <w:rFonts w:ascii="宋体" w:hAnsi="宋体"/>
      <w:kern w:val="0"/>
      <w:sz w:val="19"/>
      <w:szCs w:val="19"/>
    </w:rPr>
  </w:style>
  <w:style w:type="paragraph" w:customStyle="1" w:styleId="983">
    <w:name w:val="Char Char Char4"/>
    <w:basedOn w:val="1"/>
    <w:qFormat/>
    <w:uiPriority w:val="0"/>
    <w:pPr>
      <w:ind w:firstLine="200" w:firstLineChars="200"/>
    </w:pPr>
    <w:rPr>
      <w:rFonts w:ascii="Tahoma" w:hAnsi="Tahoma"/>
      <w:sz w:val="24"/>
    </w:rPr>
  </w:style>
  <w:style w:type="paragraph" w:customStyle="1" w:styleId="984">
    <w:name w:val="正文（标记）4"/>
    <w:basedOn w:val="1"/>
    <w:qFormat/>
    <w:uiPriority w:val="0"/>
    <w:pPr>
      <w:tabs>
        <w:tab w:val="left" w:pos="960"/>
      </w:tabs>
      <w:spacing w:beforeLines="50" w:afterLines="50"/>
      <w:ind w:left="960" w:hanging="420"/>
    </w:pPr>
    <w:rPr>
      <w:sz w:val="24"/>
      <w:szCs w:val="24"/>
    </w:rPr>
  </w:style>
  <w:style w:type="paragraph" w:customStyle="1" w:styleId="98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rPr>
  </w:style>
  <w:style w:type="paragraph" w:customStyle="1" w:styleId="986">
    <w:name w:val="样式 四号 左侧:  1.51 厘米 首行缩进:  1.01 厘米"/>
    <w:basedOn w:val="1"/>
    <w:qFormat/>
    <w:uiPriority w:val="0"/>
    <w:pPr>
      <w:ind w:firstLine="573" w:firstLineChars="200"/>
    </w:pPr>
    <w:rPr>
      <w:rFonts w:ascii="仿宋_GB2312" w:eastAsia="仿宋_GB2312"/>
    </w:rPr>
  </w:style>
  <w:style w:type="paragraph" w:customStyle="1" w:styleId="987">
    <w:name w:val="默认段落字体 Para Char Char Char Char Char Char Char Char Char2 Char Char Char Char Char Char Char"/>
    <w:basedOn w:val="1"/>
    <w:qFormat/>
    <w:uiPriority w:val="0"/>
    <w:rPr>
      <w:rFonts w:hint="eastAsia" w:ascii="Tahoma" w:hAnsi="Tahoma"/>
      <w:sz w:val="24"/>
    </w:rPr>
  </w:style>
  <w:style w:type="paragraph" w:customStyle="1" w:styleId="988">
    <w:name w:val="Section Heading 2"/>
    <w:basedOn w:val="1"/>
    <w:qFormat/>
    <w:uiPriority w:val="0"/>
    <w:pPr>
      <w:pBdr>
        <w:top w:val="single" w:color="auto" w:sz="6" w:space="1"/>
        <w:between w:val="single" w:color="auto" w:sz="6" w:space="1"/>
      </w:pBdr>
      <w:spacing w:before="72" w:line="600" w:lineRule="atLeast"/>
      <w:jc w:val="left"/>
    </w:pPr>
    <w:rPr>
      <w:b/>
      <w:caps/>
      <w:kern w:val="0"/>
      <w:sz w:val="24"/>
    </w:rPr>
  </w:style>
  <w:style w:type="paragraph" w:customStyle="1" w:styleId="989">
    <w:name w:val="spantable"/>
    <w:basedOn w:val="1"/>
    <w:qFormat/>
    <w:uiPriority w:val="0"/>
    <w:pPr>
      <w:widowControl/>
      <w:spacing w:before="100" w:beforeAutospacing="1" w:after="100" w:afterAutospacing="1" w:line="360" w:lineRule="auto"/>
      <w:jc w:val="left"/>
    </w:pPr>
    <w:rPr>
      <w:rFonts w:cs="宋体"/>
      <w:color w:val="000000"/>
      <w:kern w:val="0"/>
      <w:sz w:val="18"/>
      <w:szCs w:val="18"/>
    </w:rPr>
  </w:style>
  <w:style w:type="paragraph" w:customStyle="1" w:styleId="990">
    <w:name w:val="样式 (西文) 宋体 四号 行距: 1.5 倍行距 首行缩进:  2.25 字符"/>
    <w:basedOn w:val="1"/>
    <w:qFormat/>
    <w:uiPriority w:val="0"/>
    <w:pPr>
      <w:tabs>
        <w:tab w:val="left" w:pos="720"/>
      </w:tabs>
      <w:spacing w:line="360" w:lineRule="auto"/>
      <w:ind w:firstLine="480" w:firstLineChars="200"/>
    </w:pPr>
    <w:rPr>
      <w:rFonts w:ascii="宋体" w:hAnsi="宋体"/>
      <w:sz w:val="24"/>
      <w:szCs w:val="24"/>
    </w:rPr>
  </w:style>
  <w:style w:type="paragraph" w:customStyle="1" w:styleId="991">
    <w:name w:val="样式 标题 2H2Heading 2 HiddenHeading 2 CCBSheading 22nd levelh...2"/>
    <w:basedOn w:val="4"/>
    <w:qFormat/>
    <w:uiPriority w:val="0"/>
    <w:pPr>
      <w:snapToGrid w:val="0"/>
      <w:spacing w:before="100" w:beforeAutospacing="1" w:after="100" w:afterAutospacing="1" w:line="415" w:lineRule="auto"/>
      <w:ind w:firstLine="200" w:firstLineChars="200"/>
      <w:jc w:val="left"/>
    </w:pPr>
    <w:rPr>
      <w:rFonts w:ascii="宋体" w:hAnsi="宋体" w:cs="宋体"/>
      <w:b w:val="0"/>
      <w:bCs/>
    </w:rPr>
  </w:style>
  <w:style w:type="paragraph" w:customStyle="1" w:styleId="992">
    <w:name w:val="SubSection Title"/>
    <w:basedOn w:val="1"/>
    <w:next w:val="3"/>
    <w:qFormat/>
    <w:uiPriority w:val="0"/>
    <w:pPr>
      <w:keepNext/>
      <w:widowControl/>
      <w:spacing w:before="240"/>
      <w:ind w:firstLine="200" w:firstLineChars="200"/>
      <w:jc w:val="left"/>
    </w:pPr>
    <w:rPr>
      <w:rFonts w:eastAsia="仿宋_GB2312"/>
      <w:b/>
      <w:kern w:val="0"/>
      <w:sz w:val="26"/>
      <w:lang w:val="en-GB"/>
    </w:rPr>
  </w:style>
  <w:style w:type="paragraph" w:customStyle="1" w:styleId="993">
    <w:name w:val="样式 标题6 + 左"/>
    <w:basedOn w:val="11"/>
    <w:qFormat/>
    <w:uiPriority w:val="0"/>
    <w:pPr>
      <w:numPr>
        <w:ilvl w:val="5"/>
        <w:numId w:val="33"/>
      </w:numPr>
      <w:tabs>
        <w:tab w:val="left" w:pos="1440"/>
        <w:tab w:val="clear" w:pos="1468"/>
      </w:tabs>
      <w:spacing w:before="0" w:after="0" w:line="319" w:lineRule="auto"/>
      <w:ind w:left="0" w:firstLine="0"/>
      <w:jc w:val="left"/>
      <w:outlineLvl w:val="5"/>
    </w:pPr>
    <w:rPr>
      <w:rFonts w:ascii="Times New Roman" w:hAnsi="Times New Roman" w:eastAsia="宋体" w:cs="宋体"/>
      <w:b/>
      <w:bCs/>
    </w:rPr>
  </w:style>
  <w:style w:type="paragraph" w:customStyle="1" w:styleId="994">
    <w:name w:val="bannerjs"/>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995">
    <w:name w:val="Char Char Char Char Char Char Char Char Char Char Char Char Char1"/>
    <w:basedOn w:val="26"/>
    <w:qFormat/>
    <w:uiPriority w:val="0"/>
    <w:rPr>
      <w:rFonts w:ascii="Tahoma" w:hAnsi="Tahoma"/>
      <w:sz w:val="24"/>
      <w:szCs w:val="24"/>
    </w:rPr>
  </w:style>
  <w:style w:type="paragraph" w:customStyle="1" w:styleId="996">
    <w:name w:val="技术报告正文2"/>
    <w:basedOn w:val="1"/>
    <w:qFormat/>
    <w:uiPriority w:val="0"/>
    <w:pPr>
      <w:spacing w:beforeLines="50" w:line="440" w:lineRule="exact"/>
      <w:ind w:firstLine="200" w:firstLineChars="200"/>
    </w:pPr>
    <w:rPr>
      <w:rFonts w:cs="Arial"/>
      <w:sz w:val="28"/>
      <w:szCs w:val="24"/>
    </w:rPr>
  </w:style>
  <w:style w:type="paragraph" w:customStyle="1" w:styleId="997">
    <w:name w:val="Bullet_1"/>
    <w:basedOn w:val="1"/>
    <w:qFormat/>
    <w:uiPriority w:val="0"/>
    <w:pPr>
      <w:keepLines/>
      <w:widowControl/>
      <w:tabs>
        <w:tab w:val="left" w:pos="1985"/>
        <w:tab w:val="left" w:pos="3300"/>
      </w:tabs>
      <w:spacing w:before="120" w:after="50" w:line="360" w:lineRule="auto"/>
      <w:ind w:left="1985" w:hanging="502" w:firstLineChars="200"/>
    </w:pPr>
    <w:rPr>
      <w:spacing w:val="30"/>
      <w:kern w:val="0"/>
      <w:sz w:val="20"/>
      <w:lang w:val="en-GB"/>
    </w:rPr>
  </w:style>
  <w:style w:type="paragraph" w:customStyle="1" w:styleId="998">
    <w:name w:val="gray4"/>
    <w:basedOn w:val="1"/>
    <w:qFormat/>
    <w:uiPriority w:val="0"/>
    <w:pPr>
      <w:widowControl/>
      <w:spacing w:before="100" w:beforeAutospacing="1" w:after="100" w:afterAutospacing="1" w:line="480" w:lineRule="auto"/>
      <w:jc w:val="left"/>
    </w:pPr>
    <w:rPr>
      <w:rFonts w:ascii="宋体" w:hAnsi="宋体"/>
      <w:kern w:val="0"/>
      <w:sz w:val="19"/>
      <w:szCs w:val="19"/>
    </w:rPr>
  </w:style>
  <w:style w:type="paragraph" w:customStyle="1" w:styleId="999">
    <w:name w:val="CM78"/>
    <w:basedOn w:val="196"/>
    <w:next w:val="196"/>
    <w:qFormat/>
    <w:uiPriority w:val="0"/>
    <w:rPr>
      <w:rFonts w:ascii="oúì." w:hAnsi="Times New Roman" w:eastAsia="oúì." w:cs="Times New Roman"/>
      <w:color w:val="auto"/>
    </w:rPr>
  </w:style>
  <w:style w:type="paragraph" w:customStyle="1" w:styleId="1000">
    <w:name w:val="pied de page r閒.2"/>
    <w:qFormat/>
    <w:uiPriority w:val="0"/>
    <w:pPr>
      <w:spacing w:before="140"/>
      <w:jc w:val="center"/>
    </w:pPr>
    <w:rPr>
      <w:rFonts w:ascii="Helvetica" w:hAnsi="Helvetica" w:eastAsia="宋体" w:cs="Times New Roman"/>
      <w:caps/>
      <w:snapToGrid w:val="0"/>
      <w:lang w:val="en-US" w:eastAsia="en-US" w:bidi="ar-SA"/>
    </w:rPr>
  </w:style>
  <w:style w:type="paragraph" w:customStyle="1" w:styleId="1001">
    <w:name w:val="正文居中"/>
    <w:basedOn w:val="1"/>
    <w:qFormat/>
    <w:uiPriority w:val="0"/>
    <w:pPr>
      <w:spacing w:line="360" w:lineRule="auto"/>
      <w:ind w:firstLine="200" w:firstLineChars="200"/>
      <w:jc w:val="center"/>
    </w:pPr>
    <w:rPr>
      <w:rFonts w:eastAsia="仿宋_GB2312" w:cs="宋体"/>
      <w:sz w:val="24"/>
    </w:rPr>
  </w:style>
  <w:style w:type="paragraph" w:customStyle="1" w:styleId="1002">
    <w:name w:val="font22"/>
    <w:basedOn w:val="1"/>
    <w:qFormat/>
    <w:uiPriority w:val="0"/>
    <w:pPr>
      <w:widowControl/>
      <w:spacing w:before="100" w:beforeAutospacing="1" w:after="100" w:afterAutospacing="1"/>
      <w:jc w:val="left"/>
    </w:pPr>
    <w:rPr>
      <w:rFonts w:ascii="宋体" w:hAnsi="宋体" w:cs="宋体"/>
      <w:kern w:val="0"/>
      <w:sz w:val="20"/>
    </w:rPr>
  </w:style>
  <w:style w:type="paragraph" w:customStyle="1" w:styleId="1003">
    <w:name w:val="附录2层"/>
    <w:basedOn w:val="1"/>
    <w:next w:val="150"/>
    <w:qFormat/>
    <w:uiPriority w:val="0"/>
    <w:pPr>
      <w:widowControl/>
      <w:adjustRightInd w:val="0"/>
      <w:snapToGrid w:val="0"/>
      <w:spacing w:line="360" w:lineRule="atLeast"/>
      <w:ind w:firstLine="200" w:firstLineChars="200"/>
      <w:textAlignment w:val="baseline"/>
    </w:pPr>
    <w:rPr>
      <w:rFonts w:ascii="黑体" w:eastAsia="黑体"/>
      <w:kern w:val="0"/>
      <w:sz w:val="24"/>
    </w:rPr>
  </w:style>
  <w:style w:type="paragraph" w:customStyle="1" w:styleId="1004">
    <w:name w:val="样式 标题 9 +"/>
    <w:basedOn w:val="915"/>
    <w:qFormat/>
    <w:uiPriority w:val="0"/>
    <w:rPr>
      <w:rFonts w:ascii="Times New Roman" w:hAnsi="Times New Roman"/>
    </w:rPr>
  </w:style>
  <w:style w:type="paragraph" w:customStyle="1" w:styleId="1005">
    <w:name w:val="bannerjo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006">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b/>
      <w:bCs/>
      <w:kern w:val="0"/>
      <w:sz w:val="20"/>
    </w:rPr>
  </w:style>
  <w:style w:type="paragraph" w:customStyle="1" w:styleId="1007">
    <w:name w:val="政务正文"/>
    <w:basedOn w:val="1"/>
    <w:qFormat/>
    <w:uiPriority w:val="0"/>
    <w:pPr>
      <w:spacing w:beforeLines="50" w:afterLines="50" w:line="440" w:lineRule="exact"/>
      <w:ind w:firstLine="480" w:firstLineChars="200"/>
    </w:pPr>
    <w:rPr>
      <w:rFonts w:ascii="宋体" w:hAnsi="宋体"/>
      <w:sz w:val="24"/>
      <w:szCs w:val="24"/>
    </w:rPr>
  </w:style>
  <w:style w:type="paragraph" w:customStyle="1" w:styleId="1008">
    <w:name w:val="样式 标题 3 + 段前: 5 磅 段后: 5 磅"/>
    <w:basedOn w:val="6"/>
    <w:qFormat/>
    <w:uiPriority w:val="0"/>
    <w:pPr>
      <w:spacing w:before="100" w:beforeAutospacing="1" w:after="100" w:afterAutospacing="1" w:line="240" w:lineRule="auto"/>
      <w:jc w:val="left"/>
    </w:pPr>
    <w:rPr>
      <w:rFonts w:ascii="黑体" w:hAnsi="宋体" w:eastAsia="黑体" w:cs="宋体"/>
      <w:b w:val="0"/>
      <w:bCs w:val="0"/>
      <w:iCs/>
      <w:color w:val="000000"/>
      <w:sz w:val="30"/>
      <w:szCs w:val="30"/>
    </w:rPr>
  </w:style>
  <w:style w:type="paragraph" w:customStyle="1" w:styleId="1009">
    <w:name w:val="CM30"/>
    <w:basedOn w:val="196"/>
    <w:next w:val="196"/>
    <w:qFormat/>
    <w:uiPriority w:val="0"/>
    <w:pPr>
      <w:spacing w:line="313" w:lineRule="atLeast"/>
    </w:pPr>
    <w:rPr>
      <w:rFonts w:ascii="oúì." w:hAnsi="Times New Roman" w:eastAsia="oúì." w:cs="Times New Roman"/>
      <w:color w:val="auto"/>
    </w:rPr>
  </w:style>
  <w:style w:type="paragraph" w:customStyle="1" w:styleId="1010">
    <w:name w:val="首航所进"/>
    <w:basedOn w:val="1"/>
    <w:qFormat/>
    <w:uiPriority w:val="0"/>
    <w:pPr>
      <w:spacing w:line="300" w:lineRule="auto"/>
      <w:ind w:firstLine="480" w:firstLineChars="200"/>
    </w:pPr>
    <w:rPr>
      <w:sz w:val="24"/>
      <w:szCs w:val="24"/>
    </w:rPr>
  </w:style>
  <w:style w:type="paragraph" w:customStyle="1" w:styleId="1011">
    <w:name w:val="样式 标题 4 + 左侧:  0 厘米 悬挂缩进: 8.64 字符 行距: 多倍行距 1.57 字行"/>
    <w:basedOn w:val="1"/>
    <w:qFormat/>
    <w:uiPriority w:val="0"/>
    <w:pPr>
      <w:spacing w:line="377" w:lineRule="auto"/>
      <w:ind w:left="864" w:hanging="864" w:firstLineChars="200"/>
    </w:pPr>
    <w:rPr>
      <w:rFonts w:cs="宋体"/>
      <w:sz w:val="24"/>
    </w:rPr>
  </w:style>
  <w:style w:type="paragraph" w:customStyle="1" w:styleId="1012">
    <w:name w:val="正文(左缩进)"/>
    <w:basedOn w:val="1"/>
    <w:qFormat/>
    <w:uiPriority w:val="0"/>
    <w:pPr>
      <w:adjustRightInd w:val="0"/>
      <w:spacing w:before="60" w:after="60" w:line="240" w:lineRule="atLeast"/>
      <w:ind w:left="851"/>
      <w:textAlignment w:val="baseline"/>
    </w:pPr>
    <w:rPr>
      <w:kern w:val="0"/>
    </w:rPr>
  </w:style>
  <w:style w:type="paragraph" w:customStyle="1" w:styleId="1013">
    <w:name w:val="正文（首行无缩进）"/>
    <w:basedOn w:val="1"/>
    <w:next w:val="30"/>
    <w:qFormat/>
    <w:uiPriority w:val="0"/>
    <w:pPr>
      <w:adjustRightInd w:val="0"/>
      <w:snapToGrid w:val="0"/>
      <w:spacing w:line="240" w:lineRule="atLeast"/>
      <w:jc w:val="center"/>
    </w:pPr>
    <w:rPr>
      <w:rFonts w:eastAsia="仿宋_GB2312"/>
      <w:sz w:val="28"/>
      <w:szCs w:val="24"/>
    </w:rPr>
  </w:style>
  <w:style w:type="paragraph" w:customStyle="1" w:styleId="1014">
    <w:name w:val="Char Char Char Char Char Char1 Char1"/>
    <w:basedOn w:val="1"/>
    <w:qFormat/>
    <w:uiPriority w:val="0"/>
    <w:pPr>
      <w:widowControl/>
      <w:spacing w:after="160" w:line="240" w:lineRule="exact"/>
      <w:ind w:firstLine="480" w:firstLineChars="200"/>
      <w:jc w:val="left"/>
    </w:pPr>
    <w:rPr>
      <w:rFonts w:ascii="Verdana" w:hAnsi="Verdana"/>
      <w:kern w:val="0"/>
      <w:sz w:val="24"/>
      <w:lang w:eastAsia="en-US"/>
    </w:rPr>
  </w:style>
  <w:style w:type="paragraph" w:customStyle="1" w:styleId="1015">
    <w:name w:val="ABC标题下的小点11"/>
    <w:basedOn w:val="1"/>
    <w:qFormat/>
    <w:uiPriority w:val="0"/>
    <w:pPr>
      <w:tabs>
        <w:tab w:val="left" w:pos="1260"/>
      </w:tabs>
      <w:spacing w:line="360" w:lineRule="auto"/>
      <w:ind w:left="1260" w:hanging="420"/>
    </w:pPr>
    <w:rPr>
      <w:rFonts w:ascii="宋体" w:hAnsi="宋体"/>
      <w:kern w:val="0"/>
    </w:rPr>
  </w:style>
  <w:style w:type="paragraph" w:customStyle="1" w:styleId="1016">
    <w:name w:val="font16"/>
    <w:basedOn w:val="1"/>
    <w:qFormat/>
    <w:uiPriority w:val="0"/>
    <w:pPr>
      <w:widowControl/>
      <w:spacing w:before="100" w:beforeAutospacing="1" w:after="100" w:afterAutospacing="1"/>
      <w:jc w:val="left"/>
    </w:pPr>
    <w:rPr>
      <w:rFonts w:ascii="宋体" w:hAnsi="宋体" w:cs="宋体"/>
      <w:kern w:val="0"/>
      <w:sz w:val="20"/>
    </w:rPr>
  </w:style>
  <w:style w:type="paragraph" w:customStyle="1" w:styleId="1017">
    <w:name w:val="前言、引言标题"/>
    <w:next w:val="1"/>
    <w:qFormat/>
    <w:uiPriority w:val="0"/>
    <w:pPr>
      <w:shd w:val="clear" w:color="FFFFFF" w:fill="FFFFFF"/>
      <w:tabs>
        <w:tab w:val="left" w:pos="425"/>
        <w:tab w:val="left" w:pos="840"/>
      </w:tabs>
      <w:spacing w:before="640" w:after="560"/>
      <w:jc w:val="center"/>
      <w:outlineLvl w:val="0"/>
    </w:pPr>
    <w:rPr>
      <w:rFonts w:hint="eastAsia" w:ascii="黑体" w:hAnsi="Times New Roman" w:eastAsia="黑体" w:cs="Times New Roman"/>
      <w:sz w:val="32"/>
      <w:lang w:val="en-US" w:eastAsia="zh-CN" w:bidi="ar-SA"/>
    </w:rPr>
  </w:style>
  <w:style w:type="paragraph" w:customStyle="1" w:styleId="1018">
    <w:name w:val="目次、标准名称标题"/>
    <w:basedOn w:val="1017"/>
    <w:next w:val="557"/>
    <w:qFormat/>
    <w:uiPriority w:val="0"/>
    <w:pPr>
      <w:tabs>
        <w:tab w:val="clear" w:pos="425"/>
        <w:tab w:val="clear" w:pos="840"/>
      </w:tabs>
      <w:spacing w:line="460" w:lineRule="exact"/>
    </w:pPr>
    <w:rPr>
      <w:rFonts w:hint="default" w:ascii="Times New Roman" w:eastAsia="宋体"/>
    </w:rPr>
  </w:style>
  <w:style w:type="paragraph" w:customStyle="1" w:styleId="1019">
    <w:name w:val="t4_2"/>
    <w:basedOn w:val="1"/>
    <w:qFormat/>
    <w:uiPriority w:val="0"/>
    <w:pPr>
      <w:tabs>
        <w:tab w:val="left" w:pos="635"/>
        <w:tab w:val="left" w:pos="840"/>
      </w:tabs>
      <w:spacing w:line="360" w:lineRule="auto"/>
      <w:ind w:left="420" w:hanging="425"/>
      <w:jc w:val="left"/>
    </w:pPr>
    <w:rPr>
      <w:rFonts w:hint="eastAsia"/>
      <w:b/>
    </w:rPr>
  </w:style>
  <w:style w:type="paragraph" w:customStyle="1" w:styleId="1020">
    <w:name w:val="图标题1"/>
    <w:basedOn w:val="1"/>
    <w:next w:val="1"/>
    <w:qFormat/>
    <w:uiPriority w:val="0"/>
    <w:pPr>
      <w:spacing w:beforeLines="50" w:afterLines="50" w:line="360" w:lineRule="atLeast"/>
      <w:jc w:val="center"/>
    </w:pPr>
    <w:rPr>
      <w:bCs/>
      <w:sz w:val="24"/>
      <w:szCs w:val="24"/>
    </w:rPr>
  </w:style>
  <w:style w:type="paragraph" w:customStyle="1" w:styleId="1021">
    <w:name w:val="标题 2（绿盟科技）"/>
    <w:basedOn w:val="4"/>
    <w:next w:val="1"/>
    <w:qFormat/>
    <w:uiPriority w:val="0"/>
    <w:pPr>
      <w:numPr>
        <w:ilvl w:val="1"/>
        <w:numId w:val="37"/>
      </w:numPr>
      <w:spacing w:before="0" w:after="0" w:line="415" w:lineRule="auto"/>
      <w:ind w:hanging="1049" w:hangingChars="1049"/>
      <w:jc w:val="left"/>
    </w:pPr>
    <w:rPr>
      <w:rFonts w:ascii="Times New Roman" w:hAnsi="Times New Roman" w:cs="Arial"/>
      <w:szCs w:val="30"/>
    </w:rPr>
  </w:style>
  <w:style w:type="paragraph" w:customStyle="1" w:styleId="1022">
    <w:name w:val="技术报告章标题2"/>
    <w:basedOn w:val="1"/>
    <w:next w:val="913"/>
    <w:qFormat/>
    <w:uiPriority w:val="0"/>
    <w:pPr>
      <w:pageBreakBefore/>
      <w:tabs>
        <w:tab w:val="left" w:pos="840"/>
      </w:tabs>
      <w:spacing w:beforeLines="200" w:after="156" w:line="440" w:lineRule="exact"/>
      <w:ind w:left="840" w:hanging="420"/>
      <w:jc w:val="center"/>
      <w:outlineLvl w:val="0"/>
    </w:pPr>
    <w:rPr>
      <w:rFonts w:ascii="Arial" w:hAnsi="Arial" w:eastAsia="黑体"/>
      <w:sz w:val="36"/>
      <w:szCs w:val="24"/>
    </w:rPr>
  </w:style>
  <w:style w:type="paragraph" w:customStyle="1" w:styleId="1023">
    <w:name w:val="Cnv:cell1"/>
    <w:qFormat/>
    <w:uiPriority w:val="0"/>
    <w:pPr>
      <w:tabs>
        <w:tab w:val="left" w:pos="0"/>
        <w:tab w:val="left" w:pos="720"/>
        <w:tab w:val="left" w:pos="1440"/>
        <w:tab w:val="left" w:pos="2160"/>
      </w:tabs>
      <w:spacing w:after="38" w:line="267" w:lineRule="atLeast"/>
    </w:pPr>
    <w:rPr>
      <w:rFonts w:ascii="Times New Roman" w:hAnsi="Times New Roman" w:eastAsia="宋体" w:cs="Times New Roman"/>
      <w:sz w:val="24"/>
      <w:lang w:val="en-US" w:eastAsia="zh-CN" w:bidi="ar-SA"/>
    </w:rPr>
  </w:style>
  <w:style w:type="paragraph" w:customStyle="1" w:styleId="1024">
    <w:name w:val="Char1 Char Char Char6"/>
    <w:basedOn w:val="1"/>
    <w:qFormat/>
    <w:uiPriority w:val="0"/>
    <w:pPr>
      <w:spacing w:beforeLines="50" w:afterLines="50"/>
    </w:pPr>
    <w:rPr>
      <w:rFonts w:ascii="Tahoma" w:hAnsi="Tahoma"/>
      <w:sz w:val="24"/>
    </w:rPr>
  </w:style>
  <w:style w:type="paragraph" w:customStyle="1" w:styleId="1025">
    <w:name w:val="Punto 1"/>
    <w:basedOn w:val="1"/>
    <w:next w:val="1"/>
    <w:qFormat/>
    <w:uiPriority w:val="0"/>
    <w:pPr>
      <w:widowControl/>
      <w:numPr>
        <w:ilvl w:val="0"/>
        <w:numId w:val="38"/>
      </w:numPr>
      <w:spacing w:before="120" w:afterLines="50"/>
      <w:ind w:firstLine="0"/>
      <w:outlineLvl w:val="0"/>
    </w:pPr>
    <w:rPr>
      <w:rFonts w:ascii="Frutiger-Bold" w:hAnsi="Frutiger-Bold"/>
      <w:b/>
      <w:kern w:val="0"/>
      <w:sz w:val="24"/>
      <w:u w:val="single"/>
      <w:lang w:eastAsia="es-ES"/>
    </w:rPr>
  </w:style>
  <w:style w:type="paragraph" w:customStyle="1" w:styleId="1026">
    <w:name w:val="Punto 2"/>
    <w:basedOn w:val="1025"/>
    <w:next w:val="1"/>
    <w:qFormat/>
    <w:uiPriority w:val="0"/>
    <w:pPr>
      <w:numPr>
        <w:ilvl w:val="1"/>
      </w:numPr>
      <w:outlineLvl w:val="1"/>
    </w:pPr>
    <w:rPr>
      <w:rFonts w:ascii="Frutiger-Roman" w:hAnsi="Frutiger-Roman"/>
      <w:b w:val="0"/>
      <w:lang w:val="en-GB" w:eastAsia="zh-CN"/>
    </w:rPr>
  </w:style>
  <w:style w:type="paragraph" w:customStyle="1" w:styleId="1027">
    <w:name w:val="Punto 3"/>
    <w:basedOn w:val="1026"/>
    <w:next w:val="1"/>
    <w:qFormat/>
    <w:uiPriority w:val="0"/>
    <w:pPr>
      <w:numPr>
        <w:ilvl w:val="2"/>
      </w:numPr>
      <w:tabs>
        <w:tab w:val="left" w:pos="851"/>
      </w:tabs>
      <w:outlineLvl w:val="2"/>
    </w:pPr>
    <w:rPr>
      <w:rFonts w:ascii="Times New Roman" w:hAnsi="Times New Roman"/>
    </w:rPr>
  </w:style>
  <w:style w:type="paragraph" w:customStyle="1" w:styleId="1028">
    <w:name w:val="Punto 4"/>
    <w:basedOn w:val="1027"/>
    <w:next w:val="1"/>
    <w:qFormat/>
    <w:uiPriority w:val="0"/>
    <w:pPr>
      <w:numPr>
        <w:ilvl w:val="3"/>
      </w:numPr>
      <w:outlineLvl w:val="3"/>
    </w:pPr>
  </w:style>
  <w:style w:type="paragraph" w:customStyle="1" w:styleId="1029">
    <w:name w:val="Punto 5"/>
    <w:basedOn w:val="1028"/>
    <w:next w:val="1"/>
    <w:qFormat/>
    <w:uiPriority w:val="0"/>
    <w:pPr>
      <w:numPr>
        <w:ilvl w:val="4"/>
      </w:numPr>
      <w:ind w:left="1009" w:hanging="1009"/>
    </w:pPr>
  </w:style>
  <w:style w:type="paragraph" w:customStyle="1" w:styleId="1030">
    <w:name w:val="样式 (中文) 黑体 小一 加粗 居中 段后: 1 行"/>
    <w:basedOn w:val="1"/>
    <w:qFormat/>
    <w:uiPriority w:val="0"/>
    <w:pPr>
      <w:spacing w:afterLines="100" w:line="360" w:lineRule="auto"/>
      <w:ind w:firstLine="425"/>
      <w:jc w:val="center"/>
    </w:pPr>
    <w:rPr>
      <w:rFonts w:eastAsia="黑体"/>
      <w:b/>
      <w:bCs/>
      <w:spacing w:val="10"/>
      <w:kern w:val="0"/>
      <w:sz w:val="48"/>
    </w:rPr>
  </w:style>
  <w:style w:type="paragraph" w:customStyle="1" w:styleId="1031">
    <w:name w:val="TB-表格"/>
    <w:qFormat/>
    <w:uiPriority w:val="0"/>
    <w:pPr>
      <w:jc w:val="center"/>
    </w:pPr>
    <w:rPr>
      <w:rFonts w:ascii="Calibri" w:hAnsi="Calibri" w:eastAsia="宋体" w:cs="Times New Roman"/>
      <w:kern w:val="2"/>
      <w:sz w:val="21"/>
      <w:szCs w:val="21"/>
      <w:lang w:val="en-US" w:eastAsia="zh-CN" w:bidi="ar-SA"/>
    </w:rPr>
  </w:style>
  <w:style w:type="paragraph" w:customStyle="1" w:styleId="1032">
    <w:name w:val="表样式"/>
    <w:qFormat/>
    <w:uiPriority w:val="0"/>
    <w:pPr>
      <w:autoSpaceDE w:val="0"/>
      <w:autoSpaceDN w:val="0"/>
      <w:spacing w:before="120" w:after="20" w:line="276" w:lineRule="auto"/>
      <w:textAlignment w:val="bottom"/>
    </w:pPr>
    <w:rPr>
      <w:rFonts w:hint="eastAsia" w:ascii="Courier New" w:hAnsi="Courier New" w:eastAsia="宋体" w:cs="Times New Roman"/>
      <w:sz w:val="17"/>
      <w:lang w:val="en-US" w:eastAsia="zh-CN" w:bidi="ar-SA"/>
    </w:rPr>
  </w:style>
  <w:style w:type="paragraph" w:customStyle="1" w:styleId="1033">
    <w:name w:val="步骤表样式"/>
    <w:basedOn w:val="1032"/>
    <w:qFormat/>
    <w:uiPriority w:val="0"/>
    <w:pPr>
      <w:tabs>
        <w:tab w:val="left" w:pos="397"/>
        <w:tab w:val="left" w:pos="1061"/>
      </w:tabs>
      <w:ind w:left="1061" w:hanging="420"/>
    </w:pPr>
    <w:rPr>
      <w:rFonts w:ascii="Times New Roman" w:hAnsi="Times New Roman"/>
    </w:rPr>
  </w:style>
  <w:style w:type="paragraph" w:customStyle="1" w:styleId="1034">
    <w:name w:val="宏图高科"/>
    <w:basedOn w:val="1"/>
    <w:qFormat/>
    <w:uiPriority w:val="0"/>
    <w:pPr>
      <w:spacing w:line="360" w:lineRule="auto"/>
    </w:pPr>
    <w:rPr>
      <w:rFonts w:eastAsia="楷体_GB2312"/>
      <w:sz w:val="24"/>
    </w:rPr>
  </w:style>
  <w:style w:type="paragraph" w:customStyle="1" w:styleId="1035">
    <w:name w:val="文件标识号"/>
    <w:basedOn w:val="1"/>
    <w:qFormat/>
    <w:uiPriority w:val="0"/>
    <w:pPr>
      <w:widowControl/>
      <w:adjustRightInd w:val="0"/>
      <w:snapToGrid w:val="0"/>
      <w:spacing w:before="120" w:after="120" w:line="1440" w:lineRule="auto"/>
      <w:ind w:firstLine="200" w:firstLineChars="200"/>
      <w:jc w:val="center"/>
      <w:textAlignment w:val="baseline"/>
    </w:pPr>
    <w:rPr>
      <w:rFonts w:ascii="Arial" w:hAnsi="Arial" w:eastAsia="黑体"/>
      <w:spacing w:val="10"/>
      <w:kern w:val="0"/>
      <w:sz w:val="32"/>
    </w:rPr>
  </w:style>
  <w:style w:type="paragraph" w:customStyle="1" w:styleId="1036">
    <w:name w:val="列表2"/>
    <w:basedOn w:val="21"/>
    <w:qFormat/>
    <w:uiPriority w:val="0"/>
    <w:pPr>
      <w:tabs>
        <w:tab w:val="left" w:pos="900"/>
      </w:tabs>
      <w:adjustRightInd w:val="0"/>
      <w:spacing w:before="60" w:after="60"/>
      <w:textAlignment w:val="baseline"/>
    </w:pPr>
    <w:rPr>
      <w:rFonts w:eastAsia="楷体_GB2312"/>
      <w:kern w:val="0"/>
    </w:rPr>
  </w:style>
  <w:style w:type="paragraph" w:customStyle="1" w:styleId="1037">
    <w:name w:val="注："/>
    <w:next w:val="557"/>
    <w:qFormat/>
    <w:uiPriority w:val="0"/>
    <w:pPr>
      <w:widowControl w:val="0"/>
      <w:tabs>
        <w:tab w:val="left" w:pos="900"/>
      </w:tabs>
      <w:autoSpaceDE w:val="0"/>
      <w:autoSpaceDN w:val="0"/>
      <w:ind w:left="900" w:hanging="420"/>
      <w:jc w:val="both"/>
    </w:pPr>
    <w:rPr>
      <w:rFonts w:ascii="宋体" w:hAnsi="Times New Roman" w:eastAsia="宋体" w:cs="Times New Roman"/>
      <w:sz w:val="18"/>
      <w:lang w:val="en-US" w:eastAsia="zh-CN" w:bidi="ar-SA"/>
    </w:rPr>
  </w:style>
  <w:style w:type="paragraph" w:customStyle="1" w:styleId="1038">
    <w:name w:val="正文文本 21"/>
    <w:basedOn w:val="1"/>
    <w:qFormat/>
    <w:uiPriority w:val="0"/>
    <w:pPr>
      <w:overflowPunct w:val="0"/>
      <w:autoSpaceDE w:val="0"/>
      <w:autoSpaceDN w:val="0"/>
      <w:adjustRightInd w:val="0"/>
      <w:spacing w:line="500" w:lineRule="atLeast"/>
      <w:textAlignment w:val="baseline"/>
    </w:pPr>
    <w:rPr>
      <w:rFonts w:ascii="宋体" w:hAnsi="宋体" w:cs="宋体"/>
      <w:color w:val="000000"/>
      <w:kern w:val="0"/>
      <w:sz w:val="24"/>
    </w:rPr>
  </w:style>
  <w:style w:type="paragraph" w:customStyle="1" w:styleId="1039">
    <w:name w:val="数字编号并列项目"/>
    <w:basedOn w:val="1"/>
    <w:next w:val="150"/>
    <w:qFormat/>
    <w:uiPriority w:val="0"/>
    <w:pPr>
      <w:widowControl/>
      <w:numPr>
        <w:ilvl w:val="0"/>
        <w:numId w:val="39"/>
      </w:numPr>
      <w:adjustRightInd w:val="0"/>
      <w:snapToGrid w:val="0"/>
      <w:spacing w:line="440" w:lineRule="exact"/>
      <w:ind w:firstLine="200" w:firstLineChars="200"/>
      <w:textAlignment w:val="baseline"/>
    </w:pPr>
    <w:rPr>
      <w:rFonts w:eastAsia="仿宋_GB2312"/>
      <w:kern w:val="0"/>
      <w:sz w:val="24"/>
    </w:rPr>
  </w:style>
  <w:style w:type="paragraph" w:customStyle="1" w:styleId="1040">
    <w:name w:val="汉仪细等线简8BOLD"/>
    <w:basedOn w:val="1"/>
    <w:qFormat/>
    <w:uiPriority w:val="0"/>
    <w:pPr>
      <w:autoSpaceDE w:val="0"/>
      <w:autoSpaceDN w:val="0"/>
      <w:adjustRightInd w:val="0"/>
      <w:spacing w:line="240" w:lineRule="atLeast"/>
    </w:pPr>
    <w:rPr>
      <w:rFonts w:ascii="汉仪细等线简" w:eastAsia="汉仪细等线简"/>
      <w:b/>
      <w:bCs/>
      <w:kern w:val="0"/>
      <w:sz w:val="16"/>
      <w:szCs w:val="16"/>
    </w:rPr>
  </w:style>
  <w:style w:type="paragraph" w:customStyle="1" w:styleId="1041">
    <w:name w:val="Leon base"/>
    <w:basedOn w:val="1"/>
    <w:qFormat/>
    <w:uiPriority w:val="0"/>
    <w:pPr>
      <w:spacing w:line="360" w:lineRule="auto"/>
      <w:ind w:firstLine="482" w:firstLineChars="200"/>
    </w:pPr>
    <w:rPr>
      <w:rFonts w:ascii="Tahoma" w:hAnsi="Tahoma"/>
      <w:sz w:val="24"/>
      <w:szCs w:val="24"/>
    </w:rPr>
  </w:style>
  <w:style w:type="paragraph" w:customStyle="1" w:styleId="1042">
    <w:name w:val="Char16"/>
    <w:basedOn w:val="1"/>
    <w:qFormat/>
    <w:uiPriority w:val="0"/>
    <w:rPr>
      <w:rFonts w:hint="eastAsia" w:ascii="宋体" w:hAnsi="宋体"/>
      <w:b/>
      <w:sz w:val="24"/>
    </w:rPr>
  </w:style>
  <w:style w:type="paragraph" w:customStyle="1" w:styleId="1043">
    <w:name w:val="Default1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044">
    <w:name w:val="并列项-点"/>
    <w:basedOn w:val="1"/>
    <w:qFormat/>
    <w:uiPriority w:val="0"/>
    <w:pPr>
      <w:widowControl/>
      <w:tabs>
        <w:tab w:val="left" w:pos="851"/>
        <w:tab w:val="left" w:pos="927"/>
        <w:tab w:val="left" w:pos="3240"/>
      </w:tabs>
      <w:adjustRightInd w:val="0"/>
      <w:snapToGrid w:val="0"/>
      <w:spacing w:beforeLines="25"/>
      <w:ind w:left="851" w:hanging="284" w:firstLineChars="200"/>
      <w:textAlignment w:val="baseline"/>
    </w:pPr>
    <w:rPr>
      <w:rFonts w:ascii="Arial" w:hAnsi="Arial" w:eastAsia="仿宋_GB2312"/>
      <w:kern w:val="0"/>
      <w:sz w:val="24"/>
    </w:rPr>
  </w:style>
  <w:style w:type="paragraph" w:customStyle="1" w:styleId="1045">
    <w:name w:val="示意图说明1"/>
    <w:basedOn w:val="1"/>
    <w:next w:val="1"/>
    <w:qFormat/>
    <w:uiPriority w:val="0"/>
    <w:pPr>
      <w:spacing w:line="360" w:lineRule="auto"/>
      <w:jc w:val="center"/>
    </w:pPr>
    <w:rPr>
      <w:rFonts w:eastAsia="黑体"/>
      <w:kern w:val="0"/>
      <w:lang w:eastAsia="en-US"/>
    </w:rPr>
  </w:style>
  <w:style w:type="paragraph" w:customStyle="1" w:styleId="1046">
    <w:name w:val="段落111"/>
    <w:basedOn w:val="1"/>
    <w:qFormat/>
    <w:uiPriority w:val="0"/>
    <w:pPr>
      <w:tabs>
        <w:tab w:val="left" w:pos="432"/>
        <w:tab w:val="left" w:pos="960"/>
      </w:tabs>
      <w:spacing w:line="600" w:lineRule="exact"/>
      <w:ind w:left="432"/>
    </w:pPr>
    <w:rPr>
      <w:rFonts w:ascii="宋体" w:hAnsi="宋体"/>
      <w:b/>
      <w:color w:val="000000"/>
      <w:sz w:val="24"/>
    </w:rPr>
  </w:style>
  <w:style w:type="paragraph" w:customStyle="1" w:styleId="1047">
    <w:name w:val="xl104"/>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right"/>
    </w:pPr>
    <w:rPr>
      <w:rFonts w:ascii="宋体" w:hAnsi="宋体" w:cs="宋体"/>
      <w:color w:val="000000"/>
      <w:kern w:val="0"/>
      <w:sz w:val="24"/>
      <w:szCs w:val="24"/>
    </w:rPr>
  </w:style>
  <w:style w:type="paragraph" w:customStyle="1" w:styleId="1048">
    <w:name w:val="xl12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1049">
    <w:name w:val="q3"/>
    <w:basedOn w:val="83"/>
    <w:next w:val="1"/>
    <w:qFormat/>
    <w:uiPriority w:val="0"/>
    <w:pPr>
      <w:tabs>
        <w:tab w:val="left" w:pos="720"/>
        <w:tab w:val="left" w:pos="1280"/>
      </w:tabs>
      <w:spacing w:line="360" w:lineRule="auto"/>
      <w:ind w:left="1280" w:hanging="720"/>
      <w:jc w:val="left"/>
      <w:outlineLvl w:val="2"/>
    </w:pPr>
    <w:rPr>
      <w:rFonts w:hint="eastAsia" w:ascii="Times New Roman" w:hAnsi="Times New Roman"/>
      <w:bCs w:val="0"/>
      <w:sz w:val="28"/>
      <w:szCs w:val="20"/>
    </w:rPr>
  </w:style>
  <w:style w:type="paragraph" w:customStyle="1" w:styleId="1050">
    <w:name w:val="bg3"/>
    <w:basedOn w:val="1"/>
    <w:qFormat/>
    <w:uiPriority w:val="0"/>
    <w:pPr>
      <w:widowControl/>
      <w:shd w:val="clear" w:color="auto" w:fill="FFFFFF"/>
      <w:spacing w:before="100" w:beforeAutospacing="1" w:after="100" w:afterAutospacing="1"/>
      <w:jc w:val="left"/>
    </w:pPr>
    <w:rPr>
      <w:rFonts w:ascii="宋体" w:hAnsi="宋体"/>
      <w:kern w:val="0"/>
      <w:sz w:val="19"/>
      <w:szCs w:val="19"/>
    </w:rPr>
  </w:style>
  <w:style w:type="paragraph" w:customStyle="1" w:styleId="1051">
    <w:name w:val="样式 隶书 小一 居中 行距: 多倍行距 1.75 字行"/>
    <w:basedOn w:val="1"/>
    <w:qFormat/>
    <w:uiPriority w:val="0"/>
    <w:pPr>
      <w:spacing w:line="600" w:lineRule="auto"/>
      <w:jc w:val="center"/>
    </w:pPr>
    <w:rPr>
      <w:rFonts w:ascii="隶书" w:eastAsia="隶书" w:cs="宋体"/>
      <w:sz w:val="48"/>
      <w:szCs w:val="48"/>
    </w:rPr>
  </w:style>
  <w:style w:type="paragraph" w:customStyle="1" w:styleId="1052">
    <w:name w:val="样式 标题 1H1正文一级标题h1l1Head 1 (Chapter heading)Head 1Head 11..."/>
    <w:basedOn w:val="3"/>
    <w:qFormat/>
    <w:uiPriority w:val="0"/>
    <w:pPr>
      <w:keepLines/>
      <w:adjustRightInd w:val="0"/>
      <w:snapToGrid w:val="0"/>
      <w:ind w:left="2559" w:hanging="432"/>
    </w:pPr>
    <w:rPr>
      <w:rFonts w:ascii="宋体" w:hAnsi="宋体" w:eastAsia="黑体"/>
      <w:b w:val="0"/>
      <w:bCs/>
      <w:kern w:val="44"/>
      <w:sz w:val="30"/>
      <w:szCs w:val="24"/>
    </w:rPr>
  </w:style>
  <w:style w:type="paragraph" w:customStyle="1" w:styleId="1053">
    <w:name w:val="样式 正文文本缩进 2 + Century Gothic 四号 行距: 多倍行距 1.75 字行"/>
    <w:basedOn w:val="1"/>
    <w:qFormat/>
    <w:uiPriority w:val="0"/>
    <w:pPr>
      <w:adjustRightInd w:val="0"/>
      <w:snapToGrid w:val="0"/>
      <w:spacing w:line="360" w:lineRule="auto"/>
      <w:ind w:firstLine="480" w:firstLineChars="200"/>
    </w:pPr>
    <w:rPr>
      <w:rFonts w:ascii="Century Gothic" w:eastAsia="仿宋_GB2312" w:cs="宋体"/>
      <w:sz w:val="24"/>
    </w:rPr>
  </w:style>
  <w:style w:type="paragraph" w:customStyle="1" w:styleId="1054">
    <w:name w:val="171"/>
    <w:basedOn w:val="1"/>
    <w:next w:val="34"/>
    <w:qFormat/>
    <w:uiPriority w:val="0"/>
    <w:pPr>
      <w:spacing w:after="120"/>
      <w:ind w:left="420" w:leftChars="200"/>
    </w:pPr>
    <w:rPr>
      <w:szCs w:val="24"/>
    </w:rPr>
  </w:style>
  <w:style w:type="paragraph" w:customStyle="1" w:styleId="1055">
    <w:name w:val="条目2"/>
    <w:basedOn w:val="44"/>
    <w:qFormat/>
    <w:uiPriority w:val="0"/>
    <w:pPr>
      <w:tabs>
        <w:tab w:val="left" w:pos="420"/>
      </w:tabs>
      <w:spacing w:line="360" w:lineRule="auto"/>
      <w:ind w:left="420" w:hanging="420"/>
    </w:pPr>
    <w:rPr>
      <w:rFonts w:ascii="Times New Roman" w:hAnsi="Times New Roman"/>
      <w:color w:val="000000"/>
      <w:sz w:val="30"/>
    </w:rPr>
  </w:style>
  <w:style w:type="paragraph" w:customStyle="1" w:styleId="1056">
    <w:name w:val="wp_Body Text"/>
    <w:basedOn w:val="1"/>
    <w:qFormat/>
    <w:uiPriority w:val="0"/>
    <w:pPr>
      <w:autoSpaceDE w:val="0"/>
      <w:autoSpaceDN w:val="0"/>
      <w:adjustRightInd w:val="0"/>
      <w:spacing w:after="120" w:line="280" w:lineRule="exact"/>
      <w:ind w:firstLine="540" w:firstLineChars="200"/>
      <w:jc w:val="left"/>
      <w:textAlignment w:val="baseline"/>
    </w:pPr>
    <w:rPr>
      <w:rFonts w:ascii="宋体" w:hAnsi="Tms Rmn" w:eastAsia="仿宋_GB2312"/>
      <w:kern w:val="0"/>
      <w:sz w:val="28"/>
    </w:rPr>
  </w:style>
  <w:style w:type="paragraph" w:customStyle="1" w:styleId="1057">
    <w:name w:val="Normal1"/>
    <w:basedOn w:val="1"/>
    <w:qFormat/>
    <w:uiPriority w:val="0"/>
    <w:pPr>
      <w:widowControl/>
      <w:numPr>
        <w:ilvl w:val="0"/>
        <w:numId w:val="40"/>
      </w:numPr>
      <w:tabs>
        <w:tab w:val="clear" w:pos="420"/>
      </w:tabs>
      <w:overflowPunct w:val="0"/>
      <w:autoSpaceDE w:val="0"/>
      <w:autoSpaceDN w:val="0"/>
      <w:adjustRightInd w:val="0"/>
      <w:ind w:left="0" w:firstLine="0"/>
      <w:textAlignment w:val="baseline"/>
    </w:pPr>
    <w:rPr>
      <w:kern w:val="0"/>
    </w:rPr>
  </w:style>
  <w:style w:type="paragraph" w:customStyle="1" w:styleId="1058">
    <w:name w:val="offer"/>
    <w:basedOn w:val="1"/>
    <w:qFormat/>
    <w:uiPriority w:val="0"/>
    <w:pPr>
      <w:widowControl/>
      <w:tabs>
        <w:tab w:val="left" w:pos="0"/>
        <w:tab w:val="left" w:pos="4080"/>
        <w:tab w:val="left" w:pos="4440"/>
        <w:tab w:val="left" w:pos="7560"/>
        <w:tab w:val="left" w:pos="7800"/>
      </w:tabs>
      <w:suppressAutoHyphens/>
      <w:spacing w:before="60"/>
      <w:jc w:val="center"/>
    </w:pPr>
    <w:rPr>
      <w:rFonts w:hint="eastAsia" w:eastAsia="PMingLiU"/>
      <w:kern w:val="0"/>
      <w:sz w:val="24"/>
      <w:lang w:val="en-GB" w:eastAsia="zh-TW"/>
    </w:rPr>
  </w:style>
  <w:style w:type="paragraph" w:customStyle="1" w:styleId="1059">
    <w:name w:val="样式 图片 + 首行缩进:  0.85 厘米"/>
    <w:basedOn w:val="1"/>
    <w:qFormat/>
    <w:uiPriority w:val="0"/>
    <w:pPr>
      <w:spacing w:line="360" w:lineRule="auto"/>
      <w:jc w:val="center"/>
    </w:pPr>
    <w:rPr>
      <w:rFonts w:ascii="宋体" w:hAnsi="宋体" w:cs="宋体"/>
      <w:sz w:val="24"/>
    </w:rPr>
  </w:style>
  <w:style w:type="paragraph" w:customStyle="1" w:styleId="1060">
    <w:name w:val="contentnoteheader"/>
    <w:basedOn w:val="1"/>
    <w:qFormat/>
    <w:uiPriority w:val="0"/>
    <w:pPr>
      <w:widowControl/>
      <w:spacing w:before="30" w:after="100" w:afterAutospacing="1"/>
      <w:ind w:left="90"/>
      <w:jc w:val="left"/>
    </w:pPr>
    <w:rPr>
      <w:rFonts w:ascii="宋体" w:hAnsi="宋体"/>
      <w:b/>
      <w:bCs/>
      <w:color w:val="990000"/>
      <w:kern w:val="0"/>
      <w:sz w:val="18"/>
      <w:szCs w:val="18"/>
    </w:rPr>
  </w:style>
  <w:style w:type="paragraph" w:customStyle="1" w:styleId="1061">
    <w:name w:val="正文首行缩进1"/>
    <w:basedOn w:val="957"/>
    <w:qFormat/>
    <w:uiPriority w:val="0"/>
    <w:pPr>
      <w:autoSpaceDE/>
      <w:autoSpaceDN/>
      <w:spacing w:after="120"/>
      <w:ind w:firstLine="420" w:firstLineChars="100"/>
      <w:jc w:val="both"/>
    </w:pPr>
    <w:rPr>
      <w:rFonts w:ascii="Times New Roman"/>
      <w:kern w:val="2"/>
      <w:sz w:val="21"/>
    </w:rPr>
  </w:style>
  <w:style w:type="paragraph" w:customStyle="1" w:styleId="1062">
    <w:name w:val="样式 缩进正文 + 首行缩进:  2 字符"/>
    <w:basedOn w:val="1"/>
    <w:qFormat/>
    <w:uiPriority w:val="0"/>
    <w:pPr>
      <w:ind w:left="840" w:leftChars="400" w:firstLine="420" w:firstLineChars="200"/>
    </w:pPr>
  </w:style>
  <w:style w:type="paragraph" w:customStyle="1" w:styleId="1063">
    <w:name w:val="默认段落字体 Para Char Char Char Char Char Char Char Char"/>
    <w:basedOn w:val="1"/>
    <w:qFormat/>
    <w:uiPriority w:val="0"/>
    <w:pPr>
      <w:tabs>
        <w:tab w:val="left" w:pos="360"/>
      </w:tabs>
    </w:pPr>
    <w:rPr>
      <w:rFonts w:ascii="Tahoma" w:hAnsi="Tahoma"/>
      <w:sz w:val="24"/>
    </w:rPr>
  </w:style>
  <w:style w:type="paragraph" w:customStyle="1" w:styleId="1064">
    <w:name w:val="标注类"/>
    <w:basedOn w:val="1"/>
    <w:qFormat/>
    <w:uiPriority w:val="0"/>
    <w:pPr>
      <w:spacing w:beforeLines="50" w:afterLines="50" w:line="360" w:lineRule="auto"/>
      <w:ind w:firstLine="482"/>
    </w:pPr>
    <w:rPr>
      <w:rFonts w:eastAsia="楷体_GB2312"/>
      <w:sz w:val="24"/>
      <w:szCs w:val="24"/>
    </w:rPr>
  </w:style>
  <w:style w:type="paragraph" w:customStyle="1" w:styleId="1065">
    <w:name w:val="itemlist"/>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066">
    <w:name w:val="批注文字1"/>
    <w:basedOn w:val="1"/>
    <w:qFormat/>
    <w:uiPriority w:val="0"/>
    <w:pPr>
      <w:jc w:val="left"/>
    </w:pPr>
  </w:style>
  <w:style w:type="paragraph" w:customStyle="1" w:styleId="1067">
    <w:name w:val="批注主题1"/>
    <w:basedOn w:val="1066"/>
    <w:next w:val="1066"/>
    <w:qFormat/>
    <w:uiPriority w:val="0"/>
    <w:rPr>
      <w:b/>
    </w:rPr>
  </w:style>
  <w:style w:type="paragraph" w:customStyle="1" w:styleId="1068">
    <w:name w:val="defaul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69">
    <w:name w:val="ABC标题下的小点1"/>
    <w:basedOn w:val="1"/>
    <w:qFormat/>
    <w:uiPriority w:val="0"/>
    <w:pPr>
      <w:tabs>
        <w:tab w:val="left" w:pos="1260"/>
      </w:tabs>
      <w:spacing w:line="360" w:lineRule="auto"/>
      <w:ind w:left="1260" w:hanging="420"/>
    </w:pPr>
    <w:rPr>
      <w:rFonts w:ascii="宋体" w:hAnsi="宋体"/>
      <w:kern w:val="0"/>
    </w:rPr>
  </w:style>
  <w:style w:type="paragraph" w:customStyle="1" w:styleId="1070">
    <w:name w:val="Char Char1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071">
    <w:name w:val="规范标题2"/>
    <w:basedOn w:val="4"/>
    <w:next w:val="1"/>
    <w:qFormat/>
    <w:uiPriority w:val="0"/>
    <w:pPr>
      <w:tabs>
        <w:tab w:val="left" w:pos="0"/>
        <w:tab w:val="left" w:pos="360"/>
        <w:tab w:val="left" w:pos="576"/>
        <w:tab w:val="left" w:pos="630"/>
        <w:tab w:val="left" w:pos="814"/>
      </w:tabs>
      <w:adjustRightInd w:val="0"/>
      <w:spacing w:before="0" w:after="0" w:line="240" w:lineRule="atLeast"/>
      <w:ind w:left="180" w:right="480" w:rightChars="200" w:hanging="576"/>
      <w:textAlignment w:val="baseline"/>
      <w:outlineLvl w:val="9"/>
    </w:pPr>
    <w:rPr>
      <w:rFonts w:ascii="Times New Roman" w:hAnsi="Times New Roman" w:eastAsia="楷体_GB2312"/>
      <w:b w:val="0"/>
      <w:iCs/>
      <w:kern w:val="0"/>
      <w:sz w:val="24"/>
    </w:rPr>
  </w:style>
  <w:style w:type="paragraph" w:customStyle="1" w:styleId="1072">
    <w:name w:val="xl14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1073">
    <w:name w:val="List Paragraph1"/>
    <w:basedOn w:val="1"/>
    <w:qFormat/>
    <w:uiPriority w:val="0"/>
    <w:pPr>
      <w:ind w:firstLine="420" w:firstLineChars="200"/>
    </w:pPr>
  </w:style>
  <w:style w:type="paragraph" w:customStyle="1" w:styleId="1074">
    <w:name w:val="ToCompany"/>
    <w:basedOn w:val="1"/>
    <w:qFormat/>
    <w:uiPriority w:val="0"/>
    <w:pPr>
      <w:autoSpaceDE w:val="0"/>
      <w:autoSpaceDN w:val="0"/>
      <w:adjustRightInd w:val="0"/>
      <w:snapToGrid w:val="0"/>
      <w:jc w:val="left"/>
    </w:pPr>
    <w:rPr>
      <w:rFonts w:ascii="楷体_GB2312" w:eastAsia="楷体_GB2312"/>
      <w:kern w:val="0"/>
      <w:sz w:val="28"/>
      <w:szCs w:val="28"/>
      <w:lang w:val="en-GB"/>
    </w:rPr>
  </w:style>
  <w:style w:type="paragraph" w:customStyle="1" w:styleId="1075">
    <w:name w:val="Char Char Char Char Char3"/>
    <w:basedOn w:val="1"/>
    <w:qFormat/>
    <w:uiPriority w:val="0"/>
    <w:rPr>
      <w:rFonts w:ascii="Tahoma" w:hAnsi="Tahoma"/>
      <w:sz w:val="24"/>
    </w:rPr>
  </w:style>
  <w:style w:type="paragraph" w:customStyle="1" w:styleId="1076">
    <w:name w:val="Char Char Char Char Char Char"/>
    <w:basedOn w:val="1"/>
    <w:qFormat/>
    <w:uiPriority w:val="0"/>
    <w:rPr>
      <w:rFonts w:ascii="Tahoma" w:hAnsi="Tahoma"/>
      <w:sz w:val="24"/>
    </w:rPr>
  </w:style>
  <w:style w:type="paragraph" w:customStyle="1" w:styleId="1077">
    <w:name w:val="Char1 Char Char Char2"/>
    <w:basedOn w:val="1"/>
    <w:qFormat/>
    <w:uiPriority w:val="0"/>
    <w:pPr>
      <w:spacing w:line="360" w:lineRule="auto"/>
      <w:ind w:firstLine="480" w:firstLineChars="200"/>
    </w:pPr>
    <w:rPr>
      <w:rFonts w:ascii="Tahoma" w:hAnsi="Tahoma"/>
      <w:sz w:val="24"/>
    </w:rPr>
  </w:style>
  <w:style w:type="paragraph" w:customStyle="1" w:styleId="1078">
    <w:name w:val="Char Char Char2"/>
    <w:basedOn w:val="1"/>
    <w:qFormat/>
    <w:uiPriority w:val="0"/>
    <w:rPr>
      <w:rFonts w:ascii="Tahoma" w:hAnsi="Tahoma"/>
      <w:sz w:val="24"/>
    </w:rPr>
  </w:style>
  <w:style w:type="paragraph" w:customStyle="1" w:styleId="1079">
    <w:name w:val="样式 标题 2H22nd levelh22Header 2l2Titre2Head 2DO NOT USE_h..."/>
    <w:basedOn w:val="4"/>
    <w:qFormat/>
    <w:uiPriority w:val="0"/>
    <w:pPr>
      <w:widowControl/>
      <w:spacing w:before="0" w:after="0" w:afterLines="100" w:line="480" w:lineRule="auto"/>
      <w:ind w:left="567" w:hanging="567"/>
      <w:jc w:val="left"/>
    </w:pPr>
    <w:rPr>
      <w:rFonts w:ascii="Times New Roman" w:hAnsi="Times New Roman" w:eastAsia="楷体_GB2312" w:cs="宋体"/>
      <w:bCs/>
      <w:kern w:val="0"/>
    </w:rPr>
  </w:style>
  <w:style w:type="paragraph" w:customStyle="1" w:styleId="1080">
    <w:name w:val="普通(网站)1"/>
    <w:basedOn w:val="1"/>
    <w:qFormat/>
    <w:uiPriority w:val="0"/>
    <w:pPr>
      <w:widowControl/>
      <w:spacing w:before="100" w:beforeAutospacing="1" w:after="100" w:afterAutospacing="1"/>
      <w:jc w:val="left"/>
    </w:pPr>
    <w:rPr>
      <w:rFonts w:hint="eastAsia" w:ascii="Arial Unicode MS" w:hAnsi="Arial Unicode MS" w:eastAsia="Arial Unicode MS"/>
      <w:kern w:val="0"/>
      <w:sz w:val="24"/>
    </w:rPr>
  </w:style>
  <w:style w:type="paragraph" w:customStyle="1" w:styleId="1081">
    <w:name w:val="封面标题"/>
    <w:basedOn w:val="1"/>
    <w:qFormat/>
    <w:uiPriority w:val="0"/>
    <w:pPr>
      <w:snapToGrid w:val="0"/>
      <w:spacing w:line="300" w:lineRule="auto"/>
      <w:ind w:firstLine="200" w:firstLineChars="200"/>
      <w:jc w:val="center"/>
    </w:pPr>
    <w:rPr>
      <w:rFonts w:ascii="华文中宋" w:hAnsi="华文中宋" w:eastAsia="黑体" w:cs="宋体"/>
      <w:b/>
      <w:sz w:val="52"/>
    </w:rPr>
  </w:style>
  <w:style w:type="paragraph" w:customStyle="1" w:styleId="1082">
    <w:name w:val="font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83">
    <w:name w:val="xl86"/>
    <w:basedOn w:val="1"/>
    <w:qFormat/>
    <w:uiPriority w:val="0"/>
    <w:pPr>
      <w:widowControl/>
      <w:pBdr>
        <w:top w:val="single" w:color="auto" w:sz="4" w:space="0"/>
        <w:left w:val="single" w:color="auto" w:sz="4" w:space="0"/>
        <w:bottom w:val="single" w:color="auto" w:sz="4" w:space="0"/>
      </w:pBdr>
      <w:shd w:val="clear" w:color="000000" w:fill="DBE5F1"/>
      <w:spacing w:before="100" w:beforeAutospacing="1" w:after="100" w:afterAutospacing="1"/>
      <w:jc w:val="center"/>
    </w:pPr>
    <w:rPr>
      <w:rFonts w:ascii="宋体" w:hAnsi="宋体" w:cs="宋体"/>
      <w:b/>
      <w:bCs/>
      <w:kern w:val="0"/>
      <w:sz w:val="20"/>
    </w:rPr>
  </w:style>
  <w:style w:type="paragraph" w:customStyle="1" w:styleId="1084">
    <w:name w:val="Char10"/>
    <w:basedOn w:val="1"/>
    <w:qFormat/>
    <w:uiPriority w:val="0"/>
    <w:pPr>
      <w:spacing w:line="360" w:lineRule="auto"/>
      <w:ind w:firstLine="480" w:firstLineChars="200"/>
    </w:pPr>
    <w:rPr>
      <w:rFonts w:ascii="Tahoma" w:hAnsi="Tahoma"/>
      <w:sz w:val="24"/>
    </w:rPr>
  </w:style>
  <w:style w:type="paragraph" w:customStyle="1" w:styleId="1085">
    <w:name w:val="标题1，章节第一层"/>
    <w:basedOn w:val="1"/>
    <w:next w:val="150"/>
    <w:qFormat/>
    <w:uiPriority w:val="0"/>
    <w:pPr>
      <w:tabs>
        <w:tab w:val="left" w:pos="360"/>
        <w:tab w:val="left" w:pos="693"/>
      </w:tabs>
      <w:spacing w:beforeLines="200" w:afterLines="200" w:line="300" w:lineRule="auto"/>
      <w:ind w:left="-425" w:firstLine="425" w:firstLineChars="200"/>
      <w:outlineLvl w:val="0"/>
    </w:pPr>
    <w:rPr>
      <w:rFonts w:ascii="Arial" w:hAnsi="Arial" w:eastAsia="黑体"/>
      <w:sz w:val="36"/>
      <w:szCs w:val="24"/>
    </w:rPr>
  </w:style>
  <w:style w:type="paragraph" w:customStyle="1" w:styleId="1086">
    <w:name w:val="样式 目录 2 + 左侧:  1 字符 首行缩进:  2 字符6"/>
    <w:basedOn w:val="73"/>
    <w:qFormat/>
    <w:uiPriority w:val="0"/>
    <w:pPr>
      <w:tabs>
        <w:tab w:val="right" w:leader="dot" w:pos="8493"/>
      </w:tabs>
      <w:spacing w:before="240"/>
      <w:ind w:left="0" w:leftChars="0" w:firstLine="241" w:firstLineChars="100"/>
      <w:jc w:val="left"/>
    </w:pPr>
    <w:rPr>
      <w:rFonts w:ascii="宋体" w:cs="宋体"/>
      <w:b/>
      <w:bCs/>
      <w:lang w:val="en-GB"/>
    </w:rPr>
  </w:style>
  <w:style w:type="paragraph" w:customStyle="1" w:styleId="1087">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1088">
    <w:name w:val="Char19"/>
    <w:basedOn w:val="1"/>
    <w:qFormat/>
    <w:uiPriority w:val="0"/>
    <w:rPr>
      <w:rFonts w:ascii="Tahoma" w:hAnsi="Tahoma"/>
      <w:sz w:val="24"/>
    </w:rPr>
  </w:style>
  <w:style w:type="paragraph" w:customStyle="1" w:styleId="1089">
    <w:name w:val="样式 正文首行缩进 + 左侧:  2 字符 首行缩进:  4 字符"/>
    <w:basedOn w:val="1"/>
    <w:qFormat/>
    <w:uiPriority w:val="0"/>
    <w:pPr>
      <w:spacing w:before="40" w:after="120" w:line="360" w:lineRule="auto"/>
      <w:ind w:firstLine="420" w:firstLineChars="200"/>
      <w:jc w:val="left"/>
    </w:pPr>
    <w:rPr>
      <w:rFonts w:hint="eastAsia"/>
    </w:rPr>
  </w:style>
  <w:style w:type="paragraph" w:customStyle="1" w:styleId="1090">
    <w:name w:val="图表目录0"/>
    <w:basedOn w:val="1"/>
    <w:next w:val="1"/>
    <w:qFormat/>
    <w:uiPriority w:val="0"/>
    <w:pPr>
      <w:widowControl/>
      <w:tabs>
        <w:tab w:val="left" w:pos="1440"/>
        <w:tab w:val="left" w:pos="3240"/>
      </w:tabs>
      <w:adjustRightInd w:val="0"/>
      <w:snapToGrid w:val="0"/>
      <w:ind w:left="432" w:hanging="432" w:firstLineChars="200"/>
      <w:jc w:val="left"/>
      <w:textAlignment w:val="baseline"/>
    </w:pPr>
    <w:rPr>
      <w:rFonts w:ascii="Arial" w:hAnsi="Arial" w:eastAsia="仿宋_GB2312"/>
      <w:color w:val="FFFFFF"/>
      <w:kern w:val="0"/>
      <w:sz w:val="24"/>
    </w:rPr>
  </w:style>
  <w:style w:type="paragraph" w:customStyle="1" w:styleId="1091">
    <w:name w:val="标题1级"/>
    <w:basedOn w:val="289"/>
    <w:qFormat/>
    <w:uiPriority w:val="0"/>
    <w:pPr>
      <w:ind w:firstLine="0" w:firstLineChars="0"/>
      <w:outlineLvl w:val="0"/>
    </w:pPr>
    <w:rPr>
      <w:rFonts w:ascii="等线" w:hAnsi="等线" w:eastAsia="等线"/>
      <w:b/>
      <w:sz w:val="30"/>
      <w:szCs w:val="30"/>
    </w:rPr>
  </w:style>
  <w:style w:type="paragraph" w:customStyle="1" w:styleId="1092">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rPr>
  </w:style>
  <w:style w:type="paragraph" w:customStyle="1" w:styleId="1093">
    <w:name w:val="样式 标题9 +"/>
    <w:basedOn w:val="915"/>
    <w:qFormat/>
    <w:uiPriority w:val="0"/>
    <w:pPr>
      <w:numPr>
        <w:ilvl w:val="0"/>
        <w:numId w:val="0"/>
      </w:numPr>
      <w:ind w:left="3360" w:hanging="420"/>
    </w:pPr>
    <w:rPr>
      <w:rFonts w:ascii="Times New Roman" w:hAnsi="Times New Roman" w:eastAsia="黑体"/>
    </w:rPr>
  </w:style>
  <w:style w:type="paragraph" w:customStyle="1" w:styleId="1094">
    <w:name w:val="xl90"/>
    <w:basedOn w:val="1"/>
    <w:qFormat/>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jc w:val="center"/>
    </w:pPr>
    <w:rPr>
      <w:rFonts w:ascii="宋体" w:hAnsi="宋体" w:cs="宋体"/>
      <w:b/>
      <w:bCs/>
      <w:kern w:val="0"/>
      <w:sz w:val="20"/>
    </w:rPr>
  </w:style>
  <w:style w:type="paragraph" w:customStyle="1" w:styleId="1095">
    <w:name w:val="Plain Text1"/>
    <w:basedOn w:val="1"/>
    <w:qFormat/>
    <w:uiPriority w:val="0"/>
    <w:pPr>
      <w:adjustRightInd w:val="0"/>
      <w:spacing w:line="360" w:lineRule="auto"/>
      <w:ind w:firstLine="425"/>
      <w:textAlignment w:val="baseline"/>
    </w:pPr>
    <w:rPr>
      <w:rFonts w:ascii="宋" w:hAnsi="Arial" w:eastAsia="宋"/>
      <w:spacing w:val="20"/>
      <w:sz w:val="24"/>
    </w:rPr>
  </w:style>
  <w:style w:type="paragraph" w:customStyle="1" w:styleId="1096">
    <w:name w:val="f1"/>
    <w:basedOn w:val="1"/>
    <w:qFormat/>
    <w:uiPriority w:val="0"/>
    <w:pPr>
      <w:widowControl/>
      <w:spacing w:before="100" w:beforeAutospacing="1" w:after="100" w:afterAutospacing="1"/>
      <w:jc w:val="left"/>
    </w:pPr>
    <w:rPr>
      <w:color w:val="333333"/>
      <w:kern w:val="0"/>
      <w:sz w:val="18"/>
      <w:szCs w:val="18"/>
    </w:rPr>
  </w:style>
  <w:style w:type="paragraph" w:customStyle="1" w:styleId="1097">
    <w:name w:val="正文（居中）1"/>
    <w:basedOn w:val="1"/>
    <w:qFormat/>
    <w:uiPriority w:val="0"/>
    <w:pPr>
      <w:spacing w:beforeLines="50" w:afterLines="50" w:line="360" w:lineRule="auto"/>
      <w:jc w:val="center"/>
    </w:pPr>
    <w:rPr>
      <w:sz w:val="24"/>
      <w:szCs w:val="24"/>
    </w:rPr>
  </w:style>
  <w:style w:type="paragraph" w:customStyle="1" w:styleId="1098">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099">
    <w:name w:val="标题3-项目符号"/>
    <w:basedOn w:val="6"/>
    <w:qFormat/>
    <w:uiPriority w:val="0"/>
    <w:pPr>
      <w:numPr>
        <w:ilvl w:val="0"/>
        <w:numId w:val="41"/>
      </w:numPr>
      <w:spacing w:before="40" w:after="40" w:line="360" w:lineRule="auto"/>
    </w:pPr>
    <w:rPr>
      <w:rFonts w:ascii="仿宋_GB2312" w:hAnsi="黑体" w:eastAsia="黑体"/>
      <w:iCs/>
    </w:rPr>
  </w:style>
  <w:style w:type="paragraph" w:customStyle="1" w:styleId="1100">
    <w:name w:val="小标题2"/>
    <w:basedOn w:val="1"/>
    <w:next w:val="1"/>
    <w:qFormat/>
    <w:uiPriority w:val="0"/>
    <w:pPr>
      <w:spacing w:beforeLines="20" w:afterLines="20" w:line="400" w:lineRule="exact"/>
      <w:ind w:firstLine="200" w:firstLineChars="200"/>
    </w:pPr>
    <w:rPr>
      <w:rFonts w:eastAsia="楷体_GB2312"/>
      <w:sz w:val="24"/>
      <w:szCs w:val="24"/>
    </w:rPr>
  </w:style>
  <w:style w:type="paragraph" w:customStyle="1" w:styleId="1101">
    <w:name w:val="样式 目录 4 + 首行缩进:  5 字符"/>
    <w:basedOn w:val="60"/>
    <w:qFormat/>
    <w:uiPriority w:val="0"/>
    <w:pPr>
      <w:tabs>
        <w:tab w:val="right" w:leader="dot" w:pos="8494"/>
        <w:tab w:val="right" w:leader="dot" w:pos="8520"/>
      </w:tabs>
      <w:ind w:left="0" w:leftChars="0" w:firstLine="1470" w:firstLineChars="700"/>
      <w:jc w:val="left"/>
    </w:pPr>
    <w:rPr>
      <w:rFonts w:ascii="Times New Roman" w:hAnsi="Times New Roman" w:cs="Times New Roman"/>
      <w:sz w:val="21"/>
    </w:rPr>
  </w:style>
  <w:style w:type="paragraph" w:customStyle="1" w:styleId="1102">
    <w:name w:val="样式 样式 目录 4 + 首行缩进:  5 字符 + 首行缩进:  7 字符"/>
    <w:basedOn w:val="1101"/>
    <w:qFormat/>
    <w:uiPriority w:val="0"/>
    <w:pPr>
      <w:ind w:firstLine="1680" w:firstLineChars="800"/>
    </w:pPr>
    <w:rPr>
      <w:rFonts w:ascii="宋体" w:hAnsi="宋体"/>
      <w:szCs w:val="21"/>
    </w:rPr>
  </w:style>
  <w:style w:type="paragraph" w:customStyle="1" w:styleId="1103">
    <w:name w:val="CM146"/>
    <w:basedOn w:val="196"/>
    <w:next w:val="196"/>
    <w:qFormat/>
    <w:uiPriority w:val="0"/>
    <w:rPr>
      <w:rFonts w:ascii="黑体" w:hAnsi="Calibri" w:eastAsia="黑体" w:cs="Times New Roman"/>
      <w:color w:val="auto"/>
    </w:rPr>
  </w:style>
  <w:style w:type="paragraph" w:customStyle="1" w:styleId="1104">
    <w:name w:val="TOC 标题1"/>
    <w:basedOn w:val="3"/>
    <w:next w:val="1"/>
    <w:qFormat/>
    <w:uiPriority w:val="0"/>
    <w:pPr>
      <w:keepLines/>
      <w:widowControl/>
      <w:tabs>
        <w:tab w:val="left" w:pos="1468"/>
      </w:tabs>
      <w:spacing w:before="240" w:line="259" w:lineRule="auto"/>
      <w:ind w:left="1468" w:hanging="900"/>
      <w:jc w:val="left"/>
      <w:outlineLvl w:val="9"/>
    </w:pPr>
    <w:rPr>
      <w:rFonts w:ascii="等线 Light" w:hAnsi="等线 Light" w:eastAsia="等线 Light"/>
      <w:b w:val="0"/>
      <w:color w:val="2E74B5"/>
      <w:kern w:val="0"/>
      <w:szCs w:val="32"/>
    </w:rPr>
  </w:style>
  <w:style w:type="paragraph" w:customStyle="1" w:styleId="1105">
    <w:name w:val="正文11"/>
    <w:qFormat/>
    <w:uiPriority w:val="0"/>
    <w:pPr>
      <w:widowControl w:val="0"/>
      <w:numPr>
        <w:ilvl w:val="0"/>
        <w:numId w:val="42"/>
      </w:numPr>
      <w:adjustRightInd w:val="0"/>
      <w:snapToGrid w:val="0"/>
      <w:spacing w:line="360" w:lineRule="auto"/>
      <w:ind w:firstLine="480"/>
      <w:jc w:val="both"/>
      <w:textAlignment w:val="baseline"/>
    </w:pPr>
    <w:rPr>
      <w:rFonts w:ascii="黑体" w:hAnsi="黑体" w:eastAsia="黑体" w:cs="Times New Roman"/>
      <w:sz w:val="24"/>
      <w:lang w:val="en-US" w:eastAsia="zh-CN" w:bidi="ar-SA"/>
    </w:rPr>
  </w:style>
  <w:style w:type="paragraph" w:customStyle="1" w:styleId="1106">
    <w:name w:val="正文段"/>
    <w:basedOn w:val="1"/>
    <w:qFormat/>
    <w:uiPriority w:val="0"/>
    <w:pPr>
      <w:widowControl/>
      <w:adjustRightInd w:val="0"/>
      <w:spacing w:after="240" w:line="240" w:lineRule="atLeast"/>
      <w:ind w:firstLine="454"/>
      <w:textAlignment w:val="bottom"/>
    </w:pPr>
    <w:rPr>
      <w:rFonts w:ascii="宋体"/>
      <w:kern w:val="0"/>
      <w:sz w:val="24"/>
    </w:rPr>
  </w:style>
  <w:style w:type="paragraph" w:customStyle="1" w:styleId="1107">
    <w:name w:val="方框下的123标题4"/>
    <w:basedOn w:val="1"/>
    <w:qFormat/>
    <w:uiPriority w:val="0"/>
    <w:pPr>
      <w:tabs>
        <w:tab w:val="left" w:pos="840"/>
      </w:tabs>
      <w:spacing w:line="360" w:lineRule="auto"/>
      <w:ind w:left="840" w:hanging="420"/>
    </w:pPr>
    <w:rPr>
      <w:szCs w:val="24"/>
    </w:rPr>
  </w:style>
  <w:style w:type="paragraph" w:customStyle="1" w:styleId="1108">
    <w:name w:val="天地伟业正文样式"/>
    <w:basedOn w:val="1"/>
    <w:qFormat/>
    <w:uiPriority w:val="0"/>
    <w:pPr>
      <w:widowControl/>
      <w:spacing w:line="300" w:lineRule="auto"/>
      <w:ind w:left="743" w:leftChars="354"/>
      <w:jc w:val="left"/>
    </w:pPr>
    <w:rPr>
      <w:rFonts w:ascii="宋体"/>
      <w:color w:val="353535"/>
      <w:kern w:val="0"/>
      <w:szCs w:val="21"/>
    </w:rPr>
  </w:style>
  <w:style w:type="paragraph" w:customStyle="1" w:styleId="1109">
    <w:name w:val="样式 目录 4 + 左侧:  0 厘米"/>
    <w:basedOn w:val="60"/>
    <w:qFormat/>
    <w:uiPriority w:val="0"/>
    <w:pPr>
      <w:tabs>
        <w:tab w:val="left" w:pos="8160"/>
        <w:tab w:val="right" w:leader="dot" w:pos="8494"/>
        <w:tab w:val="right" w:leader="dot" w:pos="8640"/>
      </w:tabs>
      <w:ind w:left="0" w:leftChars="0" w:firstLine="420"/>
      <w:jc w:val="right"/>
    </w:pPr>
    <w:rPr>
      <w:rFonts w:ascii="Times New Roman" w:hAnsi="Times New Roman" w:cs="Times New Roman"/>
      <w:sz w:val="21"/>
      <w:lang w:val="en-GB"/>
    </w:rPr>
  </w:style>
  <w:style w:type="paragraph" w:customStyle="1" w:styleId="1110">
    <w:name w:val="xl9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楷体_GB2312" w:hAnsi="宋体" w:eastAsia="楷体_GB2312" w:cs="宋体"/>
      <w:color w:val="000000"/>
      <w:kern w:val="0"/>
      <w:sz w:val="24"/>
      <w:szCs w:val="24"/>
    </w:rPr>
  </w:style>
  <w:style w:type="paragraph" w:customStyle="1" w:styleId="1111">
    <w:name w:val="xl88"/>
    <w:basedOn w:val="1"/>
    <w:qFormat/>
    <w:uiPriority w:val="0"/>
    <w:pPr>
      <w:widowControl/>
      <w:pBdr>
        <w:top w:val="single" w:color="auto" w:sz="4" w:space="0"/>
        <w:bottom w:val="single" w:color="auto" w:sz="4" w:space="0"/>
        <w:right w:val="single" w:color="auto" w:sz="4" w:space="0"/>
      </w:pBdr>
      <w:shd w:val="clear" w:color="000000" w:fill="DBE5F1"/>
      <w:spacing w:before="100" w:beforeAutospacing="1" w:after="100" w:afterAutospacing="1"/>
      <w:jc w:val="center"/>
    </w:pPr>
    <w:rPr>
      <w:rFonts w:ascii="宋体" w:hAnsi="宋体" w:cs="宋体"/>
      <w:b/>
      <w:bCs/>
      <w:kern w:val="0"/>
      <w:sz w:val="20"/>
    </w:rPr>
  </w:style>
  <w:style w:type="paragraph" w:customStyle="1" w:styleId="1112">
    <w:name w:val="点序列"/>
    <w:basedOn w:val="1"/>
    <w:qFormat/>
    <w:uiPriority w:val="0"/>
    <w:pPr>
      <w:tabs>
        <w:tab w:val="left" w:pos="425"/>
      </w:tabs>
      <w:adjustRightInd w:val="0"/>
      <w:spacing w:before="60" w:after="60" w:line="300" w:lineRule="auto"/>
      <w:ind w:left="425" w:hanging="425" w:firstLineChars="200"/>
      <w:textAlignment w:val="baseline"/>
    </w:pPr>
    <w:rPr>
      <w:rFonts w:eastAsia="仿宋_GB2312"/>
      <w:kern w:val="0"/>
      <w:sz w:val="24"/>
    </w:rPr>
  </w:style>
  <w:style w:type="paragraph" w:customStyle="1" w:styleId="1113">
    <w:name w:val="分类"/>
    <w:basedOn w:val="1"/>
    <w:next w:val="1"/>
    <w:autoRedefine/>
    <w:qFormat/>
    <w:uiPriority w:val="0"/>
    <w:pPr>
      <w:widowControl/>
      <w:snapToGrid w:val="0"/>
      <w:spacing w:before="80" w:after="120" w:line="360" w:lineRule="auto"/>
      <w:ind w:left="567"/>
    </w:pPr>
    <w:rPr>
      <w:rFonts w:ascii="Arial" w:hAnsi="Arial" w:eastAsia="黑体"/>
      <w:kern w:val="0"/>
      <w:sz w:val="24"/>
    </w:rPr>
  </w:style>
  <w:style w:type="paragraph" w:customStyle="1" w:styleId="1114">
    <w:name w:val="xl13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color w:val="000000"/>
      <w:kern w:val="0"/>
      <w:sz w:val="20"/>
    </w:rPr>
  </w:style>
  <w:style w:type="paragraph" w:customStyle="1" w:styleId="1115">
    <w:name w:val="z标题1"/>
    <w:basedOn w:val="1"/>
    <w:qFormat/>
    <w:uiPriority w:val="0"/>
    <w:pPr>
      <w:tabs>
        <w:tab w:val="left" w:pos="960"/>
      </w:tabs>
      <w:spacing w:line="320" w:lineRule="exact"/>
      <w:ind w:left="960" w:hanging="420"/>
    </w:pPr>
    <w:rPr>
      <w:rFonts w:ascii="黑体" w:hAnsi="文鼎书宋繁" w:eastAsia="黑体"/>
      <w:b/>
    </w:rPr>
  </w:style>
  <w:style w:type="paragraph" w:customStyle="1" w:styleId="1116">
    <w:name w:val="中文正文"/>
    <w:qFormat/>
    <w:uiPriority w:val="0"/>
    <w:pPr>
      <w:adjustRightInd w:val="0"/>
      <w:spacing w:beforeLines="50" w:afterLines="50" w:line="360" w:lineRule="auto"/>
      <w:ind w:left="420" w:firstLine="630" w:firstLineChars="225"/>
      <w:jc w:val="both"/>
      <w:textAlignment w:val="baseline"/>
    </w:pPr>
    <w:rPr>
      <w:rFonts w:ascii="仿宋_GB2312" w:hAnsi="Times New Roman" w:eastAsia="仿宋_GB2312" w:cs="Times New Roman"/>
      <w:color w:val="000000"/>
      <w:kern w:val="2"/>
      <w:sz w:val="28"/>
      <w:lang w:val="en-US" w:eastAsia="zh-CN" w:bidi="ar-SA"/>
    </w:rPr>
  </w:style>
  <w:style w:type="paragraph" w:customStyle="1" w:styleId="1117">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118">
    <w:name w:val="xl136"/>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1119">
    <w:name w:val="Char Char1 Char Char Char Char Char Char1"/>
    <w:basedOn w:val="1"/>
    <w:qFormat/>
    <w:uiPriority w:val="0"/>
    <w:pPr>
      <w:widowControl/>
      <w:spacing w:after="160" w:line="240" w:lineRule="exact"/>
      <w:jc w:val="center"/>
    </w:pPr>
    <w:rPr>
      <w:rFonts w:ascii="黑体" w:hAnsi="Verdana" w:eastAsia="黑体" w:cs="宋体"/>
      <w:color w:val="000000"/>
      <w:kern w:val="0"/>
      <w:sz w:val="36"/>
      <w:szCs w:val="36"/>
    </w:rPr>
  </w:style>
  <w:style w:type="paragraph" w:customStyle="1" w:styleId="1120">
    <w:name w:val="附件1."/>
    <w:basedOn w:val="3"/>
    <w:qFormat/>
    <w:uiPriority w:val="0"/>
    <w:pPr>
      <w:keepNext w:val="0"/>
      <w:ind w:left="432" w:hanging="432"/>
    </w:pPr>
    <w:rPr>
      <w:bCs/>
      <w:kern w:val="44"/>
      <w:sz w:val="24"/>
      <w:szCs w:val="24"/>
    </w:rPr>
  </w:style>
  <w:style w:type="paragraph" w:customStyle="1" w:styleId="1121">
    <w:name w:val="目次、索引正文"/>
    <w:qFormat/>
    <w:uiPriority w:val="0"/>
    <w:pPr>
      <w:spacing w:line="320" w:lineRule="exact"/>
      <w:jc w:val="both"/>
    </w:pPr>
    <w:rPr>
      <w:rFonts w:hint="eastAsia" w:ascii="宋体" w:hAnsi="Times New Roman" w:eastAsia="宋体" w:cs="Times New Roman"/>
      <w:sz w:val="21"/>
      <w:lang w:val="en-US" w:eastAsia="zh-CN" w:bidi="ar-SA"/>
    </w:rPr>
  </w:style>
  <w:style w:type="paragraph" w:customStyle="1" w:styleId="1122">
    <w:name w:val="3_"/>
    <w:basedOn w:val="6"/>
    <w:next w:val="1"/>
    <w:qFormat/>
    <w:uiPriority w:val="0"/>
    <w:pPr>
      <w:tabs>
        <w:tab w:val="left" w:pos="360"/>
        <w:tab w:val="left" w:pos="425"/>
      </w:tabs>
      <w:adjustRightInd w:val="0"/>
      <w:spacing w:before="0" w:after="0" w:line="360" w:lineRule="auto"/>
    </w:pPr>
    <w:rPr>
      <w:rFonts w:ascii="仿宋_GB2312" w:hAnsi="黑体"/>
      <w:b w:val="0"/>
      <w:iCs/>
      <w:sz w:val="30"/>
      <w:szCs w:val="30"/>
    </w:rPr>
  </w:style>
  <w:style w:type="paragraph" w:customStyle="1" w:styleId="1123">
    <w:name w:val="技术报告表标题11"/>
    <w:basedOn w:val="1"/>
    <w:next w:val="1"/>
    <w:qFormat/>
    <w:uiPriority w:val="0"/>
    <w:pPr>
      <w:spacing w:beforeLines="50" w:afterLines="50" w:line="440" w:lineRule="exact"/>
      <w:ind w:right="238"/>
      <w:jc w:val="center"/>
    </w:pPr>
    <w:rPr>
      <w:rFonts w:ascii="楷体_GB2312" w:eastAsia="楷体_GB2312" w:cs="Arial"/>
      <w:b/>
      <w:bCs/>
      <w:sz w:val="28"/>
      <w:szCs w:val="24"/>
    </w:rPr>
  </w:style>
  <w:style w:type="paragraph" w:customStyle="1" w:styleId="1124">
    <w:name w:val="xl92"/>
    <w:basedOn w:val="1"/>
    <w:qFormat/>
    <w:uiPriority w:val="0"/>
    <w:pPr>
      <w:widowControl/>
      <w:pBdr>
        <w:top w:val="single" w:color="auto" w:sz="4" w:space="0"/>
        <w:left w:val="single" w:color="auto" w:sz="4" w:space="0"/>
        <w:right w:val="single" w:color="auto" w:sz="4" w:space="0"/>
      </w:pBdr>
      <w:shd w:val="clear" w:color="000000" w:fill="C0C0C0"/>
      <w:spacing w:before="100" w:beforeAutospacing="1" w:after="100" w:afterAutospacing="1"/>
      <w:jc w:val="center"/>
    </w:pPr>
    <w:rPr>
      <w:rFonts w:ascii="宋体" w:hAnsi="宋体" w:cs="宋体"/>
      <w:b/>
      <w:bCs/>
      <w:color w:val="000000"/>
      <w:kern w:val="0"/>
      <w:sz w:val="20"/>
    </w:rPr>
  </w:style>
  <w:style w:type="paragraph" w:customStyle="1" w:styleId="1125">
    <w:name w:val="z-Block"/>
    <w:basedOn w:val="1"/>
    <w:next w:val="1"/>
    <w:qFormat/>
    <w:uiPriority w:val="0"/>
    <w:pPr>
      <w:keepNext/>
      <w:keepLines/>
      <w:widowControl/>
      <w:topLinePunct/>
      <w:adjustRightInd w:val="0"/>
      <w:snapToGrid w:val="0"/>
      <w:spacing w:before="300" w:after="80" w:line="240" w:lineRule="atLeast"/>
      <w:jc w:val="left"/>
      <w:outlineLvl w:val="3"/>
    </w:pPr>
    <w:rPr>
      <w:rFonts w:ascii="Book Antiqua" w:hAnsi="Book Antiqua" w:eastAsia="黑体" w:cs="Book Antiqua"/>
      <w:bCs/>
      <w:kern w:val="0"/>
      <w:sz w:val="26"/>
      <w:szCs w:val="26"/>
    </w:rPr>
  </w:style>
  <w:style w:type="paragraph" w:customStyle="1" w:styleId="1126">
    <w:name w:val="xl4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1127">
    <w:name w:val="标题 3 + 行距: 多倍行距 1.73 字行"/>
    <w:basedOn w:val="6"/>
    <w:qFormat/>
    <w:uiPriority w:val="0"/>
    <w:pPr>
      <w:widowControl/>
      <w:tabs>
        <w:tab w:val="left" w:pos="791"/>
      </w:tabs>
      <w:spacing w:before="0" w:after="120" w:line="415" w:lineRule="auto"/>
      <w:ind w:left="791" w:hanging="431"/>
    </w:pPr>
    <w:rPr>
      <w:rFonts w:ascii="宋体" w:hAnsi="宋体" w:eastAsia="等线 Light" w:cs="宋体"/>
      <w:iCs/>
      <w:spacing w:val="30"/>
      <w:kern w:val="0"/>
      <w:sz w:val="28"/>
      <w:szCs w:val="28"/>
    </w:rPr>
  </w:style>
  <w:style w:type="paragraph" w:customStyle="1" w:styleId="1128">
    <w:name w:val="Char2 Char Char Char Char Char Char"/>
    <w:basedOn w:val="1"/>
    <w:qFormat/>
    <w:uiPriority w:val="0"/>
    <w:pPr>
      <w:widowControl/>
      <w:spacing w:after="160" w:line="240" w:lineRule="exact"/>
      <w:jc w:val="left"/>
    </w:pPr>
    <w:rPr>
      <w:rFonts w:ascii="宋体" w:hAnsi="宋体" w:cs="宋体"/>
      <w:kern w:val="0"/>
      <w:sz w:val="24"/>
      <w:szCs w:val="24"/>
    </w:rPr>
  </w:style>
  <w:style w:type="paragraph" w:customStyle="1" w:styleId="1129">
    <w:name w:val="标准小四 Char"/>
    <w:basedOn w:val="1"/>
    <w:qFormat/>
    <w:uiPriority w:val="0"/>
    <w:pPr>
      <w:spacing w:line="360" w:lineRule="auto"/>
    </w:pPr>
    <w:rPr>
      <w:rFonts w:ascii="Arial" w:hAnsi="Arial"/>
      <w:sz w:val="24"/>
    </w:rPr>
  </w:style>
  <w:style w:type="paragraph" w:customStyle="1" w:styleId="1130">
    <w:name w:val="中文正文1"/>
    <w:basedOn w:val="1"/>
    <w:qFormat/>
    <w:uiPriority w:val="0"/>
    <w:pPr>
      <w:spacing w:beforeLines="50" w:afterLines="50" w:line="360" w:lineRule="auto"/>
      <w:ind w:firstLine="425"/>
    </w:pPr>
  </w:style>
  <w:style w:type="paragraph" w:customStyle="1" w:styleId="11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rPr>
  </w:style>
  <w:style w:type="paragraph" w:customStyle="1" w:styleId="1132">
    <w:name w:val="图表文字"/>
    <w:basedOn w:val="1"/>
    <w:qFormat/>
    <w:uiPriority w:val="0"/>
    <w:rPr>
      <w:rFonts w:hint="eastAsia"/>
    </w:rPr>
  </w:style>
  <w:style w:type="paragraph" w:customStyle="1" w:styleId="1133">
    <w:name w:val="样式 样式 标题 3 + 段前: 5 磅 段后: 5 磅 + 黑体"/>
    <w:basedOn w:val="1008"/>
    <w:qFormat/>
    <w:uiPriority w:val="0"/>
    <w:rPr>
      <w:rFonts w:ascii="华文细黑" w:hAnsi="华文细黑" w:eastAsia="宋体" w:cs="Times New Roman"/>
    </w:rPr>
  </w:style>
  <w:style w:type="paragraph" w:customStyle="1" w:styleId="1134">
    <w:name w:val="Char Char2 Char1"/>
    <w:basedOn w:val="1"/>
    <w:qFormat/>
    <w:uiPriority w:val="0"/>
    <w:pPr>
      <w:keepNext/>
      <w:keepLines/>
      <w:pageBreakBefore/>
      <w:tabs>
        <w:tab w:val="left" w:pos="845"/>
      </w:tabs>
      <w:ind w:left="845" w:hanging="420"/>
    </w:pPr>
    <w:rPr>
      <w:rFonts w:ascii="Tahoma" w:hAnsi="Tahoma"/>
      <w:sz w:val="24"/>
    </w:rPr>
  </w:style>
  <w:style w:type="paragraph" w:customStyle="1" w:styleId="1135">
    <w:name w:val="Char Char Char Char Char Char Char Char Char Char Char Char Char Char Char Char Char Char Char Char Char Char"/>
    <w:basedOn w:val="1"/>
    <w:qFormat/>
    <w:uiPriority w:val="0"/>
    <w:pPr>
      <w:widowControl/>
      <w:spacing w:line="400" w:lineRule="exact"/>
    </w:pPr>
    <w:rPr>
      <w:rFonts w:ascii="宋体" w:hAnsi="宋体"/>
      <w:sz w:val="28"/>
      <w:szCs w:val="28"/>
    </w:rPr>
  </w:style>
  <w:style w:type="paragraph" w:customStyle="1" w:styleId="1136">
    <w:name w:val="MM Topic 3"/>
    <w:basedOn w:val="6"/>
    <w:qFormat/>
    <w:uiPriority w:val="0"/>
    <w:pPr>
      <w:widowControl/>
      <w:numPr>
        <w:ilvl w:val="2"/>
        <w:numId w:val="43"/>
      </w:numPr>
      <w:tabs>
        <w:tab w:val="left" w:pos="425"/>
        <w:tab w:val="clear" w:pos="1418"/>
      </w:tabs>
      <w:spacing w:before="0"/>
      <w:ind w:left="1740" w:hanging="420"/>
    </w:pPr>
    <w:rPr>
      <w:rFonts w:ascii="等线 Light" w:hAnsi="等线 Light" w:eastAsia="等线 Light" w:cs="MS Gothic"/>
      <w:iCs/>
      <w:kern w:val="44"/>
      <w:sz w:val="28"/>
    </w:rPr>
  </w:style>
  <w:style w:type="paragraph" w:customStyle="1" w:styleId="1137">
    <w:name w:val="itemstepintab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38">
    <w:name w:val="项目2"/>
    <w:qFormat/>
    <w:uiPriority w:val="0"/>
    <w:pPr>
      <w:tabs>
        <w:tab w:val="left" w:pos="635"/>
        <w:tab w:val="left" w:pos="900"/>
      </w:tabs>
      <w:spacing w:before="120" w:after="120" w:line="360" w:lineRule="auto"/>
      <w:ind w:left="635" w:hanging="425"/>
    </w:pPr>
    <w:rPr>
      <w:rFonts w:hint="eastAsia" w:ascii="Times New Roman" w:hAnsi="Times New Roman" w:eastAsia="仿宋_GB2312" w:cs="Times New Roman"/>
      <w:sz w:val="24"/>
      <w:lang w:val="en-US" w:eastAsia="zh-CN" w:bidi="ar-SA"/>
    </w:rPr>
  </w:style>
  <w:style w:type="paragraph" w:customStyle="1" w:styleId="1139">
    <w:name w:val="样式 蓝色小标题"/>
    <w:next w:val="1"/>
    <w:qFormat/>
    <w:uiPriority w:val="0"/>
    <w:pPr>
      <w:ind w:firstLine="482"/>
    </w:pPr>
    <w:rPr>
      <w:rFonts w:ascii="宋体" w:hAnsi="宋体" w:eastAsia="宋体" w:cs="宋体"/>
      <w:b/>
      <w:bCs/>
      <w:i/>
      <w:color w:val="000080"/>
      <w:kern w:val="2"/>
      <w:sz w:val="24"/>
      <w:szCs w:val="24"/>
      <w:u w:val="single" w:color="000080"/>
      <w:lang w:val="en-US" w:eastAsia="zh-CN" w:bidi="ar-SA"/>
    </w:rPr>
  </w:style>
  <w:style w:type="paragraph" w:customStyle="1" w:styleId="1140">
    <w:name w:val="Char5 Char Char1 Char21"/>
    <w:basedOn w:val="1"/>
    <w:qFormat/>
    <w:uiPriority w:val="0"/>
    <w:rPr>
      <w:rFonts w:ascii="Tahoma" w:hAnsi="Tahoma"/>
      <w:sz w:val="24"/>
    </w:rPr>
  </w:style>
  <w:style w:type="paragraph" w:customStyle="1" w:styleId="1141">
    <w:name w:val="Char3"/>
    <w:basedOn w:val="1"/>
    <w:qFormat/>
    <w:uiPriority w:val="0"/>
    <w:pPr>
      <w:spacing w:line="360" w:lineRule="auto"/>
      <w:ind w:firstLine="480" w:firstLineChars="200"/>
    </w:pPr>
    <w:rPr>
      <w:rFonts w:ascii="Tahoma" w:hAnsi="Tahoma"/>
      <w:sz w:val="24"/>
    </w:rPr>
  </w:style>
  <w:style w:type="paragraph" w:customStyle="1" w:styleId="1142">
    <w:name w:val="font13"/>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143">
    <w:name w:val="插图注释"/>
    <w:basedOn w:val="1"/>
    <w:qFormat/>
    <w:uiPriority w:val="0"/>
    <w:pPr>
      <w:autoSpaceDE w:val="0"/>
      <w:autoSpaceDN w:val="0"/>
      <w:jc w:val="center"/>
    </w:pPr>
    <w:rPr>
      <w:rFonts w:hint="eastAsia"/>
      <w:kern w:val="0"/>
      <w:sz w:val="17"/>
    </w:rPr>
  </w:style>
  <w:style w:type="paragraph" w:customStyle="1" w:styleId="1144">
    <w:name w:val="样式 标题 4HS-标题 4sect 1.2.3.4H4 + 段前: 0.5 行1"/>
    <w:basedOn w:val="7"/>
    <w:next w:val="5"/>
    <w:qFormat/>
    <w:uiPriority w:val="0"/>
    <w:pPr>
      <w:widowControl/>
      <w:spacing w:before="0" w:after="0" w:line="360" w:lineRule="auto"/>
      <w:jc w:val="left"/>
    </w:pPr>
    <w:rPr>
      <w:rFonts w:ascii="宋体" w:hAnsi="宋体" w:eastAsia="宋体" w:cs="宋体"/>
      <w:b w:val="0"/>
      <w:bCs w:val="0"/>
      <w:color w:val="008000"/>
      <w:spacing w:val="6"/>
      <w:kern w:val="0"/>
      <w:sz w:val="24"/>
    </w:rPr>
  </w:style>
  <w:style w:type="paragraph" w:customStyle="1" w:styleId="1145">
    <w:name w:val="Char Char Char Char Char Char2"/>
    <w:basedOn w:val="1"/>
    <w:qFormat/>
    <w:uiPriority w:val="0"/>
    <w:pPr>
      <w:ind w:firstLine="200" w:firstLineChars="200"/>
    </w:pPr>
    <w:rPr>
      <w:rFonts w:ascii="Tahoma" w:hAnsi="Tahoma"/>
      <w:sz w:val="24"/>
    </w:rPr>
  </w:style>
  <w:style w:type="paragraph" w:customStyle="1" w:styleId="1146">
    <w:name w:val="项目符号2号"/>
    <w:qFormat/>
    <w:uiPriority w:val="0"/>
    <w:pPr>
      <w:tabs>
        <w:tab w:val="left" w:pos="0"/>
      </w:tabs>
      <w:spacing w:line="360" w:lineRule="auto"/>
    </w:pPr>
    <w:rPr>
      <w:rFonts w:ascii="宋体" w:hAnsi="宋体" w:eastAsia="宋体" w:cs="宋体"/>
      <w:kern w:val="2"/>
      <w:sz w:val="24"/>
      <w:lang w:val="en-US" w:eastAsia="zh-CN" w:bidi="ar-SA"/>
    </w:rPr>
  </w:style>
  <w:style w:type="paragraph" w:customStyle="1" w:styleId="1147">
    <w:name w:val="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148">
    <w:name w:val="默认段落字体 Para Char Char Char Char"/>
    <w:basedOn w:val="1"/>
    <w:qFormat/>
    <w:uiPriority w:val="0"/>
    <w:rPr>
      <w:szCs w:val="21"/>
    </w:rPr>
  </w:style>
  <w:style w:type="paragraph" w:customStyle="1" w:styleId="1149">
    <w:name w:val="图标题"/>
    <w:basedOn w:val="1"/>
    <w:next w:val="1"/>
    <w:qFormat/>
    <w:uiPriority w:val="0"/>
    <w:pPr>
      <w:numPr>
        <w:ilvl w:val="0"/>
        <w:numId w:val="44"/>
      </w:numPr>
      <w:tabs>
        <w:tab w:val="clear" w:pos="420"/>
      </w:tabs>
      <w:spacing w:beforeLines="50" w:afterLines="50" w:line="360" w:lineRule="atLeast"/>
      <w:ind w:left="0" w:firstLine="0"/>
      <w:jc w:val="center"/>
    </w:pPr>
    <w:rPr>
      <w:bCs/>
      <w:sz w:val="24"/>
      <w:szCs w:val="24"/>
    </w:rPr>
  </w:style>
  <w:style w:type="paragraph" w:customStyle="1" w:styleId="1150">
    <w:name w:val="加粗显示"/>
    <w:basedOn w:val="1"/>
    <w:qFormat/>
    <w:uiPriority w:val="0"/>
    <w:pPr>
      <w:adjustRightInd w:val="0"/>
      <w:spacing w:before="120" w:line="360" w:lineRule="auto"/>
      <w:ind w:firstLine="505"/>
      <w:textAlignment w:val="baseline"/>
    </w:pPr>
    <w:rPr>
      <w:rFonts w:ascii="Arial" w:hAnsi="Arial"/>
      <w:b/>
      <w:spacing w:val="20"/>
      <w:kern w:val="0"/>
      <w:sz w:val="24"/>
    </w:rPr>
  </w:style>
  <w:style w:type="paragraph" w:customStyle="1" w:styleId="1151">
    <w:name w:val="arial122"/>
    <w:basedOn w:val="1"/>
    <w:qFormat/>
    <w:uiPriority w:val="0"/>
    <w:pPr>
      <w:widowControl/>
      <w:spacing w:line="300" w:lineRule="atLeast"/>
      <w:jc w:val="left"/>
    </w:pPr>
    <w:rPr>
      <w:rFonts w:ascii="宋体" w:hAnsi="宋体" w:cs="宋体"/>
      <w:kern w:val="0"/>
      <w:sz w:val="18"/>
      <w:szCs w:val="18"/>
    </w:rPr>
  </w:style>
  <w:style w:type="paragraph" w:customStyle="1" w:styleId="1152">
    <w:name w:val="Body Text Indent 21"/>
    <w:basedOn w:val="1"/>
    <w:qFormat/>
    <w:uiPriority w:val="0"/>
    <w:pPr>
      <w:autoSpaceDE w:val="0"/>
      <w:autoSpaceDN w:val="0"/>
      <w:adjustRightInd w:val="0"/>
      <w:ind w:firstLine="561"/>
      <w:textAlignment w:val="baseline"/>
    </w:pPr>
    <w:rPr>
      <w:rFonts w:ascii="仿宋_GB23" w:hAnsi="Arial" w:eastAsia="仿宋_GB23"/>
      <w:kern w:val="0"/>
      <w:sz w:val="28"/>
    </w:rPr>
  </w:style>
  <w:style w:type="paragraph" w:customStyle="1" w:styleId="1153">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rPr>
  </w:style>
  <w:style w:type="paragraph" w:customStyle="1" w:styleId="1154">
    <w:name w:val="技术报告节标题1"/>
    <w:basedOn w:val="1"/>
    <w:next w:val="907"/>
    <w:qFormat/>
    <w:uiPriority w:val="0"/>
    <w:pPr>
      <w:spacing w:beforeLines="100" w:afterLines="50" w:line="440" w:lineRule="exact"/>
      <w:outlineLvl w:val="1"/>
    </w:pPr>
    <w:rPr>
      <w:rFonts w:ascii="Arial" w:hAnsi="Arial" w:eastAsia="黑体" w:cs="Arial"/>
      <w:sz w:val="30"/>
      <w:szCs w:val="24"/>
    </w:rPr>
  </w:style>
  <w:style w:type="paragraph" w:customStyle="1" w:styleId="1155">
    <w:name w:val="正文段 Char"/>
    <w:basedOn w:val="1"/>
    <w:qFormat/>
    <w:uiPriority w:val="0"/>
    <w:pPr>
      <w:widowControl/>
      <w:tabs>
        <w:tab w:val="left" w:pos="1620"/>
      </w:tabs>
      <w:adjustRightInd w:val="0"/>
      <w:snapToGrid w:val="0"/>
      <w:spacing w:after="120" w:line="360" w:lineRule="auto"/>
      <w:jc w:val="left"/>
      <w:textAlignment w:val="bottom"/>
    </w:pPr>
    <w:rPr>
      <w:rFonts w:ascii="仿宋_GB2312" w:hAnsi="宋体" w:eastAsia="仿宋_GB2312" w:cs="宋体"/>
      <w:iCs/>
      <w:kern w:val="0"/>
      <w:sz w:val="24"/>
    </w:rPr>
  </w:style>
  <w:style w:type="paragraph" w:customStyle="1" w:styleId="1156">
    <w:name w:val="文档结构图1"/>
    <w:basedOn w:val="1"/>
    <w:qFormat/>
    <w:uiPriority w:val="0"/>
    <w:pPr>
      <w:shd w:val="clear" w:color="auto" w:fill="000080"/>
      <w:adjustRightInd w:val="0"/>
      <w:textAlignment w:val="baseline"/>
    </w:pPr>
  </w:style>
  <w:style w:type="paragraph" w:customStyle="1" w:styleId="1157">
    <w:name w:val="附件(1)"/>
    <w:basedOn w:val="1"/>
    <w:qFormat/>
    <w:uiPriority w:val="0"/>
    <w:pPr>
      <w:tabs>
        <w:tab w:val="left" w:pos="840"/>
      </w:tabs>
      <w:spacing w:line="360" w:lineRule="auto"/>
      <w:ind w:left="840" w:hanging="420" w:firstLineChars="200"/>
    </w:pPr>
    <w:rPr>
      <w:rFonts w:eastAsia="仿宋_GB2312"/>
      <w:sz w:val="24"/>
      <w:szCs w:val="24"/>
    </w:rPr>
  </w:style>
  <w:style w:type="paragraph" w:customStyle="1" w:styleId="1158">
    <w:name w:val="项目介绍"/>
    <w:basedOn w:val="1"/>
    <w:qFormat/>
    <w:uiPriority w:val="0"/>
    <w:pPr>
      <w:widowControl/>
      <w:tabs>
        <w:tab w:val="left" w:pos="5000"/>
        <w:tab w:val="left" w:pos="5600"/>
      </w:tabs>
      <w:jc w:val="left"/>
    </w:pPr>
    <w:rPr>
      <w:rFonts w:eastAsia="楷体_GB2312"/>
      <w:kern w:val="21"/>
      <w:sz w:val="24"/>
      <w:szCs w:val="24"/>
    </w:rPr>
  </w:style>
  <w:style w:type="paragraph" w:customStyle="1" w:styleId="1159">
    <w:name w:val="ww2"/>
    <w:basedOn w:val="1"/>
    <w:qFormat/>
    <w:uiPriority w:val="0"/>
    <w:pPr>
      <w:widowControl/>
      <w:spacing w:before="100" w:beforeAutospacing="1" w:after="100" w:afterAutospacing="1"/>
      <w:jc w:val="center"/>
    </w:pPr>
    <w:rPr>
      <w:rFonts w:eastAsia="Arial Unicode MS" w:cs="Arial Unicode MS"/>
      <w:b/>
      <w:bCs/>
      <w:color w:val="000000"/>
      <w:kern w:val="0"/>
      <w:sz w:val="20"/>
    </w:rPr>
  </w:style>
  <w:style w:type="paragraph" w:customStyle="1" w:styleId="1160">
    <w:name w:val="è±ê???±?"/>
    <w:basedOn w:val="1"/>
    <w:qFormat/>
    <w:uiPriority w:val="0"/>
    <w:pPr>
      <w:widowControl/>
      <w:overflowPunct w:val="0"/>
      <w:autoSpaceDE w:val="0"/>
      <w:autoSpaceDN w:val="0"/>
      <w:spacing w:line="360" w:lineRule="auto"/>
      <w:textAlignment w:val="baseline"/>
    </w:pPr>
    <w:rPr>
      <w:rFonts w:hint="eastAsia"/>
      <w:kern w:val="0"/>
    </w:rPr>
  </w:style>
  <w:style w:type="paragraph" w:customStyle="1" w:styleId="1161">
    <w:name w:val="xl12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1162">
    <w:name w:val="Amen"/>
    <w:basedOn w:val="83"/>
    <w:qFormat/>
    <w:uiPriority w:val="0"/>
    <w:pPr>
      <w:spacing w:before="0" w:after="0"/>
      <w:outlineLvl w:val="9"/>
    </w:pPr>
    <w:rPr>
      <w:rFonts w:ascii="黑体" w:hAnsi="宋体" w:eastAsia="黑体" w:cs="Arial"/>
      <w:caps/>
      <w:spacing w:val="20"/>
      <w:sz w:val="52"/>
      <w:szCs w:val="24"/>
    </w:rPr>
  </w:style>
  <w:style w:type="paragraph" w:customStyle="1" w:styleId="1163">
    <w:name w:val="列出段落1"/>
    <w:basedOn w:val="1"/>
    <w:qFormat/>
    <w:uiPriority w:val="0"/>
    <w:pPr>
      <w:ind w:firstLine="420" w:firstLineChars="200"/>
    </w:pPr>
    <w:rPr>
      <w:rFonts w:ascii="Calibri" w:hAnsi="Calibri"/>
      <w:szCs w:val="22"/>
    </w:rPr>
  </w:style>
  <w:style w:type="paragraph" w:customStyle="1" w:styleId="1164">
    <w:name w:val="TableHead"/>
    <w:qFormat/>
    <w:uiPriority w:val="0"/>
    <w:pPr>
      <w:shd w:val="clear" w:color="auto" w:fill="09357A"/>
      <w:jc w:val="center"/>
    </w:pPr>
    <w:rPr>
      <w:rFonts w:ascii="Century Gothic" w:hAnsi="Century Gothic" w:eastAsia="宋体" w:cs="Times New Roman"/>
      <w:b/>
      <w:color w:val="FFFFFF"/>
      <w:sz w:val="22"/>
      <w:szCs w:val="22"/>
      <w:lang w:val="en-US" w:eastAsia="zh-CN" w:bidi="ar-SA"/>
    </w:rPr>
  </w:style>
  <w:style w:type="paragraph" w:customStyle="1" w:styleId="1165">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166">
    <w:name w:val="1样式1"/>
    <w:basedOn w:val="1"/>
    <w:qFormat/>
    <w:uiPriority w:val="0"/>
    <w:pPr>
      <w:widowControl/>
      <w:tabs>
        <w:tab w:val="left" w:pos="480"/>
      </w:tabs>
      <w:adjustRightInd w:val="0"/>
      <w:snapToGrid w:val="0"/>
      <w:spacing w:line="288" w:lineRule="auto"/>
      <w:ind w:left="480"/>
      <w:jc w:val="left"/>
    </w:pPr>
    <w:rPr>
      <w:szCs w:val="21"/>
    </w:rPr>
  </w:style>
  <w:style w:type="paragraph" w:customStyle="1" w:styleId="1167">
    <w:name w:val="Char Char Char Char Char Char Char Char Char Char"/>
    <w:basedOn w:val="1"/>
    <w:qFormat/>
    <w:uiPriority w:val="0"/>
    <w:pPr>
      <w:widowControl/>
      <w:spacing w:after="160" w:line="240" w:lineRule="exact"/>
      <w:jc w:val="left"/>
    </w:pPr>
    <w:rPr>
      <w:rFonts w:ascii="Arial" w:hAnsi="Arial" w:cs="宋体"/>
      <w:color w:val="000000"/>
      <w:kern w:val="0"/>
      <w:sz w:val="22"/>
      <w:szCs w:val="22"/>
      <w:lang w:eastAsia="en-US"/>
    </w:rPr>
  </w:style>
  <w:style w:type="paragraph" w:customStyle="1" w:styleId="1168">
    <w:name w:val="样式 目录 2 + 首行缩进:  2 字符2"/>
    <w:basedOn w:val="73"/>
    <w:qFormat/>
    <w:uiPriority w:val="0"/>
    <w:pPr>
      <w:tabs>
        <w:tab w:val="right" w:leader="dot" w:pos="8493"/>
      </w:tabs>
      <w:spacing w:before="240"/>
      <w:ind w:left="100" w:leftChars="100"/>
      <w:jc w:val="left"/>
    </w:pPr>
    <w:rPr>
      <w:rFonts w:ascii="宋体" w:cs="宋体"/>
      <w:b/>
      <w:smallCaps/>
      <w:szCs w:val="24"/>
      <w:lang w:val="en-GB"/>
    </w:rPr>
  </w:style>
  <w:style w:type="paragraph" w:customStyle="1" w:styleId="1169">
    <w:name w:val="pa-2"/>
    <w:basedOn w:val="1"/>
    <w:qFormat/>
    <w:uiPriority w:val="0"/>
    <w:pPr>
      <w:widowControl/>
      <w:spacing w:line="360" w:lineRule="atLeast"/>
    </w:pPr>
    <w:rPr>
      <w:rFonts w:ascii="宋体" w:hAnsi="宋体" w:cs="宋体"/>
      <w:kern w:val="0"/>
      <w:sz w:val="24"/>
      <w:szCs w:val="24"/>
    </w:rPr>
  </w:style>
  <w:style w:type="paragraph" w:customStyle="1" w:styleId="1170">
    <w:name w:val="正文表标题"/>
    <w:next w:val="557"/>
    <w:qFormat/>
    <w:uiPriority w:val="0"/>
    <w:pPr>
      <w:tabs>
        <w:tab w:val="left" w:pos="480"/>
      </w:tabs>
      <w:ind w:left="480"/>
      <w:jc w:val="center"/>
    </w:pPr>
    <w:rPr>
      <w:rFonts w:ascii="黑体" w:hAnsi="Times New Roman" w:eastAsia="黑体" w:cs="Times New Roman"/>
      <w:sz w:val="21"/>
      <w:lang w:val="en-US" w:eastAsia="zh-CN" w:bidi="ar-SA"/>
    </w:rPr>
  </w:style>
  <w:style w:type="paragraph" w:customStyle="1" w:styleId="1171">
    <w:name w:val="尾注文本1"/>
    <w:basedOn w:val="1"/>
    <w:qFormat/>
    <w:uiPriority w:val="0"/>
    <w:pPr>
      <w:snapToGrid w:val="0"/>
      <w:jc w:val="left"/>
    </w:pPr>
  </w:style>
  <w:style w:type="paragraph" w:customStyle="1" w:styleId="1172">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173">
    <w:name w:val="标准书眉_偶数页"/>
    <w:basedOn w:val="1172"/>
    <w:next w:val="1"/>
    <w:qFormat/>
    <w:uiPriority w:val="0"/>
    <w:pPr>
      <w:jc w:val="left"/>
    </w:pPr>
  </w:style>
  <w:style w:type="paragraph" w:customStyle="1" w:styleId="1174">
    <w:name w:val="样式6"/>
    <w:basedOn w:val="1"/>
    <w:qFormat/>
    <w:uiPriority w:val="0"/>
    <w:pPr>
      <w:widowControl/>
      <w:spacing w:line="360" w:lineRule="auto"/>
      <w:ind w:firstLine="480" w:firstLineChars="200"/>
      <w:jc w:val="left"/>
    </w:pPr>
    <w:rPr>
      <w:rFonts w:ascii="宋体" w:hAnsi="宋体" w:cs="宋体"/>
      <w:b/>
      <w:bCs/>
      <w:kern w:val="0"/>
      <w:sz w:val="24"/>
    </w:rPr>
  </w:style>
  <w:style w:type="paragraph" w:customStyle="1" w:styleId="1175">
    <w:name w:val="Char7"/>
    <w:basedOn w:val="1"/>
    <w:qFormat/>
    <w:uiPriority w:val="0"/>
    <w:rPr>
      <w:rFonts w:ascii="Tahoma" w:hAnsi="Tahoma"/>
      <w:sz w:val="24"/>
    </w:rPr>
  </w:style>
  <w:style w:type="paragraph" w:customStyle="1" w:styleId="1176">
    <w:name w:val="表头文字2"/>
    <w:basedOn w:val="1"/>
    <w:qFormat/>
    <w:uiPriority w:val="0"/>
    <w:pPr>
      <w:adjustRightInd w:val="0"/>
      <w:snapToGrid w:val="0"/>
      <w:spacing w:line="312" w:lineRule="auto"/>
      <w:jc w:val="center"/>
    </w:pPr>
    <w:rPr>
      <w:sz w:val="24"/>
    </w:rPr>
  </w:style>
  <w:style w:type="paragraph" w:customStyle="1" w:styleId="1177">
    <w:name w:val="样式 标题 3HS-标题3HS-标题 3h33rd levelH3sect1.2.3l3CT3leon h3...1"/>
    <w:basedOn w:val="6"/>
    <w:next w:val="5"/>
    <w:qFormat/>
    <w:uiPriority w:val="0"/>
    <w:pPr>
      <w:widowControl/>
      <w:spacing w:before="0" w:after="0" w:line="360" w:lineRule="auto"/>
      <w:jc w:val="left"/>
    </w:pPr>
    <w:rPr>
      <w:rFonts w:ascii="等线 Light" w:hAnsi="等线 Light" w:eastAsia="等线 Light" w:cs="宋体"/>
      <w:iCs/>
      <w:kern w:val="44"/>
      <w:sz w:val="28"/>
      <w:szCs w:val="20"/>
    </w:rPr>
  </w:style>
  <w:style w:type="paragraph" w:customStyle="1" w:styleId="117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rPr>
  </w:style>
  <w:style w:type="paragraph" w:customStyle="1" w:styleId="1179">
    <w:name w:val="技术报告章标题1"/>
    <w:basedOn w:val="1"/>
    <w:next w:val="913"/>
    <w:qFormat/>
    <w:uiPriority w:val="0"/>
    <w:pPr>
      <w:pageBreakBefore/>
      <w:spacing w:beforeLines="200" w:afterLines="50" w:line="440" w:lineRule="exact"/>
      <w:jc w:val="center"/>
      <w:outlineLvl w:val="0"/>
    </w:pPr>
    <w:rPr>
      <w:rFonts w:ascii="Arial" w:hAnsi="Arial" w:eastAsia="黑体"/>
      <w:sz w:val="36"/>
      <w:szCs w:val="24"/>
    </w:rPr>
  </w:style>
  <w:style w:type="paragraph" w:customStyle="1" w:styleId="118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181">
    <w:name w:val="Char5 Char Char1 Char1"/>
    <w:basedOn w:val="1"/>
    <w:qFormat/>
    <w:uiPriority w:val="0"/>
    <w:pPr>
      <w:spacing w:line="360" w:lineRule="auto"/>
      <w:ind w:firstLine="480" w:firstLineChars="200"/>
    </w:pPr>
    <w:rPr>
      <w:rFonts w:ascii="Tahoma" w:hAnsi="Tahoma"/>
      <w:sz w:val="24"/>
    </w:rPr>
  </w:style>
  <w:style w:type="paragraph" w:customStyle="1" w:styleId="1182">
    <w:name w:val="textstyle1"/>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18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184">
    <w:name w:val="项目符号 2"/>
    <w:basedOn w:val="1"/>
    <w:qFormat/>
    <w:uiPriority w:val="0"/>
    <w:pPr>
      <w:autoSpaceDE w:val="0"/>
      <w:autoSpaceDN w:val="0"/>
      <w:spacing w:line="360" w:lineRule="auto"/>
      <w:ind w:left="360" w:hanging="360" w:firstLineChars="200"/>
      <w:jc w:val="left"/>
    </w:pPr>
    <w:rPr>
      <w:kern w:val="0"/>
      <w:sz w:val="24"/>
      <w:szCs w:val="24"/>
    </w:rPr>
  </w:style>
  <w:style w:type="paragraph" w:customStyle="1" w:styleId="1185">
    <w:name w:val="示例"/>
    <w:next w:val="557"/>
    <w:qFormat/>
    <w:uiPriority w:val="0"/>
    <w:pPr>
      <w:tabs>
        <w:tab w:val="left" w:pos="816"/>
        <w:tab w:val="left" w:pos="900"/>
      </w:tabs>
      <w:ind w:left="900" w:firstLine="419" w:firstLineChars="233"/>
      <w:jc w:val="both"/>
    </w:pPr>
    <w:rPr>
      <w:rFonts w:ascii="宋体" w:hAnsi="Times New Roman" w:eastAsia="宋体" w:cs="Times New Roman"/>
      <w:sz w:val="18"/>
      <w:lang w:val="en-US" w:eastAsia="zh-CN" w:bidi="ar-SA"/>
    </w:rPr>
  </w:style>
  <w:style w:type="paragraph" w:customStyle="1" w:styleId="118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1187">
    <w:name w:val="wenzi3"/>
    <w:basedOn w:val="1"/>
    <w:qFormat/>
    <w:uiPriority w:val="0"/>
    <w:pPr>
      <w:widowControl/>
      <w:spacing w:before="100" w:beforeAutospacing="1" w:after="100" w:afterAutospacing="1"/>
      <w:jc w:val="center"/>
    </w:pPr>
    <w:rPr>
      <w:rFonts w:ascii="_GB2312" w:hAnsi="_GB2312" w:eastAsia="Arial Unicode MS" w:cs="Arial Unicode MS"/>
      <w:b/>
      <w:bCs/>
      <w:color w:val="000000"/>
      <w:kern w:val="0"/>
      <w:sz w:val="24"/>
      <w:szCs w:val="24"/>
    </w:rPr>
  </w:style>
  <w:style w:type="paragraph" w:customStyle="1" w:styleId="1188">
    <w:name w:val="样式 标题 5 + 左  0 字符"/>
    <w:basedOn w:val="8"/>
    <w:qFormat/>
    <w:uiPriority w:val="0"/>
    <w:pPr>
      <w:tabs>
        <w:tab w:val="clear" w:pos="1468"/>
      </w:tabs>
      <w:spacing w:after="0" w:afterLines="50" w:line="376" w:lineRule="auto"/>
      <w:ind w:left="0" w:right="210" w:rightChars="100" w:firstLine="0"/>
      <w:jc w:val="left"/>
    </w:pPr>
    <w:rPr>
      <w:rFonts w:ascii="黑体" w:hAnsi="宋体" w:eastAsia="黑体" w:cs="宋体"/>
      <w:bCs/>
      <w:sz w:val="24"/>
    </w:rPr>
  </w:style>
  <w:style w:type="paragraph" w:customStyle="1" w:styleId="1189">
    <w:name w:val="批注框文本11"/>
    <w:basedOn w:val="1"/>
    <w:qFormat/>
    <w:uiPriority w:val="0"/>
    <w:pPr>
      <w:spacing w:line="360" w:lineRule="auto"/>
      <w:ind w:firstLine="200" w:firstLineChars="200"/>
    </w:pPr>
    <w:rPr>
      <w:sz w:val="18"/>
      <w:szCs w:val="18"/>
    </w:rPr>
  </w:style>
  <w:style w:type="paragraph" w:customStyle="1" w:styleId="1190">
    <w:name w:val="样式 标题 5 + 段前: 0.5 行"/>
    <w:basedOn w:val="8"/>
    <w:qFormat/>
    <w:uiPriority w:val="0"/>
    <w:pPr>
      <w:tabs>
        <w:tab w:val="clear" w:pos="1468"/>
      </w:tabs>
      <w:snapToGrid w:val="0"/>
      <w:spacing w:before="163" w:beforeLines="50" w:after="0" w:line="360" w:lineRule="auto"/>
      <w:ind w:left="1680" w:hanging="420"/>
      <w:jc w:val="left"/>
    </w:pPr>
    <w:rPr>
      <w:rFonts w:ascii="Arial" w:hAnsi="Arial" w:eastAsia="黑体" w:cs="宋体"/>
      <w:b w:val="0"/>
    </w:rPr>
  </w:style>
  <w:style w:type="paragraph" w:customStyle="1" w:styleId="1191">
    <w:name w:val="正文 1"/>
    <w:qFormat/>
    <w:uiPriority w:val="0"/>
    <w:pPr>
      <w:widowControl w:val="0"/>
      <w:spacing w:line="360" w:lineRule="auto"/>
      <w:jc w:val="both"/>
    </w:pPr>
    <w:rPr>
      <w:rFonts w:ascii="Calibri" w:hAnsi="Calibri" w:eastAsia="宋体" w:cs="Calibri"/>
      <w:color w:val="000000"/>
      <w:sz w:val="24"/>
      <w:szCs w:val="21"/>
      <w:lang w:val="en-US" w:eastAsia="zh-CN" w:bidi="ar-SA"/>
    </w:rPr>
  </w:style>
  <w:style w:type="paragraph" w:customStyle="1" w:styleId="119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193">
    <w:name w:val="xl103"/>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color w:val="000000"/>
      <w:kern w:val="0"/>
      <w:sz w:val="24"/>
      <w:szCs w:val="24"/>
    </w:rPr>
  </w:style>
  <w:style w:type="paragraph" w:customStyle="1" w:styleId="1194">
    <w:name w:val="xl135"/>
    <w:basedOn w:val="1"/>
    <w:qFormat/>
    <w:uiPriority w:val="0"/>
    <w:pPr>
      <w:widowControl/>
      <w:spacing w:before="100" w:beforeAutospacing="1" w:after="100" w:afterAutospacing="1"/>
      <w:jc w:val="center"/>
    </w:pPr>
    <w:rPr>
      <w:rFonts w:ascii="宋体" w:hAnsi="宋体" w:cs="宋体"/>
      <w:color w:val="000000"/>
      <w:kern w:val="0"/>
      <w:sz w:val="20"/>
    </w:rPr>
  </w:style>
  <w:style w:type="paragraph" w:customStyle="1" w:styleId="1195">
    <w:name w:val="正文（小标题）1"/>
    <w:basedOn w:val="1"/>
    <w:next w:val="1"/>
    <w:qFormat/>
    <w:uiPriority w:val="0"/>
    <w:pPr>
      <w:spacing w:beforeLines="50" w:afterLines="50" w:line="360" w:lineRule="auto"/>
    </w:pPr>
    <w:rPr>
      <w:rFonts w:ascii="黑体" w:eastAsia="黑体"/>
      <w:color w:val="0000FF"/>
      <w:sz w:val="24"/>
      <w:szCs w:val="24"/>
    </w:rPr>
  </w:style>
  <w:style w:type="paragraph" w:customStyle="1" w:styleId="1196">
    <w:name w:val="89E7A41D6FA14BAAA27E9018BC4B9D6F"/>
    <w:qFormat/>
    <w:uiPriority w:val="0"/>
    <w:pPr>
      <w:spacing w:after="200" w:line="276" w:lineRule="auto"/>
    </w:pPr>
    <w:rPr>
      <w:rFonts w:ascii="Calibri" w:hAnsi="Calibri" w:eastAsia="宋体" w:cs="Calibri"/>
      <w:sz w:val="22"/>
      <w:szCs w:val="22"/>
      <w:lang w:val="en-US" w:eastAsia="en-US" w:bidi="ar-SA"/>
    </w:rPr>
  </w:style>
  <w:style w:type="paragraph" w:customStyle="1" w:styleId="1197">
    <w:name w:val="列项◆（三级）"/>
    <w:qFormat/>
    <w:uiPriority w:val="0"/>
    <w:pPr>
      <w:numPr>
        <w:ilvl w:val="0"/>
        <w:numId w:val="45"/>
      </w:numPr>
      <w:ind w:left="800" w:leftChars="600" w:hanging="200" w:hangingChars="200"/>
    </w:pPr>
    <w:rPr>
      <w:rFonts w:ascii="宋体" w:hAnsi="Times New Roman" w:eastAsia="宋体" w:cs="Times New Roman"/>
      <w:sz w:val="21"/>
      <w:lang w:val="en-US" w:eastAsia="zh-CN" w:bidi="ar-SA"/>
    </w:rPr>
  </w:style>
  <w:style w:type="paragraph" w:customStyle="1" w:styleId="1198">
    <w:name w:val="总题目"/>
    <w:basedOn w:val="1"/>
    <w:next w:val="85"/>
    <w:qFormat/>
    <w:uiPriority w:val="0"/>
    <w:pPr>
      <w:spacing w:beforeLines="100" w:afterLines="100" w:line="360" w:lineRule="auto"/>
      <w:jc w:val="center"/>
    </w:pPr>
    <w:rPr>
      <w:rFonts w:cs="宋体"/>
      <w:b/>
      <w:bCs/>
      <w:sz w:val="48"/>
    </w:rPr>
  </w:style>
  <w:style w:type="paragraph" w:customStyle="1" w:styleId="1199">
    <w:name w:val="方案类型"/>
    <w:basedOn w:val="1198"/>
    <w:qFormat/>
    <w:uiPriority w:val="0"/>
    <w:rPr>
      <w:rFonts w:cs="Times New Roman"/>
      <w:color w:val="FF0000"/>
    </w:rPr>
  </w:style>
  <w:style w:type="paragraph" w:customStyle="1" w:styleId="1200">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Arial Unicode MS" w:hAnsi="Arial Unicode MS" w:eastAsia="Arial Unicode MS"/>
      <w:b/>
      <w:kern w:val="0"/>
      <w:sz w:val="24"/>
    </w:rPr>
  </w:style>
  <w:style w:type="paragraph" w:customStyle="1" w:styleId="1201">
    <w:name w:val="inden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02">
    <w:name w:val="样式 目录 2 + 左侧:  1 字符 首行缩进:  2 字符8"/>
    <w:basedOn w:val="73"/>
    <w:qFormat/>
    <w:uiPriority w:val="0"/>
    <w:pPr>
      <w:tabs>
        <w:tab w:val="right" w:leader="dot" w:pos="8493"/>
      </w:tabs>
      <w:spacing w:before="240"/>
      <w:ind w:left="0" w:leftChars="0" w:firstLine="100" w:firstLineChars="100"/>
      <w:jc w:val="left"/>
    </w:pPr>
    <w:rPr>
      <w:rFonts w:ascii="宋体" w:cs="宋体"/>
      <w:b/>
      <w:bCs/>
      <w:lang w:val="en-GB"/>
    </w:rPr>
  </w:style>
  <w:style w:type="paragraph" w:customStyle="1" w:styleId="1203">
    <w:name w:val="1级标题"/>
    <w:basedOn w:val="289"/>
    <w:qFormat/>
    <w:uiPriority w:val="0"/>
    <w:pPr>
      <w:keepLines/>
      <w:pageBreakBefore/>
      <w:spacing w:before="240" w:after="240" w:line="360" w:lineRule="auto"/>
      <w:ind w:left="4543" w:firstLine="0" w:firstLineChars="0"/>
      <w:contextualSpacing/>
      <w:jc w:val="center"/>
      <w:outlineLvl w:val="0"/>
    </w:pPr>
    <w:rPr>
      <w:rFonts w:ascii="黑体" w:hAnsi="黑体" w:eastAsia="黑体"/>
      <w:kern w:val="0"/>
      <w:sz w:val="36"/>
      <w:szCs w:val="36"/>
      <w:lang w:eastAsia="en-US" w:bidi="en-US"/>
    </w:rPr>
  </w:style>
  <w:style w:type="paragraph" w:customStyle="1" w:styleId="1204">
    <w:name w:val="页脚1"/>
    <w:basedOn w:val="1"/>
    <w:qFormat/>
    <w:uiPriority w:val="0"/>
    <w:pPr>
      <w:tabs>
        <w:tab w:val="center" w:pos="4153"/>
        <w:tab w:val="right" w:pos="8306"/>
      </w:tabs>
      <w:snapToGrid w:val="0"/>
      <w:jc w:val="left"/>
    </w:pPr>
    <w:rPr>
      <w:rFonts w:hint="eastAsia"/>
      <w:sz w:val="18"/>
    </w:rPr>
  </w:style>
  <w:style w:type="paragraph" w:customStyle="1" w:styleId="1205">
    <w:name w:val="CM139"/>
    <w:basedOn w:val="196"/>
    <w:next w:val="196"/>
    <w:qFormat/>
    <w:uiPriority w:val="0"/>
    <w:rPr>
      <w:rFonts w:ascii="黑体" w:hAnsi="Calibri" w:eastAsia="黑体" w:cs="Times New Roman"/>
      <w:color w:val="auto"/>
    </w:rPr>
  </w:style>
  <w:style w:type="paragraph" w:customStyle="1" w:styleId="1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1207">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208">
    <w:name w:val="封面"/>
    <w:qFormat/>
    <w:uiPriority w:val="0"/>
    <w:pPr>
      <w:widowControl w:val="0"/>
      <w:spacing w:beforeLines="50" w:afterLines="50" w:line="412" w:lineRule="atLeast"/>
      <w:ind w:left="420" w:hanging="420"/>
      <w:jc w:val="both"/>
    </w:pPr>
    <w:rPr>
      <w:rFonts w:ascii="Times New Roman" w:hAnsi="Times New Roman" w:eastAsia="宋体" w:cs="Times New Roman"/>
      <w:kern w:val="2"/>
      <w:sz w:val="21"/>
      <w:lang w:val="en-US" w:eastAsia="zh-CN" w:bidi="ar-SA"/>
    </w:rPr>
  </w:style>
  <w:style w:type="paragraph" w:customStyle="1" w:styleId="1209">
    <w:name w:val="样式 纯文本 + 仿宋_GB2312 黑色 行距: 1.5 倍行距1"/>
    <w:basedOn w:val="44"/>
    <w:qFormat/>
    <w:uiPriority w:val="0"/>
    <w:pPr>
      <w:spacing w:line="360" w:lineRule="auto"/>
      <w:ind w:firstLine="560" w:firstLineChars="200"/>
    </w:pPr>
    <w:rPr>
      <w:rFonts w:hint="eastAsia" w:ascii="仿宋_GB2312" w:hAnsi="宋体" w:eastAsia="仿宋_GB2312"/>
      <w:color w:val="000000"/>
      <w:kern w:val="0"/>
      <w:sz w:val="24"/>
    </w:rPr>
  </w:style>
  <w:style w:type="paragraph" w:customStyle="1" w:styleId="1210">
    <w:name w:val="小正文"/>
    <w:basedOn w:val="1"/>
    <w:qFormat/>
    <w:uiPriority w:val="0"/>
    <w:pPr>
      <w:widowControl/>
      <w:adjustRightInd w:val="0"/>
      <w:snapToGrid w:val="0"/>
      <w:spacing w:line="240" w:lineRule="atLeast"/>
      <w:ind w:firstLine="200" w:firstLineChars="200"/>
      <w:jc w:val="center"/>
      <w:textAlignment w:val="baseline"/>
    </w:pPr>
    <w:rPr>
      <w:rFonts w:ascii="Arial" w:hAnsi="Arial" w:eastAsia="仿宋_GB2312"/>
      <w:kern w:val="0"/>
    </w:rPr>
  </w:style>
  <w:style w:type="paragraph" w:customStyle="1" w:styleId="1211">
    <w:name w:val="目录标题"/>
    <w:basedOn w:val="1"/>
    <w:next w:val="1"/>
    <w:qFormat/>
    <w:uiPriority w:val="0"/>
    <w:pPr>
      <w:pageBreakBefore/>
      <w:spacing w:before="480" w:after="480" w:line="480" w:lineRule="auto"/>
      <w:jc w:val="center"/>
    </w:pPr>
    <w:rPr>
      <w:rFonts w:ascii="宋体" w:eastAsia="黑体"/>
      <w:b/>
      <w:sz w:val="32"/>
    </w:rPr>
  </w:style>
  <w:style w:type="paragraph" w:customStyle="1" w:styleId="1212">
    <w:name w:val="表内正文"/>
    <w:qFormat/>
    <w:uiPriority w:val="0"/>
    <w:pPr>
      <w:adjustRightInd w:val="0"/>
      <w:textAlignment w:val="baseline"/>
    </w:pPr>
    <w:rPr>
      <w:rFonts w:ascii="Arial" w:hAnsi="Arial" w:eastAsia="宋体" w:cs="Times New Roman"/>
      <w:sz w:val="24"/>
      <w:lang w:val="en-US" w:eastAsia="zh-CN" w:bidi="ar-SA"/>
    </w:rPr>
  </w:style>
  <w:style w:type="paragraph" w:customStyle="1" w:styleId="121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4">
    <w:name w:val="实施日期"/>
    <w:basedOn w:val="1213"/>
    <w:qFormat/>
    <w:uiPriority w:val="0"/>
    <w:pPr>
      <w:framePr w:hSpace="0" w:wrap="around" w:xAlign="right"/>
      <w:jc w:val="right"/>
    </w:pPr>
    <w:rPr>
      <w:rFonts w:eastAsia="宋体"/>
    </w:rPr>
  </w:style>
  <w:style w:type="paragraph" w:customStyle="1" w:styleId="1215">
    <w:name w:val="图，整体编号"/>
    <w:basedOn w:val="150"/>
    <w:next w:val="150"/>
    <w:qFormat/>
    <w:uiPriority w:val="0"/>
    <w:pPr>
      <w:tabs>
        <w:tab w:val="left" w:pos="720"/>
      </w:tabs>
      <w:spacing w:beforeLines="25"/>
      <w:ind w:left="647" w:hanging="420" w:firstLineChars="200"/>
    </w:pPr>
    <w:rPr>
      <w:rFonts w:ascii="Arial" w:hAnsi="Arial" w:eastAsia="华文细黑"/>
      <w:kern w:val="0"/>
      <w:szCs w:val="20"/>
    </w:rPr>
  </w:style>
  <w:style w:type="paragraph" w:customStyle="1" w:styleId="1216">
    <w:name w:val="大纲(缩进)"/>
    <w:basedOn w:val="1"/>
    <w:qFormat/>
    <w:uiPriority w:val="0"/>
    <w:pPr>
      <w:autoSpaceDE w:val="0"/>
      <w:autoSpaceDN w:val="0"/>
      <w:spacing w:line="360" w:lineRule="auto"/>
      <w:ind w:left="360" w:hanging="360" w:firstLineChars="200"/>
      <w:jc w:val="left"/>
    </w:pPr>
    <w:rPr>
      <w:kern w:val="0"/>
      <w:sz w:val="24"/>
      <w:szCs w:val="24"/>
    </w:rPr>
  </w:style>
  <w:style w:type="paragraph" w:customStyle="1" w:styleId="1217">
    <w:name w:val="H3.5"/>
    <w:basedOn w:val="1"/>
    <w:qFormat/>
    <w:uiPriority w:val="0"/>
    <w:pPr>
      <w:spacing w:before="163" w:beforeLines="50" w:after="163" w:afterLines="50" w:line="288" w:lineRule="auto"/>
      <w:outlineLvl w:val="3"/>
    </w:pPr>
    <w:rPr>
      <w:rFonts w:eastAsia="黑体"/>
      <w:sz w:val="28"/>
      <w:lang w:bidi="en-US"/>
    </w:rPr>
  </w:style>
  <w:style w:type="paragraph" w:customStyle="1" w:styleId="1218">
    <w:name w:val="列表项目符号-其他"/>
    <w:basedOn w:val="5"/>
    <w:qFormat/>
    <w:uiPriority w:val="0"/>
    <w:pPr>
      <w:numPr>
        <w:ilvl w:val="0"/>
        <w:numId w:val="46"/>
      </w:numPr>
      <w:tabs>
        <w:tab w:val="left" w:pos="360"/>
        <w:tab w:val="clear" w:pos="840"/>
      </w:tabs>
      <w:adjustRightInd w:val="0"/>
      <w:spacing w:line="360" w:lineRule="auto"/>
      <w:ind w:left="0" w:firstLine="200"/>
      <w:jc w:val="left"/>
    </w:pPr>
    <w:rPr>
      <w:rFonts w:ascii="Arial" w:hAnsi="Arial" w:eastAsia="仿宋_GB2312"/>
      <w:b/>
      <w:kern w:val="0"/>
      <w:sz w:val="24"/>
    </w:rPr>
  </w:style>
  <w:style w:type="paragraph" w:customStyle="1" w:styleId="1219">
    <w:name w:val="表头文字"/>
    <w:basedOn w:val="1"/>
    <w:qFormat/>
    <w:uiPriority w:val="0"/>
    <w:pPr>
      <w:adjustRightInd w:val="0"/>
      <w:snapToGrid w:val="0"/>
      <w:spacing w:line="312" w:lineRule="auto"/>
      <w:jc w:val="center"/>
    </w:pPr>
    <w:rPr>
      <w:sz w:val="24"/>
    </w:rPr>
  </w:style>
  <w:style w:type="paragraph" w:customStyle="1" w:styleId="1220">
    <w:name w:val="样式12"/>
    <w:basedOn w:val="54"/>
    <w:qFormat/>
    <w:uiPriority w:val="0"/>
    <w:pPr>
      <w:pBdr>
        <w:top w:val="double" w:color="auto" w:sz="4" w:space="1"/>
      </w:pBdr>
      <w:spacing w:beforeLines="50" w:afterLines="50"/>
      <w:jc w:val="center"/>
    </w:pPr>
    <w:rPr>
      <w:rFonts w:ascii="等线" w:hAnsi="等线" w:eastAsia="等线"/>
      <w:sz w:val="21"/>
      <w:szCs w:val="21"/>
      <w:lang w:val="zh-CN"/>
    </w:rPr>
  </w:style>
  <w:style w:type="paragraph" w:customStyle="1" w:styleId="1221">
    <w:name w:val="bb5"/>
    <w:basedOn w:val="1"/>
    <w:qFormat/>
    <w:uiPriority w:val="0"/>
    <w:pPr>
      <w:widowControl/>
      <w:pBdr>
        <w:top w:val="single" w:color="CCCCCC" w:sz="6" w:space="0"/>
        <w:left w:val="single" w:color="CCCCCC" w:sz="6" w:space="0"/>
        <w:bottom w:val="single" w:color="CCCCCC" w:sz="6" w:space="0"/>
        <w:right w:val="single" w:color="CCCCCC" w:sz="6" w:space="0"/>
      </w:pBdr>
      <w:spacing w:before="100" w:beforeAutospacing="1" w:after="100" w:afterAutospacing="1"/>
      <w:jc w:val="left"/>
    </w:pPr>
    <w:rPr>
      <w:rFonts w:ascii="宋体" w:hAnsi="宋体"/>
      <w:kern w:val="0"/>
      <w:sz w:val="24"/>
      <w:szCs w:val="24"/>
    </w:rPr>
  </w:style>
  <w:style w:type="paragraph" w:customStyle="1" w:styleId="1222">
    <w:name w:val="gray3"/>
    <w:basedOn w:val="1"/>
    <w:qFormat/>
    <w:uiPriority w:val="0"/>
    <w:pPr>
      <w:widowControl/>
      <w:spacing w:before="100" w:beforeAutospacing="1" w:after="100" w:afterAutospacing="1"/>
      <w:jc w:val="left"/>
    </w:pPr>
    <w:rPr>
      <w:rFonts w:ascii="宋体" w:hAnsi="宋体"/>
      <w:kern w:val="0"/>
      <w:sz w:val="19"/>
      <w:szCs w:val="19"/>
    </w:rPr>
  </w:style>
  <w:style w:type="paragraph" w:customStyle="1" w:styleId="1223">
    <w:name w:val="标题7"/>
    <w:basedOn w:val="10"/>
    <w:next w:val="1"/>
    <w:qFormat/>
    <w:uiPriority w:val="0"/>
    <w:pPr>
      <w:numPr>
        <w:ilvl w:val="6"/>
        <w:numId w:val="47"/>
      </w:numPr>
      <w:tabs>
        <w:tab w:val="left" w:pos="1298"/>
        <w:tab w:val="clear" w:pos="1468"/>
      </w:tabs>
      <w:spacing w:before="50" w:beforeLines="50" w:after="50" w:afterLines="50" w:line="360" w:lineRule="auto"/>
      <w:jc w:val="left"/>
    </w:pPr>
    <w:rPr>
      <w:rFonts w:ascii="Arial" w:hAnsi="Arial" w:eastAsia="黑体" w:cs="宋体"/>
      <w:bCs/>
    </w:rPr>
  </w:style>
  <w:style w:type="paragraph" w:customStyle="1" w:styleId="1224">
    <w:name w:val="样式 样式 正文首行缩进 + (符号) 宋体 + 左侧:  2 字符 首行缩进:  2 字符1"/>
    <w:basedOn w:val="1"/>
    <w:qFormat/>
    <w:uiPriority w:val="0"/>
    <w:pPr>
      <w:spacing w:line="360" w:lineRule="auto"/>
      <w:ind w:firstLine="200" w:firstLineChars="200"/>
      <w:jc w:val="left"/>
    </w:pPr>
    <w:rPr>
      <w:rFonts w:hAnsi="宋体" w:cs="宋体"/>
      <w:kern w:val="0"/>
      <w:lang w:eastAsia="en-US"/>
    </w:rPr>
  </w:style>
  <w:style w:type="paragraph" w:customStyle="1" w:styleId="1225">
    <w:name w:val="Body1!"/>
    <w:qFormat/>
    <w:uiPriority w:val="0"/>
    <w:pPr>
      <w:tabs>
        <w:tab w:val="left" w:pos="1247"/>
      </w:tabs>
      <w:spacing w:before="120" w:line="288" w:lineRule="auto"/>
      <w:ind w:left="1247" w:firstLine="200" w:firstLineChars="200"/>
    </w:pPr>
    <w:rPr>
      <w:rFonts w:ascii="Arial" w:hAnsi="Arial" w:eastAsia="宋体" w:cs="Times New Roman"/>
      <w:sz w:val="21"/>
      <w:szCs w:val="21"/>
      <w:lang w:val="en-US" w:eastAsia="zh-CN" w:bidi="ar-SA"/>
    </w:rPr>
  </w:style>
  <w:style w:type="paragraph" w:customStyle="1" w:styleId="122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1227">
    <w:name w:val="xl85"/>
    <w:basedOn w:val="1"/>
    <w:qFormat/>
    <w:uiPriority w:val="0"/>
    <w:pPr>
      <w:widowControl/>
      <w:pBdr>
        <w:left w:val="single" w:color="auto" w:sz="4" w:space="0"/>
        <w:bottom w:val="single" w:color="auto" w:sz="4" w:space="0"/>
        <w:right w:val="single" w:color="auto" w:sz="4" w:space="0"/>
      </w:pBdr>
      <w:shd w:val="clear" w:color="000000" w:fill="8DB4E3"/>
      <w:spacing w:before="100" w:beforeAutospacing="1" w:after="100" w:afterAutospacing="1"/>
      <w:jc w:val="center"/>
    </w:pPr>
    <w:rPr>
      <w:rFonts w:ascii="宋体" w:hAnsi="宋体" w:cs="宋体"/>
      <w:b/>
      <w:bCs/>
      <w:kern w:val="0"/>
      <w:sz w:val="20"/>
    </w:rPr>
  </w:style>
  <w:style w:type="paragraph" w:customStyle="1" w:styleId="1228">
    <w:name w:val="样式 目录 2 + 首行缩进:  2 字符4"/>
    <w:basedOn w:val="73"/>
    <w:qFormat/>
    <w:uiPriority w:val="0"/>
    <w:pPr>
      <w:tabs>
        <w:tab w:val="right" w:leader="dot" w:pos="8493"/>
      </w:tabs>
      <w:spacing w:before="240"/>
      <w:ind w:left="100" w:leftChars="100"/>
      <w:jc w:val="left"/>
    </w:pPr>
    <w:rPr>
      <w:rFonts w:ascii="宋体" w:cs="宋体"/>
      <w:smallCaps/>
      <w:szCs w:val="24"/>
      <w:lang w:val="en-GB"/>
    </w:rPr>
  </w:style>
  <w:style w:type="paragraph" w:customStyle="1" w:styleId="1229">
    <w:name w:val="Body Text(ch)1"/>
    <w:basedOn w:val="1"/>
    <w:next w:val="50"/>
    <w:qFormat/>
    <w:uiPriority w:val="0"/>
    <w:pPr>
      <w:spacing w:beforeLines="50" w:afterLines="50" w:line="360" w:lineRule="auto"/>
      <w:ind w:firstLine="480" w:firstLineChars="200"/>
    </w:pPr>
    <w:rPr>
      <w:sz w:val="24"/>
      <w:szCs w:val="24"/>
    </w:rPr>
  </w:style>
  <w:style w:type="paragraph" w:customStyle="1" w:styleId="1230">
    <w:name w:val="xl102"/>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right"/>
    </w:pPr>
    <w:rPr>
      <w:rFonts w:ascii="宋体" w:hAnsi="宋体" w:cs="宋体"/>
      <w:color w:val="000000"/>
      <w:kern w:val="0"/>
      <w:sz w:val="24"/>
      <w:szCs w:val="24"/>
    </w:rPr>
  </w:style>
  <w:style w:type="paragraph" w:customStyle="1" w:styleId="1231">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1232">
    <w:name w:val="t4"/>
    <w:basedOn w:val="1"/>
    <w:qFormat/>
    <w:uiPriority w:val="0"/>
    <w:pPr>
      <w:widowControl/>
      <w:spacing w:before="100" w:beforeAutospacing="1" w:after="100" w:afterAutospacing="1"/>
      <w:jc w:val="left"/>
    </w:pPr>
    <w:rPr>
      <w:rFonts w:ascii="Arial Unicode MS" w:hAnsi="Arial Unicode MS"/>
      <w:color w:val="000000"/>
      <w:kern w:val="0"/>
      <w:sz w:val="24"/>
      <w:szCs w:val="24"/>
    </w:rPr>
  </w:style>
  <w:style w:type="paragraph" w:customStyle="1" w:styleId="1233">
    <w:name w:val="Char22"/>
    <w:basedOn w:val="1"/>
    <w:qFormat/>
    <w:uiPriority w:val="0"/>
    <w:rPr>
      <w:rFonts w:ascii="Tahoma" w:hAnsi="Tahoma"/>
      <w:sz w:val="24"/>
    </w:rPr>
  </w:style>
  <w:style w:type="paragraph" w:customStyle="1" w:styleId="1234">
    <w:name w:val="Char8"/>
    <w:basedOn w:val="1"/>
    <w:qFormat/>
    <w:uiPriority w:val="0"/>
    <w:pPr>
      <w:spacing w:line="360" w:lineRule="auto"/>
      <w:ind w:firstLine="480" w:firstLineChars="200"/>
    </w:pPr>
    <w:rPr>
      <w:rFonts w:ascii="Tahoma" w:hAnsi="Tahoma"/>
      <w:sz w:val="24"/>
    </w:rPr>
  </w:style>
  <w:style w:type="paragraph" w:customStyle="1" w:styleId="1235">
    <w:name w:val="HS-重点标识"/>
    <w:qFormat/>
    <w:uiPriority w:val="0"/>
    <w:pPr>
      <w:spacing w:beforeLines="50" w:afterLines="50" w:line="300" w:lineRule="auto"/>
      <w:ind w:left="1009" w:firstLine="482" w:firstLineChars="200"/>
      <w:jc w:val="both"/>
    </w:pPr>
    <w:rPr>
      <w:rFonts w:ascii="Times New Roman" w:hAnsi="Times New Roman" w:eastAsia="宋体" w:cs="Times New Roman"/>
      <w:b/>
      <w:sz w:val="24"/>
      <w:lang w:val="en-US" w:eastAsia="zh-CN" w:bidi="ar-SA"/>
    </w:rPr>
  </w:style>
  <w:style w:type="paragraph" w:customStyle="1" w:styleId="1236">
    <w:name w:val="正文文本缩进 31"/>
    <w:basedOn w:val="1"/>
    <w:qFormat/>
    <w:uiPriority w:val="0"/>
    <w:pPr>
      <w:widowControl/>
      <w:autoSpaceDE w:val="0"/>
      <w:autoSpaceDN w:val="0"/>
      <w:adjustRightInd w:val="0"/>
      <w:ind w:left="600" w:firstLine="570"/>
      <w:textAlignment w:val="bottom"/>
    </w:pPr>
    <w:rPr>
      <w:rFonts w:ascii="Arial" w:hAnsi="Arial"/>
      <w:sz w:val="24"/>
    </w:rPr>
  </w:style>
  <w:style w:type="paragraph" w:customStyle="1" w:styleId="1237">
    <w:name w:val="CM163"/>
    <w:basedOn w:val="196"/>
    <w:next w:val="196"/>
    <w:qFormat/>
    <w:uiPriority w:val="0"/>
    <w:rPr>
      <w:rFonts w:ascii="宋体" w:hAnsi="Times New Roman" w:cs="Times New Roman"/>
      <w:color w:val="auto"/>
    </w:rPr>
  </w:style>
  <w:style w:type="paragraph" w:customStyle="1" w:styleId="1238">
    <w:name w:val="Char15"/>
    <w:basedOn w:val="1"/>
    <w:qFormat/>
    <w:uiPriority w:val="0"/>
    <w:rPr>
      <w:rFonts w:ascii="Tahoma" w:hAnsi="Tahoma"/>
      <w:sz w:val="24"/>
    </w:rPr>
  </w:style>
  <w:style w:type="paragraph" w:customStyle="1" w:styleId="1239">
    <w:name w:val="标题5，章节第五层"/>
    <w:basedOn w:val="1"/>
    <w:next w:val="150"/>
    <w:qFormat/>
    <w:uiPriority w:val="0"/>
    <w:pPr>
      <w:tabs>
        <w:tab w:val="left" w:pos="1050"/>
      </w:tabs>
      <w:spacing w:before="78"/>
      <w:ind w:left="851" w:hanging="851" w:firstLineChars="200"/>
      <w:outlineLvl w:val="4"/>
    </w:pPr>
    <w:rPr>
      <w:rFonts w:ascii="Arial" w:hAnsi="Arial" w:eastAsia="华文细黑"/>
      <w:sz w:val="30"/>
      <w:szCs w:val="24"/>
    </w:rPr>
  </w:style>
  <w:style w:type="paragraph" w:customStyle="1" w:styleId="1240">
    <w:name w:val="BodyText"/>
    <w:basedOn w:val="1"/>
    <w:qFormat/>
    <w:uiPriority w:val="0"/>
    <w:pPr>
      <w:widowControl/>
      <w:spacing w:before="120" w:after="120" w:line="240" w:lineRule="atLeast"/>
      <w:ind w:left="360"/>
      <w:jc w:val="left"/>
    </w:pPr>
    <w:rPr>
      <w:rFonts w:ascii="宋体" w:hAnsi="宋体" w:cs="宋体"/>
      <w:color w:val="000000"/>
      <w:kern w:val="0"/>
      <w:sz w:val="22"/>
    </w:rPr>
  </w:style>
  <w:style w:type="paragraph" w:customStyle="1" w:styleId="1241">
    <w:name w:val="技术报告表标题"/>
    <w:basedOn w:val="1"/>
    <w:next w:val="1"/>
    <w:qFormat/>
    <w:uiPriority w:val="0"/>
    <w:pPr>
      <w:numPr>
        <w:ilvl w:val="4"/>
        <w:numId w:val="32"/>
      </w:numPr>
      <w:spacing w:beforeLines="50" w:afterLines="50" w:line="440" w:lineRule="exact"/>
      <w:ind w:right="238"/>
      <w:jc w:val="center"/>
    </w:pPr>
    <w:rPr>
      <w:rFonts w:ascii="楷体_GB2312" w:eastAsia="楷体_GB2312" w:cs="Arial"/>
      <w:b/>
      <w:bCs/>
      <w:sz w:val="28"/>
      <w:szCs w:val="24"/>
    </w:rPr>
  </w:style>
  <w:style w:type="paragraph" w:customStyle="1" w:styleId="1242">
    <w:name w:val="表格标题(居中)"/>
    <w:basedOn w:val="1"/>
    <w:qFormat/>
    <w:uiPriority w:val="0"/>
    <w:pPr>
      <w:snapToGrid w:val="0"/>
      <w:spacing w:line="300" w:lineRule="auto"/>
      <w:jc w:val="center"/>
    </w:pPr>
    <w:rPr>
      <w:rFonts w:eastAsia="黑体"/>
      <w:sz w:val="24"/>
    </w:rPr>
  </w:style>
  <w:style w:type="paragraph" w:customStyle="1" w:styleId="1243">
    <w:name w:val="p20"/>
    <w:basedOn w:val="1"/>
    <w:qFormat/>
    <w:uiPriority w:val="0"/>
    <w:pPr>
      <w:widowControl/>
      <w:snapToGrid w:val="0"/>
      <w:spacing w:line="360" w:lineRule="auto"/>
      <w:jc w:val="center"/>
    </w:pPr>
    <w:rPr>
      <w:kern w:val="0"/>
      <w:sz w:val="18"/>
      <w:szCs w:val="18"/>
    </w:rPr>
  </w:style>
  <w:style w:type="paragraph" w:customStyle="1" w:styleId="1244">
    <w:name w:val="Text 8.0*"/>
    <w:basedOn w:val="1"/>
    <w:qFormat/>
    <w:uiPriority w:val="0"/>
    <w:pPr>
      <w:widowControl/>
      <w:numPr>
        <w:ilvl w:val="0"/>
        <w:numId w:val="48"/>
      </w:numPr>
      <w:tabs>
        <w:tab w:val="left" w:pos="170"/>
        <w:tab w:val="clear" w:pos="360"/>
      </w:tabs>
      <w:spacing w:line="188" w:lineRule="atLeast"/>
      <w:ind w:left="170" w:hanging="170"/>
      <w:jc w:val="left"/>
    </w:pPr>
    <w:rPr>
      <w:rFonts w:ascii="Arial" w:hAnsi="Arial"/>
      <w:snapToGrid w:val="0"/>
      <w:color w:val="000000"/>
      <w:kern w:val="0"/>
      <w:sz w:val="16"/>
      <w:lang w:val="de-DE" w:eastAsia="de-DE"/>
    </w:rPr>
  </w:style>
  <w:style w:type="paragraph" w:customStyle="1" w:styleId="1245">
    <w:name w:val="李纲正文"/>
    <w:basedOn w:val="1"/>
    <w:qFormat/>
    <w:uiPriority w:val="0"/>
    <w:pPr>
      <w:widowControl/>
      <w:adjustRightInd w:val="0"/>
      <w:spacing w:before="240" w:after="240" w:line="360" w:lineRule="auto"/>
      <w:ind w:firstLine="482"/>
      <w:jc w:val="left"/>
      <w:textAlignment w:val="baseline"/>
    </w:pPr>
    <w:rPr>
      <w:rFonts w:ascii="宋体" w:hAnsi="宋体" w:eastAsia="仿宋_GB2312" w:cs="宋体"/>
      <w:kern w:val="0"/>
      <w:sz w:val="24"/>
    </w:rPr>
  </w:style>
  <w:style w:type="paragraph" w:customStyle="1" w:styleId="1246">
    <w:name w:val="CM8"/>
    <w:basedOn w:val="1"/>
    <w:next w:val="1"/>
    <w:qFormat/>
    <w:uiPriority w:val="0"/>
    <w:pPr>
      <w:autoSpaceDE w:val="0"/>
      <w:autoSpaceDN w:val="0"/>
      <w:adjustRightInd w:val="0"/>
      <w:spacing w:line="466" w:lineRule="atLeast"/>
      <w:jc w:val="left"/>
    </w:pPr>
    <w:rPr>
      <w:rFonts w:ascii="黑体" w:eastAsia="黑体"/>
      <w:kern w:val="0"/>
      <w:sz w:val="24"/>
      <w:szCs w:val="24"/>
    </w:rPr>
  </w:style>
  <w:style w:type="paragraph" w:customStyle="1" w:styleId="1247">
    <w:name w:val="表，整体编号"/>
    <w:basedOn w:val="150"/>
    <w:next w:val="150"/>
    <w:qFormat/>
    <w:uiPriority w:val="0"/>
    <w:pPr>
      <w:tabs>
        <w:tab w:val="center" w:pos="420"/>
      </w:tabs>
      <w:spacing w:beforeLines="25"/>
      <w:ind w:left="647" w:hanging="420" w:firstLineChars="200"/>
    </w:pPr>
    <w:rPr>
      <w:rFonts w:ascii="Arial" w:hAnsi="Arial" w:eastAsia="华文细黑"/>
      <w:kern w:val="0"/>
      <w:szCs w:val="20"/>
    </w:rPr>
  </w:style>
  <w:style w:type="paragraph" w:customStyle="1" w:styleId="1248">
    <w:name w:val="表格题注"/>
    <w:next w:val="1"/>
    <w:qFormat/>
    <w:uiPriority w:val="0"/>
    <w:pPr>
      <w:keepLines/>
      <w:tabs>
        <w:tab w:val="left" w:pos="360"/>
      </w:tabs>
      <w:spacing w:beforeLines="100"/>
      <w:ind w:left="1089" w:hanging="369"/>
      <w:jc w:val="center"/>
    </w:pPr>
    <w:rPr>
      <w:rFonts w:hint="eastAsia" w:ascii="Arial" w:hAnsi="Arial" w:eastAsia="宋体" w:cs="Times New Roman"/>
      <w:sz w:val="18"/>
      <w:lang w:val="en-US" w:eastAsia="zh-CN" w:bidi="ar-SA"/>
    </w:rPr>
  </w:style>
  <w:style w:type="paragraph" w:customStyle="1" w:styleId="1249">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1250">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DBE5F1"/>
      <w:spacing w:before="100" w:beforeAutospacing="1" w:after="100" w:afterAutospacing="1"/>
      <w:jc w:val="center"/>
    </w:pPr>
    <w:rPr>
      <w:rFonts w:ascii="宋体" w:hAnsi="宋体" w:cs="宋体"/>
      <w:b/>
      <w:bCs/>
      <w:kern w:val="0"/>
      <w:sz w:val="20"/>
    </w:rPr>
  </w:style>
  <w:style w:type="paragraph" w:customStyle="1" w:styleId="1251">
    <w:name w:val="图表二级"/>
    <w:basedOn w:val="1"/>
    <w:next w:val="1"/>
    <w:qFormat/>
    <w:uiPriority w:val="0"/>
    <w:pPr>
      <w:widowControl/>
      <w:tabs>
        <w:tab w:val="left" w:pos="720"/>
        <w:tab w:val="left" w:pos="3240"/>
      </w:tabs>
      <w:adjustRightInd w:val="0"/>
      <w:snapToGrid w:val="0"/>
      <w:ind w:left="576" w:hanging="576" w:firstLineChars="200"/>
      <w:jc w:val="center"/>
      <w:textAlignment w:val="baseline"/>
    </w:pPr>
    <w:rPr>
      <w:rFonts w:ascii="Arial" w:hAnsi="Arial" w:eastAsia="仿宋_GB2312"/>
      <w:kern w:val="0"/>
      <w:sz w:val="24"/>
    </w:rPr>
  </w:style>
  <w:style w:type="paragraph" w:customStyle="1" w:styleId="1252">
    <w:name w:val="附录1"/>
    <w:qFormat/>
    <w:uiPriority w:val="0"/>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1253">
    <w:name w:val="正文（缩进）1"/>
    <w:basedOn w:val="1"/>
    <w:qFormat/>
    <w:uiPriority w:val="0"/>
    <w:pPr>
      <w:spacing w:beforeLines="50" w:afterLines="50" w:line="360" w:lineRule="auto"/>
      <w:ind w:firstLine="480" w:firstLineChars="200"/>
    </w:pPr>
    <w:rPr>
      <w:sz w:val="24"/>
      <w:szCs w:val="24"/>
    </w:rPr>
  </w:style>
  <w:style w:type="paragraph" w:customStyle="1" w:styleId="1254">
    <w:name w:val="样式 标题 4HS-标题 4sect 1.2.3.4H4 + 段前: 0.5 行2"/>
    <w:basedOn w:val="7"/>
    <w:next w:val="5"/>
    <w:qFormat/>
    <w:uiPriority w:val="0"/>
    <w:pPr>
      <w:widowControl/>
      <w:spacing w:before="0" w:after="0" w:line="360" w:lineRule="auto"/>
      <w:jc w:val="left"/>
    </w:pPr>
    <w:rPr>
      <w:rFonts w:ascii="宋体" w:hAnsi="宋体" w:eastAsia="宋体" w:cs="宋体"/>
      <w:bCs w:val="0"/>
      <w:spacing w:val="6"/>
      <w:kern w:val="0"/>
      <w:sz w:val="24"/>
    </w:rPr>
  </w:style>
  <w:style w:type="paragraph" w:customStyle="1" w:styleId="1255">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1256">
    <w:name w:val="样式 标题 2H2Heading 2 HiddenHeading 2 CCBSheading 22nd levelh..."/>
    <w:basedOn w:val="4"/>
    <w:qFormat/>
    <w:uiPriority w:val="0"/>
    <w:pPr>
      <w:spacing w:before="100" w:beforeAutospacing="1" w:after="100" w:afterAutospacing="1" w:line="240" w:lineRule="auto"/>
      <w:ind w:left="576" w:hanging="576"/>
    </w:pPr>
    <w:rPr>
      <w:rFonts w:ascii="Times New Roman" w:hAnsi="黑体" w:cs="宋体"/>
      <w:sz w:val="28"/>
      <w:szCs w:val="28"/>
    </w:rPr>
  </w:style>
  <w:style w:type="paragraph" w:customStyle="1" w:styleId="1257">
    <w:name w:val="无缩进正文"/>
    <w:basedOn w:val="1"/>
    <w:qFormat/>
    <w:uiPriority w:val="0"/>
    <w:pPr>
      <w:spacing w:line="360" w:lineRule="auto"/>
      <w:jc w:val="left"/>
    </w:pPr>
    <w:rPr>
      <w:rFonts w:ascii="宋体" w:hAnsi="宋体" w:cs="宋体"/>
      <w:color w:val="000000"/>
      <w:kern w:val="0"/>
      <w:sz w:val="22"/>
      <w:szCs w:val="24"/>
    </w:rPr>
  </w:style>
  <w:style w:type="paragraph" w:customStyle="1" w:styleId="1258">
    <w:name w:val="tabletext"/>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259">
    <w:name w:val="样式 正文文字 + 小四 段后: 0 磅 行距: 1.5 倍行距"/>
    <w:qFormat/>
    <w:uiPriority w:val="0"/>
    <w:rPr>
      <w:rFonts w:ascii="仿宋_GB2312" w:hAnsi="Times New Roman" w:eastAsia="仿宋_GB2312" w:cs="Times New Roman"/>
      <w:lang w:val="en-US" w:eastAsia="zh-CN" w:bidi="ar-SA"/>
    </w:rPr>
  </w:style>
  <w:style w:type="paragraph" w:customStyle="1" w:styleId="1260">
    <w:name w:val="正文首行缩进2字"/>
    <w:basedOn w:val="1"/>
    <w:qFormat/>
    <w:uiPriority w:val="0"/>
    <w:pPr>
      <w:widowControl/>
      <w:spacing w:before="100" w:beforeAutospacing="1" w:after="100" w:afterAutospacing="1"/>
      <w:ind w:firstLine="567"/>
      <w:jc w:val="left"/>
    </w:pPr>
    <w:rPr>
      <w:rFonts w:ascii="宋体" w:hAnsi="宋体" w:eastAsia="楷体_GB2312" w:cs="宋体"/>
      <w:kern w:val="0"/>
      <w:sz w:val="28"/>
      <w:szCs w:val="24"/>
    </w:rPr>
  </w:style>
  <w:style w:type="paragraph" w:customStyle="1" w:styleId="1261">
    <w:name w:val="a0"/>
    <w:basedOn w:val="1"/>
    <w:qFormat/>
    <w:uiPriority w:val="0"/>
    <w:pPr>
      <w:widowControl/>
      <w:spacing w:before="100" w:beforeAutospacing="1" w:after="100" w:afterAutospacing="1" w:line="384" w:lineRule="auto"/>
      <w:jc w:val="left"/>
    </w:pPr>
    <w:rPr>
      <w:rFonts w:ascii="Arial" w:hAnsi="Arial" w:cs="Arial"/>
      <w:kern w:val="0"/>
      <w:sz w:val="28"/>
      <w:szCs w:val="28"/>
    </w:rPr>
  </w:style>
  <w:style w:type="paragraph" w:customStyle="1" w:styleId="1262">
    <w:name w:val="列表项目符号-其他2"/>
    <w:basedOn w:val="15"/>
    <w:qFormat/>
    <w:uiPriority w:val="0"/>
    <w:pPr>
      <w:numPr>
        <w:ilvl w:val="0"/>
        <w:numId w:val="49"/>
      </w:numPr>
      <w:tabs>
        <w:tab w:val="clear" w:pos="992"/>
      </w:tabs>
      <w:spacing w:line="360" w:lineRule="auto"/>
      <w:ind w:left="0" w:firstLine="200" w:firstLineChars="200"/>
    </w:pPr>
    <w:rPr>
      <w:rFonts w:hint="default"/>
      <w:szCs w:val="24"/>
    </w:rPr>
  </w:style>
  <w:style w:type="paragraph" w:customStyle="1" w:styleId="1263">
    <w:name w:val="ystem"/>
    <w:basedOn w:val="1"/>
    <w:qFormat/>
    <w:uiPriority w:val="0"/>
    <w:pPr>
      <w:widowControl/>
      <w:spacing w:before="120"/>
      <w:ind w:firstLine="200" w:firstLineChars="200"/>
    </w:pPr>
    <w:rPr>
      <w:rFonts w:eastAsia="仿宋_GB2312"/>
      <w:color w:val="000000"/>
      <w:kern w:val="0"/>
      <w:sz w:val="24"/>
      <w:lang w:eastAsia="en-US"/>
    </w:rPr>
  </w:style>
  <w:style w:type="paragraph" w:customStyle="1" w:styleId="1264">
    <w:name w:val="Char101"/>
    <w:basedOn w:val="1"/>
    <w:qFormat/>
    <w:uiPriority w:val="0"/>
    <w:rPr>
      <w:rFonts w:ascii="Tahoma" w:hAnsi="Tahoma"/>
      <w:sz w:val="24"/>
    </w:rPr>
  </w:style>
  <w:style w:type="paragraph" w:customStyle="1" w:styleId="1265">
    <w:name w:val="7"/>
    <w:basedOn w:val="1"/>
    <w:qFormat/>
    <w:uiPriority w:val="0"/>
    <w:pPr>
      <w:spacing w:line="360" w:lineRule="auto"/>
    </w:pPr>
    <w:rPr>
      <w:sz w:val="24"/>
    </w:rPr>
  </w:style>
  <w:style w:type="paragraph" w:customStyle="1" w:styleId="1266">
    <w:name w:val="HS-正文3"/>
    <w:qFormat/>
    <w:uiPriority w:val="0"/>
    <w:pPr>
      <w:numPr>
        <w:ilvl w:val="0"/>
        <w:numId w:val="50"/>
      </w:numPr>
      <w:spacing w:beforeLines="50" w:afterLines="50" w:line="300" w:lineRule="auto"/>
      <w:jc w:val="both"/>
    </w:pPr>
    <w:rPr>
      <w:rFonts w:ascii="Times New Roman" w:hAnsi="Times New Roman" w:eastAsia="宋体" w:cs="Times New Roman"/>
      <w:sz w:val="24"/>
      <w:lang w:val="en-US" w:eastAsia="zh-CN" w:bidi="ar-SA"/>
    </w:rPr>
  </w:style>
  <w:style w:type="paragraph" w:customStyle="1" w:styleId="1267">
    <w:name w:val="样式 标题 4付标题H4Ref Heading 1rh1Heading sqlsect 1.2.3.4PIM 4..."/>
    <w:basedOn w:val="7"/>
    <w:qFormat/>
    <w:uiPriority w:val="0"/>
    <w:pPr>
      <w:keepLines w:val="0"/>
      <w:widowControl/>
      <w:spacing w:before="0" w:after="0" w:afterLines="50" w:line="360" w:lineRule="auto"/>
      <w:ind w:left="900"/>
    </w:pPr>
    <w:rPr>
      <w:rFonts w:ascii="Times New Roman" w:hAnsi="Times New Roman" w:eastAsia="宋体" w:cs="宋体"/>
      <w:b w:val="0"/>
      <w:bCs w:val="0"/>
      <w:smallCaps/>
      <w:color w:val="000080"/>
      <w:kern w:val="0"/>
      <w:sz w:val="24"/>
      <w:szCs w:val="20"/>
    </w:rPr>
  </w:style>
  <w:style w:type="paragraph" w:customStyle="1" w:styleId="1268">
    <w:name w:val="正文2 Char Char Char Char Char Char Char Char Char Char Char Char1 Char Char Char Char Char Char Char Char1 Char Char Char Char Char Char Char Char Char"/>
    <w:basedOn w:val="1"/>
    <w:qFormat/>
    <w:uiPriority w:val="0"/>
    <w:pPr>
      <w:widowControl/>
      <w:spacing w:line="400" w:lineRule="exact"/>
    </w:pPr>
    <w:rPr>
      <w:rFonts w:ascii="Verdana" w:hAnsi="Verdana" w:cs="宋体"/>
      <w:color w:val="000000"/>
      <w:kern w:val="0"/>
      <w:sz w:val="28"/>
      <w:szCs w:val="28"/>
    </w:rPr>
  </w:style>
  <w:style w:type="paragraph" w:customStyle="1" w:styleId="1269">
    <w:name w:val="文档正文模板"/>
    <w:basedOn w:val="1"/>
    <w:qFormat/>
    <w:uiPriority w:val="0"/>
    <w:pPr>
      <w:adjustRightInd w:val="0"/>
      <w:spacing w:line="360" w:lineRule="auto"/>
      <w:ind w:firstLine="480" w:firstLineChars="200"/>
      <w:textAlignment w:val="baseline"/>
    </w:pPr>
    <w:rPr>
      <w:kern w:val="0"/>
      <w:sz w:val="24"/>
    </w:rPr>
  </w:style>
  <w:style w:type="paragraph" w:customStyle="1" w:styleId="1270">
    <w:name w:val="psubhead1cmt"/>
    <w:basedOn w:val="1"/>
    <w:qFormat/>
    <w:uiPriority w:val="0"/>
    <w:pPr>
      <w:widowControl/>
      <w:spacing w:before="100" w:beforeAutospacing="1" w:after="100" w:afterAutospacing="1" w:line="360" w:lineRule="auto"/>
      <w:ind w:firstLine="480" w:firstLineChars="200"/>
      <w:jc w:val="left"/>
    </w:pPr>
    <w:rPr>
      <w:rFonts w:ascii="宋体" w:hAnsi="宋体" w:cs="宋体"/>
      <w:kern w:val="0"/>
      <w:sz w:val="24"/>
      <w:szCs w:val="24"/>
    </w:rPr>
  </w:style>
  <w:style w:type="paragraph" w:customStyle="1" w:styleId="1271">
    <w:name w:val="bb2"/>
    <w:basedOn w:val="1"/>
    <w:qFormat/>
    <w:uiPriority w:val="0"/>
    <w:pPr>
      <w:widowControl/>
      <w:pBdr>
        <w:top w:val="single" w:color="56748F" w:sz="6" w:space="0"/>
        <w:left w:val="single" w:color="56748F" w:sz="6" w:space="0"/>
        <w:bottom w:val="single" w:color="56748F" w:sz="6" w:space="0"/>
        <w:right w:val="single" w:color="56748F" w:sz="6" w:space="0"/>
      </w:pBdr>
      <w:spacing w:before="100" w:beforeAutospacing="1" w:after="100" w:afterAutospacing="1"/>
      <w:jc w:val="left"/>
    </w:pPr>
    <w:rPr>
      <w:rFonts w:ascii="宋体" w:hAnsi="宋体"/>
      <w:kern w:val="0"/>
      <w:sz w:val="24"/>
      <w:szCs w:val="24"/>
    </w:rPr>
  </w:style>
  <w:style w:type="paragraph" w:customStyle="1" w:styleId="1272">
    <w:name w:val="条文脚注"/>
    <w:basedOn w:val="66"/>
    <w:qFormat/>
    <w:uiPriority w:val="0"/>
    <w:pPr>
      <w:spacing w:line="240" w:lineRule="auto"/>
      <w:ind w:left="780" w:leftChars="200" w:hanging="360" w:hangingChars="200"/>
      <w:jc w:val="both"/>
    </w:pPr>
    <w:rPr>
      <w:rFonts w:ascii="宋体"/>
    </w:rPr>
  </w:style>
  <w:style w:type="paragraph" w:customStyle="1" w:styleId="1273">
    <w:name w:val="CM77"/>
    <w:basedOn w:val="196"/>
    <w:next w:val="196"/>
    <w:qFormat/>
    <w:uiPriority w:val="0"/>
    <w:rPr>
      <w:rFonts w:ascii="oúì." w:hAnsi="Times New Roman" w:eastAsia="oúì." w:cs="Times New Roman"/>
      <w:color w:val="auto"/>
    </w:rPr>
  </w:style>
  <w:style w:type="paragraph" w:customStyle="1" w:styleId="1274">
    <w:name w:val="ww"/>
    <w:basedOn w:val="1"/>
    <w:qFormat/>
    <w:uiPriority w:val="0"/>
    <w:pPr>
      <w:widowControl/>
      <w:spacing w:before="100" w:beforeAutospacing="1" w:after="100" w:afterAutospacing="1"/>
      <w:jc w:val="center"/>
    </w:pPr>
    <w:rPr>
      <w:rFonts w:ascii="_GB2312" w:hAnsi="_GB2312" w:eastAsia="Arial Unicode MS" w:cs="Arial Unicode MS"/>
      <w:color w:val="000000"/>
      <w:kern w:val="0"/>
      <w:sz w:val="24"/>
      <w:szCs w:val="24"/>
    </w:rPr>
  </w:style>
  <w:style w:type="paragraph" w:customStyle="1" w:styleId="1275">
    <w:name w:val="he"/>
    <w:basedOn w:val="1"/>
    <w:next w:val="5"/>
    <w:qFormat/>
    <w:uiPriority w:val="0"/>
    <w:pPr>
      <w:keepNext/>
      <w:keepLines/>
      <w:spacing w:beforeLines="50" w:afterLines="50" w:line="360" w:lineRule="auto"/>
      <w:jc w:val="left"/>
    </w:pPr>
    <w:rPr>
      <w:rFonts w:ascii="宋体" w:hAnsi="宋体" w:cs="宋体"/>
      <w:b/>
      <w:bCs/>
      <w:color w:val="000000"/>
      <w:kern w:val="0"/>
      <w:sz w:val="30"/>
      <w:szCs w:val="30"/>
    </w:rPr>
  </w:style>
  <w:style w:type="paragraph" w:customStyle="1" w:styleId="1276">
    <w:name w:val="表格正文+小四号"/>
    <w:basedOn w:val="1"/>
    <w:qFormat/>
    <w:uiPriority w:val="0"/>
    <w:pPr>
      <w:spacing w:line="360" w:lineRule="auto"/>
      <w:ind w:firstLine="480" w:firstLineChars="200"/>
      <w:jc w:val="center"/>
    </w:pPr>
    <w:rPr>
      <w:sz w:val="24"/>
      <w:szCs w:val="24"/>
    </w:rPr>
  </w:style>
  <w:style w:type="paragraph" w:customStyle="1" w:styleId="1277">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1278">
    <w:name w:val="表项"/>
    <w:next w:val="1277"/>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1279">
    <w:name w:val="页脚11"/>
    <w:basedOn w:val="54"/>
    <w:qFormat/>
    <w:uiPriority w:val="0"/>
    <w:pPr>
      <w:widowControl/>
      <w:pBdr>
        <w:top w:val="single" w:color="auto" w:sz="4" w:space="1"/>
      </w:pBdr>
      <w:jc w:val="both"/>
    </w:pPr>
    <w:rPr>
      <w:rFonts w:ascii="Arial" w:hAnsi="Arial" w:eastAsia="等线" w:cs="宋体"/>
      <w:kern w:val="0"/>
      <w:sz w:val="21"/>
      <w:szCs w:val="21"/>
      <w:lang w:val="zh-CN"/>
    </w:rPr>
  </w:style>
  <w:style w:type="paragraph" w:customStyle="1" w:styleId="128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128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82">
    <w:name w:val="样式 小四 行距: 1.5 倍行距"/>
    <w:basedOn w:val="1"/>
    <w:qFormat/>
    <w:uiPriority w:val="0"/>
    <w:pPr>
      <w:spacing w:line="360" w:lineRule="auto"/>
      <w:jc w:val="left"/>
    </w:pPr>
    <w:rPr>
      <w:rFonts w:ascii="宋体" w:hAnsi="宋体" w:cs="宋体"/>
      <w:sz w:val="24"/>
      <w:szCs w:val="24"/>
    </w:rPr>
  </w:style>
  <w:style w:type="character" w:customStyle="1" w:styleId="1283">
    <w:name w:val="font31"/>
    <w:basedOn w:val="133"/>
    <w:qFormat/>
    <w:uiPriority w:val="0"/>
    <w:rPr>
      <w:rFonts w:hint="default" w:ascii="仿宋_GB2312" w:eastAsia="仿宋_GB2312" w:cs="仿宋_GB2312"/>
      <w:color w:val="000000"/>
      <w:sz w:val="22"/>
      <w:szCs w:val="22"/>
      <w:u w:val="none"/>
    </w:rPr>
  </w:style>
  <w:style w:type="paragraph" w:customStyle="1" w:styleId="1284">
    <w:name w:val="正文112"/>
    <w:next w:val="34"/>
    <w:qFormat/>
    <w:uiPriority w:val="0"/>
    <w:pPr>
      <w:widowControl w:val="0"/>
      <w:jc w:val="both"/>
    </w:pPr>
    <w:rPr>
      <w:rFonts w:ascii="Calibri" w:hAnsi="Calibri" w:eastAsia="宋体" w:cs="Times New Roman"/>
      <w:sz w:val="21"/>
      <w:szCs w:val="22"/>
      <w:lang w:val="en-US" w:eastAsia="zh-CN" w:bidi="ar-SA"/>
    </w:rPr>
  </w:style>
  <w:style w:type="paragraph" w:customStyle="1" w:styleId="1285">
    <w:name w:val="_Style 3"/>
    <w:basedOn w:val="1"/>
    <w:qFormat/>
    <w:uiPriority w:val="0"/>
    <w:pPr>
      <w:ind w:firstLine="420" w:firstLineChars="200"/>
    </w:pPr>
    <w:rPr>
      <w:sz w:val="2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2.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xjtc</Company>
  <Pages>106</Pages>
  <Words>14145</Words>
  <Characters>15256</Characters>
  <Lines>696</Lines>
  <Paragraphs>196</Paragraphs>
  <TotalTime>2</TotalTime>
  <ScaleCrop>false</ScaleCrop>
  <LinksUpToDate>false</LinksUpToDate>
  <CharactersWithSpaces>15671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2021-06-16T16:38:00Z</dcterms:created>
  <dc:creator>xt</dc:creator>
  <cp:lastModifiedBy>wang</cp:lastModifiedBy>
  <cp:lastPrinted>2022-03-25T10:42:00Z</cp:lastPrinted>
  <dcterms:modified xsi:type="dcterms:W3CDTF">2026-05-22T10:09:29Z</dcterms:modified>
  <dc:title>第一部份 投标邀请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4A5D0CAE6EBF498CBA3DFCAB00A5BC86_13</vt:lpwstr>
  </property>
  <property fmtid="{D5CDD505-2E9C-101B-9397-08002B2CF9AE}" pid="4" name="KSOTemplateDocerSaveRecord">
    <vt:lpwstr>eyJoZGlkIjoiODc0YjRkNjY0MzhhMjBiYThlY2E5NDI4OWJjODAwYjMiLCJ1c2VySWQiOiI0MTc1MTg0NTcifQ==</vt:lpwstr>
  </property>
</Properties>
</file>